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7E9188">
      <w:pPr>
        <w:pStyle w:val="8"/>
        <w:widowControl/>
        <w:spacing w:line="360" w:lineRule="atLeast"/>
        <w:jc w:val="center"/>
        <w:rPr>
          <w:rFonts w:hint="eastAsia" w:ascii="仿宋_GB2312" w:hAnsi="仿宋_GB2312" w:eastAsia="仿宋_GB2312" w:cs="仿宋_GB2312"/>
          <w:b/>
          <w:bCs/>
          <w:snapToGrid w:val="0"/>
          <w:position w:val="12"/>
          <w:sz w:val="44"/>
          <w:szCs w:val="44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position w:val="12"/>
          <w:sz w:val="44"/>
          <w:szCs w:val="44"/>
          <w:lang w:val="en-US" w:eastAsia="zh-CN"/>
        </w:rPr>
        <w:t>遂昌县高速出入口（万胜）</w:t>
      </w:r>
      <w:r>
        <w:rPr>
          <w:rFonts w:hint="eastAsia" w:ascii="仿宋_GB2312" w:hAnsi="仿宋_GB2312" w:eastAsia="仿宋_GB2312" w:cs="仿宋_GB2312"/>
          <w:b/>
          <w:bCs/>
          <w:snapToGrid w:val="0"/>
          <w:position w:val="12"/>
          <w:sz w:val="44"/>
          <w:szCs w:val="44"/>
        </w:rPr>
        <w:t>充电站高压工程</w:t>
      </w:r>
    </w:p>
    <w:p w14:paraId="512E38C0">
      <w:pPr>
        <w:pStyle w:val="8"/>
        <w:widowControl/>
        <w:spacing w:line="360" w:lineRule="atLeast"/>
        <w:jc w:val="center"/>
        <w:rPr>
          <w:rFonts w:ascii="仿宋_GB2312" w:hAnsi="仿宋_GB2312" w:eastAsia="仿宋_GB2312" w:cs="仿宋_GB2312"/>
          <w:b/>
          <w:bCs/>
          <w:snapToGrid w:val="0"/>
          <w:position w:val="12"/>
          <w:sz w:val="44"/>
          <w:szCs w:val="44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position w:val="12"/>
          <w:sz w:val="44"/>
          <w:szCs w:val="44"/>
        </w:rPr>
        <w:t>施工项目单一来源采购申请报告</w:t>
      </w:r>
    </w:p>
    <w:p w14:paraId="07DEB564">
      <w:pPr>
        <w:pStyle w:val="8"/>
        <w:widowControl/>
        <w:shd w:val="clear" w:color="auto" w:fill="FFFFFF"/>
        <w:spacing w:before="75" w:beforeAutospacing="0" w:after="75" w:afterAutospacing="0" w:line="30" w:lineRule="atLeast"/>
        <w:rPr>
          <w:rFonts w:ascii="仿宋_GB2312" w:hAnsi="仿宋_GB2312" w:eastAsia="仿宋_GB2312" w:cs="仿宋_GB2312"/>
          <w:snapToGrid w:val="0"/>
          <w:position w:val="12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position w:val="12"/>
          <w:sz w:val="32"/>
          <w:szCs w:val="32"/>
        </w:rPr>
        <w:t>浙石油销售公司</w:t>
      </w:r>
      <w:r>
        <w:rPr>
          <w:rFonts w:hint="eastAsia" w:ascii="仿宋_GB2312" w:hAnsi="仿宋_GB2312" w:eastAsia="仿宋_GB2312" w:cs="仿宋_GB2312"/>
          <w:snapToGrid w:val="0"/>
          <w:position w:val="12"/>
          <w:sz w:val="32"/>
          <w:szCs w:val="32"/>
          <w:lang w:val="en-US" w:eastAsia="zh-CN"/>
        </w:rPr>
        <w:t>丽水分公司临时采购小组</w:t>
      </w:r>
      <w:r>
        <w:rPr>
          <w:rFonts w:hint="eastAsia" w:ascii="仿宋_GB2312" w:hAnsi="仿宋_GB2312" w:eastAsia="仿宋_GB2312" w:cs="仿宋_GB2312"/>
          <w:snapToGrid w:val="0"/>
          <w:position w:val="12"/>
          <w:sz w:val="32"/>
          <w:szCs w:val="32"/>
        </w:rPr>
        <w:t>：</w:t>
      </w:r>
    </w:p>
    <w:p w14:paraId="02B7935A">
      <w:pPr>
        <w:pStyle w:val="8"/>
        <w:widowControl/>
        <w:shd w:val="clear" w:color="auto" w:fill="FFFFFF"/>
        <w:spacing w:before="75" w:beforeAutospacing="0" w:after="75" w:afterAutospacing="0" w:line="30" w:lineRule="atLeast"/>
        <w:ind w:firstLine="640" w:firstLineChars="200"/>
        <w:rPr>
          <w:rFonts w:ascii="仿宋_GB2312" w:hAnsi="仿宋_GB2312" w:eastAsia="仿宋_GB2312" w:cs="仿宋_GB2312"/>
          <w:snapToGrid w:val="0"/>
          <w:position w:val="12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position w:val="12"/>
          <w:sz w:val="32"/>
          <w:szCs w:val="32"/>
          <w:lang w:val="en-US" w:eastAsia="zh-CN"/>
        </w:rPr>
        <w:t>丽水市浙石油</w:t>
      </w:r>
      <w:r>
        <w:rPr>
          <w:rFonts w:hint="eastAsia" w:ascii="仿宋_GB2312" w:hAnsi="仿宋_GB2312" w:eastAsia="仿宋_GB2312" w:cs="仿宋_GB2312"/>
          <w:snapToGrid w:val="0"/>
          <w:position w:val="12"/>
          <w:sz w:val="32"/>
          <w:szCs w:val="32"/>
        </w:rPr>
        <w:t>新能源销售有限公司拟向</w:t>
      </w:r>
      <w:r>
        <w:rPr>
          <w:rFonts w:hint="eastAsia" w:ascii="仿宋_GB2312" w:hAnsi="仿宋_GB2312" w:eastAsia="仿宋_GB2312" w:cs="仿宋_GB2312"/>
          <w:snapToGrid w:val="0"/>
          <w:position w:val="12"/>
          <w:sz w:val="32"/>
          <w:szCs w:val="32"/>
          <w:lang w:val="en-US" w:eastAsia="zh-CN"/>
        </w:rPr>
        <w:t>遂昌县明盛电业有限责任公司</w:t>
      </w:r>
      <w:r>
        <w:rPr>
          <w:rFonts w:hint="eastAsia" w:ascii="仿宋_GB2312" w:hAnsi="仿宋_GB2312" w:eastAsia="仿宋_GB2312" w:cs="仿宋_GB2312"/>
          <w:snapToGrid w:val="0"/>
          <w:position w:val="12"/>
          <w:sz w:val="32"/>
          <w:szCs w:val="32"/>
        </w:rPr>
        <w:t>采购</w:t>
      </w:r>
      <w:r>
        <w:rPr>
          <w:rFonts w:hint="eastAsia" w:ascii="仿宋_GB2312" w:hAnsi="仿宋_GB2312" w:eastAsia="仿宋_GB2312" w:cs="仿宋_GB2312"/>
          <w:snapToGrid w:val="0"/>
          <w:position w:val="12"/>
          <w:sz w:val="32"/>
          <w:szCs w:val="32"/>
          <w:lang w:val="en-US" w:eastAsia="zh-CN"/>
        </w:rPr>
        <w:t>遂昌县高速出入口（万胜）充电站高压工程施工项目</w:t>
      </w:r>
      <w:r>
        <w:rPr>
          <w:rFonts w:hint="eastAsia" w:ascii="仿宋_GB2312" w:hAnsi="仿宋_GB2312" w:eastAsia="仿宋_GB2312" w:cs="仿宋_GB2312"/>
          <w:snapToGrid w:val="0"/>
          <w:position w:val="12"/>
          <w:sz w:val="32"/>
          <w:szCs w:val="32"/>
        </w:rPr>
        <w:t>，现将具体情况汇报如下。</w:t>
      </w:r>
    </w:p>
    <w:p w14:paraId="250D1E71">
      <w:pPr>
        <w:spacing w:line="360" w:lineRule="auto"/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一、项目基本情况</w:t>
      </w:r>
    </w:p>
    <w:p w14:paraId="2DA18C79">
      <w:pPr>
        <w:widowControl/>
        <w:shd w:val="clear" w:color="auto" w:fill="FFFFFF"/>
        <w:ind w:firstLine="640" w:firstLineChars="200"/>
        <w:jc w:val="left"/>
        <w:textAlignment w:val="center"/>
        <w:rPr>
          <w:rFonts w:hint="eastAsia" w:ascii="仿宋_GB2312" w:hAnsi="仿宋_GB2312" w:eastAsia="仿宋_GB2312" w:cs="仿宋_GB2312"/>
          <w:snapToGrid w:val="0"/>
          <w:position w:val="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position w:val="12"/>
          <w:sz w:val="32"/>
          <w:szCs w:val="32"/>
          <w:lang w:val="en-US" w:eastAsia="zh-CN"/>
        </w:rPr>
        <w:t>遂昌县高速出入口（万胜）充电站项目位于丽水市遂昌县水阁路 568 号万胜汽车修理厂地上停车场。本项目含需要的电力系统接入、高压部分的设备及材料的采购、管线管井施工、市政申报及协调、电力项目申报及验收、试运行等全过程。本工程包含新建配套建设箱变、相关匹配的10kV高压外线设备、0.4kV配电柜等所有电气系统设备、线路均同期建设及调试；以及相关的管线、管井铺设等所有配套土建施工及市政、绿化等申报协调内容。</w:t>
      </w:r>
    </w:p>
    <w:p w14:paraId="2C254D31">
      <w:pPr>
        <w:spacing w:line="360" w:lineRule="auto"/>
        <w:ind w:firstLine="640" w:firstLineChars="200"/>
        <w:jc w:val="left"/>
        <w:rPr>
          <w:rFonts w:ascii="黑体" w:hAnsi="黑体" w:eastAsia="黑体" w:cs="黑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二、单一来源采购理由</w:t>
      </w:r>
    </w:p>
    <w:p w14:paraId="2868EC27">
      <w:pPr>
        <w:ind w:firstLine="640" w:firstLineChars="200"/>
        <w:rPr>
          <w:rFonts w:ascii="仿宋_GB2312" w:hAnsi="仿宋_GB2312" w:eastAsia="仿宋_GB2312" w:cs="仿宋_GB2312"/>
          <w:snapToGrid w:val="0"/>
          <w:kern w:val="0"/>
          <w:position w:val="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napToGrid w:val="0"/>
          <w:kern w:val="0"/>
          <w:position w:val="12"/>
          <w:sz w:val="32"/>
          <w:szCs w:val="32"/>
          <w:highlight w:val="none"/>
        </w:rPr>
        <w:t>（一）单一来源理由</w:t>
      </w:r>
    </w:p>
    <w:p w14:paraId="426872E5">
      <w:pPr>
        <w:widowControl/>
        <w:shd w:val="clear" w:color="auto" w:fill="FFFFFF"/>
        <w:ind w:firstLine="640" w:firstLineChars="200"/>
        <w:jc w:val="left"/>
        <w:textAlignment w:val="center"/>
        <w:rPr>
          <w:rFonts w:hint="eastAsia" w:ascii="仿宋_GB2312" w:hAnsi="仿宋_GB2312" w:eastAsia="仿宋_GB2312" w:cs="仿宋_GB2312"/>
          <w:snapToGrid w:val="0"/>
          <w:kern w:val="0"/>
          <w:position w:val="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napToGrid w:val="0"/>
          <w:position w:val="12"/>
          <w:sz w:val="32"/>
          <w:szCs w:val="32"/>
          <w:lang w:val="en-US" w:eastAsia="zh-CN"/>
        </w:rPr>
        <w:t>遂昌县明盛电业有限责任公司</w:t>
      </w:r>
      <w:r>
        <w:rPr>
          <w:rFonts w:hint="eastAsia" w:ascii="仿宋_GB2312" w:hAnsi="仿宋_GB2312" w:eastAsia="仿宋_GB2312" w:cs="仿宋_GB2312"/>
          <w:snapToGrid w:val="0"/>
          <w:kern w:val="0"/>
          <w:position w:val="12"/>
          <w:sz w:val="32"/>
          <w:szCs w:val="32"/>
          <w:highlight w:val="none"/>
        </w:rPr>
        <w:t>主营业务为输电试验,供电试验,维修试验等业务的公司</w:t>
      </w:r>
      <w:r>
        <w:rPr>
          <w:rFonts w:hint="eastAsia" w:ascii="仿宋_GB2312" w:hAnsi="仿宋_GB2312" w:eastAsia="仿宋_GB2312" w:cs="仿宋_GB2312"/>
          <w:snapToGrid w:val="0"/>
          <w:kern w:val="0"/>
          <w:position w:val="12"/>
          <w:sz w:val="32"/>
          <w:szCs w:val="32"/>
          <w:highlight w:val="none"/>
          <w:lang w:eastAsia="zh-CN"/>
        </w:rPr>
        <w:t>。</w:t>
      </w:r>
    </w:p>
    <w:p w14:paraId="1F9A8DF2">
      <w:pPr>
        <w:widowControl/>
        <w:shd w:val="clear" w:color="auto" w:fill="FFFFFF"/>
        <w:ind w:firstLine="640" w:firstLineChars="200"/>
        <w:jc w:val="left"/>
        <w:textAlignment w:val="center"/>
        <w:rPr>
          <w:rFonts w:hint="default" w:ascii="仿宋_GB2312" w:hAnsi="仿宋_GB2312" w:eastAsia="仿宋_GB2312" w:cs="仿宋_GB2312"/>
          <w:snapToGrid w:val="0"/>
          <w:kern w:val="0"/>
          <w:position w:val="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kern w:val="0"/>
          <w:position w:val="12"/>
          <w:sz w:val="32"/>
          <w:szCs w:val="32"/>
          <w:highlight w:val="none"/>
        </w:rPr>
        <w:t>2023年</w:t>
      </w:r>
      <w:r>
        <w:rPr>
          <w:rFonts w:hint="eastAsia" w:ascii="仿宋_GB2312" w:hAnsi="仿宋_GB2312" w:eastAsia="仿宋_GB2312" w:cs="仿宋_GB2312"/>
          <w:snapToGrid w:val="0"/>
          <w:kern w:val="0"/>
          <w:position w:val="12"/>
          <w:sz w:val="32"/>
          <w:szCs w:val="32"/>
          <w:highlight w:val="none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napToGrid w:val="0"/>
          <w:kern w:val="0"/>
          <w:position w:val="12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snapToGrid w:val="0"/>
          <w:kern w:val="0"/>
          <w:position w:val="12"/>
          <w:sz w:val="32"/>
          <w:szCs w:val="32"/>
          <w:highlight w:val="none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napToGrid w:val="0"/>
          <w:kern w:val="0"/>
          <w:position w:val="12"/>
          <w:sz w:val="32"/>
          <w:szCs w:val="32"/>
          <w:highlight w:val="none"/>
        </w:rPr>
        <w:t>日，浙江浙石油综合能源销售有限公司《</w:t>
      </w:r>
      <w:r>
        <w:rPr>
          <w:rFonts w:hint="eastAsia" w:ascii="仿宋_GB2312" w:hAnsi="仿宋_GB2312" w:eastAsia="仿宋_GB2312" w:cs="仿宋_GB2312"/>
          <w:snapToGrid w:val="0"/>
          <w:kern w:val="0"/>
          <w:position w:val="12"/>
          <w:sz w:val="32"/>
          <w:szCs w:val="32"/>
          <w:highlight w:val="none"/>
          <w:lang w:val="en-US" w:eastAsia="zh-CN"/>
        </w:rPr>
        <w:t>关于明确充电桩项目实施流程与职责分工专题会纪要</w:t>
      </w:r>
      <w:r>
        <w:rPr>
          <w:rFonts w:hint="eastAsia" w:ascii="仿宋_GB2312" w:hAnsi="仿宋_GB2312" w:eastAsia="仿宋_GB2312" w:cs="仿宋_GB2312"/>
          <w:snapToGrid w:val="0"/>
          <w:kern w:val="0"/>
          <w:position w:val="12"/>
          <w:sz w:val="32"/>
          <w:szCs w:val="32"/>
          <w:highlight w:val="none"/>
        </w:rPr>
        <w:t>》（浙石油综专题纪要{2023}36号）</w:t>
      </w:r>
      <w:r>
        <w:rPr>
          <w:rFonts w:hint="eastAsia" w:ascii="仿宋_GB2312" w:hAnsi="仿宋_GB2312" w:eastAsia="仿宋_GB2312" w:cs="仿宋_GB2312"/>
          <w:snapToGrid w:val="0"/>
          <w:kern w:val="0"/>
          <w:position w:val="12"/>
          <w:sz w:val="32"/>
          <w:szCs w:val="32"/>
          <w:highlight w:val="none"/>
          <w:lang w:val="en-US" w:eastAsia="zh-CN"/>
        </w:rPr>
        <w:t>文件指示</w:t>
      </w:r>
      <w:r>
        <w:rPr>
          <w:rFonts w:hint="eastAsia" w:ascii="仿宋_GB2312" w:hAnsi="仿宋_GB2312" w:eastAsia="仿宋_GB2312" w:cs="仿宋_GB2312"/>
          <w:snapToGrid w:val="0"/>
          <w:kern w:val="0"/>
          <w:position w:val="12"/>
          <w:sz w:val="32"/>
          <w:szCs w:val="32"/>
          <w:highlight w:val="none"/>
        </w:rPr>
        <w:t>：</w:t>
      </w:r>
      <w:r>
        <w:rPr>
          <w:rFonts w:hint="eastAsia" w:ascii="仿宋_GB2312" w:hAnsi="仿宋_GB2312" w:eastAsia="仿宋_GB2312" w:cs="仿宋_GB2312"/>
          <w:snapToGrid w:val="0"/>
          <w:kern w:val="0"/>
          <w:position w:val="12"/>
          <w:sz w:val="32"/>
          <w:szCs w:val="32"/>
          <w:highlight w:val="none"/>
          <w:lang w:val="en-US" w:eastAsia="zh-CN"/>
        </w:rPr>
        <w:t>项目高压侧用电接入工程，可采用定向方式委托各地电力部门下属单位进行施工，委托范围包括电力设施设备的迁移或改造、永临结合用电接入（包括电缆、变压器、开关柜等所有设备及设计、施工），由属地公司负责实施。</w:t>
      </w:r>
    </w:p>
    <w:p w14:paraId="41AE30DA">
      <w:pPr>
        <w:widowControl/>
        <w:shd w:val="clear" w:color="auto" w:fill="FFFFFF"/>
        <w:ind w:firstLine="640" w:firstLineChars="200"/>
        <w:jc w:val="left"/>
        <w:textAlignment w:val="center"/>
        <w:rPr>
          <w:rFonts w:ascii="仿宋_GB2312" w:hAnsi="仿宋_GB2312" w:eastAsia="仿宋_GB2312" w:cs="仿宋_GB2312"/>
          <w:snapToGrid w:val="0"/>
          <w:kern w:val="0"/>
          <w:position w:val="12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position w:val="12"/>
          <w:sz w:val="32"/>
          <w:szCs w:val="32"/>
        </w:rPr>
        <w:t>（二）单一来源依据</w:t>
      </w:r>
    </w:p>
    <w:p w14:paraId="51825A53">
      <w:pPr>
        <w:widowControl/>
        <w:shd w:val="clear" w:color="auto" w:fill="FFFFFF"/>
        <w:ind w:firstLine="640" w:firstLineChars="200"/>
        <w:jc w:val="left"/>
        <w:textAlignment w:val="center"/>
        <w:rPr>
          <w:rFonts w:hint="default" w:ascii="仿宋_GB2312" w:hAnsi="仿宋_GB2312" w:eastAsia="仿宋_GB2312" w:cs="仿宋_GB2312"/>
          <w:snapToGrid w:val="0"/>
          <w:kern w:val="0"/>
          <w:position w:val="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kern w:val="0"/>
          <w:position w:val="12"/>
          <w:sz w:val="32"/>
          <w:szCs w:val="32"/>
        </w:rPr>
        <w:t>1、根据《关于明确充电站项目实施流程与职责分工专题会纪要》（浙石油综专题纪要{2023}36号）</w:t>
      </w:r>
      <w:r>
        <w:rPr>
          <w:rFonts w:hint="eastAsia" w:ascii="仿宋_GB2312" w:hAnsi="仿宋_GB2312" w:eastAsia="仿宋_GB2312" w:cs="仿宋_GB2312"/>
          <w:snapToGrid w:val="0"/>
          <w:kern w:val="0"/>
          <w:position w:val="12"/>
          <w:sz w:val="32"/>
          <w:szCs w:val="32"/>
          <w:lang w:val="en-US" w:eastAsia="zh-CN"/>
        </w:rPr>
        <w:t>文件指示</w:t>
      </w:r>
      <w:r>
        <w:rPr>
          <w:rFonts w:hint="eastAsia" w:ascii="仿宋_GB2312" w:hAnsi="仿宋_GB2312" w:eastAsia="仿宋_GB2312" w:cs="仿宋_GB2312"/>
          <w:snapToGrid w:val="0"/>
          <w:kern w:val="0"/>
          <w:position w:val="12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napToGrid w:val="0"/>
          <w:kern w:val="0"/>
          <w:position w:val="12"/>
          <w:sz w:val="32"/>
          <w:szCs w:val="32"/>
          <w:lang w:val="en-US" w:eastAsia="zh-CN"/>
        </w:rPr>
        <w:t>项目高压侧用电接入工程，可采用定向方式委托各地电力部门下属单位进行施工，委托范围包括电力设施设备的迁移或改造、永临结合用电接入（包括电缆、变压器、开关柜等所有设备及设计、施工），由属地公司负责实施。</w:t>
      </w:r>
      <w:r>
        <w:rPr>
          <w:rFonts w:hint="eastAsia" w:ascii="仿宋_GB2312" w:hAnsi="仿宋_GB2312" w:eastAsia="仿宋_GB2312" w:cs="仿宋_GB2312"/>
          <w:snapToGrid w:val="0"/>
          <w:position w:val="12"/>
          <w:sz w:val="32"/>
          <w:szCs w:val="32"/>
          <w:lang w:val="en-US" w:eastAsia="zh-CN"/>
        </w:rPr>
        <w:t>遂昌县明盛电业有限责任公司</w:t>
      </w:r>
      <w:r>
        <w:rPr>
          <w:rFonts w:hint="eastAsia" w:ascii="仿宋_GB2312" w:hAnsi="仿宋_GB2312" w:eastAsia="仿宋_GB2312" w:cs="仿宋_GB2312"/>
          <w:snapToGrid w:val="0"/>
          <w:kern w:val="0"/>
          <w:position w:val="12"/>
          <w:sz w:val="32"/>
          <w:szCs w:val="32"/>
          <w:lang w:val="en-US" w:eastAsia="zh-CN"/>
        </w:rPr>
        <w:t>满足文件要求。</w:t>
      </w:r>
    </w:p>
    <w:p w14:paraId="05832F41">
      <w:pPr>
        <w:widowControl/>
        <w:shd w:val="clear" w:color="auto" w:fill="FFFFFF"/>
        <w:ind w:firstLine="640" w:firstLineChars="200"/>
        <w:jc w:val="left"/>
        <w:textAlignment w:val="center"/>
        <w:rPr>
          <w:rFonts w:hint="eastAsia" w:ascii="仿宋_GB2312" w:hAnsi="仿宋_GB2312" w:eastAsia="仿宋_GB2312" w:cs="仿宋_GB2312"/>
          <w:snapToGrid w:val="0"/>
          <w:kern w:val="0"/>
          <w:position w:val="12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position w:val="12"/>
          <w:sz w:val="32"/>
          <w:szCs w:val="32"/>
        </w:rPr>
        <w:t>2、集团公司《工程建设项目招投标管理办法》第二十九条（三）及《生产、综合类（物资）采购管理办法》第四十六条，采用单一来源采购需符合下列情形之一：（十）经采购决策机构审批通过的其他情形。</w:t>
      </w:r>
    </w:p>
    <w:p w14:paraId="3E241412">
      <w:pPr>
        <w:widowControl/>
        <w:shd w:val="clear" w:color="auto" w:fill="FFFFFF"/>
        <w:ind w:firstLine="640" w:firstLineChars="200"/>
        <w:jc w:val="left"/>
        <w:textAlignment w:val="center"/>
        <w:rPr>
          <w:rFonts w:hint="eastAsia" w:ascii="仿宋_GB2312" w:hAnsi="仿宋_GB2312" w:eastAsia="仿宋_GB2312" w:cs="仿宋_GB2312"/>
          <w:snapToGrid w:val="0"/>
          <w:kern w:val="0"/>
          <w:position w:val="12"/>
          <w:sz w:val="32"/>
          <w:szCs w:val="32"/>
        </w:rPr>
      </w:pPr>
    </w:p>
    <w:p w14:paraId="4D7EFFC1">
      <w:pPr>
        <w:spacing w:line="360" w:lineRule="auto"/>
        <w:ind w:firstLine="640" w:firstLineChars="200"/>
        <w:jc w:val="left"/>
        <w:rPr>
          <w:rFonts w:hint="default" w:ascii="仿宋_GB2312" w:hAnsi="仿宋_GB2312" w:eastAsia="仿宋_GB2312" w:cs="仿宋_GB2312"/>
          <w:snapToGrid w:val="0"/>
          <w:kern w:val="0"/>
          <w:position w:val="12"/>
          <w:sz w:val="32"/>
          <w:szCs w:val="32"/>
          <w:lang w:val="en-US"/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三、价格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组成</w:t>
      </w:r>
    </w:p>
    <w:p w14:paraId="2DE9E451">
      <w:pPr>
        <w:widowControl/>
        <w:shd w:val="clear" w:color="auto" w:fill="FFFFFF"/>
        <w:ind w:firstLine="640" w:firstLineChars="200"/>
        <w:jc w:val="left"/>
        <w:textAlignment w:val="center"/>
        <w:rPr>
          <w:rFonts w:hint="default" w:ascii="仿宋_GB2312" w:hAnsi="仿宋_GB2312" w:eastAsia="仿宋_GB2312" w:cs="仿宋_GB2312"/>
          <w:snapToGrid w:val="0"/>
          <w:kern w:val="0"/>
          <w:position w:val="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position w:val="12"/>
          <w:sz w:val="32"/>
          <w:szCs w:val="32"/>
          <w:lang w:val="en-US" w:eastAsia="zh-CN"/>
        </w:rPr>
        <w:t>本项目</w:t>
      </w:r>
      <w:r>
        <w:rPr>
          <w:rFonts w:hint="eastAsia" w:ascii="仿宋_GB2312" w:hAnsi="仿宋_GB2312" w:eastAsia="仿宋_GB2312" w:cs="仿宋_GB2312"/>
          <w:snapToGrid w:val="0"/>
          <w:kern w:val="0"/>
          <w:position w:val="12"/>
          <w:sz w:val="32"/>
          <w:szCs w:val="32"/>
          <w:lang w:val="en-US" w:eastAsia="zh-CN"/>
        </w:rPr>
        <w:t>委托第三方单位浙江建航工程咨询有限公司审定预算</w:t>
      </w:r>
      <w:r>
        <w:rPr>
          <w:rFonts w:hint="eastAsia" w:ascii="仿宋_GB2312" w:hAnsi="仿宋_GB2312" w:eastAsia="仿宋_GB2312" w:cs="仿宋_GB2312"/>
          <w:snapToGrid w:val="0"/>
          <w:kern w:val="0"/>
          <w:position w:val="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napToGrid w:val="0"/>
          <w:kern w:val="0"/>
          <w:position w:val="12"/>
          <w:sz w:val="32"/>
          <w:szCs w:val="32"/>
          <w:lang w:val="en-US" w:eastAsia="zh-CN"/>
        </w:rPr>
        <w:t>预算编制单位为</w:t>
      </w:r>
      <w:r>
        <w:rPr>
          <w:rFonts w:hint="eastAsia" w:ascii="仿宋_GB2312" w:hAnsi="仿宋_GB2312" w:eastAsia="仿宋_GB2312" w:cs="仿宋_GB2312"/>
          <w:snapToGrid w:val="0"/>
          <w:position w:val="12"/>
          <w:sz w:val="32"/>
          <w:szCs w:val="32"/>
          <w:lang w:val="en-US" w:eastAsia="zh-CN"/>
        </w:rPr>
        <w:t>遂昌县明盛电业有限责任公司</w:t>
      </w:r>
      <w:r>
        <w:rPr>
          <w:rFonts w:hint="eastAsia" w:ascii="仿宋_GB2312" w:hAnsi="仿宋_GB2312" w:eastAsia="仿宋_GB2312" w:cs="仿宋_GB2312"/>
          <w:snapToGrid w:val="0"/>
          <w:kern w:val="0"/>
          <w:position w:val="12"/>
          <w:sz w:val="32"/>
          <w:szCs w:val="32"/>
          <w:lang w:val="en-US" w:eastAsia="zh-CN"/>
        </w:rPr>
        <w:t>，送审价为324510元，审定造价313869元，核减额10641元。</w:t>
      </w:r>
      <w:r>
        <w:rPr>
          <w:rFonts w:hint="eastAsia" w:ascii="仿宋_GB2312" w:hAnsi="仿宋_GB2312" w:eastAsia="仿宋_GB2312" w:cs="仿宋_GB2312"/>
          <w:snapToGrid w:val="0"/>
          <w:kern w:val="0"/>
          <w:position w:val="12"/>
          <w:sz w:val="32"/>
          <w:szCs w:val="32"/>
        </w:rPr>
        <w:t>最终本项目</w:t>
      </w:r>
      <w:r>
        <w:rPr>
          <w:rFonts w:hint="eastAsia" w:ascii="仿宋_GB2312" w:hAnsi="仿宋_GB2312" w:eastAsia="仿宋_GB2312" w:cs="仿宋_GB2312"/>
          <w:snapToGrid w:val="0"/>
          <w:kern w:val="0"/>
          <w:position w:val="12"/>
          <w:sz w:val="32"/>
          <w:szCs w:val="32"/>
          <w:lang w:val="en-US" w:eastAsia="zh-CN"/>
        </w:rPr>
        <w:t>含税</w:t>
      </w:r>
      <w:r>
        <w:rPr>
          <w:rFonts w:hint="eastAsia" w:ascii="仿宋_GB2312" w:hAnsi="仿宋_GB2312" w:eastAsia="仿宋_GB2312" w:cs="仿宋_GB2312"/>
          <w:snapToGrid w:val="0"/>
          <w:kern w:val="0"/>
          <w:position w:val="12"/>
          <w:sz w:val="32"/>
          <w:szCs w:val="32"/>
        </w:rPr>
        <w:t>合同暂定价为</w:t>
      </w:r>
      <w:r>
        <w:rPr>
          <w:rFonts w:hint="eastAsia" w:ascii="仿宋_GB2312" w:hAnsi="仿宋_GB2312" w:eastAsia="仿宋_GB2312" w:cs="仿宋_GB2312"/>
          <w:snapToGrid w:val="0"/>
          <w:kern w:val="0"/>
          <w:position w:val="12"/>
          <w:sz w:val="32"/>
          <w:szCs w:val="32"/>
          <w:lang w:val="en-US" w:eastAsia="zh-CN"/>
        </w:rPr>
        <w:t>313869</w:t>
      </w:r>
      <w:r>
        <w:rPr>
          <w:rFonts w:hint="eastAsia" w:ascii="仿宋_GB2312" w:hAnsi="仿宋_GB2312" w:eastAsia="仿宋_GB2312" w:cs="仿宋_GB2312"/>
          <w:snapToGrid w:val="0"/>
          <w:kern w:val="0"/>
          <w:position w:val="12"/>
          <w:sz w:val="32"/>
          <w:szCs w:val="32"/>
        </w:rPr>
        <w:t>元</w:t>
      </w:r>
      <w:r>
        <w:rPr>
          <w:rFonts w:hint="eastAsia" w:ascii="仿宋_GB2312" w:hAnsi="仿宋_GB2312" w:eastAsia="仿宋_GB2312" w:cs="仿宋_GB2312"/>
          <w:snapToGrid w:val="0"/>
          <w:kern w:val="0"/>
          <w:position w:val="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napToGrid w:val="0"/>
          <w:kern w:val="0"/>
          <w:position w:val="12"/>
          <w:sz w:val="32"/>
          <w:szCs w:val="32"/>
          <w:lang w:val="en-US" w:eastAsia="zh-CN"/>
        </w:rPr>
        <w:t>工程完工验收后，最终以第三方审定价为最终结算合同总价。</w:t>
      </w:r>
    </w:p>
    <w:p w14:paraId="0FA855AC">
      <w:pPr>
        <w:widowControl/>
        <w:shd w:val="clear" w:color="auto" w:fill="FFFFFF"/>
        <w:jc w:val="left"/>
        <w:textAlignment w:val="center"/>
        <w:rPr>
          <w:rFonts w:ascii="仿宋_GB2312" w:hAnsi="仿宋_GB2312" w:eastAsia="仿宋_GB2312" w:cs="仿宋_GB2312"/>
          <w:snapToGrid w:val="0"/>
          <w:kern w:val="0"/>
          <w:position w:val="12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position w:val="12"/>
          <w:sz w:val="32"/>
          <w:szCs w:val="32"/>
        </w:rPr>
        <w:t>注：安装费预算价格根据《浙江省安装工程预算定额（2018版）》，结合实际工程量测算。</w:t>
      </w:r>
    </w:p>
    <w:p w14:paraId="1B5102E3">
      <w:pPr>
        <w:spacing w:line="360" w:lineRule="auto"/>
        <w:ind w:firstLine="640" w:firstLineChars="200"/>
        <w:jc w:val="left"/>
        <w:rPr>
          <w:rFonts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四、公示情况（如有）</w:t>
      </w:r>
    </w:p>
    <w:p w14:paraId="535F58D6">
      <w:pPr>
        <w:widowControl/>
        <w:shd w:val="clear" w:color="auto" w:fill="FFFFFF"/>
        <w:ind w:firstLine="640" w:firstLineChars="200"/>
        <w:jc w:val="left"/>
        <w:textAlignment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本项目单一来源采购已在集团智慧供应链一体化平台进行公示，公示时间为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2025 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10 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日至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2025 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10 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日，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□</w:t>
      </w:r>
      <w:r>
        <w:rPr>
          <w:rFonts w:hint="eastAsia" w:ascii="仿宋" w:hAnsi="仿宋" w:eastAsia="仿宋" w:cs="仿宋"/>
          <w:sz w:val="32"/>
          <w:szCs w:val="32"/>
        </w:rPr>
        <w:t>公示期内未出现异议。□公示期内出现异议，异议及核实情况如下：</w:t>
      </w:r>
      <w:r>
        <w:rPr>
          <w:rFonts w:hint="eastAsia" w:ascii="宋体" w:hAnsi="宋体" w:cs="宋体"/>
          <w:sz w:val="24"/>
          <w:u w:val="single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。经核实后异议不成立。</w:t>
      </w:r>
    </w:p>
    <w:p w14:paraId="3961CF02">
      <w:pPr>
        <w:widowControl/>
        <w:shd w:val="clear" w:color="auto" w:fill="FFFFFF"/>
        <w:ind w:firstLine="640" w:firstLineChars="200"/>
        <w:jc w:val="left"/>
        <w:textAlignment w:val="center"/>
        <w:rPr>
          <w:rFonts w:hint="eastAsia" w:ascii="仿宋_GB2312" w:hAnsi="仿宋_GB2312" w:eastAsia="仿宋_GB2312" w:cs="仿宋_GB2312"/>
          <w:snapToGrid w:val="0"/>
          <w:kern w:val="0"/>
          <w:position w:val="12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position w:val="12"/>
          <w:sz w:val="32"/>
          <w:szCs w:val="32"/>
        </w:rPr>
        <w:t>综上所述，我单位申请向</w:t>
      </w:r>
      <w:r>
        <w:rPr>
          <w:rFonts w:hint="eastAsia" w:ascii="仿宋_GB2312" w:hAnsi="仿宋_GB2312" w:eastAsia="仿宋_GB2312" w:cs="仿宋_GB2312"/>
          <w:snapToGrid w:val="0"/>
          <w:position w:val="12"/>
          <w:sz w:val="32"/>
          <w:szCs w:val="32"/>
          <w:lang w:val="en-US" w:eastAsia="zh-CN"/>
        </w:rPr>
        <w:t>遂昌县明盛电业有限责任公司</w:t>
      </w:r>
      <w:r>
        <w:rPr>
          <w:rFonts w:hint="eastAsia" w:ascii="仿宋_GB2312" w:hAnsi="仿宋_GB2312" w:eastAsia="仿宋_GB2312" w:cs="仿宋_GB2312"/>
          <w:snapToGrid w:val="0"/>
          <w:kern w:val="0"/>
          <w:position w:val="12"/>
          <w:sz w:val="32"/>
          <w:szCs w:val="32"/>
        </w:rPr>
        <w:t>以单一来源方式采购</w:t>
      </w:r>
      <w:r>
        <w:rPr>
          <w:rFonts w:hint="eastAsia" w:ascii="仿宋_GB2312" w:hAnsi="仿宋_GB2312" w:eastAsia="仿宋_GB2312" w:cs="仿宋_GB2312"/>
          <w:snapToGrid w:val="0"/>
          <w:kern w:val="0"/>
          <w:position w:val="12"/>
          <w:sz w:val="32"/>
          <w:szCs w:val="32"/>
          <w:lang w:val="en-US" w:eastAsia="zh-CN"/>
        </w:rPr>
        <w:t>遂昌县高速出入口（万胜）充电站高压工程施工项目</w:t>
      </w:r>
      <w:r>
        <w:rPr>
          <w:rFonts w:hint="eastAsia" w:ascii="仿宋_GB2312" w:hAnsi="仿宋_GB2312" w:eastAsia="仿宋_GB2312" w:cs="仿宋_GB2312"/>
          <w:snapToGrid w:val="0"/>
          <w:kern w:val="0"/>
          <w:position w:val="12"/>
          <w:sz w:val="32"/>
          <w:szCs w:val="32"/>
        </w:rPr>
        <w:t>，合同</w:t>
      </w:r>
      <w:r>
        <w:rPr>
          <w:rFonts w:hint="eastAsia" w:ascii="仿宋_GB2312" w:hAnsi="仿宋_GB2312" w:eastAsia="仿宋_GB2312" w:cs="仿宋_GB2312"/>
          <w:snapToGrid w:val="0"/>
          <w:kern w:val="0"/>
          <w:position w:val="12"/>
          <w:sz w:val="32"/>
          <w:szCs w:val="32"/>
          <w:lang w:val="en-US" w:eastAsia="zh-CN"/>
        </w:rPr>
        <w:t>暂定</w:t>
      </w:r>
      <w:r>
        <w:rPr>
          <w:rFonts w:hint="eastAsia" w:ascii="仿宋_GB2312" w:hAnsi="仿宋_GB2312" w:eastAsia="仿宋_GB2312" w:cs="仿宋_GB2312"/>
          <w:snapToGrid w:val="0"/>
          <w:kern w:val="0"/>
          <w:position w:val="12"/>
          <w:sz w:val="32"/>
          <w:szCs w:val="32"/>
        </w:rPr>
        <w:t>价为</w:t>
      </w:r>
      <w:r>
        <w:rPr>
          <w:rFonts w:hint="eastAsia" w:ascii="仿宋_GB2312" w:hAnsi="仿宋_GB2312" w:eastAsia="仿宋_GB2312" w:cs="仿宋_GB2312"/>
          <w:snapToGrid w:val="0"/>
          <w:kern w:val="0"/>
          <w:position w:val="12"/>
          <w:sz w:val="32"/>
          <w:szCs w:val="32"/>
          <w:lang w:val="en-US" w:eastAsia="zh-CN"/>
        </w:rPr>
        <w:t>313869</w:t>
      </w:r>
      <w:r>
        <w:rPr>
          <w:rFonts w:hint="eastAsia" w:ascii="仿宋_GB2312" w:hAnsi="仿宋_GB2312" w:eastAsia="仿宋_GB2312" w:cs="仿宋_GB2312"/>
          <w:snapToGrid w:val="0"/>
          <w:kern w:val="0"/>
          <w:position w:val="12"/>
          <w:sz w:val="32"/>
          <w:szCs w:val="32"/>
        </w:rPr>
        <w:t>元。</w:t>
      </w:r>
    </w:p>
    <w:p w14:paraId="79E050ED">
      <w:pPr>
        <w:widowControl/>
        <w:shd w:val="clear" w:color="auto" w:fill="FFFFFF"/>
        <w:ind w:firstLine="640" w:firstLineChars="200"/>
        <w:jc w:val="left"/>
        <w:textAlignment w:val="center"/>
        <w:rPr>
          <w:rFonts w:ascii="仿宋_GB2312" w:hAnsi="仿宋_GB2312" w:eastAsia="仿宋_GB2312" w:cs="仿宋_GB2312"/>
          <w:snapToGrid w:val="0"/>
          <w:kern w:val="0"/>
          <w:position w:val="12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position w:val="12"/>
          <w:sz w:val="32"/>
          <w:szCs w:val="32"/>
        </w:rPr>
        <w:t>特此报告，恳请同意！</w:t>
      </w:r>
    </w:p>
    <w:p w14:paraId="231B7D32">
      <w:pPr>
        <w:widowControl/>
        <w:shd w:val="clear" w:color="auto" w:fill="FFFFFF"/>
        <w:ind w:firstLine="640" w:firstLineChars="200"/>
        <w:jc w:val="left"/>
        <w:textAlignment w:val="center"/>
        <w:rPr>
          <w:rFonts w:ascii="仿宋_GB2312" w:hAnsi="仿宋_GB2312" w:eastAsia="仿宋_GB2312" w:cs="仿宋_GB2312"/>
          <w:snapToGrid w:val="0"/>
          <w:kern w:val="0"/>
          <w:position w:val="12"/>
          <w:sz w:val="32"/>
          <w:szCs w:val="32"/>
        </w:rPr>
      </w:pPr>
    </w:p>
    <w:p w14:paraId="3F77206E">
      <w:pPr>
        <w:widowControl/>
        <w:shd w:val="clear" w:color="auto" w:fill="FFFFFF"/>
        <w:spacing w:line="60" w:lineRule="atLeast"/>
        <w:ind w:firstLine="640" w:firstLineChars="200"/>
        <w:jc w:val="left"/>
        <w:textAlignment w:val="center"/>
        <w:rPr>
          <w:rFonts w:ascii="仿宋_GB2312" w:hAnsi="仿宋_GB2312" w:eastAsia="仿宋_GB2312" w:cs="仿宋_GB2312"/>
          <w:snapToGrid w:val="0"/>
          <w:kern w:val="0"/>
          <w:position w:val="12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position w:val="12"/>
          <w:sz w:val="32"/>
          <w:szCs w:val="32"/>
        </w:rPr>
        <w:t>附件：1、</w:t>
      </w:r>
      <w:r>
        <w:rPr>
          <w:rFonts w:hint="eastAsia" w:ascii="仿宋_GB2312" w:hAnsi="仿宋_GB2312" w:eastAsia="仿宋_GB2312" w:cs="仿宋_GB2312"/>
          <w:snapToGrid w:val="0"/>
          <w:kern w:val="0"/>
          <w:position w:val="12"/>
          <w:sz w:val="32"/>
          <w:szCs w:val="32"/>
          <w:lang w:val="en-US" w:eastAsia="zh-CN"/>
        </w:rPr>
        <w:t>遂昌县高速出入口（万胜）充电站</w:t>
      </w:r>
      <w:r>
        <w:rPr>
          <w:rFonts w:hint="eastAsia" w:ascii="仿宋_GB2312" w:hAnsi="仿宋_GB2312" w:eastAsia="仿宋_GB2312" w:cs="仿宋_GB2312"/>
          <w:snapToGrid w:val="0"/>
          <w:kern w:val="0"/>
          <w:position w:val="12"/>
          <w:sz w:val="32"/>
          <w:szCs w:val="32"/>
        </w:rPr>
        <w:t>项目立项审批材料</w:t>
      </w:r>
    </w:p>
    <w:p w14:paraId="68F71CC1">
      <w:pPr>
        <w:widowControl/>
        <w:numPr>
          <w:ilvl w:val="0"/>
          <w:numId w:val="1"/>
        </w:numPr>
        <w:shd w:val="clear" w:color="auto" w:fill="FFFFFF"/>
        <w:spacing w:line="60" w:lineRule="atLeast"/>
        <w:jc w:val="left"/>
        <w:textAlignment w:val="center"/>
        <w:rPr>
          <w:rFonts w:ascii="仿宋_GB2312" w:hAnsi="仿宋_GB2312" w:eastAsia="仿宋_GB2312" w:cs="仿宋_GB2312"/>
          <w:snapToGrid w:val="0"/>
          <w:kern w:val="0"/>
          <w:position w:val="12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position w:val="12"/>
          <w:sz w:val="32"/>
          <w:szCs w:val="32"/>
        </w:rPr>
        <w:t>关于明确充电站项目实施流程及职责分工专题会纪要</w:t>
      </w:r>
    </w:p>
    <w:p w14:paraId="6E8A851B">
      <w:pPr>
        <w:widowControl/>
        <w:numPr>
          <w:ilvl w:val="0"/>
          <w:numId w:val="1"/>
        </w:numPr>
        <w:shd w:val="clear" w:color="auto" w:fill="FFFFFF"/>
        <w:spacing w:line="60" w:lineRule="atLeast"/>
        <w:jc w:val="left"/>
        <w:textAlignment w:val="center"/>
        <w:rPr>
          <w:rFonts w:ascii="仿宋_GB2312" w:hAnsi="仿宋_GB2312" w:eastAsia="仿宋_GB2312" w:cs="仿宋_GB2312"/>
          <w:snapToGrid w:val="0"/>
          <w:kern w:val="0"/>
          <w:position w:val="12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position w:val="12"/>
          <w:sz w:val="32"/>
          <w:szCs w:val="32"/>
          <w:lang w:val="en-US" w:eastAsia="zh-CN"/>
        </w:rPr>
        <w:t>遂昌县高速出入口（万胜）充电站</w:t>
      </w:r>
      <w:r>
        <w:rPr>
          <w:rFonts w:hint="eastAsia" w:ascii="仿宋_GB2312" w:hAnsi="仿宋_GB2312" w:eastAsia="仿宋_GB2312" w:cs="仿宋_GB2312"/>
          <w:snapToGrid w:val="0"/>
          <w:position w:val="12"/>
          <w:sz w:val="32"/>
          <w:szCs w:val="32"/>
          <w:lang w:val="en-US" w:eastAsia="zh-CN"/>
        </w:rPr>
        <w:t>高压工程施工项目</w:t>
      </w:r>
      <w:r>
        <w:rPr>
          <w:rFonts w:hint="eastAsia" w:ascii="仿宋_GB2312" w:hAnsi="仿宋_GB2312" w:eastAsia="仿宋_GB2312" w:cs="仿宋_GB2312"/>
          <w:snapToGrid w:val="0"/>
          <w:kern w:val="0"/>
          <w:position w:val="12"/>
          <w:sz w:val="32"/>
          <w:szCs w:val="32"/>
          <w:lang w:val="en-US" w:eastAsia="zh-CN"/>
        </w:rPr>
        <w:t>造价咨询报告书</w:t>
      </w:r>
    </w:p>
    <w:p w14:paraId="788D30AA">
      <w:pPr>
        <w:widowControl/>
        <w:shd w:val="clear" w:color="auto" w:fill="FFFFFF"/>
        <w:ind w:firstLine="640" w:firstLineChars="200"/>
        <w:jc w:val="left"/>
        <w:textAlignment w:val="center"/>
        <w:rPr>
          <w:rFonts w:ascii="仿宋_GB2312" w:hAnsi="仿宋_GB2312" w:eastAsia="仿宋_GB2312" w:cs="仿宋_GB2312"/>
          <w:snapToGrid w:val="0"/>
          <w:kern w:val="0"/>
          <w:position w:val="12"/>
          <w:sz w:val="32"/>
          <w:szCs w:val="32"/>
        </w:rPr>
      </w:pPr>
    </w:p>
    <w:p w14:paraId="67538B63">
      <w:pPr>
        <w:widowControl/>
        <w:shd w:val="clear" w:color="auto" w:fill="FFFFFF"/>
        <w:ind w:firstLine="2560" w:firstLineChars="800"/>
        <w:jc w:val="right"/>
        <w:textAlignment w:val="center"/>
        <w:rPr>
          <w:rFonts w:ascii="仿宋_GB2312" w:hAnsi="仿宋_GB2312" w:eastAsia="仿宋_GB2312" w:cs="仿宋_GB2312"/>
          <w:snapToGrid w:val="0"/>
          <w:kern w:val="0"/>
          <w:position w:val="12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position w:val="12"/>
          <w:sz w:val="32"/>
          <w:szCs w:val="32"/>
          <w:lang w:val="en-US" w:eastAsia="zh-CN"/>
        </w:rPr>
        <w:t>丽水市浙石油</w:t>
      </w:r>
      <w:r>
        <w:rPr>
          <w:rFonts w:hint="eastAsia" w:ascii="仿宋_GB2312" w:hAnsi="仿宋_GB2312" w:eastAsia="仿宋_GB2312" w:cs="仿宋_GB2312"/>
          <w:snapToGrid w:val="0"/>
          <w:position w:val="12"/>
          <w:sz w:val="32"/>
          <w:szCs w:val="32"/>
        </w:rPr>
        <w:t>新能源销售有限公司</w:t>
      </w:r>
    </w:p>
    <w:p w14:paraId="38D6CD72">
      <w:pPr>
        <w:widowControl/>
        <w:shd w:val="clear" w:color="auto" w:fill="FFFFFF"/>
        <w:ind w:firstLine="2560" w:firstLineChars="800"/>
        <w:jc w:val="right"/>
        <w:textAlignment w:val="center"/>
        <w:rPr>
          <w:rFonts w:ascii="仿宋_GB2312" w:hAnsi="仿宋_GB2312" w:eastAsia="仿宋_GB2312" w:cs="仿宋_GB2312"/>
          <w:snapToGrid w:val="0"/>
          <w:kern w:val="0"/>
          <w:position w:val="12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position w:val="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napToGrid w:val="0"/>
          <w:kern w:val="0"/>
          <w:position w:val="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napToGrid w:val="0"/>
          <w:kern w:val="0"/>
          <w:position w:val="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napToGrid w:val="0"/>
          <w:kern w:val="0"/>
          <w:position w:val="12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napToGrid w:val="0"/>
          <w:kern w:val="0"/>
          <w:position w:val="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napToGrid w:val="0"/>
          <w:kern w:val="0"/>
          <w:position w:val="12"/>
          <w:sz w:val="32"/>
          <w:szCs w:val="32"/>
          <w:lang w:val="en-US" w:eastAsia="zh-CN"/>
        </w:rPr>
        <w:t>22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napToGrid w:val="0"/>
          <w:kern w:val="0"/>
          <w:position w:val="12"/>
          <w:sz w:val="32"/>
          <w:szCs w:val="32"/>
        </w:rPr>
        <w:t>日</w:t>
      </w:r>
    </w:p>
    <w:p w14:paraId="7EDE68FC">
      <w:pPr>
        <w:ind w:firstLine="640" w:firstLineChars="200"/>
        <w:rPr>
          <w:rFonts w:ascii="仿宋_GB2312" w:hAnsi="仿宋_GB2312" w:eastAsia="仿宋_GB2312" w:cs="仿宋_GB2312"/>
          <w:snapToGrid w:val="0"/>
          <w:kern w:val="0"/>
          <w:position w:val="12"/>
          <w:sz w:val="32"/>
          <w:szCs w:val="32"/>
        </w:rPr>
      </w:pPr>
    </w:p>
    <w:p w14:paraId="0F5F485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EAD35BE"/>
    <w:multiLevelType w:val="singleLevel"/>
    <w:tmpl w:val="CEAD35BE"/>
    <w:lvl w:ilvl="0" w:tentative="0">
      <w:start w:val="2"/>
      <w:numFmt w:val="decimal"/>
      <w:suff w:val="nothing"/>
      <w:lvlText w:val="%1、"/>
      <w:lvlJc w:val="left"/>
      <w:pPr>
        <w:ind w:left="160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ljNGQ1ZDQzMTcwMmJiODk1MDAxNmVmZDBjOTczMTAifQ=="/>
  </w:docVars>
  <w:rsids>
    <w:rsidRoot w:val="00172A27"/>
    <w:rsid w:val="00056446"/>
    <w:rsid w:val="00080BC3"/>
    <w:rsid w:val="000B13DD"/>
    <w:rsid w:val="004F39C1"/>
    <w:rsid w:val="007A6F51"/>
    <w:rsid w:val="00AC7978"/>
    <w:rsid w:val="00B23318"/>
    <w:rsid w:val="00C563C5"/>
    <w:rsid w:val="00DA2172"/>
    <w:rsid w:val="0339562A"/>
    <w:rsid w:val="04E90326"/>
    <w:rsid w:val="06DA3F73"/>
    <w:rsid w:val="08531959"/>
    <w:rsid w:val="091B7EBF"/>
    <w:rsid w:val="09BA729C"/>
    <w:rsid w:val="09F13770"/>
    <w:rsid w:val="0B1211E2"/>
    <w:rsid w:val="0B452897"/>
    <w:rsid w:val="0F0365CC"/>
    <w:rsid w:val="13C3043B"/>
    <w:rsid w:val="17853747"/>
    <w:rsid w:val="19B91DB7"/>
    <w:rsid w:val="1B030857"/>
    <w:rsid w:val="1F231D63"/>
    <w:rsid w:val="21210FA8"/>
    <w:rsid w:val="247375D0"/>
    <w:rsid w:val="26702850"/>
    <w:rsid w:val="284B049B"/>
    <w:rsid w:val="285435F6"/>
    <w:rsid w:val="2B8B1DFB"/>
    <w:rsid w:val="2D0414A6"/>
    <w:rsid w:val="327A6C4B"/>
    <w:rsid w:val="337D48DE"/>
    <w:rsid w:val="36066FEC"/>
    <w:rsid w:val="3A570C77"/>
    <w:rsid w:val="3B025602"/>
    <w:rsid w:val="3BAF0D71"/>
    <w:rsid w:val="3CE2320B"/>
    <w:rsid w:val="3D7D2ECA"/>
    <w:rsid w:val="405E6641"/>
    <w:rsid w:val="49616D3D"/>
    <w:rsid w:val="49D74CA8"/>
    <w:rsid w:val="4CFB6F34"/>
    <w:rsid w:val="51F900F0"/>
    <w:rsid w:val="54E25E31"/>
    <w:rsid w:val="627B5CCB"/>
    <w:rsid w:val="62B652A5"/>
    <w:rsid w:val="66687555"/>
    <w:rsid w:val="66904428"/>
    <w:rsid w:val="682105B8"/>
    <w:rsid w:val="699100BF"/>
    <w:rsid w:val="69D31751"/>
    <w:rsid w:val="6FCF0C6C"/>
    <w:rsid w:val="71B23116"/>
    <w:rsid w:val="76ED5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kern w:val="44"/>
      <w:sz w:val="44"/>
      <w:szCs w:val="44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1"/>
    <w:rPr>
      <w:rFonts w:ascii="宋体" w:hAnsi="宋体" w:eastAsia="宋体" w:cs="宋体"/>
      <w:sz w:val="28"/>
      <w:szCs w:val="28"/>
    </w:rPr>
  </w:style>
  <w:style w:type="paragraph" w:styleId="4">
    <w:name w:val="Body Text First Indent"/>
    <w:basedOn w:val="3"/>
    <w:next w:val="1"/>
    <w:qFormat/>
    <w:uiPriority w:val="0"/>
    <w:pPr>
      <w:spacing w:line="312" w:lineRule="auto"/>
      <w:ind w:firstLine="420"/>
    </w:pPr>
  </w:style>
  <w:style w:type="paragraph" w:styleId="5">
    <w:name w:val="Balloon Text"/>
    <w:basedOn w:val="1"/>
    <w:link w:val="13"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Emphasis"/>
    <w:basedOn w:val="11"/>
    <w:qFormat/>
    <w:uiPriority w:val="0"/>
    <w:rPr>
      <w:i/>
    </w:rPr>
  </w:style>
  <w:style w:type="character" w:customStyle="1" w:styleId="13">
    <w:name w:val="批注框文本 字符"/>
    <w:basedOn w:val="11"/>
    <w:link w:val="5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1236</Words>
  <Characters>1303</Characters>
  <Lines>16</Lines>
  <Paragraphs>4</Paragraphs>
  <TotalTime>16</TotalTime>
  <ScaleCrop>false</ScaleCrop>
  <LinksUpToDate>false</LinksUpToDate>
  <CharactersWithSpaces>1325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2024-04-09T01:45:00Z</dcterms:created>
  <dc:creator>子夜</dc:creator>
  <cp:lastModifiedBy>赵宏玲</cp:lastModifiedBy>
  <cp:lastPrinted>2024-06-20T02:19:00Z</cp:lastPrinted>
  <dcterms:modified xsi:type="dcterms:W3CDTF">2025-10-23T07:10:33Z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EA3D5AE55AF3484B86F1E78155AB9E06_13</vt:lpwstr>
  </property>
  <property fmtid="{D5CDD505-2E9C-101B-9397-08002B2CF9AE}" pid="4" name="KSOTemplateDocerSaveRecord">
    <vt:lpwstr>eyJoZGlkIjoiYTljNGQ1ZDQzMTcwMmJiODk1MDAxNmVmZDBjOTczMTAiLCJ1c2VySWQiOiIxNjIwMjYyNDAwIn0=</vt:lpwstr>
  </property>
</Properties>
</file>