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28" w:rsidRDefault="002A4128">
      <w:pPr>
        <w:jc w:val="center"/>
        <w:rPr>
          <w:rFonts w:ascii="黑体" w:eastAsia="黑体" w:hAnsi="黑体" w:cs="黑体"/>
          <w:sz w:val="32"/>
          <w:szCs w:val="32"/>
        </w:rPr>
      </w:pPr>
    </w:p>
    <w:p w:rsidR="002A4128" w:rsidRDefault="0086510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单一来源（定向）申请报告</w:t>
      </w:r>
    </w:p>
    <w:p w:rsidR="002A4128" w:rsidRDefault="002A4128">
      <w:pPr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:rsidR="002A4128" w:rsidRDefault="00865100">
      <w:pPr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公司采购委员会：</w:t>
      </w:r>
    </w:p>
    <w:p w:rsidR="002A4128" w:rsidRDefault="00865100">
      <w:pPr>
        <w:snapToGrid w:val="0"/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《</w:t>
      </w: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机组综合升级改造可行性研究项目</w:t>
      </w:r>
      <w:r>
        <w:rPr>
          <w:rFonts w:asciiTheme="minorEastAsia" w:hAnsiTheme="minorEastAsia" w:cstheme="minorEastAsia" w:hint="eastAsia"/>
          <w:sz w:val="28"/>
          <w:szCs w:val="28"/>
        </w:rPr>
        <w:t>》</w:t>
      </w:r>
      <w:r>
        <w:rPr>
          <w:rFonts w:ascii="Times New Roman" w:hAnsi="Times New Roman" w:cs="Times New Roman"/>
          <w:sz w:val="28"/>
          <w:szCs w:val="28"/>
        </w:rPr>
        <w:t>拟申请向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中国能源建设集团浙江省电力设计院有限公司</w:t>
      </w:r>
      <w:r>
        <w:rPr>
          <w:rFonts w:ascii="Times New Roman" w:hAnsi="Times New Roman" w:cs="Times New Roman"/>
          <w:sz w:val="28"/>
          <w:szCs w:val="28"/>
        </w:rPr>
        <w:t>单一来源（定向）采购，签约合同价</w:t>
      </w:r>
      <w:r>
        <w:rPr>
          <w:rFonts w:ascii="宋体" w:eastAsia="宋体" w:hAnsi="宋体" w:cs="宋体" w:hint="eastAsia"/>
          <w:sz w:val="28"/>
          <w:szCs w:val="28"/>
        </w:rPr>
        <w:t>85</w:t>
      </w:r>
      <w:r>
        <w:rPr>
          <w:rFonts w:ascii="宋体" w:eastAsia="宋体" w:hAnsi="宋体" w:cs="宋体" w:hint="eastAsia"/>
          <w:sz w:val="28"/>
          <w:szCs w:val="28"/>
        </w:rPr>
        <w:t>万元。</w:t>
      </w:r>
      <w:r>
        <w:rPr>
          <w:rFonts w:ascii="Times New Roman" w:hAnsi="Times New Roman" w:cs="Times New Roman"/>
          <w:sz w:val="28"/>
          <w:szCs w:val="28"/>
        </w:rPr>
        <w:t>具体情况报告如下：</w:t>
      </w:r>
    </w:p>
    <w:p w:rsidR="002A4128" w:rsidRDefault="00865100">
      <w:pPr>
        <w:snapToGrid w:val="0"/>
        <w:spacing w:line="360" w:lineRule="auto"/>
        <w:ind w:firstLineChars="196" w:firstLine="551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一、工作内容</w:t>
      </w:r>
    </w:p>
    <w:p w:rsidR="002A4128" w:rsidRDefault="00865100">
      <w:pPr>
        <w:snapToGrid w:val="0"/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根据相关文件要求，拟</w:t>
      </w:r>
      <w:r>
        <w:rPr>
          <w:rFonts w:asciiTheme="minorEastAsia" w:hAnsiTheme="minorEastAsia" w:cstheme="minorEastAsia"/>
          <w:sz w:val="28"/>
          <w:szCs w:val="28"/>
        </w:rPr>
        <w:t>对</w:t>
      </w:r>
      <w:r>
        <w:rPr>
          <w:rFonts w:asciiTheme="minorEastAsia" w:hAnsiTheme="minorEastAsia" w:cstheme="minorEastAsia"/>
          <w:sz w:val="28"/>
          <w:szCs w:val="28"/>
        </w:rPr>
        <w:t>5</w:t>
      </w:r>
      <w:r>
        <w:rPr>
          <w:rFonts w:asciiTheme="minorEastAsia" w:hAnsiTheme="minorEastAsia" w:cstheme="minorEastAsia"/>
          <w:sz w:val="28"/>
          <w:szCs w:val="28"/>
        </w:rPr>
        <w:t>、</w:t>
      </w:r>
      <w:r>
        <w:rPr>
          <w:rFonts w:asciiTheme="minorEastAsia" w:hAnsiTheme="minorEastAsia" w:cstheme="minorEastAsia"/>
          <w:sz w:val="28"/>
          <w:szCs w:val="28"/>
        </w:rPr>
        <w:t>6</w:t>
      </w:r>
      <w:r>
        <w:rPr>
          <w:rFonts w:asciiTheme="minorEastAsia" w:hAnsiTheme="minorEastAsia" w:cstheme="minorEastAsia"/>
          <w:sz w:val="28"/>
          <w:szCs w:val="28"/>
        </w:rPr>
        <w:t>号</w:t>
      </w: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台</w:t>
      </w:r>
      <w:r>
        <w:rPr>
          <w:rFonts w:asciiTheme="minorEastAsia" w:hAnsiTheme="minorEastAsia" w:cstheme="minorEastAsia" w:hint="eastAsia"/>
          <w:sz w:val="28"/>
          <w:szCs w:val="28"/>
        </w:rPr>
        <w:t>660MW</w:t>
      </w:r>
      <w:r>
        <w:rPr>
          <w:rFonts w:asciiTheme="minorEastAsia" w:hAnsiTheme="minorEastAsia" w:cstheme="minorEastAsia" w:hint="eastAsia"/>
          <w:sz w:val="28"/>
          <w:szCs w:val="28"/>
        </w:rPr>
        <w:t>燃煤机组</w:t>
      </w:r>
      <w:r>
        <w:rPr>
          <w:rFonts w:asciiTheme="minorEastAsia" w:hAnsiTheme="minorEastAsia" w:cstheme="minorEastAsia"/>
          <w:sz w:val="28"/>
          <w:szCs w:val="28"/>
        </w:rPr>
        <w:t>进行综合升级改造</w:t>
      </w:r>
      <w:r>
        <w:rPr>
          <w:rFonts w:asciiTheme="minorEastAsia" w:hAnsiTheme="minorEastAsia" w:cstheme="minorEastAsia" w:hint="eastAsia"/>
          <w:sz w:val="28"/>
          <w:szCs w:val="28"/>
        </w:rPr>
        <w:t>，结合浙江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浙能嘉华发电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有限公司</w:t>
      </w: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号机组运行状况，在主机系统、参数不变的前提下，进行必要的综合升级改造，开展提升机组性能研究，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完成浙能嘉华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号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机综合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升级改造项目可行性研究报告咨询服务工作，</w:t>
      </w:r>
      <w:r>
        <w:rPr>
          <w:rFonts w:asciiTheme="minorEastAsia" w:hAnsiTheme="minorEastAsia" w:cstheme="minorEastAsia"/>
          <w:sz w:val="28"/>
          <w:szCs w:val="28"/>
        </w:rPr>
        <w:t>编制项目的可行性研究报告，</w:t>
      </w:r>
      <w:r>
        <w:rPr>
          <w:rFonts w:asciiTheme="minorEastAsia" w:hAnsiTheme="minorEastAsia" w:cstheme="minorEastAsia" w:hint="eastAsia"/>
          <w:sz w:val="28"/>
          <w:szCs w:val="28"/>
        </w:rPr>
        <w:t>参加</w:t>
      </w:r>
      <w:r>
        <w:rPr>
          <w:rFonts w:asciiTheme="minorEastAsia" w:hAnsiTheme="minorEastAsia" w:cstheme="minorEastAsia"/>
          <w:sz w:val="28"/>
          <w:szCs w:val="28"/>
        </w:rPr>
        <w:t>相关评审，同时对于项目中重点的低压</w:t>
      </w:r>
      <w:proofErr w:type="gramStart"/>
      <w:r>
        <w:rPr>
          <w:rFonts w:asciiTheme="minorEastAsia" w:hAnsiTheme="minorEastAsia" w:cstheme="minorEastAsia"/>
          <w:sz w:val="28"/>
          <w:szCs w:val="28"/>
        </w:rPr>
        <w:t>缸</w:t>
      </w:r>
      <w:proofErr w:type="gramEnd"/>
      <w:r>
        <w:rPr>
          <w:rFonts w:asciiTheme="minorEastAsia" w:hAnsiTheme="minorEastAsia" w:cstheme="minorEastAsia"/>
          <w:sz w:val="28"/>
          <w:szCs w:val="28"/>
        </w:rPr>
        <w:t>通流改造及电储能项目需深入至初步设计阶段层面。报告编制需满足国家现行的法律、法规及电力行业最新规定要求，并通过</w:t>
      </w:r>
      <w:r>
        <w:rPr>
          <w:rFonts w:asciiTheme="minorEastAsia" w:hAnsiTheme="minorEastAsia" w:cstheme="minorEastAsia" w:hint="eastAsia"/>
          <w:sz w:val="28"/>
          <w:szCs w:val="28"/>
        </w:rPr>
        <w:t>相关</w:t>
      </w:r>
      <w:r>
        <w:rPr>
          <w:rFonts w:asciiTheme="minorEastAsia" w:hAnsiTheme="minorEastAsia" w:cstheme="minorEastAsia"/>
          <w:sz w:val="28"/>
          <w:szCs w:val="28"/>
        </w:rPr>
        <w:t>评审。</w:t>
      </w:r>
    </w:p>
    <w:p w:rsidR="002A4128" w:rsidRDefault="00865100">
      <w:pPr>
        <w:snapToGrid w:val="0"/>
        <w:spacing w:line="360" w:lineRule="auto"/>
        <w:ind w:firstLineChars="200" w:firstLine="562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二、单一来源（定向）采购理由</w:t>
      </w:r>
    </w:p>
    <w:p w:rsidR="002A4128" w:rsidRDefault="00865100">
      <w:pPr>
        <w:snapToGrid w:val="0"/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单一来源（定向）采购单位情况：</w:t>
      </w:r>
    </w:p>
    <w:p w:rsidR="002A4128" w:rsidRDefault="00865100">
      <w:pPr>
        <w:snapToGrid w:val="0"/>
        <w:spacing w:line="360" w:lineRule="auto"/>
        <w:ind w:firstLineChars="200" w:firstLine="560"/>
        <w:rPr>
          <w:rFonts w:ascii="宋体" w:hAnsi="宋体"/>
          <w:color w:val="000000" w:themeColor="text1"/>
          <w:sz w:val="18"/>
          <w:szCs w:val="1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理由说明：中国能源建设集团浙江省电力设计院有限公司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作为作为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具有工程设计综合甲级、工程咨询资信甲级、工程造价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咨询甲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资质的单位在行业内具有较高的声望，其承担了多项集团内电厂建设设计项目，具备深厚的电力行业可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研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、设计能力。在</w:t>
      </w:r>
      <w:r>
        <w:rPr>
          <w:rFonts w:asciiTheme="minorEastAsia" w:hAnsiTheme="minorEastAsia" w:cstheme="minorEastAsia" w:hint="eastAsia"/>
          <w:sz w:val="28"/>
          <w:szCs w:val="28"/>
        </w:rPr>
        <w:t>2023</w:t>
      </w:r>
      <w:r>
        <w:rPr>
          <w:rFonts w:asciiTheme="minorEastAsia" w:hAnsiTheme="minorEastAsia" w:cstheme="minorEastAsia" w:hint="eastAsia"/>
          <w:sz w:val="28"/>
          <w:szCs w:val="28"/>
        </w:rPr>
        <w:t>年中国能源建设集团浙江省电力设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计院有限公司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通过</w:t>
      </w:r>
      <w:r>
        <w:rPr>
          <w:rFonts w:asciiTheme="minorEastAsia" w:hAnsiTheme="minorEastAsia" w:cstheme="minorEastAsia" w:hint="eastAsia"/>
          <w:sz w:val="28"/>
          <w:szCs w:val="28"/>
        </w:rPr>
        <w:t>公开</w:t>
      </w:r>
      <w:r>
        <w:rPr>
          <w:rFonts w:asciiTheme="minorEastAsia" w:hAnsiTheme="minorEastAsia" w:cstheme="minorEastAsia" w:hint="eastAsia"/>
          <w:sz w:val="28"/>
          <w:szCs w:val="28"/>
        </w:rPr>
        <w:t>招标承担了</w:t>
      </w:r>
      <w:r>
        <w:rPr>
          <w:rFonts w:asciiTheme="minorEastAsia" w:hAnsiTheme="minorEastAsia" w:cstheme="minorEastAsia" w:hint="eastAsia"/>
          <w:sz w:val="28"/>
          <w:szCs w:val="28"/>
        </w:rPr>
        <w:t>嘉华公司</w:t>
      </w:r>
      <w:r>
        <w:rPr>
          <w:rFonts w:asciiTheme="minorEastAsia" w:hAnsiTheme="minorEastAsia" w:cstheme="minorEastAsia" w:hint="eastAsia"/>
          <w:sz w:val="28"/>
          <w:szCs w:val="28"/>
        </w:rPr>
        <w:t>《</w:t>
      </w: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号机升参数提效增容改造项目整体设计</w:t>
      </w:r>
      <w:r>
        <w:rPr>
          <w:rFonts w:asciiTheme="minorEastAsia" w:hAnsiTheme="minorEastAsia" w:cstheme="minorEastAsia" w:hint="eastAsia"/>
          <w:sz w:val="28"/>
          <w:szCs w:val="28"/>
        </w:rPr>
        <w:t>》</w:t>
      </w:r>
      <w:r>
        <w:rPr>
          <w:rFonts w:asciiTheme="minorEastAsia" w:hAnsiTheme="minorEastAsia" w:cstheme="minorEastAsia" w:hint="eastAsia"/>
          <w:sz w:val="28"/>
          <w:szCs w:val="28"/>
        </w:rPr>
        <w:t>项目</w:t>
      </w:r>
      <w:r>
        <w:rPr>
          <w:rFonts w:asciiTheme="minorEastAsia" w:hAnsiTheme="minorEastAsia" w:cstheme="minorEastAsia" w:hint="eastAsia"/>
          <w:sz w:val="28"/>
          <w:szCs w:val="28"/>
        </w:rPr>
        <w:t>，后因《新一代煤电升级专项行动实施方案》的发布，新形</w:t>
      </w:r>
      <w:r>
        <w:rPr>
          <w:rFonts w:asciiTheme="minorEastAsia" w:hAnsiTheme="minorEastAsia" w:cstheme="minorEastAsia" w:hint="eastAsia"/>
          <w:sz w:val="28"/>
          <w:szCs w:val="28"/>
        </w:rPr>
        <w:t>势</w:t>
      </w:r>
      <w:r>
        <w:rPr>
          <w:rFonts w:asciiTheme="minorEastAsia" w:hAnsiTheme="minorEastAsia" w:cstheme="minorEastAsia" w:hint="eastAsia"/>
          <w:sz w:val="28"/>
          <w:szCs w:val="28"/>
        </w:rPr>
        <w:t>的变化原方案终止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  <w:r>
        <w:rPr>
          <w:rFonts w:asciiTheme="minorEastAsia" w:hAnsiTheme="minorEastAsia" w:cstheme="minorEastAsia" w:hint="eastAsia"/>
          <w:sz w:val="28"/>
          <w:szCs w:val="28"/>
        </w:rPr>
        <w:t>但</w:t>
      </w:r>
      <w:r>
        <w:rPr>
          <w:rFonts w:asciiTheme="minorEastAsia" w:hAnsiTheme="minorEastAsia" w:cstheme="minorEastAsia" w:hint="eastAsia"/>
          <w:sz w:val="28"/>
          <w:szCs w:val="28"/>
        </w:rPr>
        <w:t>中国能源建设集团浙江省电力设计院有限公司在原有可</w:t>
      </w:r>
      <w:proofErr w:type="gramStart"/>
      <w:r>
        <w:rPr>
          <w:rFonts w:asciiTheme="minorEastAsia" w:hAnsiTheme="minorEastAsia" w:cstheme="minorEastAsia" w:hint="eastAsia"/>
          <w:sz w:val="28"/>
          <w:szCs w:val="28"/>
        </w:rPr>
        <w:t>研</w:t>
      </w:r>
      <w:proofErr w:type="gramEnd"/>
      <w:r>
        <w:rPr>
          <w:rFonts w:asciiTheme="minorEastAsia" w:hAnsiTheme="minorEastAsia" w:cstheme="minorEastAsia" w:hint="eastAsia"/>
          <w:sz w:val="28"/>
          <w:szCs w:val="28"/>
        </w:rPr>
        <w:t>方案的基础上开展了新方案的前期论证，初步确定了适</w:t>
      </w: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应新形</w:t>
      </w:r>
      <w:r>
        <w:rPr>
          <w:rFonts w:asciiTheme="minorEastAsia" w:hAnsiTheme="minorEastAsia" w:cstheme="minorEastAsia" w:hint="eastAsia"/>
          <w:sz w:val="28"/>
          <w:szCs w:val="28"/>
        </w:rPr>
        <w:t>势</w:t>
      </w:r>
      <w:r>
        <w:rPr>
          <w:rFonts w:asciiTheme="minorEastAsia" w:hAnsiTheme="minorEastAsia" w:cstheme="minorEastAsia" w:hint="eastAsia"/>
          <w:sz w:val="28"/>
          <w:szCs w:val="28"/>
        </w:rPr>
        <w:t>的改造目标及内容。为确保</w:t>
      </w: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机组综合升级改造可行性研究项目实施的连续性，建议由中国能源建设集团浙江省电力设计院有限公司承担</w:t>
      </w: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机组综合升级改造可行性研究项目。</w:t>
      </w:r>
    </w:p>
    <w:p w:rsidR="002A4128" w:rsidRDefault="00865100">
      <w:pPr>
        <w:snapToGrid w:val="0"/>
        <w:spacing w:line="360" w:lineRule="auto"/>
        <w:ind w:firstLineChars="200" w:firstLine="56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以上情况满足公司《生产、综合类项目及工程项目（施工与服务）采购管理》标准（</w:t>
      </w:r>
      <w:r>
        <w:rPr>
          <w:rFonts w:asciiTheme="minorEastAsia" w:hAnsiTheme="minorEastAsia" w:cstheme="minorEastAsia" w:hint="eastAsia"/>
          <w:sz w:val="28"/>
          <w:szCs w:val="28"/>
        </w:rPr>
        <w:t>Q/ZNJH 2010048</w:t>
      </w:r>
      <w:r>
        <w:rPr>
          <w:rFonts w:asciiTheme="minorEastAsia" w:hAnsiTheme="minorEastAsia" w:cstheme="minorEastAsia" w:hint="eastAsia"/>
          <w:sz w:val="28"/>
          <w:szCs w:val="28"/>
        </w:rPr>
        <w:t>—</w:t>
      </w:r>
      <w:r>
        <w:rPr>
          <w:rFonts w:asciiTheme="minorEastAsia" w:hAnsiTheme="minorEastAsia" w:cstheme="minorEastAsia" w:hint="eastAsia"/>
          <w:sz w:val="28"/>
          <w:szCs w:val="28"/>
        </w:rPr>
        <w:t>2025</w:t>
      </w:r>
      <w:r>
        <w:rPr>
          <w:rFonts w:asciiTheme="minorEastAsia" w:hAnsiTheme="minorEastAsia" w:cstheme="minorEastAsia" w:hint="eastAsia"/>
          <w:sz w:val="28"/>
          <w:szCs w:val="28"/>
        </w:rPr>
        <w:t>）中</w:t>
      </w:r>
      <w:r>
        <w:rPr>
          <w:rFonts w:asciiTheme="minorEastAsia" w:hAnsiTheme="minorEastAsia" w:cstheme="minorEastAsia" w:hint="eastAsia"/>
          <w:sz w:val="28"/>
          <w:szCs w:val="28"/>
        </w:rPr>
        <w:t>6.7.1.2</w:t>
      </w:r>
      <w:r>
        <w:rPr>
          <w:rFonts w:asciiTheme="minorEastAsia" w:hAnsiTheme="minorEastAsia" w:cstheme="minorEastAsia" w:hint="eastAsia"/>
          <w:sz w:val="28"/>
          <w:szCs w:val="28"/>
        </w:rPr>
        <w:t>条中的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“为了保证采购项目与原采购项目技术功能需求一致或配套等要求，需要继续从原供应商处采购的”所规定的单一来源（定向）采购条件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>故</w:t>
      </w:r>
      <w:r>
        <w:rPr>
          <w:rFonts w:asciiTheme="minorEastAsia" w:hAnsiTheme="minorEastAsia" w:cstheme="minorEastAsia" w:hint="eastAsia"/>
          <w:sz w:val="28"/>
          <w:szCs w:val="28"/>
        </w:rPr>
        <w:t>《</w:t>
      </w:r>
      <w:r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机组综合升级改造可行性研究项目</w:t>
      </w:r>
      <w:r>
        <w:rPr>
          <w:rFonts w:asciiTheme="minorEastAsia" w:hAnsiTheme="minorEastAsia" w:cstheme="minorEastAsia" w:hint="eastAsia"/>
          <w:sz w:val="28"/>
          <w:szCs w:val="28"/>
        </w:rPr>
        <w:t>》</w:t>
      </w:r>
      <w:r>
        <w:rPr>
          <w:rFonts w:asciiTheme="minorEastAsia" w:hAnsiTheme="minorEastAsia" w:cstheme="minorEastAsia" w:hint="eastAsia"/>
          <w:sz w:val="28"/>
          <w:szCs w:val="28"/>
        </w:rPr>
        <w:t>拟</w:t>
      </w:r>
      <w:r>
        <w:rPr>
          <w:rFonts w:asciiTheme="minorEastAsia" w:hAnsiTheme="minorEastAsia" w:cstheme="minorEastAsia" w:hint="eastAsia"/>
          <w:sz w:val="28"/>
          <w:szCs w:val="28"/>
        </w:rPr>
        <w:t>申请向中国能源建设集团浙江省电力设计院有限公司单一来源（定向）采购。</w:t>
      </w:r>
    </w:p>
    <w:p w:rsidR="002A4128" w:rsidRDefault="00865100">
      <w:pPr>
        <w:snapToGrid w:val="0"/>
        <w:spacing w:line="360" w:lineRule="auto"/>
        <w:ind w:firstLineChars="200" w:firstLine="562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三、工期及费用组成</w:t>
      </w:r>
    </w:p>
    <w:p w:rsidR="002A4128" w:rsidRPr="00865100" w:rsidRDefault="00865100" w:rsidP="00865100">
      <w:pPr>
        <w:snapToGrid w:val="0"/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865100">
        <w:rPr>
          <w:rFonts w:asciiTheme="minorEastAsia" w:hAnsiTheme="minorEastAsia" w:cstheme="minorEastAsia" w:hint="eastAsia"/>
          <w:sz w:val="28"/>
          <w:szCs w:val="28"/>
        </w:rPr>
        <w:t>1</w:t>
      </w:r>
      <w:r w:rsidRPr="00865100">
        <w:rPr>
          <w:rFonts w:asciiTheme="minorEastAsia" w:hAnsiTheme="minorEastAsia" w:cstheme="minorEastAsia" w:hint="eastAsia"/>
          <w:sz w:val="28"/>
          <w:szCs w:val="28"/>
        </w:rPr>
        <w:t>、合同期限：</w:t>
      </w:r>
      <w:r w:rsidRPr="00865100">
        <w:rPr>
          <w:rFonts w:asciiTheme="minorEastAsia" w:hAnsiTheme="minorEastAsia" w:cstheme="minorEastAsia" w:hint="eastAsia"/>
          <w:sz w:val="28"/>
          <w:szCs w:val="28"/>
        </w:rPr>
        <w:t>合同签订后至</w:t>
      </w:r>
      <w:r w:rsidRPr="00865100">
        <w:rPr>
          <w:rFonts w:asciiTheme="minorEastAsia" w:hAnsiTheme="minorEastAsia" w:cstheme="minorEastAsia" w:hint="eastAsia"/>
          <w:sz w:val="28"/>
          <w:szCs w:val="28"/>
        </w:rPr>
        <w:t>2026</w:t>
      </w:r>
      <w:r w:rsidRPr="00865100">
        <w:rPr>
          <w:rFonts w:asciiTheme="minorEastAsia" w:hAnsiTheme="minorEastAsia" w:cstheme="minorEastAsia" w:hint="eastAsia"/>
          <w:sz w:val="28"/>
          <w:szCs w:val="28"/>
        </w:rPr>
        <w:t>年</w:t>
      </w:r>
      <w:r w:rsidRPr="00865100">
        <w:rPr>
          <w:rFonts w:asciiTheme="minorEastAsia" w:hAnsiTheme="minorEastAsia" w:cstheme="minorEastAsia" w:hint="eastAsia"/>
          <w:sz w:val="28"/>
          <w:szCs w:val="28"/>
        </w:rPr>
        <w:t>8</w:t>
      </w:r>
      <w:r w:rsidRPr="00865100">
        <w:rPr>
          <w:rFonts w:asciiTheme="minorEastAsia" w:hAnsiTheme="minorEastAsia" w:cstheme="minorEastAsia" w:hint="eastAsia"/>
          <w:sz w:val="28"/>
          <w:szCs w:val="28"/>
        </w:rPr>
        <w:t>月</w:t>
      </w:r>
      <w:r w:rsidRPr="00865100">
        <w:rPr>
          <w:rFonts w:asciiTheme="minorEastAsia" w:hAnsiTheme="minorEastAsia" w:cstheme="minorEastAsia" w:hint="eastAsia"/>
          <w:sz w:val="28"/>
          <w:szCs w:val="28"/>
        </w:rPr>
        <w:t>30</w:t>
      </w:r>
      <w:r w:rsidRPr="00865100">
        <w:rPr>
          <w:rFonts w:asciiTheme="minorEastAsia" w:hAnsiTheme="minorEastAsia" w:cstheme="minorEastAsia" w:hint="eastAsia"/>
          <w:sz w:val="28"/>
          <w:szCs w:val="28"/>
        </w:rPr>
        <w:t>日</w:t>
      </w:r>
      <w:r w:rsidRPr="00865100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2A4128" w:rsidRPr="00865100" w:rsidRDefault="00865100" w:rsidP="00865100">
      <w:pPr>
        <w:pStyle w:val="Default"/>
        <w:rPr>
          <w:kern w:val="2"/>
        </w:rPr>
      </w:pPr>
      <w:r w:rsidRPr="00865100">
        <w:rPr>
          <w:rFonts w:hint="eastAsia"/>
          <w:kern w:val="2"/>
        </w:rPr>
        <w:t>2</w:t>
      </w:r>
      <w:r w:rsidRPr="00865100">
        <w:rPr>
          <w:rFonts w:hint="eastAsia"/>
          <w:kern w:val="2"/>
        </w:rPr>
        <w:t>、签约合同价：</w:t>
      </w:r>
      <w:r w:rsidRPr="00865100">
        <w:rPr>
          <w:rFonts w:hint="eastAsia"/>
          <w:kern w:val="2"/>
        </w:rPr>
        <w:t>85</w:t>
      </w:r>
      <w:r w:rsidRPr="00865100">
        <w:rPr>
          <w:rFonts w:hint="eastAsia"/>
          <w:kern w:val="2"/>
        </w:rPr>
        <w:t>万元</w:t>
      </w:r>
      <w:r w:rsidRPr="00865100">
        <w:rPr>
          <w:rFonts w:hint="eastAsia"/>
          <w:kern w:val="2"/>
        </w:rPr>
        <w:t>（</w:t>
      </w:r>
      <w:r w:rsidRPr="00865100">
        <w:rPr>
          <w:rFonts w:hint="eastAsia"/>
          <w:kern w:val="2"/>
        </w:rPr>
        <w:t>含</w:t>
      </w:r>
      <w:r w:rsidRPr="00865100">
        <w:rPr>
          <w:rFonts w:hint="eastAsia"/>
          <w:kern w:val="2"/>
        </w:rPr>
        <w:t>6%</w:t>
      </w:r>
      <w:r w:rsidRPr="00865100">
        <w:rPr>
          <w:rFonts w:hint="eastAsia"/>
          <w:kern w:val="2"/>
        </w:rPr>
        <w:t>增值税）。</w:t>
      </w:r>
    </w:p>
    <w:p w:rsidR="002A4128" w:rsidRPr="00865100" w:rsidRDefault="00865100" w:rsidP="00865100">
      <w:pPr>
        <w:pStyle w:val="Default"/>
        <w:rPr>
          <w:kern w:val="2"/>
        </w:rPr>
      </w:pPr>
      <w:r w:rsidRPr="00865100">
        <w:rPr>
          <w:rFonts w:hint="eastAsia"/>
          <w:kern w:val="2"/>
        </w:rPr>
        <w:t>3</w:t>
      </w:r>
      <w:r w:rsidRPr="00865100">
        <w:rPr>
          <w:rFonts w:hint="eastAsia"/>
          <w:kern w:val="2"/>
        </w:rPr>
        <w:t>、签约合同价格组成：</w:t>
      </w:r>
    </w:p>
    <w:tbl>
      <w:tblPr>
        <w:tblW w:w="8971" w:type="dxa"/>
        <w:jc w:val="center"/>
        <w:tblLayout w:type="fixed"/>
        <w:tblLook w:val="04A0"/>
      </w:tblPr>
      <w:tblGrid>
        <w:gridCol w:w="732"/>
        <w:gridCol w:w="4606"/>
        <w:gridCol w:w="1100"/>
        <w:gridCol w:w="1206"/>
        <w:gridCol w:w="1327"/>
      </w:tblGrid>
      <w:tr w:rsidR="002A4128">
        <w:trPr>
          <w:trHeight w:val="27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单价</w:t>
            </w:r>
          </w:p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（项）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总价</w:t>
            </w:r>
          </w:p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（万元）</w:t>
            </w:r>
          </w:p>
        </w:tc>
      </w:tr>
      <w:tr w:rsidR="002A4128">
        <w:trPr>
          <w:trHeight w:val="27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机组性能综合升级改造可行性研究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85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85</w:t>
            </w:r>
          </w:p>
        </w:tc>
      </w:tr>
      <w:tr w:rsidR="002A4128">
        <w:trPr>
          <w:trHeight w:val="27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锅炉升级改造方案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</w:tr>
      <w:tr w:rsidR="002A4128">
        <w:trPr>
          <w:trHeight w:val="27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点火阶段、低负荷脱硝优化改造方案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A4128">
        <w:trPr>
          <w:trHeight w:val="27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运行阶段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低负荷稳燃优化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改造方案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A4128">
        <w:trPr>
          <w:trHeight w:val="27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烟气余热利用改造方案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A4128">
        <w:trPr>
          <w:trHeight w:val="27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锅炉效率分析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A4128">
        <w:trPr>
          <w:trHeight w:val="27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锅炉节能措施研究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A4128">
        <w:trPr>
          <w:trHeight w:val="27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汽机升级改造方案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</w:tr>
      <w:tr w:rsidR="002A4128">
        <w:trPr>
          <w:trHeight w:val="27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增设外置蒸汽冷却器方案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A4128">
        <w:trPr>
          <w:trHeight w:val="27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低压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通流改造方案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A4128">
        <w:trPr>
          <w:trHeight w:val="27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顺序阀投运困难处理方案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A4128">
        <w:trPr>
          <w:trHeight w:val="27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低加疏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水泵增设方案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A4128">
        <w:trPr>
          <w:trHeight w:val="27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发电机氢气提纯方案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A4128">
        <w:trPr>
          <w:trHeight w:val="27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凝汽器背压优化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方案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A4128">
        <w:trPr>
          <w:trHeight w:val="27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供热改造方案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2A4128">
        <w:trPr>
          <w:trHeight w:val="27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电气储能调频改造方案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</w:tr>
      <w:tr w:rsidR="002A4128">
        <w:trPr>
          <w:trHeight w:val="27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评审、会务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2A41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2A4128">
        <w:trPr>
          <w:trHeight w:val="27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4128" w:rsidRDefault="008651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85</w:t>
            </w:r>
          </w:p>
        </w:tc>
      </w:tr>
    </w:tbl>
    <w:p w:rsidR="002A4128" w:rsidRPr="00865100" w:rsidRDefault="00865100" w:rsidP="00865100">
      <w:pPr>
        <w:pStyle w:val="Default"/>
      </w:pPr>
      <w:r w:rsidRPr="00865100">
        <w:rPr>
          <w:rFonts w:hint="eastAsia"/>
        </w:rPr>
        <w:t>4</w:t>
      </w:r>
      <w:r w:rsidRPr="00865100">
        <w:rPr>
          <w:rFonts w:hint="eastAsia"/>
        </w:rPr>
        <w:t>、付款方式：可</w:t>
      </w:r>
      <w:proofErr w:type="gramStart"/>
      <w:r w:rsidRPr="00865100">
        <w:rPr>
          <w:rFonts w:hint="eastAsia"/>
        </w:rPr>
        <w:t>研</w:t>
      </w:r>
      <w:proofErr w:type="gramEnd"/>
      <w:r w:rsidRPr="00865100">
        <w:rPr>
          <w:rFonts w:hint="eastAsia"/>
        </w:rPr>
        <w:t>报告通过评审并完成报告收口后，经甲方验收合格后一次性支付100%合同价款。</w:t>
      </w:r>
    </w:p>
    <w:p w:rsidR="002A4128" w:rsidRDefault="00865100">
      <w:pPr>
        <w:snapToGrid w:val="0"/>
        <w:spacing w:line="360" w:lineRule="auto"/>
        <w:ind w:firstLineChars="200" w:firstLine="562"/>
        <w:rPr>
          <w:rStyle w:val="15"/>
          <w:rFonts w:asciiTheme="minorEastAsia" w:hAnsiTheme="minorEastAsia" w:cstheme="minorEastAsia"/>
          <w:sz w:val="28"/>
          <w:szCs w:val="28"/>
        </w:rPr>
      </w:pPr>
      <w:r>
        <w:rPr>
          <w:rStyle w:val="15"/>
          <w:rFonts w:asciiTheme="minorEastAsia" w:hAnsiTheme="minorEastAsia" w:cstheme="minorEastAsia" w:hint="eastAsia"/>
          <w:sz w:val="28"/>
          <w:szCs w:val="28"/>
        </w:rPr>
        <w:t>四、可对比同类项目合同情况：</w:t>
      </w:r>
    </w:p>
    <w:p w:rsidR="002A4128" w:rsidRDefault="00865100" w:rsidP="00865100">
      <w:pPr>
        <w:pStyle w:val="Default"/>
      </w:pPr>
      <w:r>
        <w:rPr>
          <w:rFonts w:hint="eastAsia"/>
        </w:rPr>
        <w:t>经调研，类似项目如</w:t>
      </w:r>
      <w:r>
        <w:rPr>
          <w:rFonts w:hint="eastAsia"/>
        </w:rPr>
        <w:t>国能浙江宁海发电有限公司</w:t>
      </w:r>
      <w:r>
        <w:rPr>
          <w:rFonts w:hint="eastAsia"/>
        </w:rPr>
        <w:t>《</w:t>
      </w:r>
      <w:r>
        <w:rPr>
          <w:rFonts w:hint="eastAsia"/>
        </w:rPr>
        <w:t>630MW</w:t>
      </w:r>
      <w:r>
        <w:rPr>
          <w:rFonts w:hint="eastAsia"/>
        </w:rPr>
        <w:t>亚临界机组提温提效综合改造项目可行性研务</w:t>
      </w:r>
      <w:r>
        <w:rPr>
          <w:rFonts w:hint="eastAsia"/>
        </w:rPr>
        <w:t>合同》</w:t>
      </w:r>
      <w:r>
        <w:rPr>
          <w:rFonts w:hint="eastAsia"/>
        </w:rPr>
        <w:t>合同总价为</w:t>
      </w:r>
      <w:r>
        <w:rPr>
          <w:rFonts w:hint="eastAsia"/>
        </w:rPr>
        <w:t>210</w:t>
      </w:r>
      <w:r>
        <w:rPr>
          <w:rFonts w:hint="eastAsia"/>
        </w:rPr>
        <w:t>万元</w:t>
      </w:r>
      <w:r>
        <w:rPr>
          <w:rFonts w:hint="eastAsia"/>
        </w:rPr>
        <w:t>（</w:t>
      </w:r>
      <w:r>
        <w:rPr>
          <w:rFonts w:hint="eastAsia"/>
        </w:rPr>
        <w:t>含</w:t>
      </w:r>
      <w:r>
        <w:rPr>
          <w:rFonts w:hint="eastAsia"/>
        </w:rPr>
        <w:t>6%</w:t>
      </w:r>
      <w:r>
        <w:rPr>
          <w:rFonts w:hint="eastAsia"/>
        </w:rPr>
        <w:t>增值税</w:t>
      </w:r>
      <w:r>
        <w:rPr>
          <w:rFonts w:hint="eastAsia"/>
        </w:rPr>
        <w:t>）、《</w:t>
      </w:r>
      <w:r>
        <w:rPr>
          <w:rFonts w:hint="eastAsia"/>
        </w:rPr>
        <w:t>台州发电厂“以大代小”高质量转型升级项目可行性研究报告及接入系统方案编制咨询服务</w:t>
      </w:r>
      <w:r>
        <w:rPr>
          <w:rFonts w:hint="eastAsia"/>
        </w:rPr>
        <w:t>》</w:t>
      </w:r>
      <w:r>
        <w:rPr>
          <w:rFonts w:hint="eastAsia"/>
        </w:rPr>
        <w:t>合同总价为</w:t>
      </w:r>
      <w:r>
        <w:rPr>
          <w:rFonts w:hint="eastAsia"/>
        </w:rPr>
        <w:t>439</w:t>
      </w:r>
      <w:r>
        <w:rPr>
          <w:rFonts w:hint="eastAsia"/>
        </w:rPr>
        <w:t>万元</w:t>
      </w:r>
      <w:r>
        <w:rPr>
          <w:rFonts w:hint="eastAsia"/>
        </w:rPr>
        <w:t>（</w:t>
      </w:r>
      <w:r>
        <w:rPr>
          <w:rFonts w:hint="eastAsia"/>
        </w:rPr>
        <w:t>含</w:t>
      </w:r>
      <w:r>
        <w:rPr>
          <w:rFonts w:hint="eastAsia"/>
        </w:rPr>
        <w:t>6%</w:t>
      </w:r>
      <w:r>
        <w:rPr>
          <w:rFonts w:hint="eastAsia"/>
        </w:rPr>
        <w:t>增值税</w:t>
      </w:r>
      <w:r>
        <w:rPr>
          <w:rFonts w:hint="eastAsia"/>
        </w:rPr>
        <w:t>）。</w:t>
      </w:r>
    </w:p>
    <w:p w:rsidR="002A4128" w:rsidRDefault="00865100" w:rsidP="00865100">
      <w:pPr>
        <w:pStyle w:val="Default"/>
        <w:rPr>
          <w:rFonts w:eastAsiaTheme="minorEastAsia"/>
          <w:color w:val="auto"/>
        </w:rPr>
      </w:pPr>
      <w:r>
        <w:rPr>
          <w:rFonts w:eastAsiaTheme="minorEastAsia" w:hint="eastAsia"/>
          <w:color w:val="auto"/>
        </w:rPr>
        <w:t>经协商，</w:t>
      </w:r>
      <w:r>
        <w:rPr>
          <w:rFonts w:eastAsiaTheme="minorEastAsia" w:hint="eastAsia"/>
          <w:color w:val="auto"/>
        </w:rPr>
        <w:t>中国能源建设集团浙江省电力设计院有限公司</w:t>
      </w:r>
      <w:r>
        <w:rPr>
          <w:rFonts w:hint="eastAsia"/>
        </w:rPr>
        <w:t>同意嘉华公司</w:t>
      </w:r>
      <w:r>
        <w:rPr>
          <w:rFonts w:hint="eastAsia"/>
        </w:rPr>
        <w:t>《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机组综合升级改造可行性研究项目</w:t>
      </w:r>
      <w:r>
        <w:rPr>
          <w:rFonts w:hint="eastAsia"/>
        </w:rPr>
        <w:t>》</w:t>
      </w:r>
      <w:r>
        <w:rPr>
          <w:rFonts w:hint="eastAsia"/>
        </w:rPr>
        <w:t>费用为</w:t>
      </w:r>
      <w:r>
        <w:rPr>
          <w:rFonts w:hint="eastAsia"/>
        </w:rPr>
        <w:t>85</w:t>
      </w:r>
      <w:r>
        <w:rPr>
          <w:rFonts w:hint="eastAsia"/>
        </w:rPr>
        <w:t>万元。</w:t>
      </w:r>
    </w:p>
    <w:p w:rsidR="002A4128" w:rsidRDefault="00865100" w:rsidP="00865100">
      <w:pPr>
        <w:pStyle w:val="Default"/>
      </w:pPr>
      <w:r>
        <w:rPr>
          <w:rFonts w:hint="eastAsia"/>
        </w:rPr>
        <w:t>综合考虑</w:t>
      </w:r>
      <w:r>
        <w:rPr>
          <w:rFonts w:eastAsiaTheme="minorEastAsia" w:hint="eastAsia"/>
          <w:color w:val="auto"/>
        </w:rPr>
        <w:t>中国能源建设集团浙江省电力设计院有限公司</w:t>
      </w:r>
      <w:r>
        <w:rPr>
          <w:rFonts w:eastAsiaTheme="minorEastAsia" w:hint="eastAsia"/>
          <w:color w:val="auto"/>
        </w:rPr>
        <w:t>未收取</w:t>
      </w:r>
      <w:r>
        <w:rPr>
          <w:rFonts w:hint="eastAsia"/>
        </w:rPr>
        <w:t>嘉华公司</w:t>
      </w:r>
      <w:r>
        <w:rPr>
          <w:rFonts w:hint="eastAsia"/>
        </w:rPr>
        <w:t>《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号机升参数提效增容改造项目整体设计</w:t>
      </w:r>
      <w:r>
        <w:rPr>
          <w:rFonts w:hint="eastAsia"/>
        </w:rPr>
        <w:t>》</w:t>
      </w:r>
      <w:r>
        <w:rPr>
          <w:rFonts w:hint="eastAsia"/>
        </w:rPr>
        <w:t>项目已发生的费用，本次采购价格</w:t>
      </w:r>
      <w:r>
        <w:rPr>
          <w:rFonts w:hint="eastAsia"/>
        </w:rPr>
        <w:t>85</w:t>
      </w:r>
      <w:r>
        <w:rPr>
          <w:rFonts w:hint="eastAsia"/>
        </w:rPr>
        <w:t>万元，总体符合市场实际。</w:t>
      </w:r>
    </w:p>
    <w:p w:rsidR="002A4128" w:rsidRDefault="00865100" w:rsidP="00865100">
      <w:pPr>
        <w:pStyle w:val="Default"/>
        <w:ind w:firstLine="562"/>
        <w:rPr>
          <w:rStyle w:val="15"/>
          <w:rFonts w:asciiTheme="minorEastAsia" w:eastAsiaTheme="minorEastAsia" w:hAnsiTheme="minorEastAsia" w:cstheme="minorEastAsia"/>
        </w:rPr>
      </w:pPr>
      <w:r>
        <w:rPr>
          <w:rStyle w:val="15"/>
          <w:rFonts w:asciiTheme="minorEastAsia" w:eastAsiaTheme="minorEastAsia" w:hAnsiTheme="minorEastAsia" w:cstheme="minorEastAsia" w:hint="eastAsia"/>
        </w:rPr>
        <w:t>五、建议：</w:t>
      </w:r>
    </w:p>
    <w:p w:rsidR="002A4128" w:rsidRDefault="00865100" w:rsidP="00865100">
      <w:pPr>
        <w:pStyle w:val="Default"/>
      </w:pPr>
      <w:r>
        <w:rPr>
          <w:rFonts w:hint="eastAsia"/>
        </w:rPr>
        <w:t>同意</w:t>
      </w:r>
      <w:r>
        <w:rPr>
          <w:rFonts w:hint="eastAsia"/>
        </w:rPr>
        <w:t>嘉华公司</w:t>
      </w:r>
      <w:r>
        <w:rPr>
          <w:rFonts w:hint="eastAsia"/>
        </w:rPr>
        <w:t>《</w:t>
      </w:r>
      <w:r>
        <w:rPr>
          <w:rFonts w:hint="eastAsia"/>
          <w:color w:val="auto"/>
        </w:rPr>
        <w:t>5</w:t>
      </w:r>
      <w:r>
        <w:rPr>
          <w:rFonts w:hint="eastAsia"/>
          <w:color w:val="auto"/>
        </w:rPr>
        <w:t>、</w:t>
      </w:r>
      <w:r>
        <w:rPr>
          <w:rFonts w:hint="eastAsia"/>
          <w:color w:val="auto"/>
        </w:rPr>
        <w:t>6</w:t>
      </w:r>
      <w:r>
        <w:rPr>
          <w:rFonts w:hint="eastAsia"/>
          <w:color w:val="auto"/>
        </w:rPr>
        <w:t>机组综合升级改造可行性研究</w:t>
      </w:r>
      <w:r>
        <w:rPr>
          <w:rFonts w:hint="eastAsia"/>
        </w:rPr>
        <w:t>》</w:t>
      </w:r>
      <w:r>
        <w:rPr>
          <w:rFonts w:hint="eastAsia"/>
        </w:rPr>
        <w:t>项目向</w:t>
      </w:r>
      <w:r>
        <w:rPr>
          <w:rFonts w:hint="eastAsia"/>
          <w:color w:val="auto"/>
          <w:kern w:val="2"/>
        </w:rPr>
        <w:t>中国能源建设集团浙江省电力设计院有限</w:t>
      </w:r>
      <w:r>
        <w:rPr>
          <w:rFonts w:hint="eastAsia"/>
        </w:rPr>
        <w:t>公司单一来源（定向）采购，合同形式为</w:t>
      </w:r>
      <w:r>
        <w:rPr>
          <w:rFonts w:hint="eastAsia"/>
          <w:color w:val="auto"/>
          <w:kern w:val="2"/>
        </w:rPr>
        <w:t>固定总价</w:t>
      </w:r>
      <w:r>
        <w:rPr>
          <w:rFonts w:hint="eastAsia"/>
        </w:rPr>
        <w:t>，签约合同价</w:t>
      </w:r>
      <w:r>
        <w:rPr>
          <w:rFonts w:hint="eastAsia"/>
        </w:rPr>
        <w:t>85</w:t>
      </w:r>
      <w:r>
        <w:rPr>
          <w:rFonts w:hint="eastAsia"/>
        </w:rPr>
        <w:t>万元。</w:t>
      </w:r>
    </w:p>
    <w:p w:rsidR="002A4128" w:rsidRDefault="00865100" w:rsidP="00865100">
      <w:pPr>
        <w:pStyle w:val="Default"/>
        <w:rPr>
          <w:rStyle w:val="15"/>
          <w:rFonts w:asciiTheme="minorEastAsia" w:eastAsiaTheme="minorEastAsia" w:hAnsiTheme="minorEastAsia" w:cstheme="minorEastAsia"/>
        </w:rPr>
      </w:pPr>
      <w:r>
        <w:rPr>
          <w:rFonts w:hint="eastAsia"/>
        </w:rPr>
        <w:t>以上议案，请审议。</w:t>
      </w:r>
    </w:p>
    <w:p w:rsidR="002A4128" w:rsidRDefault="00865100">
      <w:pPr>
        <w:pStyle w:val="1"/>
        <w:ind w:firstLineChars="2400" w:firstLine="6720"/>
        <w:rPr>
          <w:sz w:val="28"/>
          <w:szCs w:val="28"/>
        </w:rPr>
      </w:pPr>
      <w:r>
        <w:rPr>
          <w:rFonts w:hint="eastAsia"/>
          <w:sz w:val="28"/>
          <w:szCs w:val="28"/>
        </w:rPr>
        <w:t>报告人：</w:t>
      </w:r>
    </w:p>
    <w:p w:rsidR="002A4128" w:rsidRDefault="00865100">
      <w:pPr>
        <w:pStyle w:val="1"/>
        <w:ind w:firstLineChars="2400" w:firstLine="6720"/>
        <w:rPr>
          <w:sz w:val="28"/>
          <w:szCs w:val="28"/>
        </w:rPr>
      </w:pP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16</w:t>
      </w:r>
      <w:r>
        <w:rPr>
          <w:rFonts w:hint="eastAsia"/>
          <w:sz w:val="28"/>
          <w:szCs w:val="28"/>
        </w:rPr>
        <w:t>日</w:t>
      </w:r>
    </w:p>
    <w:p w:rsidR="002A4128" w:rsidRDefault="002A4128">
      <w:pPr>
        <w:pStyle w:val="1"/>
      </w:pPr>
    </w:p>
    <w:p w:rsidR="002A4128" w:rsidRDefault="002A4128">
      <w:pPr>
        <w:pStyle w:val="1"/>
      </w:pPr>
    </w:p>
    <w:p w:rsidR="002A4128" w:rsidRDefault="002A4128">
      <w:pPr>
        <w:pStyle w:val="1"/>
      </w:pPr>
    </w:p>
    <w:p w:rsidR="002A4128" w:rsidRDefault="002A4128">
      <w:pPr>
        <w:pStyle w:val="1"/>
      </w:pPr>
    </w:p>
    <w:p w:rsidR="002A4128" w:rsidRDefault="002A4128">
      <w:pPr>
        <w:pStyle w:val="1"/>
      </w:pPr>
    </w:p>
    <w:p w:rsidR="002A4128" w:rsidRDefault="00865100">
      <w:pPr>
        <w:pStyle w:val="1"/>
      </w:pPr>
      <w:r>
        <w:t>附件：对比合同</w:t>
      </w:r>
      <w:r>
        <w:rPr>
          <w:rFonts w:hint="eastAsia"/>
        </w:rPr>
        <w:t>1</w:t>
      </w:r>
      <w:r>
        <w:rPr>
          <w:noProof/>
        </w:rPr>
        <w:drawing>
          <wp:inline distT="0" distB="0" distL="0" distR="0">
            <wp:extent cx="5100955" cy="6861810"/>
            <wp:effectExtent l="19050" t="0" r="4122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1464" cy="686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128" w:rsidRDefault="00865100">
      <w:pPr>
        <w:pStyle w:val="1"/>
        <w:jc w:val="center"/>
      </w:pPr>
      <w:r>
        <w:rPr>
          <w:noProof/>
        </w:rPr>
        <w:drawing>
          <wp:inline distT="0" distB="0" distL="0" distR="0">
            <wp:extent cx="5137150" cy="7103745"/>
            <wp:effectExtent l="19050" t="0" r="5759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7711" cy="710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031105" cy="705612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1545" cy="7056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128" w:rsidRDefault="002A4128">
      <w:pPr>
        <w:pStyle w:val="1"/>
      </w:pPr>
    </w:p>
    <w:p w:rsidR="002A4128" w:rsidRDefault="002A4128">
      <w:pPr>
        <w:pStyle w:val="1"/>
      </w:pPr>
    </w:p>
    <w:p w:rsidR="002A4128" w:rsidRDefault="002A4128">
      <w:pPr>
        <w:pStyle w:val="1"/>
      </w:pPr>
    </w:p>
    <w:p w:rsidR="002A4128" w:rsidRDefault="002A4128">
      <w:pPr>
        <w:pStyle w:val="1"/>
      </w:pPr>
    </w:p>
    <w:p w:rsidR="002A4128" w:rsidRDefault="00865100">
      <w:pPr>
        <w:pStyle w:val="1"/>
      </w:pPr>
      <w:r>
        <w:rPr>
          <w:rFonts w:hint="eastAsia"/>
        </w:rPr>
        <w:t>对比合同</w:t>
      </w:r>
      <w:r>
        <w:rPr>
          <w:rFonts w:hint="eastAsia"/>
        </w:rPr>
        <w:t>2</w:t>
      </w:r>
      <w:r>
        <w:rPr>
          <w:noProof/>
        </w:rPr>
        <w:drawing>
          <wp:inline distT="0" distB="0" distL="0" distR="0">
            <wp:extent cx="5144135" cy="6899910"/>
            <wp:effectExtent l="1905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4233" cy="6900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128" w:rsidRDefault="00865100">
      <w:pPr>
        <w:pStyle w:val="1"/>
      </w:pPr>
      <w:r>
        <w:rPr>
          <w:noProof/>
        </w:rPr>
        <w:drawing>
          <wp:inline distT="0" distB="0" distL="0" distR="0">
            <wp:extent cx="4890770" cy="7155815"/>
            <wp:effectExtent l="19050" t="0" r="508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0770" cy="715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2880" cy="7017385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128" w:rsidRDefault="002A4128">
      <w:pPr>
        <w:pStyle w:val="1"/>
      </w:pPr>
    </w:p>
    <w:p w:rsidR="002A4128" w:rsidRDefault="002A4128">
      <w:pPr>
        <w:pStyle w:val="1"/>
      </w:pPr>
    </w:p>
    <w:p w:rsidR="002A4128" w:rsidRDefault="002A4128">
      <w:pPr>
        <w:pStyle w:val="1"/>
      </w:pPr>
    </w:p>
    <w:p w:rsidR="002A4128" w:rsidRDefault="002A4128">
      <w:pPr>
        <w:pStyle w:val="1"/>
      </w:pPr>
    </w:p>
    <w:p w:rsidR="002A4128" w:rsidRDefault="00865100">
      <w:pPr>
        <w:pStyle w:val="1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kern w:val="2"/>
          <w:sz w:val="28"/>
          <w:szCs w:val="28"/>
        </w:rPr>
        <w:t>附件：中国能源建设集团浙江省电力设计院有限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公司报价单</w:t>
      </w:r>
    </w:p>
    <w:p w:rsidR="002A4128" w:rsidRDefault="00865100">
      <w:pPr>
        <w:pStyle w:val="1"/>
        <w:jc w:val="center"/>
      </w:pPr>
      <w:r>
        <w:rPr>
          <w:noProof/>
        </w:rPr>
        <w:drawing>
          <wp:inline distT="0" distB="0" distL="0" distR="0">
            <wp:extent cx="5390515" cy="7357745"/>
            <wp:effectExtent l="19050" t="0" r="63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735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4128" w:rsidSect="002A4128">
      <w:pgSz w:w="11906" w:h="16838"/>
      <w:pgMar w:top="1090" w:right="1418" w:bottom="1418" w:left="1418" w:header="1418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100" w:rsidRDefault="00865100" w:rsidP="00865100">
      <w:r>
        <w:separator/>
      </w:r>
    </w:p>
  </w:endnote>
  <w:endnote w:type="continuationSeparator" w:id="1">
    <w:p w:rsidR="00865100" w:rsidRDefault="00865100" w:rsidP="00865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100" w:rsidRDefault="00865100" w:rsidP="00865100">
      <w:r>
        <w:separator/>
      </w:r>
    </w:p>
  </w:footnote>
  <w:footnote w:type="continuationSeparator" w:id="1">
    <w:p w:rsidR="00865100" w:rsidRDefault="00865100" w:rsidP="00865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djNzRlMDIxZjQ1NmRjNGYyMjJjNWU4MmVkZGU5NWIifQ=="/>
  </w:docVars>
  <w:rsids>
    <w:rsidRoot w:val="00CB5BB7"/>
    <w:rsid w:val="000630EF"/>
    <w:rsid w:val="000942AD"/>
    <w:rsid w:val="001B32EF"/>
    <w:rsid w:val="00233AAD"/>
    <w:rsid w:val="00273285"/>
    <w:rsid w:val="002A4128"/>
    <w:rsid w:val="002C4C31"/>
    <w:rsid w:val="005F5FE8"/>
    <w:rsid w:val="006D5056"/>
    <w:rsid w:val="007836AB"/>
    <w:rsid w:val="00826A8F"/>
    <w:rsid w:val="008537E3"/>
    <w:rsid w:val="00865100"/>
    <w:rsid w:val="008D3B33"/>
    <w:rsid w:val="00A7135A"/>
    <w:rsid w:val="00A96ECF"/>
    <w:rsid w:val="00B56BE8"/>
    <w:rsid w:val="00B86EE3"/>
    <w:rsid w:val="00BF4731"/>
    <w:rsid w:val="00C7570F"/>
    <w:rsid w:val="00CB5BB7"/>
    <w:rsid w:val="00ED0924"/>
    <w:rsid w:val="00FD6A71"/>
    <w:rsid w:val="00FE2493"/>
    <w:rsid w:val="2FE11495"/>
    <w:rsid w:val="3323631F"/>
    <w:rsid w:val="46BC1650"/>
    <w:rsid w:val="731C599A"/>
    <w:rsid w:val="7BFF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A4128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A4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unhideWhenUsed/>
    <w:qFormat/>
    <w:rsid w:val="002A4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semiHidden/>
    <w:qFormat/>
    <w:rsid w:val="002A4128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sid w:val="002A4128"/>
    <w:rPr>
      <w:sz w:val="18"/>
      <w:szCs w:val="18"/>
    </w:rPr>
  </w:style>
  <w:style w:type="paragraph" w:customStyle="1" w:styleId="NormalIndent1">
    <w:name w:val="Normal Indent1"/>
    <w:basedOn w:val="a"/>
    <w:autoRedefine/>
    <w:qFormat/>
    <w:rsid w:val="002A4128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15">
    <w:name w:val="15"/>
    <w:autoRedefine/>
    <w:qFormat/>
    <w:rsid w:val="002A4128"/>
    <w:rPr>
      <w:rFonts w:ascii="Calibri" w:hAnsi="Calibri" w:hint="default"/>
      <w:b/>
      <w:bCs/>
    </w:rPr>
  </w:style>
  <w:style w:type="paragraph" w:customStyle="1" w:styleId="Default">
    <w:name w:val="Default"/>
    <w:basedOn w:val="a"/>
    <w:autoRedefine/>
    <w:qFormat/>
    <w:rsid w:val="00865100"/>
    <w:pPr>
      <w:autoSpaceDE w:val="0"/>
      <w:autoSpaceDN w:val="0"/>
      <w:adjustRightInd w:val="0"/>
      <w:snapToGrid w:val="0"/>
      <w:spacing w:beforeLines="50" w:line="360" w:lineRule="auto"/>
      <w:ind w:firstLineChars="200" w:firstLine="560"/>
      <w:jc w:val="left"/>
    </w:pPr>
    <w:rPr>
      <w:rFonts w:asciiTheme="majorEastAsia" w:eastAsiaTheme="majorEastAsia" w:hAnsiTheme="majorEastAsia" w:cs="宋体"/>
      <w:color w:val="000000"/>
      <w:kern w:val="0"/>
      <w:sz w:val="28"/>
      <w:szCs w:val="28"/>
    </w:rPr>
  </w:style>
  <w:style w:type="paragraph" w:customStyle="1" w:styleId="1">
    <w:name w:val="普通(网站)1"/>
    <w:basedOn w:val="a"/>
    <w:autoRedefine/>
    <w:qFormat/>
    <w:rsid w:val="002A4128"/>
    <w:pPr>
      <w:widowControl/>
      <w:snapToGrid w:val="0"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A412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彭叶栋</dc:creator>
  <cp:lastModifiedBy>彭叶栋</cp:lastModifiedBy>
  <cp:revision>8</cp:revision>
  <dcterms:created xsi:type="dcterms:W3CDTF">2026-01-30T03:31:00Z</dcterms:created>
  <dcterms:modified xsi:type="dcterms:W3CDTF">2026-04-23T07:52:00Z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AF78A899CA124AE898D57454489B5751_12</vt:lpwstr>
  </property>
  <property fmtid="{D5CDD505-2E9C-101B-9397-08002B2CF9AE}" pid="4" name="KSOTemplateDocerSaveRecord">
    <vt:lpwstr>eyJoZGlkIjoiZDdjNzRlMDIxZjQ1NmRjNGYyMjJjNWU4MmVkZGU5NWIiLCJ1c2VySWQiOiI0MDY0OTk3MjAifQ==</vt:lpwstr>
  </property>
</Properties>
</file>