
<file path=[Content_Types].xml><?xml version="1.0" encoding="utf-8"?>
<Types xmlns="http://schemas.openxmlformats.org/package/2006/content-types">
  <Default ContentType="image/jpeg" Extension="jpeg"/>
  <Default ContentType="image/.jp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01"/>
        </w:tabs>
        <w:spacing w:line="300" w:lineRule="auto"/>
        <w:jc w:val="left"/>
        <w:rPr>
          <w:rFonts w:ascii="隶书" w:eastAsia="隶书"/>
          <w:b/>
          <w:bCs/>
          <w:sz w:val="36"/>
          <w:szCs w:val="36"/>
        </w:rPr>
      </w:pPr>
      <w:r>
        <w:rPr>
          <w:rFonts w:hint="eastAsia" w:ascii="隶书" w:eastAsia="隶书"/>
          <w:b/>
          <w:bCs/>
          <w:sz w:val="36"/>
          <w:szCs w:val="36"/>
        </w:rPr>
        <w:tab/>
      </w:r>
    </w:p>
    <w:p>
      <w:pPr>
        <w:spacing w:line="300" w:lineRule="auto"/>
        <w:jc w:val="center"/>
        <w:rPr>
          <w:rFonts w:ascii="隶书" w:eastAsia="隶书"/>
          <w:b/>
          <w:bCs/>
          <w:sz w:val="36"/>
          <w:szCs w:val="36"/>
        </w:rPr>
      </w:pPr>
    </w:p>
    <w:p>
      <w:pPr>
        <w:spacing w:line="300" w:lineRule="auto"/>
        <w:jc w:val="center"/>
        <w:rPr>
          <w:rFonts w:ascii="隶书" w:eastAsia="隶书"/>
          <w:b/>
          <w:bCs/>
          <w:sz w:val="36"/>
          <w:szCs w:val="36"/>
        </w:rPr>
      </w:pPr>
    </w:p>
    <w:p>
      <w:pPr>
        <w:spacing w:line="300" w:lineRule="auto"/>
        <w:jc w:val="center"/>
        <w:rPr>
          <w:rFonts w:ascii="隶书" w:eastAsia="隶书"/>
          <w:b/>
          <w:bCs/>
          <w:sz w:val="36"/>
          <w:szCs w:val="36"/>
        </w:rPr>
      </w:pPr>
    </w:p>
    <w:p>
      <w:pPr>
        <w:spacing w:line="300" w:lineRule="auto"/>
        <w:jc w:val="center"/>
        <w:rPr>
          <w:rFonts w:ascii="宋体" w:hAnsi="宋体" w:cs="宋体"/>
          <w:b/>
          <w:bCs/>
          <w:sz w:val="36"/>
          <w:szCs w:val="36"/>
        </w:rPr>
      </w:pPr>
      <w:r>
        <w:rPr>
          <w:rFonts w:hint="eastAsia" w:ascii="隶书" w:eastAsia="隶书"/>
          <w:b/>
          <w:bCs/>
          <w:sz w:val="36"/>
          <w:szCs w:val="36"/>
        </w:rPr>
        <w:t>#</w:t>
      </w:r>
      <w:r>
        <w:rPr>
          <w:rFonts w:hint="eastAsia" w:ascii="宋体" w:hAnsi="宋体" w:cs="宋体"/>
          <w:b/>
          <w:bCs/>
          <w:sz w:val="36"/>
          <w:szCs w:val="36"/>
        </w:rPr>
        <w:t>4机组值班燃烧器PMP应用研究</w:t>
      </w:r>
    </w:p>
    <w:p>
      <w:pPr>
        <w:spacing w:line="300" w:lineRule="auto"/>
        <w:jc w:val="center"/>
        <w:rPr>
          <w:rFonts w:ascii="宋体" w:hAnsi="宋体" w:cs="宋体"/>
          <w:b/>
          <w:bCs/>
          <w:sz w:val="36"/>
          <w:szCs w:val="36"/>
        </w:rPr>
      </w:pPr>
    </w:p>
    <w:p>
      <w:pPr>
        <w:spacing w:line="300" w:lineRule="auto"/>
        <w:jc w:val="center"/>
        <w:rPr>
          <w:rFonts w:ascii="宋体" w:hAnsi="宋体" w:cs="宋体"/>
          <w:b/>
          <w:bCs/>
          <w:sz w:val="36"/>
          <w:szCs w:val="36"/>
        </w:rPr>
      </w:pPr>
    </w:p>
    <w:p>
      <w:pPr>
        <w:spacing w:line="300" w:lineRule="auto"/>
        <w:jc w:val="center"/>
        <w:rPr>
          <w:rFonts w:ascii="隶书" w:hAnsi="新宋体" w:eastAsia="隶书"/>
          <w:sz w:val="28"/>
          <w:szCs w:val="28"/>
        </w:rPr>
      </w:pPr>
      <w:r>
        <w:rPr>
          <w:rFonts w:hint="eastAsia" w:ascii="宋体" w:hAnsi="宋体" w:cs="宋体"/>
          <w:b/>
          <w:bCs/>
          <w:sz w:val="36"/>
          <w:szCs w:val="36"/>
        </w:rPr>
        <w:t>技术规范书</w:t>
      </w:r>
    </w:p>
    <w:p>
      <w:pPr>
        <w:spacing w:line="300" w:lineRule="auto"/>
        <w:ind w:firstLine="578"/>
        <w:rPr>
          <w:rFonts w:ascii="隶书" w:hAnsi="新宋体" w:eastAsia="隶书"/>
          <w:sz w:val="28"/>
          <w:szCs w:val="28"/>
        </w:rPr>
      </w:pPr>
    </w:p>
    <w:p>
      <w:pPr>
        <w:spacing w:line="300" w:lineRule="auto"/>
        <w:ind w:firstLine="578"/>
        <w:rPr>
          <w:rFonts w:ascii="隶书" w:hAnsi="新宋体" w:eastAsia="隶书"/>
          <w:sz w:val="28"/>
          <w:szCs w:val="28"/>
        </w:rPr>
      </w:pPr>
    </w:p>
    <w:p>
      <w:pPr>
        <w:spacing w:line="300" w:lineRule="auto"/>
        <w:ind w:left="480"/>
        <w:rPr>
          <w:rFonts w:ascii="隶书" w:hAnsi="新宋体" w:eastAsia="隶书"/>
          <w:sz w:val="28"/>
          <w:szCs w:val="28"/>
        </w:rPr>
      </w:pPr>
      <w:r>
        <w:rPr>
          <w:rFonts w:hint="eastAsia" w:ascii="隶书" w:eastAsia="隶书"/>
          <w:sz w:val="32"/>
        </w:rPr>
        <w:t xml:space="preserve">           </w:t>
      </w:r>
    </w:p>
    <w:p>
      <w:pPr>
        <w:spacing w:line="300" w:lineRule="auto"/>
        <w:sectPr>
          <w:headerReference r:id="rId3" w:type="default"/>
          <w:pgSz w:w="11906" w:h="16838"/>
          <w:pgMar w:top="1440" w:right="1800" w:bottom="1440" w:left="1800" w:header="851" w:footer="992" w:gutter="0"/>
          <w:cols w:space="720" w:num="1"/>
          <w:docGrid w:type="lines" w:linePitch="312" w:charSpace="0"/>
        </w:sectPr>
      </w:pPr>
    </w:p>
    <w:p>
      <w:pPr>
        <w:tabs>
          <w:tab w:val="left" w:pos="5628"/>
          <w:tab w:val="left" w:pos="5829"/>
        </w:tabs>
        <w:spacing w:line="300" w:lineRule="auto"/>
        <w:jc w:val="center"/>
        <w:rPr>
          <w:b/>
          <w:sz w:val="32"/>
          <w:szCs w:val="32"/>
        </w:rPr>
      </w:pPr>
      <w:r>
        <w:rPr>
          <w:rFonts w:hint="eastAsia"/>
          <w:b/>
          <w:sz w:val="32"/>
          <w:szCs w:val="32"/>
        </w:rPr>
        <w:t>目录</w:t>
      </w:r>
    </w:p>
    <w:p>
      <w:pPr>
        <w:pStyle w:val="14"/>
        <w:tabs>
          <w:tab w:val="right" w:leader="dot" w:pos="8307"/>
          <w:tab w:val="clear" w:pos="1080"/>
          <w:tab w:val="clear" w:pos="8460"/>
        </w:tabs>
      </w:pPr>
      <w:r>
        <w:rPr>
          <w:sz w:val="72"/>
        </w:rPr>
        <w:fldChar w:fldCharType="begin"/>
      </w:r>
      <w:r>
        <w:rPr>
          <w:sz w:val="72"/>
        </w:rPr>
        <w:instrText xml:space="preserve"> </w:instrText>
      </w:r>
      <w:r>
        <w:rPr>
          <w:rFonts w:hint="eastAsia"/>
          <w:sz w:val="72"/>
        </w:rPr>
        <w:instrText xml:space="preserve">TOC \o "1-2" \h \z \u</w:instrText>
      </w:r>
      <w:r>
        <w:rPr>
          <w:sz w:val="72"/>
        </w:rPr>
        <w:instrText xml:space="preserve"> </w:instrText>
      </w:r>
      <w:r>
        <w:rPr>
          <w:sz w:val="72"/>
        </w:rPr>
        <w:fldChar w:fldCharType="separate"/>
      </w:r>
      <w:r>
        <w:fldChar w:fldCharType="begin"/>
      </w:r>
      <w:r>
        <w:instrText xml:space="preserve"> HYPERLINK \l "_Toc1558" </w:instrText>
      </w:r>
      <w:r>
        <w:fldChar w:fldCharType="separate"/>
      </w:r>
      <w:r>
        <w:rPr>
          <w:rFonts w:hint="eastAsia"/>
          <w:szCs w:val="24"/>
        </w:rPr>
        <w:t>一 技术规范</w:t>
      </w:r>
      <w:r>
        <w:tab/>
      </w:r>
      <w:r>
        <w:fldChar w:fldCharType="begin"/>
      </w:r>
      <w:r>
        <w:instrText xml:space="preserve"> PAGEREF _Toc1558 \h </w:instrText>
      </w:r>
      <w:r>
        <w:fldChar w:fldCharType="separate"/>
      </w:r>
      <w:r>
        <w:t>2</w:t>
      </w:r>
      <w:r>
        <w:fldChar w:fldCharType="end"/>
      </w:r>
      <w:r>
        <w:fldChar w:fldCharType="end"/>
      </w:r>
    </w:p>
    <w:p>
      <w:pPr>
        <w:pStyle w:val="14"/>
        <w:tabs>
          <w:tab w:val="right" w:leader="dot" w:pos="8307"/>
          <w:tab w:val="clear" w:pos="1080"/>
          <w:tab w:val="clear" w:pos="8460"/>
        </w:tabs>
      </w:pPr>
      <w:r>
        <w:fldChar w:fldCharType="begin"/>
      </w:r>
      <w:r>
        <w:instrText xml:space="preserve"> HYPERLINK \l "_Toc26887" </w:instrText>
      </w:r>
      <w:r>
        <w:fldChar w:fldCharType="separate"/>
      </w:r>
      <w:r>
        <w:rPr>
          <w:rFonts w:hint="eastAsia"/>
          <w:szCs w:val="24"/>
        </w:rPr>
        <w:t>二 供货范围</w:t>
      </w:r>
      <w:r>
        <w:tab/>
      </w:r>
      <w:r>
        <w:fldChar w:fldCharType="begin"/>
      </w:r>
      <w:r>
        <w:instrText xml:space="preserve"> PAGEREF _Toc26887 \h </w:instrText>
      </w:r>
      <w:r>
        <w:fldChar w:fldCharType="separate"/>
      </w:r>
      <w:r>
        <w:t>8</w:t>
      </w:r>
      <w:r>
        <w:fldChar w:fldCharType="end"/>
      </w:r>
      <w:r>
        <w:fldChar w:fldCharType="end"/>
      </w:r>
    </w:p>
    <w:p>
      <w:pPr>
        <w:pStyle w:val="14"/>
        <w:tabs>
          <w:tab w:val="right" w:leader="dot" w:pos="8307"/>
          <w:tab w:val="clear" w:pos="1080"/>
          <w:tab w:val="clear" w:pos="8460"/>
        </w:tabs>
      </w:pPr>
      <w:r>
        <w:fldChar w:fldCharType="begin"/>
      </w:r>
      <w:r>
        <w:instrText xml:space="preserve"> HYPERLINK \l "_Toc3414" </w:instrText>
      </w:r>
      <w:r>
        <w:fldChar w:fldCharType="separate"/>
      </w:r>
      <w:r>
        <w:rPr>
          <w:rFonts w:hint="eastAsia"/>
          <w:szCs w:val="24"/>
        </w:rPr>
        <w:t>三 技术资料和交付进度</w:t>
      </w:r>
      <w:r>
        <w:tab/>
      </w:r>
      <w:r>
        <w:fldChar w:fldCharType="begin"/>
      </w:r>
      <w:r>
        <w:instrText xml:space="preserve"> PAGEREF _Toc3414 \h </w:instrText>
      </w:r>
      <w:r>
        <w:fldChar w:fldCharType="separate"/>
      </w:r>
      <w:r>
        <w:t>9</w:t>
      </w:r>
      <w:r>
        <w:fldChar w:fldCharType="end"/>
      </w:r>
      <w:r>
        <w:fldChar w:fldCharType="end"/>
      </w:r>
    </w:p>
    <w:p>
      <w:pPr>
        <w:pStyle w:val="14"/>
        <w:tabs>
          <w:tab w:val="right" w:leader="dot" w:pos="8307"/>
          <w:tab w:val="clear" w:pos="1080"/>
          <w:tab w:val="clear" w:pos="8460"/>
        </w:tabs>
      </w:pPr>
      <w:r>
        <w:fldChar w:fldCharType="begin"/>
      </w:r>
      <w:r>
        <w:instrText xml:space="preserve"> HYPERLINK \l "_Toc11715" </w:instrText>
      </w:r>
      <w:r>
        <w:fldChar w:fldCharType="separate"/>
      </w:r>
      <w:r>
        <w:rPr>
          <w:rFonts w:hint="eastAsia"/>
          <w:szCs w:val="24"/>
        </w:rPr>
        <w:t>四 设备监造、检验和验收</w:t>
      </w:r>
      <w:r>
        <w:tab/>
      </w:r>
      <w:r>
        <w:fldChar w:fldCharType="begin"/>
      </w:r>
      <w:r>
        <w:instrText xml:space="preserve"> PAGEREF _Toc11715 \h </w:instrText>
      </w:r>
      <w:r>
        <w:fldChar w:fldCharType="separate"/>
      </w:r>
      <w:r>
        <w:t>10</w:t>
      </w:r>
      <w:r>
        <w:fldChar w:fldCharType="end"/>
      </w:r>
      <w:r>
        <w:fldChar w:fldCharType="end"/>
      </w:r>
    </w:p>
    <w:p>
      <w:pPr>
        <w:pStyle w:val="14"/>
        <w:tabs>
          <w:tab w:val="right" w:leader="dot" w:pos="8307"/>
          <w:tab w:val="clear" w:pos="1080"/>
          <w:tab w:val="clear" w:pos="8460"/>
        </w:tabs>
      </w:pPr>
      <w:r>
        <w:fldChar w:fldCharType="begin"/>
      </w:r>
      <w:r>
        <w:instrText xml:space="preserve"> HYPERLINK \l "_Toc27525" </w:instrText>
      </w:r>
      <w:r>
        <w:fldChar w:fldCharType="separate"/>
      </w:r>
      <w:r>
        <w:rPr>
          <w:rFonts w:hint="eastAsia"/>
          <w:szCs w:val="24"/>
        </w:rPr>
        <w:t>五 服务和联络</w:t>
      </w:r>
      <w:r>
        <w:tab/>
      </w:r>
      <w:r>
        <w:fldChar w:fldCharType="begin"/>
      </w:r>
      <w:r>
        <w:instrText xml:space="preserve"> PAGEREF _Toc27525 \h </w:instrText>
      </w:r>
      <w:r>
        <w:fldChar w:fldCharType="separate"/>
      </w:r>
      <w:r>
        <w:t>11</w:t>
      </w:r>
      <w:r>
        <w:fldChar w:fldCharType="end"/>
      </w:r>
      <w:r>
        <w:fldChar w:fldCharType="end"/>
      </w:r>
    </w:p>
    <w:p>
      <w:pPr>
        <w:pStyle w:val="14"/>
        <w:tabs>
          <w:tab w:val="right" w:leader="dot" w:pos="8307"/>
          <w:tab w:val="clear" w:pos="1080"/>
          <w:tab w:val="clear" w:pos="8460"/>
        </w:tabs>
      </w:pPr>
      <w:r>
        <w:fldChar w:fldCharType="begin"/>
      </w:r>
      <w:r>
        <w:instrText xml:space="preserve"> HYPERLINK \l "_Toc24512" </w:instrText>
      </w:r>
      <w:r>
        <w:fldChar w:fldCharType="separate"/>
      </w:r>
      <w:r>
        <w:rPr>
          <w:rFonts w:hint="eastAsia"/>
          <w:szCs w:val="24"/>
        </w:rPr>
        <w:t>六 大（部）件情况</w:t>
      </w:r>
      <w:r>
        <w:tab/>
      </w:r>
      <w:r>
        <w:fldChar w:fldCharType="begin"/>
      </w:r>
      <w:r>
        <w:instrText xml:space="preserve"> PAGEREF _Toc24512 \h </w:instrText>
      </w:r>
      <w:r>
        <w:fldChar w:fldCharType="separate"/>
      </w:r>
      <w:r>
        <w:t>13</w:t>
      </w:r>
      <w:r>
        <w:fldChar w:fldCharType="end"/>
      </w:r>
      <w:r>
        <w:fldChar w:fldCharType="end"/>
      </w:r>
    </w:p>
    <w:p>
      <w:pPr>
        <w:pStyle w:val="14"/>
        <w:tabs>
          <w:tab w:val="right" w:leader="dot" w:pos="8307"/>
          <w:tab w:val="clear" w:pos="1080"/>
          <w:tab w:val="clear" w:pos="8460"/>
        </w:tabs>
      </w:pPr>
      <w:r>
        <w:fldChar w:fldCharType="begin"/>
      </w:r>
      <w:r>
        <w:instrText xml:space="preserve"> HYPERLINK \l "_Toc17946" </w:instrText>
      </w:r>
      <w:r>
        <w:fldChar w:fldCharType="separate"/>
      </w:r>
      <w:r>
        <w:rPr>
          <w:rFonts w:hint="eastAsia"/>
          <w:szCs w:val="24"/>
        </w:rPr>
        <w:t>七 现场管理</w:t>
      </w:r>
      <w:r>
        <w:tab/>
      </w:r>
      <w:r>
        <w:fldChar w:fldCharType="begin"/>
      </w:r>
      <w:r>
        <w:instrText xml:space="preserve"> PAGEREF _Toc17946 \h </w:instrText>
      </w:r>
      <w:r>
        <w:fldChar w:fldCharType="separate"/>
      </w:r>
      <w:r>
        <w:t>13</w:t>
      </w:r>
      <w:r>
        <w:fldChar w:fldCharType="end"/>
      </w:r>
      <w:r>
        <w:fldChar w:fldCharType="end"/>
      </w:r>
    </w:p>
    <w:p>
      <w:pPr>
        <w:pStyle w:val="14"/>
        <w:tabs>
          <w:tab w:val="right" w:leader="dot" w:pos="8307"/>
          <w:tab w:val="clear" w:pos="1080"/>
          <w:tab w:val="clear" w:pos="8460"/>
        </w:tabs>
      </w:pPr>
      <w:r>
        <w:fldChar w:fldCharType="begin"/>
      </w:r>
      <w:r>
        <w:instrText xml:space="preserve"> HYPERLINK \l "_Toc6179" </w:instrText>
      </w:r>
      <w:r>
        <w:fldChar w:fldCharType="separate"/>
      </w:r>
      <w:r>
        <w:rPr>
          <w:rFonts w:hint="eastAsia"/>
          <w:szCs w:val="24"/>
        </w:rPr>
        <w:t>八 工期要求</w:t>
      </w:r>
      <w:r>
        <w:tab/>
      </w:r>
      <w:r>
        <w:fldChar w:fldCharType="begin"/>
      </w:r>
      <w:r>
        <w:instrText xml:space="preserve"> PAGEREF _Toc6179 \h </w:instrText>
      </w:r>
      <w:r>
        <w:fldChar w:fldCharType="separate"/>
      </w:r>
      <w:r>
        <w:t>19</w:t>
      </w:r>
      <w:r>
        <w:fldChar w:fldCharType="end"/>
      </w:r>
      <w:r>
        <w:fldChar w:fldCharType="end"/>
      </w:r>
    </w:p>
    <w:p>
      <w:pPr>
        <w:pStyle w:val="14"/>
        <w:tabs>
          <w:tab w:val="right" w:leader="dot" w:pos="8307"/>
          <w:tab w:val="clear" w:pos="1080"/>
          <w:tab w:val="clear" w:pos="8460"/>
        </w:tabs>
      </w:pPr>
      <w:r>
        <w:fldChar w:fldCharType="begin"/>
      </w:r>
      <w:r>
        <w:instrText xml:space="preserve"> HYPERLINK \l "_Toc2432" </w:instrText>
      </w:r>
      <w:r>
        <w:fldChar w:fldCharType="separate"/>
      </w:r>
      <w:r>
        <w:rPr>
          <w:rFonts w:hint="eastAsia"/>
          <w:szCs w:val="24"/>
        </w:rPr>
        <w:t>九 工程质量验收</w:t>
      </w:r>
      <w:r>
        <w:tab/>
      </w:r>
      <w:r>
        <w:fldChar w:fldCharType="begin"/>
      </w:r>
      <w:r>
        <w:instrText xml:space="preserve"> PAGEREF _Toc2432 \h </w:instrText>
      </w:r>
      <w:r>
        <w:fldChar w:fldCharType="separate"/>
      </w:r>
      <w:r>
        <w:t>20</w:t>
      </w:r>
      <w:r>
        <w:fldChar w:fldCharType="end"/>
      </w:r>
      <w:r>
        <w:fldChar w:fldCharType="end"/>
      </w:r>
    </w:p>
    <w:p>
      <w:pPr>
        <w:pStyle w:val="14"/>
        <w:tabs>
          <w:tab w:val="right" w:leader="dot" w:pos="8307"/>
          <w:tab w:val="clear" w:pos="1080"/>
          <w:tab w:val="clear" w:pos="8460"/>
        </w:tabs>
      </w:pPr>
      <w:r>
        <w:fldChar w:fldCharType="begin"/>
      </w:r>
      <w:r>
        <w:instrText xml:space="preserve"> HYPERLINK \l "_Toc30767" </w:instrText>
      </w:r>
      <w:r>
        <w:fldChar w:fldCharType="separate"/>
      </w:r>
      <w:r>
        <w:rPr>
          <w:rFonts w:hint="eastAsia"/>
          <w:szCs w:val="24"/>
        </w:rPr>
        <w:t>十  质保</w:t>
      </w:r>
      <w:r>
        <w:tab/>
      </w:r>
      <w:r>
        <w:fldChar w:fldCharType="begin"/>
      </w:r>
      <w:r>
        <w:instrText xml:space="preserve"> PAGEREF _Toc30767 \h </w:instrText>
      </w:r>
      <w:r>
        <w:fldChar w:fldCharType="separate"/>
      </w:r>
      <w:r>
        <w:t>20</w:t>
      </w:r>
      <w:r>
        <w:fldChar w:fldCharType="end"/>
      </w:r>
      <w:r>
        <w:fldChar w:fldCharType="end"/>
      </w:r>
    </w:p>
    <w:p>
      <w:pPr>
        <w:pStyle w:val="14"/>
        <w:tabs>
          <w:tab w:val="right" w:leader="dot" w:pos="8307"/>
          <w:tab w:val="clear" w:pos="1080"/>
          <w:tab w:val="clear" w:pos="8460"/>
        </w:tabs>
      </w:pPr>
      <w:r>
        <w:fldChar w:fldCharType="begin"/>
      </w:r>
      <w:r>
        <w:instrText xml:space="preserve"> HYPERLINK \l "_Toc8315" </w:instrText>
      </w:r>
      <w:r>
        <w:fldChar w:fldCharType="separate"/>
      </w:r>
      <w:r>
        <w:rPr>
          <w:rFonts w:hint="eastAsia"/>
          <w:szCs w:val="24"/>
        </w:rPr>
        <w:t>十一 考核</w:t>
      </w:r>
      <w:r>
        <w:tab/>
      </w:r>
      <w:r>
        <w:fldChar w:fldCharType="begin"/>
      </w:r>
      <w:r>
        <w:instrText xml:space="preserve"> PAGEREF _Toc8315 \h </w:instrText>
      </w:r>
      <w:r>
        <w:fldChar w:fldCharType="separate"/>
      </w:r>
      <w:r>
        <w:t>20</w:t>
      </w:r>
      <w:r>
        <w:fldChar w:fldCharType="end"/>
      </w:r>
      <w:r>
        <w:fldChar w:fldCharType="end"/>
      </w:r>
    </w:p>
    <w:p>
      <w:pPr>
        <w:pStyle w:val="15"/>
        <w:tabs>
          <w:tab w:val="right" w:leader="dot" w:pos="8307"/>
          <w:tab w:val="clear" w:pos="8460"/>
        </w:tabs>
        <w:spacing w:line="300" w:lineRule="auto"/>
        <w:rPr>
          <w:b/>
        </w:rPr>
      </w:pPr>
      <w:r>
        <w:rPr>
          <w:rFonts w:ascii="宋体" w:hAnsi="宋体"/>
        </w:rPr>
        <w:fldChar w:fldCharType="end"/>
      </w: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rFonts w:hint="eastAsia"/>
          <w:b/>
          <w:bCs/>
          <w:sz w:val="30"/>
          <w:szCs w:val="30"/>
        </w:rPr>
      </w:pPr>
    </w:p>
    <w:p>
      <w:pPr>
        <w:tabs>
          <w:tab w:val="left" w:pos="5628"/>
          <w:tab w:val="left" w:pos="5829"/>
        </w:tabs>
        <w:spacing w:line="300" w:lineRule="auto"/>
        <w:jc w:val="center"/>
        <w:rPr>
          <w:b/>
          <w:bCs/>
          <w:sz w:val="30"/>
          <w:szCs w:val="30"/>
        </w:rPr>
      </w:pPr>
      <w:r>
        <w:rPr>
          <w:rFonts w:hint="eastAsia"/>
          <w:b/>
          <w:bCs/>
          <w:sz w:val="30"/>
          <w:szCs w:val="30"/>
        </w:rPr>
        <w:t>#4机组值班燃烧器PMP应用研究</w:t>
      </w:r>
    </w:p>
    <w:p>
      <w:pPr>
        <w:tabs>
          <w:tab w:val="left" w:pos="5628"/>
          <w:tab w:val="left" w:pos="5829"/>
        </w:tabs>
        <w:spacing w:line="300" w:lineRule="auto"/>
        <w:jc w:val="center"/>
        <w:rPr>
          <w:b/>
          <w:bCs/>
          <w:sz w:val="30"/>
          <w:szCs w:val="30"/>
        </w:rPr>
      </w:pPr>
      <w:r>
        <w:rPr>
          <w:rFonts w:hint="eastAsia"/>
          <w:b/>
          <w:bCs/>
          <w:sz w:val="30"/>
          <w:szCs w:val="30"/>
        </w:rPr>
        <w:t>技术规范书</w:t>
      </w:r>
    </w:p>
    <w:p>
      <w:pPr>
        <w:pStyle w:val="3"/>
        <w:numPr>
          <w:ilvl w:val="0"/>
          <w:numId w:val="0"/>
        </w:numPr>
        <w:spacing w:before="0" w:after="0" w:line="300" w:lineRule="auto"/>
        <w:jc w:val="left"/>
        <w:rPr>
          <w:bCs/>
          <w:sz w:val="24"/>
          <w:szCs w:val="24"/>
        </w:rPr>
      </w:pPr>
      <w:bookmarkStart w:id="0" w:name="_Toc1558"/>
      <w:bookmarkStart w:id="1" w:name="_Toc27113"/>
      <w:bookmarkStart w:id="2" w:name="_Toc170885277"/>
      <w:bookmarkStart w:id="3" w:name="_Toc165023868"/>
      <w:r>
        <w:rPr>
          <w:rFonts w:hint="eastAsia"/>
          <w:bCs/>
          <w:sz w:val="24"/>
          <w:szCs w:val="24"/>
        </w:rPr>
        <w:t>一 技术规范</w:t>
      </w:r>
      <w:bookmarkEnd w:id="0"/>
      <w:bookmarkEnd w:id="1"/>
    </w:p>
    <w:p>
      <w:pPr>
        <w:spacing w:line="300" w:lineRule="auto"/>
        <w:outlineLvl w:val="1"/>
        <w:rPr>
          <w:rFonts w:hint="eastAsia" w:ascii="宋体" w:hAnsi="宋体" w:eastAsia="宋体" w:cs="宋体"/>
          <w:b/>
          <w:sz w:val="24"/>
        </w:rPr>
      </w:pPr>
      <w:bookmarkStart w:id="4" w:name="_Toc3097"/>
      <w:bookmarkStart w:id="5" w:name="_Toc9169"/>
      <w:r>
        <w:rPr>
          <w:rFonts w:hint="eastAsia" w:ascii="宋体" w:hAnsi="宋体" w:eastAsia="宋体" w:cs="宋体"/>
          <w:b/>
          <w:sz w:val="24"/>
        </w:rPr>
        <w:t>1 总则</w:t>
      </w:r>
      <w:bookmarkEnd w:id="4"/>
      <w:bookmarkEnd w:id="5"/>
    </w:p>
    <w:p>
      <w:pPr>
        <w:numPr>
          <w:ilvl w:val="1"/>
          <w:numId w:val="5"/>
        </w:numPr>
        <w:spacing w:line="300" w:lineRule="auto"/>
        <w:rPr>
          <w:sz w:val="24"/>
        </w:rPr>
      </w:pPr>
      <w:r>
        <w:rPr>
          <w:rFonts w:hint="eastAsia"/>
          <w:sz w:val="24"/>
        </w:rPr>
        <w:t>本技术规范书用于</w:t>
      </w:r>
      <w:r>
        <w:rPr>
          <w:rFonts w:hint="eastAsia"/>
          <w:sz w:val="24"/>
          <w:lang w:val="en-US" w:eastAsia="zh-CN"/>
        </w:rPr>
        <w:t>浙江浙能电力股份有限公司萧山</w:t>
      </w:r>
      <w:r>
        <w:rPr>
          <w:rFonts w:hint="eastAsia"/>
          <w:sz w:val="24"/>
        </w:rPr>
        <w:t>发</w:t>
      </w:r>
      <w:r>
        <w:rPr>
          <w:rFonts w:hint="eastAsia"/>
          <w:sz w:val="24"/>
          <w:lang w:eastAsia="zh-CN"/>
        </w:rPr>
        <w:t>电厂</w:t>
      </w:r>
      <w:r>
        <w:rPr>
          <w:rFonts w:hint="eastAsia"/>
          <w:sz w:val="24"/>
        </w:rPr>
        <w:t>（下称“</w:t>
      </w:r>
      <w:r>
        <w:rPr>
          <w:rFonts w:hint="eastAsia"/>
          <w:sz w:val="24"/>
          <w:lang w:eastAsia="zh-CN"/>
        </w:rPr>
        <w:t>萧山电厂</w:t>
      </w:r>
      <w:r>
        <w:rPr>
          <w:rFonts w:hint="eastAsia"/>
          <w:sz w:val="24"/>
        </w:rPr>
        <w:t>”）#4机组值班燃烧器PMP应用研究项目。它提出了值班燃烧器PMP应用研究项目的功能设计、结构、性能、安装、调试和试验等方面的技术要求。</w:t>
      </w:r>
    </w:p>
    <w:p>
      <w:pPr>
        <w:numPr>
          <w:ilvl w:val="1"/>
          <w:numId w:val="5"/>
        </w:numPr>
        <w:spacing w:line="300" w:lineRule="auto"/>
        <w:rPr>
          <w:sz w:val="24"/>
        </w:rPr>
      </w:pPr>
      <w:r>
        <w:rPr>
          <w:rFonts w:hint="eastAsia"/>
          <w:sz w:val="24"/>
        </w:rPr>
        <w:t>本技术规范中提出的为最低限度的技术要求，并未规定所有的技术要求和适用标准，投标人按要求提供1套满足本技术规范和所列标准要求的高质量优质产品及其相应服务，并对产品的技术改进进行充分地说明。</w:t>
      </w:r>
    </w:p>
    <w:p>
      <w:pPr>
        <w:numPr>
          <w:ilvl w:val="1"/>
          <w:numId w:val="5"/>
        </w:numPr>
        <w:spacing w:line="300" w:lineRule="auto"/>
        <w:rPr>
          <w:sz w:val="24"/>
        </w:rPr>
      </w:pPr>
      <w:r>
        <w:rPr>
          <w:rFonts w:hint="eastAsia"/>
          <w:sz w:val="24"/>
        </w:rPr>
        <w:t>投标人根据</w:t>
      </w:r>
      <w:r>
        <w:rPr>
          <w:rFonts w:hint="eastAsia"/>
          <w:sz w:val="24"/>
          <w:lang w:eastAsia="zh-CN"/>
        </w:rPr>
        <w:t>萧山电厂</w:t>
      </w:r>
      <w:r>
        <w:rPr>
          <w:rFonts w:hint="eastAsia"/>
          <w:sz w:val="24"/>
        </w:rPr>
        <w:t>的工况条件和机组启停及运行特点，在各种工况下，对#4机组值班燃烧器PMP应用研究项目进行优化。对国家有关安全、环保等强制性法律、法规、规范和标准，必须满足其要求。</w:t>
      </w:r>
    </w:p>
    <w:p>
      <w:pPr>
        <w:numPr>
          <w:ilvl w:val="1"/>
          <w:numId w:val="5"/>
        </w:numPr>
        <w:spacing w:line="300" w:lineRule="auto"/>
        <w:rPr>
          <w:sz w:val="24"/>
        </w:rPr>
      </w:pPr>
      <w:r>
        <w:rPr>
          <w:rFonts w:hint="eastAsia"/>
          <w:sz w:val="24"/>
        </w:rPr>
        <w:t>投标人须执行本技术规范所列规程、规范和标准；有矛盾时，按较高标准执行。投标人在设备设计和制造中所涉及的各项规程、规范和标准遵循现行最新标准版本。</w:t>
      </w:r>
      <w:r>
        <w:rPr>
          <w:rFonts w:hint="eastAsia"/>
          <w:sz w:val="24"/>
          <w:lang w:val="en-US" w:eastAsia="zh-CN"/>
        </w:rPr>
        <w:t>若存在异议，由双方协商确认。</w:t>
      </w:r>
    </w:p>
    <w:p>
      <w:pPr>
        <w:numPr>
          <w:ilvl w:val="1"/>
          <w:numId w:val="5"/>
        </w:numPr>
        <w:spacing w:line="300" w:lineRule="auto"/>
        <w:rPr>
          <w:sz w:val="24"/>
        </w:rPr>
      </w:pPr>
      <w:r>
        <w:rPr>
          <w:rFonts w:hint="eastAsia"/>
          <w:sz w:val="24"/>
        </w:rPr>
        <w:t>本技术规范若有前后不一致的地方，以更有利于设备安装运行、工程质量的原则为准，并由招标人确定。</w:t>
      </w:r>
    </w:p>
    <w:p>
      <w:pPr>
        <w:numPr>
          <w:ilvl w:val="1"/>
          <w:numId w:val="5"/>
        </w:numPr>
        <w:spacing w:line="300" w:lineRule="auto"/>
        <w:rPr>
          <w:sz w:val="24"/>
        </w:rPr>
      </w:pPr>
      <w:r>
        <w:rPr>
          <w:rFonts w:hint="eastAsia"/>
          <w:sz w:val="24"/>
        </w:rPr>
        <w:t>投标人提出设备的设计、制造、检验/试验、装配、安装、调试、验收、试验、运行和维护等标准清单给招标人，供招标人确认。</w:t>
      </w:r>
    </w:p>
    <w:p>
      <w:pPr>
        <w:numPr>
          <w:ilvl w:val="1"/>
          <w:numId w:val="5"/>
        </w:numPr>
        <w:spacing w:line="300" w:lineRule="auto"/>
        <w:rPr>
          <w:sz w:val="24"/>
        </w:rPr>
      </w:pPr>
      <w:r>
        <w:rPr>
          <w:rFonts w:hint="eastAsia"/>
          <w:sz w:val="24"/>
        </w:rPr>
        <w:t>设备采用的专利涉及到的全部费用均被认为已包含在设备报价中，投标人应保证招标人不承担因购买和使用有关设备专利的一切责任。</w:t>
      </w:r>
    </w:p>
    <w:p>
      <w:pPr>
        <w:numPr>
          <w:ilvl w:val="1"/>
          <w:numId w:val="5"/>
        </w:numPr>
        <w:spacing w:line="300" w:lineRule="auto"/>
        <w:rPr>
          <w:sz w:val="24"/>
        </w:rPr>
      </w:pPr>
      <w:r>
        <w:rPr>
          <w:rFonts w:hint="eastAsia"/>
          <w:sz w:val="24"/>
        </w:rPr>
        <w:t>在签订合同之后，招标人保留对本技术规范提出补充要求和修改的权利，投标人应承诺予以配合</w:t>
      </w:r>
      <w:r>
        <w:rPr>
          <w:rFonts w:hint="eastAsia"/>
          <w:sz w:val="24"/>
          <w:lang w:eastAsia="zh-CN"/>
        </w:rPr>
        <w:t>，</w:t>
      </w:r>
      <w:r>
        <w:rPr>
          <w:rFonts w:hint="eastAsia"/>
          <w:sz w:val="24"/>
          <w:lang w:val="en-US" w:eastAsia="zh-CN"/>
        </w:rPr>
        <w:t>经双方协商后执行</w:t>
      </w:r>
      <w:r>
        <w:rPr>
          <w:rFonts w:hint="eastAsia"/>
          <w:sz w:val="24"/>
        </w:rPr>
        <w:t>。</w:t>
      </w:r>
    </w:p>
    <w:p>
      <w:pPr>
        <w:numPr>
          <w:ilvl w:val="1"/>
          <w:numId w:val="5"/>
        </w:numPr>
        <w:spacing w:line="300" w:lineRule="auto"/>
        <w:ind w:left="454"/>
        <w:rPr>
          <w:rFonts w:hint="eastAsia" w:ascii="宋体" w:hAnsi="宋体" w:eastAsia="宋体" w:cs="宋体"/>
          <w:sz w:val="24"/>
          <w:szCs w:val="24"/>
        </w:rPr>
      </w:pPr>
      <w:r>
        <w:rPr>
          <w:rFonts w:hint="eastAsia" w:ascii="宋体" w:hAnsi="宋体" w:eastAsia="宋体" w:cs="宋体"/>
          <w:sz w:val="24"/>
          <w:szCs w:val="24"/>
        </w:rPr>
        <w:t>投标人工作范围：</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1.9.1负责本项目的设计、安装和现场调试工作。</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1.9.2负责提供本项目所需所有设备及辅材，并对所供设备其服务负有全责。</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1.9.3负责本项目涉及的管道、阀门、执行机构、保温、燃烧器拆装及焊接、封堵、调试等工作内容。</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1.9.4负责修改本项目相关点火及控制逻辑、静态及动态调试、TCS系统机柜内部改线、A-SMC系统及配套附件安装调试等工作。</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1.9.5负责本项目燃烧器及管路阀门安装完成后的泄漏检测，并保证符合验收标准。</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1.9.6配合招标人完成本项目配套工作。</w:t>
      </w:r>
    </w:p>
    <w:p>
      <w:pPr>
        <w:numPr>
          <w:ilvl w:val="0"/>
          <w:numId w:val="0"/>
        </w:numPr>
        <w:spacing w:line="300" w:lineRule="auto"/>
        <w:ind w:left="57"/>
        <w:rPr>
          <w:rFonts w:hint="eastAsia" w:ascii="宋体" w:hAnsi="宋体" w:eastAsia="宋体" w:cs="宋体"/>
          <w:sz w:val="24"/>
          <w:szCs w:val="24"/>
        </w:rPr>
      </w:pPr>
      <w:r>
        <w:rPr>
          <w:rFonts w:hint="eastAsia" w:ascii="宋体" w:hAnsi="宋体" w:eastAsia="宋体" w:cs="宋体"/>
          <w:sz w:val="24"/>
          <w:szCs w:val="24"/>
        </w:rPr>
        <w:t>1.9.7提供本项目工作总结报告和技术总结报告。</w:t>
      </w:r>
    </w:p>
    <w:p>
      <w:pPr>
        <w:numPr>
          <w:ilvl w:val="1"/>
          <w:numId w:val="5"/>
        </w:numPr>
        <w:tabs>
          <w:tab w:val="left" w:pos="0"/>
        </w:tabs>
        <w:spacing w:line="300" w:lineRule="auto"/>
        <w:ind w:left="454"/>
        <w:rPr>
          <w:rFonts w:hint="eastAsia" w:ascii="宋体" w:hAnsi="宋体" w:eastAsia="宋体" w:cs="宋体"/>
          <w:sz w:val="24"/>
          <w:szCs w:val="24"/>
        </w:rPr>
      </w:pPr>
      <w:r>
        <w:rPr>
          <w:rFonts w:hint="eastAsia" w:ascii="宋体" w:hAnsi="宋体" w:eastAsia="宋体" w:cs="宋体"/>
          <w:sz w:val="24"/>
          <w:szCs w:val="24"/>
        </w:rPr>
        <w:t>招标人工作范围：</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1.10.1 负责本项目涉及的燃机罩壳区域内化妆板、钢梁、仪控及电气设备拆装工作及调试配合工作。</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1.10.2 负责向投标人提供燃气轮机相关图纸、TCS备份文档。</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1.10.3配合软件下装及静态、动态调试工作。</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1.10.4负责对投标人最终完成的系统进行设备运行情况监视、验收。</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1.10.5负责工作协调，参与控制策略研究，确保工程按时完工。</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1.10.6负责对投标人现场施工人员进行安全交底及现场监护，过程监督管理。</w:t>
      </w:r>
    </w:p>
    <w:p>
      <w:pPr>
        <w:numPr>
          <w:ilvl w:val="0"/>
          <w:numId w:val="0"/>
        </w:numPr>
        <w:tabs>
          <w:tab w:val="left" w:pos="0"/>
        </w:tabs>
        <w:spacing w:line="300" w:lineRule="auto"/>
        <w:ind w:left="57"/>
        <w:rPr>
          <w:rFonts w:hint="eastAsia" w:ascii="宋体" w:hAnsi="宋体" w:eastAsia="宋体" w:cs="宋体"/>
          <w:sz w:val="24"/>
          <w:szCs w:val="24"/>
        </w:rPr>
      </w:pPr>
      <w:r>
        <w:rPr>
          <w:rFonts w:hint="eastAsia" w:ascii="宋体" w:hAnsi="宋体" w:eastAsia="宋体" w:cs="宋体"/>
          <w:sz w:val="24"/>
          <w:szCs w:val="24"/>
        </w:rPr>
        <w:t>1.10.7配合投标人现场服务人员的工作，并在生活、交通和通讯上提供便利。</w:t>
      </w:r>
    </w:p>
    <w:p>
      <w:pPr>
        <w:numPr>
          <w:ilvl w:val="1"/>
          <w:numId w:val="5"/>
        </w:numPr>
        <w:spacing w:line="300" w:lineRule="auto"/>
        <w:rPr>
          <w:rFonts w:hint="eastAsia" w:ascii="宋体" w:hAnsi="宋体" w:eastAsia="宋体" w:cs="宋体"/>
          <w:sz w:val="24"/>
          <w:szCs w:val="24"/>
        </w:rPr>
      </w:pPr>
      <w:r>
        <w:rPr>
          <w:rFonts w:hint="eastAsia" w:ascii="宋体" w:hAnsi="宋体" w:eastAsia="宋体" w:cs="宋体"/>
          <w:sz w:val="24"/>
          <w:szCs w:val="24"/>
        </w:rPr>
        <w:t>投标文件应至少包括下列内容：</w:t>
      </w:r>
    </w:p>
    <w:p>
      <w:pPr>
        <w:spacing w:line="300" w:lineRule="auto"/>
        <w:jc w:val="left"/>
        <w:rPr>
          <w:rFonts w:hint="eastAsia" w:ascii="宋体" w:hAnsi="宋体" w:eastAsia="宋体" w:cs="宋体"/>
          <w:sz w:val="24"/>
          <w:szCs w:val="24"/>
        </w:rPr>
      </w:pPr>
      <w:r>
        <w:rPr>
          <w:rFonts w:hint="eastAsia" w:ascii="宋体" w:hAnsi="宋体" w:eastAsia="宋体" w:cs="宋体"/>
          <w:sz w:val="24"/>
          <w:szCs w:val="24"/>
        </w:rPr>
        <w:t>1.11.1 本项目的供货范围，包括所有部件、服务和有关图纸资料。</w:t>
      </w:r>
    </w:p>
    <w:p>
      <w:pPr>
        <w:spacing w:line="300" w:lineRule="auto"/>
        <w:jc w:val="left"/>
        <w:rPr>
          <w:rFonts w:hint="eastAsia" w:ascii="宋体" w:hAnsi="宋体" w:eastAsia="宋体" w:cs="宋体"/>
          <w:sz w:val="24"/>
          <w:szCs w:val="24"/>
        </w:rPr>
      </w:pPr>
      <w:r>
        <w:rPr>
          <w:rFonts w:hint="eastAsia" w:ascii="宋体" w:hAnsi="宋体" w:eastAsia="宋体" w:cs="宋体"/>
          <w:sz w:val="24"/>
          <w:szCs w:val="24"/>
        </w:rPr>
        <w:t>1.11.2投标人认为有助于提高设备性能或寿命的建议。</w:t>
      </w:r>
    </w:p>
    <w:p>
      <w:pPr>
        <w:spacing w:line="300" w:lineRule="auto"/>
        <w:jc w:val="left"/>
        <w:rPr>
          <w:rFonts w:hint="eastAsia" w:ascii="宋体" w:hAnsi="宋体" w:eastAsia="宋体" w:cs="宋体"/>
          <w:sz w:val="24"/>
          <w:szCs w:val="24"/>
        </w:rPr>
      </w:pPr>
      <w:r>
        <w:rPr>
          <w:rFonts w:hint="eastAsia" w:ascii="宋体" w:hAnsi="宋体" w:eastAsia="宋体" w:cs="宋体"/>
          <w:sz w:val="24"/>
          <w:szCs w:val="24"/>
        </w:rPr>
        <w:t>1.11.3设计及供货所依据的规范及标准。</w:t>
      </w:r>
    </w:p>
    <w:p>
      <w:pPr>
        <w:spacing w:line="300" w:lineRule="auto"/>
        <w:jc w:val="left"/>
        <w:rPr>
          <w:rFonts w:hint="eastAsia" w:ascii="宋体" w:hAnsi="宋体" w:eastAsia="宋体" w:cs="宋体"/>
          <w:sz w:val="24"/>
          <w:szCs w:val="24"/>
        </w:rPr>
      </w:pPr>
      <w:r>
        <w:rPr>
          <w:rFonts w:hint="eastAsia" w:ascii="宋体" w:hAnsi="宋体" w:eastAsia="宋体" w:cs="宋体"/>
          <w:sz w:val="24"/>
          <w:szCs w:val="24"/>
        </w:rPr>
        <w:t>1.11.4备品备件清单。</w:t>
      </w:r>
    </w:p>
    <w:p>
      <w:pPr>
        <w:spacing w:line="300" w:lineRule="auto"/>
        <w:jc w:val="left"/>
        <w:rPr>
          <w:rFonts w:hint="eastAsia" w:ascii="宋体" w:hAnsi="宋体" w:eastAsia="宋体" w:cs="宋体"/>
          <w:sz w:val="24"/>
          <w:szCs w:val="24"/>
        </w:rPr>
      </w:pPr>
      <w:r>
        <w:rPr>
          <w:rFonts w:hint="eastAsia" w:ascii="宋体" w:hAnsi="宋体" w:eastAsia="宋体" w:cs="宋体"/>
          <w:sz w:val="24"/>
          <w:szCs w:val="24"/>
        </w:rPr>
        <w:t>1.11.5本技术规范书中所要求的其它说明、资料等。</w:t>
      </w:r>
    </w:p>
    <w:p>
      <w:pPr>
        <w:spacing w:line="300" w:lineRule="auto"/>
        <w:outlineLvl w:val="1"/>
        <w:rPr>
          <w:rFonts w:hint="eastAsia" w:ascii="宋体" w:hAnsi="宋体" w:eastAsia="宋体" w:cs="宋体"/>
          <w:b/>
          <w:sz w:val="24"/>
        </w:rPr>
      </w:pPr>
      <w:bookmarkStart w:id="6" w:name="_Toc27873"/>
      <w:bookmarkStart w:id="7" w:name="_Toc23441"/>
      <w:r>
        <w:rPr>
          <w:rFonts w:hint="eastAsia" w:ascii="宋体" w:hAnsi="宋体" w:eastAsia="宋体" w:cs="宋体"/>
          <w:b/>
          <w:sz w:val="24"/>
        </w:rPr>
        <w:t>2 规范和标准</w:t>
      </w:r>
      <w:bookmarkEnd w:id="6"/>
      <w:bookmarkEnd w:id="7"/>
    </w:p>
    <w:p>
      <w:pPr>
        <w:spacing w:line="300" w:lineRule="auto"/>
        <w:ind w:firstLine="501" w:firstLineChars="209"/>
        <w:rPr>
          <w:rFonts w:ascii="宋体" w:hAnsi="宋体" w:cs="宋体"/>
          <w:sz w:val="24"/>
        </w:rPr>
      </w:pPr>
      <w:r>
        <w:rPr>
          <w:rFonts w:hint="eastAsia" w:ascii="宋体" w:hAnsi="宋体" w:cs="宋体"/>
          <w:sz w:val="24"/>
        </w:rPr>
        <w:t>本规范中涉及的所有规范、标准(包括一切有效的补充或附录)均为最新版本,若发现本规范与参照的文献之间有不一致之处,投标人向招标人书面指明，并由招标人最后决定。本规范中未提及的内容均应满足或优于本规范所列的国家标准、电力行业标准和有关国际标准。有矛盾时，按较高标准执行。</w:t>
      </w:r>
    </w:p>
    <w:p>
      <w:pPr>
        <w:numPr>
          <w:ilvl w:val="0"/>
          <w:numId w:val="0"/>
        </w:numPr>
        <w:spacing w:line="300" w:lineRule="auto"/>
        <w:ind w:left="1632" w:leftChars="175" w:hanging="1264" w:hangingChars="527"/>
        <w:rPr>
          <w:rFonts w:ascii="宋体" w:hAnsi="宋体" w:cs="宋体"/>
          <w:sz w:val="24"/>
        </w:rPr>
      </w:pPr>
      <w:r>
        <w:rPr>
          <w:rFonts w:hint="eastAsia" w:ascii="宋体" w:hAnsi="宋体" w:cs="宋体"/>
          <w:sz w:val="24"/>
        </w:rPr>
        <w:t>投标人所供设备应遵循下列协会的有关规范和标准(但不限于这些标准)：</w:t>
      </w:r>
    </w:p>
    <w:p>
      <w:pPr>
        <w:pStyle w:val="30"/>
        <w:numPr>
          <w:ilvl w:val="0"/>
          <w:numId w:val="0"/>
        </w:numPr>
        <w:snapToGrid w:val="0"/>
        <w:spacing w:line="300" w:lineRule="auto"/>
        <w:ind w:left="450"/>
        <w:rPr>
          <w:rFonts w:ascii="宋体" w:hAnsi="宋体"/>
          <w:sz w:val="24"/>
          <w:szCs w:val="24"/>
        </w:rPr>
      </w:pPr>
      <w:r>
        <w:fldChar w:fldCharType="begin"/>
      </w:r>
      <w:r>
        <w:instrText xml:space="preserve"> HYPERLINK "javascript:__doPostBack('rptList$ctl06$lbtnStdNO','')" </w:instrText>
      </w:r>
      <w:r>
        <w:fldChar w:fldCharType="separate"/>
      </w:r>
      <w:r>
        <w:rPr>
          <w:rFonts w:hint="eastAsia" w:ascii="宋体" w:hAnsi="宋体"/>
          <w:sz w:val="24"/>
          <w:szCs w:val="24"/>
        </w:rPr>
        <w:t>GB/T 42591</w:t>
      </w:r>
      <w:r>
        <w:rPr>
          <w:rFonts w:hint="eastAsia" w:ascii="宋体" w:hAnsi="宋体"/>
          <w:sz w:val="24"/>
          <w:szCs w:val="24"/>
        </w:rPr>
        <w:fldChar w:fldCharType="end"/>
      </w:r>
      <w:r>
        <w:rPr>
          <w:rFonts w:hint="eastAsia" w:ascii="宋体" w:hAnsi="宋体"/>
          <w:sz w:val="24"/>
          <w:szCs w:val="24"/>
        </w:rPr>
        <w:t xml:space="preserve"> 燃气轮机 质量控制规范</w:t>
      </w:r>
    </w:p>
    <w:p>
      <w:pPr>
        <w:pStyle w:val="30"/>
        <w:numPr>
          <w:ilvl w:val="0"/>
          <w:numId w:val="0"/>
        </w:numPr>
        <w:snapToGrid w:val="0"/>
        <w:spacing w:line="300" w:lineRule="auto"/>
        <w:ind w:left="450"/>
        <w:rPr>
          <w:rFonts w:ascii="宋体" w:hAnsi="宋体"/>
          <w:sz w:val="24"/>
          <w:szCs w:val="24"/>
        </w:rPr>
      </w:pPr>
      <w:r>
        <w:rPr>
          <w:rFonts w:ascii="宋体" w:hAnsi="宋体"/>
          <w:sz w:val="24"/>
          <w:szCs w:val="24"/>
        </w:rPr>
        <w:t>DL</w:t>
      </w:r>
      <w:r>
        <w:rPr>
          <w:rFonts w:hint="eastAsia" w:ascii="宋体" w:hAnsi="宋体"/>
          <w:sz w:val="24"/>
          <w:szCs w:val="24"/>
        </w:rPr>
        <w:t xml:space="preserve"> </w:t>
      </w:r>
      <w:r>
        <w:rPr>
          <w:rFonts w:ascii="宋体" w:hAnsi="宋体"/>
          <w:sz w:val="24"/>
          <w:szCs w:val="24"/>
        </w:rPr>
        <w:t>5190《电力建设施工技术规范》(汽轮发电机组篇及其它相关篇等）</w:t>
      </w:r>
    </w:p>
    <w:p>
      <w:pPr>
        <w:pStyle w:val="30"/>
        <w:numPr>
          <w:ilvl w:val="0"/>
          <w:numId w:val="0"/>
        </w:numPr>
        <w:snapToGrid w:val="0"/>
        <w:spacing w:line="300" w:lineRule="auto"/>
        <w:ind w:left="450"/>
        <w:rPr>
          <w:rFonts w:ascii="宋体" w:hAnsi="宋体"/>
          <w:sz w:val="24"/>
          <w:szCs w:val="24"/>
        </w:rPr>
      </w:pPr>
      <w:r>
        <w:fldChar w:fldCharType="begin"/>
      </w:r>
      <w:r>
        <w:instrText xml:space="preserve"> HYPERLINK "javascript:__doPostBack('rptList$ctl04$lbtnStdNO','')" </w:instrText>
      </w:r>
      <w:r>
        <w:fldChar w:fldCharType="separate"/>
      </w:r>
      <w:r>
        <w:rPr>
          <w:rFonts w:hint="eastAsia" w:ascii="宋体" w:hAnsi="宋体"/>
          <w:sz w:val="24"/>
          <w:szCs w:val="24"/>
        </w:rPr>
        <w:t>DL/T 2273</w:t>
      </w:r>
      <w:r>
        <w:rPr>
          <w:rFonts w:hint="eastAsia" w:ascii="宋体" w:hAnsi="宋体"/>
          <w:sz w:val="24"/>
          <w:szCs w:val="24"/>
        </w:rPr>
        <w:fldChar w:fldCharType="end"/>
      </w:r>
      <w:r>
        <w:rPr>
          <w:rFonts w:hint="eastAsia" w:ascii="宋体" w:hAnsi="宋体"/>
          <w:sz w:val="24"/>
          <w:szCs w:val="24"/>
        </w:rPr>
        <w:t xml:space="preserve"> 联合循环电站燃气轮机技术监督规程</w:t>
      </w:r>
    </w:p>
    <w:p>
      <w:pPr>
        <w:pStyle w:val="30"/>
        <w:numPr>
          <w:ilvl w:val="0"/>
          <w:numId w:val="0"/>
        </w:numPr>
        <w:snapToGrid w:val="0"/>
        <w:spacing w:line="300" w:lineRule="auto"/>
        <w:ind w:left="450"/>
        <w:rPr>
          <w:rFonts w:ascii="宋体" w:hAnsi="宋体"/>
          <w:sz w:val="24"/>
          <w:szCs w:val="24"/>
        </w:rPr>
      </w:pPr>
      <w:r>
        <w:rPr>
          <w:rFonts w:hint="eastAsia" w:ascii="宋体" w:hAnsi="宋体"/>
          <w:sz w:val="24"/>
          <w:szCs w:val="24"/>
        </w:rPr>
        <w:t>D</w:t>
      </w:r>
      <w:r>
        <w:rPr>
          <w:rFonts w:ascii="宋体" w:hAnsi="宋体"/>
          <w:sz w:val="24"/>
          <w:szCs w:val="24"/>
        </w:rPr>
        <w:t>L/T</w:t>
      </w:r>
      <w:r>
        <w:rPr>
          <w:rFonts w:hint="eastAsia" w:ascii="宋体" w:hAnsi="宋体"/>
          <w:sz w:val="24"/>
          <w:szCs w:val="24"/>
        </w:rPr>
        <w:t xml:space="preserve"> </w:t>
      </w:r>
      <w:r>
        <w:rPr>
          <w:rFonts w:ascii="宋体" w:hAnsi="宋体"/>
          <w:sz w:val="24"/>
          <w:szCs w:val="24"/>
        </w:rPr>
        <w:t>5437《火力发电建设工程启动试运及验收规程》</w:t>
      </w:r>
    </w:p>
    <w:p>
      <w:pPr>
        <w:pStyle w:val="30"/>
        <w:numPr>
          <w:ilvl w:val="0"/>
          <w:numId w:val="0"/>
        </w:numPr>
        <w:snapToGrid w:val="0"/>
        <w:spacing w:line="300" w:lineRule="auto"/>
        <w:ind w:left="450"/>
        <w:rPr>
          <w:rFonts w:ascii="宋体" w:hAnsi="宋体"/>
          <w:sz w:val="24"/>
          <w:szCs w:val="24"/>
        </w:rPr>
      </w:pPr>
      <w:r>
        <w:rPr>
          <w:rFonts w:ascii="宋体" w:hAnsi="宋体"/>
          <w:sz w:val="24"/>
          <w:szCs w:val="24"/>
        </w:rPr>
        <w:t xml:space="preserve">ASME PTC 22-2014 </w:t>
      </w:r>
      <w:r>
        <w:rPr>
          <w:rFonts w:hint="eastAsia" w:ascii="宋体" w:hAnsi="宋体"/>
          <w:sz w:val="24"/>
          <w:szCs w:val="24"/>
        </w:rPr>
        <w:t>燃气轮机性能试验规程。</w:t>
      </w:r>
      <w:r>
        <w:rPr>
          <w:rFonts w:ascii="宋体" w:hAnsi="宋体"/>
          <w:sz w:val="24"/>
          <w:szCs w:val="24"/>
        </w:rPr>
        <w:t xml:space="preserve"> </w:t>
      </w:r>
    </w:p>
    <w:p>
      <w:pPr>
        <w:pStyle w:val="30"/>
        <w:numPr>
          <w:ilvl w:val="0"/>
          <w:numId w:val="0"/>
        </w:numPr>
        <w:snapToGrid w:val="0"/>
        <w:spacing w:line="300" w:lineRule="auto"/>
        <w:ind w:left="450"/>
        <w:rPr>
          <w:rFonts w:ascii="宋体" w:hAnsi="宋体"/>
          <w:sz w:val="24"/>
          <w:szCs w:val="24"/>
        </w:rPr>
      </w:pPr>
      <w:r>
        <w:rPr>
          <w:rFonts w:ascii="宋体" w:hAnsi="宋体"/>
          <w:sz w:val="24"/>
          <w:szCs w:val="24"/>
        </w:rPr>
        <w:t>ISO 2314</w:t>
      </w:r>
      <w:r>
        <w:rPr>
          <w:rFonts w:hint="eastAsia" w:ascii="宋体" w:hAnsi="宋体"/>
          <w:sz w:val="24"/>
          <w:szCs w:val="24"/>
        </w:rPr>
        <w:t>燃气轮机性能试验规程。</w:t>
      </w:r>
      <w:r>
        <w:rPr>
          <w:rFonts w:ascii="宋体" w:hAnsi="宋体"/>
          <w:sz w:val="24"/>
          <w:szCs w:val="24"/>
        </w:rPr>
        <w:t xml:space="preserve"> </w:t>
      </w:r>
    </w:p>
    <w:p>
      <w:pPr>
        <w:pStyle w:val="30"/>
        <w:numPr>
          <w:ilvl w:val="0"/>
          <w:numId w:val="0"/>
        </w:numPr>
        <w:snapToGrid w:val="0"/>
        <w:spacing w:line="300" w:lineRule="auto"/>
        <w:ind w:left="450"/>
        <w:rPr>
          <w:rFonts w:ascii="宋体" w:hAnsi="宋体"/>
          <w:sz w:val="24"/>
          <w:szCs w:val="24"/>
        </w:rPr>
      </w:pPr>
      <w:r>
        <w:rPr>
          <w:rFonts w:hint="eastAsia" w:ascii="宋体" w:hAnsi="宋体"/>
          <w:sz w:val="24"/>
          <w:szCs w:val="24"/>
        </w:rPr>
        <w:t xml:space="preserve">ISO 6976 天然气－根据成分计算发热量、密度、 相对密度和沃泊指数。 </w:t>
      </w:r>
    </w:p>
    <w:p>
      <w:pPr>
        <w:pStyle w:val="30"/>
        <w:numPr>
          <w:ilvl w:val="0"/>
          <w:numId w:val="0"/>
        </w:numPr>
        <w:snapToGrid w:val="0"/>
        <w:spacing w:line="300" w:lineRule="auto"/>
        <w:ind w:left="450"/>
        <w:rPr>
          <w:rFonts w:ascii="宋体" w:hAnsi="宋体"/>
          <w:sz w:val="24"/>
          <w:szCs w:val="24"/>
        </w:rPr>
      </w:pPr>
      <w:r>
        <w:rPr>
          <w:rFonts w:hint="eastAsia" w:ascii="宋体" w:hAnsi="宋体"/>
          <w:sz w:val="24"/>
          <w:szCs w:val="24"/>
        </w:rPr>
        <w:t xml:space="preserve">AGA Report No.8 美国天然气协会报告天然气及其它相关 烃类气体的压缩因数。 </w:t>
      </w:r>
    </w:p>
    <w:p>
      <w:pPr>
        <w:numPr>
          <w:ilvl w:val="0"/>
          <w:numId w:val="0"/>
        </w:numPr>
        <w:spacing w:line="300" w:lineRule="auto"/>
        <w:ind w:firstLine="480" w:firstLineChars="200"/>
        <w:rPr>
          <w:sz w:val="24"/>
        </w:rPr>
      </w:pPr>
      <w:r>
        <w:rPr>
          <w:rFonts w:hint="eastAsia"/>
          <w:sz w:val="24"/>
        </w:rPr>
        <w:t>如按引进技术标准设计制造，须同时满足最新版的行业相应的规范和标准，以及有关安全、环保及其它方面最新版的国家强制性标准和规程(规定)的要求，当两者有矛盾时，应按高标准执行，并及时通知招标人，由招标人确认。</w:t>
      </w:r>
    </w:p>
    <w:p>
      <w:pPr>
        <w:spacing w:line="300" w:lineRule="auto"/>
        <w:outlineLvl w:val="1"/>
        <w:rPr>
          <w:rFonts w:hint="eastAsia" w:ascii="宋体" w:hAnsi="宋体" w:eastAsia="宋体" w:cs="宋体"/>
          <w:b/>
          <w:sz w:val="24"/>
        </w:rPr>
      </w:pPr>
      <w:bookmarkStart w:id="8" w:name="_Toc746"/>
      <w:bookmarkStart w:id="9" w:name="_Toc8243"/>
      <w:r>
        <w:rPr>
          <w:rFonts w:hint="eastAsia" w:ascii="宋体" w:hAnsi="宋体" w:eastAsia="宋体" w:cs="宋体"/>
          <w:b/>
          <w:sz w:val="24"/>
        </w:rPr>
        <w:t>3  投标人业绩</w:t>
      </w:r>
      <w:bookmarkEnd w:id="8"/>
      <w:bookmarkEnd w:id="9"/>
    </w:p>
    <w:p>
      <w:pPr>
        <w:spacing w:line="300" w:lineRule="auto"/>
        <w:ind w:firstLine="480" w:firstLineChars="200"/>
        <w:rPr>
          <w:bCs/>
          <w:sz w:val="24"/>
        </w:rPr>
      </w:pPr>
      <w:r>
        <w:rPr>
          <w:rFonts w:hint="eastAsia"/>
          <w:bCs/>
          <w:sz w:val="24"/>
        </w:rPr>
        <w:t>投标人业绩要求:具有5项及以上西门子9F级燃机值班PMP燃烧器改造业绩证明。</w:t>
      </w:r>
    </w:p>
    <w:p>
      <w:pPr>
        <w:spacing w:line="300" w:lineRule="auto"/>
        <w:outlineLvl w:val="1"/>
        <w:rPr>
          <w:rFonts w:hint="eastAsia" w:ascii="宋体" w:hAnsi="宋体" w:eastAsia="宋体" w:cs="宋体"/>
          <w:b/>
          <w:sz w:val="24"/>
        </w:rPr>
      </w:pPr>
      <w:bookmarkStart w:id="10" w:name="_Toc16941"/>
      <w:bookmarkStart w:id="11" w:name="_Toc23742"/>
      <w:r>
        <w:rPr>
          <w:rFonts w:hint="eastAsia" w:ascii="宋体" w:hAnsi="宋体" w:eastAsia="宋体" w:cs="宋体"/>
          <w:b/>
          <w:sz w:val="24"/>
        </w:rPr>
        <w:t>4 项目概况</w:t>
      </w:r>
      <w:bookmarkEnd w:id="10"/>
      <w:bookmarkEnd w:id="11"/>
    </w:p>
    <w:p>
      <w:pPr>
        <w:spacing w:line="300" w:lineRule="auto"/>
        <w:ind w:firstLine="480" w:firstLineChars="200"/>
        <w:outlineLvl w:val="2"/>
        <w:rPr>
          <w:bCs/>
          <w:sz w:val="24"/>
        </w:rPr>
      </w:pPr>
      <w:r>
        <w:rPr>
          <w:rFonts w:hint="eastAsia"/>
          <w:bCs/>
          <w:sz w:val="24"/>
        </w:rPr>
        <w:t xml:space="preserve"> </w:t>
      </w:r>
      <w:r>
        <w:rPr>
          <w:rFonts w:hint="eastAsia"/>
          <w:bCs/>
          <w:sz w:val="24"/>
          <w:lang w:eastAsia="zh-CN"/>
        </w:rPr>
        <w:t>萧山电厂</w:t>
      </w:r>
      <w:r>
        <w:rPr>
          <w:rFonts w:hint="eastAsia"/>
          <w:bCs/>
          <w:sz w:val="24"/>
        </w:rPr>
        <w:t>#4燃机为西门子SGT5-4000F（2）型燃机。在天气干燥，空气相对湿度低时，燃机烟气排放中NOx（氮氧化物）高于当前要求。为降低燃机烟气排放中NOx（氮氧化物）排放，并结合我厂的实际情况，拟对#4燃机开展</w:t>
      </w:r>
      <w:r>
        <w:rPr>
          <w:rFonts w:hint="eastAsia"/>
          <w:sz w:val="24"/>
        </w:rPr>
        <w:t>值班燃烧器PMP应用研究</w:t>
      </w:r>
      <w:r>
        <w:rPr>
          <w:rFonts w:hint="eastAsia"/>
          <w:bCs/>
          <w:sz w:val="24"/>
        </w:rPr>
        <w:t>，把现有扩散燃烧模式的值班火焰喷嘴升级改造为预混模式的喷嘴，从而真正实现燃机在全负荷区域的预混燃烧。通过该升级，将实现在全部负荷段的预混燃烧模式，从而降低NOx（氮氧化物）排放。</w:t>
      </w:r>
    </w:p>
    <w:p>
      <w:pPr>
        <w:spacing w:line="300" w:lineRule="auto"/>
        <w:outlineLvl w:val="3"/>
        <w:rPr>
          <w:rFonts w:hint="eastAsia" w:ascii="宋体" w:hAnsi="宋体" w:eastAsia="宋体" w:cs="宋体"/>
          <w:b/>
          <w:bCs/>
          <w:sz w:val="24"/>
        </w:rPr>
      </w:pPr>
      <w:r>
        <w:rPr>
          <w:rFonts w:hint="eastAsia" w:ascii="宋体" w:hAnsi="宋体" w:eastAsia="宋体" w:cs="宋体"/>
          <w:b/>
          <w:sz w:val="24"/>
        </w:rPr>
        <w:t>4</w:t>
      </w:r>
      <w:r>
        <w:rPr>
          <w:rFonts w:hint="eastAsia" w:ascii="宋体" w:hAnsi="宋体" w:eastAsia="宋体" w:cs="宋体"/>
          <w:b/>
          <w:bCs/>
          <w:sz w:val="24"/>
        </w:rPr>
        <w:t>.1 燃气轮机值班低氮燃烧器结构和型号</w:t>
      </w:r>
    </w:p>
    <w:p>
      <w:pPr>
        <w:spacing w:line="300" w:lineRule="auto"/>
        <w:ind w:firstLine="480" w:firstLineChars="200"/>
        <w:rPr>
          <w:bCs/>
          <w:sz w:val="24"/>
        </w:rPr>
      </w:pPr>
      <w:r>
        <w:rPr>
          <w:rFonts w:hint="eastAsia"/>
          <w:bCs/>
          <w:sz w:val="24"/>
        </w:rPr>
        <w:t>#4燃气轮机为西门子能源SGT5-4000F(2)型</w:t>
      </w:r>
      <w:r>
        <w:rPr>
          <w:bCs/>
          <w:sz w:val="24"/>
        </w:rPr>
        <w:t>,</w:t>
      </w:r>
      <w:r>
        <w:rPr>
          <w:rFonts w:hint="eastAsia"/>
          <w:bCs/>
          <w:sz w:val="24"/>
        </w:rPr>
        <w:t>新型值班低氮燃烧器为值班预混燃烧器PMP-3C，以下简称值班PMP低氮燃烧器。</w:t>
      </w:r>
    </w:p>
    <w:p>
      <w:pPr>
        <w:spacing w:line="300" w:lineRule="auto"/>
        <w:outlineLvl w:val="3"/>
        <w:rPr>
          <w:rFonts w:hint="eastAsia" w:ascii="宋体" w:hAnsi="宋体" w:eastAsia="宋体" w:cs="宋体"/>
          <w:b/>
          <w:sz w:val="24"/>
        </w:rPr>
      </w:pPr>
      <w:r>
        <w:rPr>
          <w:rFonts w:hint="eastAsia" w:ascii="宋体" w:hAnsi="宋体" w:eastAsia="宋体" w:cs="宋体"/>
          <w:b/>
          <w:sz w:val="24"/>
        </w:rPr>
        <w:t>4.2 机组运行时间</w:t>
      </w:r>
    </w:p>
    <w:p>
      <w:pPr>
        <w:numPr>
          <w:ilvl w:val="0"/>
          <w:numId w:val="0"/>
        </w:numPr>
        <w:spacing w:line="300" w:lineRule="auto"/>
        <w:ind w:left="142"/>
        <w:rPr>
          <w:bCs/>
          <w:sz w:val="24"/>
        </w:rPr>
      </w:pPr>
      <w:r>
        <w:rPr>
          <w:rFonts w:hint="eastAsia"/>
          <w:bCs/>
          <w:sz w:val="24"/>
        </w:rPr>
        <w:t>1）机组按两班制运行，每天的运行时间为16小时左右。</w:t>
      </w:r>
    </w:p>
    <w:p>
      <w:pPr>
        <w:numPr>
          <w:ilvl w:val="0"/>
          <w:numId w:val="0"/>
        </w:numPr>
        <w:spacing w:line="300" w:lineRule="auto"/>
        <w:ind w:left="142"/>
        <w:rPr>
          <w:bCs/>
          <w:sz w:val="24"/>
        </w:rPr>
      </w:pPr>
      <w:r>
        <w:rPr>
          <w:rFonts w:hint="eastAsia"/>
          <w:bCs/>
          <w:sz w:val="24"/>
        </w:rPr>
        <w:t>2）2025年#4机组年利用小时数为1450小时。</w:t>
      </w:r>
    </w:p>
    <w:p>
      <w:pPr>
        <w:spacing w:line="300" w:lineRule="auto"/>
        <w:outlineLvl w:val="1"/>
        <w:rPr>
          <w:rFonts w:hint="eastAsia" w:ascii="宋体" w:hAnsi="宋体" w:eastAsia="宋体" w:cs="宋体"/>
          <w:b/>
          <w:sz w:val="24"/>
        </w:rPr>
      </w:pPr>
      <w:bookmarkStart w:id="12" w:name="_Toc27800"/>
      <w:bookmarkStart w:id="13" w:name="_Toc12702"/>
      <w:r>
        <w:rPr>
          <w:rFonts w:hint="eastAsia" w:ascii="宋体" w:hAnsi="宋体" w:eastAsia="宋体" w:cs="宋体"/>
          <w:b/>
          <w:sz w:val="24"/>
        </w:rPr>
        <w:t>5技术要求</w:t>
      </w:r>
      <w:bookmarkEnd w:id="12"/>
      <w:bookmarkEnd w:id="13"/>
    </w:p>
    <w:p>
      <w:pPr>
        <w:spacing w:line="300" w:lineRule="auto"/>
        <w:outlineLvl w:val="2"/>
        <w:rPr>
          <w:rFonts w:hint="eastAsia" w:ascii="宋体" w:hAnsi="宋体" w:eastAsia="宋体" w:cs="宋体"/>
          <w:b/>
          <w:bCs/>
          <w:sz w:val="24"/>
        </w:rPr>
      </w:pPr>
      <w:r>
        <w:rPr>
          <w:rFonts w:hint="eastAsia" w:ascii="宋体" w:hAnsi="宋体" w:eastAsia="宋体" w:cs="宋体"/>
          <w:b/>
          <w:bCs/>
          <w:sz w:val="24"/>
        </w:rPr>
        <w:t>5.1 总则</w:t>
      </w:r>
    </w:p>
    <w:p>
      <w:pPr>
        <w:pStyle w:val="27"/>
        <w:numPr>
          <w:ilvl w:val="0"/>
          <w:numId w:val="6"/>
        </w:numPr>
        <w:spacing w:before="0" w:after="0"/>
        <w:rPr>
          <w:rFonts w:hint="eastAsia" w:ascii="宋体" w:hAnsi="宋体" w:eastAsia="宋体" w:cs="宋体"/>
        </w:rPr>
      </w:pPr>
      <w:r>
        <w:rPr>
          <w:rFonts w:hint="eastAsia" w:ascii="宋体" w:hAnsi="宋体" w:eastAsia="宋体" w:cs="宋体"/>
        </w:rPr>
        <w:t>新的</w:t>
      </w:r>
      <w:r>
        <w:rPr>
          <w:rFonts w:hint="eastAsia" w:ascii="宋体" w:hAnsi="宋体" w:eastAsia="宋体" w:cs="宋体"/>
          <w:bCs/>
        </w:rPr>
        <w:t>值班PMP低氮燃烧器</w:t>
      </w:r>
      <w:r>
        <w:rPr>
          <w:rFonts w:hint="eastAsia" w:ascii="宋体" w:hAnsi="宋体" w:eastAsia="宋体" w:cs="宋体"/>
        </w:rPr>
        <w:t>及其附件应按本技术规范</w:t>
      </w:r>
      <w:r>
        <w:rPr>
          <w:rFonts w:hint="eastAsia" w:ascii="宋体" w:hAnsi="宋体" w:eastAsia="宋体" w:cs="宋体"/>
          <w:bCs/>
        </w:rPr>
        <w:t>2规范和标准</w:t>
      </w:r>
      <w:r>
        <w:rPr>
          <w:rFonts w:hint="eastAsia" w:ascii="宋体" w:hAnsi="宋体" w:eastAsia="宋体" w:cs="宋体"/>
        </w:rPr>
        <w:t>中规定的适用标准和规范的要求设计和制造。</w:t>
      </w:r>
    </w:p>
    <w:p>
      <w:pPr>
        <w:pStyle w:val="27"/>
        <w:numPr>
          <w:ilvl w:val="0"/>
          <w:numId w:val="6"/>
        </w:numPr>
        <w:spacing w:before="0" w:after="0"/>
        <w:rPr>
          <w:rFonts w:hint="eastAsia" w:ascii="宋体" w:hAnsi="宋体" w:eastAsia="宋体" w:cs="宋体"/>
        </w:rPr>
      </w:pPr>
      <w:r>
        <w:rPr>
          <w:rFonts w:hint="eastAsia" w:ascii="宋体" w:hAnsi="宋体" w:eastAsia="宋体" w:cs="宋体"/>
        </w:rPr>
        <w:t>供货范围内所有部件材质等级不得低于原部件材质等级，如有材质改进，投标人须提供改进说明。</w:t>
      </w:r>
    </w:p>
    <w:p>
      <w:pPr>
        <w:pStyle w:val="27"/>
        <w:numPr>
          <w:ilvl w:val="0"/>
          <w:numId w:val="6"/>
        </w:numPr>
        <w:spacing w:before="0" w:after="0"/>
        <w:rPr>
          <w:rFonts w:hint="eastAsia" w:ascii="宋体" w:hAnsi="宋体" w:eastAsia="宋体" w:cs="宋体"/>
        </w:rPr>
      </w:pPr>
      <w:r>
        <w:rPr>
          <w:rFonts w:hint="eastAsia" w:ascii="宋体" w:hAnsi="宋体" w:eastAsia="宋体" w:cs="宋体"/>
        </w:rPr>
        <w:t>新的</w:t>
      </w:r>
      <w:r>
        <w:rPr>
          <w:rFonts w:hint="eastAsia" w:ascii="宋体" w:hAnsi="宋体" w:eastAsia="宋体" w:cs="宋体"/>
          <w:bCs/>
        </w:rPr>
        <w:t>值班PMP低氮燃烧器</w:t>
      </w:r>
      <w:r>
        <w:rPr>
          <w:rFonts w:hint="eastAsia" w:ascii="宋体" w:hAnsi="宋体" w:eastAsia="宋体" w:cs="宋体"/>
        </w:rPr>
        <w:t>应与原设备相匹配，且不影响机组运行效率和安全性能。</w:t>
      </w:r>
    </w:p>
    <w:p>
      <w:pPr>
        <w:pStyle w:val="27"/>
        <w:numPr>
          <w:ilvl w:val="0"/>
          <w:numId w:val="6"/>
        </w:numPr>
        <w:spacing w:before="0" w:after="0"/>
        <w:rPr>
          <w:rFonts w:hint="eastAsia" w:ascii="宋体" w:hAnsi="宋体" w:eastAsia="宋体" w:cs="宋体"/>
        </w:rPr>
      </w:pPr>
      <w:r>
        <w:rPr>
          <w:rFonts w:hint="eastAsia" w:ascii="宋体" w:hAnsi="宋体" w:eastAsia="宋体" w:cs="宋体"/>
        </w:rPr>
        <w:t>投标人应保证本工程的实施不会对现有燃机的安全稳定运行和现有燃机在执行的长期服务协议产生负面影响。</w:t>
      </w:r>
    </w:p>
    <w:p>
      <w:pPr>
        <w:pStyle w:val="27"/>
        <w:numPr>
          <w:ilvl w:val="0"/>
          <w:numId w:val="6"/>
        </w:numPr>
        <w:spacing w:before="0" w:after="0"/>
        <w:rPr>
          <w:rFonts w:hint="eastAsia" w:ascii="宋体" w:hAnsi="宋体" w:eastAsia="宋体" w:cs="宋体"/>
        </w:rPr>
      </w:pPr>
      <w:r>
        <w:rPr>
          <w:rFonts w:hint="eastAsia" w:ascii="宋体" w:hAnsi="宋体" w:eastAsia="宋体" w:cs="宋体"/>
        </w:rPr>
        <w:t>投标人应该保证本工程的实施可以有效兼容现有的软、硬件系统。</w:t>
      </w:r>
    </w:p>
    <w:p>
      <w:pPr>
        <w:pStyle w:val="27"/>
        <w:numPr>
          <w:ilvl w:val="0"/>
          <w:numId w:val="6"/>
        </w:numPr>
        <w:spacing w:before="0" w:after="0"/>
        <w:rPr>
          <w:rFonts w:hint="eastAsia" w:ascii="宋体" w:hAnsi="宋体" w:eastAsia="宋体" w:cs="宋体"/>
        </w:rPr>
      </w:pPr>
      <w:r>
        <w:rPr>
          <w:rFonts w:hint="eastAsia" w:ascii="宋体" w:hAnsi="宋体" w:eastAsia="宋体" w:cs="宋体"/>
        </w:rPr>
        <w:t>投标人需要具备相关技术在国内国外的使用经验，并确保相关产品的安全稳定。</w:t>
      </w:r>
    </w:p>
    <w:p>
      <w:pPr>
        <w:pStyle w:val="27"/>
        <w:numPr>
          <w:ilvl w:val="0"/>
          <w:numId w:val="6"/>
        </w:numPr>
        <w:spacing w:before="0" w:after="0"/>
        <w:rPr>
          <w:rFonts w:hint="eastAsia" w:ascii="宋体" w:hAnsi="宋体" w:eastAsia="宋体" w:cs="宋体"/>
        </w:rPr>
      </w:pPr>
      <w:r>
        <w:rPr>
          <w:rFonts w:hint="eastAsia" w:ascii="宋体" w:hAnsi="宋体" w:eastAsia="宋体" w:cs="宋体"/>
        </w:rPr>
        <w:t>由于投标人在设计、制作和安装指导等过程中造成的、影响机组设计工况投用的设备缺陷，由投标人自行承担在现场或返厂的处理工作以及因此产生的相关费用。</w:t>
      </w:r>
    </w:p>
    <w:p>
      <w:pPr>
        <w:spacing w:line="300" w:lineRule="auto"/>
        <w:outlineLvl w:val="2"/>
        <w:rPr>
          <w:rFonts w:hint="eastAsia" w:ascii="宋体" w:hAnsi="宋体" w:eastAsia="宋体" w:cs="宋体"/>
          <w:b/>
          <w:bCs/>
          <w:sz w:val="24"/>
        </w:rPr>
      </w:pPr>
      <w:r>
        <w:rPr>
          <w:rFonts w:hint="eastAsia" w:ascii="宋体" w:hAnsi="宋体" w:eastAsia="宋体" w:cs="宋体"/>
          <w:b/>
          <w:bCs/>
          <w:sz w:val="24"/>
        </w:rPr>
        <w:t>5.2 值班PMP低氮燃烧器</w:t>
      </w:r>
    </w:p>
    <w:p>
      <w:pPr>
        <w:numPr>
          <w:ilvl w:val="0"/>
          <w:numId w:val="7"/>
        </w:numPr>
        <w:spacing w:line="300" w:lineRule="auto"/>
        <w:rPr>
          <w:rFonts w:hint="eastAsia" w:ascii="宋体" w:hAnsi="宋体" w:eastAsia="宋体" w:cs="宋体"/>
          <w:snapToGrid w:val="0"/>
          <w:spacing w:val="10"/>
          <w:sz w:val="24"/>
        </w:rPr>
      </w:pPr>
      <w:r>
        <w:rPr>
          <w:rFonts w:hint="eastAsia" w:ascii="宋体" w:hAnsi="宋体" w:eastAsia="宋体" w:cs="宋体"/>
          <w:sz w:val="24"/>
        </w:rPr>
        <w:t>本项目现有燃机配备 24 个组合式干式低氮燃烧器。值班燃烧器采用扩散模式，用于点燃预混火焰并维持火焰稳定；预混燃烧器采用预混模式，降低燃烧室内部核心区的燃烧温度。</w:t>
      </w:r>
    </w:p>
    <w:p>
      <w:pPr>
        <w:pStyle w:val="27"/>
        <w:numPr>
          <w:ilvl w:val="0"/>
          <w:numId w:val="7"/>
        </w:numPr>
        <w:spacing w:before="0" w:after="0"/>
        <w:rPr>
          <w:rFonts w:hint="eastAsia" w:ascii="宋体" w:hAnsi="宋体" w:eastAsia="宋体" w:cs="宋体"/>
          <w:snapToGrid w:val="0"/>
          <w:spacing w:val="10"/>
        </w:rPr>
      </w:pPr>
      <w:r>
        <w:rPr>
          <w:rFonts w:hint="eastAsia" w:ascii="宋体" w:hAnsi="宋体" w:eastAsia="宋体" w:cs="宋体"/>
        </w:rPr>
        <w:t>如图1</w:t>
      </w:r>
      <w:bookmarkStart w:id="88" w:name="_GoBack"/>
      <w:bookmarkEnd w:id="88"/>
      <w:r>
        <w:rPr>
          <w:rFonts w:hint="eastAsia" w:ascii="宋体" w:hAnsi="宋体" w:eastAsia="宋体" w:cs="宋体"/>
        </w:rPr>
        <w:t>所示，将绿色部分扩散模式值班燃烧器更换为新型预混模式值班低氮燃烧器，取消扩散燃烧管路和扩散阀，并封堵扩散管道，将三级燃烧减为两级燃烧，燃机点火将由升级前的扩散燃烧管路改为预混值班直接点火。NOx(氮氧化物)主要来自扩散燃烧，通过移除扩散燃烧管路和升级扩散值班为预混值班,燃机从起动、并网到全负荷运行均为全预混燃烧模式，可以有效降低NOx(氮氧化物)的排放。图1中黄色部分预混燃烧器不在改造范围，可直接回装。新型值班PMP低氮燃烧器可匹配其他连接设备，设备接口不需要做任何改动。</w:t>
      </w:r>
    </w:p>
    <w:p>
      <w:pPr>
        <w:widowControl/>
        <w:spacing w:line="300" w:lineRule="auto"/>
        <w:ind w:left="141" w:leftChars="67"/>
        <w:jc w:val="center"/>
        <w:rPr>
          <w:rFonts w:ascii="宋体" w:hAnsi="宋体" w:cs="宋体"/>
          <w:kern w:val="0"/>
        </w:rPr>
      </w:pPr>
      <w:r>
        <w:rPr>
          <w:rFonts w:ascii="宋体" w:hAnsi="宋体" w:cs="宋体"/>
          <w:kern w:val="0"/>
        </w:rPr>
        <mc:AlternateContent>
          <mc:Choice Requires="wps">
            <w:drawing>
              <wp:anchor distT="0" distB="0" distL="114300" distR="114300" simplePos="0" relativeHeight="251662336" behindDoc="0" locked="0" layoutInCell="1" allowOverlap="1">
                <wp:simplePos x="0" y="0"/>
                <wp:positionH relativeFrom="column">
                  <wp:posOffset>4460240</wp:posOffset>
                </wp:positionH>
                <wp:positionV relativeFrom="paragraph">
                  <wp:posOffset>2087245</wp:posOffset>
                </wp:positionV>
                <wp:extent cx="887095" cy="296545"/>
                <wp:effectExtent l="4445" t="5080" r="22860" b="22225"/>
                <wp:wrapNone/>
                <wp:docPr id="9226017" name="Text Box 4"/>
                <wp:cNvGraphicFramePr/>
                <a:graphic xmlns:a="http://schemas.openxmlformats.org/drawingml/2006/main">
                  <a:graphicData uri="http://schemas.microsoft.com/office/word/2010/wordprocessingShape">
                    <wps:wsp>
                      <wps:cNvSpPr txBox="1"/>
                      <wps:spPr>
                        <a:xfrm>
                          <a:off x="0" y="0"/>
                          <a:ext cx="887095" cy="296545"/>
                        </a:xfrm>
                        <a:prstGeom prst="rect">
                          <a:avLst/>
                        </a:prstGeom>
                        <a:solidFill>
                          <a:srgbClr val="FFFFFF"/>
                        </a:solidFill>
                        <a:ln w="6350">
                          <a:solidFill>
                            <a:prstClr val="black"/>
                          </a:solidFill>
                        </a:ln>
                        <a:effectLst/>
                      </wps:spPr>
                      <wps:txbx>
                        <w:txbxContent>
                          <w:p>
                            <w:r>
                              <w:rPr>
                                <w:rFonts w:hint="eastAsia"/>
                              </w:rPr>
                              <w:t>预混燃烧器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 o:spid="_x0000_s1026" o:spt="202" type="#_x0000_t202" style="position:absolute;left:0pt;margin-left:351.2pt;margin-top:164.35pt;height:23.35pt;width:69.85pt;z-index:251662336;mso-width-relative:page;mso-height-relative:page;" fillcolor="#FFFFFF" filled="t" stroked="t" coordsize="21600,21600" o:gfxdata="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RPMXvYAAAACwEA&#10;AA8AAAAAAAAAAQAgAAAAIgAAAGRycy9kb3ducmV2LnhtbFBLAQIUABQAAAAIAIdO4kD6GjBQUwIA&#10;AMkEAAAOAAAAAAAAAAEAIAAAACcBAABkcnMvZTJvRG9jLnhtbFBLBQYAAAAABgAGAFkBAADsBQAA&#10;AAA=&#10;">
                <v:fill on="t" focussize="0,0"/>
                <v:stroke weight="0.5pt" color="#000000" joinstyle="round"/>
                <v:imagedata o:title=""/>
                <o:lock v:ext="edit" aspectratio="f"/>
                <v:textbox>
                  <w:txbxContent>
                    <w:p>
                      <w:r>
                        <w:rPr>
                          <w:rFonts w:hint="eastAsia"/>
                        </w:rPr>
                        <w:t>预混燃烧器</w:t>
                      </w:r>
                    </w:p>
                  </w:txbxContent>
                </v:textbox>
              </v:shape>
            </w:pict>
          </mc:Fallback>
        </mc:AlternateContent>
      </w:r>
      <w:r>
        <w:rPr>
          <w:rFonts w:ascii="宋体" w:hAnsi="宋体" w:cs="宋体"/>
          <w:kern w:val="0"/>
        </w:rPr>
        <mc:AlternateContent>
          <mc:Choice Requires="wps">
            <w:drawing>
              <wp:anchor distT="0" distB="0" distL="114300" distR="114300" simplePos="0" relativeHeight="251660288" behindDoc="0" locked="0" layoutInCell="1" allowOverlap="1">
                <wp:simplePos x="0" y="0"/>
                <wp:positionH relativeFrom="column">
                  <wp:posOffset>3811270</wp:posOffset>
                </wp:positionH>
                <wp:positionV relativeFrom="paragraph">
                  <wp:posOffset>116840</wp:posOffset>
                </wp:positionV>
                <wp:extent cx="926465" cy="293370"/>
                <wp:effectExtent l="4445" t="4445" r="21590" b="6985"/>
                <wp:wrapNone/>
                <wp:docPr id="1754990635" name="Text Box 2"/>
                <wp:cNvGraphicFramePr/>
                <a:graphic xmlns:a="http://schemas.openxmlformats.org/drawingml/2006/main">
                  <a:graphicData uri="http://schemas.microsoft.com/office/word/2010/wordprocessingShape">
                    <wps:wsp>
                      <wps:cNvSpPr txBox="1"/>
                      <wps:spPr>
                        <a:xfrm>
                          <a:off x="0" y="0"/>
                          <a:ext cx="926465" cy="293370"/>
                        </a:xfrm>
                        <a:prstGeom prst="rect">
                          <a:avLst/>
                        </a:prstGeom>
                        <a:solidFill>
                          <a:srgbClr val="FFFFFF"/>
                        </a:solidFill>
                        <a:ln w="6350">
                          <a:solidFill>
                            <a:prstClr val="black"/>
                          </a:solidFill>
                        </a:ln>
                        <a:effectLst/>
                      </wps:spPr>
                      <wps:txbx>
                        <w:txbxContent>
                          <w:p>
                            <w:r>
                              <w:rPr>
                                <w:rFonts w:hint="eastAsia"/>
                              </w:rPr>
                              <w:t>值班燃烧器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 o:spid="_x0000_s1026" o:spt="202" type="#_x0000_t202" style="position:absolute;left:0pt;margin-left:300.1pt;margin-top:9.2pt;height:23.1pt;width:72.95pt;z-index:251660288;mso-width-relative:page;mso-height-relative:page;" fillcolor="#FFFFFF" filled="t" stroked="t" coordsize="21600,21600" o:gfxdata="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fmOOTVAAAACQEA&#10;AA8AAAAAAAAAAQAgAAAAIgAAAGRycy9kb3ducmV2LnhtbFBLAQIUABQAAAAIAIdO4kCtv0zXVgIA&#10;AMwEAAAOAAAAAAAAAAEAIAAAACQBAABkcnMvZTJvRG9jLnhtbFBLBQYAAAAABgAGAFkBAADsBQAA&#10;AAA=&#10;">
                <v:fill on="t" focussize="0,0"/>
                <v:stroke weight="0.5pt" color="#000000" joinstyle="round"/>
                <v:imagedata o:title=""/>
                <o:lock v:ext="edit" aspectratio="f"/>
                <v:textbox>
                  <w:txbxContent>
                    <w:p>
                      <w:r>
                        <w:rPr>
                          <w:rFonts w:hint="eastAsia"/>
                        </w:rPr>
                        <w:t>值班燃烧器</w:t>
                      </w:r>
                    </w:p>
                  </w:txbxContent>
                </v:textbox>
              </v:shape>
            </w:pict>
          </mc:Fallback>
        </mc:AlternateContent>
      </w:r>
      <w:r>
        <w:rPr>
          <w:rFonts w:ascii="宋体" w:hAnsi="宋体" w:cs="宋体"/>
          <w:kern w:val="0"/>
        </w:rPr>
        <mc:AlternateContent>
          <mc:Choice Requires="wps">
            <w:drawing>
              <wp:anchor distT="0" distB="0" distL="114300" distR="114300" simplePos="0" relativeHeight="251664384" behindDoc="0" locked="0" layoutInCell="1" allowOverlap="1">
                <wp:simplePos x="0" y="0"/>
                <wp:positionH relativeFrom="column">
                  <wp:posOffset>224155</wp:posOffset>
                </wp:positionH>
                <wp:positionV relativeFrom="paragraph">
                  <wp:posOffset>886460</wp:posOffset>
                </wp:positionV>
                <wp:extent cx="880110" cy="427355"/>
                <wp:effectExtent l="4445" t="4445" r="10795" b="6350"/>
                <wp:wrapNone/>
                <wp:docPr id="670029836" name="Text Box 7"/>
                <wp:cNvGraphicFramePr/>
                <a:graphic xmlns:a="http://schemas.openxmlformats.org/drawingml/2006/main">
                  <a:graphicData uri="http://schemas.microsoft.com/office/word/2010/wordprocessingShape">
                    <wps:wsp>
                      <wps:cNvSpPr txBox="1"/>
                      <wps:spPr>
                        <a:xfrm>
                          <a:off x="0" y="0"/>
                          <a:ext cx="879894" cy="427355"/>
                        </a:xfrm>
                        <a:prstGeom prst="rect">
                          <a:avLst/>
                        </a:prstGeom>
                        <a:solidFill>
                          <a:srgbClr val="FFFFFF"/>
                        </a:solidFill>
                        <a:ln w="6350">
                          <a:solidFill>
                            <a:prstClr val="black"/>
                          </a:solidFill>
                        </a:ln>
                        <a:effectLst/>
                      </wps:spPr>
                      <wps:txbx>
                        <w:txbxContent>
                          <w:p>
                            <w:r>
                              <w:rPr>
                                <w:rFonts w:hint="eastAsia"/>
                              </w:rPr>
                              <w:t>堵头,封堵扩散管路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7" o:spid="_x0000_s1026" o:spt="202" type="#_x0000_t202" style="position:absolute;left:0pt;margin-left:17.65pt;margin-top:69.8pt;height:33.65pt;width:69.3pt;z-index:251664384;mso-width-relative:page;mso-height-relative:page;" fillcolor="#FFFFFF" filled="t" stroked="t" coordsize="21600,21600" o:gfxdata="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3f/6INYAAAAKAQAA&#10;DwAAAAAAAAABACAAAAAiAAAAZHJzL2Rvd25yZXYueG1sUEsBAhQAFAAAAAgAh07iQPiAtKBUAgAA&#10;ywQAAA4AAAAAAAAAAQAgAAAAJQEAAGRycy9lMm9Eb2MueG1sUEsFBgAAAAAGAAYAWQEAAOsFAAAA&#10;AA==&#10;">
                <v:fill on="t" focussize="0,0"/>
                <v:stroke weight="0.5pt" color="#000000" joinstyle="round"/>
                <v:imagedata o:title=""/>
                <o:lock v:ext="edit" aspectratio="f"/>
                <v:textbox>
                  <w:txbxContent>
                    <w:p>
                      <w:r>
                        <w:rPr>
                          <w:rFonts w:hint="eastAsia"/>
                        </w:rPr>
                        <w:t>堵头,封堵扩散管路</w:t>
                      </w:r>
                    </w:p>
                  </w:txbxContent>
                </v:textbox>
              </v:shape>
            </w:pict>
          </mc:Fallback>
        </mc:AlternateContent>
      </w:r>
      <w:r>
        <w:rPr>
          <w:rFonts w:ascii="宋体" w:hAnsi="宋体" w:cs="宋体"/>
          <w:kern w:val="0"/>
        </w:rPr>
        <mc:AlternateContent>
          <mc:Choice Requires="wps">
            <w:drawing>
              <wp:anchor distT="0" distB="0" distL="114300" distR="114300" simplePos="0" relativeHeight="251663360" behindDoc="0" locked="0" layoutInCell="1" allowOverlap="1">
                <wp:simplePos x="0" y="0"/>
                <wp:positionH relativeFrom="column">
                  <wp:posOffset>1143000</wp:posOffset>
                </wp:positionH>
                <wp:positionV relativeFrom="paragraph">
                  <wp:posOffset>594995</wp:posOffset>
                </wp:positionV>
                <wp:extent cx="802005" cy="284480"/>
                <wp:effectExtent l="1905" t="10160" r="15240" b="10160"/>
                <wp:wrapNone/>
                <wp:docPr id="491746450" name="Straight Arrow Connector 6"/>
                <wp:cNvGraphicFramePr/>
                <a:graphic xmlns:a="http://schemas.openxmlformats.org/drawingml/2006/main">
                  <a:graphicData uri="http://schemas.microsoft.com/office/word/2010/wordprocessingShape">
                    <wps:wsp>
                      <wps:cNvCnPr/>
                      <wps:spPr>
                        <a:xfrm flipV="1">
                          <a:off x="0" y="0"/>
                          <a:ext cx="802257" cy="28467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6" o:spid="_x0000_s1026" o:spt="32" type="#_x0000_t32" style="position:absolute;left:0pt;flip:y;margin-left:90pt;margin-top:46.85pt;height:22.4pt;width:63.15pt;z-index:251663360;mso-width-relative:page;mso-height-relative:page;" filled="f" stroked="t" coordsize="21600,21600" o:gfxdata="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apxJ9cAAAAKAQAADwAAAAAAAAABACAAAAAiAAAAZHJz&#10;L2Rvd25yZXYueG1sUEsBAhQAFAAAAAgAh07iQOWJf3MFAgAACAQAAA4AAAAAAAAAAQAgAAAAJgEA&#10;AGRycy9lMm9Eb2MueG1sUEsFBgAAAAAGAAYAWQEAAJ0FAAAAAA==&#10;">
                <v:fill on="f" focussize="0,0"/>
                <v:stroke weight="0.5pt" color="#5B9BD5" miterlimit="8" joinstyle="miter" endarrow="block"/>
                <v:imagedata o:title=""/>
                <o:lock v:ext="edit" aspectratio="f"/>
              </v:shape>
            </w:pict>
          </mc:Fallback>
        </mc:AlternateContent>
      </w:r>
      <w:r>
        <w:rPr>
          <w:rFonts w:ascii="宋体" w:hAnsi="宋体" w:cs="宋体"/>
          <w:kern w:val="0"/>
        </w:rPr>
        <mc:AlternateContent>
          <mc:Choice Requires="wps">
            <w:drawing>
              <wp:anchor distT="0" distB="0" distL="114300" distR="114300" simplePos="0" relativeHeight="251661312" behindDoc="0" locked="0" layoutInCell="1" allowOverlap="1">
                <wp:simplePos x="0" y="0"/>
                <wp:positionH relativeFrom="column">
                  <wp:posOffset>3739515</wp:posOffset>
                </wp:positionH>
                <wp:positionV relativeFrom="paragraph">
                  <wp:posOffset>1914525</wp:posOffset>
                </wp:positionV>
                <wp:extent cx="664210" cy="259080"/>
                <wp:effectExtent l="0" t="7620" r="2540" b="19050"/>
                <wp:wrapNone/>
                <wp:docPr id="802384482" name="Straight Arrow Connector 3"/>
                <wp:cNvGraphicFramePr/>
                <a:graphic xmlns:a="http://schemas.openxmlformats.org/drawingml/2006/main">
                  <a:graphicData uri="http://schemas.microsoft.com/office/word/2010/wordprocessingShape">
                    <wps:wsp>
                      <wps:cNvCnPr/>
                      <wps:spPr>
                        <a:xfrm flipH="1" flipV="1">
                          <a:off x="0" y="0"/>
                          <a:ext cx="664234" cy="25879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3" o:spid="_x0000_s1026" o:spt="32" type="#_x0000_t32" style="position:absolute;left:0pt;flip:x y;margin-left:294.45pt;margin-top:150.75pt;height:20.4pt;width:52.3pt;z-index:251661312;mso-width-relative:page;mso-height-relative:page;" filled="f" stroked="t" coordsize="21600,21600" o:gfxdata="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2CE02gAAAAsBAAAPAAAAAAAAAAEA&#10;IAAAACIAAABkcnMvZG93bnJldi54bWxQSwECFAAUAAAACACHTuJAvbnIqw0CAAASBAAADgAAAAAA&#10;AAABACAAAAApAQAAZHJzL2Uyb0RvYy54bWxQSwUGAAAAAAYABgBZAQAAqAUAAAAA&#10;">
                <v:fill on="f" focussize="0,0"/>
                <v:stroke weight="0.5pt" color="#5B9BD5" miterlimit="8" joinstyle="miter" endarrow="block"/>
                <v:imagedata o:title=""/>
                <o:lock v:ext="edit" aspectratio="f"/>
              </v:shape>
            </w:pict>
          </mc:Fallback>
        </mc:AlternateContent>
      </w:r>
      <w:r>
        <w:rPr>
          <w:rFonts w:ascii="宋体" w:hAnsi="宋体" w:cs="宋体"/>
          <w:kern w:val="0"/>
        </w:rPr>
        <mc:AlternateContent>
          <mc:Choice Requires="wps">
            <w:drawing>
              <wp:anchor distT="0" distB="0" distL="114300" distR="114300" simplePos="0" relativeHeight="251659264" behindDoc="0" locked="0" layoutInCell="1" allowOverlap="1">
                <wp:simplePos x="0" y="0"/>
                <wp:positionH relativeFrom="column">
                  <wp:posOffset>3075305</wp:posOffset>
                </wp:positionH>
                <wp:positionV relativeFrom="paragraph">
                  <wp:posOffset>258445</wp:posOffset>
                </wp:positionV>
                <wp:extent cx="690245" cy="673100"/>
                <wp:effectExtent l="0" t="3175" r="14605" b="9525"/>
                <wp:wrapNone/>
                <wp:docPr id="1432895648" name="Straight Arrow Connector 1"/>
                <wp:cNvGraphicFramePr/>
                <a:graphic xmlns:a="http://schemas.openxmlformats.org/drawingml/2006/main">
                  <a:graphicData uri="http://schemas.microsoft.com/office/word/2010/wordprocessingShape">
                    <wps:wsp>
                      <wps:cNvCnPr/>
                      <wps:spPr>
                        <a:xfrm flipH="1">
                          <a:off x="0" y="0"/>
                          <a:ext cx="690113" cy="67286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1" o:spid="_x0000_s1026" o:spt="32" type="#_x0000_t32" style="position:absolute;left:0pt;flip:x;margin-left:242.15pt;margin-top:20.35pt;height:53pt;width:54.35pt;z-index:251659264;mso-width-relative:page;mso-height-relative:page;" filled="f" stroked="t" coordsize="21600,21600" o:gfxdata="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yby4c2AAAAAoBAAAPAAAAAAAAAAEAIAAAACIA&#10;AABkcnMvZG93bnJldi54bWxQSwECFAAUAAAACACHTuJAohzDdwkCAAAJBAAADgAAAAAAAAABACAA&#10;AAAnAQAAZHJzL2Uyb0RvYy54bWxQSwUGAAAAAAYABgBZAQAAogUAAAAA&#10;">
                <v:fill on="f" focussize="0,0"/>
                <v:stroke weight="0.5pt" color="#5B9BD5" miterlimit="8" joinstyle="miter" endarrow="block"/>
                <v:imagedata o:title=""/>
                <o:lock v:ext="edit" aspectratio="f"/>
              </v:shape>
            </w:pict>
          </mc:Fallback>
        </mc:AlternateContent>
      </w:r>
      <w:r>
        <w:rPr>
          <w:rFonts w:ascii="宋体" w:hAnsi="宋体" w:cs="宋体"/>
          <w:kern w:val="0"/>
        </w:rPr>
        <w:drawing>
          <wp:inline distT="0" distB="0" distL="114300" distR="114300">
            <wp:extent cx="2279650" cy="2348865"/>
            <wp:effectExtent l="0" t="0" r="6350" b="13335"/>
            <wp:docPr id="1" name="Picture 38" descr="A yellow and green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8" descr="A yellow and green machine&#10;&#10;Description automatically generated"/>
                    <pic:cNvPicPr>
                      <a:picLocks noChangeAspect="1"/>
                    </pic:cNvPicPr>
                  </pic:nvPicPr>
                  <pic:blipFill>
                    <a:blip r:embed="rId7">
                      <a:clrChange>
                        <a:clrFrom>
                          <a:srgbClr val="F7FBF8"/>
                        </a:clrFrom>
                        <a:clrTo>
                          <a:srgbClr val="F7FBF8">
                            <a:alpha val="0"/>
                          </a:srgbClr>
                        </a:clrTo>
                      </a:clrChange>
                    </a:blip>
                    <a:stretch>
                      <a:fillRect/>
                    </a:stretch>
                  </pic:blipFill>
                  <pic:spPr>
                    <a:xfrm>
                      <a:off x="0" y="0"/>
                      <a:ext cx="2279650" cy="2348865"/>
                    </a:xfrm>
                    <a:prstGeom prst="rect">
                      <a:avLst/>
                    </a:prstGeom>
                    <a:noFill/>
                    <a:ln>
                      <a:noFill/>
                    </a:ln>
                  </pic:spPr>
                </pic:pic>
              </a:graphicData>
            </a:graphic>
          </wp:inline>
        </w:drawing>
      </w:r>
    </w:p>
    <w:p>
      <w:pPr>
        <w:widowControl/>
        <w:spacing w:line="300" w:lineRule="auto"/>
        <w:ind w:left="141" w:leftChars="67"/>
        <w:jc w:val="center"/>
        <w:rPr>
          <w:snapToGrid w:val="0"/>
          <w:spacing w:val="10"/>
        </w:rPr>
      </w:pPr>
      <w:r>
        <w:rPr>
          <w:rFonts w:hint="eastAsia" w:ascii="宋体" w:hAnsi="宋体" w:cs="宋体"/>
          <w:kern w:val="0"/>
          <w:sz w:val="24"/>
        </w:rPr>
        <w:t>图1</w:t>
      </w:r>
    </w:p>
    <w:p>
      <w:pPr>
        <w:pStyle w:val="27"/>
        <w:spacing w:before="0" w:after="0"/>
        <w:ind w:left="454" w:firstLine="0"/>
        <w:rPr>
          <w:snapToGrid w:val="0"/>
          <w:spacing w:val="10"/>
        </w:rPr>
      </w:pPr>
    </w:p>
    <w:p>
      <w:pPr>
        <w:pStyle w:val="27"/>
        <w:numPr>
          <w:ilvl w:val="0"/>
          <w:numId w:val="7"/>
        </w:numPr>
        <w:spacing w:before="0" w:after="0"/>
        <w:rPr>
          <w:rFonts w:hint="eastAsia" w:ascii="宋体" w:hAnsi="宋体" w:eastAsia="宋体" w:cs="宋体"/>
          <w:snapToGrid w:val="0"/>
          <w:spacing w:val="10"/>
        </w:rPr>
      </w:pPr>
      <w:r>
        <w:rPr>
          <w:rFonts w:hint="eastAsia" w:ascii="宋体" w:hAnsi="宋体" w:eastAsia="宋体" w:cs="宋体"/>
        </w:rPr>
        <w:t>升级为预混模式的值班PMP低氮燃烧器后，值班气流量提升，如图2所示需要升级配套的值班气燃料调节阀，并扩容值班气管路。</w:t>
      </w:r>
    </w:p>
    <w:p>
      <w:pPr>
        <w:widowControl/>
        <w:spacing w:line="300" w:lineRule="auto"/>
        <w:ind w:left="141" w:leftChars="67"/>
        <w:jc w:val="center"/>
        <w:rPr>
          <w:rFonts w:ascii="宋体" w:hAnsi="宋体" w:cs="宋体"/>
          <w:kern w:val="0"/>
        </w:rPr>
      </w:pPr>
      <w:r>
        <w:drawing>
          <wp:inline distT="0" distB="0" distL="114300" distR="114300">
            <wp:extent cx="2311400" cy="3691890"/>
            <wp:effectExtent l="0" t="0" r="12700" b="3810"/>
            <wp:docPr id="2" name="Picture 1" descr="A drawing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rawing of a machine&#10;&#10;Description automatically generated"/>
                    <pic:cNvPicPr>
                      <a:picLocks noChangeAspect="1"/>
                    </pic:cNvPicPr>
                  </pic:nvPicPr>
                  <pic:blipFill>
                    <a:blip r:embed="rId8"/>
                    <a:stretch>
                      <a:fillRect/>
                    </a:stretch>
                  </pic:blipFill>
                  <pic:spPr>
                    <a:xfrm>
                      <a:off x="0" y="0"/>
                      <a:ext cx="2311400" cy="3691890"/>
                    </a:xfrm>
                    <a:prstGeom prst="rect">
                      <a:avLst/>
                    </a:prstGeom>
                    <a:noFill/>
                    <a:ln>
                      <a:noFill/>
                    </a:ln>
                  </pic:spPr>
                </pic:pic>
              </a:graphicData>
            </a:graphic>
          </wp:inline>
        </w:drawing>
      </w:r>
    </w:p>
    <w:p>
      <w:pPr>
        <w:widowControl/>
        <w:spacing w:line="300" w:lineRule="auto"/>
        <w:ind w:left="141" w:leftChars="67"/>
        <w:jc w:val="center"/>
        <w:rPr>
          <w:rFonts w:ascii="宋体" w:hAnsi="宋体" w:cs="宋体"/>
          <w:kern w:val="0"/>
          <w:sz w:val="24"/>
        </w:rPr>
      </w:pPr>
      <w:r>
        <w:rPr>
          <w:rFonts w:hint="eastAsia" w:ascii="宋体" w:hAnsi="宋体" w:cs="宋体"/>
          <w:kern w:val="0"/>
          <w:sz w:val="24"/>
        </w:rPr>
        <w:t>图2</w:t>
      </w:r>
    </w:p>
    <w:p>
      <w:pPr>
        <w:spacing w:line="300" w:lineRule="auto"/>
        <w:outlineLvl w:val="2"/>
        <w:rPr>
          <w:b/>
          <w:bCs/>
          <w:sz w:val="24"/>
        </w:rPr>
      </w:pPr>
    </w:p>
    <w:p>
      <w:pPr>
        <w:spacing w:line="300" w:lineRule="auto"/>
        <w:outlineLvl w:val="2"/>
        <w:rPr>
          <w:rFonts w:hint="eastAsia" w:ascii="宋体" w:hAnsi="宋体" w:eastAsia="宋体" w:cs="宋体"/>
          <w:b/>
          <w:bCs/>
          <w:sz w:val="24"/>
        </w:rPr>
      </w:pPr>
      <w:r>
        <w:rPr>
          <w:rFonts w:hint="eastAsia" w:ascii="宋体" w:hAnsi="宋体" w:eastAsia="宋体" w:cs="宋体"/>
          <w:b/>
          <w:bCs/>
          <w:sz w:val="24"/>
        </w:rPr>
        <w:t>5.3 管路</w:t>
      </w:r>
    </w:p>
    <w:p>
      <w:pPr>
        <w:pStyle w:val="27"/>
        <w:numPr>
          <w:ilvl w:val="0"/>
          <w:numId w:val="8"/>
        </w:numPr>
        <w:spacing w:before="0" w:after="0"/>
        <w:rPr>
          <w:rFonts w:hint="eastAsia" w:ascii="宋体" w:hAnsi="宋体" w:eastAsia="宋体" w:cs="宋体"/>
          <w:sz w:val="24"/>
          <w:szCs w:val="24"/>
        </w:rPr>
      </w:pPr>
      <w:r>
        <w:rPr>
          <w:rFonts w:hint="eastAsia" w:ascii="宋体" w:hAnsi="宋体" w:eastAsia="宋体" w:cs="宋体"/>
          <w:sz w:val="24"/>
          <w:szCs w:val="24"/>
        </w:rPr>
        <w:t>管道焊接前必须在焊接处用角向磨光机磨制V型坡口，坡口加工完成后，应保证坡口有适当的钝边量。</w:t>
      </w:r>
    </w:p>
    <w:p>
      <w:pPr>
        <w:pStyle w:val="27"/>
        <w:numPr>
          <w:ilvl w:val="0"/>
          <w:numId w:val="8"/>
        </w:numPr>
        <w:spacing w:before="0" w:after="0"/>
        <w:rPr>
          <w:rFonts w:hint="eastAsia" w:ascii="宋体" w:hAnsi="宋体" w:eastAsia="宋体" w:cs="宋体"/>
          <w:sz w:val="24"/>
          <w:szCs w:val="24"/>
        </w:rPr>
      </w:pPr>
      <w:r>
        <w:rPr>
          <w:rFonts w:hint="eastAsia" w:ascii="宋体" w:hAnsi="宋体" w:eastAsia="宋体" w:cs="宋体"/>
          <w:sz w:val="24"/>
          <w:szCs w:val="24"/>
        </w:rPr>
        <w:t>对于管子连接，应尽量保证焊口处坡口加工后的壁厚一致，并有一个过渡区，以免应力集中。</w:t>
      </w:r>
    </w:p>
    <w:p>
      <w:pPr>
        <w:pStyle w:val="27"/>
        <w:numPr>
          <w:ilvl w:val="0"/>
          <w:numId w:val="8"/>
        </w:numPr>
        <w:spacing w:before="0" w:after="0"/>
        <w:rPr>
          <w:rFonts w:hint="eastAsia" w:ascii="宋体" w:hAnsi="宋体" w:eastAsia="宋体" w:cs="宋体"/>
          <w:sz w:val="24"/>
          <w:szCs w:val="24"/>
        </w:rPr>
      </w:pPr>
      <w:r>
        <w:rPr>
          <w:rFonts w:hint="eastAsia" w:ascii="宋体" w:hAnsi="宋体" w:eastAsia="宋体" w:cs="宋体"/>
          <w:sz w:val="24"/>
          <w:szCs w:val="24"/>
        </w:rPr>
        <w:t>管道安装前应对管道与型号进行检查，在使用前应按要求核对其规格。外观检查，无裂纹、缩孔、夹渣、粘砂、折叠、漏焊、重皮等缺陷。管道安装前，必须清除管内垃圾。</w:t>
      </w:r>
    </w:p>
    <w:p>
      <w:pPr>
        <w:pStyle w:val="27"/>
        <w:numPr>
          <w:ilvl w:val="0"/>
          <w:numId w:val="8"/>
        </w:numPr>
        <w:spacing w:before="0" w:after="0"/>
        <w:rPr>
          <w:rFonts w:hint="eastAsia" w:ascii="宋体" w:hAnsi="宋体" w:eastAsia="宋体" w:cs="宋体"/>
          <w:sz w:val="24"/>
          <w:szCs w:val="24"/>
        </w:rPr>
      </w:pPr>
      <w:r>
        <w:rPr>
          <w:rFonts w:hint="eastAsia" w:ascii="宋体" w:hAnsi="宋体" w:eastAsia="宋体" w:cs="宋体"/>
          <w:sz w:val="24"/>
          <w:szCs w:val="24"/>
        </w:rPr>
        <w:t>检查坡口应符合国家标准《工业金属管道施工及验收规范》或应按DL 5007《电力建设施工及验收技术规范(火力发</w:t>
      </w:r>
      <w:r>
        <w:rPr>
          <w:rFonts w:hint="eastAsia" w:ascii="宋体" w:hAnsi="宋体" w:eastAsia="宋体" w:cs="宋体"/>
          <w:sz w:val="24"/>
          <w:szCs w:val="24"/>
          <w:lang w:eastAsia="zh-CN"/>
        </w:rPr>
        <w:t>电厂</w:t>
      </w:r>
      <w:r>
        <w:rPr>
          <w:rFonts w:hint="eastAsia" w:ascii="宋体" w:hAnsi="宋体" w:eastAsia="宋体" w:cs="宋体"/>
          <w:sz w:val="24"/>
          <w:szCs w:val="24"/>
        </w:rPr>
        <w:t>焊接篇) 的规定执行。</w:t>
      </w:r>
    </w:p>
    <w:p>
      <w:pPr>
        <w:pStyle w:val="27"/>
        <w:numPr>
          <w:ilvl w:val="0"/>
          <w:numId w:val="8"/>
        </w:numPr>
        <w:spacing w:before="0" w:after="0"/>
        <w:rPr>
          <w:rFonts w:hint="eastAsia" w:ascii="宋体" w:hAnsi="宋体" w:eastAsia="宋体" w:cs="宋体"/>
        </w:rPr>
      </w:pPr>
      <w:r>
        <w:rPr>
          <w:rFonts w:hint="eastAsia" w:ascii="宋体" w:hAnsi="宋体" w:eastAsia="宋体" w:cs="宋体"/>
          <w:sz w:val="24"/>
          <w:szCs w:val="24"/>
        </w:rPr>
        <w:t>管道安装若采用组合方式时，组</w:t>
      </w:r>
      <w:r>
        <w:rPr>
          <w:rFonts w:hint="eastAsia" w:ascii="宋体" w:hAnsi="宋体" w:eastAsia="宋体" w:cs="宋体"/>
        </w:rPr>
        <w:t>合件应具有足够的刚性，吊装后不产生永久变形，临时固定应牢固可靠。</w:t>
      </w:r>
    </w:p>
    <w:p>
      <w:pPr>
        <w:pStyle w:val="27"/>
        <w:numPr>
          <w:ilvl w:val="0"/>
          <w:numId w:val="8"/>
        </w:numPr>
        <w:spacing w:before="0" w:after="0"/>
        <w:rPr>
          <w:rFonts w:hint="eastAsia" w:ascii="宋体" w:hAnsi="宋体" w:eastAsia="宋体" w:cs="宋体"/>
        </w:rPr>
      </w:pPr>
      <w:r>
        <w:rPr>
          <w:rFonts w:hint="eastAsia" w:ascii="宋体" w:hAnsi="宋体" w:eastAsia="宋体" w:cs="宋体"/>
        </w:rPr>
        <w:t>管道连接时，严禁用强力对口。</w:t>
      </w:r>
    </w:p>
    <w:p>
      <w:pPr>
        <w:pStyle w:val="27"/>
        <w:numPr>
          <w:ilvl w:val="0"/>
          <w:numId w:val="8"/>
        </w:numPr>
        <w:spacing w:before="0" w:after="0"/>
        <w:rPr>
          <w:rFonts w:hint="eastAsia" w:ascii="宋体" w:hAnsi="宋体" w:eastAsia="宋体" w:cs="宋体"/>
        </w:rPr>
      </w:pPr>
      <w:r>
        <w:rPr>
          <w:rFonts w:hint="eastAsia" w:ascii="宋体" w:hAnsi="宋体" w:eastAsia="宋体" w:cs="宋体"/>
        </w:rPr>
        <w:t>管道上应开的孔洞口，宜在管子安装前开好。开孔后必须将管道内部清理干净。</w:t>
      </w:r>
    </w:p>
    <w:p>
      <w:pPr>
        <w:pStyle w:val="27"/>
        <w:numPr>
          <w:ilvl w:val="0"/>
          <w:numId w:val="8"/>
        </w:numPr>
        <w:spacing w:before="0" w:after="0"/>
        <w:rPr>
          <w:rFonts w:hint="eastAsia" w:ascii="宋体" w:hAnsi="宋体" w:eastAsia="宋体" w:cs="宋体"/>
        </w:rPr>
      </w:pPr>
      <w:r>
        <w:rPr>
          <w:rFonts w:hint="eastAsia" w:ascii="宋体" w:hAnsi="宋体" w:eastAsia="宋体" w:cs="宋体"/>
        </w:rPr>
        <w:t>管道无损探伤采用超声波射。焊缝内外部质量应符合《承压设备无损检测》Ⅲ级焊缝质量标准</w:t>
      </w:r>
    </w:p>
    <w:p>
      <w:pPr>
        <w:spacing w:line="300" w:lineRule="auto"/>
        <w:outlineLvl w:val="2"/>
        <w:rPr>
          <w:rFonts w:hint="eastAsia" w:ascii="宋体" w:hAnsi="宋体" w:eastAsia="宋体" w:cs="宋体"/>
          <w:b/>
          <w:bCs/>
          <w:sz w:val="24"/>
        </w:rPr>
      </w:pPr>
      <w:r>
        <w:rPr>
          <w:rFonts w:hint="eastAsia" w:ascii="宋体" w:hAnsi="宋体" w:eastAsia="宋体" w:cs="宋体"/>
          <w:b/>
          <w:bCs/>
          <w:sz w:val="24"/>
        </w:rPr>
        <w:t>5.4 ASMC和逻辑</w:t>
      </w:r>
    </w:p>
    <w:p>
      <w:pPr>
        <w:pStyle w:val="27"/>
        <w:numPr>
          <w:ilvl w:val="0"/>
          <w:numId w:val="9"/>
        </w:numPr>
        <w:spacing w:before="0" w:after="0"/>
        <w:rPr>
          <w:rFonts w:ascii="宋体" w:hAnsi="宋体"/>
        </w:rPr>
      </w:pPr>
      <w:r>
        <w:rPr>
          <w:rFonts w:hint="eastAsia"/>
        </w:rPr>
        <w:t>投标人负责为招标人增设一套ASMC，负责对招标人现有Argus系统进行必要升级。新增ASMC系统须兼容招标人#4机组现有Argus系统及西门子T3000系统。</w:t>
      </w:r>
    </w:p>
    <w:p>
      <w:pPr>
        <w:pStyle w:val="27"/>
        <w:numPr>
          <w:ilvl w:val="0"/>
          <w:numId w:val="9"/>
        </w:numPr>
        <w:spacing w:before="0" w:after="0"/>
        <w:rPr>
          <w:rFonts w:ascii="宋体" w:hAnsi="宋体"/>
        </w:rPr>
      </w:pPr>
      <w:r>
        <w:rPr>
          <w:rFonts w:hint="eastAsia"/>
        </w:rPr>
        <w:t>ASMC系统分析燃烧系统的实际蜂鸣和加速度频谱，可有效消除燃烧不稳定现象。当ASMC系统监测到燃机燃烧不稳定时，通过调整燃烧状态，将燃烧波动降到安全运行水平，避免燃机处于不安全工况运行。ASMC通过燃烧数据判断燃烧系统的裕度实现如下功能（包含但不限于）：</w:t>
      </w:r>
    </w:p>
    <w:p>
      <w:pPr>
        <w:pStyle w:val="27"/>
        <w:numPr>
          <w:ilvl w:val="0"/>
          <w:numId w:val="10"/>
        </w:numPr>
        <w:spacing w:before="0" w:after="0"/>
      </w:pPr>
      <w:r>
        <w:rPr>
          <w:rFonts w:hint="eastAsia"/>
        </w:rPr>
        <w:t>在保证NOx（氮氧化物）满足本技术规范书要求的前提下，提高燃烧裕度，有利于燃机在快速升降负载等极端工况下的运行稳定性。</w:t>
      </w:r>
    </w:p>
    <w:p>
      <w:pPr>
        <w:pStyle w:val="27"/>
        <w:numPr>
          <w:ilvl w:val="0"/>
          <w:numId w:val="10"/>
        </w:numPr>
        <w:spacing w:before="0" w:after="0"/>
      </w:pPr>
      <w:r>
        <w:rPr>
          <w:rFonts w:hint="eastAsia"/>
        </w:rPr>
        <w:t>在确保燃烧稳定的前提下，通过自动燃烧控制调整降低NOx（氮氧化物）。</w:t>
      </w:r>
    </w:p>
    <w:p>
      <w:pPr>
        <w:pStyle w:val="27"/>
        <w:numPr>
          <w:ilvl w:val="0"/>
          <w:numId w:val="9"/>
        </w:numPr>
        <w:spacing w:before="0" w:after="0"/>
        <w:rPr>
          <w:rFonts w:ascii="宋体" w:hAnsi="宋体"/>
        </w:rPr>
      </w:pPr>
      <w:r>
        <w:rPr>
          <w:rFonts w:hint="eastAsia"/>
        </w:rPr>
        <w:t>投标人负责对招标人TCS中燃烧控制逻辑升级，以适配和实现自适应燃烧调整功能。</w:t>
      </w:r>
    </w:p>
    <w:p>
      <w:pPr>
        <w:spacing w:line="300" w:lineRule="auto"/>
        <w:outlineLvl w:val="1"/>
        <w:rPr>
          <w:rFonts w:hint="eastAsia" w:ascii="宋体" w:hAnsi="宋体" w:eastAsia="宋体" w:cs="宋体"/>
          <w:b/>
          <w:sz w:val="24"/>
        </w:rPr>
      </w:pPr>
      <w:bookmarkStart w:id="14" w:name="_Toc1951"/>
      <w:bookmarkStart w:id="15" w:name="_Toc32315"/>
      <w:r>
        <w:rPr>
          <w:rFonts w:hint="eastAsia" w:ascii="宋体" w:hAnsi="宋体" w:eastAsia="宋体" w:cs="宋体"/>
          <w:b/>
          <w:sz w:val="24"/>
        </w:rPr>
        <w:t>6 质量保证</w:t>
      </w:r>
      <w:bookmarkEnd w:id="14"/>
      <w:bookmarkEnd w:id="15"/>
    </w:p>
    <w:p>
      <w:pPr>
        <w:pStyle w:val="27"/>
        <w:numPr>
          <w:ilvl w:val="0"/>
          <w:numId w:val="11"/>
        </w:numPr>
        <w:spacing w:before="0" w:after="0"/>
        <w:rPr>
          <w:rFonts w:hint="eastAsia" w:ascii="宋体" w:hAnsi="宋体" w:eastAsia="宋体" w:cs="宋体"/>
        </w:rPr>
      </w:pPr>
      <w:r>
        <w:rPr>
          <w:rFonts w:hint="eastAsia" w:ascii="宋体" w:hAnsi="宋体" w:eastAsia="宋体" w:cs="宋体"/>
        </w:rPr>
        <w:t>投标人需确保使用的燃烧器可以兼容燃气轮机长期计划检修服务合同的质保要求，并且不会对现有服务合同所覆盖部件产生影响。</w:t>
      </w:r>
    </w:p>
    <w:p>
      <w:pPr>
        <w:pStyle w:val="27"/>
        <w:numPr>
          <w:ilvl w:val="0"/>
          <w:numId w:val="11"/>
        </w:numPr>
        <w:spacing w:before="0" w:after="0"/>
        <w:rPr>
          <w:rFonts w:hint="eastAsia" w:ascii="宋体" w:hAnsi="宋体" w:eastAsia="宋体" w:cs="宋体"/>
        </w:rPr>
      </w:pPr>
      <w:r>
        <w:rPr>
          <w:rFonts w:hint="eastAsia" w:ascii="宋体" w:hAnsi="宋体" w:eastAsia="宋体" w:cs="宋体"/>
        </w:rPr>
        <w:t>投标人提供的所有部件，严禁采用国家公布的淘汰产品或工艺。</w:t>
      </w:r>
    </w:p>
    <w:p>
      <w:pPr>
        <w:pStyle w:val="27"/>
        <w:numPr>
          <w:ilvl w:val="0"/>
          <w:numId w:val="11"/>
        </w:numPr>
        <w:spacing w:before="0" w:after="0"/>
        <w:rPr>
          <w:rFonts w:hint="eastAsia" w:ascii="宋体" w:hAnsi="宋体" w:eastAsia="宋体" w:cs="宋体"/>
        </w:rPr>
      </w:pPr>
      <w:r>
        <w:rPr>
          <w:rFonts w:hint="eastAsia" w:ascii="宋体" w:hAnsi="宋体" w:eastAsia="宋体" w:cs="宋体"/>
        </w:rPr>
        <w:t>设备安装及调试期间，投标人必须派员到现场进行技术服务解决安装及试验中的问题；现场服务人员应服从试运指挥部或驻工地总代表的统一调度。设备安装由双方共同验收。</w:t>
      </w:r>
    </w:p>
    <w:p>
      <w:pPr>
        <w:pStyle w:val="27"/>
        <w:numPr>
          <w:ilvl w:val="0"/>
          <w:numId w:val="11"/>
        </w:numPr>
        <w:spacing w:before="0" w:after="0"/>
        <w:rPr>
          <w:rFonts w:hint="eastAsia" w:ascii="宋体" w:hAnsi="宋体" w:eastAsia="宋体" w:cs="宋体"/>
        </w:rPr>
      </w:pPr>
      <w:r>
        <w:rPr>
          <w:rFonts w:hint="eastAsia" w:ascii="宋体" w:hAnsi="宋体" w:eastAsia="宋体" w:cs="宋体"/>
        </w:rPr>
        <w:t>技术要求</w:t>
      </w:r>
    </w:p>
    <w:p>
      <w:pPr>
        <w:pStyle w:val="27"/>
        <w:spacing w:before="0" w:after="0"/>
        <w:ind w:firstLine="0"/>
        <w:rPr>
          <w:rFonts w:hint="eastAsia" w:ascii="宋体" w:hAnsi="宋体" w:eastAsia="宋体" w:cs="宋体"/>
          <w:lang w:val="en-US" w:eastAsia="zh-CN"/>
        </w:rPr>
      </w:pPr>
      <w:r>
        <w:rPr>
          <w:rFonts w:hint="eastAsia" w:ascii="宋体" w:hAnsi="宋体" w:eastAsia="宋体" w:cs="宋体"/>
        </w:rPr>
        <w:t>6.4.1 改造后，</w:t>
      </w:r>
      <w:r>
        <w:rPr>
          <w:rFonts w:hint="eastAsia" w:ascii="宋体" w:hAnsi="宋体" w:eastAsia="宋体" w:cs="宋体"/>
          <w:lang w:val="en-US" w:eastAsia="zh-CN"/>
        </w:rPr>
        <w:t>机组并网运行期间：燃机负荷</w:t>
      </w:r>
      <w:r>
        <w:rPr>
          <w:rFonts w:hint="eastAsia" w:ascii="宋体" w:hAnsi="宋体" w:eastAsia="宋体" w:cs="宋体"/>
        </w:rPr>
        <w:t>&lt;</w:t>
      </w:r>
      <w:r>
        <w:rPr>
          <w:rFonts w:hint="eastAsia" w:ascii="宋体" w:hAnsi="宋体" w:eastAsia="宋体" w:cs="宋体"/>
          <w:lang w:val="en-US" w:eastAsia="zh-CN"/>
        </w:rPr>
        <w:t>110MW工况，应满足</w:t>
      </w:r>
      <w:r>
        <w:rPr>
          <w:rFonts w:hint="eastAsia" w:ascii="宋体" w:hAnsi="宋体" w:eastAsia="宋体" w:cs="宋体"/>
        </w:rPr>
        <w:t>humming&lt;</w:t>
      </w:r>
      <w:r>
        <w:rPr>
          <w:rFonts w:hint="eastAsia" w:ascii="宋体" w:hAnsi="宋体" w:eastAsia="宋体" w:cs="宋体"/>
          <w:lang w:val="en-US" w:eastAsia="zh-CN"/>
        </w:rPr>
        <w:t>90</w:t>
      </w:r>
      <w:r>
        <w:rPr>
          <w:rFonts w:hint="eastAsia" w:ascii="宋体" w:hAnsi="宋体" w:eastAsia="宋体" w:cs="宋体"/>
        </w:rPr>
        <w:t>mbar, ACC&lt;</w:t>
      </w:r>
      <w:r>
        <w:rPr>
          <w:rFonts w:hint="eastAsia" w:ascii="宋体" w:hAnsi="宋体" w:eastAsia="宋体" w:cs="宋体"/>
          <w:lang w:val="en-US" w:eastAsia="zh-CN"/>
        </w:rPr>
        <w:t>2.0</w:t>
      </w:r>
      <w:r>
        <w:rPr>
          <w:rFonts w:hint="eastAsia" w:ascii="宋体" w:hAnsi="宋体" w:eastAsia="宋体" w:cs="宋体"/>
        </w:rPr>
        <w:t>g</w:t>
      </w:r>
      <w:r>
        <w:rPr>
          <w:rFonts w:hint="eastAsia" w:ascii="宋体" w:hAnsi="宋体" w:eastAsia="宋体" w:cs="宋体"/>
          <w:lang w:eastAsia="zh-CN"/>
        </w:rPr>
        <w:t>；</w:t>
      </w:r>
      <w:r>
        <w:rPr>
          <w:rFonts w:hint="eastAsia" w:ascii="宋体" w:hAnsi="宋体" w:eastAsia="宋体" w:cs="宋体"/>
          <w:lang w:val="en-US" w:eastAsia="zh-CN"/>
        </w:rPr>
        <w:t>燃机负荷</w:t>
      </w:r>
      <w:r>
        <w:rPr>
          <w:rFonts w:hint="eastAsia" w:ascii="宋体" w:hAnsi="宋体" w:eastAsia="宋体" w:cs="宋体"/>
        </w:rPr>
        <w:t>≥</w:t>
      </w:r>
      <w:r>
        <w:rPr>
          <w:rFonts w:hint="eastAsia" w:ascii="宋体" w:hAnsi="宋体" w:eastAsia="宋体" w:cs="宋体"/>
          <w:lang w:val="en-US" w:eastAsia="zh-CN"/>
        </w:rPr>
        <w:t>110MW工况，应满足</w:t>
      </w:r>
      <w:r>
        <w:rPr>
          <w:rFonts w:hint="eastAsia" w:ascii="宋体" w:hAnsi="宋体" w:eastAsia="宋体" w:cs="宋体"/>
        </w:rPr>
        <w:t>humming&lt;</w:t>
      </w:r>
      <w:r>
        <w:rPr>
          <w:rFonts w:hint="eastAsia" w:ascii="宋体" w:hAnsi="宋体" w:eastAsia="宋体" w:cs="宋体"/>
          <w:lang w:val="en-US" w:eastAsia="zh-CN"/>
        </w:rPr>
        <w:t>55</w:t>
      </w:r>
      <w:r>
        <w:rPr>
          <w:rFonts w:hint="eastAsia" w:ascii="宋体" w:hAnsi="宋体" w:eastAsia="宋体" w:cs="宋体"/>
        </w:rPr>
        <w:t>mbar, ACC&lt;</w:t>
      </w:r>
      <w:r>
        <w:rPr>
          <w:rFonts w:hint="eastAsia" w:ascii="宋体" w:hAnsi="宋体" w:eastAsia="宋体" w:cs="宋体"/>
          <w:lang w:val="en-US" w:eastAsia="zh-CN"/>
        </w:rPr>
        <w:t>2.0</w:t>
      </w:r>
      <w:r>
        <w:rPr>
          <w:rFonts w:hint="eastAsia" w:ascii="宋体" w:hAnsi="宋体" w:eastAsia="宋体" w:cs="宋体"/>
        </w:rPr>
        <w:t>g</w:t>
      </w:r>
      <w:r>
        <w:rPr>
          <w:rFonts w:hint="eastAsia" w:ascii="宋体" w:hAnsi="宋体" w:eastAsia="宋体" w:cs="宋体"/>
          <w:lang w:eastAsia="zh-CN"/>
        </w:rPr>
        <w:t>。</w:t>
      </w:r>
    </w:p>
    <w:p>
      <w:pPr>
        <w:pStyle w:val="27"/>
        <w:spacing w:before="0" w:after="0"/>
        <w:ind w:firstLine="0"/>
        <w:rPr>
          <w:rFonts w:hint="eastAsia" w:ascii="宋体" w:hAnsi="宋体" w:eastAsia="宋体" w:cs="宋体"/>
        </w:rPr>
      </w:pPr>
      <w:r>
        <w:rPr>
          <w:rFonts w:hint="eastAsia" w:ascii="宋体" w:hAnsi="宋体" w:eastAsia="宋体" w:cs="宋体"/>
        </w:rPr>
        <w:t>6.4.2 改造后，</w:t>
      </w:r>
      <w:r>
        <w:rPr>
          <w:rFonts w:hint="eastAsia" w:ascii="宋体" w:hAnsi="宋体" w:eastAsia="宋体" w:cs="宋体"/>
          <w:color w:val="auto"/>
          <w:lang w:val="en-US" w:eastAsia="zh-CN"/>
        </w:rPr>
        <w:t>机组正常运行期间</w:t>
      </w:r>
      <w:r>
        <w:rPr>
          <w:rFonts w:hint="eastAsia" w:ascii="宋体" w:hAnsi="宋体" w:eastAsia="宋体" w:cs="宋体"/>
        </w:rPr>
        <w:t>燃机NOx（氮氧化物）排放标准：机组联合循环负荷&lt;60%额定负荷工况的NOx排放时均值&lt;35mg/m³。机组联合循环负荷≥60%额定负荷工况的NOx排放时均值&lt;25mg/m³。</w:t>
      </w:r>
    </w:p>
    <w:p>
      <w:pPr>
        <w:pStyle w:val="27"/>
        <w:spacing w:before="0" w:after="0"/>
        <w:ind w:firstLine="0"/>
      </w:pPr>
      <w:r>
        <w:rPr>
          <w:rFonts w:hint="eastAsia" w:ascii="宋体" w:hAnsi="宋体" w:eastAsia="宋体" w:cs="宋体"/>
        </w:rPr>
        <w:t>6.4.3 改造后，经热力性能试验，在外部参数相近条件下的燃机</w:t>
      </w:r>
      <w:r>
        <w:rPr>
          <w:rFonts w:hint="eastAsia" w:ascii="宋体" w:hAnsi="宋体" w:eastAsia="宋体" w:cs="宋体"/>
          <w:color w:val="auto"/>
          <w:lang w:val="en-US" w:eastAsia="zh-CN"/>
        </w:rPr>
        <w:t>热</w:t>
      </w:r>
      <w:r>
        <w:rPr>
          <w:rFonts w:hint="eastAsia" w:ascii="宋体" w:hAnsi="宋体" w:eastAsia="宋体" w:cs="宋体"/>
          <w:color w:val="auto"/>
        </w:rPr>
        <w:t>耗</w:t>
      </w:r>
      <w:r>
        <w:rPr>
          <w:rFonts w:hint="eastAsia" w:ascii="宋体" w:hAnsi="宋体" w:eastAsia="宋体" w:cs="宋体"/>
        </w:rPr>
        <w:t>率不</w:t>
      </w:r>
      <w:r>
        <w:rPr>
          <w:rFonts w:hint="eastAsia" w:ascii="宋体" w:hAnsi="宋体" w:eastAsia="宋体" w:cs="宋体"/>
          <w:lang w:val="en-US" w:eastAsia="zh-CN"/>
        </w:rPr>
        <w:t>高</w:t>
      </w:r>
      <w:r>
        <w:rPr>
          <w:rFonts w:hint="eastAsia" w:ascii="宋体" w:hAnsi="宋体" w:eastAsia="宋体" w:cs="宋体"/>
        </w:rPr>
        <w:t>于改造前。</w:t>
      </w:r>
      <w:r>
        <w:rPr>
          <w:rFonts w:hint="eastAsia"/>
        </w:rPr>
        <w:t xml:space="preserve"> </w:t>
      </w:r>
    </w:p>
    <w:p>
      <w:pPr>
        <w:spacing w:line="300" w:lineRule="auto"/>
        <w:outlineLvl w:val="1"/>
        <w:rPr>
          <w:rFonts w:hint="eastAsia" w:ascii="宋体" w:hAnsi="宋体" w:eastAsia="宋体" w:cs="宋体"/>
          <w:b/>
          <w:sz w:val="24"/>
        </w:rPr>
      </w:pPr>
      <w:bookmarkStart w:id="16" w:name="_Toc27470"/>
      <w:bookmarkStart w:id="17" w:name="_Toc22142"/>
      <w:r>
        <w:rPr>
          <w:rFonts w:hint="eastAsia" w:ascii="宋体" w:hAnsi="宋体" w:eastAsia="宋体" w:cs="宋体"/>
          <w:b/>
          <w:sz w:val="24"/>
        </w:rPr>
        <w:t>7包装、储存和开箱检查</w:t>
      </w:r>
      <w:bookmarkEnd w:id="16"/>
      <w:bookmarkEnd w:id="17"/>
    </w:p>
    <w:p>
      <w:pPr>
        <w:numPr>
          <w:ilvl w:val="1"/>
          <w:numId w:val="12"/>
        </w:numPr>
        <w:spacing w:line="300" w:lineRule="auto"/>
        <w:outlineLvl w:val="2"/>
        <w:rPr>
          <w:rFonts w:hint="eastAsia" w:ascii="宋体" w:hAnsi="宋体" w:eastAsia="宋体" w:cs="宋体"/>
          <w:b/>
          <w:bCs/>
          <w:sz w:val="24"/>
        </w:rPr>
      </w:pPr>
      <w:r>
        <w:rPr>
          <w:rFonts w:hint="eastAsia" w:ascii="宋体" w:hAnsi="宋体" w:eastAsia="宋体" w:cs="宋体"/>
          <w:b/>
          <w:bCs/>
          <w:sz w:val="24"/>
        </w:rPr>
        <w:t>总则</w:t>
      </w:r>
    </w:p>
    <w:p>
      <w:pPr>
        <w:pStyle w:val="27"/>
        <w:numPr>
          <w:ilvl w:val="0"/>
          <w:numId w:val="13"/>
        </w:numPr>
        <w:spacing w:before="0" w:after="0"/>
        <w:rPr>
          <w:rFonts w:hint="eastAsia" w:ascii="宋体" w:hAnsi="宋体" w:eastAsia="宋体" w:cs="宋体"/>
        </w:rPr>
      </w:pPr>
      <w:r>
        <w:rPr>
          <w:rFonts w:hint="eastAsia" w:ascii="宋体" w:hAnsi="宋体" w:eastAsia="宋体" w:cs="宋体"/>
        </w:rPr>
        <w:t>投标人详细的包装和装运前的储存及运输计划应经招标人同意。招标人保留发货前最后检查包装的权利。该种检查并不免除投标人由于包装不当而造成的任何损失和损坏的责任。</w:t>
      </w:r>
    </w:p>
    <w:p>
      <w:pPr>
        <w:pStyle w:val="27"/>
        <w:numPr>
          <w:ilvl w:val="0"/>
          <w:numId w:val="13"/>
        </w:numPr>
        <w:spacing w:before="0" w:after="0"/>
        <w:rPr>
          <w:rFonts w:hint="eastAsia" w:ascii="宋体" w:hAnsi="宋体" w:eastAsia="宋体" w:cs="宋体"/>
        </w:rPr>
      </w:pPr>
      <w:r>
        <w:rPr>
          <w:rFonts w:hint="eastAsia" w:ascii="宋体" w:hAnsi="宋体" w:eastAsia="宋体" w:cs="宋体"/>
        </w:rPr>
        <w:t>所有机械加工过的设备表面均应用新的坚固的木箱或者经招标人批准的材料进行包装，并用金属带或者金属板在外侧加固。</w:t>
      </w:r>
    </w:p>
    <w:p>
      <w:pPr>
        <w:pStyle w:val="27"/>
        <w:numPr>
          <w:ilvl w:val="0"/>
          <w:numId w:val="13"/>
        </w:numPr>
        <w:spacing w:before="0" w:after="0"/>
        <w:rPr>
          <w:rFonts w:hint="eastAsia" w:ascii="宋体" w:hAnsi="宋体" w:eastAsia="宋体" w:cs="宋体"/>
        </w:rPr>
      </w:pPr>
      <w:r>
        <w:rPr>
          <w:rFonts w:hint="eastAsia" w:ascii="宋体" w:hAnsi="宋体" w:eastAsia="宋体" w:cs="宋体"/>
        </w:rPr>
        <w:t>如适用，机械加工过的部件应用聚乙烯薄膜包装，接缝处缝起来，内放经批准采用的干燥剂。</w:t>
      </w:r>
    </w:p>
    <w:p>
      <w:pPr>
        <w:pStyle w:val="27"/>
        <w:numPr>
          <w:ilvl w:val="0"/>
          <w:numId w:val="13"/>
        </w:numPr>
        <w:spacing w:before="0" w:after="0"/>
        <w:rPr>
          <w:rFonts w:hint="eastAsia" w:ascii="宋体" w:hAnsi="宋体" w:eastAsia="宋体" w:cs="宋体"/>
        </w:rPr>
      </w:pPr>
      <w:r>
        <w:rPr>
          <w:rFonts w:hint="eastAsia" w:ascii="宋体" w:hAnsi="宋体" w:eastAsia="宋体" w:cs="宋体"/>
        </w:rPr>
        <w:t>投标人应提供所有供货件总清单。</w:t>
      </w:r>
    </w:p>
    <w:p>
      <w:pPr>
        <w:spacing w:line="300" w:lineRule="auto"/>
        <w:outlineLvl w:val="2"/>
        <w:rPr>
          <w:rFonts w:hint="eastAsia" w:ascii="宋体" w:hAnsi="宋体" w:eastAsia="宋体" w:cs="宋体"/>
          <w:b/>
          <w:bCs/>
          <w:sz w:val="24"/>
        </w:rPr>
      </w:pPr>
      <w:r>
        <w:rPr>
          <w:rFonts w:hint="eastAsia" w:ascii="宋体" w:hAnsi="宋体" w:eastAsia="宋体" w:cs="宋体"/>
          <w:b/>
          <w:bCs/>
          <w:sz w:val="24"/>
        </w:rPr>
        <w:t>7.2  包装</w:t>
      </w:r>
    </w:p>
    <w:p>
      <w:pPr>
        <w:pStyle w:val="27"/>
        <w:numPr>
          <w:ilvl w:val="0"/>
          <w:numId w:val="14"/>
        </w:numPr>
        <w:spacing w:before="0" w:after="0"/>
        <w:rPr>
          <w:rFonts w:hint="eastAsia" w:ascii="宋体" w:hAnsi="宋体" w:eastAsia="宋体" w:cs="宋体"/>
        </w:rPr>
      </w:pPr>
      <w:r>
        <w:rPr>
          <w:rFonts w:hint="eastAsia" w:ascii="宋体" w:hAnsi="宋体" w:eastAsia="宋体" w:cs="宋体"/>
        </w:rPr>
        <w:t>箱中的货物应用十字形压条固定，而不能光靠木楔垫着，所有箱子外的运输标记应采用防雨材料涂刷或者涂清漆防止在运输过程中被抹去或褪色。</w:t>
      </w:r>
    </w:p>
    <w:p>
      <w:pPr>
        <w:pStyle w:val="27"/>
        <w:numPr>
          <w:ilvl w:val="0"/>
          <w:numId w:val="14"/>
        </w:numPr>
        <w:spacing w:before="0" w:after="0"/>
        <w:rPr>
          <w:rFonts w:hint="eastAsia" w:ascii="宋体" w:hAnsi="宋体" w:eastAsia="宋体" w:cs="宋体"/>
        </w:rPr>
      </w:pPr>
      <w:r>
        <w:rPr>
          <w:rFonts w:hint="eastAsia" w:ascii="宋体" w:hAnsi="宋体" w:eastAsia="宋体" w:cs="宋体"/>
        </w:rPr>
        <w:t>所有设备或材料发货前均应加标记以方便安装。投标人应按订货号、设备编号、部件标记及名称在设备、部件或包装上加标记或标签。</w:t>
      </w:r>
    </w:p>
    <w:p>
      <w:pPr>
        <w:pStyle w:val="27"/>
        <w:numPr>
          <w:ilvl w:val="0"/>
          <w:numId w:val="14"/>
        </w:numPr>
        <w:spacing w:before="0" w:after="0"/>
        <w:rPr>
          <w:rFonts w:hint="eastAsia" w:ascii="宋体" w:hAnsi="宋体" w:eastAsia="宋体" w:cs="宋体"/>
        </w:rPr>
      </w:pPr>
      <w:r>
        <w:rPr>
          <w:rFonts w:hint="eastAsia" w:ascii="宋体" w:hAnsi="宋体" w:eastAsia="宋体" w:cs="宋体"/>
        </w:rPr>
        <w:t>本合同范围内的备品备件和专用工具应用单独的箱包装，以免与其他设备和材料混装在一起。备品备件和专用工具应有清楚的标识。</w:t>
      </w:r>
    </w:p>
    <w:p>
      <w:pPr>
        <w:spacing w:line="300" w:lineRule="auto"/>
        <w:outlineLvl w:val="2"/>
        <w:rPr>
          <w:rFonts w:hint="eastAsia" w:ascii="宋体" w:hAnsi="宋体" w:eastAsia="宋体" w:cs="宋体"/>
          <w:b/>
          <w:bCs/>
          <w:sz w:val="24"/>
        </w:rPr>
      </w:pPr>
      <w:r>
        <w:rPr>
          <w:rFonts w:hint="eastAsia" w:ascii="宋体" w:hAnsi="宋体" w:eastAsia="宋体" w:cs="宋体"/>
          <w:b/>
          <w:bCs/>
          <w:sz w:val="24"/>
        </w:rPr>
        <w:t>7.3  储存</w:t>
      </w:r>
    </w:p>
    <w:p>
      <w:pPr>
        <w:pStyle w:val="27"/>
        <w:spacing w:before="0" w:after="0"/>
        <w:rPr>
          <w:rFonts w:hint="eastAsia" w:ascii="宋体" w:hAnsi="宋体" w:eastAsia="宋体" w:cs="宋体"/>
        </w:rPr>
      </w:pPr>
      <w:r>
        <w:rPr>
          <w:rFonts w:hint="eastAsia" w:ascii="宋体" w:hAnsi="宋体" w:eastAsia="宋体" w:cs="宋体"/>
        </w:rPr>
        <w:t>对于在现场气候条件下储存有特殊要求的设备和材料，投标人应书面清楚的加以说明。</w:t>
      </w:r>
    </w:p>
    <w:p>
      <w:pPr>
        <w:spacing w:line="300" w:lineRule="auto"/>
        <w:outlineLvl w:val="2"/>
        <w:rPr>
          <w:rFonts w:hint="eastAsia" w:ascii="宋体" w:hAnsi="宋体" w:eastAsia="宋体" w:cs="宋体"/>
          <w:b/>
          <w:bCs/>
          <w:sz w:val="24"/>
        </w:rPr>
      </w:pPr>
      <w:r>
        <w:rPr>
          <w:rFonts w:hint="eastAsia" w:ascii="宋体" w:hAnsi="宋体" w:eastAsia="宋体" w:cs="宋体"/>
          <w:b/>
          <w:bCs/>
          <w:sz w:val="24"/>
        </w:rPr>
        <w:t>7.4  开箱检查</w:t>
      </w:r>
    </w:p>
    <w:p>
      <w:pPr>
        <w:pStyle w:val="27"/>
        <w:spacing w:before="0" w:after="0"/>
        <w:rPr>
          <w:rFonts w:hint="eastAsia" w:ascii="宋体" w:hAnsi="宋体" w:eastAsia="宋体" w:cs="宋体"/>
        </w:rPr>
      </w:pPr>
      <w:r>
        <w:rPr>
          <w:rFonts w:hint="eastAsia" w:ascii="宋体" w:hAnsi="宋体" w:eastAsia="宋体" w:cs="宋体"/>
        </w:rPr>
        <w:t>货物到现场后，应由招标人和投标人双方共同进行开箱表面检查，开箱前投标人须提供本技术规范书要求的所有质量记录文件和检验报告（详见本技术规范书第</w:t>
      </w:r>
      <w:r>
        <w:rPr>
          <w:rFonts w:hint="eastAsia" w:ascii="宋体" w:hAnsi="宋体" w:eastAsia="宋体" w:cs="宋体"/>
          <w:b/>
        </w:rPr>
        <w:t>四章节</w:t>
      </w:r>
      <w:r>
        <w:rPr>
          <w:rFonts w:hint="eastAsia" w:ascii="宋体" w:hAnsi="宋体" w:eastAsia="宋体" w:cs="宋体"/>
        </w:rPr>
        <w:t>）。如发现货物短缺或因包装不善、运输装卸过程中捆绑固定不牢和/或防护不当等造成货物受潮、受水浸或油浸、机械损伤等，均由投标人自费负责补齐、返新或调换，且不得因此影响安装工期。</w:t>
      </w:r>
    </w:p>
    <w:p>
      <w:pPr>
        <w:pStyle w:val="3"/>
        <w:numPr>
          <w:ilvl w:val="0"/>
          <w:numId w:val="0"/>
        </w:numPr>
        <w:spacing w:before="0" w:after="0" w:line="300" w:lineRule="auto"/>
        <w:jc w:val="left"/>
        <w:rPr>
          <w:bCs/>
          <w:sz w:val="24"/>
          <w:szCs w:val="24"/>
        </w:rPr>
      </w:pPr>
      <w:bookmarkStart w:id="18" w:name="_Toc22302"/>
      <w:bookmarkStart w:id="19" w:name="_Toc26887"/>
      <w:r>
        <w:rPr>
          <w:rFonts w:hint="eastAsia"/>
          <w:bCs/>
          <w:sz w:val="24"/>
          <w:szCs w:val="24"/>
        </w:rPr>
        <w:t>二 供货范围</w:t>
      </w:r>
      <w:bookmarkEnd w:id="18"/>
      <w:bookmarkEnd w:id="19"/>
    </w:p>
    <w:p>
      <w:pPr>
        <w:spacing w:line="300" w:lineRule="auto"/>
        <w:outlineLvl w:val="1"/>
        <w:rPr>
          <w:rFonts w:hint="eastAsia" w:ascii="宋体" w:hAnsi="宋体" w:eastAsia="宋体" w:cs="宋体"/>
          <w:b/>
          <w:bCs/>
          <w:sz w:val="24"/>
        </w:rPr>
      </w:pPr>
      <w:bookmarkStart w:id="20" w:name="_Toc13083"/>
      <w:bookmarkStart w:id="21" w:name="_Toc14152"/>
      <w:r>
        <w:rPr>
          <w:rFonts w:hint="eastAsia" w:ascii="宋体" w:hAnsi="宋体" w:eastAsia="宋体" w:cs="宋体"/>
          <w:b/>
          <w:bCs/>
          <w:sz w:val="24"/>
        </w:rPr>
        <w:t>1 一般要求</w:t>
      </w:r>
      <w:bookmarkEnd w:id="20"/>
      <w:bookmarkEnd w:id="21"/>
    </w:p>
    <w:p>
      <w:pPr>
        <w:pStyle w:val="27"/>
        <w:numPr>
          <w:ilvl w:val="0"/>
          <w:numId w:val="15"/>
        </w:numPr>
        <w:spacing w:before="0" w:after="0"/>
        <w:rPr>
          <w:rFonts w:hint="eastAsia" w:ascii="宋体" w:hAnsi="宋体" w:eastAsia="宋体" w:cs="宋体"/>
          <w:bCs/>
        </w:rPr>
      </w:pPr>
      <w:r>
        <w:rPr>
          <w:rFonts w:hint="eastAsia" w:ascii="宋体" w:hAnsi="宋体" w:eastAsia="宋体" w:cs="宋体"/>
          <w:bCs/>
        </w:rPr>
        <w:t>这一部分技术规范包括提供的值班PMP低氮燃烧器的设计、制造、工厂试验、包装、运到招标人现场。</w:t>
      </w:r>
    </w:p>
    <w:p>
      <w:pPr>
        <w:pStyle w:val="27"/>
        <w:numPr>
          <w:ilvl w:val="0"/>
          <w:numId w:val="15"/>
        </w:numPr>
        <w:spacing w:before="0" w:after="0"/>
        <w:rPr>
          <w:rFonts w:hint="eastAsia" w:ascii="宋体" w:hAnsi="宋体" w:eastAsia="宋体" w:cs="宋体"/>
          <w:bCs/>
        </w:rPr>
      </w:pPr>
      <w:r>
        <w:rPr>
          <w:rFonts w:hint="eastAsia" w:ascii="宋体" w:hAnsi="宋体" w:eastAsia="宋体" w:cs="宋体"/>
          <w:bCs/>
        </w:rPr>
        <w:t>投标人提供所有安装和检修所需专用工具和消耗材料等，并提供详细供货清单。除有特别注明外，所列数量均为1整套值班燃烧器PMP应用研究项目所需。</w:t>
      </w:r>
    </w:p>
    <w:p>
      <w:pPr>
        <w:pStyle w:val="27"/>
        <w:numPr>
          <w:ilvl w:val="0"/>
          <w:numId w:val="15"/>
        </w:numPr>
        <w:spacing w:before="0" w:after="0"/>
        <w:rPr>
          <w:rFonts w:hint="eastAsia" w:ascii="宋体" w:hAnsi="宋体" w:eastAsia="宋体" w:cs="宋体"/>
          <w:bCs/>
        </w:rPr>
      </w:pPr>
      <w:r>
        <w:rPr>
          <w:rFonts w:hint="eastAsia" w:ascii="宋体" w:hAnsi="宋体" w:eastAsia="宋体" w:cs="宋体"/>
          <w:bCs/>
        </w:rPr>
        <w:t>提供随机备品备件，并在标书中给出具体清单。</w:t>
      </w:r>
    </w:p>
    <w:p>
      <w:pPr>
        <w:pStyle w:val="27"/>
        <w:numPr>
          <w:ilvl w:val="0"/>
          <w:numId w:val="15"/>
        </w:numPr>
        <w:spacing w:before="0" w:after="0"/>
        <w:rPr>
          <w:rFonts w:hint="eastAsia" w:ascii="宋体" w:hAnsi="宋体" w:eastAsia="宋体" w:cs="宋体"/>
        </w:rPr>
      </w:pPr>
      <w:r>
        <w:rPr>
          <w:rFonts w:hint="eastAsia" w:ascii="宋体" w:hAnsi="宋体" w:eastAsia="宋体" w:cs="宋体"/>
        </w:rPr>
        <w:t>投标人提供的技术资料清单详见</w:t>
      </w:r>
      <w:r>
        <w:rPr>
          <w:rFonts w:hint="eastAsia" w:ascii="宋体" w:hAnsi="宋体" w:eastAsia="宋体" w:cs="宋体"/>
          <w:b/>
        </w:rPr>
        <w:t>第三章 技术资料和交付进度</w:t>
      </w:r>
      <w:r>
        <w:rPr>
          <w:rFonts w:hint="eastAsia" w:ascii="宋体" w:hAnsi="宋体" w:eastAsia="宋体" w:cs="宋体"/>
        </w:rPr>
        <w:t>。</w:t>
      </w:r>
    </w:p>
    <w:p>
      <w:pPr>
        <w:spacing w:line="300" w:lineRule="auto"/>
        <w:outlineLvl w:val="1"/>
        <w:rPr>
          <w:rFonts w:hint="eastAsia" w:ascii="宋体" w:hAnsi="宋体" w:eastAsia="宋体" w:cs="宋体"/>
          <w:b/>
          <w:bCs/>
          <w:sz w:val="24"/>
        </w:rPr>
      </w:pPr>
      <w:bookmarkStart w:id="22" w:name="_Toc10050"/>
      <w:bookmarkStart w:id="23" w:name="_Toc13162"/>
      <w:r>
        <w:rPr>
          <w:rFonts w:hint="eastAsia" w:ascii="宋体" w:hAnsi="宋体" w:eastAsia="宋体" w:cs="宋体"/>
          <w:b/>
          <w:bCs/>
          <w:sz w:val="24"/>
        </w:rPr>
        <w:t>2 供货范围</w:t>
      </w:r>
      <w:bookmarkEnd w:id="22"/>
      <w:bookmarkEnd w:id="23"/>
    </w:p>
    <w:p>
      <w:pPr>
        <w:pStyle w:val="27"/>
        <w:numPr>
          <w:ilvl w:val="0"/>
          <w:numId w:val="16"/>
        </w:numPr>
        <w:spacing w:before="0" w:after="0"/>
        <w:rPr>
          <w:rFonts w:hint="eastAsia" w:ascii="宋体" w:hAnsi="宋体" w:eastAsia="宋体" w:cs="宋体"/>
        </w:rPr>
      </w:pPr>
      <w:r>
        <w:rPr>
          <w:rFonts w:hint="eastAsia" w:ascii="宋体" w:hAnsi="宋体" w:eastAsia="宋体" w:cs="宋体"/>
          <w:bCs/>
        </w:rPr>
        <w:t>投标人应在合同签订后</w:t>
      </w:r>
      <w:r>
        <w:rPr>
          <w:rFonts w:hint="eastAsia" w:ascii="宋体" w:hAnsi="宋体" w:eastAsia="宋体" w:cs="宋体"/>
          <w:b/>
          <w:bCs/>
          <w:u w:val="single"/>
        </w:rPr>
        <w:t>6个月内</w:t>
      </w:r>
      <w:r>
        <w:rPr>
          <w:rFonts w:hint="eastAsia" w:ascii="宋体" w:hAnsi="宋体" w:eastAsia="宋体" w:cs="宋体"/>
          <w:bCs/>
        </w:rPr>
        <w:t>将供货范围内PMP值班燃烧器、配套软件(含ASMC)、新型值班阀及其所需部件一次性交付至招标人现场；交付至现场的所有部件应保证能够直接进行安装。</w:t>
      </w:r>
    </w:p>
    <w:p>
      <w:pPr>
        <w:pStyle w:val="27"/>
        <w:numPr>
          <w:ilvl w:val="0"/>
          <w:numId w:val="16"/>
        </w:numPr>
        <w:spacing w:before="0" w:after="0"/>
        <w:rPr>
          <w:rFonts w:hint="eastAsia" w:ascii="宋体" w:hAnsi="宋体" w:eastAsia="宋体" w:cs="宋体"/>
        </w:rPr>
      </w:pPr>
      <w:r>
        <w:rPr>
          <w:rFonts w:hint="eastAsia" w:ascii="宋体" w:hAnsi="宋体" w:eastAsia="宋体" w:cs="宋体"/>
        </w:rPr>
        <w:t>投标人根据以下所述提出详细供货清单，对于属于整套设备运行和施工所必需的部件</w:t>
      </w:r>
      <w:r>
        <w:rPr>
          <w:rFonts w:hint="eastAsia" w:ascii="宋体" w:hAnsi="宋体" w:eastAsia="宋体" w:cs="宋体"/>
          <w:lang w:val="en-US" w:eastAsia="zh-CN"/>
        </w:rPr>
        <w:t>且应由投标人提供的，</w:t>
      </w:r>
      <w:r>
        <w:rPr>
          <w:rFonts w:hint="eastAsia" w:ascii="宋体" w:hAnsi="宋体" w:eastAsia="宋体" w:cs="宋体"/>
        </w:rPr>
        <w:t>即使本技术规范书未列出和／或数目不足，投标人须补足且不发生费用问题。</w:t>
      </w:r>
    </w:p>
    <w:p>
      <w:pPr>
        <w:pStyle w:val="27"/>
        <w:numPr>
          <w:ilvl w:val="0"/>
          <w:numId w:val="16"/>
        </w:numPr>
        <w:spacing w:before="0" w:after="0"/>
        <w:rPr>
          <w:rFonts w:hint="eastAsia" w:ascii="宋体" w:hAnsi="宋体" w:eastAsia="宋体" w:cs="宋体"/>
        </w:rPr>
      </w:pPr>
      <w:r>
        <w:rPr>
          <w:rFonts w:hint="eastAsia" w:ascii="宋体" w:hAnsi="宋体" w:eastAsia="宋体" w:cs="宋体"/>
        </w:rPr>
        <w:t>投标人提供1套完整的与现有#4机组相配套的</w:t>
      </w:r>
      <w:r>
        <w:rPr>
          <w:rFonts w:hint="eastAsia" w:ascii="宋体" w:hAnsi="宋体" w:eastAsia="宋体" w:cs="宋体"/>
          <w:bCs/>
        </w:rPr>
        <w:t>PMP值班燃烧器、配套软件(含ASMC)、新型值班阀</w:t>
      </w:r>
      <w:r>
        <w:rPr>
          <w:rFonts w:hint="eastAsia" w:ascii="宋体" w:hAnsi="宋体" w:eastAsia="宋体" w:cs="宋体"/>
        </w:rPr>
        <w:t>及其为满足本规范要求所需的全部附属设备和附件，包括但不限于以下部件：</w:t>
      </w:r>
    </w:p>
    <w:p>
      <w:pPr>
        <w:pStyle w:val="27"/>
        <w:numPr>
          <w:ilvl w:val="0"/>
          <w:numId w:val="17"/>
        </w:numPr>
        <w:spacing w:before="0" w:after="0"/>
        <w:rPr>
          <w:rFonts w:hint="eastAsia" w:ascii="宋体" w:hAnsi="宋体" w:eastAsia="宋体" w:cs="宋体"/>
        </w:rPr>
      </w:pPr>
      <w:r>
        <w:rPr>
          <w:rFonts w:hint="eastAsia" w:ascii="宋体" w:hAnsi="宋体" w:eastAsia="宋体" w:cs="宋体"/>
          <w:bCs/>
        </w:rPr>
        <w:t>新型PMP值班燃烧器（</w:t>
      </w:r>
      <w:r>
        <w:rPr>
          <w:rFonts w:hint="eastAsia" w:ascii="宋体" w:hAnsi="宋体" w:eastAsia="宋体" w:cs="宋体"/>
        </w:rPr>
        <w:t>新型全预混值班燃烧器）；</w:t>
      </w:r>
    </w:p>
    <w:p>
      <w:pPr>
        <w:pStyle w:val="27"/>
        <w:numPr>
          <w:ilvl w:val="0"/>
          <w:numId w:val="17"/>
        </w:numPr>
        <w:spacing w:before="0" w:after="0"/>
        <w:rPr>
          <w:rFonts w:hint="eastAsia" w:ascii="宋体" w:hAnsi="宋体" w:eastAsia="宋体" w:cs="宋体"/>
        </w:rPr>
      </w:pPr>
      <w:r>
        <w:rPr>
          <w:rFonts w:hint="eastAsia" w:ascii="宋体" w:hAnsi="宋体" w:eastAsia="宋体" w:cs="宋体"/>
        </w:rPr>
        <w:t>新型值班燃料调节阀；</w:t>
      </w:r>
    </w:p>
    <w:p>
      <w:pPr>
        <w:pStyle w:val="27"/>
        <w:numPr>
          <w:ilvl w:val="0"/>
          <w:numId w:val="17"/>
        </w:numPr>
        <w:spacing w:before="0" w:after="0"/>
        <w:rPr>
          <w:rFonts w:hint="eastAsia" w:ascii="宋体" w:hAnsi="宋体" w:eastAsia="宋体" w:cs="宋体"/>
        </w:rPr>
      </w:pPr>
      <w:r>
        <w:rPr>
          <w:rFonts w:hint="eastAsia" w:ascii="宋体" w:hAnsi="宋体" w:eastAsia="宋体" w:cs="宋体"/>
        </w:rPr>
        <w:t>燃烧器升级配套逻辑、软件升级(包括ASMC、Argus)；</w:t>
      </w:r>
    </w:p>
    <w:p>
      <w:pPr>
        <w:pStyle w:val="27"/>
        <w:numPr>
          <w:ilvl w:val="0"/>
          <w:numId w:val="17"/>
        </w:numPr>
        <w:spacing w:before="0" w:after="0"/>
        <w:rPr>
          <w:rFonts w:hint="eastAsia" w:ascii="宋体" w:hAnsi="宋体" w:eastAsia="宋体" w:cs="宋体"/>
        </w:rPr>
      </w:pPr>
      <w:r>
        <w:rPr>
          <w:rFonts w:hint="eastAsia" w:ascii="宋体" w:hAnsi="宋体" w:eastAsia="宋体" w:cs="宋体"/>
        </w:rPr>
        <w:t>改造所需的配套管路；</w:t>
      </w:r>
    </w:p>
    <w:p>
      <w:pPr>
        <w:pStyle w:val="27"/>
        <w:numPr>
          <w:ilvl w:val="0"/>
          <w:numId w:val="17"/>
        </w:numPr>
        <w:spacing w:before="0" w:after="0"/>
        <w:rPr>
          <w:rFonts w:hint="eastAsia" w:ascii="宋体" w:hAnsi="宋体" w:eastAsia="宋体" w:cs="宋体"/>
        </w:rPr>
      </w:pPr>
      <w:r>
        <w:rPr>
          <w:rFonts w:hint="eastAsia" w:ascii="宋体" w:hAnsi="宋体" w:eastAsia="宋体" w:cs="宋体"/>
        </w:rPr>
        <w:t>旧燃烧器拆除、新燃烧器安装配套的消耗件；</w:t>
      </w:r>
    </w:p>
    <w:p>
      <w:pPr>
        <w:pStyle w:val="27"/>
        <w:numPr>
          <w:ilvl w:val="0"/>
          <w:numId w:val="17"/>
        </w:numPr>
        <w:spacing w:before="0" w:after="0"/>
        <w:rPr>
          <w:rFonts w:hint="eastAsia" w:ascii="宋体" w:hAnsi="宋体" w:eastAsia="宋体" w:cs="宋体"/>
        </w:rPr>
      </w:pPr>
      <w:r>
        <w:rPr>
          <w:rFonts w:hint="eastAsia" w:ascii="宋体" w:hAnsi="宋体" w:eastAsia="宋体" w:cs="宋体"/>
        </w:rPr>
        <w:t>其他安装调试相关辅件等。</w:t>
      </w: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widowControl w:val="0"/>
        <w:numPr>
          <w:ilvl w:val="0"/>
          <w:numId w:val="0"/>
        </w:numPr>
        <w:spacing w:before="0" w:after="0" w:line="300" w:lineRule="auto"/>
        <w:jc w:val="left"/>
        <w:rPr>
          <w:rFonts w:hint="eastAsia"/>
        </w:rPr>
      </w:pPr>
    </w:p>
    <w:p>
      <w:pPr>
        <w:pStyle w:val="27"/>
        <w:spacing w:before="0" w:after="0"/>
        <w:ind w:firstLine="0"/>
      </w:pPr>
    </w:p>
    <w:p>
      <w:pPr>
        <w:spacing w:line="300" w:lineRule="auto"/>
        <w:ind w:left="480"/>
        <w:jc w:val="center"/>
        <w:rPr>
          <w:rFonts w:hint="eastAsia"/>
          <w:bCs/>
          <w:sz w:val="24"/>
        </w:rPr>
      </w:pPr>
    </w:p>
    <w:p>
      <w:pPr>
        <w:spacing w:line="300" w:lineRule="auto"/>
        <w:ind w:left="480"/>
        <w:jc w:val="center"/>
        <w:rPr>
          <w:rFonts w:hint="eastAsia"/>
          <w:bCs/>
          <w:sz w:val="24"/>
        </w:rPr>
      </w:pPr>
    </w:p>
    <w:p>
      <w:pPr>
        <w:spacing w:line="300" w:lineRule="auto"/>
        <w:ind w:left="480"/>
        <w:jc w:val="center"/>
        <w:rPr>
          <w:bCs/>
        </w:rPr>
      </w:pPr>
      <w:r>
        <w:rPr>
          <w:rFonts w:hint="eastAsia"/>
          <w:bCs/>
          <w:sz w:val="24"/>
        </w:rPr>
        <w:t>供货清单表</w:t>
      </w:r>
    </w:p>
    <w:tbl>
      <w:tblPr>
        <w:tblStyle w:val="18"/>
        <w:tblW w:w="9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2384"/>
        <w:gridCol w:w="1534"/>
        <w:gridCol w:w="1545"/>
        <w:gridCol w:w="498"/>
        <w:gridCol w:w="511"/>
        <w:gridCol w:w="2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ind w:right="-120"/>
              <w:jc w:val="center"/>
              <w:textAlignment w:val="top"/>
            </w:pPr>
            <w:r>
              <w:rPr>
                <w:rFonts w:hint="eastAsia"/>
              </w:rPr>
              <w:t>序号</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名称</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规格型号</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rPr>
                <w:highlight w:val="yellow"/>
              </w:rPr>
            </w:pPr>
            <w:r>
              <w:rPr>
                <w:rFonts w:hint="eastAsia"/>
              </w:rPr>
              <w:t>材质</w:t>
            </w: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单位</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数量</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spacing w:line="300" w:lineRule="auto"/>
              <w:jc w:val="center"/>
            </w:pP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bCs/>
              </w:rPr>
              <w:t>PMP值班燃烧器</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PMP-3C</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套</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1</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含附件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spacing w:line="300" w:lineRule="auto"/>
              <w:jc w:val="center"/>
            </w:pP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值班调节阀</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t>BR300</w:t>
            </w:r>
            <w:r>
              <w:rPr>
                <w:rFonts w:hint="eastAsia"/>
              </w:rPr>
              <w:t xml:space="preserve"> </w:t>
            </w:r>
          </w:p>
          <w:p>
            <w:pPr>
              <w:snapToGrid w:val="0"/>
              <w:spacing w:line="300" w:lineRule="auto"/>
              <w:jc w:val="center"/>
              <w:textAlignment w:val="top"/>
            </w:pPr>
            <w:r>
              <w:rPr>
                <w:rFonts w:hint="eastAsia"/>
              </w:rPr>
              <w:t>KKS:</w:t>
            </w:r>
            <w:r>
              <w:t xml:space="preserve"> MBP23AA151</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t>1.4581</w:t>
            </w:r>
            <w:r>
              <w:rPr>
                <w:rFonts w:hint="eastAsia"/>
              </w:rPr>
              <w:t>型不锈钢（德国工业标准）</w:t>
            </w: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套</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1</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spacing w:line="300" w:lineRule="auto"/>
              <w:jc w:val="center"/>
            </w:pP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低氮燃烧改造配套软件升级</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套</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1</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包括ASMC、Argus、逻辑升级等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spacing w:line="300" w:lineRule="auto"/>
              <w:jc w:val="center"/>
            </w:pP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改造所需的配套管路</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套</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1</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spacing w:line="300" w:lineRule="auto"/>
              <w:jc w:val="center"/>
            </w:pP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旧燃烧器拆除、新燃烧器安装配套的消耗件</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套</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1</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7"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spacing w:line="300" w:lineRule="auto"/>
              <w:jc w:val="center"/>
            </w:pPr>
          </w:p>
        </w:tc>
        <w:tc>
          <w:tcPr>
            <w:tcW w:w="23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安装调试消耗材料</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套</w:t>
            </w:r>
          </w:p>
        </w:tc>
        <w:tc>
          <w:tcPr>
            <w:tcW w:w="51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r>
              <w:rPr>
                <w:rFonts w:hint="eastAsia"/>
              </w:rPr>
              <w:t>1</w:t>
            </w:r>
          </w:p>
        </w:tc>
        <w:tc>
          <w:tcPr>
            <w:tcW w:w="2456"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textAlignment w:val="top"/>
            </w:pPr>
          </w:p>
        </w:tc>
      </w:tr>
    </w:tbl>
    <w:p>
      <w:pPr>
        <w:pStyle w:val="3"/>
        <w:numPr>
          <w:ilvl w:val="0"/>
          <w:numId w:val="0"/>
        </w:numPr>
        <w:spacing w:before="0" w:after="0" w:line="300" w:lineRule="auto"/>
        <w:jc w:val="left"/>
        <w:rPr>
          <w:bCs/>
          <w:sz w:val="24"/>
          <w:szCs w:val="24"/>
        </w:rPr>
      </w:pPr>
      <w:bookmarkStart w:id="24" w:name="_Toc4822"/>
      <w:bookmarkStart w:id="25" w:name="_Toc3414"/>
      <w:r>
        <w:rPr>
          <w:rFonts w:hint="eastAsia"/>
          <w:bCs/>
          <w:sz w:val="24"/>
          <w:szCs w:val="24"/>
        </w:rPr>
        <w:t>三 技术资料和交付进度</w:t>
      </w:r>
      <w:bookmarkEnd w:id="24"/>
      <w:bookmarkEnd w:id="25"/>
    </w:p>
    <w:p>
      <w:pPr>
        <w:spacing w:line="300" w:lineRule="auto"/>
        <w:outlineLvl w:val="1"/>
        <w:rPr>
          <w:rFonts w:hint="eastAsia" w:ascii="宋体" w:hAnsi="宋体" w:eastAsia="宋体" w:cs="宋体"/>
          <w:b/>
          <w:bCs/>
          <w:sz w:val="24"/>
        </w:rPr>
      </w:pPr>
      <w:bookmarkStart w:id="26" w:name="_Toc9842"/>
      <w:bookmarkStart w:id="27" w:name="_Toc15365"/>
      <w:r>
        <w:rPr>
          <w:rFonts w:hint="eastAsia" w:ascii="宋体" w:hAnsi="宋体" w:eastAsia="宋体" w:cs="宋体"/>
          <w:b/>
          <w:bCs/>
          <w:sz w:val="24"/>
        </w:rPr>
        <w:t>1 一般要求</w:t>
      </w:r>
      <w:bookmarkEnd w:id="26"/>
      <w:bookmarkEnd w:id="27"/>
    </w:p>
    <w:p>
      <w:pPr>
        <w:pStyle w:val="27"/>
        <w:numPr>
          <w:ilvl w:val="0"/>
          <w:numId w:val="19"/>
        </w:numPr>
        <w:spacing w:before="0" w:after="0"/>
        <w:rPr>
          <w:rFonts w:hint="eastAsia" w:ascii="宋体" w:hAnsi="宋体" w:eastAsia="宋体" w:cs="宋体"/>
        </w:rPr>
      </w:pPr>
      <w:r>
        <w:rPr>
          <w:rFonts w:hint="eastAsia" w:ascii="宋体" w:hAnsi="宋体" w:eastAsia="宋体" w:cs="宋体"/>
        </w:rPr>
        <w:t>投标人提供的资料应使用国家法定单位制即国际单位制。其中，在提供图纸和文字说明的同时，提供电子文件。</w:t>
      </w:r>
    </w:p>
    <w:p>
      <w:pPr>
        <w:pStyle w:val="27"/>
        <w:numPr>
          <w:ilvl w:val="0"/>
          <w:numId w:val="19"/>
        </w:numPr>
        <w:spacing w:before="0" w:after="0"/>
        <w:rPr>
          <w:rFonts w:hint="eastAsia" w:ascii="宋体" w:hAnsi="宋体" w:eastAsia="宋体" w:cs="宋体"/>
        </w:rPr>
      </w:pPr>
      <w:r>
        <w:rPr>
          <w:rFonts w:hint="eastAsia" w:ascii="宋体" w:hAnsi="宋体" w:eastAsia="宋体" w:cs="宋体"/>
        </w:rPr>
        <w:t>投标人在</w:t>
      </w:r>
      <w:r>
        <w:rPr>
          <w:rFonts w:hint="eastAsia" w:ascii="宋体" w:hAnsi="宋体" w:eastAsia="宋体" w:cs="宋体"/>
          <w:b/>
          <w:u w:val="single"/>
        </w:rPr>
        <w:t>合同签订后</w:t>
      </w:r>
      <w:r>
        <w:rPr>
          <w:rFonts w:hint="eastAsia" w:ascii="宋体" w:hAnsi="宋体" w:eastAsia="宋体" w:cs="宋体"/>
          <w:b/>
          <w:u w:val="single"/>
          <w:lang w:val="en-US" w:eastAsia="zh-CN"/>
        </w:rPr>
        <w:t>三</w:t>
      </w:r>
      <w:r>
        <w:rPr>
          <w:rFonts w:hint="eastAsia" w:ascii="宋体" w:hAnsi="宋体" w:eastAsia="宋体" w:cs="宋体"/>
          <w:b/>
          <w:u w:val="single"/>
        </w:rPr>
        <w:t>个月内</w:t>
      </w:r>
      <w:r>
        <w:rPr>
          <w:rFonts w:hint="eastAsia" w:ascii="宋体" w:hAnsi="宋体" w:eastAsia="宋体" w:cs="宋体"/>
        </w:rPr>
        <w:t>应提供值班燃烧器PMP应用研究项目</w:t>
      </w:r>
      <w:r>
        <w:rPr>
          <w:rFonts w:hint="eastAsia" w:ascii="宋体" w:hAnsi="宋体" w:eastAsia="宋体" w:cs="宋体"/>
          <w:lang w:val="en-US" w:eastAsia="zh-CN"/>
        </w:rPr>
        <w:t>实施</w:t>
      </w:r>
      <w:r>
        <w:rPr>
          <w:rFonts w:hint="eastAsia" w:ascii="宋体" w:hAnsi="宋体" w:eastAsia="宋体" w:cs="宋体"/>
        </w:rPr>
        <w:t>方案。</w:t>
      </w:r>
    </w:p>
    <w:p>
      <w:pPr>
        <w:pStyle w:val="27"/>
        <w:numPr>
          <w:ilvl w:val="0"/>
          <w:numId w:val="19"/>
        </w:numPr>
        <w:spacing w:before="0" w:after="0"/>
        <w:rPr>
          <w:rFonts w:hint="eastAsia" w:ascii="宋体" w:hAnsi="宋体" w:eastAsia="宋体" w:cs="宋体"/>
        </w:rPr>
      </w:pPr>
      <w:r>
        <w:rPr>
          <w:rFonts w:hint="eastAsia" w:ascii="宋体" w:hAnsi="宋体" w:eastAsia="宋体" w:cs="宋体"/>
        </w:rPr>
        <w:t>投标人资料的提交应及时、充分，满足项目进度要求。</w:t>
      </w:r>
      <w:r>
        <w:rPr>
          <w:rFonts w:hint="eastAsia" w:ascii="宋体" w:hAnsi="宋体" w:eastAsia="宋体" w:cs="宋体"/>
          <w:b/>
          <w:u w:val="single"/>
        </w:rPr>
        <w:t>在合同签订后</w:t>
      </w:r>
      <w:r>
        <w:rPr>
          <w:rFonts w:hint="eastAsia" w:ascii="宋体" w:hAnsi="宋体" w:eastAsia="宋体" w:cs="宋体"/>
          <w:b/>
          <w:u w:val="single"/>
          <w:lang w:val="en-US" w:eastAsia="zh-CN"/>
        </w:rPr>
        <w:t>一个月</w:t>
      </w:r>
      <w:r>
        <w:rPr>
          <w:rFonts w:hint="eastAsia" w:ascii="宋体" w:hAnsi="宋体" w:eastAsia="宋体" w:cs="宋体"/>
          <w:b/>
          <w:u w:val="single"/>
        </w:rPr>
        <w:t>内给出技术资料的交付进度清单，并经招标人确认</w:t>
      </w:r>
      <w:r>
        <w:rPr>
          <w:rFonts w:hint="eastAsia" w:ascii="宋体" w:hAnsi="宋体" w:eastAsia="宋体" w:cs="宋体"/>
        </w:rPr>
        <w:t>。</w:t>
      </w:r>
    </w:p>
    <w:p>
      <w:pPr>
        <w:pStyle w:val="27"/>
        <w:numPr>
          <w:ilvl w:val="0"/>
          <w:numId w:val="19"/>
        </w:numPr>
        <w:spacing w:before="0" w:after="0"/>
        <w:rPr>
          <w:rFonts w:hint="eastAsia" w:ascii="宋体" w:hAnsi="宋体" w:eastAsia="宋体" w:cs="宋体"/>
        </w:rPr>
      </w:pPr>
      <w:r>
        <w:rPr>
          <w:rFonts w:hint="eastAsia" w:ascii="宋体" w:hAnsi="宋体" w:eastAsia="宋体" w:cs="宋体"/>
        </w:rPr>
        <w:t>投标人提供的技术资料一般可分为设备监造检验、施工调试试运、性能试验验收和运行维护等五个方面。投标人须满足以上五个方面的具体要求，招标人应有权要求投标人提交必要的补充资料。</w:t>
      </w:r>
    </w:p>
    <w:p>
      <w:pPr>
        <w:pStyle w:val="27"/>
        <w:numPr>
          <w:ilvl w:val="0"/>
          <w:numId w:val="19"/>
        </w:numPr>
        <w:spacing w:before="0" w:after="0"/>
        <w:rPr>
          <w:rFonts w:hint="eastAsia" w:ascii="宋体" w:hAnsi="宋体" w:eastAsia="宋体" w:cs="宋体"/>
        </w:rPr>
      </w:pPr>
      <w:r>
        <w:rPr>
          <w:rFonts w:hint="eastAsia" w:ascii="宋体" w:hAnsi="宋体" w:eastAsia="宋体" w:cs="宋体"/>
        </w:rPr>
        <w:t>设备制造以前，投标人应提交主要图表、接口和安装图以及所有安装、运行和维护所需的图纸以全面证明其符合本技术规范书的要求。</w:t>
      </w:r>
    </w:p>
    <w:p>
      <w:pPr>
        <w:pStyle w:val="27"/>
        <w:spacing w:before="0" w:after="0"/>
        <w:ind w:firstLine="0"/>
        <w:rPr>
          <w:rFonts w:hint="eastAsia" w:ascii="宋体" w:hAnsi="宋体" w:eastAsia="宋体" w:cs="宋体"/>
        </w:rPr>
      </w:pPr>
    </w:p>
    <w:p>
      <w:pPr>
        <w:spacing w:line="300" w:lineRule="auto"/>
        <w:outlineLvl w:val="1"/>
        <w:rPr>
          <w:rFonts w:hint="eastAsia" w:ascii="宋体" w:hAnsi="宋体" w:eastAsia="宋体" w:cs="宋体"/>
          <w:b/>
          <w:bCs/>
          <w:sz w:val="24"/>
        </w:rPr>
      </w:pPr>
      <w:bookmarkStart w:id="28" w:name="_Toc35161163"/>
      <w:bookmarkStart w:id="29" w:name="_Toc70"/>
      <w:bookmarkStart w:id="30" w:name="_Toc78258645"/>
      <w:bookmarkStart w:id="31" w:name="_Toc24908"/>
      <w:r>
        <w:rPr>
          <w:rFonts w:hint="eastAsia" w:ascii="宋体" w:hAnsi="宋体" w:eastAsia="宋体" w:cs="宋体"/>
          <w:b/>
          <w:bCs/>
          <w:sz w:val="24"/>
        </w:rPr>
        <w:t>2 技术文件和图纸</w:t>
      </w:r>
      <w:bookmarkEnd w:id="28"/>
      <w:bookmarkEnd w:id="29"/>
      <w:bookmarkEnd w:id="30"/>
      <w:bookmarkEnd w:id="31"/>
    </w:p>
    <w:p>
      <w:pPr>
        <w:pStyle w:val="27"/>
        <w:numPr>
          <w:ilvl w:val="0"/>
          <w:numId w:val="20"/>
        </w:numPr>
        <w:spacing w:before="0" w:after="0"/>
        <w:ind w:left="525" w:hanging="525"/>
        <w:rPr>
          <w:rFonts w:hint="eastAsia" w:ascii="宋体" w:hAnsi="宋体" w:eastAsia="宋体" w:cs="宋体"/>
        </w:rPr>
      </w:pPr>
      <w:r>
        <w:rPr>
          <w:rFonts w:hint="eastAsia" w:ascii="宋体" w:hAnsi="宋体" w:eastAsia="宋体" w:cs="宋体"/>
        </w:rPr>
        <w:t>图纸和文件交货进度应满足项目工程进度要求，尤其是现场施工进度的要求，计算书应与相关图纸同时提供。</w:t>
      </w:r>
    </w:p>
    <w:p>
      <w:pPr>
        <w:pStyle w:val="27"/>
        <w:numPr>
          <w:ilvl w:val="0"/>
          <w:numId w:val="20"/>
        </w:numPr>
        <w:spacing w:before="0" w:after="0"/>
        <w:ind w:left="525" w:hanging="525"/>
        <w:rPr>
          <w:rFonts w:hint="eastAsia" w:ascii="宋体" w:hAnsi="宋体" w:eastAsia="宋体" w:cs="宋体"/>
        </w:rPr>
      </w:pPr>
      <w:r>
        <w:rPr>
          <w:rFonts w:hint="eastAsia" w:ascii="宋体" w:hAnsi="宋体" w:eastAsia="宋体" w:cs="宋体"/>
        </w:rPr>
        <w:t>投标人应在不迟于下列规定日期提交图纸和文件：</w:t>
      </w:r>
    </w:p>
    <w:p>
      <w:pPr>
        <w:pStyle w:val="27"/>
        <w:spacing w:before="0" w:after="0"/>
        <w:ind w:firstLine="0"/>
        <w:rPr>
          <w:rFonts w:hint="eastAsia" w:ascii="宋体" w:hAnsi="宋体" w:eastAsia="宋体" w:cs="宋体"/>
        </w:rPr>
      </w:pPr>
      <w:r>
        <w:rPr>
          <w:rFonts w:hint="eastAsia" w:ascii="宋体" w:hAnsi="宋体" w:eastAsia="宋体" w:cs="宋体"/>
        </w:rPr>
        <w:t>2.2.1合同签订后90天内提供（不限于此）</w:t>
      </w:r>
    </w:p>
    <w:p>
      <w:pPr>
        <w:pStyle w:val="27"/>
        <w:numPr>
          <w:ilvl w:val="0"/>
          <w:numId w:val="0"/>
        </w:numPr>
        <w:spacing w:before="0" w:after="0"/>
        <w:ind w:left="-5"/>
        <w:rPr>
          <w:rFonts w:hint="eastAsia" w:ascii="宋体" w:hAnsi="宋体" w:eastAsia="宋体" w:cs="宋体"/>
        </w:rPr>
      </w:pPr>
      <w:r>
        <w:rPr>
          <w:rFonts w:hint="eastAsia" w:ascii="宋体" w:hAnsi="宋体" w:eastAsia="宋体" w:cs="宋体"/>
        </w:rPr>
        <w:t>2.2.1.1设备、材料的供货商清单；</w:t>
      </w:r>
    </w:p>
    <w:p>
      <w:pPr>
        <w:pStyle w:val="27"/>
        <w:numPr>
          <w:ilvl w:val="0"/>
          <w:numId w:val="0"/>
        </w:numPr>
        <w:spacing w:before="0" w:after="0"/>
        <w:ind w:left="-5"/>
        <w:rPr>
          <w:rFonts w:hint="eastAsia" w:ascii="宋体" w:hAnsi="宋体" w:eastAsia="宋体" w:cs="宋体"/>
        </w:rPr>
      </w:pPr>
      <w:r>
        <w:rPr>
          <w:rFonts w:hint="eastAsia" w:ascii="宋体" w:hAnsi="宋体" w:eastAsia="宋体" w:cs="宋体"/>
        </w:rPr>
        <w:t>2.2.1.2投标人供货进度计划；</w:t>
      </w:r>
    </w:p>
    <w:p>
      <w:pPr>
        <w:pStyle w:val="27"/>
        <w:numPr>
          <w:ilvl w:val="0"/>
          <w:numId w:val="0"/>
        </w:numPr>
        <w:spacing w:before="0" w:after="0"/>
        <w:ind w:left="-5"/>
        <w:rPr>
          <w:rFonts w:hint="eastAsia" w:ascii="宋体" w:hAnsi="宋体" w:eastAsia="宋体" w:cs="宋体"/>
        </w:rPr>
      </w:pPr>
      <w:r>
        <w:rPr>
          <w:rFonts w:hint="eastAsia" w:ascii="宋体" w:hAnsi="宋体" w:eastAsia="宋体" w:cs="宋体"/>
        </w:rPr>
        <w:t>2.2.1.3投标人设计进度计划；</w:t>
      </w:r>
    </w:p>
    <w:p>
      <w:pPr>
        <w:pStyle w:val="27"/>
        <w:numPr>
          <w:ilvl w:val="0"/>
          <w:numId w:val="0"/>
        </w:numPr>
        <w:spacing w:before="0" w:after="0"/>
        <w:ind w:left="-5"/>
        <w:rPr>
          <w:rFonts w:hint="eastAsia" w:ascii="宋体" w:hAnsi="宋体" w:eastAsia="宋体" w:cs="宋体"/>
        </w:rPr>
      </w:pPr>
      <w:r>
        <w:rPr>
          <w:rFonts w:hint="eastAsia" w:ascii="宋体" w:hAnsi="宋体" w:eastAsia="宋体" w:cs="宋体"/>
        </w:rPr>
        <w:t>2.2.1.4质量保证程序；</w:t>
      </w:r>
    </w:p>
    <w:p>
      <w:pPr>
        <w:pStyle w:val="27"/>
        <w:numPr>
          <w:ilvl w:val="0"/>
          <w:numId w:val="21"/>
        </w:numPr>
        <w:spacing w:before="0" w:after="0"/>
        <w:ind w:left="420"/>
        <w:rPr>
          <w:rFonts w:hint="eastAsia" w:ascii="宋体" w:hAnsi="宋体" w:eastAsia="宋体" w:cs="宋体"/>
        </w:rPr>
      </w:pPr>
      <w:r>
        <w:rPr>
          <w:rFonts w:hint="eastAsia" w:ascii="宋体" w:hAnsi="宋体" w:eastAsia="宋体" w:cs="宋体"/>
        </w:rPr>
        <w:t>设备的详细外形尺寸图、安装要求图。</w:t>
      </w:r>
    </w:p>
    <w:p>
      <w:pPr>
        <w:pStyle w:val="27"/>
        <w:spacing w:before="0" w:after="0"/>
        <w:ind w:firstLine="0"/>
        <w:rPr>
          <w:rFonts w:hint="eastAsia" w:ascii="宋体" w:hAnsi="宋体" w:eastAsia="宋体" w:cs="宋体"/>
          <w:sz w:val="24"/>
          <w:szCs w:val="24"/>
        </w:rPr>
      </w:pPr>
      <w:r>
        <w:rPr>
          <w:rFonts w:hint="eastAsia" w:ascii="宋体" w:hAnsi="宋体" w:eastAsia="宋体" w:cs="宋体"/>
          <w:sz w:val="24"/>
          <w:szCs w:val="24"/>
        </w:rPr>
        <w:t>2.2.2合同生效90日内提供（不限于此）</w:t>
      </w:r>
    </w:p>
    <w:p>
      <w:pPr>
        <w:pStyle w:val="27"/>
        <w:numPr>
          <w:ilvl w:val="0"/>
          <w:numId w:val="0"/>
        </w:numPr>
        <w:spacing w:before="0" w:after="0"/>
        <w:ind w:left="-5"/>
        <w:rPr>
          <w:rFonts w:hint="eastAsia" w:ascii="宋体" w:hAnsi="宋体" w:eastAsia="宋体" w:cs="宋体"/>
          <w:sz w:val="24"/>
          <w:szCs w:val="24"/>
        </w:rPr>
      </w:pPr>
      <w:r>
        <w:rPr>
          <w:rFonts w:hint="eastAsia" w:ascii="宋体" w:hAnsi="宋体" w:eastAsia="宋体" w:cs="宋体"/>
          <w:sz w:val="24"/>
          <w:szCs w:val="24"/>
        </w:rPr>
        <w:t>2.2.2.1合同范围内所有设备的完整设备清单，包括制造厂商、原产国以及交付日期；</w:t>
      </w:r>
    </w:p>
    <w:p>
      <w:pPr>
        <w:pStyle w:val="27"/>
        <w:numPr>
          <w:ilvl w:val="0"/>
          <w:numId w:val="0"/>
        </w:numPr>
        <w:spacing w:before="0" w:after="0"/>
        <w:ind w:left="-5"/>
        <w:rPr>
          <w:rFonts w:hint="eastAsia" w:ascii="宋体" w:hAnsi="宋体" w:eastAsia="宋体" w:cs="宋体"/>
          <w:sz w:val="24"/>
          <w:szCs w:val="24"/>
        </w:rPr>
      </w:pPr>
      <w:r>
        <w:rPr>
          <w:rFonts w:hint="eastAsia" w:ascii="宋体" w:hAnsi="宋体" w:eastAsia="宋体" w:cs="宋体"/>
          <w:sz w:val="24"/>
          <w:szCs w:val="24"/>
        </w:rPr>
        <w:t>2.2.2.2除了上述要求外，投标人还应提供使招标人能履行其责任的其他所有图纸和文件。</w:t>
      </w:r>
    </w:p>
    <w:p>
      <w:pPr>
        <w:pStyle w:val="9"/>
        <w:spacing w:line="300" w:lineRule="auto"/>
        <w:ind w:left="0"/>
        <w:rPr>
          <w:rFonts w:hint="eastAsia" w:ascii="宋体" w:hAnsi="宋体" w:eastAsia="宋体" w:cs="宋体"/>
          <w:sz w:val="24"/>
          <w:szCs w:val="24"/>
          <w:u w:val="single"/>
        </w:rPr>
      </w:pPr>
      <w:r>
        <w:rPr>
          <w:rFonts w:hint="eastAsia" w:ascii="宋体" w:hAnsi="宋体" w:eastAsia="宋体" w:cs="宋体"/>
          <w:sz w:val="24"/>
          <w:szCs w:val="24"/>
          <w:u w:val="single"/>
        </w:rPr>
        <w:t>最终资料提交后不得任意修改，设备到货后与所提资料不符所造成的</w:t>
      </w:r>
      <w:r>
        <w:rPr>
          <w:rFonts w:hint="eastAsia" w:ascii="宋体" w:hAnsi="宋体" w:eastAsia="宋体" w:cs="宋体"/>
          <w:sz w:val="24"/>
          <w:szCs w:val="24"/>
          <w:u w:val="single"/>
          <w:lang w:val="en-US" w:eastAsia="zh-CN"/>
        </w:rPr>
        <w:t>由投标人原因导致的</w:t>
      </w:r>
      <w:r>
        <w:rPr>
          <w:rFonts w:hint="eastAsia" w:ascii="宋体" w:hAnsi="宋体" w:eastAsia="宋体" w:cs="宋体"/>
          <w:sz w:val="24"/>
          <w:szCs w:val="24"/>
          <w:u w:val="single"/>
        </w:rPr>
        <w:t>一切返工和损失由投标人负责赔偿。</w:t>
      </w:r>
    </w:p>
    <w:p>
      <w:pPr>
        <w:pStyle w:val="27"/>
        <w:numPr>
          <w:ilvl w:val="0"/>
          <w:numId w:val="20"/>
        </w:numPr>
        <w:spacing w:before="0" w:after="0"/>
        <w:ind w:left="600" w:hanging="600"/>
        <w:rPr>
          <w:rFonts w:hint="eastAsia" w:ascii="宋体" w:hAnsi="宋体" w:eastAsia="宋体" w:cs="宋体"/>
          <w:sz w:val="24"/>
          <w:szCs w:val="24"/>
        </w:rPr>
      </w:pPr>
      <w:r>
        <w:rPr>
          <w:rFonts w:hint="eastAsia" w:ascii="宋体" w:hAnsi="宋体" w:eastAsia="宋体" w:cs="宋体"/>
          <w:sz w:val="24"/>
          <w:szCs w:val="24"/>
        </w:rPr>
        <w:t>设备监造检验所需要的技术资料</w:t>
      </w:r>
    </w:p>
    <w:p>
      <w:pPr>
        <w:spacing w:line="300" w:lineRule="auto"/>
        <w:ind w:left="630" w:leftChars="300"/>
        <w:rPr>
          <w:rFonts w:hint="eastAsia" w:ascii="宋体" w:hAnsi="宋体" w:eastAsia="宋体" w:cs="宋体"/>
          <w:sz w:val="24"/>
          <w:szCs w:val="24"/>
        </w:rPr>
      </w:pPr>
      <w:r>
        <w:rPr>
          <w:rFonts w:hint="eastAsia" w:ascii="宋体" w:hAnsi="宋体" w:eastAsia="宋体" w:cs="宋体"/>
          <w:sz w:val="24"/>
          <w:szCs w:val="24"/>
        </w:rPr>
        <w:t>投标人应提供满足合同设备监造检验/见证所需的全部技术资料。</w:t>
      </w:r>
    </w:p>
    <w:p>
      <w:pPr>
        <w:pStyle w:val="27"/>
        <w:numPr>
          <w:ilvl w:val="0"/>
          <w:numId w:val="20"/>
        </w:numPr>
        <w:spacing w:before="0" w:after="0"/>
        <w:ind w:left="600" w:hanging="600"/>
        <w:rPr>
          <w:rFonts w:hint="eastAsia" w:ascii="宋体" w:hAnsi="宋体" w:eastAsia="宋体" w:cs="宋体"/>
          <w:sz w:val="24"/>
          <w:szCs w:val="24"/>
        </w:rPr>
      </w:pPr>
      <w:r>
        <w:rPr>
          <w:rFonts w:hint="eastAsia" w:ascii="宋体" w:hAnsi="宋体" w:eastAsia="宋体" w:cs="宋体"/>
          <w:sz w:val="24"/>
          <w:szCs w:val="24"/>
        </w:rPr>
        <w:t>投标人应提供备品、配件总清单。</w:t>
      </w:r>
    </w:p>
    <w:p>
      <w:pPr>
        <w:pStyle w:val="27"/>
        <w:numPr>
          <w:ilvl w:val="0"/>
          <w:numId w:val="20"/>
        </w:numPr>
        <w:spacing w:before="0" w:after="0"/>
        <w:ind w:left="600" w:hanging="600"/>
        <w:rPr>
          <w:rFonts w:hint="eastAsia" w:ascii="宋体" w:hAnsi="宋体" w:eastAsia="宋体" w:cs="宋体"/>
          <w:sz w:val="24"/>
          <w:szCs w:val="24"/>
        </w:rPr>
      </w:pPr>
      <w:r>
        <w:rPr>
          <w:rFonts w:hint="eastAsia" w:ascii="宋体" w:hAnsi="宋体" w:eastAsia="宋体" w:cs="宋体"/>
          <w:sz w:val="24"/>
          <w:szCs w:val="24"/>
        </w:rPr>
        <w:t>投标人须提供的其它技术资料（投标人根据招标人提出的范围和要求提交，并经招标人确认）</w:t>
      </w:r>
    </w:p>
    <w:p>
      <w:pPr>
        <w:pStyle w:val="27"/>
        <w:numPr>
          <w:ilvl w:val="0"/>
          <w:numId w:val="22"/>
        </w:numPr>
        <w:spacing w:before="0" w:after="0"/>
        <w:rPr>
          <w:rFonts w:hint="eastAsia" w:ascii="宋体" w:hAnsi="宋体" w:eastAsia="宋体" w:cs="宋体"/>
          <w:sz w:val="24"/>
          <w:szCs w:val="24"/>
        </w:rPr>
      </w:pPr>
      <w:r>
        <w:rPr>
          <w:rFonts w:hint="eastAsia" w:ascii="宋体" w:hAnsi="宋体" w:eastAsia="宋体" w:cs="宋体"/>
          <w:sz w:val="24"/>
          <w:szCs w:val="24"/>
        </w:rPr>
        <w:t>检验记录、试验报告、质量合格证及特种设备监检资料等出厂报告。</w:t>
      </w:r>
    </w:p>
    <w:p>
      <w:pPr>
        <w:pStyle w:val="27"/>
        <w:numPr>
          <w:ilvl w:val="0"/>
          <w:numId w:val="22"/>
        </w:numPr>
        <w:spacing w:before="0" w:after="0"/>
        <w:ind w:left="600" w:hanging="600"/>
        <w:rPr>
          <w:rFonts w:hint="eastAsia" w:ascii="宋体" w:hAnsi="宋体" w:eastAsia="宋体" w:cs="宋体"/>
          <w:sz w:val="24"/>
          <w:szCs w:val="24"/>
        </w:rPr>
      </w:pPr>
      <w:r>
        <w:rPr>
          <w:rFonts w:hint="eastAsia" w:ascii="宋体" w:hAnsi="宋体" w:eastAsia="宋体" w:cs="宋体"/>
          <w:sz w:val="24"/>
          <w:szCs w:val="24"/>
        </w:rPr>
        <w:t>详细的产品质量文件，包括：材料规格、材质证明、材质检验、焊接及检验、热处理工艺和质量、加工质量、外形尺寸、性能检验等的证明以及招标人需要的与产品相关的其它质量文件。</w:t>
      </w:r>
    </w:p>
    <w:p>
      <w:pPr>
        <w:pStyle w:val="3"/>
        <w:numPr>
          <w:ilvl w:val="0"/>
          <w:numId w:val="0"/>
        </w:numPr>
        <w:spacing w:before="0" w:after="0" w:line="300" w:lineRule="auto"/>
        <w:jc w:val="left"/>
        <w:rPr>
          <w:bCs/>
          <w:sz w:val="24"/>
          <w:szCs w:val="24"/>
        </w:rPr>
      </w:pPr>
      <w:bookmarkStart w:id="32" w:name="_Toc26988"/>
      <w:bookmarkStart w:id="33" w:name="_Toc11715"/>
      <w:r>
        <w:rPr>
          <w:rFonts w:hint="eastAsia"/>
          <w:bCs/>
          <w:sz w:val="24"/>
          <w:szCs w:val="24"/>
        </w:rPr>
        <w:t xml:space="preserve">四 </w:t>
      </w:r>
      <w:bookmarkEnd w:id="32"/>
      <w:r>
        <w:rPr>
          <w:rFonts w:hint="eastAsia"/>
          <w:bCs/>
          <w:sz w:val="24"/>
          <w:szCs w:val="24"/>
        </w:rPr>
        <w:t>设备监造、检验和验收</w:t>
      </w:r>
      <w:bookmarkEnd w:id="33"/>
    </w:p>
    <w:p>
      <w:pPr>
        <w:pStyle w:val="2"/>
        <w:spacing w:before="0" w:after="0" w:line="300" w:lineRule="auto"/>
        <w:rPr>
          <w:rFonts w:hint="eastAsia" w:ascii="宋体" w:hAnsi="宋体" w:eastAsia="宋体" w:cs="宋体"/>
          <w:sz w:val="24"/>
          <w:szCs w:val="24"/>
        </w:rPr>
      </w:pPr>
      <w:bookmarkStart w:id="34" w:name="_Toc13586"/>
      <w:bookmarkStart w:id="35" w:name="_Toc23376"/>
      <w:r>
        <w:rPr>
          <w:rFonts w:hint="eastAsia" w:ascii="宋体" w:hAnsi="宋体" w:eastAsia="宋体" w:cs="宋体"/>
          <w:sz w:val="24"/>
          <w:szCs w:val="24"/>
        </w:rPr>
        <w:t>1 总则</w:t>
      </w:r>
      <w:bookmarkEnd w:id="34"/>
    </w:p>
    <w:p>
      <w:pPr>
        <w:numPr>
          <w:ilvl w:val="0"/>
          <w:numId w:val="23"/>
        </w:numPr>
        <w:tabs>
          <w:tab w:val="left" w:pos="502"/>
        </w:tabs>
        <w:snapToGrid w:val="0"/>
        <w:spacing w:line="300" w:lineRule="auto"/>
        <w:ind w:left="0" w:firstLine="0"/>
        <w:rPr>
          <w:rFonts w:hint="eastAsia" w:ascii="宋体" w:hAnsi="宋体" w:eastAsia="宋体" w:cs="宋体"/>
          <w:sz w:val="24"/>
        </w:rPr>
      </w:pPr>
      <w:r>
        <w:rPr>
          <w:rFonts w:hint="eastAsia" w:ascii="宋体" w:hAnsi="宋体" w:eastAsia="宋体" w:cs="宋体"/>
          <w:sz w:val="24"/>
        </w:rPr>
        <w:t>投标人在制造过程中，应对设备的材料、连接、组装、工艺、整体以及功能进行试验和检查，以保证完全符合本规范文件和已确认的设计图纸的要求。</w:t>
      </w:r>
    </w:p>
    <w:p>
      <w:pPr>
        <w:pStyle w:val="35"/>
        <w:numPr>
          <w:ilvl w:val="0"/>
          <w:numId w:val="23"/>
        </w:numPr>
        <w:tabs>
          <w:tab w:val="left" w:pos="502"/>
        </w:tabs>
        <w:autoSpaceDE/>
        <w:autoSpaceDN/>
        <w:adjustRightInd/>
        <w:snapToGrid w:val="0"/>
        <w:spacing w:before="0" w:after="0" w:line="300" w:lineRule="auto"/>
        <w:ind w:left="0" w:firstLine="0"/>
        <w:textAlignment w:val="auto"/>
        <w:rPr>
          <w:rFonts w:hint="eastAsia" w:ascii="宋体" w:hAnsi="宋体" w:eastAsia="宋体" w:cs="宋体"/>
          <w:kern w:val="2"/>
          <w:sz w:val="24"/>
          <w:szCs w:val="24"/>
        </w:rPr>
      </w:pPr>
      <w:r>
        <w:rPr>
          <w:rFonts w:hint="eastAsia" w:ascii="宋体" w:hAnsi="宋体" w:eastAsia="宋体" w:cs="宋体"/>
          <w:kern w:val="2"/>
          <w:sz w:val="24"/>
          <w:szCs w:val="24"/>
        </w:rPr>
        <w:t>招标人应有权在任何时候，对设备的质量管理情况，包括设备试验的记录进行检查。</w:t>
      </w:r>
    </w:p>
    <w:p>
      <w:pPr>
        <w:pStyle w:val="2"/>
        <w:spacing w:before="0" w:after="0" w:line="300" w:lineRule="auto"/>
        <w:rPr>
          <w:rFonts w:hint="eastAsia" w:ascii="宋体" w:hAnsi="宋体" w:eastAsia="宋体" w:cs="宋体"/>
          <w:sz w:val="24"/>
          <w:szCs w:val="24"/>
        </w:rPr>
      </w:pPr>
      <w:bookmarkStart w:id="36" w:name="_Toc28098"/>
      <w:r>
        <w:rPr>
          <w:rFonts w:hint="eastAsia" w:ascii="宋体" w:hAnsi="宋体" w:eastAsia="宋体" w:cs="宋体"/>
          <w:sz w:val="24"/>
          <w:szCs w:val="24"/>
        </w:rPr>
        <w:t>2.工厂检验</w:t>
      </w:r>
      <w:bookmarkEnd w:id="36"/>
    </w:p>
    <w:p>
      <w:pPr>
        <w:pStyle w:val="36"/>
        <w:spacing w:line="300" w:lineRule="auto"/>
        <w:rPr>
          <w:rFonts w:hint="eastAsia" w:ascii="宋体" w:hAnsi="宋体" w:eastAsia="宋体" w:cs="宋体"/>
          <w:kern w:val="2"/>
          <w:sz w:val="24"/>
          <w:szCs w:val="24"/>
        </w:rPr>
      </w:pPr>
      <w:r>
        <w:rPr>
          <w:rFonts w:hint="eastAsia" w:ascii="宋体" w:hAnsi="宋体" w:eastAsia="宋体" w:cs="宋体"/>
          <w:kern w:val="2"/>
          <w:sz w:val="24"/>
          <w:szCs w:val="24"/>
        </w:rPr>
        <w:t>工厂检验是质量控制的一个重要组成部分。投标人须严格进行厂内各生产环节的检验和试验。投标人提供的合同设备须签发质量证明、检验记录和测试报告，并且作为交货时质量证明文件的组成部分。</w:t>
      </w:r>
    </w:p>
    <w:p>
      <w:pPr>
        <w:pStyle w:val="36"/>
        <w:spacing w:line="300" w:lineRule="auto"/>
        <w:rPr>
          <w:rFonts w:hint="eastAsia" w:ascii="宋体" w:hAnsi="宋体" w:eastAsia="宋体" w:cs="宋体"/>
          <w:kern w:val="2"/>
          <w:sz w:val="24"/>
          <w:szCs w:val="24"/>
        </w:rPr>
      </w:pPr>
      <w:r>
        <w:rPr>
          <w:rFonts w:hint="eastAsia" w:ascii="宋体" w:hAnsi="宋体" w:eastAsia="宋体" w:cs="宋体"/>
          <w:kern w:val="2"/>
          <w:sz w:val="24"/>
          <w:szCs w:val="24"/>
        </w:rPr>
        <w:t>检验的范围包括原材料和元器件的进厂，部件的加工、组装、试验至出厂试验。</w:t>
      </w:r>
    </w:p>
    <w:p>
      <w:pPr>
        <w:pStyle w:val="36"/>
        <w:spacing w:line="300" w:lineRule="auto"/>
        <w:rPr>
          <w:rFonts w:hint="eastAsia" w:ascii="宋体" w:hAnsi="宋体" w:eastAsia="宋体" w:cs="宋体"/>
          <w:sz w:val="24"/>
          <w:szCs w:val="24"/>
        </w:rPr>
      </w:pPr>
      <w:r>
        <w:rPr>
          <w:rFonts w:hint="eastAsia" w:ascii="宋体" w:hAnsi="宋体" w:eastAsia="宋体" w:cs="宋体"/>
          <w:kern w:val="2"/>
          <w:sz w:val="24"/>
          <w:szCs w:val="24"/>
        </w:rPr>
        <w:t>投标人检验的结果要满足</w:t>
      </w:r>
      <w:r>
        <w:rPr>
          <w:rFonts w:hint="eastAsia" w:ascii="宋体" w:hAnsi="宋体" w:eastAsia="宋体" w:cs="宋体"/>
          <w:b/>
          <w:bCs/>
          <w:sz w:val="24"/>
          <w:szCs w:val="32"/>
        </w:rPr>
        <w:t>“一 技术规范”</w:t>
      </w:r>
      <w:r>
        <w:rPr>
          <w:rFonts w:hint="eastAsia" w:ascii="宋体" w:hAnsi="宋体" w:eastAsia="宋体" w:cs="宋体"/>
          <w:kern w:val="2"/>
          <w:sz w:val="24"/>
          <w:szCs w:val="24"/>
        </w:rPr>
        <w:t>中的要求，如有不符之处或达不到标准要求，投标人要采取措施处理直至满足要求，同时向招标人提交不一致性报告。投标人发生重大质量问题时应将情况及时通知招标人。</w:t>
      </w:r>
    </w:p>
    <w:p>
      <w:pPr>
        <w:pStyle w:val="2"/>
        <w:spacing w:before="0" w:after="0" w:line="300" w:lineRule="auto"/>
        <w:rPr>
          <w:rFonts w:hint="eastAsia" w:ascii="宋体" w:hAnsi="宋体" w:eastAsia="宋体" w:cs="宋体"/>
          <w:sz w:val="24"/>
          <w:szCs w:val="24"/>
        </w:rPr>
      </w:pPr>
      <w:bookmarkStart w:id="37" w:name="_Toc513014518"/>
      <w:bookmarkStart w:id="38" w:name="_Toc515785180"/>
      <w:bookmarkStart w:id="39" w:name="_Toc501817574"/>
      <w:bookmarkStart w:id="40" w:name="_Toc7694"/>
      <w:r>
        <w:rPr>
          <w:rFonts w:hint="eastAsia" w:ascii="宋体" w:hAnsi="宋体" w:eastAsia="宋体" w:cs="宋体"/>
          <w:sz w:val="24"/>
          <w:szCs w:val="24"/>
        </w:rPr>
        <w:t xml:space="preserve">3 </w:t>
      </w:r>
      <w:bookmarkEnd w:id="37"/>
      <w:bookmarkEnd w:id="38"/>
      <w:bookmarkEnd w:id="39"/>
      <w:r>
        <w:rPr>
          <w:rFonts w:hint="eastAsia" w:ascii="宋体" w:hAnsi="宋体" w:eastAsia="宋体" w:cs="宋体"/>
          <w:sz w:val="24"/>
          <w:szCs w:val="24"/>
        </w:rPr>
        <w:t>现场验收</w:t>
      </w:r>
      <w:bookmarkEnd w:id="40"/>
    </w:p>
    <w:p>
      <w:pPr>
        <w:spacing w:line="300" w:lineRule="auto"/>
        <w:rPr>
          <w:rFonts w:hint="eastAsia" w:ascii="宋体" w:hAnsi="宋体" w:eastAsia="宋体" w:cs="宋体"/>
          <w:sz w:val="24"/>
          <w:szCs w:val="32"/>
        </w:rPr>
      </w:pPr>
      <w:r>
        <w:rPr>
          <w:rFonts w:hint="eastAsia" w:ascii="宋体" w:hAnsi="宋体" w:eastAsia="宋体" w:cs="宋体"/>
          <w:sz w:val="24"/>
          <w:szCs w:val="32"/>
        </w:rPr>
        <w:t>3.1机组试运行期间的所有运行参数需均满足本技术规范书</w:t>
      </w:r>
      <w:r>
        <w:rPr>
          <w:rFonts w:hint="eastAsia" w:ascii="宋体" w:hAnsi="宋体" w:eastAsia="宋体" w:cs="宋体"/>
          <w:b/>
          <w:bCs/>
          <w:sz w:val="24"/>
          <w:szCs w:val="32"/>
        </w:rPr>
        <w:t>“一 技术规范”</w:t>
      </w:r>
      <w:r>
        <w:rPr>
          <w:rFonts w:hint="eastAsia" w:ascii="宋体" w:hAnsi="宋体" w:eastAsia="宋体" w:cs="宋体"/>
          <w:sz w:val="24"/>
          <w:szCs w:val="32"/>
        </w:rPr>
        <w:t>的要求。</w:t>
      </w:r>
    </w:p>
    <w:p>
      <w:pPr>
        <w:spacing w:line="300" w:lineRule="auto"/>
        <w:rPr>
          <w:rFonts w:hint="eastAsia" w:ascii="宋体" w:hAnsi="宋体" w:eastAsia="宋体" w:cs="宋体"/>
          <w:sz w:val="24"/>
          <w:szCs w:val="32"/>
        </w:rPr>
      </w:pPr>
      <w:r>
        <w:rPr>
          <w:rFonts w:hint="eastAsia" w:ascii="宋体" w:hAnsi="宋体" w:eastAsia="宋体" w:cs="宋体"/>
          <w:sz w:val="24"/>
          <w:szCs w:val="32"/>
        </w:rPr>
        <w:t>3.2试运行期的定义： 热态调试工作结束后，燃机在130MW及以上负荷累计运行300运行小时。</w:t>
      </w:r>
    </w:p>
    <w:p>
      <w:pPr>
        <w:spacing w:line="300" w:lineRule="auto"/>
        <w:rPr>
          <w:rFonts w:hint="eastAsia" w:ascii="宋体" w:hAnsi="宋体" w:eastAsia="宋体" w:cs="宋体"/>
          <w:sz w:val="24"/>
        </w:rPr>
      </w:pPr>
      <w:r>
        <w:rPr>
          <w:rFonts w:hint="eastAsia" w:ascii="宋体" w:hAnsi="宋体" w:eastAsia="宋体" w:cs="宋体"/>
          <w:sz w:val="24"/>
          <w:szCs w:val="32"/>
        </w:rPr>
        <w:t xml:space="preserve">3.3 </w:t>
      </w:r>
      <w:r>
        <w:rPr>
          <w:rFonts w:hint="eastAsia" w:ascii="宋体" w:hAnsi="宋体" w:eastAsia="宋体" w:cs="宋体"/>
          <w:sz w:val="24"/>
        </w:rPr>
        <w:t>试运行期间如果发生不满足“</w:t>
      </w:r>
      <w:r>
        <w:rPr>
          <w:rFonts w:hint="eastAsia" w:ascii="宋体" w:hAnsi="宋体" w:eastAsia="宋体" w:cs="宋体"/>
          <w:b/>
          <w:bCs/>
          <w:sz w:val="24"/>
          <w:szCs w:val="32"/>
        </w:rPr>
        <w:t>一 技术规范</w:t>
      </w:r>
      <w:r>
        <w:rPr>
          <w:rFonts w:hint="eastAsia" w:ascii="宋体" w:hAnsi="宋体" w:eastAsia="宋体" w:cs="宋体"/>
          <w:sz w:val="24"/>
        </w:rPr>
        <w:t>”要求的，经处理后机组运行状态满足“</w:t>
      </w:r>
      <w:r>
        <w:rPr>
          <w:rFonts w:hint="eastAsia" w:ascii="宋体" w:hAnsi="宋体" w:eastAsia="宋体" w:cs="宋体"/>
          <w:b/>
          <w:bCs/>
          <w:sz w:val="24"/>
          <w:szCs w:val="32"/>
        </w:rPr>
        <w:t>一 技术规范</w:t>
      </w:r>
      <w:r>
        <w:rPr>
          <w:rFonts w:hint="eastAsia" w:ascii="宋体" w:hAnsi="宋体" w:eastAsia="宋体" w:cs="宋体"/>
          <w:sz w:val="24"/>
        </w:rPr>
        <w:t>”要求后，试运行期时间重新计算。</w:t>
      </w:r>
    </w:p>
    <w:p>
      <w:pPr>
        <w:spacing w:line="300" w:lineRule="auto"/>
        <w:rPr>
          <w:rFonts w:hint="eastAsia" w:ascii="宋体" w:hAnsi="宋体" w:eastAsia="宋体" w:cs="宋体"/>
          <w:sz w:val="24"/>
          <w:szCs w:val="32"/>
        </w:rPr>
      </w:pPr>
      <w:r>
        <w:rPr>
          <w:rFonts w:hint="eastAsia" w:ascii="宋体" w:hAnsi="宋体" w:eastAsia="宋体" w:cs="宋体"/>
          <w:sz w:val="24"/>
          <w:szCs w:val="32"/>
        </w:rPr>
        <w:t>3.4验收工作的地点由合同确定，一般为招标人现场。</w:t>
      </w:r>
    </w:p>
    <w:p>
      <w:pPr>
        <w:spacing w:line="300" w:lineRule="auto"/>
        <w:rPr>
          <w:rFonts w:hint="eastAsia" w:ascii="宋体" w:hAnsi="宋体" w:eastAsia="宋体" w:cs="宋体"/>
          <w:sz w:val="24"/>
          <w:szCs w:val="32"/>
        </w:rPr>
      </w:pPr>
      <w:r>
        <w:rPr>
          <w:rFonts w:hint="eastAsia" w:ascii="宋体" w:hAnsi="宋体" w:eastAsia="宋体" w:cs="宋体"/>
          <w:sz w:val="24"/>
          <w:szCs w:val="32"/>
        </w:rPr>
        <w:t>3.5验收工作的时间：具体试验时间由招投标双方协商确定。</w:t>
      </w:r>
    </w:p>
    <w:p>
      <w:pPr>
        <w:spacing w:line="300" w:lineRule="auto"/>
        <w:rPr>
          <w:rFonts w:hint="eastAsia" w:ascii="宋体" w:hAnsi="宋体" w:eastAsia="宋体" w:cs="宋体"/>
          <w:sz w:val="24"/>
          <w:szCs w:val="32"/>
        </w:rPr>
      </w:pPr>
      <w:r>
        <w:rPr>
          <w:rFonts w:hint="eastAsia" w:ascii="宋体" w:hAnsi="宋体" w:eastAsia="宋体" w:cs="宋体"/>
          <w:sz w:val="24"/>
          <w:szCs w:val="32"/>
        </w:rPr>
        <w:t>3.6验收工作由招标人主持，投标人参加。</w:t>
      </w:r>
    </w:p>
    <w:p>
      <w:pPr>
        <w:spacing w:line="300" w:lineRule="auto"/>
        <w:rPr>
          <w:rFonts w:hint="eastAsia" w:ascii="宋体" w:hAnsi="宋体" w:eastAsia="宋体" w:cs="宋体"/>
          <w:sz w:val="24"/>
          <w:szCs w:val="32"/>
        </w:rPr>
      </w:pPr>
      <w:r>
        <w:rPr>
          <w:rFonts w:hint="eastAsia" w:ascii="宋体" w:hAnsi="宋体" w:eastAsia="宋体" w:cs="宋体"/>
          <w:sz w:val="24"/>
          <w:szCs w:val="32"/>
        </w:rPr>
        <w:t>3.7在整个质保期内，如发生</w:t>
      </w:r>
      <w:r>
        <w:rPr>
          <w:rFonts w:hint="eastAsia" w:ascii="宋体" w:hAnsi="宋体" w:eastAsia="宋体" w:cs="宋体"/>
          <w:sz w:val="24"/>
          <w:szCs w:val="32"/>
          <w:highlight w:val="none"/>
        </w:rPr>
        <w:t>因投标人原因造成的设备损坏，</w:t>
      </w:r>
      <w:r>
        <w:rPr>
          <w:rFonts w:hint="eastAsia" w:ascii="宋体" w:hAnsi="宋体" w:eastAsia="宋体" w:cs="宋体"/>
          <w:sz w:val="24"/>
          <w:szCs w:val="32"/>
        </w:rPr>
        <w:t>应由投标人及时免费更换，并且根据因此而造成的经济损失大小承担一定的经济责任，质保期为一年。</w:t>
      </w:r>
    </w:p>
    <w:p>
      <w:pPr>
        <w:spacing w:line="300" w:lineRule="auto"/>
        <w:rPr>
          <w:rFonts w:hint="eastAsia" w:ascii="宋体" w:hAnsi="宋体" w:eastAsia="宋体" w:cs="宋体"/>
          <w:sz w:val="24"/>
          <w:szCs w:val="32"/>
        </w:rPr>
      </w:pPr>
      <w:r>
        <w:rPr>
          <w:rFonts w:hint="eastAsia" w:ascii="宋体" w:hAnsi="宋体" w:eastAsia="宋体" w:cs="宋体"/>
          <w:color w:val="auto"/>
          <w:sz w:val="24"/>
          <w:szCs w:val="32"/>
        </w:rPr>
        <w:t>3.8在</w:t>
      </w:r>
      <w:r>
        <w:rPr>
          <w:rFonts w:hint="eastAsia" w:ascii="宋体" w:hAnsi="宋体" w:eastAsia="宋体" w:cs="宋体"/>
          <w:color w:val="auto"/>
          <w:sz w:val="24"/>
          <w:szCs w:val="32"/>
          <w:lang w:val="en-US" w:eastAsia="zh-CN"/>
        </w:rPr>
        <w:t>试运行及</w:t>
      </w:r>
      <w:r>
        <w:rPr>
          <w:rFonts w:hint="eastAsia" w:ascii="宋体" w:hAnsi="宋体" w:eastAsia="宋体" w:cs="宋体"/>
          <w:color w:val="auto"/>
          <w:sz w:val="24"/>
          <w:szCs w:val="32"/>
        </w:rPr>
        <w:t>一年质保期内，</w:t>
      </w:r>
      <w:r>
        <w:rPr>
          <w:rFonts w:hint="eastAsia" w:ascii="宋体" w:hAnsi="宋体" w:eastAsia="宋体" w:cs="宋体"/>
          <w:sz w:val="24"/>
          <w:szCs w:val="32"/>
        </w:rPr>
        <w:t>如发生不满足“</w:t>
      </w:r>
      <w:r>
        <w:rPr>
          <w:rFonts w:hint="eastAsia" w:ascii="宋体" w:hAnsi="宋体" w:eastAsia="宋体" w:cs="宋体"/>
          <w:b/>
          <w:bCs/>
          <w:sz w:val="24"/>
          <w:szCs w:val="32"/>
        </w:rPr>
        <w:t>一 技术规范</w:t>
      </w:r>
      <w:r>
        <w:rPr>
          <w:rFonts w:hint="eastAsia" w:ascii="宋体" w:hAnsi="宋体" w:eastAsia="宋体" w:cs="宋体"/>
          <w:sz w:val="24"/>
          <w:szCs w:val="32"/>
        </w:rPr>
        <w:t>”的情况，</w:t>
      </w:r>
      <w:r>
        <w:rPr>
          <w:rFonts w:hint="eastAsia" w:ascii="宋体" w:hAnsi="宋体" w:eastAsia="宋体" w:cs="宋体"/>
          <w:sz w:val="24"/>
          <w:szCs w:val="32"/>
          <w:highlight w:val="none"/>
        </w:rPr>
        <w:t>且该不满足</w:t>
      </w:r>
      <w:r>
        <w:rPr>
          <w:rFonts w:hint="eastAsia" w:ascii="宋体" w:hAnsi="宋体" w:eastAsia="宋体" w:cs="宋体"/>
          <w:sz w:val="24"/>
          <w:szCs w:val="32"/>
          <w:highlight w:val="none"/>
          <w:lang w:val="en-US" w:eastAsia="zh-CN"/>
        </w:rPr>
        <w:t>情况</w:t>
      </w:r>
      <w:r>
        <w:rPr>
          <w:rFonts w:hint="eastAsia" w:ascii="宋体" w:hAnsi="宋体" w:eastAsia="宋体" w:cs="宋体"/>
          <w:sz w:val="24"/>
          <w:szCs w:val="32"/>
          <w:highlight w:val="none"/>
        </w:rPr>
        <w:t>系因投标人原因造成，投标人必须在接到招标人通知</w:t>
      </w:r>
      <w:r>
        <w:rPr>
          <w:rFonts w:hint="eastAsia" w:ascii="宋体" w:hAnsi="宋体" w:eastAsia="宋体" w:cs="宋体"/>
          <w:sz w:val="24"/>
          <w:szCs w:val="32"/>
        </w:rPr>
        <w:t>后</w:t>
      </w:r>
      <w:r>
        <w:rPr>
          <w:rFonts w:hint="eastAsia" w:ascii="宋体" w:hAnsi="宋体" w:eastAsia="宋体" w:cs="宋体"/>
          <w:sz w:val="24"/>
          <w:szCs w:val="32"/>
          <w:lang w:val="en-US" w:eastAsia="zh-CN"/>
        </w:rPr>
        <w:t>48</w:t>
      </w:r>
      <w:r>
        <w:rPr>
          <w:rFonts w:hint="eastAsia" w:ascii="宋体" w:hAnsi="宋体" w:eastAsia="宋体" w:cs="宋体"/>
          <w:sz w:val="24"/>
          <w:szCs w:val="32"/>
        </w:rPr>
        <w:t>小时内派遣技术人员在机组启动或调试前到达招标人现场，提供技术支持，直至满足本技术规范书</w:t>
      </w:r>
      <w:r>
        <w:rPr>
          <w:rFonts w:hint="eastAsia" w:ascii="宋体" w:hAnsi="宋体" w:eastAsia="宋体" w:cs="宋体"/>
          <w:b/>
          <w:bCs/>
          <w:sz w:val="24"/>
          <w:szCs w:val="32"/>
        </w:rPr>
        <w:t>“一 技术规范”</w:t>
      </w:r>
      <w:r>
        <w:rPr>
          <w:rFonts w:hint="eastAsia" w:ascii="宋体" w:hAnsi="宋体" w:eastAsia="宋体" w:cs="宋体"/>
          <w:sz w:val="24"/>
          <w:szCs w:val="32"/>
        </w:rPr>
        <w:t>的要求，质保期自调试完成并经招标人验收合格之日起重新计算，新一轮质保期仍为一年。</w:t>
      </w:r>
    </w:p>
    <w:p>
      <w:pPr>
        <w:spacing w:line="300" w:lineRule="auto"/>
        <w:rPr>
          <w:rFonts w:hint="eastAsia" w:ascii="宋体" w:hAnsi="宋体" w:eastAsia="宋体" w:cs="宋体"/>
          <w:sz w:val="24"/>
          <w:szCs w:val="32"/>
        </w:rPr>
      </w:pPr>
      <w:r>
        <w:rPr>
          <w:rFonts w:hint="eastAsia" w:ascii="宋体" w:hAnsi="宋体" w:eastAsia="宋体" w:cs="宋体"/>
          <w:sz w:val="24"/>
          <w:szCs w:val="32"/>
        </w:rPr>
        <w:t>3.9质保期外，如发生不满足“</w:t>
      </w:r>
      <w:r>
        <w:rPr>
          <w:rFonts w:hint="eastAsia" w:ascii="宋体" w:hAnsi="宋体" w:eastAsia="宋体" w:cs="宋体"/>
          <w:b/>
          <w:bCs/>
          <w:sz w:val="24"/>
          <w:szCs w:val="32"/>
        </w:rPr>
        <w:t>一 技术规范</w:t>
      </w:r>
      <w:r>
        <w:rPr>
          <w:rFonts w:hint="eastAsia" w:ascii="宋体" w:hAnsi="宋体" w:eastAsia="宋体" w:cs="宋体"/>
          <w:sz w:val="24"/>
          <w:szCs w:val="32"/>
        </w:rPr>
        <w:t>”的情况，投标人仍须在接到招标人通知后72小时内派遣技术人员在机组启动或调试前到达招标人现场，提供技术支持，直至满足本技术规范书</w:t>
      </w:r>
      <w:r>
        <w:rPr>
          <w:rFonts w:hint="eastAsia" w:ascii="宋体" w:hAnsi="宋体" w:eastAsia="宋体" w:cs="宋体"/>
          <w:b/>
          <w:bCs/>
          <w:sz w:val="24"/>
          <w:szCs w:val="32"/>
        </w:rPr>
        <w:t>“一 技术规</w:t>
      </w:r>
      <w:r>
        <w:rPr>
          <w:rFonts w:hint="eastAsia" w:ascii="宋体" w:hAnsi="宋体" w:eastAsia="宋体" w:cs="宋体"/>
          <w:b/>
          <w:bCs/>
          <w:color w:val="auto"/>
          <w:sz w:val="24"/>
          <w:szCs w:val="32"/>
          <w:highlight w:val="none"/>
        </w:rPr>
        <w:t>范”</w:t>
      </w:r>
      <w:r>
        <w:rPr>
          <w:rFonts w:hint="eastAsia" w:ascii="宋体" w:hAnsi="宋体" w:eastAsia="宋体" w:cs="宋体"/>
          <w:color w:val="auto"/>
          <w:sz w:val="24"/>
          <w:szCs w:val="32"/>
          <w:highlight w:val="none"/>
        </w:rPr>
        <w:t>的要求</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rPr>
        <w:t>质保期外的现场技术支持/服务按双方另行书面约定的服务条款和费用标准执行。</w:t>
      </w:r>
    </w:p>
    <w:p>
      <w:pPr>
        <w:spacing w:line="300" w:lineRule="auto"/>
        <w:rPr>
          <w:sz w:val="24"/>
          <w:szCs w:val="32"/>
        </w:rPr>
      </w:pPr>
    </w:p>
    <w:p>
      <w:pPr>
        <w:pStyle w:val="36"/>
        <w:numPr>
          <w:ilvl w:val="0"/>
          <w:numId w:val="0"/>
        </w:numPr>
        <w:spacing w:line="300" w:lineRule="auto"/>
        <w:rPr>
          <w:rFonts w:hint="eastAsia"/>
        </w:rPr>
      </w:pPr>
    </w:p>
    <w:p>
      <w:pPr>
        <w:pStyle w:val="3"/>
        <w:numPr>
          <w:ilvl w:val="0"/>
          <w:numId w:val="0"/>
        </w:numPr>
        <w:spacing w:before="0" w:after="0" w:line="300" w:lineRule="auto"/>
        <w:jc w:val="left"/>
        <w:rPr>
          <w:rFonts w:ascii="宋体" w:hAnsi="宋体" w:cs="宋体"/>
          <w:bCs/>
          <w:sz w:val="24"/>
          <w:szCs w:val="24"/>
        </w:rPr>
      </w:pPr>
      <w:bookmarkStart w:id="41" w:name="_Toc27525"/>
      <w:r>
        <w:rPr>
          <w:rFonts w:hint="eastAsia" w:ascii="宋体" w:hAnsi="宋体" w:cs="宋体"/>
          <w:bCs/>
          <w:sz w:val="24"/>
          <w:szCs w:val="24"/>
        </w:rPr>
        <w:t>五 服务和联络</w:t>
      </w:r>
      <w:bookmarkEnd w:id="35"/>
      <w:bookmarkEnd w:id="41"/>
    </w:p>
    <w:p>
      <w:pPr>
        <w:pStyle w:val="6"/>
        <w:snapToGrid w:val="0"/>
        <w:spacing w:after="0" w:line="300" w:lineRule="auto"/>
        <w:ind w:left="0"/>
        <w:rPr>
          <w:rFonts w:ascii="宋体" w:hAnsi="宋体" w:cs="宋体"/>
          <w:b/>
          <w:bCs/>
          <w:sz w:val="24"/>
        </w:rPr>
      </w:pPr>
      <w:bookmarkStart w:id="42" w:name="_Toc26361"/>
      <w:r>
        <w:rPr>
          <w:rFonts w:hint="eastAsia" w:ascii="宋体" w:hAnsi="宋体" w:cs="宋体"/>
          <w:b/>
          <w:bCs/>
          <w:sz w:val="24"/>
        </w:rPr>
        <w:t>1. 投标人现场技术服务</w:t>
      </w:r>
    </w:p>
    <w:p>
      <w:pPr>
        <w:spacing w:line="300" w:lineRule="auto"/>
        <w:rPr>
          <w:rFonts w:ascii="宋体" w:hAnsi="宋体" w:cs="宋体"/>
          <w:sz w:val="24"/>
        </w:rPr>
      </w:pPr>
      <w:bookmarkStart w:id="43" w:name="_Toc515727601"/>
      <w:bookmarkStart w:id="44" w:name="_Toc515697901"/>
      <w:bookmarkStart w:id="45" w:name="_Toc515705622"/>
      <w:bookmarkStart w:id="46" w:name="_Toc515708317"/>
      <w:bookmarkStart w:id="47" w:name="_Toc515785186"/>
      <w:r>
        <w:rPr>
          <w:rFonts w:hint="eastAsia" w:ascii="宋体" w:hAnsi="宋体" w:cs="宋体"/>
          <w:sz w:val="24"/>
        </w:rPr>
        <w:t>1.1</w:t>
      </w:r>
      <w:r>
        <w:rPr>
          <w:rFonts w:hint="eastAsia" w:ascii="宋体" w:hAnsi="宋体" w:cs="宋体"/>
          <w:sz w:val="24"/>
        </w:rPr>
        <w:tab/>
      </w:r>
      <w:r>
        <w:rPr>
          <w:rFonts w:hint="eastAsia" w:ascii="宋体" w:hAnsi="宋体" w:cs="宋体"/>
          <w:sz w:val="24"/>
        </w:rPr>
        <w:t>投标人现场服务人员的目的是使所供设备安全、正常投运。投标人要派合格的现场服务人员。在投标阶段应提供包括服务人月数的现场服务计划表（见格式）。如果此人月数不能满足项目需要，投标人要追加人月数，但招标人无须为此支付任何额外费用。</w:t>
      </w:r>
    </w:p>
    <w:p>
      <w:pPr>
        <w:pStyle w:val="6"/>
        <w:snapToGrid w:val="0"/>
        <w:spacing w:after="0" w:line="300" w:lineRule="auto"/>
        <w:ind w:firstLine="480" w:firstLineChars="200"/>
        <w:jc w:val="center"/>
        <w:rPr>
          <w:rFonts w:ascii="宋体" w:hAnsi="宋体" w:cs="宋体"/>
          <w:sz w:val="24"/>
        </w:rPr>
      </w:pPr>
      <w:r>
        <w:rPr>
          <w:rFonts w:hint="eastAsia" w:ascii="宋体" w:hAnsi="宋体" w:cs="宋体"/>
          <w:sz w:val="24"/>
        </w:rPr>
        <w:t>现 场 服 务 计 划 表 （格式）</w:t>
      </w:r>
    </w:p>
    <w:tbl>
      <w:tblPr>
        <w:tblStyle w:val="18"/>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60"/>
        <w:gridCol w:w="1800"/>
        <w:gridCol w:w="1560"/>
        <w:gridCol w:w="1440"/>
        <w:gridCol w:w="1440"/>
        <w:gridCol w:w="12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atLeast"/>
        </w:trPr>
        <w:tc>
          <w:tcPr>
            <w:tcW w:w="960" w:type="dxa"/>
            <w:vMerge w:val="restart"/>
            <w:tcBorders>
              <w:top w:val="single" w:color="auto" w:sz="6" w:space="0"/>
              <w:left w:val="single" w:color="auto" w:sz="6" w:space="0"/>
              <w:bottom w:val="nil"/>
              <w:right w:val="single" w:color="auto" w:sz="6" w:space="0"/>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序号</w:t>
            </w:r>
          </w:p>
        </w:tc>
        <w:tc>
          <w:tcPr>
            <w:tcW w:w="1800" w:type="dxa"/>
            <w:vMerge w:val="restart"/>
            <w:tcBorders>
              <w:top w:val="single" w:color="auto" w:sz="6" w:space="0"/>
              <w:left w:val="nil"/>
              <w:bottom w:val="nil"/>
              <w:right w:val="single" w:color="auto" w:sz="6" w:space="0"/>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技术服务内容</w:t>
            </w:r>
          </w:p>
        </w:tc>
        <w:tc>
          <w:tcPr>
            <w:tcW w:w="1560" w:type="dxa"/>
            <w:vMerge w:val="restart"/>
            <w:tcBorders>
              <w:top w:val="single" w:color="auto" w:sz="6" w:space="0"/>
              <w:left w:val="nil"/>
              <w:bottom w:val="nil"/>
              <w:right w:val="single" w:color="auto" w:sz="6" w:space="0"/>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计划人月数</w:t>
            </w:r>
          </w:p>
        </w:tc>
        <w:tc>
          <w:tcPr>
            <w:tcW w:w="2880" w:type="dxa"/>
            <w:gridSpan w:val="2"/>
            <w:tcBorders>
              <w:top w:val="single" w:color="auto" w:sz="6" w:space="0"/>
              <w:left w:val="nil"/>
              <w:bottom w:val="single" w:color="auto" w:sz="6" w:space="0"/>
              <w:right w:val="nil"/>
            </w:tcBorders>
            <w:noWrap w:val="0"/>
            <w:vAlign w:val="top"/>
          </w:tcPr>
          <w:p>
            <w:pPr>
              <w:pStyle w:val="6"/>
              <w:snapToGrid w:val="0"/>
              <w:spacing w:after="0" w:line="300" w:lineRule="auto"/>
              <w:jc w:val="center"/>
              <w:rPr>
                <w:rFonts w:ascii="宋体" w:hAnsi="宋体" w:cs="宋体"/>
                <w:sz w:val="24"/>
              </w:rPr>
            </w:pPr>
            <w:r>
              <w:rPr>
                <w:rFonts w:hint="eastAsia" w:ascii="宋体" w:hAnsi="宋体" w:cs="宋体"/>
                <w:sz w:val="24"/>
              </w:rPr>
              <w:t>派出人员构成</w:t>
            </w:r>
          </w:p>
        </w:tc>
        <w:tc>
          <w:tcPr>
            <w:tcW w:w="1200" w:type="dxa"/>
            <w:vMerge w:val="restart"/>
            <w:tcBorders>
              <w:top w:val="single" w:color="auto" w:sz="6" w:space="0"/>
              <w:left w:val="single" w:color="auto" w:sz="6" w:space="0"/>
              <w:bottom w:val="nil"/>
              <w:right w:val="single" w:color="auto" w:sz="6" w:space="0"/>
            </w:tcBorders>
            <w:noWrap w:val="0"/>
            <w:vAlign w:val="center"/>
          </w:tcPr>
          <w:p>
            <w:pPr>
              <w:pStyle w:val="6"/>
              <w:snapToGrid w:val="0"/>
              <w:spacing w:after="0" w:line="300" w:lineRule="auto"/>
              <w:ind w:left="3" w:leftChars="-11" w:hanging="26" w:hangingChars="11"/>
              <w:jc w:val="center"/>
              <w:rPr>
                <w:rFonts w:ascii="宋体" w:hAnsi="宋体" w:cs="宋体"/>
                <w:sz w:val="24"/>
              </w:rPr>
            </w:pPr>
            <w:r>
              <w:rPr>
                <w:rFonts w:hint="eastAsia" w:ascii="宋体" w:hAnsi="宋体" w:cs="宋体"/>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960" w:type="dxa"/>
            <w:vMerge w:val="continue"/>
            <w:tcBorders>
              <w:top w:val="nil"/>
              <w:left w:val="single" w:color="auto" w:sz="6" w:space="0"/>
              <w:bottom w:val="single" w:color="auto" w:sz="6" w:space="0"/>
              <w:right w:val="single" w:color="auto" w:sz="6" w:space="0"/>
            </w:tcBorders>
            <w:noWrap w:val="0"/>
            <w:vAlign w:val="top"/>
          </w:tcPr>
          <w:p>
            <w:pPr>
              <w:pStyle w:val="6"/>
              <w:snapToGrid w:val="0"/>
              <w:spacing w:after="0" w:line="300" w:lineRule="auto"/>
              <w:ind w:firstLine="480" w:firstLineChars="200"/>
              <w:rPr>
                <w:rFonts w:ascii="宋体" w:hAnsi="宋体" w:cs="宋体"/>
                <w:sz w:val="24"/>
              </w:rPr>
            </w:pPr>
          </w:p>
        </w:tc>
        <w:tc>
          <w:tcPr>
            <w:tcW w:w="1800" w:type="dxa"/>
            <w:vMerge w:val="continue"/>
            <w:tcBorders>
              <w:top w:val="nil"/>
              <w:left w:val="nil"/>
              <w:bottom w:val="single" w:color="auto" w:sz="6" w:space="0"/>
              <w:right w:val="single" w:color="auto" w:sz="6" w:space="0"/>
            </w:tcBorders>
            <w:noWrap w:val="0"/>
            <w:vAlign w:val="top"/>
          </w:tcPr>
          <w:p>
            <w:pPr>
              <w:pStyle w:val="6"/>
              <w:snapToGrid w:val="0"/>
              <w:spacing w:after="0" w:line="300" w:lineRule="auto"/>
              <w:ind w:firstLine="480" w:firstLineChars="200"/>
              <w:rPr>
                <w:rFonts w:ascii="宋体" w:hAnsi="宋体" w:cs="宋体"/>
                <w:sz w:val="24"/>
              </w:rPr>
            </w:pPr>
          </w:p>
        </w:tc>
        <w:tc>
          <w:tcPr>
            <w:tcW w:w="1560" w:type="dxa"/>
            <w:vMerge w:val="continue"/>
            <w:tcBorders>
              <w:top w:val="nil"/>
              <w:left w:val="nil"/>
              <w:bottom w:val="single" w:color="auto" w:sz="6" w:space="0"/>
              <w:right w:val="single" w:color="auto" w:sz="6" w:space="0"/>
            </w:tcBorders>
            <w:noWrap w:val="0"/>
            <w:vAlign w:val="top"/>
          </w:tcPr>
          <w:p>
            <w:pPr>
              <w:pStyle w:val="6"/>
              <w:snapToGrid w:val="0"/>
              <w:spacing w:after="0" w:line="300" w:lineRule="auto"/>
              <w:ind w:firstLine="480" w:firstLineChars="200"/>
              <w:rPr>
                <w:rFonts w:ascii="宋体" w:hAnsi="宋体" w:cs="宋体"/>
                <w:sz w:val="24"/>
              </w:rPr>
            </w:pPr>
          </w:p>
        </w:tc>
        <w:tc>
          <w:tcPr>
            <w:tcW w:w="1440" w:type="dxa"/>
            <w:tcBorders>
              <w:top w:val="nil"/>
              <w:lef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highlight w:val="none"/>
              </w:rPr>
              <w:t>工种</w:t>
            </w:r>
          </w:p>
        </w:tc>
        <w:tc>
          <w:tcPr>
            <w:tcW w:w="1440" w:type="dxa"/>
            <w:tcBorders>
              <w:top w:val="nil"/>
              <w:right w:val="nil"/>
            </w:tcBorders>
            <w:noWrap w:val="0"/>
            <w:vAlign w:val="top"/>
          </w:tcPr>
          <w:p>
            <w:pPr>
              <w:pStyle w:val="6"/>
              <w:snapToGrid w:val="0"/>
              <w:spacing w:after="0" w:line="300" w:lineRule="auto"/>
              <w:jc w:val="center"/>
              <w:rPr>
                <w:rFonts w:ascii="宋体" w:hAnsi="宋体" w:cs="宋体"/>
                <w:sz w:val="24"/>
              </w:rPr>
            </w:pPr>
            <w:r>
              <w:rPr>
                <w:rFonts w:hint="eastAsia" w:ascii="宋体" w:hAnsi="宋体" w:cs="宋体"/>
                <w:sz w:val="24"/>
              </w:rPr>
              <w:t>人数</w:t>
            </w:r>
          </w:p>
        </w:tc>
        <w:tc>
          <w:tcPr>
            <w:tcW w:w="1200" w:type="dxa"/>
            <w:vMerge w:val="continue"/>
            <w:tcBorders>
              <w:top w:val="nil"/>
              <w:left w:val="single" w:color="auto" w:sz="6" w:space="0"/>
              <w:bottom w:val="single" w:color="auto" w:sz="6" w:space="0"/>
              <w:right w:val="single" w:color="auto" w:sz="6" w:space="0"/>
            </w:tcBorders>
            <w:noWrap w:val="0"/>
            <w:vAlign w:val="top"/>
          </w:tcPr>
          <w:p>
            <w:pPr>
              <w:pStyle w:val="6"/>
              <w:snapToGrid w:val="0"/>
              <w:spacing w:after="0" w:line="300" w:lineRule="auto"/>
              <w:ind w:firstLine="480" w:firstLineChars="200"/>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9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8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5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2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9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8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5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2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9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8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5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2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9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8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560" w:type="dxa"/>
            <w:tcBorders>
              <w:top w:val="nil"/>
            </w:tcBorders>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440" w:type="dxa"/>
            <w:noWrap w:val="0"/>
            <w:vAlign w:val="top"/>
          </w:tcPr>
          <w:p>
            <w:pPr>
              <w:pStyle w:val="6"/>
              <w:snapToGrid w:val="0"/>
              <w:spacing w:after="0" w:line="300" w:lineRule="auto"/>
              <w:ind w:firstLine="480" w:firstLineChars="200"/>
              <w:rPr>
                <w:rFonts w:ascii="宋体" w:hAnsi="宋体" w:cs="宋体"/>
                <w:sz w:val="24"/>
              </w:rPr>
            </w:pPr>
          </w:p>
        </w:tc>
        <w:tc>
          <w:tcPr>
            <w:tcW w:w="1200" w:type="dxa"/>
            <w:tcBorders>
              <w:top w:val="nil"/>
            </w:tcBorders>
            <w:noWrap w:val="0"/>
            <w:vAlign w:val="top"/>
          </w:tcPr>
          <w:p>
            <w:pPr>
              <w:pStyle w:val="6"/>
              <w:snapToGrid w:val="0"/>
              <w:spacing w:after="0" w:line="300" w:lineRule="auto"/>
              <w:ind w:firstLine="480" w:firstLineChars="200"/>
              <w:rPr>
                <w:rFonts w:ascii="宋体" w:hAnsi="宋体" w:cs="宋体"/>
                <w:sz w:val="24"/>
              </w:rPr>
            </w:pPr>
          </w:p>
        </w:tc>
      </w:tr>
    </w:tbl>
    <w:p>
      <w:pPr>
        <w:spacing w:line="300" w:lineRule="auto"/>
        <w:rPr>
          <w:rFonts w:ascii="宋体" w:hAnsi="宋体" w:cs="宋体"/>
          <w:sz w:val="24"/>
        </w:rPr>
      </w:pPr>
      <w:r>
        <w:rPr>
          <w:rFonts w:hint="eastAsia" w:ascii="宋体" w:hAnsi="宋体" w:cs="宋体"/>
          <w:sz w:val="24"/>
        </w:rPr>
        <w:t>1.2</w:t>
      </w:r>
      <w:r>
        <w:rPr>
          <w:rFonts w:hint="eastAsia" w:ascii="宋体" w:hAnsi="宋体" w:cs="宋体"/>
          <w:sz w:val="24"/>
        </w:rPr>
        <w:tab/>
      </w:r>
      <w:r>
        <w:rPr>
          <w:rFonts w:hint="eastAsia" w:ascii="宋体" w:hAnsi="宋体" w:cs="宋体"/>
          <w:sz w:val="24"/>
        </w:rPr>
        <w:t>投标人现场服务人员应具有下列资格：</w:t>
      </w:r>
    </w:p>
    <w:p>
      <w:pPr>
        <w:spacing w:line="300" w:lineRule="auto"/>
        <w:rPr>
          <w:rFonts w:ascii="宋体" w:hAnsi="宋体" w:cs="宋体"/>
          <w:sz w:val="24"/>
        </w:rPr>
      </w:pPr>
      <w:r>
        <w:rPr>
          <w:rFonts w:hint="eastAsia" w:ascii="宋体" w:hAnsi="宋体" w:cs="宋体"/>
          <w:sz w:val="24"/>
        </w:rPr>
        <w:t>1.2.1</w:t>
      </w:r>
      <w:r>
        <w:rPr>
          <w:rFonts w:hint="eastAsia" w:ascii="宋体" w:hAnsi="宋体" w:cs="宋体"/>
          <w:sz w:val="24"/>
        </w:rPr>
        <w:tab/>
      </w:r>
      <w:r>
        <w:rPr>
          <w:rFonts w:hint="eastAsia" w:ascii="宋体" w:hAnsi="宋体" w:cs="宋体"/>
          <w:sz w:val="24"/>
        </w:rPr>
        <w:t>遵守法纪，遵守现场的各项规章和制度；</w:t>
      </w:r>
    </w:p>
    <w:p>
      <w:pPr>
        <w:spacing w:line="300" w:lineRule="auto"/>
        <w:rPr>
          <w:rFonts w:ascii="宋体" w:hAnsi="宋体" w:cs="宋体"/>
          <w:sz w:val="24"/>
        </w:rPr>
      </w:pPr>
      <w:r>
        <w:rPr>
          <w:rFonts w:hint="eastAsia" w:ascii="宋体" w:hAnsi="宋体" w:cs="宋体"/>
          <w:sz w:val="24"/>
        </w:rPr>
        <w:t>1.2.2</w:t>
      </w:r>
      <w:r>
        <w:rPr>
          <w:rFonts w:hint="eastAsia" w:ascii="宋体" w:hAnsi="宋体" w:cs="宋体"/>
          <w:sz w:val="24"/>
        </w:rPr>
        <w:tab/>
      </w:r>
      <w:r>
        <w:rPr>
          <w:rFonts w:hint="eastAsia" w:ascii="宋体" w:hAnsi="宋体" w:cs="宋体"/>
          <w:sz w:val="24"/>
        </w:rPr>
        <w:t>有较强的责任感和事业心，按时到位；</w:t>
      </w:r>
    </w:p>
    <w:p>
      <w:pPr>
        <w:spacing w:line="300" w:lineRule="auto"/>
        <w:rPr>
          <w:rFonts w:ascii="宋体" w:hAnsi="宋体" w:cs="宋体"/>
          <w:sz w:val="24"/>
        </w:rPr>
      </w:pPr>
      <w:r>
        <w:rPr>
          <w:rFonts w:hint="eastAsia" w:ascii="宋体" w:hAnsi="宋体" w:cs="宋体"/>
          <w:sz w:val="24"/>
        </w:rPr>
        <w:t>1.2.3</w:t>
      </w:r>
      <w:r>
        <w:rPr>
          <w:rFonts w:hint="eastAsia" w:ascii="宋体" w:hAnsi="宋体" w:cs="宋体"/>
          <w:sz w:val="24"/>
        </w:rPr>
        <w:tab/>
      </w:r>
      <w:r>
        <w:rPr>
          <w:rFonts w:hint="eastAsia" w:ascii="宋体" w:hAnsi="宋体" w:cs="宋体"/>
          <w:sz w:val="24"/>
        </w:rPr>
        <w:t>了解合同设备的设计，熟悉其结构，有相同或相近机组的现场工作经验，能够正确地进行现场指导；</w:t>
      </w:r>
    </w:p>
    <w:p>
      <w:pPr>
        <w:spacing w:line="300" w:lineRule="auto"/>
        <w:rPr>
          <w:rFonts w:ascii="宋体" w:hAnsi="宋体" w:cs="宋体"/>
          <w:sz w:val="24"/>
        </w:rPr>
      </w:pPr>
      <w:r>
        <w:rPr>
          <w:rFonts w:hint="eastAsia" w:ascii="宋体" w:hAnsi="宋体" w:cs="宋体"/>
          <w:sz w:val="24"/>
        </w:rPr>
        <w:t>1.2.4</w:t>
      </w:r>
      <w:r>
        <w:rPr>
          <w:rFonts w:hint="eastAsia" w:ascii="宋体" w:hAnsi="宋体" w:cs="宋体"/>
          <w:sz w:val="24"/>
        </w:rPr>
        <w:tab/>
      </w:r>
      <w:r>
        <w:rPr>
          <w:rFonts w:hint="eastAsia" w:ascii="宋体" w:hAnsi="宋体" w:cs="宋体"/>
          <w:sz w:val="24"/>
        </w:rPr>
        <w:t>身体健康，适应现场工作的条件；</w:t>
      </w:r>
    </w:p>
    <w:p>
      <w:pPr>
        <w:spacing w:line="300" w:lineRule="auto"/>
        <w:rPr>
          <w:rFonts w:ascii="宋体" w:hAnsi="宋体" w:cs="宋体"/>
          <w:sz w:val="24"/>
        </w:rPr>
      </w:pPr>
      <w:r>
        <w:rPr>
          <w:rFonts w:hint="eastAsia" w:ascii="宋体" w:hAnsi="宋体" w:cs="宋体"/>
          <w:sz w:val="24"/>
        </w:rPr>
        <w:t>1.2.5</w:t>
      </w:r>
      <w:r>
        <w:rPr>
          <w:rFonts w:hint="eastAsia" w:ascii="宋体" w:hAnsi="宋体" w:cs="宋体"/>
          <w:sz w:val="24"/>
        </w:rPr>
        <w:tab/>
      </w:r>
      <w:r>
        <w:rPr>
          <w:rFonts w:hint="eastAsia" w:ascii="宋体" w:hAnsi="宋体" w:cs="宋体"/>
          <w:sz w:val="24"/>
        </w:rPr>
        <w:t>投标人须更换招标人认为不合格的投标人现场服务人员。</w:t>
      </w:r>
    </w:p>
    <w:p>
      <w:pPr>
        <w:spacing w:line="300" w:lineRule="auto"/>
        <w:rPr>
          <w:rFonts w:ascii="宋体" w:hAnsi="宋体" w:cs="宋体"/>
          <w:sz w:val="24"/>
        </w:rPr>
      </w:pPr>
      <w:r>
        <w:rPr>
          <w:rFonts w:hint="eastAsia" w:ascii="宋体" w:hAnsi="宋体" w:cs="宋体"/>
          <w:sz w:val="24"/>
        </w:rPr>
        <w:t>1.3</w:t>
      </w:r>
      <w:r>
        <w:rPr>
          <w:rFonts w:hint="eastAsia" w:ascii="宋体" w:hAnsi="宋体" w:cs="宋体"/>
          <w:sz w:val="24"/>
        </w:rPr>
        <w:tab/>
      </w:r>
      <w:r>
        <w:rPr>
          <w:rFonts w:hint="eastAsia" w:ascii="宋体" w:hAnsi="宋体" w:cs="宋体"/>
          <w:sz w:val="24"/>
        </w:rPr>
        <w:t>投标人现场服务人员的职责</w:t>
      </w:r>
    </w:p>
    <w:p>
      <w:pPr>
        <w:spacing w:line="300" w:lineRule="auto"/>
        <w:rPr>
          <w:rFonts w:ascii="宋体" w:hAnsi="宋体" w:cs="宋体"/>
          <w:sz w:val="24"/>
        </w:rPr>
      </w:pPr>
      <w:r>
        <w:rPr>
          <w:rFonts w:hint="eastAsia" w:ascii="宋体" w:hAnsi="宋体" w:cs="宋体"/>
          <w:sz w:val="24"/>
        </w:rPr>
        <w:t>1.3.1</w:t>
      </w:r>
      <w:r>
        <w:rPr>
          <w:rFonts w:hint="eastAsia" w:ascii="宋体" w:hAnsi="宋体" w:cs="宋体"/>
          <w:sz w:val="24"/>
        </w:rPr>
        <w:tab/>
      </w:r>
      <w:r>
        <w:rPr>
          <w:rFonts w:hint="eastAsia" w:ascii="宋体" w:hAnsi="宋体" w:cs="宋体"/>
          <w:sz w:val="24"/>
        </w:rPr>
        <w:t>投标人现场服务人员的任务主要包括货物的开箱检验、设备质量问题的处理、指导安装和调试、参加试运和性能验收试验。</w:t>
      </w:r>
    </w:p>
    <w:p>
      <w:pPr>
        <w:spacing w:line="300" w:lineRule="auto"/>
        <w:rPr>
          <w:rFonts w:ascii="宋体" w:hAnsi="宋体" w:cs="宋体"/>
          <w:sz w:val="24"/>
        </w:rPr>
      </w:pPr>
      <w:r>
        <w:rPr>
          <w:rFonts w:hint="eastAsia" w:ascii="宋体" w:hAnsi="宋体" w:cs="宋体"/>
          <w:sz w:val="24"/>
        </w:rPr>
        <w:t>1.3.3</w:t>
      </w:r>
      <w:r>
        <w:rPr>
          <w:rFonts w:hint="eastAsia" w:ascii="宋体" w:hAnsi="宋体" w:cs="宋体"/>
          <w:sz w:val="24"/>
        </w:rPr>
        <w:tab/>
      </w:r>
      <w:r>
        <w:rPr>
          <w:rFonts w:hint="eastAsia" w:ascii="宋体" w:hAnsi="宋体" w:cs="宋体"/>
          <w:sz w:val="24"/>
        </w:rPr>
        <w:t>投标人现场</w:t>
      </w:r>
      <w:r>
        <w:rPr>
          <w:rFonts w:hint="eastAsia" w:ascii="宋体" w:hAnsi="宋体" w:cs="宋体"/>
          <w:sz w:val="24"/>
          <w:lang w:val="en-US" w:eastAsia="zh-CN"/>
        </w:rPr>
        <w:t>项目经理</w:t>
      </w:r>
      <w:r>
        <w:rPr>
          <w:rFonts w:hint="eastAsia" w:ascii="宋体" w:hAnsi="宋体" w:cs="宋体"/>
          <w:sz w:val="24"/>
        </w:rPr>
        <w:t>应有权全权处理现场出现的一切技术和商务问题。如现场发生质量问题，投标人现场人员要在招标人规定的时间内处理解决。如投标人委托招标人进行处理，投标人现场服务人员要出委托书并承担相应的经济责任。</w:t>
      </w:r>
    </w:p>
    <w:p>
      <w:pPr>
        <w:spacing w:line="300" w:lineRule="auto"/>
        <w:rPr>
          <w:rFonts w:ascii="宋体" w:hAnsi="宋体" w:cs="宋体"/>
          <w:sz w:val="24"/>
        </w:rPr>
      </w:pPr>
      <w:r>
        <w:rPr>
          <w:rFonts w:hint="eastAsia" w:ascii="宋体" w:hAnsi="宋体" w:cs="宋体"/>
          <w:sz w:val="24"/>
        </w:rPr>
        <w:t>1.3.4</w:t>
      </w:r>
      <w:r>
        <w:rPr>
          <w:rFonts w:hint="eastAsia" w:ascii="宋体" w:hAnsi="宋体" w:cs="宋体"/>
          <w:sz w:val="24"/>
        </w:rPr>
        <w:tab/>
      </w:r>
      <w:r>
        <w:rPr>
          <w:rFonts w:hint="eastAsia" w:ascii="宋体" w:hAnsi="宋体" w:cs="宋体"/>
          <w:sz w:val="24"/>
        </w:rPr>
        <w:t>投标人对其现场服务人员的一切行为负全部责任。</w:t>
      </w:r>
    </w:p>
    <w:p>
      <w:pPr>
        <w:spacing w:line="300" w:lineRule="auto"/>
        <w:rPr>
          <w:rFonts w:ascii="宋体" w:hAnsi="宋体" w:cs="宋体"/>
          <w:sz w:val="24"/>
        </w:rPr>
      </w:pPr>
      <w:r>
        <w:rPr>
          <w:rFonts w:hint="eastAsia" w:ascii="宋体" w:hAnsi="宋体" w:cs="宋体"/>
          <w:sz w:val="24"/>
        </w:rPr>
        <w:t>1.3.5</w:t>
      </w:r>
      <w:r>
        <w:rPr>
          <w:rFonts w:hint="eastAsia" w:ascii="宋体" w:hAnsi="宋体" w:cs="宋体"/>
          <w:sz w:val="24"/>
        </w:rPr>
        <w:tab/>
      </w:r>
      <w:r>
        <w:rPr>
          <w:rFonts w:hint="eastAsia" w:ascii="宋体" w:hAnsi="宋体" w:cs="宋体"/>
          <w:sz w:val="24"/>
        </w:rPr>
        <w:t>投标人现场服务人员的正常来去和更换应事先与招标人协商。</w:t>
      </w:r>
    </w:p>
    <w:p>
      <w:pPr>
        <w:spacing w:line="300" w:lineRule="auto"/>
        <w:rPr>
          <w:rFonts w:ascii="宋体" w:hAnsi="宋体" w:cs="宋体"/>
          <w:sz w:val="24"/>
        </w:rPr>
      </w:pPr>
      <w:r>
        <w:rPr>
          <w:rFonts w:hint="eastAsia" w:ascii="宋体" w:hAnsi="宋体" w:cs="宋体"/>
          <w:sz w:val="24"/>
        </w:rPr>
        <w:t>1.4</w:t>
      </w:r>
      <w:r>
        <w:rPr>
          <w:rFonts w:hint="eastAsia" w:ascii="宋体" w:hAnsi="宋体" w:cs="宋体"/>
          <w:sz w:val="24"/>
        </w:rPr>
        <w:tab/>
      </w:r>
      <w:r>
        <w:rPr>
          <w:rFonts w:hint="eastAsia" w:ascii="宋体" w:hAnsi="宋体" w:cs="宋体"/>
          <w:sz w:val="24"/>
        </w:rPr>
        <w:t>招标人的义务</w:t>
      </w:r>
    </w:p>
    <w:p>
      <w:pPr>
        <w:pStyle w:val="6"/>
        <w:snapToGrid w:val="0"/>
        <w:spacing w:after="0" w:line="300" w:lineRule="auto"/>
        <w:ind w:left="0" w:firstLine="480" w:firstLineChars="200"/>
        <w:rPr>
          <w:rFonts w:ascii="宋体" w:hAnsi="宋体" w:cs="宋体"/>
          <w:b/>
          <w:bCs/>
          <w:sz w:val="24"/>
        </w:rPr>
      </w:pPr>
      <w:r>
        <w:rPr>
          <w:rFonts w:hint="eastAsia" w:ascii="宋体" w:hAnsi="宋体" w:cs="宋体"/>
          <w:sz w:val="24"/>
        </w:rPr>
        <w:t>招标人要配合投标人现场服务人员的工作，并在生活、交通和通讯上提供方便。</w:t>
      </w:r>
    </w:p>
    <w:p>
      <w:pPr>
        <w:pStyle w:val="6"/>
        <w:snapToGrid w:val="0"/>
        <w:spacing w:after="0" w:line="300" w:lineRule="auto"/>
        <w:ind w:left="0"/>
        <w:rPr>
          <w:rFonts w:ascii="宋体" w:hAnsi="宋体" w:cs="宋体"/>
          <w:b/>
          <w:bCs/>
          <w:sz w:val="24"/>
        </w:rPr>
      </w:pPr>
      <w:r>
        <w:rPr>
          <w:rFonts w:hint="eastAsia" w:ascii="宋体" w:hAnsi="宋体" w:cs="宋体"/>
          <w:b/>
          <w:bCs/>
          <w:sz w:val="24"/>
        </w:rPr>
        <w:t>2. 培训</w:t>
      </w:r>
      <w:bookmarkEnd w:id="43"/>
      <w:bookmarkEnd w:id="44"/>
      <w:bookmarkEnd w:id="45"/>
      <w:bookmarkEnd w:id="46"/>
      <w:bookmarkEnd w:id="47"/>
    </w:p>
    <w:p>
      <w:pPr>
        <w:spacing w:line="300" w:lineRule="auto"/>
        <w:rPr>
          <w:rFonts w:ascii="宋体" w:hAnsi="宋体" w:cs="宋体"/>
          <w:sz w:val="24"/>
        </w:rPr>
      </w:pPr>
      <w:r>
        <w:rPr>
          <w:rFonts w:hint="eastAsia" w:ascii="宋体" w:hAnsi="宋体" w:cs="宋体"/>
          <w:sz w:val="24"/>
        </w:rPr>
        <w:t>2.1</w:t>
      </w:r>
      <w:r>
        <w:rPr>
          <w:rFonts w:hint="eastAsia" w:ascii="宋体" w:hAnsi="宋体" w:cs="宋体"/>
          <w:sz w:val="24"/>
        </w:rPr>
        <w:tab/>
      </w:r>
      <w:r>
        <w:rPr>
          <w:rFonts w:hint="eastAsia" w:ascii="宋体" w:hAnsi="宋体" w:cs="宋体"/>
          <w:sz w:val="24"/>
        </w:rPr>
        <w:t>为使合同设备能正常安装、调试、运行、维护及检修，投标人有责任提供相应的技术培训。培训内容应与项目进度相一致。</w:t>
      </w:r>
    </w:p>
    <w:p>
      <w:pPr>
        <w:spacing w:line="300" w:lineRule="auto"/>
        <w:rPr>
          <w:rFonts w:ascii="宋体" w:hAnsi="宋体" w:cs="宋体"/>
          <w:sz w:val="24"/>
        </w:rPr>
      </w:pPr>
      <w:r>
        <w:rPr>
          <w:rFonts w:hint="eastAsia" w:ascii="宋体" w:hAnsi="宋体" w:cs="宋体"/>
          <w:sz w:val="24"/>
        </w:rPr>
        <w:t>2.2</w:t>
      </w:r>
      <w:r>
        <w:rPr>
          <w:rFonts w:hint="eastAsia" w:ascii="宋体" w:hAnsi="宋体" w:cs="宋体"/>
          <w:sz w:val="24"/>
        </w:rPr>
        <w:tab/>
      </w:r>
      <w:r>
        <w:rPr>
          <w:rFonts w:hint="eastAsia" w:ascii="宋体" w:hAnsi="宋体" w:cs="宋体"/>
          <w:sz w:val="24"/>
        </w:rPr>
        <w:t>培训计划和内容由投标人在投标文件中列出（见格式）。</w:t>
      </w:r>
    </w:p>
    <w:tbl>
      <w:tblPr>
        <w:tblStyle w:val="18"/>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68"/>
        <w:gridCol w:w="1440"/>
        <w:gridCol w:w="1680"/>
        <w:gridCol w:w="1320"/>
        <w:gridCol w:w="1320"/>
        <w:gridCol w:w="960"/>
        <w:gridCol w:w="8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868" w:type="dxa"/>
            <w:vMerge w:val="restart"/>
            <w:tcBorders>
              <w:top w:val="single" w:color="auto" w:sz="6" w:space="0"/>
              <w:left w:val="single" w:color="auto" w:sz="6" w:space="0"/>
              <w:bottom w:val="nil"/>
              <w:righ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序号</w:t>
            </w:r>
          </w:p>
        </w:tc>
        <w:tc>
          <w:tcPr>
            <w:tcW w:w="1440" w:type="dxa"/>
            <w:vMerge w:val="restart"/>
            <w:tcBorders>
              <w:top w:val="single" w:color="auto" w:sz="6" w:space="0"/>
              <w:left w:val="single" w:color="auto" w:sz="6" w:space="0"/>
              <w:bottom w:val="nil"/>
              <w:righ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培训内容</w:t>
            </w:r>
          </w:p>
        </w:tc>
        <w:tc>
          <w:tcPr>
            <w:tcW w:w="1680" w:type="dxa"/>
            <w:vMerge w:val="restart"/>
            <w:tcBorders>
              <w:top w:val="single" w:color="auto" w:sz="6" w:space="0"/>
              <w:left w:val="single" w:color="auto" w:sz="6" w:space="0"/>
              <w:bottom w:val="nil"/>
              <w:right w:val="single" w:color="auto" w:sz="6" w:space="0"/>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计划人月数</w:t>
            </w:r>
          </w:p>
        </w:tc>
        <w:tc>
          <w:tcPr>
            <w:tcW w:w="2640" w:type="dxa"/>
            <w:gridSpan w:val="2"/>
            <w:tcBorders>
              <w:top w:val="single" w:color="auto" w:sz="6" w:space="0"/>
              <w:left w:val="nil"/>
              <w:bottom w:val="single" w:color="auto" w:sz="6" w:space="0"/>
              <w:righ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培训教师构成</w:t>
            </w:r>
          </w:p>
        </w:tc>
        <w:tc>
          <w:tcPr>
            <w:tcW w:w="960" w:type="dxa"/>
            <w:vMerge w:val="restart"/>
            <w:tcBorders>
              <w:top w:val="single" w:color="auto" w:sz="6" w:space="0"/>
              <w:left w:val="single" w:color="auto" w:sz="6" w:space="0"/>
              <w:bottom w:val="nil"/>
              <w:righ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地点</w:t>
            </w:r>
          </w:p>
        </w:tc>
        <w:tc>
          <w:tcPr>
            <w:tcW w:w="840" w:type="dxa"/>
            <w:vMerge w:val="restart"/>
            <w:tcBorders>
              <w:top w:val="single" w:color="auto" w:sz="6" w:space="0"/>
              <w:left w:val="single" w:color="auto" w:sz="6" w:space="0"/>
              <w:bottom w:val="nil"/>
              <w:right w:val="single" w:color="auto" w:sz="6" w:space="0"/>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868" w:type="dxa"/>
            <w:vMerge w:val="continue"/>
            <w:tcBorders>
              <w:top w:val="nil"/>
              <w:left w:val="single" w:color="auto" w:sz="6" w:space="0"/>
              <w:bottom w:val="single" w:color="auto" w:sz="6" w:space="0"/>
              <w:right w:val="nil"/>
            </w:tcBorders>
            <w:noWrap w:val="0"/>
            <w:vAlign w:val="top"/>
          </w:tcPr>
          <w:p>
            <w:pPr>
              <w:pStyle w:val="6"/>
              <w:snapToGrid w:val="0"/>
              <w:spacing w:after="0" w:line="300" w:lineRule="auto"/>
              <w:ind w:firstLine="480" w:firstLineChars="200"/>
              <w:rPr>
                <w:rFonts w:ascii="宋体" w:hAnsi="宋体" w:cs="宋体"/>
                <w:sz w:val="24"/>
              </w:rPr>
            </w:pPr>
          </w:p>
        </w:tc>
        <w:tc>
          <w:tcPr>
            <w:tcW w:w="1440" w:type="dxa"/>
            <w:vMerge w:val="continue"/>
            <w:tcBorders>
              <w:top w:val="nil"/>
              <w:left w:val="single" w:color="auto" w:sz="6" w:space="0"/>
              <w:bottom w:val="single" w:color="auto" w:sz="6" w:space="0"/>
              <w:right w:val="nil"/>
            </w:tcBorders>
            <w:noWrap w:val="0"/>
            <w:vAlign w:val="top"/>
          </w:tcPr>
          <w:p>
            <w:pPr>
              <w:pStyle w:val="6"/>
              <w:snapToGrid w:val="0"/>
              <w:spacing w:after="0" w:line="300" w:lineRule="auto"/>
              <w:ind w:firstLine="480" w:firstLineChars="200"/>
              <w:rPr>
                <w:rFonts w:ascii="宋体" w:hAnsi="宋体" w:cs="宋体"/>
                <w:sz w:val="24"/>
              </w:rPr>
            </w:pPr>
          </w:p>
        </w:tc>
        <w:tc>
          <w:tcPr>
            <w:tcW w:w="1680" w:type="dxa"/>
            <w:vMerge w:val="continue"/>
            <w:tcBorders>
              <w:top w:val="nil"/>
              <w:left w:val="single" w:color="auto" w:sz="6" w:space="0"/>
              <w:bottom w:val="single" w:color="auto" w:sz="6" w:space="0"/>
              <w:right w:val="single" w:color="auto" w:sz="6" w:space="0"/>
            </w:tcBorders>
            <w:noWrap w:val="0"/>
            <w:vAlign w:val="top"/>
          </w:tcPr>
          <w:p>
            <w:pPr>
              <w:pStyle w:val="6"/>
              <w:snapToGrid w:val="0"/>
              <w:spacing w:after="0" w:line="300" w:lineRule="auto"/>
              <w:ind w:firstLine="480" w:firstLineChars="200"/>
              <w:rPr>
                <w:rFonts w:ascii="宋体" w:hAnsi="宋体" w:cs="宋体"/>
                <w:sz w:val="24"/>
              </w:rPr>
            </w:pPr>
          </w:p>
        </w:tc>
        <w:tc>
          <w:tcPr>
            <w:tcW w:w="1320" w:type="dxa"/>
            <w:tcBorders>
              <w:top w:val="nil"/>
              <w:lef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职称</w:t>
            </w:r>
          </w:p>
        </w:tc>
        <w:tc>
          <w:tcPr>
            <w:tcW w:w="1320" w:type="dxa"/>
            <w:tcBorders>
              <w:top w:val="nil"/>
              <w:right w:val="nil"/>
            </w:tcBorders>
            <w:noWrap w:val="0"/>
            <w:vAlign w:val="center"/>
          </w:tcPr>
          <w:p>
            <w:pPr>
              <w:pStyle w:val="6"/>
              <w:snapToGrid w:val="0"/>
              <w:spacing w:after="0" w:line="300" w:lineRule="auto"/>
              <w:jc w:val="center"/>
              <w:rPr>
                <w:rFonts w:ascii="宋体" w:hAnsi="宋体" w:cs="宋体"/>
                <w:sz w:val="24"/>
              </w:rPr>
            </w:pPr>
            <w:r>
              <w:rPr>
                <w:rFonts w:hint="eastAsia" w:ascii="宋体" w:hAnsi="宋体" w:cs="宋体"/>
                <w:sz w:val="24"/>
              </w:rPr>
              <w:t>人数</w:t>
            </w:r>
          </w:p>
        </w:tc>
        <w:tc>
          <w:tcPr>
            <w:tcW w:w="960" w:type="dxa"/>
            <w:vMerge w:val="continue"/>
            <w:tcBorders>
              <w:top w:val="nil"/>
              <w:left w:val="single" w:color="auto" w:sz="6" w:space="0"/>
              <w:bottom w:val="single" w:color="auto" w:sz="6" w:space="0"/>
              <w:right w:val="nil"/>
            </w:tcBorders>
            <w:noWrap w:val="0"/>
            <w:vAlign w:val="center"/>
          </w:tcPr>
          <w:p>
            <w:pPr>
              <w:pStyle w:val="6"/>
              <w:snapToGrid w:val="0"/>
              <w:spacing w:after="0" w:line="300" w:lineRule="auto"/>
              <w:ind w:firstLine="480" w:firstLineChars="200"/>
              <w:rPr>
                <w:rFonts w:ascii="宋体" w:hAnsi="宋体" w:cs="宋体"/>
                <w:sz w:val="24"/>
              </w:rPr>
            </w:pPr>
          </w:p>
        </w:tc>
        <w:tc>
          <w:tcPr>
            <w:tcW w:w="840" w:type="dxa"/>
            <w:vMerge w:val="continue"/>
            <w:tcBorders>
              <w:top w:val="nil"/>
              <w:left w:val="single" w:color="auto" w:sz="6" w:space="0"/>
              <w:bottom w:val="single" w:color="auto" w:sz="6" w:space="0"/>
              <w:right w:val="single" w:color="auto" w:sz="6" w:space="0"/>
            </w:tcBorders>
            <w:noWrap w:val="0"/>
            <w:vAlign w:val="center"/>
          </w:tcPr>
          <w:p>
            <w:pPr>
              <w:pStyle w:val="6"/>
              <w:snapToGrid w:val="0"/>
              <w:spacing w:after="0" w:line="300" w:lineRule="auto"/>
              <w:ind w:firstLine="480" w:firstLineChars="200"/>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868" w:type="dxa"/>
            <w:tcBorders>
              <w:top w:val="nil"/>
            </w:tcBorders>
            <w:noWrap w:val="0"/>
            <w:vAlign w:val="top"/>
          </w:tcPr>
          <w:p>
            <w:pPr>
              <w:pStyle w:val="6"/>
              <w:snapToGrid w:val="0"/>
              <w:spacing w:after="0" w:line="300" w:lineRule="auto"/>
              <w:jc w:val="center"/>
              <w:rPr>
                <w:rFonts w:ascii="宋体" w:hAnsi="宋体" w:cs="宋体"/>
                <w:sz w:val="24"/>
              </w:rPr>
            </w:pPr>
          </w:p>
        </w:tc>
        <w:tc>
          <w:tcPr>
            <w:tcW w:w="1440" w:type="dxa"/>
            <w:tcBorders>
              <w:top w:val="nil"/>
            </w:tcBorders>
            <w:noWrap w:val="0"/>
            <w:vAlign w:val="top"/>
          </w:tcPr>
          <w:p>
            <w:pPr>
              <w:pStyle w:val="6"/>
              <w:snapToGrid w:val="0"/>
              <w:spacing w:after="0" w:line="300" w:lineRule="auto"/>
              <w:jc w:val="center"/>
              <w:rPr>
                <w:rFonts w:ascii="宋体" w:hAnsi="宋体" w:cs="宋体"/>
                <w:sz w:val="24"/>
              </w:rPr>
            </w:pPr>
          </w:p>
        </w:tc>
        <w:tc>
          <w:tcPr>
            <w:tcW w:w="1680" w:type="dxa"/>
            <w:tcBorders>
              <w:top w:val="nil"/>
            </w:tcBorders>
            <w:noWrap w:val="0"/>
            <w:vAlign w:val="top"/>
          </w:tcPr>
          <w:p>
            <w:pPr>
              <w:pStyle w:val="6"/>
              <w:snapToGrid w:val="0"/>
              <w:spacing w:after="0" w:line="300" w:lineRule="auto"/>
              <w:jc w:val="center"/>
              <w:rPr>
                <w:rFonts w:ascii="宋体" w:hAnsi="宋体" w:cs="宋体"/>
                <w:sz w:val="24"/>
              </w:rPr>
            </w:pPr>
          </w:p>
        </w:tc>
        <w:tc>
          <w:tcPr>
            <w:tcW w:w="1320" w:type="dxa"/>
            <w:noWrap w:val="0"/>
            <w:vAlign w:val="center"/>
          </w:tcPr>
          <w:p>
            <w:pPr>
              <w:pStyle w:val="6"/>
              <w:snapToGrid w:val="0"/>
              <w:spacing w:after="0" w:line="300" w:lineRule="auto"/>
              <w:jc w:val="center"/>
              <w:rPr>
                <w:rFonts w:ascii="宋体" w:hAnsi="宋体" w:cs="宋体"/>
                <w:sz w:val="24"/>
              </w:rPr>
            </w:pPr>
          </w:p>
        </w:tc>
        <w:tc>
          <w:tcPr>
            <w:tcW w:w="1320" w:type="dxa"/>
            <w:noWrap w:val="0"/>
            <w:vAlign w:val="center"/>
          </w:tcPr>
          <w:p>
            <w:pPr>
              <w:pStyle w:val="6"/>
              <w:snapToGrid w:val="0"/>
              <w:spacing w:after="0" w:line="300" w:lineRule="auto"/>
              <w:jc w:val="center"/>
              <w:rPr>
                <w:rFonts w:ascii="宋体" w:hAnsi="宋体" w:cs="宋体"/>
                <w:sz w:val="24"/>
              </w:rPr>
            </w:pPr>
          </w:p>
        </w:tc>
        <w:tc>
          <w:tcPr>
            <w:tcW w:w="960" w:type="dxa"/>
            <w:tcBorders>
              <w:top w:val="nil"/>
            </w:tcBorders>
            <w:noWrap w:val="0"/>
            <w:vAlign w:val="center"/>
          </w:tcPr>
          <w:p>
            <w:pPr>
              <w:pStyle w:val="6"/>
              <w:snapToGrid w:val="0"/>
              <w:spacing w:after="0" w:line="300" w:lineRule="auto"/>
              <w:jc w:val="center"/>
              <w:rPr>
                <w:rFonts w:ascii="宋体" w:hAnsi="宋体" w:cs="宋体"/>
                <w:sz w:val="24"/>
              </w:rPr>
            </w:pPr>
          </w:p>
        </w:tc>
        <w:tc>
          <w:tcPr>
            <w:tcW w:w="840" w:type="dxa"/>
            <w:tcBorders>
              <w:top w:val="nil"/>
            </w:tcBorders>
            <w:noWrap w:val="0"/>
            <w:vAlign w:val="center"/>
          </w:tcPr>
          <w:p>
            <w:pPr>
              <w:pStyle w:val="6"/>
              <w:snapToGrid w:val="0"/>
              <w:spacing w:after="0" w:line="300" w:lineRule="auto"/>
              <w:jc w:val="center"/>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868" w:type="dxa"/>
            <w:tcBorders>
              <w:top w:val="nil"/>
            </w:tcBorders>
            <w:noWrap w:val="0"/>
            <w:vAlign w:val="top"/>
          </w:tcPr>
          <w:p>
            <w:pPr>
              <w:pStyle w:val="6"/>
              <w:snapToGrid w:val="0"/>
              <w:spacing w:after="0" w:line="300" w:lineRule="auto"/>
              <w:jc w:val="center"/>
              <w:rPr>
                <w:rFonts w:ascii="宋体" w:hAnsi="宋体" w:cs="宋体"/>
                <w:sz w:val="24"/>
              </w:rPr>
            </w:pPr>
          </w:p>
        </w:tc>
        <w:tc>
          <w:tcPr>
            <w:tcW w:w="1440" w:type="dxa"/>
            <w:tcBorders>
              <w:top w:val="nil"/>
            </w:tcBorders>
            <w:noWrap w:val="0"/>
            <w:vAlign w:val="top"/>
          </w:tcPr>
          <w:p>
            <w:pPr>
              <w:pStyle w:val="6"/>
              <w:snapToGrid w:val="0"/>
              <w:spacing w:after="0" w:line="300" w:lineRule="auto"/>
              <w:jc w:val="center"/>
              <w:rPr>
                <w:rFonts w:ascii="宋体" w:hAnsi="宋体" w:cs="宋体"/>
                <w:sz w:val="24"/>
              </w:rPr>
            </w:pPr>
          </w:p>
        </w:tc>
        <w:tc>
          <w:tcPr>
            <w:tcW w:w="1680" w:type="dxa"/>
            <w:tcBorders>
              <w:top w:val="nil"/>
            </w:tcBorders>
            <w:noWrap w:val="0"/>
            <w:vAlign w:val="top"/>
          </w:tcPr>
          <w:p>
            <w:pPr>
              <w:pStyle w:val="6"/>
              <w:snapToGrid w:val="0"/>
              <w:spacing w:after="0" w:line="300" w:lineRule="auto"/>
              <w:jc w:val="center"/>
              <w:rPr>
                <w:rFonts w:ascii="宋体" w:hAnsi="宋体" w:cs="宋体"/>
                <w:sz w:val="24"/>
              </w:rPr>
            </w:pPr>
          </w:p>
        </w:tc>
        <w:tc>
          <w:tcPr>
            <w:tcW w:w="1320" w:type="dxa"/>
            <w:noWrap w:val="0"/>
            <w:vAlign w:val="center"/>
          </w:tcPr>
          <w:p>
            <w:pPr>
              <w:pStyle w:val="6"/>
              <w:snapToGrid w:val="0"/>
              <w:spacing w:after="0" w:line="300" w:lineRule="auto"/>
              <w:jc w:val="center"/>
              <w:rPr>
                <w:rFonts w:ascii="宋体" w:hAnsi="宋体" w:cs="宋体"/>
                <w:sz w:val="24"/>
              </w:rPr>
            </w:pPr>
          </w:p>
        </w:tc>
        <w:tc>
          <w:tcPr>
            <w:tcW w:w="1320" w:type="dxa"/>
            <w:noWrap w:val="0"/>
            <w:vAlign w:val="center"/>
          </w:tcPr>
          <w:p>
            <w:pPr>
              <w:pStyle w:val="6"/>
              <w:snapToGrid w:val="0"/>
              <w:spacing w:after="0" w:line="300" w:lineRule="auto"/>
              <w:jc w:val="center"/>
              <w:rPr>
                <w:rFonts w:ascii="宋体" w:hAnsi="宋体" w:cs="宋体"/>
                <w:sz w:val="24"/>
              </w:rPr>
            </w:pPr>
          </w:p>
        </w:tc>
        <w:tc>
          <w:tcPr>
            <w:tcW w:w="960" w:type="dxa"/>
            <w:tcBorders>
              <w:top w:val="nil"/>
            </w:tcBorders>
            <w:noWrap w:val="0"/>
            <w:vAlign w:val="center"/>
          </w:tcPr>
          <w:p>
            <w:pPr>
              <w:pStyle w:val="6"/>
              <w:snapToGrid w:val="0"/>
              <w:spacing w:after="0" w:line="300" w:lineRule="auto"/>
              <w:jc w:val="center"/>
              <w:rPr>
                <w:rFonts w:ascii="宋体" w:hAnsi="宋体" w:cs="宋体"/>
                <w:sz w:val="24"/>
              </w:rPr>
            </w:pPr>
          </w:p>
        </w:tc>
        <w:tc>
          <w:tcPr>
            <w:tcW w:w="840" w:type="dxa"/>
            <w:tcBorders>
              <w:top w:val="nil"/>
            </w:tcBorders>
            <w:noWrap w:val="0"/>
            <w:vAlign w:val="center"/>
          </w:tcPr>
          <w:p>
            <w:pPr>
              <w:pStyle w:val="6"/>
              <w:snapToGrid w:val="0"/>
              <w:spacing w:after="0" w:line="300" w:lineRule="auto"/>
              <w:jc w:val="center"/>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868" w:type="dxa"/>
            <w:noWrap w:val="0"/>
            <w:vAlign w:val="top"/>
          </w:tcPr>
          <w:p>
            <w:pPr>
              <w:pStyle w:val="6"/>
              <w:snapToGrid w:val="0"/>
              <w:spacing w:after="0" w:line="300" w:lineRule="auto"/>
              <w:jc w:val="center"/>
              <w:rPr>
                <w:rFonts w:ascii="宋体" w:hAnsi="宋体" w:cs="宋体"/>
                <w:sz w:val="24"/>
              </w:rPr>
            </w:pPr>
          </w:p>
        </w:tc>
        <w:tc>
          <w:tcPr>
            <w:tcW w:w="1440" w:type="dxa"/>
            <w:noWrap w:val="0"/>
            <w:vAlign w:val="top"/>
          </w:tcPr>
          <w:p>
            <w:pPr>
              <w:pStyle w:val="6"/>
              <w:snapToGrid w:val="0"/>
              <w:spacing w:after="0" w:line="300" w:lineRule="auto"/>
              <w:jc w:val="center"/>
              <w:rPr>
                <w:rFonts w:ascii="宋体" w:hAnsi="宋体" w:cs="宋体"/>
                <w:sz w:val="24"/>
              </w:rPr>
            </w:pPr>
          </w:p>
        </w:tc>
        <w:tc>
          <w:tcPr>
            <w:tcW w:w="1680" w:type="dxa"/>
            <w:noWrap w:val="0"/>
            <w:vAlign w:val="top"/>
          </w:tcPr>
          <w:p>
            <w:pPr>
              <w:pStyle w:val="6"/>
              <w:snapToGrid w:val="0"/>
              <w:spacing w:after="0" w:line="300" w:lineRule="auto"/>
              <w:jc w:val="center"/>
              <w:rPr>
                <w:rFonts w:ascii="宋体" w:hAnsi="宋体" w:cs="宋体"/>
                <w:sz w:val="24"/>
              </w:rPr>
            </w:pPr>
          </w:p>
        </w:tc>
        <w:tc>
          <w:tcPr>
            <w:tcW w:w="1320" w:type="dxa"/>
            <w:noWrap w:val="0"/>
            <w:vAlign w:val="center"/>
          </w:tcPr>
          <w:p>
            <w:pPr>
              <w:pStyle w:val="6"/>
              <w:snapToGrid w:val="0"/>
              <w:spacing w:after="0" w:line="300" w:lineRule="auto"/>
              <w:jc w:val="center"/>
              <w:rPr>
                <w:rFonts w:ascii="宋体" w:hAnsi="宋体" w:cs="宋体"/>
                <w:sz w:val="24"/>
              </w:rPr>
            </w:pPr>
          </w:p>
        </w:tc>
        <w:tc>
          <w:tcPr>
            <w:tcW w:w="1320" w:type="dxa"/>
            <w:noWrap w:val="0"/>
            <w:vAlign w:val="center"/>
          </w:tcPr>
          <w:p>
            <w:pPr>
              <w:pStyle w:val="6"/>
              <w:snapToGrid w:val="0"/>
              <w:spacing w:after="0" w:line="300" w:lineRule="auto"/>
              <w:jc w:val="center"/>
              <w:rPr>
                <w:rFonts w:ascii="宋体" w:hAnsi="宋体" w:cs="宋体"/>
                <w:sz w:val="24"/>
              </w:rPr>
            </w:pPr>
          </w:p>
        </w:tc>
        <w:tc>
          <w:tcPr>
            <w:tcW w:w="960" w:type="dxa"/>
            <w:noWrap w:val="0"/>
            <w:vAlign w:val="center"/>
          </w:tcPr>
          <w:p>
            <w:pPr>
              <w:pStyle w:val="6"/>
              <w:snapToGrid w:val="0"/>
              <w:spacing w:after="0" w:line="300" w:lineRule="auto"/>
              <w:jc w:val="center"/>
              <w:rPr>
                <w:rFonts w:ascii="宋体" w:hAnsi="宋体" w:cs="宋体"/>
                <w:sz w:val="24"/>
              </w:rPr>
            </w:pPr>
          </w:p>
        </w:tc>
        <w:tc>
          <w:tcPr>
            <w:tcW w:w="840" w:type="dxa"/>
            <w:noWrap w:val="0"/>
            <w:vAlign w:val="center"/>
          </w:tcPr>
          <w:p>
            <w:pPr>
              <w:pStyle w:val="6"/>
              <w:snapToGrid w:val="0"/>
              <w:spacing w:after="0" w:line="300" w:lineRule="auto"/>
              <w:jc w:val="center"/>
              <w:rPr>
                <w:rFonts w:ascii="宋体" w:hAnsi="宋体" w:cs="宋体"/>
                <w:sz w:val="24"/>
              </w:rPr>
            </w:pPr>
          </w:p>
        </w:tc>
      </w:tr>
    </w:tbl>
    <w:p>
      <w:pPr>
        <w:spacing w:line="300" w:lineRule="auto"/>
        <w:rPr>
          <w:rFonts w:ascii="宋体" w:hAnsi="宋体" w:cs="宋体"/>
          <w:sz w:val="24"/>
        </w:rPr>
      </w:pPr>
      <w:r>
        <w:rPr>
          <w:rFonts w:hint="eastAsia" w:ascii="宋体" w:hAnsi="宋体" w:cs="宋体"/>
          <w:sz w:val="24"/>
        </w:rPr>
        <w:t>2.3</w:t>
      </w:r>
      <w:r>
        <w:rPr>
          <w:rFonts w:hint="eastAsia" w:ascii="宋体" w:hAnsi="宋体" w:cs="宋体"/>
          <w:sz w:val="24"/>
        </w:rPr>
        <w:tab/>
      </w:r>
      <w:r>
        <w:rPr>
          <w:rFonts w:hint="eastAsia" w:ascii="宋体" w:hAnsi="宋体" w:cs="宋体"/>
          <w:sz w:val="24"/>
        </w:rPr>
        <w:t>培训的时间、人数、地点等具体内容由招投标双方商定。</w:t>
      </w:r>
    </w:p>
    <w:p>
      <w:pPr>
        <w:pStyle w:val="6"/>
        <w:snapToGrid w:val="0"/>
        <w:spacing w:after="0" w:line="300" w:lineRule="auto"/>
        <w:ind w:left="0"/>
        <w:rPr>
          <w:rFonts w:ascii="宋体" w:hAnsi="宋体" w:cs="宋体"/>
          <w:sz w:val="24"/>
        </w:rPr>
      </w:pPr>
      <w:r>
        <w:rPr>
          <w:rFonts w:hint="eastAsia" w:ascii="宋体" w:hAnsi="宋体" w:cs="宋体"/>
          <w:sz w:val="24"/>
        </w:rPr>
        <w:t>2.4</w:t>
      </w:r>
      <w:r>
        <w:rPr>
          <w:rFonts w:hint="eastAsia" w:ascii="宋体" w:hAnsi="宋体" w:cs="宋体"/>
          <w:sz w:val="24"/>
        </w:rPr>
        <w:tab/>
      </w:r>
      <w:r>
        <w:rPr>
          <w:rFonts w:hint="eastAsia" w:ascii="宋体" w:hAnsi="宋体" w:cs="宋体"/>
          <w:sz w:val="24"/>
        </w:rPr>
        <w:t>投标人为招标人培训人员提供</w:t>
      </w:r>
      <w:r>
        <w:rPr>
          <w:rFonts w:hint="eastAsia" w:ascii="宋体" w:hAnsi="宋体" w:cs="宋体"/>
          <w:sz w:val="24"/>
          <w:lang w:val="en-US" w:eastAsia="zh-CN"/>
        </w:rPr>
        <w:t>现场交接、技术培训、操作讲解。</w:t>
      </w:r>
    </w:p>
    <w:p>
      <w:pPr>
        <w:pStyle w:val="6"/>
        <w:snapToGrid w:val="0"/>
        <w:spacing w:after="0" w:line="300" w:lineRule="auto"/>
        <w:ind w:left="0"/>
        <w:rPr>
          <w:rFonts w:ascii="宋体" w:hAnsi="宋体" w:cs="宋体"/>
          <w:b/>
          <w:bCs/>
          <w:sz w:val="24"/>
        </w:rPr>
      </w:pPr>
      <w:bookmarkStart w:id="48" w:name="_Toc515727602"/>
      <w:bookmarkStart w:id="49" w:name="_Toc515708318"/>
      <w:bookmarkStart w:id="50" w:name="_Toc515785187"/>
      <w:bookmarkStart w:id="51" w:name="_Toc515697902"/>
      <w:bookmarkStart w:id="52" w:name="_Toc515705623"/>
      <w:r>
        <w:rPr>
          <w:rFonts w:hint="eastAsia" w:ascii="宋体" w:hAnsi="宋体" w:cs="宋体"/>
          <w:b/>
          <w:bCs/>
          <w:sz w:val="24"/>
        </w:rPr>
        <w:t>3. 设计联络会</w:t>
      </w:r>
      <w:bookmarkEnd w:id="48"/>
      <w:bookmarkEnd w:id="49"/>
      <w:bookmarkEnd w:id="50"/>
      <w:bookmarkEnd w:id="51"/>
      <w:bookmarkEnd w:id="52"/>
    </w:p>
    <w:p>
      <w:pPr>
        <w:snapToGrid w:val="0"/>
        <w:spacing w:line="300" w:lineRule="auto"/>
        <w:ind w:right="6"/>
        <w:rPr>
          <w:rFonts w:ascii="宋体" w:hAnsi="宋体" w:cs="宋体"/>
          <w:color w:val="000000"/>
          <w:sz w:val="24"/>
        </w:rPr>
      </w:pPr>
      <w:r>
        <w:rPr>
          <w:rFonts w:hint="eastAsia" w:ascii="宋体" w:hAnsi="宋体" w:cs="宋体"/>
          <w:color w:val="000000"/>
          <w:sz w:val="24"/>
        </w:rPr>
        <w:t>3.1为了保证项目进度并能顺利开展工作，供需双方根据需要组织一次设计联络会议解决技术接口问题，会议地点在招标人所在地。</w:t>
      </w:r>
    </w:p>
    <w:p>
      <w:pPr>
        <w:snapToGrid w:val="0"/>
        <w:spacing w:line="300" w:lineRule="auto"/>
        <w:ind w:right="6"/>
        <w:rPr>
          <w:rFonts w:ascii="宋体" w:hAnsi="宋体" w:cs="宋体"/>
          <w:color w:val="000000"/>
          <w:sz w:val="24"/>
        </w:rPr>
      </w:pPr>
      <w:r>
        <w:rPr>
          <w:rFonts w:hint="eastAsia" w:ascii="宋体" w:hAnsi="宋体" w:cs="宋体"/>
          <w:color w:val="000000"/>
          <w:sz w:val="24"/>
        </w:rPr>
        <w:t>3.2 设计联络会议结束时，供需双方应签署会议纪要。纪要与合同具有同等法律效力。</w:t>
      </w:r>
    </w:p>
    <w:p>
      <w:pPr>
        <w:snapToGrid w:val="0"/>
        <w:spacing w:line="300" w:lineRule="auto"/>
        <w:ind w:right="6"/>
        <w:rPr>
          <w:rFonts w:ascii="宋体" w:hAnsi="宋体" w:cs="宋体"/>
          <w:color w:val="000000"/>
          <w:sz w:val="24"/>
        </w:rPr>
      </w:pPr>
      <w:r>
        <w:rPr>
          <w:rFonts w:hint="eastAsia" w:ascii="宋体" w:hAnsi="宋体" w:cs="宋体"/>
          <w:color w:val="000000"/>
          <w:sz w:val="24"/>
        </w:rPr>
        <w:t>3.3 设计联络会议的时间、会期、参加人数根据以后项目需要待定。</w:t>
      </w:r>
    </w:p>
    <w:p>
      <w:pPr>
        <w:snapToGrid w:val="0"/>
        <w:spacing w:line="300" w:lineRule="auto"/>
        <w:ind w:right="6"/>
        <w:rPr>
          <w:rFonts w:ascii="宋体" w:hAnsi="宋体" w:cs="宋体"/>
          <w:b/>
          <w:bCs/>
          <w:sz w:val="24"/>
        </w:rPr>
      </w:pPr>
      <w:r>
        <w:rPr>
          <w:rFonts w:hint="eastAsia" w:ascii="宋体" w:hAnsi="宋体" w:cs="宋体"/>
          <w:color w:val="000000"/>
          <w:sz w:val="24"/>
        </w:rPr>
        <w:t>3.4 在设计联络会议前两周，投标人应向招标人提交技术文件和图纸以便招标人在会上讨论和确认这些技术文件和图纸。</w:t>
      </w:r>
    </w:p>
    <w:p>
      <w:pPr>
        <w:pStyle w:val="6"/>
        <w:snapToGrid w:val="0"/>
        <w:spacing w:after="0" w:line="300" w:lineRule="auto"/>
        <w:ind w:left="0"/>
        <w:rPr>
          <w:rFonts w:ascii="宋体" w:hAnsi="宋体" w:cs="宋体"/>
          <w:b/>
          <w:bCs/>
          <w:sz w:val="24"/>
        </w:rPr>
      </w:pPr>
      <w:r>
        <w:rPr>
          <w:rFonts w:hint="eastAsia" w:ascii="宋体" w:hAnsi="宋体" w:cs="宋体"/>
          <w:b/>
          <w:bCs/>
          <w:sz w:val="24"/>
        </w:rPr>
        <w:t>4. 技术联络人</w:t>
      </w:r>
    </w:p>
    <w:p>
      <w:pPr>
        <w:spacing w:line="300" w:lineRule="auto"/>
        <w:ind w:firstLine="420"/>
        <w:rPr>
          <w:rFonts w:ascii="宋体" w:hAnsi="宋体" w:cs="宋体"/>
          <w:sz w:val="24"/>
        </w:rPr>
      </w:pPr>
      <w:r>
        <w:rPr>
          <w:rFonts w:hint="eastAsia" w:ascii="宋体" w:hAnsi="宋体" w:cs="宋体"/>
          <w:sz w:val="24"/>
        </w:rPr>
        <w:t>投标人应指定专人负责技术联络，具体联络方式：</w:t>
      </w:r>
    </w:p>
    <w:p>
      <w:pPr>
        <w:spacing w:line="300" w:lineRule="auto"/>
        <w:ind w:firstLine="420"/>
        <w:rPr>
          <w:rFonts w:ascii="宋体" w:hAnsi="宋体" w:cs="宋体"/>
          <w:sz w:val="24"/>
        </w:rPr>
      </w:pPr>
      <w:r>
        <w:rPr>
          <w:rFonts w:hint="eastAsia" w:ascii="宋体" w:hAnsi="宋体" w:cs="宋体"/>
          <w:sz w:val="24"/>
        </w:rPr>
        <w:t>姓名：</w:t>
      </w:r>
    </w:p>
    <w:p>
      <w:pPr>
        <w:spacing w:line="300" w:lineRule="auto"/>
        <w:ind w:firstLine="420"/>
        <w:rPr>
          <w:rFonts w:ascii="宋体" w:hAnsi="宋体" w:cs="宋体"/>
          <w:sz w:val="24"/>
        </w:rPr>
      </w:pPr>
      <w:r>
        <w:rPr>
          <w:rFonts w:hint="eastAsia" w:ascii="宋体" w:hAnsi="宋体" w:cs="宋体"/>
          <w:sz w:val="24"/>
        </w:rPr>
        <w:t>电话：</w:t>
      </w:r>
    </w:p>
    <w:p>
      <w:pPr>
        <w:spacing w:line="300" w:lineRule="auto"/>
        <w:ind w:firstLine="420"/>
        <w:rPr>
          <w:rFonts w:ascii="宋体" w:hAnsi="宋体" w:cs="宋体"/>
          <w:sz w:val="24"/>
        </w:rPr>
      </w:pPr>
      <w:r>
        <w:rPr>
          <w:rFonts w:hint="eastAsia" w:ascii="宋体" w:hAnsi="宋体" w:cs="宋体"/>
          <w:sz w:val="24"/>
        </w:rPr>
        <w:t>邮箱：</w:t>
      </w:r>
    </w:p>
    <w:bookmarkEnd w:id="42"/>
    <w:p>
      <w:pPr>
        <w:pStyle w:val="3"/>
        <w:numPr>
          <w:ilvl w:val="0"/>
          <w:numId w:val="0"/>
        </w:numPr>
        <w:spacing w:before="0" w:after="0" w:line="300" w:lineRule="auto"/>
        <w:jc w:val="left"/>
        <w:rPr>
          <w:bCs/>
          <w:sz w:val="24"/>
          <w:szCs w:val="24"/>
        </w:rPr>
      </w:pPr>
      <w:bookmarkStart w:id="53" w:name="_Toc24512"/>
      <w:bookmarkStart w:id="54" w:name="_Toc7937"/>
      <w:r>
        <w:rPr>
          <w:rFonts w:hint="eastAsia"/>
          <w:bCs/>
          <w:sz w:val="24"/>
          <w:szCs w:val="24"/>
        </w:rPr>
        <w:t>六 大（部）件情况</w:t>
      </w:r>
      <w:bookmarkEnd w:id="53"/>
      <w:bookmarkEnd w:id="54"/>
    </w:p>
    <w:p>
      <w:pPr>
        <w:spacing w:line="300" w:lineRule="auto"/>
        <w:ind w:firstLine="480"/>
        <w:rPr>
          <w:rFonts w:ascii="宋体"/>
          <w:sz w:val="24"/>
        </w:rPr>
      </w:pPr>
      <w:r>
        <w:rPr>
          <w:rFonts w:hint="eastAsia" w:ascii="宋体"/>
          <w:sz w:val="24"/>
        </w:rPr>
        <w:t>无</w:t>
      </w:r>
      <w:bookmarkEnd w:id="2"/>
      <w:bookmarkEnd w:id="3"/>
    </w:p>
    <w:p>
      <w:pPr>
        <w:pStyle w:val="3"/>
        <w:numPr>
          <w:ilvl w:val="0"/>
          <w:numId w:val="0"/>
        </w:numPr>
        <w:spacing w:before="0" w:after="0" w:line="300" w:lineRule="auto"/>
        <w:jc w:val="left"/>
        <w:rPr>
          <w:bCs/>
          <w:sz w:val="24"/>
          <w:szCs w:val="24"/>
        </w:rPr>
      </w:pPr>
      <w:bookmarkStart w:id="55" w:name="_Toc20719"/>
      <w:bookmarkStart w:id="56" w:name="_Toc17946"/>
      <w:r>
        <w:rPr>
          <w:rFonts w:hint="eastAsia"/>
          <w:bCs/>
          <w:sz w:val="24"/>
          <w:szCs w:val="24"/>
        </w:rPr>
        <w:t>七 现场管理</w:t>
      </w:r>
      <w:bookmarkEnd w:id="55"/>
      <w:bookmarkEnd w:id="56"/>
    </w:p>
    <w:p>
      <w:pPr>
        <w:spacing w:line="300" w:lineRule="auto"/>
        <w:outlineLvl w:val="1"/>
        <w:rPr>
          <w:rFonts w:hint="eastAsia" w:ascii="宋体" w:hAnsi="宋体" w:eastAsia="宋体" w:cs="宋体"/>
          <w:b/>
          <w:sz w:val="24"/>
        </w:rPr>
      </w:pPr>
      <w:bookmarkStart w:id="57" w:name="_Toc32539"/>
      <w:bookmarkStart w:id="58" w:name="_Toc3048"/>
      <w:r>
        <w:rPr>
          <w:rFonts w:hint="eastAsia" w:ascii="宋体" w:hAnsi="宋体" w:eastAsia="宋体" w:cs="宋体"/>
          <w:b/>
          <w:sz w:val="24"/>
        </w:rPr>
        <w:t>1 施工前准备工作</w:t>
      </w:r>
      <w:bookmarkEnd w:id="57"/>
      <w:bookmarkEnd w:id="58"/>
    </w:p>
    <w:p>
      <w:pPr>
        <w:pStyle w:val="27"/>
        <w:numPr>
          <w:ilvl w:val="0"/>
          <w:numId w:val="24"/>
        </w:numPr>
        <w:spacing w:before="0" w:after="0"/>
        <w:rPr>
          <w:rFonts w:hint="eastAsia" w:ascii="宋体" w:hAnsi="宋体" w:eastAsia="宋体" w:cs="宋体"/>
        </w:rPr>
      </w:pPr>
      <w:r>
        <w:rPr>
          <w:rFonts w:hint="eastAsia" w:ascii="宋体" w:hAnsi="宋体" w:eastAsia="宋体" w:cs="宋体"/>
        </w:rPr>
        <w:t>按规定提前两周办理施工方案讨论会审、安全教育、安规考试等进场手续。</w:t>
      </w:r>
    </w:p>
    <w:p>
      <w:pPr>
        <w:pStyle w:val="27"/>
        <w:numPr>
          <w:ilvl w:val="0"/>
          <w:numId w:val="24"/>
        </w:numPr>
        <w:spacing w:before="0" w:after="0"/>
        <w:rPr>
          <w:rFonts w:hint="eastAsia" w:ascii="宋体" w:hAnsi="宋体" w:eastAsia="宋体" w:cs="宋体"/>
        </w:rPr>
      </w:pPr>
      <w:r>
        <w:rPr>
          <w:rFonts w:hint="eastAsia" w:ascii="宋体" w:hAnsi="宋体" w:eastAsia="宋体" w:cs="宋体"/>
        </w:rPr>
        <w:t>负责施工区域内为工程施工所需的临时设施的各项工作。</w:t>
      </w:r>
    </w:p>
    <w:p>
      <w:pPr>
        <w:pStyle w:val="27"/>
        <w:numPr>
          <w:ilvl w:val="0"/>
          <w:numId w:val="24"/>
        </w:numPr>
        <w:spacing w:before="0" w:after="0"/>
        <w:rPr>
          <w:rFonts w:hint="eastAsia" w:ascii="宋体" w:hAnsi="宋体" w:eastAsia="宋体" w:cs="宋体"/>
        </w:rPr>
      </w:pPr>
      <w:r>
        <w:rPr>
          <w:rFonts w:hint="eastAsia" w:ascii="宋体" w:hAnsi="宋体" w:eastAsia="宋体" w:cs="宋体"/>
        </w:rPr>
        <w:t>若施工作业有特殊专业要求的，投标人必须分包给有专业资质的</w:t>
      </w:r>
      <w:r>
        <w:rPr>
          <w:rFonts w:hint="eastAsia" w:ascii="宋体" w:hAnsi="宋体" w:eastAsia="宋体" w:cs="宋体"/>
          <w:lang w:val="en-US" w:eastAsia="zh-CN"/>
        </w:rPr>
        <w:t>单位的</w:t>
      </w:r>
      <w:r>
        <w:rPr>
          <w:rFonts w:hint="eastAsia" w:ascii="宋体" w:hAnsi="宋体" w:eastAsia="宋体" w:cs="宋体"/>
        </w:rPr>
        <w:t>，应将相关资质交付招标人审核，并经招标人批准后，方可进场施工。</w:t>
      </w:r>
    </w:p>
    <w:p>
      <w:pPr>
        <w:pStyle w:val="27"/>
        <w:numPr>
          <w:ilvl w:val="0"/>
          <w:numId w:val="24"/>
        </w:numPr>
        <w:spacing w:before="0" w:after="0"/>
        <w:rPr>
          <w:rFonts w:hint="eastAsia" w:ascii="宋体" w:hAnsi="宋体" w:eastAsia="宋体" w:cs="宋体"/>
        </w:rPr>
      </w:pPr>
      <w:r>
        <w:rPr>
          <w:rFonts w:hint="eastAsia" w:ascii="宋体" w:hAnsi="宋体" w:eastAsia="宋体" w:cs="宋体"/>
        </w:rPr>
        <w:t>按合同工期要求和招标人最新的工程进度计划编制相应的施工总进度计划，投标人应按招标人签发的开工报告及时开工，并按施工组织设计提供的设备、机具和材料运至现场，未经招标人同意投标人不得将其中任何一部分移出现场。</w:t>
      </w:r>
      <w:bookmarkStart w:id="59" w:name="_Toc243106381"/>
      <w:bookmarkStart w:id="60" w:name="_Toc243106480"/>
    </w:p>
    <w:bookmarkEnd w:id="59"/>
    <w:bookmarkEnd w:id="60"/>
    <w:p>
      <w:pPr>
        <w:spacing w:line="300" w:lineRule="auto"/>
        <w:outlineLvl w:val="1"/>
        <w:rPr>
          <w:rFonts w:hint="eastAsia" w:ascii="宋体" w:hAnsi="宋体" w:eastAsia="宋体" w:cs="宋体"/>
          <w:b/>
          <w:sz w:val="24"/>
        </w:rPr>
      </w:pPr>
      <w:bookmarkStart w:id="61" w:name="_Toc11489"/>
      <w:bookmarkStart w:id="62" w:name="_Toc12384"/>
      <w:r>
        <w:rPr>
          <w:rFonts w:hint="eastAsia" w:ascii="宋体" w:hAnsi="宋体" w:eastAsia="宋体" w:cs="宋体"/>
          <w:b/>
          <w:sz w:val="24"/>
        </w:rPr>
        <w:t>2 现场管理</w:t>
      </w:r>
      <w:bookmarkEnd w:id="61"/>
      <w:bookmarkEnd w:id="62"/>
    </w:p>
    <w:p>
      <w:pPr>
        <w:pStyle w:val="27"/>
        <w:numPr>
          <w:ilvl w:val="0"/>
          <w:numId w:val="25"/>
        </w:numPr>
        <w:spacing w:before="0" w:after="0"/>
        <w:rPr>
          <w:rFonts w:hint="eastAsia" w:ascii="宋体" w:hAnsi="宋体" w:eastAsia="宋体" w:cs="宋体"/>
        </w:rPr>
      </w:pPr>
      <w:r>
        <w:rPr>
          <w:rFonts w:hint="eastAsia" w:ascii="宋体" w:hAnsi="宋体" w:eastAsia="宋体" w:cs="宋体"/>
        </w:rPr>
        <w:t>在施工中，应注意施工区域附近管线等设施的保护。投标人应了解施工区域附近管线和障碍物详细情况，如遇有特殊情况，应及时向招标人或该设施的所属部门联系，采取保护措施后施工，严禁冒险作业、野蛮作业。</w:t>
      </w:r>
    </w:p>
    <w:p>
      <w:pPr>
        <w:pStyle w:val="27"/>
        <w:numPr>
          <w:ilvl w:val="0"/>
          <w:numId w:val="25"/>
        </w:numPr>
        <w:spacing w:before="0" w:after="0"/>
        <w:rPr>
          <w:rFonts w:hint="eastAsia" w:ascii="宋体" w:hAnsi="宋体" w:eastAsia="宋体" w:cs="宋体"/>
        </w:rPr>
      </w:pPr>
      <w:r>
        <w:rPr>
          <w:rFonts w:hint="eastAsia" w:ascii="宋体" w:hAnsi="宋体" w:eastAsia="宋体" w:cs="宋体"/>
        </w:rPr>
        <w:t>如果投标人未按规定把所有的施工装备、剩余材料、垃圾及各种临时设施拉走，则招标人委托他人将投标人的设备、剩余材料及其它财产觅地存放，或委托他人清除并运走垃圾及废料。因上述工作而发生的费用由投标人承担，招标人可以从应付投标人的任何款项内扣除，不足部分招标人有权依照法律向投标人收回。</w:t>
      </w:r>
    </w:p>
    <w:p>
      <w:pPr>
        <w:pStyle w:val="27"/>
        <w:numPr>
          <w:ilvl w:val="0"/>
          <w:numId w:val="25"/>
        </w:numPr>
        <w:spacing w:before="0" w:after="0"/>
        <w:rPr>
          <w:rFonts w:hint="eastAsia" w:ascii="宋体" w:hAnsi="宋体" w:eastAsia="宋体" w:cs="宋体"/>
        </w:rPr>
      </w:pPr>
      <w:r>
        <w:rPr>
          <w:rFonts w:hint="eastAsia" w:ascii="宋体" w:hAnsi="宋体" w:eastAsia="宋体" w:cs="宋体"/>
        </w:rPr>
        <w:t>投标人应自行承担在施工过程中由于其自身原因造成的停工、返工、材料构件倒运、机械二次进场等损失。</w:t>
      </w:r>
    </w:p>
    <w:p>
      <w:pPr>
        <w:pStyle w:val="27"/>
        <w:numPr>
          <w:ilvl w:val="0"/>
          <w:numId w:val="25"/>
        </w:numPr>
        <w:spacing w:before="0" w:after="0"/>
        <w:rPr>
          <w:rFonts w:hint="eastAsia" w:ascii="宋体" w:hAnsi="宋体" w:eastAsia="宋体" w:cs="宋体"/>
        </w:rPr>
      </w:pPr>
      <w:r>
        <w:rPr>
          <w:rFonts w:hint="eastAsia" w:ascii="宋体" w:hAnsi="宋体" w:eastAsia="宋体" w:cs="宋体"/>
        </w:rPr>
        <w:t>投标人在其所给定的施工场地内不得建造带有永久性质的临时建筑。</w:t>
      </w:r>
    </w:p>
    <w:p>
      <w:pPr>
        <w:pStyle w:val="27"/>
        <w:numPr>
          <w:ilvl w:val="0"/>
          <w:numId w:val="25"/>
        </w:numPr>
        <w:spacing w:before="0" w:after="0"/>
        <w:rPr>
          <w:rFonts w:hint="eastAsia" w:ascii="宋体" w:hAnsi="宋体" w:eastAsia="宋体" w:cs="宋体"/>
        </w:rPr>
      </w:pPr>
      <w:r>
        <w:rPr>
          <w:rFonts w:hint="eastAsia" w:ascii="宋体" w:hAnsi="宋体" w:eastAsia="宋体" w:cs="宋体"/>
        </w:rPr>
        <w:t>投标人不得在其允许的施工场地之外私建、乱建临时建筑和设施，或堆放设备、材料，更不允许占用道路作为施工场地。</w:t>
      </w:r>
    </w:p>
    <w:p>
      <w:pPr>
        <w:spacing w:line="300" w:lineRule="auto"/>
        <w:outlineLvl w:val="1"/>
        <w:rPr>
          <w:rFonts w:hint="eastAsia" w:ascii="宋体" w:hAnsi="宋体" w:eastAsia="宋体" w:cs="宋体"/>
          <w:b/>
          <w:sz w:val="24"/>
        </w:rPr>
      </w:pPr>
      <w:bookmarkStart w:id="63" w:name="_Toc26215"/>
      <w:bookmarkStart w:id="64" w:name="_Toc18356"/>
      <w:r>
        <w:rPr>
          <w:rFonts w:hint="eastAsia" w:ascii="宋体" w:hAnsi="宋体" w:eastAsia="宋体" w:cs="宋体"/>
          <w:b/>
          <w:sz w:val="24"/>
        </w:rPr>
        <w:t>3  工艺质量标准及有关技术要求</w:t>
      </w:r>
      <w:bookmarkEnd w:id="63"/>
      <w:bookmarkEnd w:id="64"/>
    </w:p>
    <w:p>
      <w:pPr>
        <w:widowControl/>
        <w:spacing w:line="300" w:lineRule="auto"/>
        <w:jc w:val="left"/>
        <w:rPr>
          <w:rFonts w:ascii="宋体" w:hAnsi="宋体"/>
          <w:sz w:val="24"/>
          <w:lang w:val="zh-CN"/>
        </w:rPr>
      </w:pPr>
      <w:r>
        <w:rPr>
          <w:rFonts w:hint="eastAsia" w:ascii="宋体" w:hAnsi="宋体"/>
          <w:sz w:val="24"/>
        </w:rPr>
        <w:t>3</w:t>
      </w:r>
      <w:r>
        <w:rPr>
          <w:rFonts w:hint="eastAsia" w:ascii="宋体" w:hAnsi="宋体"/>
          <w:sz w:val="24"/>
          <w:lang w:val="zh-CN"/>
        </w:rPr>
        <w:t>.1  在</w:t>
      </w:r>
      <w:r>
        <w:rPr>
          <w:rFonts w:hint="eastAsia" w:ascii="宋体" w:hAnsi="宋体"/>
          <w:sz w:val="24"/>
          <w:lang w:val="en-US" w:eastAsia="zh-CN"/>
        </w:rPr>
        <w:t>项目实施</w:t>
      </w:r>
      <w:r>
        <w:rPr>
          <w:rFonts w:hint="eastAsia" w:ascii="宋体" w:hAnsi="宋体"/>
          <w:sz w:val="24"/>
          <w:lang w:val="zh-CN"/>
        </w:rPr>
        <w:t>期间，投标人负责</w:t>
      </w:r>
      <w:r>
        <w:rPr>
          <w:rFonts w:hint="eastAsia" w:ascii="宋体" w:hAnsi="宋体"/>
          <w:sz w:val="24"/>
          <w:lang w:val="en-US" w:eastAsia="zh-CN"/>
        </w:rPr>
        <w:t>项目实施</w:t>
      </w:r>
      <w:r>
        <w:rPr>
          <w:rFonts w:hint="eastAsia" w:ascii="宋体" w:hAnsi="宋体"/>
          <w:sz w:val="24"/>
          <w:lang w:val="zh-CN"/>
        </w:rPr>
        <w:t>工艺质量必须达到最新版的《电力建设施工、验收及质量验评标准汇编》、《</w:t>
      </w:r>
      <w:r>
        <w:rPr>
          <w:rFonts w:hint="eastAsia" w:ascii="宋体" w:hAnsi="宋体"/>
          <w:sz w:val="24"/>
        </w:rPr>
        <w:t>机组、设备检修质量验收管理标准</w:t>
      </w:r>
      <w:r>
        <w:rPr>
          <w:rFonts w:hint="eastAsia" w:ascii="宋体" w:hAnsi="宋体"/>
          <w:sz w:val="24"/>
          <w:lang w:val="zh-CN"/>
        </w:rPr>
        <w:t>》及《文明生产管理》的规定和要求，设备渗漏点数量达到“无渗漏标准”水平。投标人负责的</w:t>
      </w:r>
      <w:r>
        <w:rPr>
          <w:rFonts w:hint="eastAsia" w:ascii="宋体" w:hAnsi="宋体"/>
          <w:sz w:val="24"/>
          <w:lang w:val="en-US" w:eastAsia="zh-CN"/>
        </w:rPr>
        <w:t>项目</w:t>
      </w:r>
      <w:r>
        <w:rPr>
          <w:rFonts w:hint="eastAsia" w:ascii="宋体" w:hAnsi="宋体"/>
          <w:sz w:val="24"/>
          <w:lang w:val="zh-CN"/>
        </w:rPr>
        <w:t>设备必须严格执行招标人</w:t>
      </w:r>
      <w:r>
        <w:rPr>
          <w:rFonts w:hint="eastAsia" w:ascii="宋体" w:hAnsi="宋体"/>
          <w:sz w:val="24"/>
          <w:lang w:val="en-US" w:eastAsia="zh-CN"/>
        </w:rPr>
        <w:t>生产现场</w:t>
      </w:r>
      <w:r>
        <w:rPr>
          <w:rFonts w:hint="eastAsia" w:ascii="宋体" w:hAnsi="宋体"/>
          <w:sz w:val="24"/>
          <w:lang w:val="zh-CN"/>
        </w:rPr>
        <w:t>管理技术规范要求，招标人鼓励投标人提出更高的质量标准，并在设备检修中实施。</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.2   国家及部颁与本</w:t>
      </w:r>
      <w:r>
        <w:rPr>
          <w:rFonts w:hint="eastAsia" w:ascii="宋体" w:hAnsi="宋体" w:eastAsia="宋体"/>
          <w:sz w:val="24"/>
          <w:szCs w:val="24"/>
        </w:rPr>
        <w:t>项目</w:t>
      </w:r>
      <w:r>
        <w:rPr>
          <w:rFonts w:hint="eastAsia" w:ascii="宋体" w:hAnsi="宋体" w:eastAsia="宋体"/>
          <w:sz w:val="24"/>
          <w:szCs w:val="24"/>
          <w:lang w:val="zh-CN"/>
        </w:rPr>
        <w:t>有关的各种现行有效版本的技术规范、规程、设计院和制造厂技术文件上的质量要求适用于本</w:t>
      </w:r>
      <w:r>
        <w:rPr>
          <w:rFonts w:hint="eastAsia" w:ascii="宋体" w:hAnsi="宋体" w:eastAsia="宋体"/>
          <w:sz w:val="24"/>
          <w:szCs w:val="24"/>
        </w:rPr>
        <w:t>项目</w:t>
      </w:r>
      <w:r>
        <w:rPr>
          <w:rFonts w:hint="eastAsia" w:ascii="宋体" w:hAnsi="宋体" w:eastAsia="宋体"/>
          <w:sz w:val="24"/>
          <w:szCs w:val="24"/>
          <w:lang w:val="zh-CN"/>
        </w:rPr>
        <w:t>。</w:t>
      </w:r>
    </w:p>
    <w:p>
      <w:pPr>
        <w:pStyle w:val="32"/>
        <w:numPr>
          <w:ilvl w:val="0"/>
          <w:numId w:val="0"/>
        </w:numPr>
        <w:adjustRightInd w:val="0"/>
        <w:snapToGrid w:val="0"/>
        <w:spacing w:beforeLines="0" w:afterLines="0" w:line="300" w:lineRule="auto"/>
        <w:rPr>
          <w:rFonts w:ascii="宋体" w:hAnsi="宋体" w:eastAsia="宋体"/>
          <w:color w:val="FF0000"/>
          <w:sz w:val="24"/>
          <w:szCs w:val="24"/>
          <w:lang w:val="zh-CN"/>
        </w:rPr>
      </w:pPr>
      <w:r>
        <w:rPr>
          <w:rFonts w:hint="eastAsia" w:ascii="宋体" w:hAnsi="宋体" w:eastAsia="宋体"/>
          <w:sz w:val="24"/>
          <w:szCs w:val="24"/>
        </w:rPr>
        <w:t>3</w:t>
      </w:r>
      <w:r>
        <w:rPr>
          <w:rFonts w:hint="eastAsia" w:ascii="宋体" w:hAnsi="宋体" w:eastAsia="宋体"/>
          <w:sz w:val="24"/>
          <w:szCs w:val="24"/>
          <w:lang w:val="zh-CN"/>
        </w:rPr>
        <w:t xml:space="preserve">.3 </w:t>
      </w:r>
      <w:r>
        <w:rPr>
          <w:rFonts w:hint="eastAsia" w:ascii="宋体" w:hAnsi="宋体" w:eastAsia="宋体"/>
          <w:color w:val="FF0000"/>
          <w:sz w:val="24"/>
          <w:szCs w:val="24"/>
          <w:lang w:val="zh-CN"/>
        </w:rPr>
        <w:t xml:space="preserve"> </w:t>
      </w:r>
      <w:r>
        <w:rPr>
          <w:rFonts w:hint="eastAsia" w:ascii="宋体" w:hAnsi="宋体" w:eastAsia="宋体"/>
          <w:sz w:val="24"/>
          <w:szCs w:val="24"/>
          <w:lang w:val="zh-CN"/>
        </w:rPr>
        <w:t>投标时投标人需提供总体质量保证目标和措施，各分专业要有相应的质量保证体系及控制点，工程质量目标明确，完全符合本</w:t>
      </w:r>
      <w:r>
        <w:rPr>
          <w:rFonts w:hint="eastAsia" w:ascii="宋体" w:hAnsi="宋体" w:eastAsia="宋体"/>
          <w:sz w:val="24"/>
          <w:szCs w:val="24"/>
        </w:rPr>
        <w:t>项目</w:t>
      </w:r>
      <w:r>
        <w:rPr>
          <w:rFonts w:hint="eastAsia" w:ascii="宋体" w:hAnsi="宋体" w:eastAsia="宋体"/>
          <w:sz w:val="24"/>
          <w:szCs w:val="24"/>
          <w:lang w:val="zh-CN"/>
        </w:rPr>
        <w:t>质量要求，质量保障措施得力，操作性强。如果中标，这些文件须经招标人审核后实施。</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.4  投标人承包的特殊项目要制定专门的技术措施，经招标人审核后实施。</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.5  投标人承包项目的</w:t>
      </w:r>
      <w:r>
        <w:rPr>
          <w:rFonts w:hint="eastAsia" w:ascii="宋体" w:hAnsi="宋体" w:eastAsia="宋体"/>
          <w:sz w:val="24"/>
          <w:szCs w:val="24"/>
          <w:lang w:val="en-US" w:eastAsia="zh-CN"/>
        </w:rPr>
        <w:t>实施</w:t>
      </w:r>
      <w:r>
        <w:rPr>
          <w:rFonts w:hint="eastAsia" w:ascii="宋体" w:hAnsi="宋体" w:eastAsia="宋体"/>
          <w:sz w:val="24"/>
          <w:szCs w:val="24"/>
          <w:lang w:val="zh-CN"/>
        </w:rPr>
        <w:t>质量及验收标准，均按招标人提供的标准执行，若遇招标人没有提供质量和验收标准的，则经招标人同意，可按照国家和行业相关标准或设备制造厂家标准执行，如遇冲突，</w:t>
      </w:r>
      <w:r>
        <w:rPr>
          <w:rFonts w:hint="eastAsia" w:ascii="宋体" w:hAnsi="宋体" w:eastAsia="宋体"/>
          <w:sz w:val="24"/>
          <w:szCs w:val="24"/>
          <w:lang w:val="en-US" w:eastAsia="zh-CN"/>
        </w:rPr>
        <w:t>由双方协商执行</w:t>
      </w:r>
      <w:r>
        <w:rPr>
          <w:rFonts w:hint="eastAsia" w:ascii="宋体" w:hAnsi="宋体" w:eastAsia="宋体"/>
          <w:sz w:val="24"/>
          <w:szCs w:val="24"/>
          <w:lang w:val="zh-CN"/>
        </w:rPr>
        <w:t>。</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.6  招标人应向投标人对其所承包项目的技术要求和质量标准进行交底，并提供相关图纸资料。</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.7  投标人应执行招标人制定的质量检验程序，按照</w:t>
      </w:r>
      <w:r>
        <w:rPr>
          <w:rFonts w:hint="eastAsia" w:ascii="宋体" w:hAnsi="宋体" w:eastAsia="宋体"/>
          <w:sz w:val="24"/>
          <w:szCs w:val="24"/>
          <w:lang w:val="en-US" w:eastAsia="zh-CN"/>
        </w:rPr>
        <w:t>招标人验收</w:t>
      </w:r>
      <w:r>
        <w:rPr>
          <w:rFonts w:hint="eastAsia" w:ascii="宋体" w:hAnsi="宋体" w:eastAsia="宋体"/>
          <w:sz w:val="24"/>
          <w:szCs w:val="24"/>
          <w:lang w:val="zh-CN"/>
        </w:rPr>
        <w:t>制度执行，验收代表应在验收单上签字，招投标双方对质量有异议时，原则上协调解决，未经招标人验收合格的设备不得投入运行（或进行下道工序）。</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.8  投标人必须有最基本检修、维护质量措施，如</w:t>
      </w:r>
      <w:r>
        <w:rPr>
          <w:rFonts w:ascii="宋体" w:hAnsi="宋体" w:eastAsia="宋体"/>
          <w:sz w:val="24"/>
          <w:szCs w:val="24"/>
          <w:lang w:val="zh-CN"/>
        </w:rPr>
        <w:t>ISO9000</w:t>
      </w:r>
      <w:r>
        <w:rPr>
          <w:rFonts w:hint="eastAsia" w:ascii="宋体" w:hAnsi="宋体" w:eastAsia="宋体"/>
          <w:sz w:val="24"/>
          <w:szCs w:val="24"/>
          <w:lang w:val="zh-CN"/>
        </w:rPr>
        <w:t>质量体系，技改方案整体措施等，符合</w:t>
      </w:r>
      <w:r>
        <w:rPr>
          <w:rFonts w:hint="eastAsia" w:ascii="宋体" w:hAnsi="宋体" w:eastAsia="宋体"/>
          <w:sz w:val="24"/>
          <w:szCs w:val="24"/>
          <w:lang w:val="en-US" w:eastAsia="zh-CN"/>
        </w:rPr>
        <w:t>浙能</w:t>
      </w:r>
      <w:r>
        <w:rPr>
          <w:rFonts w:hint="eastAsia" w:ascii="宋体" w:hAnsi="宋体" w:eastAsia="宋体"/>
          <w:sz w:val="24"/>
          <w:szCs w:val="24"/>
          <w:lang w:val="zh-CN"/>
        </w:rPr>
        <w:t>集团、萧山电厂有关质量标准的规定。</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.9  投标人应执行招标人制定的不符合项管理程序，投标人承包范围内的不符合项处理由投标人承担，直到验证合格，特殊情况下难以达到要求时，由双方协商做出变更决定并签署意见。</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.10 分部试运转按招标人制度执行，投标人应主动安排好试运转计划且提前通知招标人，并做好各专业间的协调工作。</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3</w:t>
      </w:r>
      <w:r>
        <w:rPr>
          <w:rFonts w:hint="eastAsia" w:ascii="宋体" w:hAnsi="宋体" w:eastAsia="宋体"/>
          <w:sz w:val="24"/>
          <w:szCs w:val="24"/>
          <w:lang w:val="zh-CN"/>
        </w:rPr>
        <w:t>.11 设备修后整组启动至机组报复役试运合格时间范围内，投标人应安排人员值班，以便及时消除设备缺陷。在</w:t>
      </w:r>
      <w:r>
        <w:rPr>
          <w:rFonts w:hint="eastAsia" w:ascii="宋体" w:hAnsi="宋体" w:eastAsia="宋体"/>
          <w:sz w:val="24"/>
          <w:szCs w:val="24"/>
          <w:lang w:val="en-US" w:eastAsia="zh-CN"/>
        </w:rPr>
        <w:t>项目</w:t>
      </w:r>
      <w:r>
        <w:rPr>
          <w:rFonts w:hint="eastAsia" w:ascii="宋体" w:hAnsi="宋体" w:eastAsia="宋体"/>
          <w:sz w:val="24"/>
          <w:szCs w:val="24"/>
          <w:lang w:val="zh-CN"/>
        </w:rPr>
        <w:t>质量保证期内，若因投标人</w:t>
      </w:r>
      <w:r>
        <w:rPr>
          <w:rFonts w:hint="eastAsia" w:ascii="宋体" w:hAnsi="宋体" w:eastAsia="宋体"/>
          <w:sz w:val="24"/>
          <w:szCs w:val="24"/>
          <w:lang w:val="en-US" w:eastAsia="zh-CN"/>
        </w:rPr>
        <w:t>项目实施</w:t>
      </w:r>
      <w:r>
        <w:rPr>
          <w:rFonts w:hint="eastAsia" w:ascii="宋体" w:hAnsi="宋体" w:eastAsia="宋体"/>
          <w:sz w:val="24"/>
          <w:szCs w:val="24"/>
          <w:lang w:val="zh-CN"/>
        </w:rPr>
        <w:t>质量问题造成机组被迫停运或降低出力运行，投标人负责</w:t>
      </w:r>
      <w:r>
        <w:rPr>
          <w:rFonts w:hint="eastAsia" w:ascii="宋体" w:hAnsi="宋体" w:eastAsia="宋体"/>
          <w:sz w:val="24"/>
          <w:szCs w:val="24"/>
          <w:lang w:val="en-US" w:eastAsia="zh-CN"/>
        </w:rPr>
        <w:t>免费</w:t>
      </w:r>
      <w:r>
        <w:rPr>
          <w:rFonts w:hint="eastAsia" w:ascii="宋体" w:hAnsi="宋体" w:eastAsia="宋体"/>
          <w:sz w:val="24"/>
          <w:szCs w:val="24"/>
          <w:lang w:val="zh-CN"/>
        </w:rPr>
        <w:t>检修，并按相关条款进行考核。</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 xml:space="preserve">.12 </w:t>
      </w:r>
      <w:r>
        <w:rPr>
          <w:rFonts w:hint="eastAsia" w:ascii="宋体" w:hAnsi="宋体"/>
          <w:kern w:val="0"/>
          <w:sz w:val="24"/>
          <w:lang w:val="en-US" w:eastAsia="zh-CN"/>
        </w:rPr>
        <w:t>项目实施</w:t>
      </w:r>
      <w:r>
        <w:rPr>
          <w:rFonts w:hint="eastAsia" w:ascii="宋体" w:hAnsi="宋体"/>
          <w:kern w:val="0"/>
          <w:sz w:val="24"/>
          <w:lang w:val="zh-CN"/>
        </w:rPr>
        <w:t>中招标人提出安全、质量问题，投标人应给予答复。对于重大安全、质量、文明、环保及不遵守检修工艺纪律问题，招标人有权停工复查，投标人必须无条件接受，并承担相应费用。</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.13 投标人应按照招标人要求，填写</w:t>
      </w:r>
      <w:r>
        <w:rPr>
          <w:rFonts w:hint="eastAsia" w:ascii="宋体" w:hAnsi="宋体"/>
          <w:kern w:val="0"/>
          <w:sz w:val="24"/>
        </w:rPr>
        <w:t>质检</w:t>
      </w:r>
      <w:r>
        <w:rPr>
          <w:rFonts w:hint="eastAsia" w:ascii="宋体" w:hAnsi="宋体"/>
          <w:kern w:val="0"/>
          <w:sz w:val="24"/>
          <w:lang w:val="zh-CN"/>
        </w:rPr>
        <w:t>点监督记录，并由双方验收人员验收后签字生效，不得漏项；按照招标人有关修前报告、各项目验收的要求进行资料准备。投标人负责</w:t>
      </w:r>
      <w:r>
        <w:rPr>
          <w:rFonts w:hint="eastAsia" w:ascii="宋体" w:hAnsi="宋体"/>
          <w:kern w:val="0"/>
          <w:sz w:val="24"/>
          <w:lang w:val="en-US" w:eastAsia="zh-CN"/>
        </w:rPr>
        <w:t>项目实施</w:t>
      </w:r>
      <w:r>
        <w:rPr>
          <w:rFonts w:hint="eastAsia" w:ascii="宋体" w:hAnsi="宋体"/>
          <w:kern w:val="0"/>
          <w:sz w:val="24"/>
          <w:lang w:val="zh-CN"/>
        </w:rPr>
        <w:t>过程中的质量验收联系、配合，以及</w:t>
      </w:r>
      <w:r>
        <w:rPr>
          <w:rFonts w:hint="eastAsia" w:ascii="宋体" w:hAnsi="宋体"/>
          <w:kern w:val="0"/>
          <w:sz w:val="24"/>
          <w:lang w:val="en-US" w:eastAsia="zh-CN"/>
        </w:rPr>
        <w:t>项目实施</w:t>
      </w:r>
      <w:r>
        <w:rPr>
          <w:rFonts w:hint="eastAsia" w:ascii="宋体" w:hAnsi="宋体"/>
          <w:kern w:val="0"/>
          <w:sz w:val="24"/>
          <w:lang w:val="zh-CN"/>
        </w:rPr>
        <w:t>全过程管理工作。</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 xml:space="preserve">.14 </w:t>
      </w:r>
      <w:r>
        <w:rPr>
          <w:rFonts w:hint="eastAsia" w:ascii="宋体" w:hAnsi="宋体"/>
          <w:kern w:val="0"/>
          <w:sz w:val="24"/>
          <w:lang w:val="en-US" w:eastAsia="zh-CN"/>
        </w:rPr>
        <w:t>项目实施</w:t>
      </w:r>
      <w:r>
        <w:rPr>
          <w:rFonts w:hint="eastAsia" w:ascii="宋体" w:hAnsi="宋体"/>
          <w:kern w:val="0"/>
          <w:sz w:val="24"/>
          <w:lang w:val="zh-CN"/>
        </w:rPr>
        <w:t>过程中需要拆卸热工、电气二次设备的，投标人事先通知招标人，并在招标人监督下拆装。因投标人原因造成设备损坏的，投标人应按设备原值赔偿，并积极配合招标人进行损坏备品的采购，并不得影响检修工期。</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.15  严格保证招标人重点节点控制计划，投标人应细排</w:t>
      </w:r>
      <w:r>
        <w:rPr>
          <w:rFonts w:hint="eastAsia" w:ascii="宋体" w:hAnsi="宋体"/>
          <w:kern w:val="0"/>
          <w:sz w:val="24"/>
          <w:lang w:val="en-US" w:eastAsia="zh-CN"/>
        </w:rPr>
        <w:t>本项目涉及的</w:t>
      </w:r>
      <w:r>
        <w:rPr>
          <w:rFonts w:hint="eastAsia" w:ascii="宋体" w:hAnsi="宋体"/>
          <w:kern w:val="0"/>
          <w:sz w:val="24"/>
          <w:lang w:val="zh-CN"/>
        </w:rPr>
        <w:t>各专业网络进度计划，并根据实际进度情况及时调整并严格执行，同时，按招标人要求编写周</w:t>
      </w:r>
      <w:r>
        <w:rPr>
          <w:rFonts w:hint="eastAsia" w:ascii="宋体" w:hAnsi="宋体"/>
          <w:kern w:val="0"/>
          <w:sz w:val="24"/>
          <w:lang w:val="en-US" w:eastAsia="zh-CN"/>
        </w:rPr>
        <w:t>工作</w:t>
      </w:r>
      <w:r>
        <w:rPr>
          <w:rFonts w:hint="eastAsia" w:ascii="宋体" w:hAnsi="宋体"/>
          <w:kern w:val="0"/>
          <w:sz w:val="24"/>
          <w:lang w:val="zh-CN"/>
        </w:rPr>
        <w:t>计划及总结，以及其他汇报、总结工作。</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.16 投标人使用的工器具必须具有资质的第三方校验合格证，并经招标人现场抽查合格。投标人应将详细工器具清单和检验报告报送招标人安</w:t>
      </w:r>
      <w:r>
        <w:rPr>
          <w:rFonts w:hint="eastAsia" w:ascii="宋体" w:hAnsi="宋体"/>
          <w:kern w:val="0"/>
          <w:sz w:val="24"/>
        </w:rPr>
        <w:t>健</w:t>
      </w:r>
      <w:r>
        <w:rPr>
          <w:rFonts w:hint="eastAsia" w:ascii="宋体" w:hAnsi="宋体"/>
          <w:kern w:val="0"/>
          <w:sz w:val="24"/>
          <w:lang w:val="zh-CN"/>
        </w:rPr>
        <w:t>环部、维护部、</w:t>
      </w:r>
      <w:r>
        <w:rPr>
          <w:rFonts w:hint="eastAsia" w:ascii="宋体" w:hAnsi="宋体"/>
          <w:kern w:val="0"/>
          <w:sz w:val="24"/>
          <w:lang w:val="en-US" w:eastAsia="zh-CN"/>
        </w:rPr>
        <w:t>设备管理部</w:t>
      </w:r>
      <w:r>
        <w:rPr>
          <w:rFonts w:hint="eastAsia" w:ascii="宋体" w:hAnsi="宋体"/>
          <w:kern w:val="0"/>
          <w:sz w:val="24"/>
          <w:lang w:val="zh-CN"/>
        </w:rPr>
        <w:t>。投标人应保证施工过程中使用的工器具是安全和可靠的，不会造成事故，否则，投标人承担由此引起的相应责任。出厂前要按照清单进行清点，并由招标人安</w:t>
      </w:r>
      <w:r>
        <w:rPr>
          <w:rFonts w:hint="eastAsia" w:ascii="宋体" w:hAnsi="宋体"/>
          <w:kern w:val="0"/>
          <w:sz w:val="24"/>
        </w:rPr>
        <w:t>健</w:t>
      </w:r>
      <w:r>
        <w:rPr>
          <w:rFonts w:hint="eastAsia" w:ascii="宋体" w:hAnsi="宋体"/>
          <w:kern w:val="0"/>
          <w:sz w:val="24"/>
          <w:lang w:val="zh-CN"/>
        </w:rPr>
        <w:t>环部人员签字认可。</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.17投标人根据招标人提供的#</w:t>
      </w:r>
      <w:r>
        <w:rPr>
          <w:rFonts w:hint="eastAsia" w:ascii="宋体" w:hAnsi="宋体"/>
          <w:kern w:val="0"/>
          <w:sz w:val="24"/>
        </w:rPr>
        <w:t>4</w:t>
      </w:r>
      <w:r>
        <w:rPr>
          <w:rFonts w:hint="eastAsia" w:ascii="宋体" w:hAnsi="宋体"/>
          <w:kern w:val="0"/>
          <w:sz w:val="24"/>
          <w:lang w:val="zh-CN"/>
        </w:rPr>
        <w:t>机组</w:t>
      </w:r>
      <w:r>
        <w:rPr>
          <w:rFonts w:hint="eastAsia" w:ascii="宋体" w:hAnsi="宋体"/>
          <w:kern w:val="0"/>
          <w:sz w:val="24"/>
        </w:rPr>
        <w:t>扩大性C修</w:t>
      </w:r>
      <w:r>
        <w:rPr>
          <w:rFonts w:hint="eastAsia" w:ascii="宋体" w:hAnsi="宋体"/>
          <w:kern w:val="0"/>
          <w:sz w:val="24"/>
          <w:lang w:val="zh-CN"/>
        </w:rPr>
        <w:t>项目计划，并按照招标人提供的标准格式编制“</w:t>
      </w:r>
      <w:r>
        <w:rPr>
          <w:rFonts w:hint="eastAsia" w:ascii="宋体" w:hAnsi="宋体"/>
          <w:kern w:val="0"/>
          <w:sz w:val="24"/>
        </w:rPr>
        <w:t>三</w:t>
      </w:r>
      <w:r>
        <w:rPr>
          <w:rFonts w:hint="eastAsia" w:ascii="宋体" w:hAnsi="宋体"/>
          <w:kern w:val="0"/>
          <w:sz w:val="24"/>
          <w:lang w:val="zh-CN"/>
        </w:rPr>
        <w:t>措两案”，经招标人签字认可后执行。</w:t>
      </w:r>
    </w:p>
    <w:p>
      <w:pPr>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.18投标人应保证</w:t>
      </w:r>
      <w:r>
        <w:rPr>
          <w:rFonts w:hint="eastAsia" w:ascii="宋体" w:hAnsi="宋体"/>
          <w:kern w:val="0"/>
          <w:sz w:val="24"/>
          <w:lang w:val="en-US" w:eastAsia="zh-CN"/>
        </w:rPr>
        <w:t>项目实施期间</w:t>
      </w:r>
      <w:r>
        <w:rPr>
          <w:rFonts w:hint="eastAsia" w:ascii="宋体" w:hAnsi="宋体"/>
          <w:kern w:val="0"/>
          <w:sz w:val="24"/>
          <w:lang w:val="zh-CN"/>
        </w:rPr>
        <w:t>人力和技术力量的投入，不能出现因人力和技术力量不足等原因造成</w:t>
      </w:r>
      <w:r>
        <w:rPr>
          <w:rFonts w:hint="eastAsia" w:ascii="宋体" w:hAnsi="宋体"/>
          <w:kern w:val="0"/>
          <w:sz w:val="24"/>
          <w:lang w:val="en-US" w:eastAsia="zh-CN"/>
        </w:rPr>
        <w:t>项目</w:t>
      </w:r>
      <w:r>
        <w:rPr>
          <w:rFonts w:hint="eastAsia" w:ascii="宋体" w:hAnsi="宋体"/>
          <w:kern w:val="0"/>
          <w:sz w:val="24"/>
          <w:lang w:val="zh-CN"/>
        </w:rPr>
        <w:t>工期拖延、质量达不到标准要求等问题。如投标人工期和质量不能满足本规范要求，招标人有权重新委外，费用在投标人合同中扣除，并进行相应考核。</w:t>
      </w:r>
    </w:p>
    <w:p>
      <w:pPr>
        <w:spacing w:line="300" w:lineRule="auto"/>
        <w:rPr>
          <w:rFonts w:ascii="宋体" w:hAnsi="宋体" w:cs="宋体"/>
          <w:sz w:val="24"/>
          <w:highlight w:val="yellow"/>
        </w:rPr>
      </w:pPr>
      <w:r>
        <w:rPr>
          <w:rFonts w:hint="eastAsia" w:ascii="宋体" w:hAnsi="宋体"/>
          <w:kern w:val="0"/>
          <w:sz w:val="24"/>
        </w:rPr>
        <w:t>3</w:t>
      </w:r>
      <w:r>
        <w:rPr>
          <w:rFonts w:hint="eastAsia" w:ascii="宋体" w:hAnsi="宋体"/>
          <w:kern w:val="0"/>
          <w:sz w:val="24"/>
          <w:lang w:val="zh-CN"/>
        </w:rPr>
        <w:t>.19投标人按照协议和合同的规定对</w:t>
      </w:r>
      <w:r>
        <w:rPr>
          <w:rFonts w:hint="eastAsia" w:ascii="宋体" w:hAnsi="宋体"/>
          <w:kern w:val="0"/>
          <w:sz w:val="24"/>
          <w:lang w:val="en-US" w:eastAsia="zh-CN"/>
        </w:rPr>
        <w:t>项目施工</w:t>
      </w:r>
      <w:r>
        <w:rPr>
          <w:rFonts w:hint="eastAsia" w:ascii="宋体" w:hAnsi="宋体"/>
          <w:kern w:val="0"/>
          <w:sz w:val="24"/>
          <w:lang w:val="zh-CN"/>
        </w:rPr>
        <w:t>质量负责，确保</w:t>
      </w:r>
      <w:r>
        <w:rPr>
          <w:rFonts w:hint="eastAsia" w:ascii="宋体" w:hAnsi="宋体"/>
          <w:kern w:val="0"/>
          <w:sz w:val="24"/>
          <w:lang w:val="en-US" w:eastAsia="zh-CN"/>
        </w:rPr>
        <w:t>项目</w:t>
      </w:r>
      <w:r>
        <w:rPr>
          <w:rFonts w:hint="eastAsia" w:ascii="宋体" w:hAnsi="宋体"/>
          <w:kern w:val="0"/>
          <w:sz w:val="24"/>
          <w:lang w:val="zh-CN"/>
        </w:rPr>
        <w:t>目标的实现。</w:t>
      </w:r>
    </w:p>
    <w:p>
      <w:pPr>
        <w:spacing w:line="300" w:lineRule="auto"/>
        <w:rPr>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0</w:t>
      </w:r>
      <w:r>
        <w:rPr>
          <w:rFonts w:hint="eastAsia" w:ascii="宋体" w:hAnsi="宋体"/>
          <w:kern w:val="0"/>
          <w:sz w:val="24"/>
          <w:lang w:val="zh-CN"/>
        </w:rPr>
        <w:t>投标人应熟悉和遵守招标人相关检修管理、生产管理、安全管理、技术管理、运行管理的制度和标准。投标人任何人员</w:t>
      </w:r>
      <w:r>
        <w:rPr>
          <w:rFonts w:hint="eastAsia" w:ascii="宋体" w:hAnsi="宋体"/>
          <w:kern w:val="0"/>
          <w:sz w:val="24"/>
          <w:lang w:val="en-US" w:eastAsia="zh-CN"/>
        </w:rPr>
        <w:t>变更</w:t>
      </w:r>
      <w:r>
        <w:rPr>
          <w:rFonts w:hint="eastAsia" w:ascii="宋体" w:hAnsi="宋体"/>
          <w:kern w:val="0"/>
          <w:sz w:val="24"/>
          <w:lang w:val="zh-CN"/>
        </w:rPr>
        <w:t>必须通过书面申请并经招标人批准后方可离场。</w:t>
      </w:r>
    </w:p>
    <w:p>
      <w:pPr>
        <w:spacing w:line="300" w:lineRule="auto"/>
        <w:rPr>
          <w:lang w:val="zh-CN"/>
        </w:rPr>
      </w:pPr>
      <w:r>
        <w:rPr>
          <w:rFonts w:hint="eastAsia" w:ascii="宋体" w:hAnsi="宋体"/>
          <w:kern w:val="0"/>
          <w:sz w:val="24"/>
        </w:rPr>
        <w:t>3.2</w:t>
      </w:r>
      <w:r>
        <w:rPr>
          <w:rFonts w:hint="eastAsia" w:ascii="宋体" w:hAnsi="宋体"/>
          <w:kern w:val="0"/>
          <w:sz w:val="24"/>
          <w:lang w:val="en-US" w:eastAsia="zh-CN"/>
        </w:rPr>
        <w:t>1</w:t>
      </w:r>
      <w:r>
        <w:rPr>
          <w:rFonts w:hint="eastAsia" w:ascii="宋体" w:hAnsi="宋体"/>
          <w:kern w:val="0"/>
          <w:sz w:val="24"/>
        </w:rPr>
        <w:t xml:space="preserve"> </w:t>
      </w:r>
      <w:r>
        <w:rPr>
          <w:rFonts w:hint="eastAsia" w:ascii="宋体" w:hAnsi="宋体"/>
          <w:kern w:val="0"/>
          <w:sz w:val="24"/>
          <w:lang w:val="zh-CN"/>
        </w:rPr>
        <w:t>执行招标人</w:t>
      </w:r>
      <w:r>
        <w:rPr>
          <w:rFonts w:hint="eastAsia" w:ascii="宋体" w:hAnsi="宋体"/>
          <w:kern w:val="0"/>
          <w:sz w:val="24"/>
          <w:lang w:val="en-US" w:eastAsia="zh-CN"/>
        </w:rPr>
        <w:t>生产现场</w:t>
      </w:r>
      <w:r>
        <w:rPr>
          <w:rFonts w:hint="eastAsia" w:ascii="宋体" w:hAnsi="宋体"/>
          <w:kern w:val="0"/>
          <w:sz w:val="24"/>
          <w:lang w:val="zh-CN"/>
        </w:rPr>
        <w:t>管理要求</w:t>
      </w:r>
    </w:p>
    <w:p>
      <w:pPr>
        <w:widowControl/>
        <w:adjustRightInd w:val="0"/>
        <w:snapToGrid w:val="0"/>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1</w:t>
      </w:r>
      <w:r>
        <w:rPr>
          <w:rFonts w:hint="eastAsia" w:ascii="宋体" w:hAnsi="宋体"/>
          <w:kern w:val="0"/>
          <w:sz w:val="24"/>
          <w:lang w:val="zh-CN"/>
        </w:rPr>
        <w:t>.1</w:t>
      </w:r>
      <w:r>
        <w:rPr>
          <w:rFonts w:hint="eastAsia" w:ascii="宋体" w:hAnsi="宋体"/>
          <w:kern w:val="0"/>
          <w:sz w:val="24"/>
          <w:lang w:val="en-US" w:eastAsia="zh-CN"/>
        </w:rPr>
        <w:t>项目实施过程</w:t>
      </w:r>
      <w:r>
        <w:rPr>
          <w:rFonts w:hint="eastAsia" w:ascii="宋体" w:hAnsi="宋体"/>
          <w:kern w:val="0"/>
          <w:sz w:val="24"/>
          <w:lang w:val="zh-CN"/>
        </w:rPr>
        <w:t>中投标人应对</w:t>
      </w:r>
      <w:r>
        <w:rPr>
          <w:rFonts w:hint="eastAsia" w:ascii="宋体" w:hAnsi="宋体"/>
          <w:kern w:val="0"/>
          <w:sz w:val="24"/>
          <w:lang w:val="en-US" w:eastAsia="zh-CN"/>
        </w:rPr>
        <w:t>施工</w:t>
      </w:r>
      <w:r>
        <w:rPr>
          <w:rFonts w:hint="eastAsia" w:ascii="宋体" w:hAnsi="宋体"/>
          <w:kern w:val="0"/>
          <w:sz w:val="24"/>
          <w:lang w:val="zh-CN"/>
        </w:rPr>
        <w:t>作业点建立工作隔离区，并设立工作区标识，符合招标人</w:t>
      </w:r>
      <w:r>
        <w:rPr>
          <w:rFonts w:hint="eastAsia" w:ascii="宋体" w:hAnsi="宋体"/>
          <w:kern w:val="0"/>
          <w:sz w:val="24"/>
          <w:lang w:val="en-US" w:eastAsia="zh-CN"/>
        </w:rPr>
        <w:t>生产现场</w:t>
      </w:r>
      <w:r>
        <w:rPr>
          <w:rFonts w:hint="eastAsia" w:ascii="宋体" w:hAnsi="宋体"/>
          <w:kern w:val="0"/>
          <w:sz w:val="24"/>
          <w:lang w:val="zh-CN"/>
        </w:rPr>
        <w:t>管理要求。</w:t>
      </w:r>
    </w:p>
    <w:p>
      <w:pPr>
        <w:widowControl/>
        <w:adjustRightInd w:val="0"/>
        <w:snapToGrid w:val="0"/>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1</w:t>
      </w:r>
      <w:r>
        <w:rPr>
          <w:rFonts w:hint="eastAsia" w:ascii="宋体" w:hAnsi="宋体"/>
          <w:kern w:val="0"/>
          <w:sz w:val="24"/>
          <w:lang w:val="zh-CN"/>
        </w:rPr>
        <w:t>.2投标人应在工作隔离区进出口设置专人看管，防止无关人员进入。</w:t>
      </w:r>
    </w:p>
    <w:p>
      <w:pPr>
        <w:widowControl/>
        <w:adjustRightInd w:val="0"/>
        <w:snapToGrid w:val="0"/>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1</w:t>
      </w:r>
      <w:r>
        <w:rPr>
          <w:rFonts w:hint="eastAsia" w:ascii="宋体" w:hAnsi="宋体"/>
          <w:kern w:val="0"/>
          <w:sz w:val="24"/>
          <w:lang w:val="zh-CN"/>
        </w:rPr>
        <w:t>.3</w:t>
      </w:r>
      <w:r>
        <w:rPr>
          <w:rFonts w:hint="eastAsia" w:ascii="宋体" w:hAnsi="宋体"/>
          <w:kern w:val="0"/>
          <w:sz w:val="24"/>
          <w:lang w:val="en-US" w:eastAsia="zh-CN"/>
        </w:rPr>
        <w:t>项目实施</w:t>
      </w:r>
      <w:r>
        <w:rPr>
          <w:rFonts w:hint="eastAsia" w:ascii="宋体" w:hAnsi="宋体"/>
          <w:kern w:val="0"/>
          <w:sz w:val="24"/>
          <w:lang w:val="zh-CN"/>
        </w:rPr>
        <w:t>过程中投标人应积极配合招标人</w:t>
      </w:r>
      <w:r>
        <w:rPr>
          <w:rFonts w:hint="eastAsia" w:ascii="宋体" w:hAnsi="宋体"/>
          <w:kern w:val="0"/>
          <w:sz w:val="24"/>
          <w:lang w:val="en-US" w:eastAsia="zh-CN"/>
        </w:rPr>
        <w:t>生产现场</w:t>
      </w:r>
      <w:r>
        <w:rPr>
          <w:rFonts w:hint="eastAsia" w:ascii="宋体" w:hAnsi="宋体"/>
          <w:kern w:val="0"/>
          <w:sz w:val="24"/>
          <w:lang w:val="zh-CN"/>
        </w:rPr>
        <w:t>管理工作，针对招标人提出的问题及时制定整改措施，在限期内完成整改。</w:t>
      </w:r>
    </w:p>
    <w:p>
      <w:pPr>
        <w:widowControl/>
        <w:adjustRightInd w:val="0"/>
        <w:snapToGrid w:val="0"/>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1</w:t>
      </w:r>
      <w:r>
        <w:rPr>
          <w:rFonts w:hint="eastAsia" w:ascii="宋体" w:hAnsi="宋体"/>
          <w:kern w:val="0"/>
          <w:sz w:val="24"/>
          <w:lang w:val="zh-CN"/>
        </w:rPr>
        <w:t>.4投标人应该规范作业现场布置，符合招标人</w:t>
      </w:r>
      <w:r>
        <w:rPr>
          <w:rFonts w:hint="eastAsia" w:ascii="宋体" w:hAnsi="宋体"/>
          <w:kern w:val="0"/>
          <w:sz w:val="24"/>
          <w:lang w:val="en-US" w:eastAsia="zh-CN"/>
        </w:rPr>
        <w:t>生产现场</w:t>
      </w:r>
      <w:r>
        <w:rPr>
          <w:rFonts w:hint="eastAsia" w:ascii="宋体" w:hAnsi="宋体"/>
          <w:kern w:val="0"/>
          <w:sz w:val="24"/>
          <w:lang w:val="zh-CN"/>
        </w:rPr>
        <w:t>管理要求，保证</w:t>
      </w:r>
      <w:r>
        <w:rPr>
          <w:rFonts w:hint="eastAsia" w:ascii="宋体" w:hAnsi="宋体"/>
          <w:kern w:val="0"/>
          <w:sz w:val="24"/>
          <w:lang w:val="en-US" w:eastAsia="zh-CN"/>
        </w:rPr>
        <w:t>施工</w:t>
      </w:r>
      <w:r>
        <w:rPr>
          <w:rFonts w:hint="eastAsia" w:ascii="宋体" w:hAnsi="宋体"/>
          <w:kern w:val="0"/>
          <w:sz w:val="24"/>
          <w:lang w:val="zh-CN"/>
        </w:rPr>
        <w:t>现场和施工作业点文明施工、设备部件摆放合理，拆卸的零部件或者大型工器具应该按规定摆放在橡胶垫上。</w:t>
      </w:r>
    </w:p>
    <w:p>
      <w:pPr>
        <w:widowControl/>
        <w:adjustRightInd w:val="0"/>
        <w:snapToGrid w:val="0"/>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1</w:t>
      </w:r>
      <w:r>
        <w:rPr>
          <w:rFonts w:hint="eastAsia" w:ascii="宋体" w:hAnsi="宋体"/>
          <w:kern w:val="0"/>
          <w:sz w:val="24"/>
          <w:lang w:val="zh-CN"/>
        </w:rPr>
        <w:t>.5投标人在检修结束前应严格按照</w:t>
      </w:r>
      <w:r>
        <w:rPr>
          <w:rFonts w:hint="eastAsia" w:ascii="宋体" w:hAnsi="宋体"/>
          <w:kern w:val="0"/>
          <w:sz w:val="24"/>
          <w:lang w:val="en-US" w:eastAsia="zh-CN"/>
        </w:rPr>
        <w:t>招标人生产现场</w:t>
      </w:r>
      <w:r>
        <w:rPr>
          <w:rFonts w:hint="eastAsia" w:ascii="宋体" w:hAnsi="宋体"/>
          <w:kern w:val="0"/>
          <w:sz w:val="24"/>
          <w:lang w:val="zh-CN"/>
        </w:rPr>
        <w:t>管理要求恢复现场状态，所有管道、设备标识标牌应完好无缺。如有缺少、破损、污染，投标人必须无偿负责补齐、换新等。</w:t>
      </w:r>
    </w:p>
    <w:p>
      <w:pPr>
        <w:widowControl/>
        <w:adjustRightInd w:val="0"/>
        <w:snapToGrid w:val="0"/>
        <w:spacing w:line="300" w:lineRule="auto"/>
        <w:rPr>
          <w:rFonts w:ascii="宋体" w:hAnsi="宋体"/>
          <w:kern w:val="0"/>
          <w:sz w:val="24"/>
          <w:lang w:val="zh-CN"/>
        </w:rPr>
      </w:pPr>
      <w:r>
        <w:rPr>
          <w:rFonts w:hint="eastAsia" w:ascii="宋体" w:hAnsi="宋体"/>
          <w:kern w:val="0"/>
          <w:sz w:val="24"/>
        </w:rPr>
        <w:t>3</w:t>
      </w:r>
      <w:r>
        <w:rPr>
          <w:rFonts w:hint="eastAsia" w:ascii="宋体" w:hAnsi="宋体"/>
          <w:kern w:val="0"/>
          <w:sz w:val="24"/>
          <w:lang w:val="zh-CN"/>
        </w:rPr>
        <w:t>.2</w:t>
      </w:r>
      <w:r>
        <w:rPr>
          <w:rFonts w:hint="eastAsia" w:ascii="宋体" w:hAnsi="宋体"/>
          <w:kern w:val="0"/>
          <w:sz w:val="24"/>
          <w:lang w:val="en-US" w:eastAsia="zh-CN"/>
        </w:rPr>
        <w:t>2</w:t>
      </w:r>
      <w:r>
        <w:rPr>
          <w:rFonts w:hint="eastAsia" w:ascii="宋体" w:hAnsi="宋体"/>
          <w:kern w:val="0"/>
          <w:sz w:val="24"/>
          <w:lang w:val="zh-CN"/>
        </w:rPr>
        <w:t xml:space="preserve"> 执行招标人现场环保要求。</w:t>
      </w:r>
    </w:p>
    <w:p>
      <w:pPr>
        <w:spacing w:line="300" w:lineRule="auto"/>
        <w:outlineLvl w:val="1"/>
        <w:rPr>
          <w:rFonts w:hint="eastAsia" w:ascii="宋体" w:hAnsi="宋体" w:eastAsia="宋体" w:cs="宋体"/>
          <w:b/>
          <w:sz w:val="24"/>
        </w:rPr>
      </w:pPr>
      <w:bookmarkStart w:id="65" w:name="_Toc25524"/>
      <w:bookmarkStart w:id="66" w:name="_Toc2746"/>
      <w:r>
        <w:rPr>
          <w:rFonts w:hint="eastAsia" w:ascii="宋体" w:hAnsi="宋体" w:eastAsia="宋体" w:cs="宋体"/>
          <w:b/>
          <w:sz w:val="24"/>
        </w:rPr>
        <w:t>4 工具、材料要求</w:t>
      </w:r>
      <w:bookmarkEnd w:id="65"/>
      <w:bookmarkEnd w:id="66"/>
    </w:p>
    <w:p>
      <w:pPr>
        <w:pStyle w:val="34"/>
        <w:numPr>
          <w:ilvl w:val="0"/>
          <w:numId w:val="0"/>
        </w:numPr>
        <w:adjustRightInd w:val="0"/>
        <w:snapToGrid w:val="0"/>
        <w:spacing w:line="300" w:lineRule="auto"/>
        <w:rPr>
          <w:rFonts w:hint="eastAsia" w:ascii="宋体" w:hAnsi="宋体" w:eastAsia="宋体" w:cs="宋体"/>
          <w:sz w:val="24"/>
          <w:szCs w:val="24"/>
          <w:lang w:val="zh-CN"/>
        </w:rPr>
      </w:pPr>
      <w:r>
        <w:rPr>
          <w:rFonts w:hint="eastAsia" w:ascii="宋体" w:hAnsi="宋体" w:eastAsia="宋体" w:cs="宋体"/>
          <w:sz w:val="24"/>
          <w:szCs w:val="24"/>
        </w:rPr>
        <w:t>4</w:t>
      </w:r>
      <w:r>
        <w:rPr>
          <w:rFonts w:hint="eastAsia" w:ascii="宋体" w:hAnsi="宋体" w:eastAsia="宋体" w:cs="宋体"/>
          <w:sz w:val="24"/>
          <w:szCs w:val="24"/>
          <w:lang w:val="zh-CN"/>
        </w:rPr>
        <w:t>.</w:t>
      </w:r>
      <w:r>
        <w:rPr>
          <w:rFonts w:hint="eastAsia" w:ascii="宋体" w:hAnsi="宋体" w:eastAsia="宋体" w:cs="宋体"/>
          <w:sz w:val="24"/>
          <w:szCs w:val="24"/>
        </w:rPr>
        <w:t>1</w:t>
      </w:r>
      <w:r>
        <w:rPr>
          <w:rFonts w:hint="eastAsia" w:ascii="宋体" w:hAnsi="宋体" w:eastAsia="宋体" w:cs="宋体"/>
          <w:sz w:val="24"/>
          <w:szCs w:val="24"/>
          <w:lang w:val="en-US" w:eastAsia="zh-CN"/>
        </w:rPr>
        <w:t>项目实施</w:t>
      </w:r>
      <w:r>
        <w:rPr>
          <w:rFonts w:hint="eastAsia" w:ascii="宋体" w:hAnsi="宋体" w:eastAsia="宋体" w:cs="宋体"/>
          <w:sz w:val="24"/>
          <w:szCs w:val="24"/>
          <w:lang w:val="zh-CN"/>
        </w:rPr>
        <w:t>所需消耗性材料由投标人负责（消耗性材料的定义：除特别申明外，系指设备投入运转后不附着在设备上的材料，如清洗用的汽油、棉纱、砂纸等）。</w:t>
      </w:r>
    </w:p>
    <w:p>
      <w:pPr>
        <w:pStyle w:val="34"/>
        <w:numPr>
          <w:ilvl w:val="0"/>
          <w:numId w:val="0"/>
        </w:numPr>
        <w:adjustRightInd w:val="0"/>
        <w:snapToGrid w:val="0"/>
        <w:spacing w:line="300" w:lineRule="auto"/>
        <w:rPr>
          <w:rFonts w:hint="eastAsia" w:ascii="宋体" w:hAnsi="宋体" w:eastAsia="宋体" w:cs="宋体"/>
          <w:sz w:val="24"/>
          <w:szCs w:val="24"/>
          <w:lang w:val="zh-CN"/>
        </w:rPr>
      </w:pPr>
      <w:r>
        <w:rPr>
          <w:rFonts w:hint="eastAsia" w:ascii="宋体" w:hAnsi="宋体" w:eastAsia="宋体" w:cs="宋体"/>
          <w:sz w:val="24"/>
          <w:szCs w:val="24"/>
        </w:rPr>
        <w:t>4</w:t>
      </w:r>
      <w:r>
        <w:rPr>
          <w:rFonts w:hint="eastAsia" w:ascii="宋体" w:hAnsi="宋体" w:eastAsia="宋体" w:cs="宋体"/>
          <w:sz w:val="24"/>
          <w:szCs w:val="24"/>
          <w:lang w:val="zh-CN"/>
        </w:rPr>
        <w:t>.</w:t>
      </w:r>
      <w:r>
        <w:rPr>
          <w:rFonts w:hint="eastAsia" w:ascii="宋体" w:hAnsi="宋体" w:eastAsia="宋体" w:cs="宋体"/>
          <w:sz w:val="24"/>
          <w:szCs w:val="24"/>
        </w:rPr>
        <w:t>2</w:t>
      </w:r>
      <w:r>
        <w:rPr>
          <w:rFonts w:hint="eastAsia" w:ascii="宋体" w:hAnsi="宋体" w:eastAsia="宋体" w:cs="宋体"/>
          <w:sz w:val="24"/>
          <w:szCs w:val="24"/>
          <w:lang w:val="en-US" w:eastAsia="zh-CN"/>
        </w:rPr>
        <w:t>项目实施</w:t>
      </w:r>
      <w:r>
        <w:rPr>
          <w:rFonts w:hint="eastAsia" w:ascii="宋体" w:hAnsi="宋体" w:eastAsia="宋体" w:cs="宋体"/>
          <w:sz w:val="24"/>
          <w:szCs w:val="24"/>
          <w:lang w:val="zh-CN"/>
        </w:rPr>
        <w:t>所需的工器具由投标人自理。</w:t>
      </w:r>
      <w:r>
        <w:rPr>
          <w:rFonts w:hint="eastAsia" w:ascii="宋体" w:hAnsi="宋体" w:eastAsia="宋体" w:cs="宋体"/>
          <w:sz w:val="24"/>
          <w:szCs w:val="24"/>
        </w:rPr>
        <w:t>如需用到</w:t>
      </w:r>
      <w:r>
        <w:rPr>
          <w:rFonts w:hint="eastAsia" w:ascii="宋体" w:hAnsi="宋体" w:eastAsia="宋体" w:cs="宋体"/>
          <w:sz w:val="24"/>
          <w:szCs w:val="24"/>
          <w:lang w:val="zh-CN"/>
        </w:rPr>
        <w:t>招标人提供的专用工器具，机具的安装和拆解都属于</w:t>
      </w:r>
      <w:r>
        <w:rPr>
          <w:rFonts w:hint="eastAsia" w:ascii="宋体" w:hAnsi="宋体" w:eastAsia="宋体" w:cs="宋体"/>
          <w:sz w:val="24"/>
          <w:szCs w:val="24"/>
          <w:lang w:val="en-US" w:eastAsia="zh-CN"/>
        </w:rPr>
        <w:t>项目</w:t>
      </w:r>
      <w:r>
        <w:rPr>
          <w:rFonts w:hint="eastAsia" w:ascii="宋体" w:hAnsi="宋体" w:eastAsia="宋体" w:cs="宋体"/>
          <w:sz w:val="24"/>
          <w:szCs w:val="24"/>
          <w:lang w:val="zh-CN"/>
        </w:rPr>
        <w:t>投标人的工作范畴，使用后的工器具、机具（含使用招标人提供材料加工的专用工具）验收后包装好交还给招标人相关部门。</w:t>
      </w:r>
    </w:p>
    <w:p>
      <w:pPr>
        <w:pStyle w:val="34"/>
        <w:numPr>
          <w:ilvl w:val="0"/>
          <w:numId w:val="0"/>
        </w:numPr>
        <w:adjustRightInd w:val="0"/>
        <w:snapToGrid w:val="0"/>
        <w:spacing w:line="300" w:lineRule="auto"/>
        <w:rPr>
          <w:rFonts w:hint="eastAsia" w:ascii="宋体" w:hAnsi="宋体" w:eastAsia="宋体" w:cs="宋体"/>
          <w:sz w:val="24"/>
          <w:szCs w:val="24"/>
          <w:lang w:val="zh-CN"/>
        </w:rPr>
      </w:pPr>
      <w:r>
        <w:rPr>
          <w:rFonts w:hint="eastAsia" w:ascii="宋体" w:hAnsi="宋体" w:eastAsia="宋体" w:cs="宋体"/>
          <w:sz w:val="24"/>
          <w:szCs w:val="24"/>
        </w:rPr>
        <w:t>4</w:t>
      </w:r>
      <w:r>
        <w:rPr>
          <w:rFonts w:hint="eastAsia" w:ascii="宋体" w:hAnsi="宋体" w:eastAsia="宋体" w:cs="宋体"/>
          <w:sz w:val="24"/>
          <w:szCs w:val="24"/>
          <w:lang w:val="zh-CN"/>
        </w:rPr>
        <w:t>.</w:t>
      </w:r>
      <w:r>
        <w:rPr>
          <w:rFonts w:hint="eastAsia" w:ascii="宋体" w:hAnsi="宋体" w:eastAsia="宋体" w:cs="宋体"/>
          <w:sz w:val="24"/>
          <w:szCs w:val="24"/>
        </w:rPr>
        <w:t>3</w:t>
      </w:r>
      <w:r>
        <w:rPr>
          <w:rFonts w:hint="eastAsia" w:ascii="宋体" w:hAnsi="宋体" w:eastAsia="宋体" w:cs="宋体"/>
          <w:sz w:val="24"/>
          <w:szCs w:val="24"/>
          <w:lang w:val="zh-CN"/>
        </w:rPr>
        <w:t>检修现场禁用石棉制品等国家禁用材料。</w:t>
      </w:r>
    </w:p>
    <w:p>
      <w:pPr>
        <w:spacing w:line="300" w:lineRule="auto"/>
        <w:outlineLvl w:val="1"/>
        <w:rPr>
          <w:b/>
          <w:sz w:val="24"/>
        </w:rPr>
      </w:pPr>
      <w:bookmarkStart w:id="67" w:name="_Toc7869"/>
      <w:bookmarkStart w:id="68" w:name="_Toc22847"/>
      <w:r>
        <w:rPr>
          <w:rFonts w:hint="eastAsia"/>
          <w:b/>
          <w:sz w:val="24"/>
        </w:rPr>
        <w:t>5 项目安全目标、双方安全责任、安全生产费用、安全教育培训、日常安全管理、应急管理、事故事件、考核评价等管理要求</w:t>
      </w:r>
      <w:bookmarkEnd w:id="67"/>
      <w:bookmarkEnd w:id="68"/>
    </w:p>
    <w:p>
      <w:pPr>
        <w:rPr>
          <w:rFonts w:ascii="宋体" w:hAnsi="宋体" w:cs="宋体"/>
          <w:sz w:val="24"/>
          <w:highlight w:val="yellow"/>
        </w:rPr>
      </w:pP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.1本项目的安全目标：</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.1.1不发生员工轻微伤及以上人身事故，不发生职业病危害事故（事件）；</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.1.2不发生一般及以上电力设备事故；不发生直接经济损失5万元以上设备、设施损坏事故；</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.1.3不发生检修质量原因导致的直接经济损失5万元以上设备设施损坏事件，不发生检修质量原因导致的机组延期复役；</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 xml:space="preserve">.1.4不发生造成人员伤亡、主要辅助设备停运或损坏的误碰、误动、误关、误开等各类误操作事件； </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.1.5不发生火灾事故、不发生造成直接财产损失3000元以上的或有社会影响的火险；</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.1.6不发生参修人员新增职业病病例；</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.1.7不发生一般以上环境污染事件，不发生造成社会影响的环保事件；</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.1.8不发生二类障碍及以上事故（按萧山电厂《事故事件管理》定义）；</w:t>
      </w:r>
    </w:p>
    <w:p>
      <w:pPr>
        <w:adjustRightInd w:val="0"/>
        <w:snapToGrid w:val="0"/>
        <w:spacing w:line="300" w:lineRule="auto"/>
        <w:rPr>
          <w:rFonts w:ascii="宋体" w:hAnsi="宋体"/>
          <w:kern w:val="0"/>
          <w:sz w:val="24"/>
          <w:lang w:val="zh-CN"/>
        </w:rPr>
      </w:pPr>
      <w:r>
        <w:rPr>
          <w:rFonts w:hint="eastAsia" w:ascii="宋体" w:hAnsi="宋体"/>
          <w:kern w:val="0"/>
          <w:sz w:val="24"/>
        </w:rPr>
        <w:t>5</w:t>
      </w:r>
      <w:r>
        <w:rPr>
          <w:rFonts w:hint="eastAsia" w:ascii="宋体" w:hAnsi="宋体"/>
          <w:kern w:val="0"/>
          <w:sz w:val="24"/>
          <w:lang w:val="zh-CN"/>
        </w:rPr>
        <w:t>.1.9不发生各类治安案件；</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.1.10不发生有责任的造成较大社会影响的其他安全生产事故（事件）、群体事件；</w:t>
      </w:r>
    </w:p>
    <w:p>
      <w:pPr>
        <w:spacing w:line="300" w:lineRule="auto"/>
        <w:rPr>
          <w:rFonts w:ascii="宋体" w:hAnsi="宋体"/>
          <w:kern w:val="0"/>
          <w:sz w:val="24"/>
          <w:lang w:val="zh-CN"/>
        </w:rPr>
      </w:pPr>
      <w:r>
        <w:rPr>
          <w:rFonts w:hint="eastAsia" w:ascii="宋体" w:hAnsi="宋体"/>
          <w:kern w:val="0"/>
          <w:sz w:val="24"/>
        </w:rPr>
        <w:t>5</w:t>
      </w:r>
      <w:r>
        <w:rPr>
          <w:rFonts w:hint="eastAsia" w:ascii="宋体" w:hAnsi="宋体"/>
          <w:kern w:val="0"/>
          <w:sz w:val="24"/>
          <w:lang w:val="zh-CN"/>
        </w:rPr>
        <w:t>.1.11工作票合格率99.5%；</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.2 在项目实施前，</w:t>
      </w:r>
      <w:r>
        <w:rPr>
          <w:rFonts w:hint="eastAsia" w:ascii="宋体" w:hAnsi="宋体" w:eastAsia="宋体"/>
          <w:sz w:val="24"/>
          <w:szCs w:val="24"/>
        </w:rPr>
        <w:t>招、投标</w:t>
      </w:r>
      <w:r>
        <w:rPr>
          <w:rFonts w:hint="eastAsia" w:ascii="宋体" w:hAnsi="宋体" w:eastAsia="宋体"/>
          <w:sz w:val="24"/>
          <w:szCs w:val="24"/>
          <w:lang w:val="zh-CN"/>
        </w:rPr>
        <w:t>双方必须签订安全生产协议或责任书，指定项目管理人员，明确双方职责。</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.3安全生产费用投入包括施工人员劳动保护用品、安全工器具的购买及检验、员工的培训、安全工器具等，费用的投入不少于合同额的2.5%。</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.4投标人员工安全教育培训应严格执行三个</w:t>
      </w:r>
      <w:r>
        <w:rPr>
          <w:rFonts w:ascii="宋体" w:hAnsi="宋体" w:eastAsia="宋体"/>
          <w:sz w:val="24"/>
          <w:szCs w:val="24"/>
          <w:lang w:val="zh-CN"/>
        </w:rPr>
        <w:t>100%</w:t>
      </w:r>
      <w:r>
        <w:rPr>
          <w:rFonts w:hint="eastAsia" w:ascii="宋体" w:hAnsi="宋体" w:eastAsia="宋体"/>
          <w:sz w:val="24"/>
          <w:szCs w:val="24"/>
          <w:lang w:val="zh-CN"/>
        </w:rPr>
        <w:t>的原则，即：</w:t>
      </w:r>
      <w:r>
        <w:rPr>
          <w:rFonts w:ascii="宋体" w:hAnsi="宋体" w:eastAsia="宋体"/>
          <w:sz w:val="24"/>
          <w:szCs w:val="24"/>
          <w:lang w:val="zh-CN"/>
        </w:rPr>
        <w:t>100%</w:t>
      </w:r>
      <w:r>
        <w:rPr>
          <w:rFonts w:hint="eastAsia" w:ascii="宋体" w:hAnsi="宋体" w:eastAsia="宋体"/>
          <w:sz w:val="24"/>
          <w:szCs w:val="24"/>
          <w:lang w:val="zh-CN"/>
        </w:rPr>
        <w:t>培训、</w:t>
      </w:r>
      <w:r>
        <w:rPr>
          <w:rFonts w:ascii="宋体" w:hAnsi="宋体" w:eastAsia="宋体"/>
          <w:sz w:val="24"/>
          <w:szCs w:val="24"/>
          <w:lang w:val="zh-CN"/>
        </w:rPr>
        <w:t>100%</w:t>
      </w:r>
      <w:r>
        <w:rPr>
          <w:rFonts w:hint="eastAsia" w:ascii="宋体" w:hAnsi="宋体" w:eastAsia="宋体"/>
          <w:sz w:val="24"/>
          <w:szCs w:val="24"/>
          <w:lang w:val="zh-CN"/>
        </w:rPr>
        <w:t>考试、</w:t>
      </w:r>
      <w:r>
        <w:rPr>
          <w:rFonts w:ascii="宋体" w:hAnsi="宋体" w:eastAsia="宋体"/>
          <w:sz w:val="24"/>
          <w:szCs w:val="24"/>
          <w:lang w:val="zh-CN"/>
        </w:rPr>
        <w:t>100%</w:t>
      </w:r>
      <w:r>
        <w:rPr>
          <w:rFonts w:hint="eastAsia" w:ascii="宋体" w:hAnsi="宋体" w:eastAsia="宋体"/>
          <w:sz w:val="24"/>
          <w:szCs w:val="24"/>
          <w:lang w:val="zh-CN"/>
        </w:rPr>
        <w:t>合格，方可允许进场。</w:t>
      </w:r>
      <w:r>
        <w:rPr>
          <w:rFonts w:ascii="宋体" w:hAnsi="宋体" w:eastAsia="宋体"/>
          <w:sz w:val="24"/>
          <w:szCs w:val="24"/>
          <w:lang w:val="zh-CN"/>
        </w:rPr>
        <w:t xml:space="preserve"> </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.4.1投标人应先向招标人提供本单位出具的员工安全教育培训合格证明材料。</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.4.2投标人员工接受招标人入厂安全教育，考试合格通过后，在办理入厂手续后方可施工作业。</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.5日常安全管理：</w:t>
      </w:r>
    </w:p>
    <w:p>
      <w:pPr>
        <w:pStyle w:val="30"/>
        <w:adjustRightInd/>
        <w:spacing w:line="300" w:lineRule="auto"/>
        <w:ind w:left="0"/>
        <w:jc w:val="left"/>
        <w:textAlignment w:val="auto"/>
        <w:rPr>
          <w:rFonts w:ascii="宋体" w:hAnsi="宋体"/>
          <w:sz w:val="24"/>
          <w:szCs w:val="24"/>
          <w:lang w:val="zh-CN"/>
        </w:rPr>
      </w:pPr>
      <w:r>
        <w:rPr>
          <w:rFonts w:hint="eastAsia" w:ascii="宋体" w:hAnsi="宋体"/>
          <w:sz w:val="24"/>
          <w:szCs w:val="24"/>
        </w:rPr>
        <w:t>5</w:t>
      </w:r>
      <w:r>
        <w:rPr>
          <w:rFonts w:hint="eastAsia" w:ascii="宋体" w:hAnsi="宋体"/>
          <w:sz w:val="24"/>
          <w:szCs w:val="24"/>
          <w:lang w:val="zh-CN"/>
        </w:rPr>
        <w:t>.5.1投标人需定期参加招标人安全例会、</w:t>
      </w:r>
      <w:r>
        <w:rPr>
          <w:rFonts w:hint="eastAsia" w:ascii="宋体" w:hAnsi="宋体"/>
          <w:sz w:val="24"/>
          <w:szCs w:val="24"/>
        </w:rPr>
        <w:t>协调会、</w:t>
      </w:r>
      <w:r>
        <w:rPr>
          <w:rFonts w:hint="eastAsia" w:ascii="宋体" w:hAnsi="宋体"/>
          <w:sz w:val="24"/>
          <w:szCs w:val="24"/>
          <w:lang w:val="zh-CN"/>
        </w:rPr>
        <w:t>专业例会等，</w:t>
      </w:r>
      <w:r>
        <w:rPr>
          <w:rFonts w:hint="eastAsia" w:ascii="宋体" w:hAnsi="宋体"/>
          <w:sz w:val="24"/>
          <w:szCs w:val="24"/>
        </w:rPr>
        <w:t>投标人</w:t>
      </w:r>
      <w:r>
        <w:rPr>
          <w:rFonts w:hint="eastAsia" w:ascii="宋体" w:hAnsi="宋体"/>
          <w:sz w:val="24"/>
          <w:szCs w:val="24"/>
          <w:lang w:val="zh-CN"/>
        </w:rPr>
        <w:t>班组按要求召开班前会、</w:t>
      </w:r>
      <w:r>
        <w:rPr>
          <w:rFonts w:hint="eastAsia" w:ascii="宋体" w:hAnsi="宋体"/>
          <w:sz w:val="24"/>
          <w:szCs w:val="24"/>
        </w:rPr>
        <w:t>工前会、</w:t>
      </w:r>
      <w:r>
        <w:rPr>
          <w:rFonts w:hint="eastAsia" w:ascii="宋体" w:hAnsi="宋体"/>
          <w:sz w:val="24"/>
          <w:szCs w:val="24"/>
          <w:lang w:val="zh-CN"/>
        </w:rPr>
        <w:t>安全活动等，班前会、</w:t>
      </w:r>
      <w:r>
        <w:rPr>
          <w:rFonts w:hint="eastAsia" w:ascii="宋体" w:hAnsi="宋体"/>
          <w:sz w:val="24"/>
          <w:szCs w:val="24"/>
        </w:rPr>
        <w:t>工前会</w:t>
      </w:r>
      <w:r>
        <w:rPr>
          <w:rFonts w:hint="eastAsia" w:ascii="宋体" w:hAnsi="宋体"/>
          <w:sz w:val="24"/>
          <w:szCs w:val="24"/>
          <w:lang w:val="zh-CN"/>
        </w:rPr>
        <w:t>的召开必须符合招标人的相关规定（视频记录）。</w:t>
      </w:r>
    </w:p>
    <w:p>
      <w:pPr>
        <w:pStyle w:val="30"/>
        <w:adjustRightInd/>
        <w:spacing w:line="300" w:lineRule="auto"/>
        <w:ind w:left="0"/>
        <w:jc w:val="left"/>
        <w:textAlignment w:val="auto"/>
        <w:rPr>
          <w:rFonts w:ascii="宋体" w:hAnsi="宋体"/>
          <w:sz w:val="24"/>
          <w:szCs w:val="24"/>
          <w:lang w:val="zh-CN"/>
        </w:rPr>
      </w:pPr>
      <w:r>
        <w:rPr>
          <w:rFonts w:hint="eastAsia" w:ascii="宋体" w:hAnsi="宋体"/>
          <w:sz w:val="24"/>
          <w:szCs w:val="24"/>
        </w:rPr>
        <w:t>5</w:t>
      </w:r>
      <w:r>
        <w:rPr>
          <w:rFonts w:hint="eastAsia" w:ascii="宋体" w:hAnsi="宋体"/>
          <w:sz w:val="24"/>
          <w:szCs w:val="24"/>
          <w:lang w:val="zh-CN"/>
        </w:rPr>
        <w:t>.5.2投标人应定期开展承包项目安全生产自查和隐患排查治理工作，并接受招标人的监督检查。</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.6应急管理要求：</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.6.1投标人纳入招标人应急管理体系，招标人发生突发事件后，</w:t>
      </w:r>
      <w:r>
        <w:rPr>
          <w:rFonts w:hint="eastAsia" w:ascii="宋体" w:hAnsi="宋体" w:eastAsia="宋体"/>
          <w:sz w:val="24"/>
          <w:szCs w:val="24"/>
        </w:rPr>
        <w:t>投标人</w:t>
      </w:r>
      <w:r>
        <w:rPr>
          <w:rFonts w:hint="eastAsia" w:ascii="宋体" w:hAnsi="宋体" w:eastAsia="宋体"/>
          <w:sz w:val="24"/>
          <w:szCs w:val="24"/>
          <w:lang w:val="zh-CN"/>
        </w:rPr>
        <w:t>、招标人联动开展救援工作，总体按招标人应急预案体系执行。</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.6.2投标人应当根据承包项目潜在事故风险，制定与招标人应急体系相衔接的应急预案、现场处置方案，并定期组织演练。应急预案和处置方案报招标人项目主管部门审核、安全监督管理部门备案。</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.6.3投标人应当按应急处置需求配备应急救援设备、设施、工具、器材，并定期检查维护。</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.6.4发包项目发生安全事故/事件，投标人应立即向招标人报告。招标人依据有关规定报告事故/事件信息，组织开展事故/事件调查，对事故责任单位和责任人进行责任追究。</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.6.5贯彻“谁施工、谁负责安全”的管理原则。</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.6.6投标人法定代表人（或委托代理人）是本工程的安全工作的第一责任人，对本工程工作期间所有施工项目的实施过程中涉及的安全负责，以及施工现场、施工过程中的安全负责。</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6.7对于重大高危风险的施工前必须由投标人编制符合现场实际施工的《安全技术施工方案》、《作业指导书》，并完成内部审批后，报送招标人审核后方可进行，招标人审核不替代投标人的安全责任。投标人需对施工</w:t>
      </w:r>
      <w:r>
        <w:rPr>
          <w:rFonts w:hint="eastAsia" w:ascii="宋体" w:hAnsi="宋体" w:eastAsia="宋体"/>
          <w:sz w:val="24"/>
          <w:szCs w:val="24"/>
        </w:rPr>
        <w:t>过程</w:t>
      </w:r>
      <w:r>
        <w:rPr>
          <w:rFonts w:hint="eastAsia" w:ascii="宋体" w:hAnsi="宋体" w:eastAsia="宋体"/>
          <w:sz w:val="24"/>
          <w:szCs w:val="24"/>
          <w:lang w:val="zh-CN"/>
        </w:rPr>
        <w:t>安全风险进行充分的识别，并做好相关的安全防范措施。</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6.8投标人对派遣的工作人员，以及提供的工程车辆、施工机械的安全负责，并保证所派遣的工作人员具有本工程内相关工作的安全知识和能力。投标人参加施工的特种作业人员必须具备政府主管部门颁发的有效证书或证明，提交招标人审核、备案，</w:t>
      </w:r>
      <w:r>
        <w:rPr>
          <w:rFonts w:hint="eastAsia" w:ascii="宋体" w:hAnsi="宋体" w:eastAsia="宋体"/>
          <w:sz w:val="24"/>
          <w:szCs w:val="24"/>
        </w:rPr>
        <w:t>并按浙江省应急管理部门的相关要求进行扫码作业</w:t>
      </w:r>
      <w:r>
        <w:rPr>
          <w:rFonts w:hint="eastAsia" w:ascii="宋体" w:hAnsi="宋体" w:eastAsia="宋体"/>
          <w:sz w:val="24"/>
          <w:szCs w:val="24"/>
          <w:lang w:val="zh-CN"/>
        </w:rPr>
        <w:t>。</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6.9投标人应认真贯彻国家和地方劳动保护、安全生产主管部门颁发的有关安全生产的方针、政策，严格执行有关劳动保护法规、法令、条例、电业安全工作规程、安全生产工作规定及电力建设安全施工管理规定。</w:t>
      </w:r>
    </w:p>
    <w:p>
      <w:pPr>
        <w:pStyle w:val="32"/>
        <w:numPr>
          <w:ilvl w:val="0"/>
          <w:numId w:val="0"/>
        </w:numPr>
        <w:adjustRightInd w:val="0"/>
        <w:snapToGrid w:val="0"/>
        <w:spacing w:beforeLines="0" w:afterLines="0" w:line="300" w:lineRule="auto"/>
        <w:rPr>
          <w:rFonts w:ascii="宋体" w:hAnsi="宋体" w:eastAsia="宋体"/>
          <w:sz w:val="24"/>
          <w:szCs w:val="24"/>
        </w:rPr>
      </w:pPr>
      <w:r>
        <w:rPr>
          <w:rFonts w:hint="eastAsia" w:ascii="宋体" w:hAnsi="宋体" w:eastAsia="宋体"/>
          <w:sz w:val="24"/>
          <w:szCs w:val="24"/>
        </w:rPr>
        <w:t>5</w:t>
      </w:r>
      <w:r>
        <w:rPr>
          <w:rFonts w:hint="eastAsia" w:ascii="宋体" w:hAnsi="宋体" w:eastAsia="宋体"/>
          <w:sz w:val="24"/>
          <w:szCs w:val="24"/>
          <w:lang w:val="zh-CN"/>
        </w:rPr>
        <w:t>.6.10投标人应有健全的安全管理组织体系，应有安全管理制度，包括各工种的安全操作规程、特种作业人员的审证考核制度、各级安全生产岗位责任制和定期安</w:t>
      </w:r>
      <w:r>
        <w:rPr>
          <w:rFonts w:hint="eastAsia" w:ascii="宋体" w:hAnsi="宋体" w:eastAsia="宋体"/>
          <w:sz w:val="24"/>
          <w:szCs w:val="24"/>
        </w:rPr>
        <w:t>全检查。</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6.11招标人负责对投标人进行安全生产进场教育，指明施工区域和相关的安全要求及规定。招标人有权监督、抽查投标人安全措施、监督安全责任落实情况并根据生产和安全要求，招标人有权对投标人违章作业或危及设备的施工提出警告、考核、停止施工等。</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6.12投标人的工作人员必须严格遵守招标人的管理要求，严格按安全规程文明施工，服从招标人生产调度，接受招标人文明生产考核。投标人必须配备有专职安全员。针对有可能发生火灾、爆炸、触电、高空坠落、中毒、窒息、机械伤害、烧烫伤等危险或引起严重设备事故的施工，投标人应事先向招标人详细了解情况，并制定施工安全技术措施，经招标人确认后实施。针对高空作业、交叉、动火等作业，特别是带电设备区域作业，必须制定并落实针对性的安全防范保护措施，确保人身、设备、施工机械的安全。投标人还应落实好保证消防安全的措施，施工时注意留出安全消防通道，不得妨碍交通。投标人作业人员在作业区域内必须遵守招标人安全管理的有关规定和制度，佩好岗位证，戴好安全帽等个人安全器具，不得进入与作业无关的区域，并随时接受招标人项目管理部门的工作指导和安监人员现场的安全监督。</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.6.13投标人必须严格执行工作票制度。有关工作票的办理按照招标人《工作票管理标准》执行</w:t>
      </w:r>
      <w:r>
        <w:rPr>
          <w:rFonts w:ascii="宋体" w:hAnsi="宋体" w:eastAsia="宋体"/>
          <w:sz w:val="24"/>
          <w:szCs w:val="24"/>
          <w:lang w:val="zh-CN"/>
        </w:rPr>
        <w:t>,</w:t>
      </w:r>
      <w:r>
        <w:rPr>
          <w:rFonts w:hint="eastAsia" w:ascii="宋体" w:hAnsi="宋体" w:eastAsia="宋体"/>
          <w:sz w:val="24"/>
          <w:szCs w:val="24"/>
          <w:lang w:val="zh-CN"/>
        </w:rPr>
        <w:t>严禁无票作业。</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.6.14由于投标人人员违反安全规程、违章作业和违反招标人管理要求造成招标人设施损坏，或人员的伤亡事故，则由投标人承担全部责任并负责处理。</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5</w:t>
      </w:r>
      <w:r>
        <w:rPr>
          <w:rFonts w:hint="eastAsia" w:ascii="宋体" w:hAnsi="宋体" w:eastAsia="宋体"/>
          <w:sz w:val="24"/>
          <w:szCs w:val="24"/>
          <w:lang w:val="zh-CN"/>
        </w:rPr>
        <w:t>.7 投标时投标人需提供安全目标及保障措施，</w:t>
      </w:r>
      <w:r>
        <w:rPr>
          <w:rFonts w:hint="eastAsia" w:ascii="宋体" w:hAnsi="宋体" w:eastAsia="宋体"/>
          <w:sz w:val="24"/>
          <w:szCs w:val="24"/>
        </w:rPr>
        <w:t>安全目标要求</w:t>
      </w:r>
      <w:r>
        <w:rPr>
          <w:rFonts w:hint="eastAsia" w:ascii="宋体" w:hAnsi="宋体" w:eastAsia="宋体"/>
          <w:sz w:val="24"/>
          <w:szCs w:val="24"/>
          <w:lang w:val="zh-CN"/>
        </w:rPr>
        <w:t>符合</w:t>
      </w:r>
      <w:r>
        <w:rPr>
          <w:rFonts w:hint="eastAsia" w:ascii="宋体" w:hAnsi="宋体" w:eastAsia="宋体"/>
          <w:sz w:val="24"/>
          <w:szCs w:val="24"/>
        </w:rPr>
        <w:t>本项目实际</w:t>
      </w:r>
      <w:r>
        <w:rPr>
          <w:rFonts w:hint="eastAsia" w:ascii="宋体" w:hAnsi="宋体" w:eastAsia="宋体"/>
          <w:sz w:val="24"/>
          <w:szCs w:val="24"/>
          <w:lang w:val="zh-CN"/>
        </w:rPr>
        <w:t>，保障措施</w:t>
      </w:r>
      <w:r>
        <w:rPr>
          <w:rFonts w:hint="eastAsia" w:ascii="宋体" w:hAnsi="宋体" w:eastAsia="宋体"/>
          <w:sz w:val="24"/>
          <w:szCs w:val="24"/>
        </w:rPr>
        <w:t>要求</w:t>
      </w:r>
      <w:r>
        <w:rPr>
          <w:rFonts w:hint="eastAsia" w:ascii="宋体" w:hAnsi="宋体" w:eastAsia="宋体"/>
          <w:sz w:val="24"/>
          <w:szCs w:val="24"/>
          <w:lang w:val="zh-CN"/>
        </w:rPr>
        <w:t>详</w:t>
      </w:r>
      <w:r>
        <w:rPr>
          <w:rFonts w:hint="eastAsia" w:ascii="宋体" w:hAnsi="宋体" w:eastAsia="宋体"/>
          <w:sz w:val="24"/>
          <w:szCs w:val="24"/>
        </w:rPr>
        <w:t>实</w:t>
      </w:r>
      <w:r>
        <w:rPr>
          <w:rFonts w:hint="eastAsia" w:ascii="宋体" w:hAnsi="宋体" w:eastAsia="宋体"/>
          <w:sz w:val="24"/>
          <w:szCs w:val="24"/>
          <w:lang w:val="zh-CN"/>
        </w:rPr>
        <w:t>，针对性强，</w:t>
      </w:r>
      <w:r>
        <w:rPr>
          <w:rFonts w:hint="eastAsia" w:ascii="宋体" w:hAnsi="宋体" w:eastAsia="宋体"/>
          <w:sz w:val="24"/>
          <w:szCs w:val="24"/>
        </w:rPr>
        <w:t>具有可操作性</w:t>
      </w:r>
      <w:r>
        <w:rPr>
          <w:rFonts w:hint="eastAsia" w:ascii="宋体" w:hAnsi="宋体" w:eastAsia="宋体"/>
          <w:sz w:val="24"/>
          <w:szCs w:val="24"/>
          <w:lang w:val="zh-CN"/>
        </w:rPr>
        <w:t>；如果中标，这些文件须经招标人审核后实施。</w:t>
      </w:r>
    </w:p>
    <w:p>
      <w:pPr>
        <w:spacing w:line="300" w:lineRule="auto"/>
        <w:outlineLvl w:val="1"/>
        <w:rPr>
          <w:b/>
          <w:sz w:val="24"/>
        </w:rPr>
      </w:pPr>
      <w:bookmarkStart w:id="69" w:name="_Toc9013"/>
      <w:bookmarkStart w:id="70" w:name="_Toc12076"/>
      <w:r>
        <w:rPr>
          <w:rFonts w:hint="eastAsia"/>
          <w:b/>
          <w:sz w:val="24"/>
        </w:rPr>
        <w:t>6  本项目安全管理机构与人员配备标准，项目管理人员资质能力，从业人员资质及年龄，人员体检合格证明，保险缴纳，作业人员安全保障措施等要求</w:t>
      </w:r>
      <w:bookmarkEnd w:id="69"/>
      <w:bookmarkEnd w:id="70"/>
    </w:p>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.1投标人必须配备足够的人员</w:t>
      </w:r>
      <w:r>
        <w:rPr>
          <w:rFonts w:hint="eastAsia" w:ascii="宋体" w:hAnsi="宋体" w:eastAsia="宋体"/>
          <w:sz w:val="24"/>
          <w:szCs w:val="24"/>
        </w:rPr>
        <w:t>以</w:t>
      </w:r>
      <w:r>
        <w:rPr>
          <w:rFonts w:hint="eastAsia" w:ascii="宋体" w:hAnsi="宋体" w:eastAsia="宋体"/>
          <w:sz w:val="24"/>
          <w:szCs w:val="24"/>
          <w:lang w:val="zh-CN"/>
        </w:rPr>
        <w:t>满足实际工作需要，并指定项目经理一名、</w:t>
      </w:r>
      <w:r>
        <w:rPr>
          <w:rFonts w:hint="eastAsia" w:ascii="宋体" w:hAnsi="宋体" w:eastAsia="宋体"/>
          <w:sz w:val="24"/>
          <w:szCs w:val="24"/>
        </w:rPr>
        <w:t>专职</w:t>
      </w:r>
      <w:r>
        <w:rPr>
          <w:rFonts w:hint="eastAsia" w:ascii="宋体" w:hAnsi="宋体" w:eastAsia="宋体"/>
          <w:sz w:val="24"/>
          <w:szCs w:val="24"/>
          <w:lang w:val="zh-CN"/>
        </w:rPr>
        <w:t>安全员一名、技术负责人一名，人员的变动须经</w:t>
      </w:r>
      <w:r>
        <w:rPr>
          <w:rFonts w:hint="eastAsia" w:ascii="宋体" w:hAnsi="宋体" w:eastAsia="宋体"/>
          <w:sz w:val="24"/>
          <w:szCs w:val="24"/>
          <w:lang w:eastAsia="zh-CN"/>
        </w:rPr>
        <w:t>招标人</w:t>
      </w:r>
      <w:r>
        <w:rPr>
          <w:rFonts w:hint="eastAsia" w:ascii="宋体" w:hAnsi="宋体" w:eastAsia="宋体"/>
          <w:sz w:val="24"/>
          <w:szCs w:val="24"/>
          <w:lang w:val="zh-CN"/>
        </w:rPr>
        <w:t>同意。</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.2投标人需成立班组，必须指定1名班组负责人，以便及时安排工作。</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.3投标人本项目施工及管理人员年龄必须18周岁以上，男性不得大于60周岁，女性不得大于50周岁。</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.4投标人施工人员必须经过</w:t>
      </w:r>
      <w:r>
        <w:rPr>
          <w:rFonts w:hint="eastAsia" w:ascii="宋体" w:hAnsi="宋体" w:eastAsia="宋体"/>
          <w:sz w:val="24"/>
          <w:szCs w:val="24"/>
        </w:rPr>
        <w:t>县</w:t>
      </w:r>
      <w:r>
        <w:rPr>
          <w:rFonts w:hint="eastAsia" w:ascii="宋体" w:hAnsi="宋体" w:eastAsia="宋体"/>
          <w:sz w:val="24"/>
          <w:szCs w:val="24"/>
          <w:lang w:val="zh-CN"/>
        </w:rPr>
        <w:t>级及以上非盈利性医院的体检，并出具体检报告，确认无危及安全生产的疾病。</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.5投标人必须为施工人员购买工伤保险或工程人身意外保险，每人保险额度总计不少于一百万。</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.6所有从事特种作业的作业人员，必须持证上岗。</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.7投标人施工人员必须统一着装（服装上须有明显的单位所属标识），配备统一的安全帽上岗。</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.8投标人应当建立本项目员工安全管理档案，报招标人安健环部备案，并实行动态管理。档案包括员工身份证和资格证书复印件、三级安全教育登记卡、体检合格报告、安全教育培训考试成绩、违章考核记录等。</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6</w:t>
      </w:r>
      <w:r>
        <w:rPr>
          <w:rFonts w:hint="eastAsia" w:ascii="宋体" w:hAnsi="宋体" w:eastAsia="宋体"/>
          <w:sz w:val="24"/>
          <w:szCs w:val="24"/>
          <w:lang w:val="zh-CN"/>
        </w:rPr>
        <w:t>.9投标时投标人需提供详细的</w:t>
      </w:r>
      <w:r>
        <w:rPr>
          <w:rFonts w:hint="eastAsia" w:ascii="宋体" w:hAnsi="宋体" w:eastAsia="宋体"/>
          <w:sz w:val="24"/>
          <w:szCs w:val="24"/>
        </w:rPr>
        <w:t>本项目</w:t>
      </w:r>
      <w:r>
        <w:rPr>
          <w:rFonts w:hint="eastAsia" w:ascii="宋体" w:hAnsi="宋体" w:eastAsia="宋体"/>
          <w:sz w:val="24"/>
          <w:szCs w:val="24"/>
          <w:lang w:val="zh-CN"/>
        </w:rPr>
        <w:t>组织机构设置，</w:t>
      </w:r>
      <w:r>
        <w:rPr>
          <w:rFonts w:hint="eastAsia" w:ascii="宋体" w:hAnsi="宋体" w:eastAsia="宋体"/>
          <w:sz w:val="24"/>
          <w:szCs w:val="24"/>
        </w:rPr>
        <w:t>要求组织</w:t>
      </w:r>
      <w:r>
        <w:rPr>
          <w:rFonts w:hint="eastAsia" w:ascii="宋体" w:hAnsi="宋体" w:eastAsia="宋体"/>
          <w:sz w:val="24"/>
          <w:szCs w:val="24"/>
          <w:lang w:val="zh-CN"/>
        </w:rPr>
        <w:t>机构职能划分清晰，各专业人员配置合理、充分，分工明细，</w:t>
      </w:r>
      <w:r>
        <w:rPr>
          <w:rFonts w:hint="eastAsia" w:ascii="宋体" w:hAnsi="宋体" w:eastAsia="宋体"/>
          <w:sz w:val="24"/>
          <w:szCs w:val="24"/>
        </w:rPr>
        <w:t>并注明特种作业人员的配置（工种、人数）</w:t>
      </w:r>
      <w:r>
        <w:rPr>
          <w:rFonts w:hint="eastAsia" w:ascii="宋体" w:hAnsi="宋体" w:eastAsia="宋体"/>
          <w:sz w:val="24"/>
          <w:szCs w:val="24"/>
          <w:lang w:val="zh-CN"/>
        </w:rPr>
        <w:t>；</w:t>
      </w:r>
    </w:p>
    <w:p>
      <w:pPr>
        <w:spacing w:line="300" w:lineRule="auto"/>
        <w:outlineLvl w:val="1"/>
        <w:rPr>
          <w:b/>
          <w:sz w:val="24"/>
        </w:rPr>
      </w:pPr>
      <w:bookmarkStart w:id="71" w:name="_Toc4136"/>
      <w:bookmarkStart w:id="72" w:name="_Toc18934"/>
      <w:r>
        <w:rPr>
          <w:rFonts w:hint="eastAsia"/>
          <w:b/>
          <w:sz w:val="24"/>
        </w:rPr>
        <w:t>7  项目危险源辨识、高风险作业项目、安全文明施工、</w:t>
      </w:r>
      <w:r>
        <w:rPr>
          <w:rFonts w:hint="eastAsia"/>
          <w:b/>
          <w:sz w:val="24"/>
          <w:lang w:val="en-US" w:eastAsia="zh-CN"/>
        </w:rPr>
        <w:t>生产现场</w:t>
      </w:r>
      <w:r>
        <w:rPr>
          <w:rFonts w:hint="eastAsia"/>
          <w:b/>
          <w:sz w:val="24"/>
        </w:rPr>
        <w:t>管理等要求</w:t>
      </w:r>
      <w:bookmarkEnd w:id="71"/>
      <w:bookmarkEnd w:id="72"/>
    </w:p>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7</w:t>
      </w:r>
      <w:r>
        <w:rPr>
          <w:rFonts w:hint="eastAsia" w:ascii="宋体" w:hAnsi="宋体" w:eastAsia="宋体"/>
          <w:sz w:val="24"/>
          <w:szCs w:val="24"/>
          <w:lang w:val="zh-CN"/>
        </w:rPr>
        <w:t>.1投标人应当按照招标人要求，开展并且持续改进承包项目危险源辨识、风险评估和风险控制等工作。本项目较大风险以上作业有（包含但不限于）：</w:t>
      </w:r>
      <w:r>
        <w:rPr>
          <w:rFonts w:hint="eastAsia" w:ascii="宋体" w:hAnsi="宋体" w:eastAsia="宋体"/>
          <w:sz w:val="24"/>
          <w:szCs w:val="24"/>
        </w:rPr>
        <w:t>燃烧室、</w:t>
      </w:r>
      <w:r>
        <w:rPr>
          <w:rFonts w:hint="eastAsia" w:ascii="宋体" w:hAnsi="宋体" w:eastAsia="宋体"/>
          <w:sz w:val="24"/>
          <w:szCs w:val="24"/>
          <w:lang w:val="en-US" w:eastAsia="zh-CN"/>
        </w:rPr>
        <w:t>压气机</w:t>
      </w:r>
      <w:r>
        <w:rPr>
          <w:rFonts w:hint="eastAsia" w:ascii="宋体" w:hAnsi="宋体" w:eastAsia="宋体"/>
          <w:sz w:val="24"/>
          <w:szCs w:val="24"/>
        </w:rPr>
        <w:t>进气道、扩散段等</w:t>
      </w:r>
      <w:r>
        <w:rPr>
          <w:rFonts w:hint="eastAsia" w:ascii="宋体" w:hAnsi="宋体" w:eastAsia="宋体"/>
          <w:sz w:val="24"/>
          <w:szCs w:val="24"/>
          <w:lang w:val="zh-CN"/>
        </w:rPr>
        <w:t>涉及有限空间及动火作业等。</w:t>
      </w:r>
    </w:p>
    <w:p>
      <w:pPr>
        <w:pStyle w:val="32"/>
        <w:numPr>
          <w:ilvl w:val="0"/>
          <w:numId w:val="0"/>
        </w:numPr>
        <w:adjustRightInd w:val="0"/>
        <w:snapToGrid w:val="0"/>
        <w:spacing w:beforeLines="0" w:afterLines="0" w:line="300" w:lineRule="auto"/>
        <w:ind w:firstLine="480" w:firstLineChars="200"/>
        <w:rPr>
          <w:rFonts w:ascii="宋体" w:hAnsi="宋体" w:eastAsia="宋体"/>
          <w:sz w:val="24"/>
          <w:szCs w:val="24"/>
          <w:lang w:val="zh-CN"/>
        </w:rPr>
      </w:pPr>
      <w:r>
        <w:rPr>
          <w:rFonts w:hint="eastAsia" w:ascii="宋体" w:hAnsi="宋体" w:eastAsia="宋体"/>
          <w:sz w:val="24"/>
          <w:szCs w:val="24"/>
          <w:lang w:val="zh-CN"/>
        </w:rPr>
        <w:t>投标时投标人需提供施工方案，有详细的检修工艺描述及安全、技术管控要求，有详细的应急预案体系。</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7</w:t>
      </w:r>
      <w:r>
        <w:rPr>
          <w:rFonts w:hint="eastAsia" w:ascii="宋体" w:hAnsi="宋体" w:eastAsia="宋体"/>
          <w:sz w:val="24"/>
          <w:szCs w:val="24"/>
          <w:lang w:val="zh-CN"/>
        </w:rPr>
        <w:t>.2投标人应当对承包项目中较大以上风险作业，编制专项施工方案、风险管控方案，</w:t>
      </w:r>
      <w:r>
        <w:rPr>
          <w:rFonts w:hint="eastAsia" w:ascii="宋体" w:hAnsi="宋体" w:eastAsia="宋体"/>
          <w:sz w:val="24"/>
          <w:szCs w:val="24"/>
        </w:rPr>
        <w:t>并</w:t>
      </w:r>
      <w:r>
        <w:rPr>
          <w:rFonts w:hint="eastAsia" w:ascii="宋体" w:hAnsi="宋体" w:eastAsia="宋体"/>
          <w:sz w:val="24"/>
          <w:szCs w:val="24"/>
          <w:lang w:val="zh-CN"/>
        </w:rPr>
        <w:t>经</w:t>
      </w:r>
      <w:r>
        <w:rPr>
          <w:rFonts w:hint="eastAsia" w:ascii="宋体" w:hAnsi="宋体" w:eastAsia="宋体"/>
          <w:sz w:val="24"/>
          <w:szCs w:val="24"/>
        </w:rPr>
        <w:t>投标人审批后，经</w:t>
      </w:r>
      <w:r>
        <w:rPr>
          <w:rFonts w:hint="eastAsia" w:ascii="宋体" w:hAnsi="宋体" w:eastAsia="宋体"/>
          <w:sz w:val="24"/>
          <w:szCs w:val="24"/>
          <w:lang w:val="zh-CN"/>
        </w:rPr>
        <w:t>招标人审核同意后组织实施。针对有可能发生火灾、爆炸、触电、高空坠落、中毒、窒息、机械伤害、烧烫伤等危险或引起严重设备事故的施工，</w:t>
      </w:r>
      <w:r>
        <w:rPr>
          <w:rFonts w:hint="eastAsia" w:ascii="宋体" w:hAnsi="宋体" w:eastAsia="宋体"/>
          <w:sz w:val="24"/>
          <w:szCs w:val="24"/>
        </w:rPr>
        <w:t>投标人</w:t>
      </w:r>
      <w:r>
        <w:rPr>
          <w:rFonts w:hint="eastAsia" w:ascii="宋体" w:hAnsi="宋体" w:eastAsia="宋体"/>
          <w:sz w:val="24"/>
          <w:szCs w:val="24"/>
          <w:lang w:val="zh-CN"/>
        </w:rPr>
        <w:t>应事先向招标人详细了解情况，并制定施工安全技术措施，</w:t>
      </w:r>
      <w:r>
        <w:rPr>
          <w:rFonts w:hint="eastAsia" w:ascii="宋体" w:hAnsi="宋体" w:eastAsia="宋体"/>
          <w:sz w:val="24"/>
          <w:szCs w:val="24"/>
        </w:rPr>
        <w:t>并由投标人审批，</w:t>
      </w:r>
      <w:r>
        <w:rPr>
          <w:rFonts w:hint="eastAsia" w:ascii="宋体" w:hAnsi="宋体" w:eastAsia="宋体"/>
          <w:sz w:val="24"/>
          <w:szCs w:val="24"/>
          <w:lang w:val="zh-CN"/>
        </w:rPr>
        <w:t>经招标人确认后实施。</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7</w:t>
      </w:r>
      <w:r>
        <w:rPr>
          <w:rFonts w:hint="eastAsia" w:ascii="宋体" w:hAnsi="宋体" w:eastAsia="宋体"/>
          <w:sz w:val="24"/>
          <w:szCs w:val="24"/>
          <w:lang w:val="zh-CN"/>
        </w:rPr>
        <w:t>.3投标人应当在较大以上风险的工作现场设置</w:t>
      </w:r>
      <w:r>
        <w:rPr>
          <w:rFonts w:hint="eastAsia" w:ascii="宋体" w:hAnsi="宋体" w:eastAsia="宋体"/>
          <w:sz w:val="24"/>
          <w:szCs w:val="24"/>
        </w:rPr>
        <w:t>专职</w:t>
      </w:r>
      <w:r>
        <w:rPr>
          <w:rFonts w:hint="eastAsia" w:ascii="宋体" w:hAnsi="宋体" w:eastAsia="宋体"/>
          <w:sz w:val="24"/>
          <w:szCs w:val="24"/>
          <w:lang w:val="zh-CN"/>
        </w:rPr>
        <w:t>监护人，按招标人要求，在较大以上风险作业方案设置停工待检点，执行风险、措施“双确认”机制。较大以上风险作业现场招标人必须配备安全视频监控设施。</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7</w:t>
      </w:r>
      <w:r>
        <w:rPr>
          <w:rFonts w:hint="eastAsia" w:ascii="宋体" w:hAnsi="宋体" w:eastAsia="宋体"/>
          <w:sz w:val="24"/>
          <w:szCs w:val="24"/>
          <w:lang w:val="zh-CN"/>
        </w:rPr>
        <w:t>.4投标人的工作人员必须严格遵守招标人的管理要求，严格按安全规程文明施工，服从招标人生产调度，接受招标人文明生产考核。</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7</w:t>
      </w:r>
      <w:r>
        <w:rPr>
          <w:rFonts w:hint="eastAsia" w:ascii="宋体" w:hAnsi="宋体" w:eastAsia="宋体"/>
          <w:sz w:val="24"/>
          <w:szCs w:val="24"/>
          <w:lang w:val="zh-CN"/>
        </w:rPr>
        <w:t>.5投标人必须做好现场标识、标牌、看板、墙面及地面等的保护工作，若有损伤、损坏，则招标人按招标人</w:t>
      </w:r>
      <w:r>
        <w:rPr>
          <w:rFonts w:hint="eastAsia" w:ascii="宋体" w:hAnsi="宋体" w:eastAsia="宋体"/>
          <w:sz w:val="24"/>
          <w:szCs w:val="24"/>
          <w:lang w:val="en-US" w:eastAsia="zh-CN"/>
        </w:rPr>
        <w:t>生产现场</w:t>
      </w:r>
      <w:r>
        <w:rPr>
          <w:rFonts w:hint="eastAsia" w:ascii="宋体" w:hAnsi="宋体" w:eastAsia="宋体"/>
          <w:sz w:val="24"/>
          <w:szCs w:val="24"/>
          <w:lang w:val="zh-CN"/>
        </w:rPr>
        <w:t>管理要求修复至修前状态。</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7</w:t>
      </w:r>
      <w:r>
        <w:rPr>
          <w:rFonts w:hint="eastAsia" w:ascii="宋体" w:hAnsi="宋体" w:eastAsia="宋体"/>
          <w:sz w:val="24"/>
          <w:szCs w:val="24"/>
          <w:lang w:val="zh-CN"/>
        </w:rPr>
        <w:t>.6投标人在施工过程中更换下来的任何废旧设备、配件和装置性材料均为招标人所有，应妥善保护并及时向招标人移交。及时对施工</w:t>
      </w:r>
      <w:r>
        <w:rPr>
          <w:rFonts w:ascii="宋体" w:hAnsi="宋体" w:eastAsia="宋体"/>
          <w:sz w:val="24"/>
          <w:szCs w:val="24"/>
          <w:lang w:val="zh-CN"/>
        </w:rPr>
        <w:t>现场的废物、垃圾</w:t>
      </w:r>
      <w:r>
        <w:rPr>
          <w:rFonts w:hint="eastAsia" w:ascii="宋体" w:hAnsi="宋体" w:eastAsia="宋体"/>
          <w:sz w:val="24"/>
          <w:szCs w:val="24"/>
          <w:lang w:val="zh-CN"/>
        </w:rPr>
        <w:t>进行</w:t>
      </w:r>
      <w:r>
        <w:rPr>
          <w:rFonts w:ascii="宋体" w:hAnsi="宋体" w:eastAsia="宋体"/>
          <w:sz w:val="24"/>
          <w:szCs w:val="24"/>
          <w:lang w:val="zh-CN"/>
        </w:rPr>
        <w:t>清理</w:t>
      </w:r>
      <w:r>
        <w:rPr>
          <w:rFonts w:hint="eastAsia" w:ascii="宋体" w:hAnsi="宋体" w:eastAsia="宋体"/>
          <w:sz w:val="24"/>
          <w:szCs w:val="24"/>
          <w:lang w:val="zh-CN"/>
        </w:rPr>
        <w:t>，并严格按照招标人</w:t>
      </w:r>
      <w:r>
        <w:rPr>
          <w:rFonts w:hint="eastAsia" w:ascii="宋体" w:hAnsi="宋体" w:eastAsia="宋体"/>
          <w:sz w:val="24"/>
          <w:szCs w:val="24"/>
        </w:rPr>
        <w:t>固</w:t>
      </w:r>
      <w:r>
        <w:rPr>
          <w:rFonts w:hint="eastAsia" w:ascii="宋体" w:hAnsi="宋体" w:eastAsia="宋体"/>
          <w:sz w:val="24"/>
          <w:szCs w:val="24"/>
          <w:lang w:val="zh-CN"/>
        </w:rPr>
        <w:t>废物品管理标准，将其集中堆放在招标人指定的地点</w:t>
      </w:r>
      <w:r>
        <w:rPr>
          <w:rFonts w:ascii="宋体" w:hAnsi="宋体" w:eastAsia="宋体"/>
          <w:sz w:val="24"/>
          <w:szCs w:val="24"/>
          <w:lang w:val="zh-CN"/>
        </w:rPr>
        <w:t>。</w:t>
      </w:r>
    </w:p>
    <w:p>
      <w:pPr>
        <w:pStyle w:val="3"/>
        <w:numPr>
          <w:ilvl w:val="0"/>
          <w:numId w:val="0"/>
        </w:numPr>
        <w:spacing w:before="0" w:after="0" w:line="300" w:lineRule="auto"/>
        <w:jc w:val="left"/>
        <w:rPr>
          <w:bCs/>
          <w:sz w:val="24"/>
          <w:szCs w:val="24"/>
        </w:rPr>
      </w:pPr>
      <w:bookmarkStart w:id="73" w:name="_Toc29082"/>
      <w:bookmarkStart w:id="74" w:name="_Toc6179"/>
      <w:r>
        <w:rPr>
          <w:rFonts w:hint="eastAsia"/>
          <w:bCs/>
          <w:sz w:val="24"/>
          <w:szCs w:val="24"/>
        </w:rPr>
        <w:t>八 工期要求</w:t>
      </w:r>
      <w:bookmarkEnd w:id="73"/>
      <w:bookmarkEnd w:id="74"/>
    </w:p>
    <w:p>
      <w:pPr>
        <w:pStyle w:val="32"/>
        <w:numPr>
          <w:ilvl w:val="0"/>
          <w:numId w:val="0"/>
        </w:numPr>
        <w:adjustRightInd w:val="0"/>
        <w:snapToGrid w:val="0"/>
        <w:spacing w:beforeLines="0" w:afterLines="0" w:line="300" w:lineRule="auto"/>
        <w:rPr>
          <w:rFonts w:ascii="宋体" w:hAnsi="宋体" w:eastAsia="宋体"/>
          <w:sz w:val="24"/>
          <w:szCs w:val="24"/>
        </w:rPr>
      </w:pPr>
      <w:r>
        <w:rPr>
          <w:rFonts w:hint="eastAsia" w:ascii="宋体" w:hAnsi="宋体" w:eastAsia="宋体"/>
          <w:sz w:val="24"/>
          <w:szCs w:val="24"/>
        </w:rPr>
        <w:t>8</w:t>
      </w:r>
      <w:r>
        <w:rPr>
          <w:rFonts w:hint="eastAsia" w:ascii="宋体" w:hAnsi="宋体" w:eastAsia="宋体"/>
          <w:sz w:val="24"/>
          <w:szCs w:val="24"/>
          <w:lang w:val="zh-CN"/>
        </w:rPr>
        <w:t>.1投标人应保质保量，按期完成检修任务。中标后投标人应按双方协商确认后的网络进度计划完成现场工作，无故延期将按相关考核条款进行考核。</w:t>
      </w:r>
      <w:r>
        <w:rPr>
          <w:rFonts w:hint="eastAsia" w:ascii="宋体" w:hAnsi="宋体" w:eastAsia="宋体"/>
          <w:sz w:val="24"/>
          <w:szCs w:val="24"/>
        </w:rPr>
        <w:t>投标应配足配好作业人员，加强管理，保质保量完成检修任务。</w:t>
      </w:r>
    </w:p>
    <w:p>
      <w:pPr>
        <w:pStyle w:val="32"/>
        <w:numPr>
          <w:ilvl w:val="0"/>
          <w:numId w:val="0"/>
        </w:numPr>
        <w:adjustRightInd w:val="0"/>
        <w:snapToGrid w:val="0"/>
        <w:spacing w:beforeLines="0" w:afterLines="0" w:line="300" w:lineRule="auto"/>
        <w:rPr>
          <w:rFonts w:ascii="宋体" w:hAnsi="宋体" w:eastAsia="宋体"/>
          <w:sz w:val="24"/>
          <w:szCs w:val="24"/>
          <w:lang w:val="zh-CN"/>
        </w:rPr>
      </w:pPr>
      <w:r>
        <w:rPr>
          <w:rFonts w:hint="eastAsia" w:ascii="宋体" w:hAnsi="宋体" w:eastAsia="宋体"/>
          <w:sz w:val="24"/>
          <w:szCs w:val="24"/>
        </w:rPr>
        <w:t>8</w:t>
      </w:r>
      <w:r>
        <w:rPr>
          <w:rFonts w:hint="eastAsia" w:ascii="宋体" w:hAnsi="宋体" w:eastAsia="宋体"/>
          <w:sz w:val="24"/>
          <w:szCs w:val="24"/>
          <w:lang w:val="zh-CN"/>
        </w:rPr>
        <w:t>.2投标人在检修过程中若发生不可预见的重大问题而影响工期时，应在总工期未过半前向招标人提出延期申请，以便向上级主管部门申请延期。</w:t>
      </w:r>
    </w:p>
    <w:p>
      <w:pPr>
        <w:spacing w:line="300" w:lineRule="auto"/>
        <w:rPr>
          <w:rFonts w:ascii="宋体" w:hAnsi="宋体"/>
          <w:kern w:val="0"/>
          <w:sz w:val="24"/>
          <w:lang w:val="zh-CN"/>
        </w:rPr>
      </w:pPr>
      <w:r>
        <w:rPr>
          <w:rFonts w:hint="eastAsia" w:ascii="宋体" w:hAnsi="宋体"/>
          <w:kern w:val="0"/>
          <w:sz w:val="24"/>
        </w:rPr>
        <w:t>8</w:t>
      </w:r>
      <w:r>
        <w:rPr>
          <w:rFonts w:hint="eastAsia" w:ascii="宋体" w:hAnsi="宋体"/>
          <w:kern w:val="0"/>
          <w:sz w:val="24"/>
          <w:lang w:val="zh-CN"/>
        </w:rPr>
        <w:t>.3 为保障检修项目顺利实施，投标人应于开工前两天办理完毕入厂手续（包括资质审查、人员的安全培训、考试、开工报告等），以便后续检修工作如期开展。</w:t>
      </w:r>
    </w:p>
    <w:p>
      <w:pPr>
        <w:spacing w:line="300" w:lineRule="auto"/>
        <w:rPr>
          <w:rFonts w:hint="eastAsia" w:ascii="宋体" w:hAnsi="宋体" w:eastAsia="宋体"/>
          <w:sz w:val="24"/>
          <w:lang w:val="zh-CN" w:eastAsia="zh-CN"/>
        </w:rPr>
      </w:pPr>
      <w:r>
        <w:rPr>
          <w:rFonts w:hint="eastAsia" w:ascii="宋体" w:hAnsi="宋体"/>
          <w:kern w:val="0"/>
          <w:sz w:val="24"/>
        </w:rPr>
        <w:t>8</w:t>
      </w:r>
      <w:r>
        <w:rPr>
          <w:rFonts w:hint="eastAsia" w:ascii="宋体" w:hAnsi="宋体"/>
          <w:kern w:val="0"/>
          <w:sz w:val="24"/>
          <w:lang w:val="zh-CN"/>
        </w:rPr>
        <w:t>.</w:t>
      </w:r>
      <w:r>
        <w:rPr>
          <w:rFonts w:hint="eastAsia" w:ascii="宋体" w:hAnsi="宋体"/>
          <w:kern w:val="0"/>
          <w:sz w:val="24"/>
        </w:rPr>
        <w:t>4</w:t>
      </w:r>
      <w:r>
        <w:rPr>
          <w:rFonts w:hint="eastAsia" w:ascii="宋体" w:hAnsi="宋体"/>
          <w:kern w:val="0"/>
          <w:sz w:val="24"/>
          <w:lang w:val="zh-CN"/>
        </w:rPr>
        <w:t xml:space="preserve"> </w:t>
      </w:r>
      <w:r>
        <w:rPr>
          <w:rFonts w:hint="eastAsia" w:ascii="宋体" w:hAnsi="宋体"/>
          <w:sz w:val="24"/>
          <w:lang w:val="zh-CN"/>
        </w:rPr>
        <w:t>投标时投标人需提供进度目标及保障措施，</w:t>
      </w:r>
      <w:r>
        <w:rPr>
          <w:rFonts w:hint="eastAsia" w:ascii="宋体" w:hAnsi="宋体"/>
          <w:sz w:val="24"/>
        </w:rPr>
        <w:t>要求</w:t>
      </w:r>
      <w:r>
        <w:rPr>
          <w:rFonts w:hint="eastAsia" w:ascii="宋体" w:hAnsi="宋体"/>
          <w:sz w:val="24"/>
          <w:lang w:val="zh-CN"/>
        </w:rPr>
        <w:t>工期安排合理，完全符合工程进度及质量要求，</w:t>
      </w:r>
      <w:r>
        <w:rPr>
          <w:rFonts w:hint="eastAsia" w:ascii="宋体" w:hAnsi="宋体"/>
          <w:sz w:val="24"/>
        </w:rPr>
        <w:t>各关键节点100%按期完成</w:t>
      </w:r>
      <w:r>
        <w:rPr>
          <w:rFonts w:hint="eastAsia" w:ascii="宋体" w:hAnsi="宋体"/>
          <w:sz w:val="24"/>
          <w:lang w:eastAsia="zh-CN"/>
        </w:rPr>
        <w:t>。</w:t>
      </w:r>
    </w:p>
    <w:p>
      <w:pPr>
        <w:pStyle w:val="3"/>
        <w:numPr>
          <w:ilvl w:val="0"/>
          <w:numId w:val="0"/>
        </w:numPr>
        <w:spacing w:before="0" w:after="0" w:line="300" w:lineRule="auto"/>
        <w:jc w:val="left"/>
        <w:rPr>
          <w:bCs/>
          <w:sz w:val="24"/>
          <w:szCs w:val="24"/>
        </w:rPr>
      </w:pPr>
      <w:bookmarkStart w:id="75" w:name="_Toc31236"/>
      <w:bookmarkStart w:id="76" w:name="_Toc2432"/>
      <w:r>
        <w:rPr>
          <w:rFonts w:hint="eastAsia"/>
          <w:bCs/>
          <w:sz w:val="24"/>
          <w:szCs w:val="24"/>
        </w:rPr>
        <w:t>九 工程质量验收</w:t>
      </w:r>
      <w:bookmarkEnd w:id="75"/>
      <w:bookmarkEnd w:id="76"/>
    </w:p>
    <w:p>
      <w:pPr>
        <w:spacing w:line="300" w:lineRule="auto"/>
        <w:rPr>
          <w:rFonts w:ascii="宋体" w:hAnsi="宋体"/>
          <w:kern w:val="0"/>
          <w:sz w:val="24"/>
          <w:lang w:val="zh-CN"/>
        </w:rPr>
      </w:pPr>
      <w:bookmarkStart w:id="77" w:name="_Toc15707_WPSOffice_Level2"/>
      <w:bookmarkStart w:id="78" w:name="_Toc23306"/>
      <w:r>
        <w:rPr>
          <w:rFonts w:hint="eastAsia" w:ascii="宋体" w:hAnsi="宋体"/>
          <w:kern w:val="0"/>
          <w:sz w:val="24"/>
        </w:rPr>
        <w:t>9</w:t>
      </w:r>
      <w:r>
        <w:rPr>
          <w:rFonts w:hint="eastAsia" w:ascii="宋体" w:hAnsi="宋体"/>
          <w:kern w:val="0"/>
          <w:sz w:val="24"/>
          <w:lang w:val="zh-CN"/>
        </w:rPr>
        <w:t>.1质量保证</w:t>
      </w:r>
      <w:bookmarkEnd w:id="77"/>
      <w:bookmarkEnd w:id="78"/>
    </w:p>
    <w:p>
      <w:pPr>
        <w:spacing w:line="300" w:lineRule="auto"/>
        <w:jc w:val="left"/>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.1.1通用部分</w:t>
      </w:r>
    </w:p>
    <w:p>
      <w:pPr>
        <w:spacing w:line="300" w:lineRule="auto"/>
        <w:jc w:val="left"/>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.1.1.1投标人应按期、保质、保量完成本项目服务任务，为保证项目质量，投标人应按照本技术规范要求制定具体的质量保证细则和工作程序，招标人有权进行审查。</w:t>
      </w:r>
    </w:p>
    <w:p>
      <w:pPr>
        <w:adjustRightInd w:val="0"/>
        <w:snapToGrid w:val="0"/>
        <w:spacing w:line="300" w:lineRule="auto"/>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.1.1.2投标人应按照招标人要求做好相关记录、报告等，并将项目完成后形成的过程资料、相关文件全部移交招标人。</w:t>
      </w:r>
    </w:p>
    <w:p>
      <w:pPr>
        <w:adjustRightInd w:val="0"/>
        <w:snapToGrid w:val="0"/>
        <w:spacing w:line="300" w:lineRule="auto"/>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.1.1.3投标人应负责质保期内的无偿修复(属投标人原因)，直至检验合格为止，投标人不能在合理时间内修复的，招标人可采用合理的方式进行补救（可委托他人修复），因此而发生的费用由投标人承担。</w:t>
      </w:r>
    </w:p>
    <w:p>
      <w:pPr>
        <w:adjustRightInd w:val="0"/>
        <w:snapToGrid w:val="0"/>
        <w:spacing w:line="300" w:lineRule="auto"/>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.1.1.4在接到中标通知书1周内，投标人根据网络图编制本项目施工组织设计并报招标人审核。在</w:t>
      </w:r>
      <w:r>
        <w:rPr>
          <w:rFonts w:hint="eastAsia" w:ascii="宋体" w:hAnsi="宋体"/>
          <w:kern w:val="0"/>
          <w:sz w:val="24"/>
          <w:lang w:val="en-US" w:eastAsia="zh-CN"/>
        </w:rPr>
        <w:t>项目实施前</w:t>
      </w:r>
      <w:r>
        <w:rPr>
          <w:rFonts w:hint="eastAsia" w:ascii="宋体" w:hAnsi="宋体"/>
          <w:kern w:val="0"/>
          <w:sz w:val="24"/>
          <w:lang w:val="zh-CN"/>
        </w:rPr>
        <w:t>开始两周前将施工方案、作业指导书等技术文件报招标人审核。</w:t>
      </w:r>
    </w:p>
    <w:p>
      <w:pPr>
        <w:adjustRightInd w:val="0"/>
        <w:snapToGrid w:val="0"/>
        <w:spacing w:line="300" w:lineRule="auto"/>
      </w:pPr>
      <w:r>
        <w:rPr>
          <w:rFonts w:hint="eastAsia" w:ascii="宋体" w:hAnsi="宋体"/>
          <w:kern w:val="0"/>
          <w:sz w:val="24"/>
        </w:rPr>
        <w:t>9</w:t>
      </w:r>
      <w:r>
        <w:rPr>
          <w:rFonts w:hint="eastAsia" w:ascii="宋体" w:hAnsi="宋体"/>
          <w:kern w:val="0"/>
          <w:sz w:val="24"/>
          <w:lang w:val="zh-CN"/>
        </w:rPr>
        <w:t>.1.1.5投标人所做的各项</w:t>
      </w:r>
      <w:r>
        <w:rPr>
          <w:rFonts w:hint="eastAsia" w:ascii="宋体" w:hAnsi="宋体"/>
          <w:kern w:val="0"/>
          <w:sz w:val="24"/>
          <w:lang w:val="en-US" w:eastAsia="zh-CN"/>
        </w:rPr>
        <w:t>工作</w:t>
      </w:r>
      <w:r>
        <w:rPr>
          <w:rFonts w:hint="eastAsia" w:ascii="宋体" w:hAnsi="宋体"/>
          <w:kern w:val="0"/>
          <w:sz w:val="24"/>
          <w:lang w:val="zh-CN"/>
        </w:rPr>
        <w:t>技术记录、检查试验（校验）报告、安装调试文件、设计说明、测绘图纸、相关计算书、</w:t>
      </w:r>
      <w:r>
        <w:rPr>
          <w:rFonts w:hint="eastAsia" w:ascii="宋体" w:hAnsi="宋体"/>
          <w:kern w:val="0"/>
          <w:sz w:val="24"/>
          <w:lang w:val="en-US" w:eastAsia="zh-CN"/>
        </w:rPr>
        <w:t>工作总结、技术总结</w:t>
      </w:r>
      <w:r>
        <w:rPr>
          <w:rFonts w:hint="eastAsia" w:ascii="宋体" w:hAnsi="宋体"/>
          <w:kern w:val="0"/>
          <w:sz w:val="24"/>
          <w:lang w:val="zh-CN"/>
        </w:rPr>
        <w:t>等必须齐全准确、符合招标人归档要求，并及时提供给招标人。</w:t>
      </w:r>
    </w:p>
    <w:p>
      <w:pPr>
        <w:adjustRightInd w:val="0"/>
        <w:snapToGrid w:val="0"/>
        <w:spacing w:line="300" w:lineRule="auto"/>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.1.1.6在</w:t>
      </w:r>
      <w:r>
        <w:rPr>
          <w:rFonts w:hint="eastAsia" w:ascii="宋体" w:hAnsi="宋体"/>
          <w:kern w:val="0"/>
          <w:sz w:val="24"/>
          <w:lang w:val="en-US" w:eastAsia="zh-CN"/>
        </w:rPr>
        <w:t>项目</w:t>
      </w:r>
      <w:r>
        <w:rPr>
          <w:rFonts w:hint="eastAsia" w:ascii="宋体" w:hAnsi="宋体"/>
          <w:kern w:val="0"/>
          <w:sz w:val="24"/>
          <w:lang w:val="zh-CN"/>
        </w:rPr>
        <w:t>实施期间，</w:t>
      </w:r>
      <w:r>
        <w:rPr>
          <w:rFonts w:hint="eastAsia" w:ascii="宋体" w:hAnsi="宋体"/>
          <w:kern w:val="0"/>
          <w:sz w:val="24"/>
          <w:lang w:val="en-US" w:eastAsia="zh-CN"/>
        </w:rPr>
        <w:t>投标人</w:t>
      </w:r>
      <w:r>
        <w:rPr>
          <w:rFonts w:ascii="宋体" w:hAnsi="宋体"/>
          <w:kern w:val="0"/>
          <w:sz w:val="24"/>
          <w:lang w:val="zh-CN"/>
        </w:rPr>
        <w:t>接受</w:t>
      </w:r>
      <w:r>
        <w:rPr>
          <w:rFonts w:hint="eastAsia" w:ascii="宋体" w:hAnsi="宋体"/>
          <w:kern w:val="0"/>
          <w:sz w:val="24"/>
          <w:lang w:val="zh-CN"/>
        </w:rPr>
        <w:t>招标人对</w:t>
      </w:r>
      <w:r>
        <w:rPr>
          <w:rFonts w:ascii="宋体" w:hAnsi="宋体"/>
          <w:kern w:val="0"/>
          <w:sz w:val="24"/>
          <w:lang w:val="zh-CN"/>
        </w:rPr>
        <w:t>其</w:t>
      </w:r>
      <w:r>
        <w:rPr>
          <w:rFonts w:hint="eastAsia" w:ascii="宋体" w:hAnsi="宋体"/>
          <w:kern w:val="0"/>
          <w:sz w:val="24"/>
          <w:lang w:val="en-US" w:eastAsia="zh-CN"/>
        </w:rPr>
        <w:t>项目实施</w:t>
      </w:r>
      <w:r>
        <w:rPr>
          <w:rFonts w:hint="eastAsia" w:ascii="宋体" w:hAnsi="宋体"/>
          <w:kern w:val="0"/>
          <w:sz w:val="24"/>
          <w:lang w:val="zh-CN"/>
        </w:rPr>
        <w:t>工作质量、进度及安全文明生产方面</w:t>
      </w:r>
      <w:r>
        <w:rPr>
          <w:rFonts w:ascii="宋体" w:hAnsi="宋体"/>
          <w:kern w:val="0"/>
          <w:sz w:val="24"/>
          <w:lang w:val="zh-CN"/>
        </w:rPr>
        <w:t>的监督</w:t>
      </w:r>
      <w:r>
        <w:rPr>
          <w:rFonts w:hint="eastAsia" w:ascii="宋体" w:hAnsi="宋体"/>
          <w:kern w:val="0"/>
          <w:sz w:val="24"/>
          <w:lang w:val="zh-CN"/>
        </w:rPr>
        <w:t>和检查</w:t>
      </w:r>
      <w:r>
        <w:rPr>
          <w:rFonts w:ascii="宋体" w:hAnsi="宋体"/>
          <w:kern w:val="0"/>
          <w:sz w:val="24"/>
          <w:lang w:val="zh-CN"/>
        </w:rPr>
        <w:t>，并为检查检验提供便利条件。</w:t>
      </w:r>
    </w:p>
    <w:p>
      <w:pPr>
        <w:adjustRightInd w:val="0"/>
        <w:snapToGrid w:val="0"/>
        <w:spacing w:line="300" w:lineRule="auto"/>
      </w:pPr>
      <w:r>
        <w:rPr>
          <w:rFonts w:hint="eastAsia" w:ascii="宋体" w:hAnsi="宋体"/>
          <w:kern w:val="0"/>
          <w:sz w:val="24"/>
        </w:rPr>
        <w:t>9</w:t>
      </w:r>
      <w:r>
        <w:rPr>
          <w:rFonts w:hint="eastAsia" w:ascii="宋体" w:hAnsi="宋体"/>
          <w:kern w:val="0"/>
          <w:sz w:val="24"/>
          <w:lang w:val="zh-CN"/>
        </w:rPr>
        <w:t>.1.1.7 完工验收应在完工之日前2</w:t>
      </w:r>
      <w:r>
        <w:rPr>
          <w:rFonts w:ascii="宋体" w:hAnsi="宋体"/>
          <w:kern w:val="0"/>
          <w:sz w:val="24"/>
          <w:lang w:val="zh-CN"/>
        </w:rPr>
        <w:t>天</w:t>
      </w:r>
      <w:r>
        <w:rPr>
          <w:rFonts w:hint="eastAsia" w:ascii="宋体" w:hAnsi="宋体"/>
          <w:kern w:val="0"/>
          <w:sz w:val="24"/>
          <w:lang w:val="zh-CN"/>
        </w:rPr>
        <w:t>通知招标人，</w:t>
      </w:r>
      <w:r>
        <w:rPr>
          <w:rFonts w:ascii="宋体" w:hAnsi="宋体"/>
          <w:kern w:val="0"/>
          <w:sz w:val="24"/>
          <w:lang w:val="zh-CN"/>
        </w:rPr>
        <w:t>申请进行</w:t>
      </w:r>
      <w:r>
        <w:rPr>
          <w:rFonts w:hint="eastAsia" w:ascii="宋体" w:hAnsi="宋体"/>
          <w:kern w:val="0"/>
          <w:sz w:val="24"/>
          <w:lang w:val="zh-CN"/>
        </w:rPr>
        <w:t>完工</w:t>
      </w:r>
      <w:r>
        <w:rPr>
          <w:rFonts w:ascii="宋体" w:hAnsi="宋体"/>
          <w:kern w:val="0"/>
          <w:sz w:val="24"/>
          <w:lang w:val="zh-CN"/>
        </w:rPr>
        <w:t>验收</w:t>
      </w:r>
      <w:r>
        <w:rPr>
          <w:rFonts w:hint="eastAsia" w:ascii="宋体" w:hAnsi="宋体"/>
          <w:kern w:val="0"/>
          <w:sz w:val="24"/>
          <w:lang w:val="zh-CN"/>
        </w:rPr>
        <w:t>，</w:t>
      </w:r>
      <w:r>
        <w:rPr>
          <w:rFonts w:hint="eastAsia" w:ascii="宋体" w:hAnsi="宋体"/>
          <w:kern w:val="0"/>
          <w:sz w:val="24"/>
          <w:lang w:val="en-US" w:eastAsia="zh-CN"/>
        </w:rPr>
        <w:t>验收文件包含9.1.1.5所列内容</w:t>
      </w:r>
      <w:r>
        <w:rPr>
          <w:rFonts w:hint="eastAsia" w:ascii="宋体" w:hAnsi="宋体"/>
          <w:kern w:val="0"/>
          <w:sz w:val="24"/>
          <w:lang w:val="zh-CN"/>
        </w:rPr>
        <w:t>。</w:t>
      </w:r>
    </w:p>
    <w:p>
      <w:pPr>
        <w:adjustRightInd w:val="0"/>
        <w:snapToGrid w:val="0"/>
        <w:spacing w:line="300" w:lineRule="auto"/>
        <w:rPr>
          <w:rFonts w:ascii="宋体" w:hAnsi="宋体"/>
          <w:kern w:val="0"/>
          <w:sz w:val="24"/>
          <w:lang w:val="zh-CN"/>
        </w:rPr>
      </w:pPr>
      <w:r>
        <w:rPr>
          <w:rFonts w:hint="eastAsia" w:ascii="宋体" w:hAnsi="宋体"/>
          <w:kern w:val="0"/>
          <w:sz w:val="24"/>
        </w:rPr>
        <w:t>9</w:t>
      </w:r>
      <w:r>
        <w:rPr>
          <w:rFonts w:hint="eastAsia" w:ascii="宋体" w:hAnsi="宋体"/>
          <w:kern w:val="0"/>
          <w:sz w:val="24"/>
          <w:lang w:val="zh-CN"/>
        </w:rPr>
        <w:t>.1.1.8</w:t>
      </w:r>
      <w:r>
        <w:rPr>
          <w:rFonts w:hint="eastAsia" w:ascii="宋体" w:hAnsi="宋体"/>
          <w:kern w:val="0"/>
          <w:sz w:val="24"/>
          <w:lang w:val="en-US" w:eastAsia="zh-CN"/>
        </w:rPr>
        <w:t>项目实施</w:t>
      </w:r>
      <w:r>
        <w:rPr>
          <w:rFonts w:hint="eastAsia" w:ascii="宋体" w:hAnsi="宋体"/>
          <w:kern w:val="0"/>
          <w:sz w:val="24"/>
          <w:lang w:val="zh-CN"/>
        </w:rPr>
        <w:t>结束后</w:t>
      </w:r>
      <w:r>
        <w:rPr>
          <w:rFonts w:hint="eastAsia" w:ascii="宋体" w:hAnsi="宋体"/>
          <w:kern w:val="0"/>
          <w:sz w:val="24"/>
          <w:lang w:val="en-US" w:eastAsia="zh-CN"/>
        </w:rPr>
        <w:t>4</w:t>
      </w:r>
      <w:r>
        <w:rPr>
          <w:rFonts w:hint="eastAsia" w:ascii="宋体" w:hAnsi="宋体"/>
          <w:kern w:val="0"/>
          <w:sz w:val="24"/>
          <w:lang w:val="zh-CN"/>
        </w:rPr>
        <w:t>5天内，投标人向招标人提供完整的完工报告、总结及</w:t>
      </w:r>
      <w:r>
        <w:rPr>
          <w:rFonts w:hint="eastAsia" w:ascii="宋体" w:hAnsi="宋体"/>
          <w:kern w:val="0"/>
          <w:sz w:val="24"/>
        </w:rPr>
        <w:t>技术报告</w:t>
      </w:r>
      <w:r>
        <w:rPr>
          <w:rFonts w:hint="eastAsia" w:ascii="宋体" w:hAnsi="宋体"/>
          <w:kern w:val="0"/>
          <w:sz w:val="24"/>
          <w:lang w:val="zh-CN"/>
        </w:rPr>
        <w:t>（按照招标人要求份数和质量）。</w:t>
      </w:r>
    </w:p>
    <w:p/>
    <w:p>
      <w:pPr>
        <w:pStyle w:val="3"/>
        <w:numPr>
          <w:ilvl w:val="0"/>
          <w:numId w:val="0"/>
        </w:numPr>
        <w:spacing w:before="0" w:after="0" w:line="300" w:lineRule="auto"/>
        <w:jc w:val="left"/>
        <w:rPr>
          <w:bCs/>
          <w:sz w:val="24"/>
          <w:szCs w:val="24"/>
        </w:rPr>
      </w:pPr>
      <w:bookmarkStart w:id="79" w:name="_Toc30767"/>
      <w:bookmarkStart w:id="80" w:name="_Toc27834"/>
      <w:r>
        <w:rPr>
          <w:rFonts w:hint="eastAsia"/>
          <w:bCs/>
          <w:sz w:val="24"/>
          <w:szCs w:val="24"/>
        </w:rPr>
        <w:t>十  质保</w:t>
      </w:r>
      <w:bookmarkEnd w:id="79"/>
      <w:bookmarkEnd w:id="80"/>
    </w:p>
    <w:p>
      <w:pPr>
        <w:spacing w:line="300" w:lineRule="auto"/>
        <w:ind w:left="-10" w:leftChars="-5" w:firstLine="480" w:firstLineChars="200"/>
        <w:rPr>
          <w:rFonts w:ascii="宋体" w:hAnsi="宋体"/>
          <w:kern w:val="0"/>
          <w:sz w:val="24"/>
          <w:lang w:val="zh-CN"/>
        </w:rPr>
      </w:pPr>
      <w:r>
        <w:rPr>
          <w:rFonts w:hint="eastAsia" w:ascii="宋体" w:hAnsi="宋体"/>
          <w:kern w:val="0"/>
          <w:sz w:val="24"/>
          <w:lang w:val="zh-CN"/>
        </w:rPr>
        <w:t>投标人应保证本标段</w:t>
      </w:r>
      <w:r>
        <w:rPr>
          <w:rFonts w:hint="eastAsia" w:ascii="宋体" w:hAnsi="宋体"/>
          <w:kern w:val="0"/>
          <w:sz w:val="24"/>
          <w:lang w:val="en-US" w:eastAsia="zh-CN"/>
        </w:rPr>
        <w:t>项目实施</w:t>
      </w:r>
      <w:r>
        <w:rPr>
          <w:rFonts w:hint="eastAsia" w:ascii="宋体" w:hAnsi="宋体"/>
          <w:kern w:val="0"/>
          <w:sz w:val="24"/>
          <w:lang w:val="zh-CN"/>
        </w:rPr>
        <w:t>服务满足萧山电厂安全、可靠运行的要求，并对安装、施工、试验等过程全面负责，投标人提供一年保质期。</w:t>
      </w:r>
    </w:p>
    <w:p>
      <w:pPr>
        <w:pStyle w:val="3"/>
        <w:numPr>
          <w:ilvl w:val="0"/>
          <w:numId w:val="0"/>
        </w:numPr>
        <w:spacing w:before="0" w:after="0" w:line="300" w:lineRule="auto"/>
        <w:jc w:val="left"/>
        <w:rPr>
          <w:bCs/>
          <w:sz w:val="24"/>
          <w:szCs w:val="24"/>
        </w:rPr>
      </w:pPr>
      <w:bookmarkStart w:id="81" w:name="_Toc8315"/>
      <w:bookmarkStart w:id="82" w:name="_Toc31276"/>
      <w:r>
        <w:rPr>
          <w:rFonts w:hint="eastAsia"/>
          <w:bCs/>
          <w:sz w:val="24"/>
          <w:szCs w:val="24"/>
        </w:rPr>
        <w:t>十一 考核</w:t>
      </w:r>
      <w:bookmarkEnd w:id="81"/>
      <w:bookmarkEnd w:id="82"/>
    </w:p>
    <w:p/>
    <w:p>
      <w:pPr>
        <w:pStyle w:val="17"/>
        <w:spacing w:after="0" w:line="300" w:lineRule="auto"/>
        <w:ind w:left="0" w:firstLine="0" w:firstLineChars="0"/>
        <w:rPr>
          <w:rFonts w:ascii="宋体" w:hAnsi="宋体"/>
          <w:kern w:val="0"/>
          <w:sz w:val="24"/>
          <w:lang w:val="zh-CN"/>
        </w:rPr>
      </w:pPr>
      <w:r>
        <w:rPr>
          <w:rFonts w:hint="eastAsia" w:ascii="宋体" w:hAnsi="宋体"/>
          <w:kern w:val="0"/>
          <w:sz w:val="24"/>
        </w:rPr>
        <w:t>11</w:t>
      </w:r>
      <w:r>
        <w:rPr>
          <w:rFonts w:hint="eastAsia" w:ascii="宋体" w:hAnsi="宋体"/>
          <w:kern w:val="0"/>
          <w:sz w:val="24"/>
          <w:lang w:val="zh-CN"/>
        </w:rPr>
        <w:t>.1通用部分</w:t>
      </w:r>
    </w:p>
    <w:p>
      <w:pPr>
        <w:adjustRightInd w:val="0"/>
        <w:snapToGrid w:val="0"/>
        <w:spacing w:line="300" w:lineRule="auto"/>
        <w:rPr>
          <w:rFonts w:ascii="宋体" w:hAnsi="宋体"/>
          <w:kern w:val="0"/>
          <w:sz w:val="24"/>
          <w:lang w:val="zh-CN"/>
        </w:rPr>
      </w:pPr>
      <w:bookmarkStart w:id="83" w:name="_Toc30614607"/>
      <w:bookmarkStart w:id="84" w:name="_Toc39046760"/>
      <w:bookmarkStart w:id="85" w:name="_Toc119374342"/>
      <w:bookmarkStart w:id="86" w:name="_Toc106733221"/>
      <w:bookmarkStart w:id="87" w:name="_Toc41062949"/>
      <w:r>
        <w:rPr>
          <w:rFonts w:hint="eastAsia" w:ascii="宋体" w:hAnsi="宋体"/>
          <w:kern w:val="0"/>
          <w:sz w:val="24"/>
        </w:rPr>
        <w:t>11</w:t>
      </w:r>
      <w:r>
        <w:rPr>
          <w:rFonts w:hint="eastAsia" w:ascii="宋体" w:hAnsi="宋体"/>
          <w:kern w:val="0"/>
          <w:sz w:val="24"/>
          <w:lang w:val="zh-CN"/>
        </w:rPr>
        <w:t>.1.1投标人应遵守招标人质量管理相关规定，招标人有权依据相关规定对投标人违规行为进行考核。</w:t>
      </w:r>
      <w:bookmarkEnd w:id="83"/>
      <w:bookmarkEnd w:id="84"/>
      <w:bookmarkEnd w:id="85"/>
      <w:bookmarkEnd w:id="86"/>
      <w:bookmarkEnd w:id="87"/>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.1.2项目实施过程中，招标人有权对投标人实施项目质量、进度、安全、文明等方面进行检查考核。</w:t>
      </w:r>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.1.3因投标人原因造成招标人损失的，招标人除追究投标人违约责任外，有权根据责任划分对投标人进行考核。</w:t>
      </w:r>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.1.4违章考核按照萧山电厂《外包工程安全管理标准》、《反违章管理》、《安全生产奖惩管理》、《治安保卫管理办法》等萧山电厂相关制度标准执行。</w:t>
      </w:r>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.1.5</w:t>
      </w:r>
      <w:r>
        <w:rPr>
          <w:rFonts w:hint="eastAsia" w:ascii="宋体" w:hAnsi="宋体"/>
          <w:kern w:val="0"/>
          <w:sz w:val="24"/>
          <w:lang w:val="en-US" w:eastAsia="zh-CN"/>
        </w:rPr>
        <w:t>项目实施</w:t>
      </w:r>
      <w:r>
        <w:rPr>
          <w:rFonts w:hint="eastAsia" w:ascii="宋体" w:hAnsi="宋体"/>
          <w:kern w:val="0"/>
          <w:sz w:val="24"/>
          <w:lang w:val="zh-CN"/>
        </w:rPr>
        <w:t xml:space="preserve">期间因投标人的原因造成设备、备件等损坏，投标人按照价格进行赔偿，并根据萧山电厂相关规定进行考核。 </w:t>
      </w:r>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.1.6因投标</w:t>
      </w:r>
      <w:r>
        <w:rPr>
          <w:rFonts w:hint="eastAsia" w:ascii="宋体" w:hAnsi="宋体"/>
          <w:kern w:val="0"/>
          <w:sz w:val="24"/>
          <w:lang w:val="en-US" w:eastAsia="zh-CN"/>
        </w:rPr>
        <w:t>人项目实施</w:t>
      </w:r>
      <w:r>
        <w:rPr>
          <w:rFonts w:hint="eastAsia" w:ascii="宋体" w:hAnsi="宋体"/>
          <w:kern w:val="0"/>
          <w:sz w:val="24"/>
          <w:lang w:val="zh-CN"/>
        </w:rPr>
        <w:t>质量原因造成机组设备在调试、运行期间造成损失，投标人应无偿进行修复，并根据萧山电厂相关规定进行考核。</w:t>
      </w:r>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.1.7投标人未按期办理完成入厂、开工手续，延迟开工。每延迟1天扣2000元/天，超过5天扣20000元/天。</w:t>
      </w:r>
    </w:p>
    <w:p>
      <w:pPr>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.1.8其他考核按照萧山电厂相应制度进行考核。</w:t>
      </w:r>
    </w:p>
    <w:p>
      <w:pPr>
        <w:spacing w:line="300" w:lineRule="auto"/>
        <w:jc w:val="left"/>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.2专用部分</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lang w:val="en-US" w:eastAsia="zh-CN"/>
        </w:rPr>
        <w:t>项目实施</w:t>
      </w:r>
      <w:r>
        <w:rPr>
          <w:rFonts w:hint="eastAsia" w:ascii="宋体" w:hAnsi="宋体"/>
          <w:kern w:val="0"/>
          <w:sz w:val="24"/>
          <w:lang w:val="zh-CN"/>
        </w:rPr>
        <w:t>期间投标人应严格执行安全协议的条款要求，确保不发生人身伤亡事故。</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.2.2投标人确保安全措施齐全，执行招标人制定的相关管理制度，否则按有关制度进行考核。</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.2.3投标人应按招标人#</w:t>
      </w:r>
      <w:r>
        <w:rPr>
          <w:rFonts w:hint="eastAsia" w:ascii="宋体" w:hAnsi="宋体"/>
          <w:kern w:val="0"/>
          <w:sz w:val="24"/>
        </w:rPr>
        <w:t>4</w:t>
      </w:r>
      <w:r>
        <w:rPr>
          <w:rFonts w:hint="eastAsia" w:ascii="宋体" w:hAnsi="宋体"/>
          <w:kern w:val="0"/>
          <w:sz w:val="24"/>
          <w:lang w:val="zh-CN"/>
        </w:rPr>
        <w:t>机组</w:t>
      </w:r>
      <w:r>
        <w:rPr>
          <w:rFonts w:hint="eastAsia" w:ascii="宋体" w:hAnsi="宋体"/>
          <w:kern w:val="0"/>
          <w:sz w:val="24"/>
        </w:rPr>
        <w:t>扩大性C</w:t>
      </w:r>
      <w:r>
        <w:rPr>
          <w:rFonts w:hint="eastAsia" w:ascii="宋体" w:hAnsi="宋体"/>
          <w:kern w:val="0"/>
          <w:sz w:val="24"/>
          <w:lang w:val="zh-CN"/>
        </w:rPr>
        <w:t>修节点计划、网络计划施工，因投标人原因造成检修工期比计划延误每一天扣减合同总价的2000元；影响总启动时间节点时，每迟一天扣减合同总价的5%。</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w:t>
      </w:r>
      <w:r>
        <w:rPr>
          <w:rFonts w:hint="eastAsia" w:ascii="宋体" w:hAnsi="宋体"/>
          <w:kern w:val="0"/>
          <w:sz w:val="24"/>
        </w:rPr>
        <w:t>4</w:t>
      </w:r>
      <w:r>
        <w:rPr>
          <w:rFonts w:hint="eastAsia" w:ascii="宋体" w:hAnsi="宋体"/>
          <w:kern w:val="0"/>
          <w:sz w:val="24"/>
          <w:lang w:val="zh-CN"/>
        </w:rPr>
        <w:t xml:space="preserve"> #</w:t>
      </w:r>
      <w:r>
        <w:rPr>
          <w:rFonts w:hint="eastAsia" w:ascii="宋体" w:hAnsi="宋体"/>
          <w:kern w:val="0"/>
          <w:sz w:val="24"/>
        </w:rPr>
        <w:t>4</w:t>
      </w:r>
      <w:r>
        <w:rPr>
          <w:rFonts w:hint="eastAsia" w:ascii="宋体" w:hAnsi="宋体"/>
          <w:kern w:val="0"/>
          <w:sz w:val="24"/>
          <w:lang w:val="zh-CN"/>
        </w:rPr>
        <w:t>机组自本次</w:t>
      </w:r>
      <w:r>
        <w:rPr>
          <w:rFonts w:hint="eastAsia" w:ascii="宋体" w:hAnsi="宋体"/>
          <w:kern w:val="0"/>
          <w:sz w:val="24"/>
          <w:lang w:val="en-US" w:eastAsia="zh-CN"/>
        </w:rPr>
        <w:t>项目实施</w:t>
      </w:r>
      <w:r>
        <w:rPr>
          <w:rFonts w:hint="eastAsia" w:ascii="宋体" w:hAnsi="宋体"/>
          <w:kern w:val="0"/>
          <w:sz w:val="24"/>
          <w:lang w:val="zh-CN"/>
        </w:rPr>
        <w:t>完成之日起100天内不发生</w:t>
      </w:r>
      <w:r>
        <w:rPr>
          <w:rFonts w:hint="eastAsia" w:ascii="宋体" w:hAnsi="宋体"/>
          <w:kern w:val="0"/>
          <w:sz w:val="24"/>
          <w:lang w:val="en-US" w:eastAsia="zh-CN"/>
        </w:rPr>
        <w:t>因投标人原因造成</w:t>
      </w:r>
      <w:r>
        <w:rPr>
          <w:rFonts w:hint="eastAsia" w:ascii="宋体" w:hAnsi="宋体"/>
          <w:kern w:val="0"/>
          <w:sz w:val="24"/>
          <w:lang w:val="zh-CN"/>
        </w:rPr>
        <w:t>设备缺陷造成的停机或需停机处理的缺陷、或影响机组出力的缺陷，每发生一次扣减合同总价的2-10%，直至质保金扣完。</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w:t>
      </w:r>
      <w:r>
        <w:rPr>
          <w:rFonts w:hint="eastAsia" w:ascii="宋体" w:hAnsi="宋体"/>
          <w:kern w:val="0"/>
          <w:sz w:val="24"/>
        </w:rPr>
        <w:t>5</w:t>
      </w:r>
      <w:r>
        <w:rPr>
          <w:rFonts w:hint="eastAsia" w:ascii="宋体" w:hAnsi="宋体"/>
          <w:kern w:val="0"/>
          <w:sz w:val="24"/>
          <w:lang w:val="zh-CN"/>
        </w:rPr>
        <w:t xml:space="preserve"> #</w:t>
      </w:r>
      <w:r>
        <w:rPr>
          <w:rFonts w:hint="eastAsia" w:ascii="宋体" w:hAnsi="宋体"/>
          <w:kern w:val="0"/>
          <w:sz w:val="24"/>
        </w:rPr>
        <w:t>4</w:t>
      </w:r>
      <w:r>
        <w:rPr>
          <w:rFonts w:hint="eastAsia" w:ascii="宋体" w:hAnsi="宋体"/>
          <w:kern w:val="0"/>
          <w:sz w:val="24"/>
          <w:lang w:val="zh-CN"/>
        </w:rPr>
        <w:t>机组自本次</w:t>
      </w:r>
      <w:r>
        <w:rPr>
          <w:rFonts w:hint="eastAsia" w:ascii="宋体" w:hAnsi="宋体"/>
          <w:kern w:val="0"/>
          <w:sz w:val="24"/>
          <w:lang w:val="en-US" w:eastAsia="zh-CN"/>
        </w:rPr>
        <w:t>项目实施</w:t>
      </w:r>
      <w:r>
        <w:rPr>
          <w:rFonts w:hint="eastAsia" w:ascii="宋体" w:hAnsi="宋体"/>
          <w:kern w:val="0"/>
          <w:sz w:val="24"/>
          <w:lang w:val="zh-CN"/>
        </w:rPr>
        <w:t>完成之日起</w:t>
      </w:r>
      <w:r>
        <w:rPr>
          <w:rFonts w:hint="eastAsia" w:ascii="宋体" w:hAnsi="宋体"/>
          <w:kern w:val="0"/>
          <w:sz w:val="24"/>
        </w:rPr>
        <w:t>1年</w:t>
      </w:r>
      <w:r>
        <w:rPr>
          <w:rFonts w:hint="eastAsia" w:ascii="宋体" w:hAnsi="宋体"/>
          <w:kern w:val="0"/>
          <w:sz w:val="24"/>
          <w:lang w:val="zh-CN"/>
        </w:rPr>
        <w:t>内</w:t>
      </w:r>
      <w:r>
        <w:rPr>
          <w:rFonts w:hint="eastAsia" w:ascii="宋体" w:hAnsi="宋体"/>
          <w:kern w:val="0"/>
          <w:sz w:val="24"/>
          <w:lang w:val="en-US" w:eastAsia="zh-CN"/>
        </w:rPr>
        <w:t>本项目涉及</w:t>
      </w:r>
      <w:r>
        <w:rPr>
          <w:rFonts w:hint="eastAsia" w:ascii="宋体" w:hAnsi="宋体"/>
          <w:kern w:val="0"/>
          <w:sz w:val="24"/>
          <w:lang w:val="zh-CN"/>
        </w:rPr>
        <w:t>设备无泄漏（包括阀门内漏），每发生一个点扣减1000元，并由投标人在下次停机时处理好。</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w:t>
      </w:r>
      <w:r>
        <w:rPr>
          <w:rFonts w:hint="eastAsia" w:ascii="宋体" w:hAnsi="宋体"/>
          <w:kern w:val="0"/>
          <w:sz w:val="24"/>
        </w:rPr>
        <w:t>6</w:t>
      </w:r>
      <w:r>
        <w:rPr>
          <w:rFonts w:hint="eastAsia" w:ascii="宋体" w:hAnsi="宋体"/>
          <w:kern w:val="0"/>
          <w:sz w:val="24"/>
          <w:lang w:val="en-US" w:eastAsia="zh-CN"/>
        </w:rPr>
        <w:t>项目实施</w:t>
      </w:r>
      <w:r>
        <w:rPr>
          <w:rFonts w:hint="eastAsia" w:ascii="宋体" w:hAnsi="宋体"/>
          <w:kern w:val="0"/>
          <w:sz w:val="24"/>
          <w:lang w:val="zh-CN"/>
        </w:rPr>
        <w:t>时</w:t>
      </w:r>
      <w:r>
        <w:rPr>
          <w:rFonts w:hint="eastAsia" w:ascii="宋体" w:hAnsi="宋体"/>
          <w:kern w:val="0"/>
          <w:sz w:val="24"/>
        </w:rPr>
        <w:t>临时拆除的</w:t>
      </w:r>
      <w:r>
        <w:rPr>
          <w:rFonts w:hint="eastAsia" w:ascii="宋体" w:hAnsi="宋体"/>
          <w:kern w:val="0"/>
          <w:sz w:val="24"/>
          <w:lang w:val="zh-CN"/>
        </w:rPr>
        <w:t>平台栏杆需搭设安全可靠的临时围栏、盖板，</w:t>
      </w:r>
      <w:r>
        <w:rPr>
          <w:rFonts w:hint="eastAsia" w:ascii="宋体" w:hAnsi="宋体"/>
          <w:kern w:val="0"/>
          <w:sz w:val="24"/>
          <w:lang w:val="en-US" w:eastAsia="zh-CN"/>
        </w:rPr>
        <w:t>项目实施</w:t>
      </w:r>
      <w:r>
        <w:rPr>
          <w:rFonts w:hint="eastAsia" w:ascii="宋体" w:hAnsi="宋体"/>
          <w:kern w:val="0"/>
          <w:sz w:val="24"/>
        </w:rPr>
        <w:t>结束后及时</w:t>
      </w:r>
      <w:r>
        <w:rPr>
          <w:rFonts w:hint="eastAsia" w:ascii="宋体" w:hAnsi="宋体"/>
          <w:kern w:val="0"/>
          <w:sz w:val="24"/>
          <w:lang w:val="zh-CN"/>
        </w:rPr>
        <w:t>恢复，每发生一处不合格扣减500元。</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w:t>
      </w:r>
      <w:r>
        <w:rPr>
          <w:rFonts w:hint="eastAsia" w:ascii="宋体" w:hAnsi="宋体"/>
          <w:kern w:val="0"/>
          <w:sz w:val="24"/>
        </w:rPr>
        <w:t>7</w:t>
      </w:r>
      <w:r>
        <w:rPr>
          <w:rFonts w:hint="eastAsia" w:ascii="宋体" w:hAnsi="宋体"/>
          <w:kern w:val="0"/>
          <w:sz w:val="24"/>
          <w:lang w:val="en-US" w:eastAsia="zh-CN"/>
        </w:rPr>
        <w:t>项目实施</w:t>
      </w:r>
      <w:r>
        <w:rPr>
          <w:rFonts w:hint="eastAsia" w:ascii="宋体" w:hAnsi="宋体"/>
          <w:kern w:val="0"/>
          <w:sz w:val="24"/>
          <w:lang w:val="zh-CN"/>
        </w:rPr>
        <w:t>过程中严格执行检修工艺，每违反一次考核500元及以上。</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w:t>
      </w:r>
      <w:r>
        <w:rPr>
          <w:rFonts w:hint="eastAsia" w:ascii="宋体" w:hAnsi="宋体"/>
          <w:kern w:val="0"/>
          <w:sz w:val="24"/>
        </w:rPr>
        <w:t>8</w:t>
      </w:r>
      <w:r>
        <w:rPr>
          <w:rFonts w:hint="eastAsia" w:ascii="宋体" w:hAnsi="宋体"/>
          <w:kern w:val="0"/>
          <w:sz w:val="24"/>
          <w:lang w:val="zh-CN"/>
        </w:rPr>
        <w:t>严格执行计划工作安排，计划工作完成不及时、完成质量不达要求、推诿扯皮的，每项考核500元及以上。</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w:t>
      </w:r>
      <w:r>
        <w:rPr>
          <w:rFonts w:hint="eastAsia" w:ascii="宋体" w:hAnsi="宋体"/>
          <w:kern w:val="0"/>
          <w:sz w:val="24"/>
        </w:rPr>
        <w:t>9</w:t>
      </w:r>
      <w:r>
        <w:rPr>
          <w:rFonts w:hint="eastAsia" w:ascii="宋体" w:hAnsi="宋体"/>
          <w:kern w:val="0"/>
          <w:sz w:val="24"/>
          <w:lang w:val="en-US" w:eastAsia="zh-CN"/>
        </w:rPr>
        <w:t>项目实施</w:t>
      </w:r>
      <w:r>
        <w:rPr>
          <w:rFonts w:hint="eastAsia" w:ascii="宋体" w:hAnsi="宋体"/>
          <w:kern w:val="0"/>
          <w:sz w:val="24"/>
          <w:lang w:val="zh-CN"/>
        </w:rPr>
        <w:t>过程中因特殊原因需要招标人来完成投标人合同范围内的项目，按</w:t>
      </w:r>
      <w:r>
        <w:rPr>
          <w:rFonts w:hint="eastAsia" w:ascii="宋体" w:hAnsi="宋体"/>
          <w:kern w:val="0"/>
          <w:sz w:val="24"/>
        </w:rPr>
        <w:t>实际工作量</w:t>
      </w:r>
      <w:r>
        <w:rPr>
          <w:rFonts w:hint="eastAsia" w:ascii="宋体" w:hAnsi="宋体"/>
          <w:kern w:val="0"/>
          <w:sz w:val="24"/>
          <w:lang w:val="zh-CN"/>
        </w:rPr>
        <w:t>进行扣除。</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0</w:t>
      </w:r>
      <w:r>
        <w:rPr>
          <w:rFonts w:hint="eastAsia" w:ascii="宋体" w:hAnsi="宋体"/>
          <w:kern w:val="0"/>
          <w:sz w:val="24"/>
          <w:lang w:val="en-US" w:eastAsia="zh-CN"/>
        </w:rPr>
        <w:t>项目实施</w:t>
      </w:r>
      <w:r>
        <w:rPr>
          <w:rFonts w:hint="eastAsia" w:ascii="宋体" w:hAnsi="宋体"/>
          <w:kern w:val="0"/>
          <w:sz w:val="24"/>
          <w:lang w:val="zh-CN"/>
        </w:rPr>
        <w:t>过程中因废弃物处置不当造成的油、水、灰等环境污染事件，发生一次考核2000元，并由投标人承担全部责任。</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1</w:t>
      </w:r>
      <w:r>
        <w:rPr>
          <w:rFonts w:hint="eastAsia" w:ascii="宋体" w:hAnsi="宋体"/>
          <w:kern w:val="0"/>
          <w:sz w:val="24"/>
          <w:lang w:val="en-US" w:eastAsia="zh-CN"/>
        </w:rPr>
        <w:t>项目实施</w:t>
      </w:r>
      <w:r>
        <w:rPr>
          <w:rFonts w:hint="eastAsia" w:ascii="宋体" w:hAnsi="宋体"/>
          <w:kern w:val="0"/>
          <w:sz w:val="24"/>
          <w:lang w:val="zh-CN"/>
        </w:rPr>
        <w:t>过程中发现拆卸的零部件和工器具未按规定位置摆放或未摆放在橡胶垫上每处考核200元。</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2</w:t>
      </w:r>
      <w:r>
        <w:rPr>
          <w:rFonts w:hint="eastAsia" w:ascii="宋体" w:hAnsi="宋体"/>
          <w:kern w:val="0"/>
          <w:sz w:val="24"/>
          <w:lang w:val="zh-CN"/>
        </w:rPr>
        <w:t>凡由投标人</w:t>
      </w:r>
      <w:r>
        <w:rPr>
          <w:rFonts w:hint="eastAsia" w:ascii="宋体" w:hAnsi="宋体"/>
          <w:kern w:val="0"/>
          <w:sz w:val="24"/>
        </w:rPr>
        <w:t>在</w:t>
      </w:r>
      <w:r>
        <w:rPr>
          <w:rFonts w:hint="eastAsia" w:ascii="宋体" w:hAnsi="宋体"/>
          <w:kern w:val="0"/>
          <w:sz w:val="24"/>
          <w:lang w:val="en-US" w:eastAsia="zh-CN"/>
        </w:rPr>
        <w:t>项目实施</w:t>
      </w:r>
      <w:r>
        <w:rPr>
          <w:rFonts w:hint="eastAsia" w:ascii="宋体" w:hAnsi="宋体"/>
          <w:kern w:val="0"/>
          <w:sz w:val="24"/>
        </w:rPr>
        <w:t>过程中</w:t>
      </w:r>
      <w:r>
        <w:rPr>
          <w:rFonts w:hint="eastAsia" w:ascii="宋体" w:hAnsi="宋体"/>
          <w:kern w:val="0"/>
          <w:sz w:val="24"/>
          <w:lang w:val="zh-CN"/>
        </w:rPr>
        <w:t>拆除的设备</w:t>
      </w:r>
      <w:r>
        <w:rPr>
          <w:rFonts w:hint="eastAsia" w:ascii="宋体" w:hAnsi="宋体"/>
          <w:kern w:val="0"/>
          <w:sz w:val="24"/>
        </w:rPr>
        <w:t>及</w:t>
      </w:r>
      <w:r>
        <w:rPr>
          <w:rFonts w:hint="eastAsia" w:ascii="宋体" w:hAnsi="宋体"/>
          <w:kern w:val="0"/>
          <w:sz w:val="24"/>
          <w:lang w:val="zh-CN"/>
        </w:rPr>
        <w:t>阀门命名标牌，修后未恢复的，</w:t>
      </w:r>
      <w:r>
        <w:rPr>
          <w:rFonts w:hint="eastAsia" w:ascii="宋体" w:hAnsi="宋体"/>
          <w:kern w:val="0"/>
          <w:sz w:val="24"/>
        </w:rPr>
        <w:t>或</w:t>
      </w:r>
      <w:r>
        <w:rPr>
          <w:rFonts w:hint="eastAsia" w:ascii="宋体" w:hAnsi="宋体"/>
          <w:kern w:val="0"/>
          <w:sz w:val="24"/>
          <w:lang w:val="zh-CN"/>
        </w:rPr>
        <w:t>恢复的</w:t>
      </w:r>
      <w:r>
        <w:rPr>
          <w:rFonts w:hint="eastAsia" w:ascii="宋体" w:hAnsi="宋体"/>
          <w:kern w:val="0"/>
          <w:sz w:val="24"/>
        </w:rPr>
        <w:t>错误的，</w:t>
      </w:r>
      <w:r>
        <w:rPr>
          <w:rFonts w:hint="eastAsia" w:ascii="宋体" w:hAnsi="宋体"/>
          <w:kern w:val="0"/>
          <w:sz w:val="24"/>
          <w:lang w:val="zh-CN"/>
        </w:rPr>
        <w:t>按每</w:t>
      </w:r>
      <w:r>
        <w:rPr>
          <w:rFonts w:hint="eastAsia" w:ascii="宋体" w:hAnsi="宋体"/>
          <w:kern w:val="0"/>
          <w:sz w:val="24"/>
        </w:rPr>
        <w:t>处</w:t>
      </w:r>
      <w:r>
        <w:rPr>
          <w:rFonts w:hint="eastAsia" w:ascii="宋体" w:hAnsi="宋体"/>
          <w:kern w:val="0"/>
          <w:sz w:val="24"/>
          <w:lang w:val="zh-CN"/>
        </w:rPr>
        <w:t>100元进行考核，</w:t>
      </w:r>
      <w:r>
        <w:rPr>
          <w:rFonts w:hint="eastAsia" w:ascii="宋体" w:hAnsi="宋体"/>
          <w:kern w:val="0"/>
          <w:sz w:val="24"/>
        </w:rPr>
        <w:t>并按要求做到即查即改</w:t>
      </w:r>
      <w:r>
        <w:rPr>
          <w:rFonts w:hint="eastAsia" w:ascii="宋体" w:hAnsi="宋体"/>
          <w:kern w:val="0"/>
          <w:sz w:val="24"/>
          <w:lang w:val="zh-CN"/>
        </w:rPr>
        <w:t>。</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3</w:t>
      </w:r>
      <w:r>
        <w:rPr>
          <w:rFonts w:hint="eastAsia" w:ascii="宋体" w:hAnsi="宋体"/>
          <w:kern w:val="0"/>
          <w:sz w:val="24"/>
          <w:lang w:val="zh-CN"/>
        </w:rPr>
        <w:t xml:space="preserve">凡由招标人提出的整改意见未按期整改的，每项考核500元。 </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4</w:t>
      </w:r>
      <w:r>
        <w:rPr>
          <w:rFonts w:hint="eastAsia" w:ascii="宋体" w:hAnsi="宋体"/>
          <w:kern w:val="0"/>
          <w:sz w:val="24"/>
          <w:lang w:val="zh-CN"/>
        </w:rPr>
        <w:t>项目质量验收不通过时，视具体情况进行考核，最低考核500元/次，再次验收不合格加倍考核。</w:t>
      </w:r>
    </w:p>
    <w:p>
      <w:pPr>
        <w:widowControl/>
        <w:adjustRightInd w:val="0"/>
        <w:snapToGrid w:val="0"/>
        <w:spacing w:line="300" w:lineRule="auto"/>
        <w:rPr>
          <w:rFonts w:ascii="宋体" w:hAnsi="宋体"/>
          <w:kern w:val="0"/>
          <w:sz w:val="24"/>
          <w:lang w:val="zh-CN"/>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5</w:t>
      </w:r>
      <w:r>
        <w:rPr>
          <w:rFonts w:hint="eastAsia" w:ascii="宋体" w:hAnsi="宋体"/>
          <w:kern w:val="0"/>
          <w:sz w:val="24"/>
          <w:lang w:val="zh-CN"/>
        </w:rPr>
        <w:t>确保</w:t>
      </w:r>
      <w:r>
        <w:rPr>
          <w:rFonts w:hint="eastAsia" w:ascii="宋体" w:hAnsi="宋体"/>
          <w:kern w:val="0"/>
          <w:sz w:val="24"/>
          <w:lang w:val="en-US" w:eastAsia="zh-CN"/>
        </w:rPr>
        <w:t>项目实施</w:t>
      </w:r>
      <w:r>
        <w:rPr>
          <w:rFonts w:hint="eastAsia" w:ascii="宋体" w:hAnsi="宋体"/>
          <w:kern w:val="0"/>
          <w:sz w:val="24"/>
          <w:lang w:val="zh-CN"/>
        </w:rPr>
        <w:t>质量，不发生返工现象，每发生一次扣减</w:t>
      </w:r>
      <w:r>
        <w:rPr>
          <w:rFonts w:hint="eastAsia" w:ascii="宋体" w:hAnsi="宋体"/>
          <w:kern w:val="0"/>
          <w:sz w:val="24"/>
        </w:rPr>
        <w:t>1000</w:t>
      </w:r>
      <w:r>
        <w:rPr>
          <w:rFonts w:hint="eastAsia" w:ascii="宋体" w:hAnsi="宋体"/>
          <w:kern w:val="0"/>
          <w:sz w:val="24"/>
          <w:lang w:val="zh-CN"/>
        </w:rPr>
        <w:t>元。</w:t>
      </w:r>
    </w:p>
    <w:p>
      <w:pPr>
        <w:widowControl/>
        <w:adjustRightInd w:val="0"/>
        <w:snapToGrid w:val="0"/>
        <w:spacing w:line="300" w:lineRule="auto"/>
        <w:rPr>
          <w:rFonts w:ascii="宋体"/>
        </w:rPr>
      </w:pPr>
      <w:r>
        <w:rPr>
          <w:rFonts w:hint="eastAsia" w:ascii="宋体" w:hAnsi="宋体"/>
          <w:kern w:val="0"/>
          <w:sz w:val="24"/>
          <w:lang w:val="zh-CN"/>
        </w:rPr>
        <w:t>1</w:t>
      </w:r>
      <w:r>
        <w:rPr>
          <w:rFonts w:hint="eastAsia" w:ascii="宋体" w:hAnsi="宋体"/>
          <w:kern w:val="0"/>
          <w:sz w:val="24"/>
        </w:rPr>
        <w:t>1</w:t>
      </w:r>
      <w:r>
        <w:rPr>
          <w:rFonts w:hint="eastAsia" w:ascii="宋体" w:hAnsi="宋体"/>
          <w:kern w:val="0"/>
          <w:sz w:val="24"/>
          <w:lang w:val="zh-CN"/>
        </w:rPr>
        <w:t>.2.1</w:t>
      </w:r>
      <w:r>
        <w:rPr>
          <w:rFonts w:hint="eastAsia" w:ascii="宋体" w:hAnsi="宋体"/>
          <w:kern w:val="0"/>
          <w:sz w:val="24"/>
        </w:rPr>
        <w:t>6</w:t>
      </w:r>
      <w:r>
        <w:rPr>
          <w:rFonts w:hint="eastAsia" w:ascii="宋体" w:hAnsi="宋体"/>
          <w:kern w:val="0"/>
          <w:sz w:val="24"/>
          <w:lang w:val="zh-CN"/>
        </w:rPr>
        <w:t>竣工资料不合格或不能满足验收条件，每项考核500元。</w:t>
      </w:r>
    </w:p>
    <w:sectPr>
      <w:headerReference r:id="rId4" w:type="default"/>
      <w:footerReference r:id="rId5" w:type="default"/>
      <w:pgSz w:w="11907" w:h="16840"/>
      <w:pgMar w:top="1440" w:right="1800" w:bottom="1440" w:left="1800" w:header="885" w:footer="533" w:gutter="0"/>
      <w:pgNumType w:start="1"/>
      <w:cols w:space="720" w:num="1"/>
      <w:docGrid w:linePitch="317" w:charSpace="35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FangSong_GB2312">
    <w:altName w:val="仿宋"/>
    <w:panose1 w:val="02010609060101010101"/>
    <w:charset w:val="86"/>
    <w:family w:val="moder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pPr>
    <w:r>
      <w:drawing>
        <wp:inline distT="0" distB="0" distL="114300" distR="114300">
          <wp:extent cx="1609725" cy="262255"/>
          <wp:effectExtent l="0" t="0" r="9525" b="444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
                  <a:stretch>
                    <a:fillRect/>
                  </a:stretch>
                </pic:blipFill>
                <pic:spPr>
                  <a:xfrm>
                    <a:off x="0" y="0"/>
                    <a:ext cx="1609725" cy="26225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w:drawing>
        <wp:inline distT="0" distB="0" distL="114300" distR="114300">
          <wp:extent cx="1609725" cy="262255"/>
          <wp:effectExtent l="0" t="0" r="9525"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
                  <a:stretch>
                    <a:fillRect/>
                  </a:stretch>
                </pic:blipFill>
                <pic:spPr>
                  <a:xfrm>
                    <a:off x="0" y="0"/>
                    <a:ext cx="1609725" cy="2622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10E4AA"/>
    <w:multiLevelType w:val="singleLevel"/>
    <w:tmpl w:val="9B10E4AA"/>
    <w:lvl w:ilvl="0" w:tentative="0">
      <w:start w:val="1"/>
      <w:numFmt w:val="decimal"/>
      <w:pStyle w:val="8"/>
      <w:lvlText w:val="%1."/>
      <w:lvlJc w:val="left"/>
      <w:pPr>
        <w:tabs>
          <w:tab w:val="left" w:pos="2040"/>
        </w:tabs>
        <w:ind w:left="2040" w:hanging="360"/>
      </w:pPr>
    </w:lvl>
  </w:abstractNum>
  <w:abstractNum w:abstractNumId="1">
    <w:nsid w:val="B51CF67A"/>
    <w:multiLevelType w:val="multilevel"/>
    <w:tmpl w:val="B51CF67A"/>
    <w:lvl w:ilvl="0" w:tentative="0">
      <w:start w:val="1"/>
      <w:numFmt w:val="decimal"/>
      <w:suff w:val="space"/>
      <w:lvlText w:val="2.%1"/>
      <w:lvlJc w:val="left"/>
      <w:pPr>
        <w:tabs>
          <w:tab w:val="left" w:pos="0"/>
        </w:tabs>
        <w:ind w:left="454" w:hanging="454"/>
      </w:pPr>
      <w:rPr>
        <w:rFonts w:hint="default"/>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2">
    <w:nsid w:val="BBD26B34"/>
    <w:multiLevelType w:val="multilevel"/>
    <w:tmpl w:val="BBD26B34"/>
    <w:lvl w:ilvl="0" w:tentative="0">
      <w:start w:val="1"/>
      <w:numFmt w:val="decimal"/>
      <w:suff w:val="space"/>
      <w:lvlText w:val="5.1.%1"/>
      <w:lvlJc w:val="left"/>
      <w:pPr>
        <w:tabs>
          <w:tab w:val="left" w:pos="0"/>
        </w:tabs>
        <w:ind w:left="454" w:hanging="454"/>
      </w:pPr>
      <w:rPr>
        <w:rFonts w:hint="default"/>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3">
    <w:nsid w:val="BE4D863B"/>
    <w:multiLevelType w:val="singleLevel"/>
    <w:tmpl w:val="BE4D863B"/>
    <w:lvl w:ilvl="0" w:tentative="0">
      <w:start w:val="1"/>
      <w:numFmt w:val="decimal"/>
      <w:suff w:val="nothing"/>
      <w:lvlText w:val="%1）"/>
      <w:lvlJc w:val="left"/>
    </w:lvl>
  </w:abstractNum>
  <w:abstractNum w:abstractNumId="4">
    <w:nsid w:val="C23DB67C"/>
    <w:multiLevelType w:val="multilevel"/>
    <w:tmpl w:val="C23DB67C"/>
    <w:lvl w:ilvl="0" w:tentative="0">
      <w:start w:val="1"/>
      <w:numFmt w:val="decimal"/>
      <w:suff w:val="space"/>
      <w:lvlText w:val="6.%1"/>
      <w:lvlJc w:val="left"/>
      <w:pPr>
        <w:tabs>
          <w:tab w:val="left" w:pos="0"/>
        </w:tabs>
        <w:ind w:left="454" w:hanging="454"/>
      </w:pPr>
      <w:rPr>
        <w:rFonts w:hint="default"/>
        <w:szCs w:val="24"/>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5">
    <w:nsid w:val="FFFFFFFB"/>
    <w:multiLevelType w:val="multilevel"/>
    <w:tmpl w:val="FFFFFFFB"/>
    <w:lvl w:ilvl="0" w:tentative="0">
      <w:start w:val="1"/>
      <w:numFmt w:val="chineseCountingThousand"/>
      <w:pStyle w:val="3"/>
      <w:lvlText w:val="第%1部分"/>
      <w:legacy w:legacy="1" w:legacySpace="0" w:legacyIndent="0"/>
      <w:lvlJc w:val="left"/>
    </w:lvl>
    <w:lvl w:ilvl="1" w:tentative="0">
      <w:start w:val="1"/>
      <w:numFmt w:val="none"/>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abstractNum w:abstractNumId="6">
    <w:nsid w:val="0846E3AC"/>
    <w:multiLevelType w:val="singleLevel"/>
    <w:tmpl w:val="0846E3AC"/>
    <w:lvl w:ilvl="0" w:tentative="0">
      <w:start w:val="1"/>
      <w:numFmt w:val="decimal"/>
      <w:lvlText w:val="%1)"/>
      <w:lvlJc w:val="left"/>
      <w:pPr>
        <w:ind w:left="-55" w:hanging="425"/>
      </w:pPr>
      <w:rPr>
        <w:rFonts w:hint="default"/>
      </w:rPr>
    </w:lvl>
  </w:abstractNum>
  <w:abstractNum w:abstractNumId="7">
    <w:nsid w:val="0F236297"/>
    <w:multiLevelType w:val="multilevel"/>
    <w:tmpl w:val="0F236297"/>
    <w:lvl w:ilvl="0" w:tentative="0">
      <w:start w:val="1"/>
      <w:numFmt w:val="decimal"/>
      <w:suff w:val="space"/>
      <w:lvlText w:val="1.%1"/>
      <w:lvlJc w:val="left"/>
      <w:pPr>
        <w:ind w:left="454" w:hanging="454"/>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8">
    <w:nsid w:val="212CD448"/>
    <w:multiLevelType w:val="multilevel"/>
    <w:tmpl w:val="212CD448"/>
    <w:lvl w:ilvl="0" w:tentative="0">
      <w:start w:val="1"/>
      <w:numFmt w:val="decimal"/>
      <w:suff w:val="space"/>
      <w:lvlText w:val="5.2.%1"/>
      <w:lvlJc w:val="left"/>
      <w:pPr>
        <w:tabs>
          <w:tab w:val="left" w:pos="0"/>
        </w:tabs>
        <w:ind w:left="454" w:hanging="454"/>
      </w:pPr>
      <w:rPr>
        <w:rFonts w:hint="default" w:ascii="宋体" w:hAnsi="宋体" w:eastAsia="宋体" w:cs="宋体"/>
        <w:sz w:val="24"/>
        <w:szCs w:val="24"/>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9">
    <w:nsid w:val="24B6D639"/>
    <w:multiLevelType w:val="multilevel"/>
    <w:tmpl w:val="24B6D639"/>
    <w:lvl w:ilvl="0" w:tentative="0">
      <w:start w:val="1"/>
      <w:numFmt w:val="decimal"/>
      <w:suff w:val="space"/>
      <w:lvlText w:val="5.3.%1"/>
      <w:lvlJc w:val="left"/>
      <w:pPr>
        <w:tabs>
          <w:tab w:val="left" w:pos="0"/>
        </w:tabs>
        <w:ind w:left="454" w:hanging="454"/>
      </w:pPr>
      <w:rPr>
        <w:rFonts w:hint="default" w:ascii="宋体" w:hAnsi="宋体" w:eastAsia="宋体" w:cs="宋体"/>
        <w:sz w:val="24"/>
        <w:szCs w:val="24"/>
      </w:rPr>
    </w:lvl>
    <w:lvl w:ilvl="1" w:tentative="0">
      <w:start w:val="1"/>
      <w:numFmt w:val="lowerLetter"/>
      <w:lvlText w:val="%2)"/>
      <w:lvlJc w:val="left"/>
      <w:pPr>
        <w:ind w:left="360" w:hanging="420"/>
      </w:pPr>
      <w:rPr>
        <w:rFonts w:hint="default"/>
      </w:rPr>
    </w:lvl>
    <w:lvl w:ilvl="2" w:tentative="0">
      <w:start w:val="1"/>
      <w:numFmt w:val="lowerRoman"/>
      <w:lvlText w:val="%3."/>
      <w:lvlJc w:val="right"/>
      <w:pPr>
        <w:ind w:left="780" w:hanging="420"/>
      </w:pPr>
      <w:rPr>
        <w:rFonts w:hint="default"/>
      </w:rPr>
    </w:lvl>
    <w:lvl w:ilvl="3" w:tentative="0">
      <w:start w:val="1"/>
      <w:numFmt w:val="decimal"/>
      <w:lvlText w:val="%4."/>
      <w:lvlJc w:val="left"/>
      <w:pPr>
        <w:ind w:left="1200" w:hanging="420"/>
      </w:pPr>
      <w:rPr>
        <w:rFonts w:hint="default"/>
      </w:rPr>
    </w:lvl>
    <w:lvl w:ilvl="4" w:tentative="0">
      <w:start w:val="1"/>
      <w:numFmt w:val="lowerLetter"/>
      <w:lvlText w:val="%5)"/>
      <w:lvlJc w:val="left"/>
      <w:pPr>
        <w:ind w:left="1620" w:hanging="420"/>
      </w:pPr>
      <w:rPr>
        <w:rFonts w:hint="default"/>
      </w:rPr>
    </w:lvl>
    <w:lvl w:ilvl="5" w:tentative="0">
      <w:start w:val="1"/>
      <w:numFmt w:val="lowerRoman"/>
      <w:lvlText w:val="%6."/>
      <w:lvlJc w:val="right"/>
      <w:pPr>
        <w:ind w:left="2040" w:hanging="420"/>
      </w:pPr>
      <w:rPr>
        <w:rFonts w:hint="default"/>
      </w:rPr>
    </w:lvl>
    <w:lvl w:ilvl="6" w:tentative="0">
      <w:start w:val="1"/>
      <w:numFmt w:val="decimal"/>
      <w:lvlText w:val="%7."/>
      <w:lvlJc w:val="left"/>
      <w:pPr>
        <w:ind w:left="2460" w:hanging="420"/>
      </w:pPr>
      <w:rPr>
        <w:rFonts w:hint="default"/>
      </w:rPr>
    </w:lvl>
    <w:lvl w:ilvl="7" w:tentative="0">
      <w:start w:val="1"/>
      <w:numFmt w:val="lowerLetter"/>
      <w:lvlText w:val="%8)"/>
      <w:lvlJc w:val="left"/>
      <w:pPr>
        <w:ind w:left="2880" w:hanging="420"/>
      </w:pPr>
      <w:rPr>
        <w:rFonts w:hint="default"/>
      </w:rPr>
    </w:lvl>
    <w:lvl w:ilvl="8" w:tentative="0">
      <w:start w:val="1"/>
      <w:numFmt w:val="lowerRoman"/>
      <w:lvlText w:val="%9."/>
      <w:lvlJc w:val="right"/>
      <w:pPr>
        <w:ind w:left="3300" w:hanging="420"/>
      </w:pPr>
      <w:rPr>
        <w:rFonts w:hint="default"/>
      </w:rPr>
    </w:lvl>
  </w:abstractNum>
  <w:abstractNum w:abstractNumId="10">
    <w:nsid w:val="273B322A"/>
    <w:multiLevelType w:val="multilevel"/>
    <w:tmpl w:val="273B322A"/>
    <w:lvl w:ilvl="0" w:tentative="0">
      <w:start w:val="1"/>
      <w:numFmt w:val="decimal"/>
      <w:suff w:val="space"/>
      <w:lvlText w:val="2.5.%1"/>
      <w:lvlJc w:val="left"/>
      <w:pPr>
        <w:ind w:left="397" w:hanging="397"/>
      </w:pPr>
      <w:rPr>
        <w:rFonts w:hint="eastAsia"/>
      </w:rPr>
    </w:lvl>
    <w:lvl w:ilvl="1" w:tentative="0">
      <w:start w:val="1"/>
      <w:numFmt w:val="lowerLetter"/>
      <w:lvlText w:val="%2)"/>
      <w:lvlJc w:val="left"/>
      <w:pPr>
        <w:ind w:left="76" w:hanging="420"/>
      </w:pPr>
    </w:lvl>
    <w:lvl w:ilvl="2" w:tentative="0">
      <w:start w:val="1"/>
      <w:numFmt w:val="lowerRoman"/>
      <w:lvlText w:val="%3."/>
      <w:lvlJc w:val="right"/>
      <w:pPr>
        <w:ind w:left="496" w:hanging="420"/>
      </w:pPr>
    </w:lvl>
    <w:lvl w:ilvl="3" w:tentative="0">
      <w:start w:val="1"/>
      <w:numFmt w:val="decimal"/>
      <w:lvlText w:val="%4."/>
      <w:lvlJc w:val="left"/>
      <w:pPr>
        <w:ind w:left="916" w:hanging="420"/>
      </w:pPr>
    </w:lvl>
    <w:lvl w:ilvl="4" w:tentative="0">
      <w:start w:val="1"/>
      <w:numFmt w:val="lowerLetter"/>
      <w:lvlText w:val="%5)"/>
      <w:lvlJc w:val="left"/>
      <w:pPr>
        <w:ind w:left="1336" w:hanging="420"/>
      </w:pPr>
    </w:lvl>
    <w:lvl w:ilvl="5" w:tentative="0">
      <w:start w:val="1"/>
      <w:numFmt w:val="lowerRoman"/>
      <w:lvlText w:val="%6."/>
      <w:lvlJc w:val="right"/>
      <w:pPr>
        <w:ind w:left="1756" w:hanging="420"/>
      </w:pPr>
    </w:lvl>
    <w:lvl w:ilvl="6" w:tentative="0">
      <w:start w:val="1"/>
      <w:numFmt w:val="decimal"/>
      <w:lvlText w:val="%7."/>
      <w:lvlJc w:val="left"/>
      <w:pPr>
        <w:ind w:left="2176" w:hanging="420"/>
      </w:pPr>
    </w:lvl>
    <w:lvl w:ilvl="7" w:tentative="0">
      <w:start w:val="1"/>
      <w:numFmt w:val="lowerLetter"/>
      <w:lvlText w:val="%8)"/>
      <w:lvlJc w:val="left"/>
      <w:pPr>
        <w:ind w:left="2596" w:hanging="420"/>
      </w:pPr>
    </w:lvl>
    <w:lvl w:ilvl="8" w:tentative="0">
      <w:start w:val="1"/>
      <w:numFmt w:val="lowerRoman"/>
      <w:lvlText w:val="%9."/>
      <w:lvlJc w:val="right"/>
      <w:pPr>
        <w:ind w:left="3016" w:hanging="420"/>
      </w:pPr>
    </w:lvl>
  </w:abstractNum>
  <w:abstractNum w:abstractNumId="11">
    <w:nsid w:val="2F6E53E9"/>
    <w:multiLevelType w:val="multilevel"/>
    <w:tmpl w:val="2F6E53E9"/>
    <w:lvl w:ilvl="0" w:tentative="0">
      <w:start w:val="1"/>
      <w:numFmt w:val="decimal"/>
      <w:suff w:val="space"/>
      <w:lvlText w:val="(%1)"/>
      <w:lvlJc w:val="left"/>
      <w:pPr>
        <w:ind w:left="900" w:hanging="420"/>
      </w:pPr>
      <w:rPr>
        <w:rFonts w:hint="eastAsia"/>
      </w:rPr>
    </w:lvl>
    <w:lvl w:ilvl="1" w:tentative="0">
      <w:start w:val="1"/>
      <w:numFmt w:val="lowerLetter"/>
      <w:lvlText w:val="%2)"/>
      <w:lvlJc w:val="left"/>
      <w:pPr>
        <w:ind w:left="1294" w:hanging="420"/>
      </w:pPr>
    </w:lvl>
    <w:lvl w:ilvl="2" w:tentative="0">
      <w:start w:val="1"/>
      <w:numFmt w:val="lowerRoman"/>
      <w:lvlText w:val="%3."/>
      <w:lvlJc w:val="right"/>
      <w:pPr>
        <w:ind w:left="1714" w:hanging="420"/>
      </w:pPr>
    </w:lvl>
    <w:lvl w:ilvl="3" w:tentative="0">
      <w:start w:val="1"/>
      <w:numFmt w:val="decimal"/>
      <w:lvlText w:val="%4."/>
      <w:lvlJc w:val="left"/>
      <w:pPr>
        <w:ind w:left="2134" w:hanging="420"/>
      </w:pPr>
    </w:lvl>
    <w:lvl w:ilvl="4" w:tentative="0">
      <w:start w:val="1"/>
      <w:numFmt w:val="lowerLetter"/>
      <w:lvlText w:val="%5)"/>
      <w:lvlJc w:val="left"/>
      <w:pPr>
        <w:ind w:left="2554" w:hanging="420"/>
      </w:pPr>
    </w:lvl>
    <w:lvl w:ilvl="5" w:tentative="0">
      <w:start w:val="1"/>
      <w:numFmt w:val="lowerRoman"/>
      <w:lvlText w:val="%6."/>
      <w:lvlJc w:val="right"/>
      <w:pPr>
        <w:ind w:left="2974" w:hanging="420"/>
      </w:pPr>
    </w:lvl>
    <w:lvl w:ilvl="6" w:tentative="0">
      <w:start w:val="1"/>
      <w:numFmt w:val="decimal"/>
      <w:lvlText w:val="%7."/>
      <w:lvlJc w:val="left"/>
      <w:pPr>
        <w:ind w:left="3394" w:hanging="420"/>
      </w:pPr>
    </w:lvl>
    <w:lvl w:ilvl="7" w:tentative="0">
      <w:start w:val="1"/>
      <w:numFmt w:val="lowerLetter"/>
      <w:lvlText w:val="%8)"/>
      <w:lvlJc w:val="left"/>
      <w:pPr>
        <w:ind w:left="3814" w:hanging="420"/>
      </w:pPr>
    </w:lvl>
    <w:lvl w:ilvl="8" w:tentative="0">
      <w:start w:val="1"/>
      <w:numFmt w:val="lowerRoman"/>
      <w:lvlText w:val="%9."/>
      <w:lvlJc w:val="right"/>
      <w:pPr>
        <w:ind w:left="4234" w:hanging="420"/>
      </w:pPr>
    </w:lvl>
  </w:abstractNum>
  <w:abstractNum w:abstractNumId="12">
    <w:nsid w:val="30E20777"/>
    <w:multiLevelType w:val="multilevel"/>
    <w:tmpl w:val="30E20777"/>
    <w:lvl w:ilvl="0" w:tentative="0">
      <w:start w:val="1"/>
      <w:numFmt w:val="decimal"/>
      <w:pStyle w:val="36"/>
      <w:lvlText w:val="2.%1"/>
      <w:lvlJc w:val="left"/>
      <w:pPr>
        <w:ind w:left="42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1F2BB1B"/>
    <w:multiLevelType w:val="multilevel"/>
    <w:tmpl w:val="31F2BB1B"/>
    <w:lvl w:ilvl="0" w:tentative="0">
      <w:start w:val="1"/>
      <w:numFmt w:val="decimal"/>
      <w:suff w:val="space"/>
      <w:lvlText w:val="1.%1"/>
      <w:lvlJc w:val="left"/>
      <w:pPr>
        <w:ind w:left="454" w:hanging="454"/>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14">
    <w:nsid w:val="34FE3246"/>
    <w:multiLevelType w:val="multilevel"/>
    <w:tmpl w:val="34FE3246"/>
    <w:lvl w:ilvl="0" w:tentative="0">
      <w:start w:val="1"/>
      <w:numFmt w:val="decimal"/>
      <w:lvlText w:val="%1"/>
      <w:lvlJc w:val="left"/>
      <w:pPr>
        <w:ind w:left="425" w:hanging="425"/>
      </w:pPr>
      <w:rPr>
        <w:rFonts w:hint="eastAsia"/>
      </w:rPr>
    </w:lvl>
    <w:lvl w:ilvl="1" w:tentative="0">
      <w:start w:val="1"/>
      <w:numFmt w:val="decimal"/>
      <w:suff w:val="space"/>
      <w:lvlText w:val="%1.%2"/>
      <w:lvlJc w:val="left"/>
      <w:pPr>
        <w:ind w:left="397" w:hanging="397"/>
      </w:pPr>
      <w:rPr>
        <w:rFonts w:hint="default" w:ascii="宋体" w:hAnsi="宋体" w:eastAsia="宋体" w:cs="宋体"/>
        <w:sz w:val="24"/>
        <w:szCs w:val="24"/>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414C4BD0"/>
    <w:multiLevelType w:val="multilevel"/>
    <w:tmpl w:val="414C4BD0"/>
    <w:lvl w:ilvl="0" w:tentative="0">
      <w:start w:val="1"/>
      <w:numFmt w:val="decimal"/>
      <w:suff w:val="space"/>
      <w:lvlText w:val="2.%1"/>
      <w:lvlJc w:val="left"/>
      <w:pPr>
        <w:ind w:left="454" w:hanging="454"/>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16">
    <w:nsid w:val="42E50149"/>
    <w:multiLevelType w:val="multilevel"/>
    <w:tmpl w:val="42E50149"/>
    <w:lvl w:ilvl="0" w:tentative="0">
      <w:start w:val="1"/>
      <w:numFmt w:val="decimal"/>
      <w:suff w:val="space"/>
      <w:lvlText w:val="2.%1"/>
      <w:lvlJc w:val="left"/>
      <w:pPr>
        <w:ind w:left="681" w:hanging="397"/>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17">
    <w:nsid w:val="52C52764"/>
    <w:multiLevelType w:val="multilevel"/>
    <w:tmpl w:val="52C52764"/>
    <w:lvl w:ilvl="0" w:tentative="0">
      <w:start w:val="7"/>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8">
    <w:nsid w:val="5CF2059E"/>
    <w:multiLevelType w:val="multilevel"/>
    <w:tmpl w:val="5CF2059E"/>
    <w:lvl w:ilvl="0" w:tentative="0">
      <w:start w:val="1"/>
      <w:numFmt w:val="decimal"/>
      <w:suff w:val="space"/>
      <w:lvlText w:val="7.1.%1"/>
      <w:lvlJc w:val="left"/>
      <w:pPr>
        <w:ind w:left="454" w:hanging="454"/>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19">
    <w:nsid w:val="652D3ACD"/>
    <w:multiLevelType w:val="multilevel"/>
    <w:tmpl w:val="652D3ACD"/>
    <w:lvl w:ilvl="0" w:tentative="0">
      <w:start w:val="1"/>
      <w:numFmt w:val="decimal"/>
      <w:lvlText w:val="1.%1"/>
      <w:lvlJc w:val="left"/>
      <w:pPr>
        <w:ind w:left="420" w:hanging="42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73E2596"/>
    <w:multiLevelType w:val="multilevel"/>
    <w:tmpl w:val="673E2596"/>
    <w:lvl w:ilvl="0" w:tentative="0">
      <w:start w:val="1"/>
      <w:numFmt w:val="decimal"/>
      <w:suff w:val="space"/>
      <w:lvlText w:val="5.4.%1"/>
      <w:lvlJc w:val="left"/>
      <w:pPr>
        <w:tabs>
          <w:tab w:val="left" w:pos="0"/>
        </w:tabs>
        <w:ind w:left="454" w:hanging="454"/>
      </w:pPr>
      <w:rPr>
        <w:rFonts w:hint="default" w:ascii="宋体" w:hAnsi="宋体" w:eastAsia="宋体" w:cs="宋体"/>
        <w:sz w:val="24"/>
        <w:szCs w:val="24"/>
      </w:rPr>
    </w:lvl>
    <w:lvl w:ilvl="1" w:tentative="0">
      <w:start w:val="1"/>
      <w:numFmt w:val="lowerLetter"/>
      <w:lvlText w:val="%2)"/>
      <w:lvlJc w:val="left"/>
      <w:pPr>
        <w:ind w:left="360" w:hanging="420"/>
      </w:pPr>
      <w:rPr>
        <w:rFonts w:hint="default"/>
      </w:rPr>
    </w:lvl>
    <w:lvl w:ilvl="2" w:tentative="0">
      <w:start w:val="1"/>
      <w:numFmt w:val="lowerRoman"/>
      <w:lvlText w:val="%3."/>
      <w:lvlJc w:val="right"/>
      <w:pPr>
        <w:ind w:left="780" w:hanging="420"/>
      </w:pPr>
      <w:rPr>
        <w:rFonts w:hint="default"/>
      </w:rPr>
    </w:lvl>
    <w:lvl w:ilvl="3" w:tentative="0">
      <w:start w:val="1"/>
      <w:numFmt w:val="decimal"/>
      <w:lvlText w:val="%4."/>
      <w:lvlJc w:val="left"/>
      <w:pPr>
        <w:ind w:left="1200" w:hanging="420"/>
      </w:pPr>
      <w:rPr>
        <w:rFonts w:hint="default"/>
      </w:rPr>
    </w:lvl>
    <w:lvl w:ilvl="4" w:tentative="0">
      <w:start w:val="1"/>
      <w:numFmt w:val="lowerLetter"/>
      <w:lvlText w:val="%5)"/>
      <w:lvlJc w:val="left"/>
      <w:pPr>
        <w:ind w:left="1620" w:hanging="420"/>
      </w:pPr>
      <w:rPr>
        <w:rFonts w:hint="default"/>
      </w:rPr>
    </w:lvl>
    <w:lvl w:ilvl="5" w:tentative="0">
      <w:start w:val="1"/>
      <w:numFmt w:val="lowerRoman"/>
      <w:lvlText w:val="%6."/>
      <w:lvlJc w:val="right"/>
      <w:pPr>
        <w:ind w:left="2040" w:hanging="420"/>
      </w:pPr>
      <w:rPr>
        <w:rFonts w:hint="default"/>
      </w:rPr>
    </w:lvl>
    <w:lvl w:ilvl="6" w:tentative="0">
      <w:start w:val="1"/>
      <w:numFmt w:val="decimal"/>
      <w:lvlText w:val="%7."/>
      <w:lvlJc w:val="left"/>
      <w:pPr>
        <w:ind w:left="2460" w:hanging="420"/>
      </w:pPr>
      <w:rPr>
        <w:rFonts w:hint="default"/>
      </w:rPr>
    </w:lvl>
    <w:lvl w:ilvl="7" w:tentative="0">
      <w:start w:val="1"/>
      <w:numFmt w:val="lowerLetter"/>
      <w:lvlText w:val="%8)"/>
      <w:lvlJc w:val="left"/>
      <w:pPr>
        <w:ind w:left="2880" w:hanging="420"/>
      </w:pPr>
      <w:rPr>
        <w:rFonts w:hint="default"/>
      </w:rPr>
    </w:lvl>
    <w:lvl w:ilvl="8" w:tentative="0">
      <w:start w:val="1"/>
      <w:numFmt w:val="lowerRoman"/>
      <w:lvlText w:val="%9."/>
      <w:lvlJc w:val="right"/>
      <w:pPr>
        <w:ind w:left="3300" w:hanging="420"/>
      </w:pPr>
      <w:rPr>
        <w:rFonts w:hint="default"/>
      </w:rPr>
    </w:lvl>
  </w:abstractNum>
  <w:abstractNum w:abstractNumId="21">
    <w:nsid w:val="6CEA2025"/>
    <w:multiLevelType w:val="multilevel"/>
    <w:tmpl w:val="6CEA2025"/>
    <w:lvl w:ilvl="0" w:tentative="0">
      <w:start w:val="1"/>
      <w:numFmt w:val="none"/>
      <w:suff w:val="nothing"/>
      <w:lvlText w:val="%1"/>
      <w:lvlJc w:val="left"/>
      <w:pPr>
        <w:ind w:left="2520" w:firstLine="0"/>
      </w:pPr>
      <w:rPr>
        <w:rFonts w:hint="default" w:ascii="Times New Roman" w:hAnsi="Times New Roman" w:cs="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color w:val="auto"/>
        <w:sz w:val="21"/>
      </w:rPr>
    </w:lvl>
    <w:lvl w:ilvl="3" w:tentative="0">
      <w:start w:val="1"/>
      <w:numFmt w:val="decimal"/>
      <w:suff w:val="nothing"/>
      <w:lvlText w:val="%1%2.%3.%4　"/>
      <w:lvlJc w:val="left"/>
      <w:pPr>
        <w:ind w:left="735" w:firstLine="0"/>
      </w:pPr>
      <w:rPr>
        <w:rFonts w:hint="eastAsia" w:ascii="黑体" w:hAnsi="Times New Roman" w:eastAsia="黑体"/>
        <w:b w:val="0"/>
        <w:i w:val="0"/>
        <w:color w:val="auto"/>
        <w:sz w:val="21"/>
      </w:rPr>
    </w:lvl>
    <w:lvl w:ilvl="4" w:tentative="0">
      <w:start w:val="1"/>
      <w:numFmt w:val="decimal"/>
      <w:pStyle w:val="32"/>
      <w:suff w:val="nothing"/>
      <w:lvlText w:val="%1%2.%3.%4.%5　"/>
      <w:lvlJc w:val="left"/>
      <w:pPr>
        <w:ind w:left="0" w:firstLine="0"/>
      </w:pPr>
      <w:rPr>
        <w:rFonts w:hint="eastAsia" w:ascii="黑体" w:hAnsi="Times New Roman" w:eastAsia="黑体"/>
        <w:b w:val="0"/>
        <w:i w:val="0"/>
        <w:color w:val="auto"/>
        <w:sz w:val="21"/>
      </w:rPr>
    </w:lvl>
    <w:lvl w:ilvl="5" w:tentative="0">
      <w:start w:val="1"/>
      <w:numFmt w:val="decimal"/>
      <w:suff w:val="nothing"/>
      <w:lvlText w:val="%1%2.%3.%4.%5.%6　"/>
      <w:lvlJc w:val="left"/>
      <w:pPr>
        <w:ind w:left="1155" w:firstLine="0"/>
      </w:pPr>
      <w:rPr>
        <w:rFonts w:hint="eastAsia" w:ascii="黑体" w:hAnsi="Times New Roman" w:eastAsia="黑体"/>
        <w:b w:val="0"/>
        <w:i w:val="0"/>
        <w:color w:val="auto"/>
        <w:sz w:val="21"/>
      </w:rPr>
    </w:lvl>
    <w:lvl w:ilvl="6" w:tentative="0">
      <w:start w:val="1"/>
      <w:numFmt w:val="decimal"/>
      <w:suff w:val="nothing"/>
      <w:lvlText w:val="%1%2.%3.%4.%5.%6.%7　"/>
      <w:lvlJc w:val="left"/>
      <w:pPr>
        <w:ind w:left="2520" w:firstLine="0"/>
      </w:pPr>
      <w:rPr>
        <w:rFonts w:hint="eastAsia" w:ascii="黑体" w:hAnsi="Times New Roman" w:eastAsia="黑体"/>
        <w:b w:val="0"/>
        <w:i w:val="0"/>
        <w:sz w:val="21"/>
      </w:rPr>
    </w:lvl>
    <w:lvl w:ilvl="7" w:tentative="0">
      <w:start w:val="1"/>
      <w:numFmt w:val="decimal"/>
      <w:lvlText w:val="%1.%2.%3.%4.%5.%6.%7.%8"/>
      <w:lvlJc w:val="left"/>
      <w:pPr>
        <w:tabs>
          <w:tab w:val="left" w:pos="6871"/>
        </w:tabs>
        <w:ind w:left="6489" w:hanging="1418"/>
      </w:pPr>
      <w:rPr>
        <w:rFonts w:hint="eastAsia"/>
      </w:rPr>
    </w:lvl>
    <w:lvl w:ilvl="8" w:tentative="0">
      <w:start w:val="1"/>
      <w:numFmt w:val="decimal"/>
      <w:lvlText w:val="%1.%2.%3.%4.%5.%6.%7.%8.%9"/>
      <w:lvlJc w:val="left"/>
      <w:pPr>
        <w:tabs>
          <w:tab w:val="left" w:pos="7297"/>
        </w:tabs>
        <w:ind w:left="7197" w:hanging="1700"/>
      </w:pPr>
      <w:rPr>
        <w:rFonts w:hint="eastAsia"/>
      </w:rPr>
    </w:lvl>
  </w:abstractNum>
  <w:abstractNum w:abstractNumId="22">
    <w:nsid w:val="6DC975B5"/>
    <w:multiLevelType w:val="multilevel"/>
    <w:tmpl w:val="6DC975B5"/>
    <w:lvl w:ilvl="0" w:tentative="0">
      <w:start w:val="1"/>
      <w:numFmt w:val="decimal"/>
      <w:suff w:val="space"/>
      <w:lvlText w:val="%1."/>
      <w:lvlJc w:val="left"/>
      <w:pPr>
        <w:ind w:left="420" w:hanging="420"/>
      </w:pPr>
      <w:rPr>
        <w:rFonts w:hint="eastAsia"/>
      </w:rPr>
    </w:lvl>
    <w:lvl w:ilvl="1" w:tentative="0">
      <w:start w:val="6"/>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3">
    <w:nsid w:val="766E3D3E"/>
    <w:multiLevelType w:val="multilevel"/>
    <w:tmpl w:val="766E3D3E"/>
    <w:lvl w:ilvl="0" w:tentative="0">
      <w:start w:val="1"/>
      <w:numFmt w:val="decimal"/>
      <w:suff w:val="space"/>
      <w:lvlText w:val="7.2.%1"/>
      <w:lvlJc w:val="left"/>
      <w:pPr>
        <w:ind w:left="454" w:hanging="454"/>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abstractNum w:abstractNumId="24">
    <w:nsid w:val="7BC206D2"/>
    <w:multiLevelType w:val="multilevel"/>
    <w:tmpl w:val="7BC206D2"/>
    <w:lvl w:ilvl="0" w:tentative="0">
      <w:start w:val="1"/>
      <w:numFmt w:val="decimal"/>
      <w:suff w:val="space"/>
      <w:lvlText w:val="1.%1"/>
      <w:lvlJc w:val="left"/>
      <w:pPr>
        <w:ind w:left="454" w:hanging="454"/>
      </w:pPr>
      <w:rPr>
        <w:rFonts w:hint="eastAsia"/>
      </w:rPr>
    </w:lvl>
    <w:lvl w:ilvl="1" w:tentative="0">
      <w:start w:val="1"/>
      <w:numFmt w:val="lowerLetter"/>
      <w:lvlText w:val="%2)"/>
      <w:lvlJc w:val="left"/>
      <w:pPr>
        <w:ind w:left="360" w:hanging="420"/>
      </w:pPr>
    </w:lvl>
    <w:lvl w:ilvl="2" w:tentative="0">
      <w:start w:val="1"/>
      <w:numFmt w:val="lowerRoman"/>
      <w:lvlText w:val="%3."/>
      <w:lvlJc w:val="right"/>
      <w:pPr>
        <w:ind w:left="780" w:hanging="420"/>
      </w:pPr>
    </w:lvl>
    <w:lvl w:ilvl="3" w:tentative="0">
      <w:start w:val="1"/>
      <w:numFmt w:val="decimal"/>
      <w:lvlText w:val="%4."/>
      <w:lvlJc w:val="left"/>
      <w:pPr>
        <w:ind w:left="1200" w:hanging="420"/>
      </w:pPr>
    </w:lvl>
    <w:lvl w:ilvl="4" w:tentative="0">
      <w:start w:val="1"/>
      <w:numFmt w:val="lowerLetter"/>
      <w:lvlText w:val="%5)"/>
      <w:lvlJc w:val="left"/>
      <w:pPr>
        <w:ind w:left="1620" w:hanging="420"/>
      </w:pPr>
    </w:lvl>
    <w:lvl w:ilvl="5" w:tentative="0">
      <w:start w:val="1"/>
      <w:numFmt w:val="lowerRoman"/>
      <w:lvlText w:val="%6."/>
      <w:lvlJc w:val="right"/>
      <w:pPr>
        <w:ind w:left="2040" w:hanging="420"/>
      </w:pPr>
    </w:lvl>
    <w:lvl w:ilvl="6" w:tentative="0">
      <w:start w:val="1"/>
      <w:numFmt w:val="decimal"/>
      <w:lvlText w:val="%7."/>
      <w:lvlJc w:val="left"/>
      <w:pPr>
        <w:ind w:left="2460" w:hanging="420"/>
      </w:pPr>
    </w:lvl>
    <w:lvl w:ilvl="7" w:tentative="0">
      <w:start w:val="1"/>
      <w:numFmt w:val="lowerLetter"/>
      <w:lvlText w:val="%8)"/>
      <w:lvlJc w:val="left"/>
      <w:pPr>
        <w:ind w:left="2880" w:hanging="420"/>
      </w:pPr>
    </w:lvl>
    <w:lvl w:ilvl="8" w:tentative="0">
      <w:start w:val="1"/>
      <w:numFmt w:val="lowerRoman"/>
      <w:lvlText w:val="%9."/>
      <w:lvlJc w:val="right"/>
      <w:pPr>
        <w:ind w:left="3300" w:hanging="420"/>
      </w:pPr>
    </w:lvl>
  </w:abstractNum>
  <w:num w:numId="1">
    <w:abstractNumId w:val="5"/>
  </w:num>
  <w:num w:numId="2">
    <w:abstractNumId w:val="0"/>
  </w:num>
  <w:num w:numId="3">
    <w:abstractNumId w:val="21"/>
  </w:num>
  <w:num w:numId="4">
    <w:abstractNumId w:val="12"/>
  </w:num>
  <w:num w:numId="5">
    <w:abstractNumId w:val="14"/>
  </w:num>
  <w:num w:numId="6">
    <w:abstractNumId w:val="2"/>
  </w:num>
  <w:num w:numId="7">
    <w:abstractNumId w:val="8"/>
  </w:num>
  <w:num w:numId="8">
    <w:abstractNumId w:val="9"/>
  </w:num>
  <w:num w:numId="9">
    <w:abstractNumId w:val="20"/>
  </w:num>
  <w:num w:numId="10">
    <w:abstractNumId w:val="3"/>
  </w:num>
  <w:num w:numId="11">
    <w:abstractNumId w:val="4"/>
  </w:num>
  <w:num w:numId="12">
    <w:abstractNumId w:val="17"/>
  </w:num>
  <w:num w:numId="13">
    <w:abstractNumId w:val="18"/>
  </w:num>
  <w:num w:numId="14">
    <w:abstractNumId w:val="23"/>
  </w:num>
  <w:num w:numId="15">
    <w:abstractNumId w:val="7"/>
  </w:num>
  <w:num w:numId="16">
    <w:abstractNumId w:val="15"/>
  </w:num>
  <w:num w:numId="17">
    <w:abstractNumId w:val="11"/>
  </w:num>
  <w:num w:numId="18">
    <w:abstractNumId w:val="22"/>
  </w:num>
  <w:num w:numId="19">
    <w:abstractNumId w:val="24"/>
  </w:num>
  <w:num w:numId="20">
    <w:abstractNumId w:val="16"/>
  </w:num>
  <w:num w:numId="21">
    <w:abstractNumId w:val="6"/>
  </w:num>
  <w:num w:numId="22">
    <w:abstractNumId w:val="10"/>
  </w:num>
  <w:num w:numId="23">
    <w:abstractNumId w:val="19"/>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D2B"/>
    <w:rsid w:val="000154C7"/>
    <w:rsid w:val="000169FA"/>
    <w:rsid w:val="00060DBD"/>
    <w:rsid w:val="000A101F"/>
    <w:rsid w:val="000A30C3"/>
    <w:rsid w:val="000C6761"/>
    <w:rsid w:val="000E7AC1"/>
    <w:rsid w:val="00111F03"/>
    <w:rsid w:val="001133BC"/>
    <w:rsid w:val="00122FEF"/>
    <w:rsid w:val="00155FD9"/>
    <w:rsid w:val="001737FD"/>
    <w:rsid w:val="00194163"/>
    <w:rsid w:val="001B271E"/>
    <w:rsid w:val="001C0769"/>
    <w:rsid w:val="001C455E"/>
    <w:rsid w:val="001C56A4"/>
    <w:rsid w:val="001D508D"/>
    <w:rsid w:val="00202243"/>
    <w:rsid w:val="00294798"/>
    <w:rsid w:val="002A23B0"/>
    <w:rsid w:val="002A6FEC"/>
    <w:rsid w:val="002D2BCC"/>
    <w:rsid w:val="002E0D2B"/>
    <w:rsid w:val="003227C5"/>
    <w:rsid w:val="00341AFA"/>
    <w:rsid w:val="00354398"/>
    <w:rsid w:val="00367277"/>
    <w:rsid w:val="0037357D"/>
    <w:rsid w:val="003A3C46"/>
    <w:rsid w:val="003D2E00"/>
    <w:rsid w:val="003F1AA9"/>
    <w:rsid w:val="003F281E"/>
    <w:rsid w:val="0044058F"/>
    <w:rsid w:val="00451B50"/>
    <w:rsid w:val="00453853"/>
    <w:rsid w:val="0048275A"/>
    <w:rsid w:val="00495728"/>
    <w:rsid w:val="004E1C3E"/>
    <w:rsid w:val="004F569D"/>
    <w:rsid w:val="00505502"/>
    <w:rsid w:val="00545905"/>
    <w:rsid w:val="00570A41"/>
    <w:rsid w:val="005B4CAC"/>
    <w:rsid w:val="005C109C"/>
    <w:rsid w:val="005D2030"/>
    <w:rsid w:val="005F2D17"/>
    <w:rsid w:val="00601B8E"/>
    <w:rsid w:val="00612033"/>
    <w:rsid w:val="00636F06"/>
    <w:rsid w:val="00643541"/>
    <w:rsid w:val="00656417"/>
    <w:rsid w:val="00683899"/>
    <w:rsid w:val="006A58DC"/>
    <w:rsid w:val="00715305"/>
    <w:rsid w:val="0073552F"/>
    <w:rsid w:val="00774E3B"/>
    <w:rsid w:val="0079139B"/>
    <w:rsid w:val="00813F85"/>
    <w:rsid w:val="00815BFE"/>
    <w:rsid w:val="008956A8"/>
    <w:rsid w:val="008A5899"/>
    <w:rsid w:val="008F6CFD"/>
    <w:rsid w:val="00911E94"/>
    <w:rsid w:val="009305C3"/>
    <w:rsid w:val="009332C4"/>
    <w:rsid w:val="0099477F"/>
    <w:rsid w:val="009B2903"/>
    <w:rsid w:val="009F62B4"/>
    <w:rsid w:val="00A140EB"/>
    <w:rsid w:val="00A221DD"/>
    <w:rsid w:val="00A94009"/>
    <w:rsid w:val="00A97346"/>
    <w:rsid w:val="00AC628B"/>
    <w:rsid w:val="00B4630D"/>
    <w:rsid w:val="00B51B6A"/>
    <w:rsid w:val="00BB12EA"/>
    <w:rsid w:val="00C31F35"/>
    <w:rsid w:val="00C675B3"/>
    <w:rsid w:val="00C967D6"/>
    <w:rsid w:val="00CB42F8"/>
    <w:rsid w:val="00D26F11"/>
    <w:rsid w:val="00D605B4"/>
    <w:rsid w:val="00E011F9"/>
    <w:rsid w:val="00E5483C"/>
    <w:rsid w:val="00E63A16"/>
    <w:rsid w:val="00EB39F0"/>
    <w:rsid w:val="00F17DDE"/>
    <w:rsid w:val="00F57693"/>
    <w:rsid w:val="00F904F2"/>
    <w:rsid w:val="00F90CD1"/>
    <w:rsid w:val="00FB6DE2"/>
    <w:rsid w:val="01606F0F"/>
    <w:rsid w:val="019E58B5"/>
    <w:rsid w:val="01E7372B"/>
    <w:rsid w:val="0216427A"/>
    <w:rsid w:val="022D3E9F"/>
    <w:rsid w:val="02944B48"/>
    <w:rsid w:val="029649F3"/>
    <w:rsid w:val="02CA5022"/>
    <w:rsid w:val="02F12505"/>
    <w:rsid w:val="02F541A8"/>
    <w:rsid w:val="032B7A09"/>
    <w:rsid w:val="03377BD5"/>
    <w:rsid w:val="03572688"/>
    <w:rsid w:val="035A6E90"/>
    <w:rsid w:val="052F6180"/>
    <w:rsid w:val="057A4C59"/>
    <w:rsid w:val="05EF48CA"/>
    <w:rsid w:val="06380C0F"/>
    <w:rsid w:val="06894AC9"/>
    <w:rsid w:val="08217FA4"/>
    <w:rsid w:val="08E97AAB"/>
    <w:rsid w:val="08F118F9"/>
    <w:rsid w:val="0915792B"/>
    <w:rsid w:val="09562436"/>
    <w:rsid w:val="098766B0"/>
    <w:rsid w:val="0AA062FD"/>
    <w:rsid w:val="0AE92A74"/>
    <w:rsid w:val="0AEE55E7"/>
    <w:rsid w:val="0AF918BE"/>
    <w:rsid w:val="0B0B42AD"/>
    <w:rsid w:val="0B2111AB"/>
    <w:rsid w:val="0B4C4D17"/>
    <w:rsid w:val="0B701A53"/>
    <w:rsid w:val="0BAB2E29"/>
    <w:rsid w:val="0BC43A73"/>
    <w:rsid w:val="0C931AD8"/>
    <w:rsid w:val="0D126402"/>
    <w:rsid w:val="0D187AA3"/>
    <w:rsid w:val="0D817DC1"/>
    <w:rsid w:val="0DAE2303"/>
    <w:rsid w:val="0DBF479B"/>
    <w:rsid w:val="0F063405"/>
    <w:rsid w:val="0F9E1BAA"/>
    <w:rsid w:val="108344B5"/>
    <w:rsid w:val="10A27D57"/>
    <w:rsid w:val="10B412F6"/>
    <w:rsid w:val="112C3975"/>
    <w:rsid w:val="1167461D"/>
    <w:rsid w:val="11714F2C"/>
    <w:rsid w:val="11F56A43"/>
    <w:rsid w:val="12E869E7"/>
    <w:rsid w:val="13D27A3A"/>
    <w:rsid w:val="13F0285A"/>
    <w:rsid w:val="141831E3"/>
    <w:rsid w:val="145C3375"/>
    <w:rsid w:val="148524E2"/>
    <w:rsid w:val="14DF1677"/>
    <w:rsid w:val="14FB7287"/>
    <w:rsid w:val="15C11230"/>
    <w:rsid w:val="15EF5AB5"/>
    <w:rsid w:val="16301391"/>
    <w:rsid w:val="16D54D03"/>
    <w:rsid w:val="174B57E7"/>
    <w:rsid w:val="17653E4F"/>
    <w:rsid w:val="182072A4"/>
    <w:rsid w:val="189233A3"/>
    <w:rsid w:val="18CB37DE"/>
    <w:rsid w:val="192856A8"/>
    <w:rsid w:val="1954601C"/>
    <w:rsid w:val="195F02B0"/>
    <w:rsid w:val="196F5999"/>
    <w:rsid w:val="19E90A8E"/>
    <w:rsid w:val="1A1B2562"/>
    <w:rsid w:val="1A7517EE"/>
    <w:rsid w:val="1A8700CE"/>
    <w:rsid w:val="1AF0477A"/>
    <w:rsid w:val="1AF354FB"/>
    <w:rsid w:val="1AFF761C"/>
    <w:rsid w:val="1B724351"/>
    <w:rsid w:val="1C1F0578"/>
    <w:rsid w:val="1C476EFE"/>
    <w:rsid w:val="1C7339BB"/>
    <w:rsid w:val="1D157A55"/>
    <w:rsid w:val="1D615194"/>
    <w:rsid w:val="1D8B6A06"/>
    <w:rsid w:val="1E55190A"/>
    <w:rsid w:val="1EB7038B"/>
    <w:rsid w:val="1EED614B"/>
    <w:rsid w:val="20076D9A"/>
    <w:rsid w:val="20405651"/>
    <w:rsid w:val="20507E4D"/>
    <w:rsid w:val="20525F14"/>
    <w:rsid w:val="215A5DFB"/>
    <w:rsid w:val="216956DC"/>
    <w:rsid w:val="21A60DC4"/>
    <w:rsid w:val="21D532E1"/>
    <w:rsid w:val="21D607ED"/>
    <w:rsid w:val="223F7CBE"/>
    <w:rsid w:val="225D1864"/>
    <w:rsid w:val="2270048D"/>
    <w:rsid w:val="232E7374"/>
    <w:rsid w:val="235C138F"/>
    <w:rsid w:val="236239CA"/>
    <w:rsid w:val="23894DD1"/>
    <w:rsid w:val="23B4797C"/>
    <w:rsid w:val="23FB5A15"/>
    <w:rsid w:val="240A6030"/>
    <w:rsid w:val="24217862"/>
    <w:rsid w:val="24935FF5"/>
    <w:rsid w:val="249B4BA3"/>
    <w:rsid w:val="24B569ED"/>
    <w:rsid w:val="24EB0DAD"/>
    <w:rsid w:val="25351A34"/>
    <w:rsid w:val="264C1C0E"/>
    <w:rsid w:val="269C0568"/>
    <w:rsid w:val="274043C2"/>
    <w:rsid w:val="27484BE3"/>
    <w:rsid w:val="27636CAC"/>
    <w:rsid w:val="27E03FF7"/>
    <w:rsid w:val="27FF0DAB"/>
    <w:rsid w:val="284F3221"/>
    <w:rsid w:val="28DF529E"/>
    <w:rsid w:val="28ED45B4"/>
    <w:rsid w:val="298161B8"/>
    <w:rsid w:val="2A454244"/>
    <w:rsid w:val="2A4B1D4A"/>
    <w:rsid w:val="2B0C4A8A"/>
    <w:rsid w:val="2B906D86"/>
    <w:rsid w:val="2BA11BED"/>
    <w:rsid w:val="2C1D1B0F"/>
    <w:rsid w:val="2CA076C0"/>
    <w:rsid w:val="2CA970D6"/>
    <w:rsid w:val="2CB94375"/>
    <w:rsid w:val="2CC61D7F"/>
    <w:rsid w:val="2CCF1C91"/>
    <w:rsid w:val="2CE11845"/>
    <w:rsid w:val="2D105F7D"/>
    <w:rsid w:val="2D3D7C78"/>
    <w:rsid w:val="2D5A1875"/>
    <w:rsid w:val="2D8032FB"/>
    <w:rsid w:val="2E6D64BA"/>
    <w:rsid w:val="2F60742D"/>
    <w:rsid w:val="2FA23DC7"/>
    <w:rsid w:val="2FC66EE9"/>
    <w:rsid w:val="300924A8"/>
    <w:rsid w:val="303051AB"/>
    <w:rsid w:val="306F4284"/>
    <w:rsid w:val="308C6234"/>
    <w:rsid w:val="30B84A27"/>
    <w:rsid w:val="30F62060"/>
    <w:rsid w:val="31685533"/>
    <w:rsid w:val="318B5B7D"/>
    <w:rsid w:val="31E633E5"/>
    <w:rsid w:val="32163762"/>
    <w:rsid w:val="32422082"/>
    <w:rsid w:val="3260581E"/>
    <w:rsid w:val="32630039"/>
    <w:rsid w:val="328D1832"/>
    <w:rsid w:val="32AA07AD"/>
    <w:rsid w:val="32E203FE"/>
    <w:rsid w:val="33831559"/>
    <w:rsid w:val="34510C3B"/>
    <w:rsid w:val="347245E8"/>
    <w:rsid w:val="34EF7904"/>
    <w:rsid w:val="350A0140"/>
    <w:rsid w:val="350A1211"/>
    <w:rsid w:val="354B221C"/>
    <w:rsid w:val="356928AF"/>
    <w:rsid w:val="356A637D"/>
    <w:rsid w:val="356D6A65"/>
    <w:rsid w:val="35A87E15"/>
    <w:rsid w:val="35C3402B"/>
    <w:rsid w:val="36113FC2"/>
    <w:rsid w:val="364A0BAA"/>
    <w:rsid w:val="36925815"/>
    <w:rsid w:val="36C40C97"/>
    <w:rsid w:val="36EB7528"/>
    <w:rsid w:val="375458D3"/>
    <w:rsid w:val="376E057B"/>
    <w:rsid w:val="37B90935"/>
    <w:rsid w:val="37BF434F"/>
    <w:rsid w:val="37D02C9E"/>
    <w:rsid w:val="38022A0C"/>
    <w:rsid w:val="38201B23"/>
    <w:rsid w:val="386A5DE4"/>
    <w:rsid w:val="387821B2"/>
    <w:rsid w:val="38CA3088"/>
    <w:rsid w:val="392F1888"/>
    <w:rsid w:val="39C87A46"/>
    <w:rsid w:val="39DC0EED"/>
    <w:rsid w:val="39DD1795"/>
    <w:rsid w:val="39EE3018"/>
    <w:rsid w:val="3A7B75D0"/>
    <w:rsid w:val="3ABA396D"/>
    <w:rsid w:val="3ADA3F1A"/>
    <w:rsid w:val="3B0C7A06"/>
    <w:rsid w:val="3B250B17"/>
    <w:rsid w:val="3B413175"/>
    <w:rsid w:val="3B5C3046"/>
    <w:rsid w:val="3B94480A"/>
    <w:rsid w:val="3BAD25AF"/>
    <w:rsid w:val="3BF12F63"/>
    <w:rsid w:val="3C732341"/>
    <w:rsid w:val="3C7D6B4A"/>
    <w:rsid w:val="3C973B87"/>
    <w:rsid w:val="3C992BF7"/>
    <w:rsid w:val="3CFE6A73"/>
    <w:rsid w:val="3E116F60"/>
    <w:rsid w:val="3FD17206"/>
    <w:rsid w:val="3FF46F5B"/>
    <w:rsid w:val="4014777C"/>
    <w:rsid w:val="405E67A8"/>
    <w:rsid w:val="407F5DE0"/>
    <w:rsid w:val="40821BD0"/>
    <w:rsid w:val="40CE5B5F"/>
    <w:rsid w:val="40D041DD"/>
    <w:rsid w:val="40E64D44"/>
    <w:rsid w:val="411D6D8C"/>
    <w:rsid w:val="41464524"/>
    <w:rsid w:val="41747641"/>
    <w:rsid w:val="418D7E03"/>
    <w:rsid w:val="4194392D"/>
    <w:rsid w:val="41A710C5"/>
    <w:rsid w:val="41D27484"/>
    <w:rsid w:val="42292BDD"/>
    <w:rsid w:val="42406826"/>
    <w:rsid w:val="425E4D02"/>
    <w:rsid w:val="42625F75"/>
    <w:rsid w:val="42D81E3F"/>
    <w:rsid w:val="42DA66C7"/>
    <w:rsid w:val="42E731BB"/>
    <w:rsid w:val="43602615"/>
    <w:rsid w:val="43F87310"/>
    <w:rsid w:val="43FE121A"/>
    <w:rsid w:val="44BB14D3"/>
    <w:rsid w:val="44ED6027"/>
    <w:rsid w:val="44FA23B6"/>
    <w:rsid w:val="45DF69C6"/>
    <w:rsid w:val="46101A8F"/>
    <w:rsid w:val="46772926"/>
    <w:rsid w:val="468B1F7E"/>
    <w:rsid w:val="46C774AF"/>
    <w:rsid w:val="473D2970"/>
    <w:rsid w:val="474E4E09"/>
    <w:rsid w:val="475A0C0D"/>
    <w:rsid w:val="47CC7EF7"/>
    <w:rsid w:val="47D17961"/>
    <w:rsid w:val="47D83A72"/>
    <w:rsid w:val="481128A2"/>
    <w:rsid w:val="485324B9"/>
    <w:rsid w:val="486E0AE4"/>
    <w:rsid w:val="48B14685"/>
    <w:rsid w:val="48E74F2A"/>
    <w:rsid w:val="48F35028"/>
    <w:rsid w:val="48FF4D5A"/>
    <w:rsid w:val="49935043"/>
    <w:rsid w:val="49946FE6"/>
    <w:rsid w:val="499E33D4"/>
    <w:rsid w:val="4A105DE0"/>
    <w:rsid w:val="4A593B07"/>
    <w:rsid w:val="4A8C2D66"/>
    <w:rsid w:val="4A995BDD"/>
    <w:rsid w:val="4AE72472"/>
    <w:rsid w:val="4AFD7C0D"/>
    <w:rsid w:val="4B906F8A"/>
    <w:rsid w:val="4BC07BD6"/>
    <w:rsid w:val="4C031945"/>
    <w:rsid w:val="4C1D2D94"/>
    <w:rsid w:val="4C412CAE"/>
    <w:rsid w:val="4C501A44"/>
    <w:rsid w:val="4C5F67DB"/>
    <w:rsid w:val="4C740C9F"/>
    <w:rsid w:val="4D1447AA"/>
    <w:rsid w:val="4D2C2E13"/>
    <w:rsid w:val="4E526EE0"/>
    <w:rsid w:val="4E5E7222"/>
    <w:rsid w:val="4ECE7C03"/>
    <w:rsid w:val="4F0C71D9"/>
    <w:rsid w:val="4F414BAB"/>
    <w:rsid w:val="4F632B30"/>
    <w:rsid w:val="4F7657BE"/>
    <w:rsid w:val="4FF80240"/>
    <w:rsid w:val="50006D14"/>
    <w:rsid w:val="5007085B"/>
    <w:rsid w:val="5080348D"/>
    <w:rsid w:val="50805CF5"/>
    <w:rsid w:val="50A93019"/>
    <w:rsid w:val="50B3666B"/>
    <w:rsid w:val="50D650BC"/>
    <w:rsid w:val="5199576E"/>
    <w:rsid w:val="51CC6EC2"/>
    <w:rsid w:val="51EC69F0"/>
    <w:rsid w:val="52CD22E8"/>
    <w:rsid w:val="5304747E"/>
    <w:rsid w:val="53186EE4"/>
    <w:rsid w:val="533676F1"/>
    <w:rsid w:val="533B7D4B"/>
    <w:rsid w:val="53AB03C0"/>
    <w:rsid w:val="53C63FCB"/>
    <w:rsid w:val="547348C0"/>
    <w:rsid w:val="547D4959"/>
    <w:rsid w:val="54B8530B"/>
    <w:rsid w:val="550C7315"/>
    <w:rsid w:val="5510379B"/>
    <w:rsid w:val="558C191F"/>
    <w:rsid w:val="55B838C0"/>
    <w:rsid w:val="56491729"/>
    <w:rsid w:val="569B38E1"/>
    <w:rsid w:val="56A77704"/>
    <w:rsid w:val="5731006B"/>
    <w:rsid w:val="574868BE"/>
    <w:rsid w:val="57A9728D"/>
    <w:rsid w:val="583C0450"/>
    <w:rsid w:val="58914C3B"/>
    <w:rsid w:val="58CF0CC3"/>
    <w:rsid w:val="58EB14ED"/>
    <w:rsid w:val="58F47BFE"/>
    <w:rsid w:val="59201F92"/>
    <w:rsid w:val="59217DA7"/>
    <w:rsid w:val="592F4560"/>
    <w:rsid w:val="5969563F"/>
    <w:rsid w:val="5A4E1134"/>
    <w:rsid w:val="5A992DCA"/>
    <w:rsid w:val="5AAC5068"/>
    <w:rsid w:val="5AB706A4"/>
    <w:rsid w:val="5B3326AC"/>
    <w:rsid w:val="5B37597F"/>
    <w:rsid w:val="5B7F52DD"/>
    <w:rsid w:val="5B9B7806"/>
    <w:rsid w:val="5C2667BC"/>
    <w:rsid w:val="5C507600"/>
    <w:rsid w:val="5CE83845"/>
    <w:rsid w:val="5D9B1BA1"/>
    <w:rsid w:val="5DC71F59"/>
    <w:rsid w:val="5DFD2B3F"/>
    <w:rsid w:val="5E9D4C47"/>
    <w:rsid w:val="5EEF11CE"/>
    <w:rsid w:val="5F1F779F"/>
    <w:rsid w:val="5F4F6382"/>
    <w:rsid w:val="5FD45FC8"/>
    <w:rsid w:val="605A7135"/>
    <w:rsid w:val="60710045"/>
    <w:rsid w:val="60C76855"/>
    <w:rsid w:val="612C0778"/>
    <w:rsid w:val="6171346B"/>
    <w:rsid w:val="61C318F3"/>
    <w:rsid w:val="61E6342A"/>
    <w:rsid w:val="61ED0197"/>
    <w:rsid w:val="621A3ACD"/>
    <w:rsid w:val="622701AB"/>
    <w:rsid w:val="62386A40"/>
    <w:rsid w:val="62731D9C"/>
    <w:rsid w:val="62B6027F"/>
    <w:rsid w:val="632216E0"/>
    <w:rsid w:val="63563237"/>
    <w:rsid w:val="63CA2346"/>
    <w:rsid w:val="65BE3F94"/>
    <w:rsid w:val="65F406D1"/>
    <w:rsid w:val="664A365E"/>
    <w:rsid w:val="666A1995"/>
    <w:rsid w:val="66BC5F1C"/>
    <w:rsid w:val="66E66D60"/>
    <w:rsid w:val="67050ABA"/>
    <w:rsid w:val="674A7526"/>
    <w:rsid w:val="67612C5E"/>
    <w:rsid w:val="6796587F"/>
    <w:rsid w:val="67BD4497"/>
    <w:rsid w:val="680726BA"/>
    <w:rsid w:val="68692505"/>
    <w:rsid w:val="689124D0"/>
    <w:rsid w:val="691C738A"/>
    <w:rsid w:val="69382604"/>
    <w:rsid w:val="6978204F"/>
    <w:rsid w:val="697D4817"/>
    <w:rsid w:val="69955D13"/>
    <w:rsid w:val="69960847"/>
    <w:rsid w:val="69AE677E"/>
    <w:rsid w:val="69B45BF9"/>
    <w:rsid w:val="6A364ECE"/>
    <w:rsid w:val="6AF6750A"/>
    <w:rsid w:val="6BE9361A"/>
    <w:rsid w:val="6C0C37CF"/>
    <w:rsid w:val="6C520768"/>
    <w:rsid w:val="6C5D05DC"/>
    <w:rsid w:val="6C784183"/>
    <w:rsid w:val="6CA43072"/>
    <w:rsid w:val="6CA55F4C"/>
    <w:rsid w:val="6D0167A5"/>
    <w:rsid w:val="6D503970"/>
    <w:rsid w:val="6E4459F8"/>
    <w:rsid w:val="6EB13469"/>
    <w:rsid w:val="6F9E0B09"/>
    <w:rsid w:val="6FC1304E"/>
    <w:rsid w:val="70757E8B"/>
    <w:rsid w:val="708A7E30"/>
    <w:rsid w:val="7099044B"/>
    <w:rsid w:val="70A32F59"/>
    <w:rsid w:val="70A650C9"/>
    <w:rsid w:val="70C924D4"/>
    <w:rsid w:val="713A45BF"/>
    <w:rsid w:val="71AD04FC"/>
    <w:rsid w:val="71B11C1A"/>
    <w:rsid w:val="72A64805"/>
    <w:rsid w:val="73566B01"/>
    <w:rsid w:val="744527B3"/>
    <w:rsid w:val="744B2DDA"/>
    <w:rsid w:val="746E0A10"/>
    <w:rsid w:val="74E1338E"/>
    <w:rsid w:val="74F03992"/>
    <w:rsid w:val="753A7A60"/>
    <w:rsid w:val="7571063E"/>
    <w:rsid w:val="7572725B"/>
    <w:rsid w:val="7575281D"/>
    <w:rsid w:val="7585670B"/>
    <w:rsid w:val="758D7B90"/>
    <w:rsid w:val="76295493"/>
    <w:rsid w:val="7641171E"/>
    <w:rsid w:val="765A05BC"/>
    <w:rsid w:val="76633449"/>
    <w:rsid w:val="769C1B3E"/>
    <w:rsid w:val="77E940C2"/>
    <w:rsid w:val="77F92D17"/>
    <w:rsid w:val="786658C9"/>
    <w:rsid w:val="78B95B1C"/>
    <w:rsid w:val="78D479CB"/>
    <w:rsid w:val="79003D12"/>
    <w:rsid w:val="799C5397"/>
    <w:rsid w:val="79C05A64"/>
    <w:rsid w:val="79C83F57"/>
    <w:rsid w:val="7A1D31E5"/>
    <w:rsid w:val="7A8F7CA1"/>
    <w:rsid w:val="7BA42BAF"/>
    <w:rsid w:val="7C1F0171"/>
    <w:rsid w:val="7C58374C"/>
    <w:rsid w:val="7C9A4900"/>
    <w:rsid w:val="7CB00FA0"/>
    <w:rsid w:val="7D160944"/>
    <w:rsid w:val="7D2B51EF"/>
    <w:rsid w:val="7DA23BD8"/>
    <w:rsid w:val="7DB11EBE"/>
    <w:rsid w:val="7DB75C3A"/>
    <w:rsid w:val="7DDD618F"/>
    <w:rsid w:val="7DE5359B"/>
    <w:rsid w:val="7E315C19"/>
    <w:rsid w:val="7E6C6CF7"/>
    <w:rsid w:val="7E967B3C"/>
    <w:rsid w:val="7EF05C42"/>
    <w:rsid w:val="7F610509"/>
    <w:rsid w:val="7F733227"/>
    <w:rsid w:val="7FD11C90"/>
    <w:rsid w:val="7FDD36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0" w:semiHidden="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340" w:after="330" w:line="578" w:lineRule="atLeast"/>
      <w:textAlignment w:val="baseline"/>
      <w:outlineLvl w:val="0"/>
    </w:pPr>
    <w:rPr>
      <w:b/>
      <w:kern w:val="44"/>
      <w:sz w:val="44"/>
      <w:szCs w:val="20"/>
    </w:rPr>
  </w:style>
  <w:style w:type="paragraph" w:styleId="2">
    <w:name w:val="heading 2"/>
    <w:basedOn w:val="1"/>
    <w:next w:val="1"/>
    <w:qFormat/>
    <w:uiPriority w:val="0"/>
    <w:pPr>
      <w:keepNext/>
      <w:keepLines/>
      <w:adjustRightInd w:val="0"/>
      <w:spacing w:before="260" w:after="260" w:line="416" w:lineRule="atLeast"/>
      <w:textAlignment w:val="baseline"/>
      <w:outlineLvl w:val="1"/>
    </w:pPr>
    <w:rPr>
      <w:rFonts w:ascii="宋体"/>
      <w:b/>
      <w:kern w:val="44"/>
      <w:sz w:val="28"/>
      <w:szCs w:val="20"/>
    </w:rPr>
  </w:style>
  <w:style w:type="character" w:default="1" w:styleId="19">
    <w:name w:val="Default Paragraph Font"/>
    <w:unhideWhenUsed/>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5">
    <w:name w:val="annotation text"/>
    <w:basedOn w:val="1"/>
    <w:link w:val="22"/>
    <w:qFormat/>
    <w:uiPriority w:val="0"/>
    <w:pPr>
      <w:jc w:val="left"/>
    </w:pPr>
  </w:style>
  <w:style w:type="paragraph" w:styleId="6">
    <w:name w:val="Body Text Indent"/>
    <w:basedOn w:val="1"/>
    <w:link w:val="23"/>
    <w:unhideWhenUsed/>
    <w:qFormat/>
    <w:uiPriority w:val="0"/>
    <w:pPr>
      <w:spacing w:after="120"/>
      <w:ind w:left="360"/>
    </w:pPr>
  </w:style>
  <w:style w:type="paragraph" w:styleId="7">
    <w:name w:val="Plain Text"/>
    <w:basedOn w:val="1"/>
    <w:next w:val="8"/>
    <w:qFormat/>
    <w:uiPriority w:val="0"/>
    <w:rPr>
      <w:rFonts w:ascii="宋体" w:hAnsi="Courier New"/>
      <w:szCs w:val="22"/>
    </w:rPr>
  </w:style>
  <w:style w:type="paragraph" w:styleId="8">
    <w:name w:val="List Number 5"/>
    <w:basedOn w:val="1"/>
    <w:unhideWhenUsed/>
    <w:qFormat/>
    <w:uiPriority w:val="0"/>
    <w:pPr>
      <w:numPr>
        <w:ilvl w:val="0"/>
        <w:numId w:val="2"/>
      </w:numPr>
    </w:pPr>
  </w:style>
  <w:style w:type="paragraph" w:styleId="9">
    <w:name w:val="Body Text Indent 2"/>
    <w:basedOn w:val="1"/>
    <w:qFormat/>
    <w:uiPriority w:val="0"/>
    <w:pPr>
      <w:ind w:left="840"/>
    </w:pPr>
    <w:rPr>
      <w:rFonts w:ascii="华文中宋" w:hAnsi="华文中宋" w:eastAsia="华文中宋"/>
      <w:sz w:val="28"/>
    </w:rPr>
  </w:style>
  <w:style w:type="paragraph" w:styleId="10">
    <w:name w:val="Balloon Text"/>
    <w:basedOn w:val="1"/>
    <w:link w:val="24"/>
    <w:qFormat/>
    <w:uiPriority w:val="0"/>
    <w:rPr>
      <w:sz w:val="18"/>
      <w:szCs w:val="18"/>
    </w:rPr>
  </w:style>
  <w:style w:type="paragraph" w:styleId="11">
    <w:name w:val="footer"/>
    <w:basedOn w:val="1"/>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12">
    <w:name w:val="envelope return"/>
    <w:basedOn w:val="1"/>
    <w:qFormat/>
    <w:uiPriority w:val="0"/>
    <w:pPr>
      <w:widowControl/>
      <w:topLinePunct/>
      <w:adjustRightInd w:val="0"/>
      <w:snapToGrid w:val="0"/>
      <w:spacing w:before="160" w:line="240" w:lineRule="atLeast"/>
      <w:ind w:left="1701"/>
    </w:pPr>
    <w:rPr>
      <w:rFonts w:cs="Arial"/>
    </w:rPr>
  </w:style>
  <w:style w:type="paragraph" w:styleId="13">
    <w:name w:val="header"/>
    <w:basedOn w:val="1"/>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14">
    <w:name w:val="toc 1"/>
    <w:basedOn w:val="1"/>
    <w:next w:val="1"/>
    <w:qFormat/>
    <w:uiPriority w:val="39"/>
    <w:pPr>
      <w:tabs>
        <w:tab w:val="left" w:pos="1080"/>
        <w:tab w:val="right" w:leader="dot" w:pos="8460"/>
      </w:tabs>
      <w:adjustRightInd w:val="0"/>
      <w:spacing w:line="240" w:lineRule="atLeast"/>
      <w:textAlignment w:val="baseline"/>
    </w:pPr>
    <w:rPr>
      <w:rFonts w:ascii="宋体" w:hAnsi="宋体"/>
      <w:bCs/>
      <w:kern w:val="0"/>
      <w:sz w:val="24"/>
      <w:szCs w:val="20"/>
    </w:rPr>
  </w:style>
  <w:style w:type="paragraph" w:styleId="15">
    <w:name w:val="toc 2"/>
    <w:basedOn w:val="1"/>
    <w:next w:val="1"/>
    <w:qFormat/>
    <w:uiPriority w:val="39"/>
    <w:pPr>
      <w:tabs>
        <w:tab w:val="right" w:leader="dot" w:pos="8460"/>
      </w:tabs>
      <w:adjustRightInd w:val="0"/>
      <w:spacing w:line="312" w:lineRule="atLeast"/>
      <w:ind w:left="210" w:right="384" w:rightChars="183"/>
      <w:textAlignment w:val="baseline"/>
    </w:pPr>
    <w:rPr>
      <w:rFonts w:eastAsia="FangSong_GB2312"/>
      <w:kern w:val="0"/>
      <w:sz w:val="24"/>
      <w:szCs w:val="20"/>
    </w:rPr>
  </w:style>
  <w:style w:type="paragraph" w:styleId="16">
    <w:name w:val="annotation subject"/>
    <w:basedOn w:val="5"/>
    <w:next w:val="5"/>
    <w:link w:val="25"/>
    <w:qFormat/>
    <w:uiPriority w:val="0"/>
    <w:rPr>
      <w:b/>
      <w:bCs/>
    </w:rPr>
  </w:style>
  <w:style w:type="paragraph" w:styleId="17">
    <w:name w:val="Body Text First Indent 2"/>
    <w:basedOn w:val="6"/>
    <w:semiHidden/>
    <w:qFormat/>
    <w:uiPriority w:val="0"/>
    <w:pPr>
      <w:ind w:firstLine="420" w:firstLineChars="200"/>
    </w:pPr>
  </w:style>
  <w:style w:type="character" w:styleId="20">
    <w:name w:val="Hyperlink"/>
    <w:qFormat/>
    <w:uiPriority w:val="99"/>
    <w:rPr>
      <w:color w:val="0000FF"/>
      <w:u w:val="single"/>
    </w:rPr>
  </w:style>
  <w:style w:type="character" w:styleId="21">
    <w:name w:val="annotation reference"/>
    <w:basedOn w:val="19"/>
    <w:qFormat/>
    <w:uiPriority w:val="0"/>
    <w:rPr>
      <w:sz w:val="21"/>
      <w:szCs w:val="21"/>
    </w:rPr>
  </w:style>
  <w:style w:type="character" w:customStyle="1" w:styleId="22">
    <w:name w:val="Comment Text Char"/>
    <w:basedOn w:val="19"/>
    <w:link w:val="5"/>
    <w:qFormat/>
    <w:uiPriority w:val="0"/>
    <w:rPr>
      <w:kern w:val="2"/>
      <w:sz w:val="21"/>
      <w:szCs w:val="24"/>
    </w:rPr>
  </w:style>
  <w:style w:type="character" w:customStyle="1" w:styleId="23">
    <w:name w:val="Body Text Indent Char"/>
    <w:basedOn w:val="19"/>
    <w:link w:val="6"/>
    <w:semiHidden/>
    <w:qFormat/>
    <w:uiPriority w:val="0"/>
    <w:rPr>
      <w:kern w:val="2"/>
      <w:sz w:val="21"/>
      <w:szCs w:val="24"/>
    </w:rPr>
  </w:style>
  <w:style w:type="character" w:customStyle="1" w:styleId="24">
    <w:name w:val="Balloon Text Char"/>
    <w:basedOn w:val="19"/>
    <w:link w:val="10"/>
    <w:qFormat/>
    <w:uiPriority w:val="0"/>
    <w:rPr>
      <w:kern w:val="2"/>
      <w:sz w:val="18"/>
      <w:szCs w:val="18"/>
    </w:rPr>
  </w:style>
  <w:style w:type="character" w:customStyle="1" w:styleId="25">
    <w:name w:val="Comment Subject Char"/>
    <w:basedOn w:val="22"/>
    <w:link w:val="16"/>
    <w:qFormat/>
    <w:uiPriority w:val="0"/>
    <w:rPr>
      <w:b/>
      <w:bCs/>
      <w:kern w:val="2"/>
      <w:sz w:val="21"/>
      <w:szCs w:val="24"/>
    </w:rPr>
  </w:style>
  <w:style w:type="paragraph" w:customStyle="1" w:styleId="26">
    <w:name w:val="表格"/>
    <w:basedOn w:val="1"/>
    <w:qFormat/>
    <w:uiPriority w:val="0"/>
    <w:pPr>
      <w:spacing w:line="300" w:lineRule="auto"/>
      <w:jc w:val="center"/>
      <w:textAlignment w:val="center"/>
    </w:pPr>
    <w:rPr>
      <w:sz w:val="20"/>
      <w:szCs w:val="20"/>
    </w:rPr>
  </w:style>
  <w:style w:type="paragraph" w:customStyle="1" w:styleId="27">
    <w:name w:val="首行缩进:  0.83 厘米"/>
    <w:basedOn w:val="1"/>
    <w:qFormat/>
    <w:uiPriority w:val="0"/>
    <w:pPr>
      <w:spacing w:before="120" w:after="120" w:line="300" w:lineRule="auto"/>
      <w:ind w:firstLine="471"/>
      <w:jc w:val="left"/>
    </w:pPr>
    <w:rPr>
      <w:rFonts w:cs="宋体"/>
      <w:sz w:val="24"/>
      <w:szCs w:val="20"/>
    </w:rPr>
  </w:style>
  <w:style w:type="paragraph" w:customStyle="1" w:styleId="28">
    <w:name w:val="样式 首行缩进:  0.85 厘米"/>
    <w:basedOn w:val="1"/>
    <w:qFormat/>
    <w:uiPriority w:val="0"/>
    <w:pPr>
      <w:adjustRightInd w:val="0"/>
      <w:spacing w:before="120" w:line="300" w:lineRule="auto"/>
      <w:ind w:firstLine="200" w:firstLineChars="200"/>
      <w:textAlignment w:val="baseline"/>
    </w:pPr>
    <w:rPr>
      <w:rFonts w:cs="宋体"/>
      <w:sz w:val="24"/>
      <w:szCs w:val="20"/>
    </w:rPr>
  </w:style>
  <w:style w:type="paragraph" w:customStyle="1" w:styleId="29">
    <w:name w:val="Revision1"/>
    <w:unhideWhenUsed/>
    <w:qFormat/>
    <w:uiPriority w:val="99"/>
    <w:rPr>
      <w:rFonts w:ascii="Times New Roman" w:hAnsi="Times New Roman" w:eastAsia="宋体" w:cs="Times New Roman"/>
      <w:kern w:val="2"/>
      <w:sz w:val="21"/>
      <w:szCs w:val="24"/>
      <w:lang w:val="en-US" w:eastAsia="zh-CN" w:bidi="ar-SA"/>
    </w:rPr>
  </w:style>
  <w:style w:type="paragraph" w:styleId="30">
    <w:name w:val="List Paragraph"/>
    <w:basedOn w:val="1"/>
    <w:qFormat/>
    <w:uiPriority w:val="34"/>
    <w:pPr>
      <w:adjustRightInd w:val="0"/>
      <w:ind w:left="720"/>
      <w:contextualSpacing/>
      <w:textAlignment w:val="baseline"/>
    </w:pPr>
    <w:rPr>
      <w:szCs w:val="21"/>
    </w:rPr>
  </w:style>
  <w:style w:type="paragraph" w:customStyle="1" w:styleId="31">
    <w:name w:val="Revision2"/>
    <w:unhideWhenUsed/>
    <w:qFormat/>
    <w:uiPriority w:val="99"/>
    <w:rPr>
      <w:rFonts w:ascii="Times New Roman" w:hAnsi="Times New Roman" w:eastAsia="宋体" w:cs="Times New Roman"/>
      <w:kern w:val="2"/>
      <w:sz w:val="21"/>
      <w:szCs w:val="24"/>
      <w:lang w:val="en-US" w:eastAsia="zh-CN" w:bidi="ar-SA"/>
    </w:rPr>
  </w:style>
  <w:style w:type="paragraph" w:customStyle="1" w:styleId="32">
    <w:name w:val="一级条标题"/>
    <w:next w:val="1"/>
    <w:qFormat/>
    <w:uiPriority w:val="0"/>
    <w:pPr>
      <w:numPr>
        <w:ilvl w:val="4"/>
        <w:numId w:val="3"/>
      </w:numPr>
      <w:spacing w:beforeLines="50" w:afterLines="50"/>
      <w:outlineLvl w:val="2"/>
    </w:pPr>
    <w:rPr>
      <w:rFonts w:ascii="Times New Roman" w:hAnsi="Times New Roman" w:eastAsia="黑体" w:cs="Times New Roman"/>
      <w:sz w:val="21"/>
      <w:lang w:val="en-US" w:eastAsia="zh-CN" w:bidi="ar-SA"/>
    </w:rPr>
  </w:style>
  <w:style w:type="paragraph" w:customStyle="1" w:styleId="33">
    <w:name w:val="正文_8"/>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34">
    <w:name w:val="一级无"/>
    <w:basedOn w:val="32"/>
    <w:qFormat/>
    <w:uiPriority w:val="0"/>
    <w:pPr>
      <w:spacing w:beforeLines="0" w:afterLines="0"/>
    </w:pPr>
    <w:rPr>
      <w:rFonts w:ascii="宋体" w:eastAsia="宋体"/>
    </w:rPr>
  </w:style>
  <w:style w:type="paragraph" w:customStyle="1" w:styleId="35">
    <w:name w:val="Body Text Indent 21"/>
    <w:basedOn w:val="1"/>
    <w:qFormat/>
    <w:uiPriority w:val="0"/>
    <w:pPr>
      <w:autoSpaceDE w:val="0"/>
      <w:autoSpaceDN w:val="0"/>
      <w:adjustRightInd w:val="0"/>
      <w:spacing w:before="60" w:after="60" w:line="240" w:lineRule="atLeast"/>
      <w:ind w:firstLine="567"/>
      <w:textAlignment w:val="baseline"/>
    </w:pPr>
    <w:rPr>
      <w:kern w:val="0"/>
      <w:sz w:val="28"/>
      <w:szCs w:val="20"/>
    </w:rPr>
  </w:style>
  <w:style w:type="paragraph" w:customStyle="1" w:styleId="36">
    <w:name w:val="item1.1.1.1.1.1"/>
    <w:basedOn w:val="1"/>
    <w:qFormat/>
    <w:uiPriority w:val="0"/>
    <w:pPr>
      <w:numPr>
        <w:ilvl w:val="0"/>
        <w:numId w:val="4"/>
      </w:numPr>
      <w:tabs>
        <w:tab w:val="left" w:pos="502"/>
      </w:tabs>
      <w:snapToGrid w:val="0"/>
      <w:spacing w:line="500" w:lineRule="exact"/>
    </w:pPr>
    <w:rPr>
      <w:rFonts w:ascii="宋体"/>
      <w:kern w:val="0"/>
      <w:szCs w:val="20"/>
    </w:rPr>
  </w:style>
</w:style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numbering.xml" Type="http://schemas.openxmlformats.org/officeDocument/2006/relationships/numbering"/>
<Relationship Id="rId11" Target="fontTable.xml" Type="http://schemas.openxmlformats.org/officeDocument/2006/relationships/fontTable"/>
<Relationship Id="rId2" Target="settings.xml" Type="http://schemas.openxmlformats.org/officeDocument/2006/relationships/settings"/>
<Relationship Id="rId3" Target="header1.xml" Type="http://schemas.openxmlformats.org/officeDocument/2006/relationships/header"/>
<Relationship Id="rId4" Target="header2.xml" Type="http://schemas.openxmlformats.org/officeDocument/2006/relationships/header"/>
<Relationship Id="rId5" Target="footer1.xml" Type="http://schemas.openxmlformats.org/officeDocument/2006/relationships/footer"/>
<Relationship Id="rId6" Target="theme/theme1.xml" Type="http://schemas.openxmlformats.org/officeDocument/2006/relationships/theme"/>
<Relationship Id="rId7" Target="media/image2.jpeg" Type="http://schemas.openxmlformats.org/officeDocument/2006/relationships/image"/>
<Relationship Id="rId8" Target="media/image3.png" Type="http://schemas.openxmlformats.org/officeDocument/2006/relationships/image"/>
<Relationship Id="rId9" Target="../customXml/item1.xml" Type="http://schemas.openxmlformats.org/officeDocument/2006/relationships/customXml"/>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19486</Words>
  <Characters>20887</Characters>
  <Lines>145</Lines>
  <Paragraphs>535</Paragraphs>
  <TotalTime>16</TotalTime>
  <ScaleCrop>false</ScaleCrop>
  <LinksUpToDate>false</LinksUpToDate>
  <CharactersWithSpaces>21118</CharactersWithSpaces>
  <Application>WPS Office_12.8.0.16998_F1E327BC-269C-435d-A152-05C5408002CA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2026-04-29T13:49:00Z</dcterms:created>
  <cp:lastPrinted>2024-09-29T04:56:00Z</cp:lastPrinted>
  <dcterms:modified xsi:type="dcterms:W3CDTF">2026-05-11T06:49:13Z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2052-12.8.0.16998</vt:lpwstr>
  </property>
  <property fmtid="{D5CDD505-2E9C-101B-9397-08002B2CF9AE}" pid="3" name="MSIP_Label_36791f77-3d39-4d72-9277-ac879ec799ed_Enabled">
    <vt:lpwstr>true</vt:lpwstr>
  </property>
  <property fmtid="{D5CDD505-2E9C-101B-9397-08002B2CF9AE}" pid="4" name="MSIP_Label_36791f77-3d39-4d72-9277-ac879ec799ed_SetDate">
    <vt:lpwstr>2025-10-09T03:43:04Z</vt:lpwstr>
  </property>
  <property fmtid="{D5CDD505-2E9C-101B-9397-08002B2CF9AE}" pid="5" name="MSIP_Label_36791f77-3d39-4d72-9277-ac879ec799ed_Method">
    <vt:lpwstr>Standard</vt:lpwstr>
  </property>
  <property fmtid="{D5CDD505-2E9C-101B-9397-08002B2CF9AE}" pid="6" name="MSIP_Label_36791f77-3d39-4d72-9277-ac879ec799ed_Name">
    <vt:lpwstr>restricted-default</vt:lpwstr>
  </property>
  <property fmtid="{D5CDD505-2E9C-101B-9397-08002B2CF9AE}" pid="7" name="MSIP_Label_36791f77-3d39-4d72-9277-ac879ec799ed_SiteId">
    <vt:lpwstr>254ba93e-1f6f-48f3-90e6-e2766664b477</vt:lpwstr>
  </property>
  <property fmtid="{D5CDD505-2E9C-101B-9397-08002B2CF9AE}" pid="8" name="MSIP_Label_36791f77-3d39-4d72-9277-ac879ec799ed_ActionId">
    <vt:lpwstr>c1eb0869-3eea-4fa4-87b8-7f817cc09758</vt:lpwstr>
  </property>
  <property fmtid="{D5CDD505-2E9C-101B-9397-08002B2CF9AE}" pid="9" name="MSIP_Label_36791f77-3d39-4d72-9277-ac879ec799ed_ContentBits">
    <vt:lpwstr>0</vt:lpwstr>
  </property>
  <property fmtid="{D5CDD505-2E9C-101B-9397-08002B2CF9AE}" pid="10" name="MSIP_Label_36791f77-3d39-4d72-9277-ac879ec799ed_Tag">
    <vt:lpwstr>10, 3, 0, 1</vt:lpwstr>
  </property>
  <property fmtid="{D5CDD505-2E9C-101B-9397-08002B2CF9AE}" pid="11" name="ICV">
    <vt:lpwstr>8ABCF3DDA9FF460DB336FDB740C4D80B_13</vt:lpwstr>
  </property>
  <property fmtid="{D5CDD505-2E9C-101B-9397-08002B2CF9AE}" pid="12" name="KSOTemplateDocerSaveRecord">
    <vt:lpwstr>eyJoZGlkIjoiYmQ0MDZmOTU5Nzk4YzFjNjgzN2VlNjE5MWRmM2Y2ZDIiLCJ1c2VySWQiOiI3NzYxMzI0NjEifQ==</vt:lpwstr>
  </property>
</Properties>
</file>