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b/>
          <w:sz w:val="36"/>
          <w:szCs w:val="36"/>
        </w:rPr>
        <w:t>浙能嘉华发电有限公司</w:t>
      </w:r>
    </w:p>
    <w:p>
      <w:pPr>
        <w:jc w:val="center"/>
        <w:rPr>
          <w:b/>
          <w:sz w:val="36"/>
          <w:szCs w:val="36"/>
        </w:rPr>
      </w:pPr>
      <w:r>
        <w:rPr>
          <w:b/>
          <w:sz w:val="36"/>
          <w:szCs w:val="36"/>
        </w:rPr>
        <w:t>外包安全管理提升专项行动实施方案</w:t>
      </w:r>
    </w:p>
    <w:p>
      <w:pPr>
        <w:ind w:firstLine="560" w:firstLineChars="200"/>
        <w:rPr>
          <w:sz w:val="28"/>
          <w:szCs w:val="28"/>
        </w:rPr>
      </w:pPr>
      <w:r>
        <w:rPr>
          <w:sz w:val="28"/>
          <w:szCs w:val="28"/>
        </w:rPr>
        <w:t>为认真落实2024年集团公司首次安委会及年度安全生产工作会议</w:t>
      </w:r>
      <w:r>
        <w:rPr>
          <w:rFonts w:hint="eastAsia"/>
          <w:sz w:val="28"/>
          <w:szCs w:val="28"/>
        </w:rPr>
        <w:t>精神</w:t>
      </w:r>
      <w:r>
        <w:rPr>
          <w:sz w:val="28"/>
          <w:szCs w:val="28"/>
        </w:rPr>
        <w:t>，落实集团和股份公司关于外包安全管理提升专项实施方案的要求</w:t>
      </w:r>
      <w:r>
        <w:rPr>
          <w:rFonts w:hint="eastAsia"/>
          <w:sz w:val="28"/>
          <w:szCs w:val="28"/>
        </w:rPr>
        <w:t>，</w:t>
      </w:r>
      <w:r>
        <w:rPr>
          <w:sz w:val="28"/>
          <w:szCs w:val="28"/>
        </w:rPr>
        <w:t>聚焦外包单位管理难点、堵点、弱点，聚力解决外包管理中存在的共性和突出问题，巩固前期外包</w:t>
      </w:r>
      <w:r>
        <w:rPr>
          <w:rFonts w:hint="eastAsia"/>
          <w:sz w:val="28"/>
          <w:szCs w:val="28"/>
        </w:rPr>
        <w:t>单位</w:t>
      </w:r>
      <w:r>
        <w:rPr>
          <w:sz w:val="28"/>
          <w:szCs w:val="28"/>
        </w:rPr>
        <w:t>同质化、自主化管理成果</w:t>
      </w:r>
      <w:r>
        <w:rPr>
          <w:rFonts w:hint="eastAsia"/>
          <w:sz w:val="28"/>
          <w:szCs w:val="28"/>
        </w:rPr>
        <w:t>，结合</w:t>
      </w:r>
      <w:r>
        <w:rPr>
          <w:sz w:val="28"/>
          <w:szCs w:val="28"/>
        </w:rPr>
        <w:t>浙能嘉华公司的</w:t>
      </w:r>
      <w:r>
        <w:rPr>
          <w:rFonts w:hint="eastAsia"/>
          <w:sz w:val="28"/>
          <w:szCs w:val="28"/>
        </w:rPr>
        <w:t>外包单位管理现状，</w:t>
      </w:r>
      <w:r>
        <w:rPr>
          <w:sz w:val="28"/>
          <w:szCs w:val="28"/>
        </w:rPr>
        <w:t>决定在公司内组织开展外包单位安全管理提升专项行动，特制定实施方案如下。</w:t>
      </w:r>
    </w:p>
    <w:p>
      <w:pPr>
        <w:ind w:firstLine="562" w:firstLineChars="200"/>
        <w:rPr>
          <w:b/>
          <w:sz w:val="28"/>
          <w:szCs w:val="28"/>
        </w:rPr>
      </w:pPr>
      <w:r>
        <w:rPr>
          <w:b/>
          <w:sz w:val="28"/>
          <w:szCs w:val="28"/>
        </w:rPr>
        <w:t>一、工作目标</w:t>
      </w:r>
    </w:p>
    <w:p>
      <w:pPr>
        <w:ind w:firstLine="560" w:firstLineChars="200"/>
        <w:rPr>
          <w:sz w:val="28"/>
          <w:szCs w:val="28"/>
        </w:rPr>
      </w:pPr>
      <w:r>
        <w:rPr>
          <w:sz w:val="28"/>
          <w:szCs w:val="28"/>
        </w:rPr>
        <w:t>以</w:t>
      </w:r>
      <w:r>
        <w:rPr>
          <w:rFonts w:hint="eastAsia"/>
          <w:sz w:val="28"/>
          <w:szCs w:val="28"/>
        </w:rPr>
        <w:t>“</w:t>
      </w:r>
      <w:r>
        <w:rPr>
          <w:sz w:val="28"/>
          <w:szCs w:val="28"/>
        </w:rPr>
        <w:t>五问</w:t>
      </w:r>
      <w:r>
        <w:rPr>
          <w:rFonts w:hint="eastAsia"/>
          <w:sz w:val="28"/>
          <w:szCs w:val="28"/>
        </w:rPr>
        <w:t>”</w:t>
      </w:r>
      <w:r>
        <w:rPr>
          <w:sz w:val="28"/>
          <w:szCs w:val="28"/>
        </w:rPr>
        <w:t>的责任担当，全面分析外包管理短板弱项，严格</w:t>
      </w:r>
      <w:r>
        <w:rPr>
          <w:rFonts w:hint="eastAsia"/>
          <w:sz w:val="28"/>
          <w:szCs w:val="28"/>
        </w:rPr>
        <w:t>“</w:t>
      </w:r>
      <w:r>
        <w:rPr>
          <w:sz w:val="28"/>
          <w:szCs w:val="28"/>
        </w:rPr>
        <w:t>三关</w:t>
      </w:r>
      <w:r>
        <w:rPr>
          <w:rFonts w:hint="eastAsia"/>
          <w:sz w:val="28"/>
          <w:szCs w:val="28"/>
        </w:rPr>
        <w:t>”</w:t>
      </w:r>
      <w:r>
        <w:rPr>
          <w:sz w:val="28"/>
          <w:szCs w:val="28"/>
        </w:rPr>
        <w:t>管理（把好入口审核关，守住过程监管关，严格评价考核关）。梳理好每项外包工程（项目）从招标策划到考核评价的全过程安全管理职责，做到责任明确、标准清晰，班组建设向所有外包班组延伸，深入开展外包单位同质化管理，大力提升</w:t>
      </w:r>
      <w:r>
        <w:rPr>
          <w:rFonts w:hint="eastAsia"/>
          <w:sz w:val="28"/>
          <w:szCs w:val="28"/>
        </w:rPr>
        <w:t>嘉华</w:t>
      </w:r>
      <w:r>
        <w:rPr>
          <w:sz w:val="28"/>
          <w:szCs w:val="28"/>
        </w:rPr>
        <w:t>公司外包单位安全管理水平，确保公司2024年外包工程（项目）人员零伤亡目标的实现，筑牢</w:t>
      </w:r>
      <w:r>
        <w:rPr>
          <w:rFonts w:hint="eastAsia"/>
          <w:sz w:val="28"/>
          <w:szCs w:val="28"/>
        </w:rPr>
        <w:t>企业</w:t>
      </w:r>
      <w:r>
        <w:rPr>
          <w:sz w:val="28"/>
          <w:szCs w:val="28"/>
        </w:rPr>
        <w:t>安全发展之基。</w:t>
      </w:r>
    </w:p>
    <w:p>
      <w:pPr>
        <w:ind w:firstLine="562" w:firstLineChars="200"/>
        <w:rPr>
          <w:b/>
          <w:sz w:val="28"/>
          <w:szCs w:val="28"/>
        </w:rPr>
      </w:pPr>
      <w:r>
        <w:rPr>
          <w:b/>
          <w:sz w:val="28"/>
          <w:szCs w:val="28"/>
        </w:rPr>
        <w:t>二、主要任务</w:t>
      </w:r>
    </w:p>
    <w:p>
      <w:pPr>
        <w:ind w:firstLine="416" w:firstLineChars="148"/>
        <w:rPr>
          <w:b/>
          <w:sz w:val="28"/>
          <w:szCs w:val="28"/>
        </w:rPr>
      </w:pPr>
      <w:r>
        <w:rPr>
          <w:b/>
          <w:sz w:val="28"/>
          <w:szCs w:val="28"/>
        </w:rPr>
        <w:t>（一）强基固本，落实落细外包管理职责</w:t>
      </w:r>
    </w:p>
    <w:p>
      <w:pPr>
        <w:ind w:firstLine="560" w:firstLineChars="200"/>
        <w:rPr>
          <w:sz w:val="28"/>
          <w:szCs w:val="28"/>
        </w:rPr>
      </w:pPr>
      <w:r>
        <w:rPr>
          <w:sz w:val="28"/>
          <w:szCs w:val="28"/>
        </w:rPr>
        <w:t>1. 全面梳理外包工程（项目）特性。2024 年3月底前，各</w:t>
      </w:r>
      <w:r>
        <w:rPr>
          <w:rFonts w:hint="eastAsia"/>
          <w:sz w:val="28"/>
          <w:szCs w:val="28"/>
        </w:rPr>
        <w:t>部门</w:t>
      </w:r>
      <w:r>
        <w:rPr>
          <w:sz w:val="28"/>
          <w:szCs w:val="28"/>
        </w:rPr>
        <w:t>要针对外包工程（项目）的技术特点、施工要求及作业时段等多个维度，</w:t>
      </w:r>
      <w:r>
        <w:rPr>
          <w:rFonts w:hint="eastAsia"/>
          <w:sz w:val="28"/>
          <w:szCs w:val="28"/>
        </w:rPr>
        <w:t>对</w:t>
      </w:r>
      <w:r>
        <w:rPr>
          <w:sz w:val="28"/>
          <w:szCs w:val="28"/>
        </w:rPr>
        <w:t>本</w:t>
      </w:r>
      <w:r>
        <w:rPr>
          <w:rFonts w:hint="eastAsia"/>
          <w:sz w:val="28"/>
          <w:szCs w:val="28"/>
        </w:rPr>
        <w:t>部门</w:t>
      </w:r>
      <w:r>
        <w:rPr>
          <w:sz w:val="28"/>
          <w:szCs w:val="28"/>
        </w:rPr>
        <w:t>现有外包工程（项目）进行安全风险梳理，登记造册，</w:t>
      </w:r>
      <w:r>
        <w:rPr>
          <w:rFonts w:hint="eastAsia"/>
          <w:sz w:val="28"/>
          <w:szCs w:val="28"/>
        </w:rPr>
        <w:t>有针对性地开展好风险隐患排查、反违章检查等工作，</w:t>
      </w:r>
      <w:r>
        <w:rPr>
          <w:sz w:val="28"/>
          <w:szCs w:val="28"/>
        </w:rPr>
        <w:t>并根据项目进度，动态更新。</w:t>
      </w:r>
    </w:p>
    <w:p>
      <w:pPr>
        <w:ind w:firstLine="560" w:firstLineChars="200"/>
        <w:rPr>
          <w:sz w:val="28"/>
          <w:szCs w:val="28"/>
        </w:rPr>
      </w:pPr>
      <w:r>
        <w:rPr>
          <w:sz w:val="28"/>
          <w:szCs w:val="28"/>
        </w:rPr>
        <w:t>2. 全面梳理</w:t>
      </w:r>
      <w:r>
        <w:rPr>
          <w:rFonts w:hint="eastAsia"/>
          <w:sz w:val="28"/>
          <w:szCs w:val="28"/>
        </w:rPr>
        <w:t>公司</w:t>
      </w:r>
      <w:r>
        <w:rPr>
          <w:sz w:val="28"/>
          <w:szCs w:val="28"/>
        </w:rPr>
        <w:t>外包安全管理职责。进一步明确外包工程（项目）的主管部门、协同部门、监管部门</w:t>
      </w:r>
      <w:r>
        <w:rPr>
          <w:rFonts w:hint="eastAsia"/>
          <w:sz w:val="28"/>
          <w:szCs w:val="28"/>
        </w:rPr>
        <w:t>职责</w:t>
      </w:r>
      <w:r>
        <w:rPr>
          <w:sz w:val="28"/>
          <w:szCs w:val="28"/>
        </w:rPr>
        <w:t>，厘清管理关系。 2024 年 3 月底前，对</w:t>
      </w:r>
      <w:r>
        <w:rPr>
          <w:rFonts w:hint="eastAsia"/>
          <w:sz w:val="28"/>
          <w:szCs w:val="28"/>
        </w:rPr>
        <w:t>《招投标管理》、《外包工程（项目）安全管理》、《供应商管理》等标准进行再审视，检查公司</w:t>
      </w:r>
      <w:r>
        <w:rPr>
          <w:sz w:val="28"/>
          <w:szCs w:val="28"/>
        </w:rPr>
        <w:t>外包工程（项目）从招标策划、选择环节、入场前条件审查到入场期间过程管控、退离场安全评价等全过程安全管理职责</w:t>
      </w:r>
      <w:r>
        <w:rPr>
          <w:rFonts w:hint="eastAsia"/>
          <w:sz w:val="28"/>
          <w:szCs w:val="28"/>
        </w:rPr>
        <w:t>是否</w:t>
      </w:r>
      <w:r>
        <w:rPr>
          <w:sz w:val="28"/>
          <w:szCs w:val="28"/>
        </w:rPr>
        <w:t>明确，每项外包业务流程安全管理</w:t>
      </w:r>
      <w:r>
        <w:rPr>
          <w:rFonts w:hint="eastAsia"/>
          <w:sz w:val="28"/>
          <w:szCs w:val="28"/>
        </w:rPr>
        <w:t>脉络</w:t>
      </w:r>
      <w:r>
        <w:rPr>
          <w:sz w:val="28"/>
          <w:szCs w:val="28"/>
        </w:rPr>
        <w:t>是否清晰，做到全覆盖、无死角。</w:t>
      </w:r>
    </w:p>
    <w:p>
      <w:pPr>
        <w:ind w:firstLine="560" w:firstLineChars="200"/>
        <w:rPr>
          <w:sz w:val="28"/>
          <w:szCs w:val="28"/>
        </w:rPr>
      </w:pPr>
      <w:r>
        <w:rPr>
          <w:sz w:val="28"/>
          <w:szCs w:val="28"/>
        </w:rPr>
        <w:t>3. 严格压实外包全员安全生产责任。在外包工程（项目）开工前，项目主管部门要督促外包单位制定全员安全生产责任制，明确安全管理职责</w:t>
      </w:r>
      <w:r>
        <w:rPr>
          <w:rFonts w:hint="eastAsia"/>
          <w:sz w:val="28"/>
          <w:szCs w:val="28"/>
        </w:rPr>
        <w:t>，对于中长期外包单位，</w:t>
      </w:r>
      <w:r>
        <w:rPr>
          <w:sz w:val="28"/>
          <w:szCs w:val="28"/>
        </w:rPr>
        <w:t>同时签订好</w:t>
      </w:r>
      <w:r>
        <w:rPr>
          <w:rFonts w:hint="eastAsia"/>
          <w:sz w:val="28"/>
          <w:szCs w:val="28"/>
        </w:rPr>
        <w:t>《安全生产责任书》</w:t>
      </w:r>
      <w:r>
        <w:rPr>
          <w:sz w:val="28"/>
          <w:szCs w:val="28"/>
        </w:rPr>
        <w:t>。新实施的外包项目，</w:t>
      </w:r>
      <w:r>
        <w:rPr>
          <w:rFonts w:hint="eastAsia"/>
          <w:sz w:val="28"/>
          <w:szCs w:val="28"/>
        </w:rPr>
        <w:t>推行外包安全绩效考核金及安全专项奖励金，作为外包安全管理绩效考核手段，具体实施方法见《浙能嘉华外包单位安全管理绩效考评实施细则》。</w:t>
      </w:r>
    </w:p>
    <w:p>
      <w:pPr>
        <w:ind w:firstLine="420" w:firstLineChars="150"/>
        <w:rPr>
          <w:sz w:val="28"/>
          <w:szCs w:val="28"/>
        </w:rPr>
      </w:pPr>
      <w:r>
        <w:rPr>
          <w:sz w:val="28"/>
          <w:szCs w:val="28"/>
        </w:rPr>
        <w:t>（二）做好前期策划，把好外包单位入口关</w:t>
      </w:r>
    </w:p>
    <w:p>
      <w:pPr>
        <w:ind w:firstLine="560" w:firstLineChars="200"/>
        <w:rPr>
          <w:sz w:val="28"/>
          <w:szCs w:val="28"/>
        </w:rPr>
      </w:pPr>
      <w:r>
        <w:rPr>
          <w:sz w:val="28"/>
          <w:szCs w:val="28"/>
        </w:rPr>
        <w:t>4. 把好外包单位入口关。进一步做好外包工程（项目）招标策划，优化细化招标文件及技术规范书，明确单位资质、关键人员素质、设备设施投入、内部管理体系、安全投入、安全业绩、奖惩、退出机制等要求，辅以去年实施的安全管理暂列金及同质化自主化管理要求</w:t>
      </w:r>
      <w:r>
        <w:rPr>
          <w:rFonts w:hint="eastAsia"/>
          <w:sz w:val="28"/>
          <w:szCs w:val="28"/>
        </w:rPr>
        <w:t>，采取技术的经济的手段，</w:t>
      </w:r>
      <w:r>
        <w:rPr>
          <w:sz w:val="28"/>
          <w:szCs w:val="28"/>
        </w:rPr>
        <w:t>力争招募到优秀的外包单位和优质的外包人才为公司安全生产服务</w:t>
      </w:r>
      <w:r>
        <w:rPr>
          <w:rFonts w:hint="eastAsia"/>
          <w:sz w:val="28"/>
          <w:szCs w:val="28"/>
        </w:rPr>
        <w:t>。</w:t>
      </w:r>
      <w:r>
        <w:rPr>
          <w:sz w:val="28"/>
          <w:szCs w:val="28"/>
        </w:rPr>
        <w:t>对规模较大、技术较复杂或含危大工程的外包工程（项目），要在招标文件中增加安全专篇，专篇应明确外包工程（项目）危险源辨识与风险评估、高风险作业项目、安全文明施工管理、特种作业人员、从业人员资质及年龄，工伤保险缴纳的要求等重点内容</w:t>
      </w:r>
      <w:r>
        <w:rPr>
          <w:rFonts w:hint="eastAsia"/>
          <w:sz w:val="28"/>
          <w:szCs w:val="28"/>
        </w:rPr>
        <w:t>。各类</w:t>
      </w:r>
      <w:r>
        <w:rPr>
          <w:sz w:val="28"/>
          <w:szCs w:val="28"/>
        </w:rPr>
        <w:t>外包项目</w:t>
      </w:r>
      <w:r>
        <w:rPr>
          <w:rFonts w:hint="eastAsia"/>
          <w:sz w:val="28"/>
          <w:szCs w:val="28"/>
        </w:rPr>
        <w:t>骨干</w:t>
      </w:r>
      <w:r>
        <w:rPr>
          <w:sz w:val="28"/>
          <w:szCs w:val="28"/>
        </w:rPr>
        <w:t>人员原则上年内不能变动</w:t>
      </w:r>
      <w:r>
        <w:rPr>
          <w:rFonts w:hint="eastAsia"/>
          <w:sz w:val="28"/>
          <w:szCs w:val="28"/>
        </w:rPr>
        <w:t>，</w:t>
      </w:r>
      <w:r>
        <w:rPr>
          <w:sz w:val="28"/>
          <w:szCs w:val="28"/>
        </w:rPr>
        <w:t>其它人员流动率不得高于1</w:t>
      </w:r>
      <w:r>
        <w:rPr>
          <w:rFonts w:hint="eastAsia"/>
          <w:sz w:val="28"/>
          <w:szCs w:val="28"/>
        </w:rPr>
        <w:t>0</w:t>
      </w:r>
      <w:r>
        <w:rPr>
          <w:sz w:val="28"/>
          <w:szCs w:val="28"/>
        </w:rPr>
        <w:t>%，严控人员流动率</w:t>
      </w:r>
      <w:r>
        <w:rPr>
          <w:rFonts w:hint="eastAsia"/>
          <w:sz w:val="28"/>
          <w:szCs w:val="28"/>
        </w:rPr>
        <w:t>；特种设备操作人员、特种作业人员等资质要求，杜绝无证作业。</w:t>
      </w:r>
      <w:r>
        <w:rPr>
          <w:sz w:val="28"/>
          <w:szCs w:val="28"/>
        </w:rPr>
        <w:t>严格入场资质审查和开工审查</w:t>
      </w:r>
      <w:r>
        <w:rPr>
          <w:rFonts w:hint="eastAsia"/>
          <w:sz w:val="28"/>
          <w:szCs w:val="28"/>
        </w:rPr>
        <w:t>，</w:t>
      </w:r>
      <w:r>
        <w:rPr>
          <w:sz w:val="28"/>
          <w:szCs w:val="28"/>
        </w:rPr>
        <w:t>逐条对照</w:t>
      </w:r>
      <w:r>
        <w:rPr>
          <w:rFonts w:hint="eastAsia"/>
          <w:sz w:val="28"/>
          <w:szCs w:val="28"/>
        </w:rPr>
        <w:t>，</w:t>
      </w:r>
      <w:r>
        <w:rPr>
          <w:sz w:val="28"/>
          <w:szCs w:val="28"/>
        </w:rPr>
        <w:t>逐条审核确认</w:t>
      </w:r>
      <w:r>
        <w:rPr>
          <w:rFonts w:hint="eastAsia"/>
          <w:sz w:val="28"/>
          <w:szCs w:val="28"/>
        </w:rPr>
        <w:t>；</w:t>
      </w:r>
      <w:r>
        <w:rPr>
          <w:sz w:val="28"/>
          <w:szCs w:val="28"/>
        </w:rPr>
        <w:t>继续坚持对新进场的中长期外包单位安全面谈制度</w:t>
      </w:r>
      <w:r>
        <w:rPr>
          <w:rFonts w:hint="eastAsia"/>
          <w:sz w:val="28"/>
          <w:szCs w:val="28"/>
        </w:rPr>
        <w:t>，讲清安全管理制度，提出同质化自主化管理要求。</w:t>
      </w:r>
    </w:p>
    <w:p>
      <w:pPr>
        <w:ind w:firstLine="560" w:firstLineChars="200"/>
        <w:rPr>
          <w:sz w:val="28"/>
          <w:szCs w:val="28"/>
        </w:rPr>
      </w:pPr>
      <w:r>
        <w:rPr>
          <w:rFonts w:hint="eastAsia"/>
          <w:sz w:val="28"/>
          <w:szCs w:val="28"/>
        </w:rPr>
        <w:t>5</w:t>
      </w:r>
      <w:r>
        <w:rPr>
          <w:sz w:val="28"/>
          <w:szCs w:val="28"/>
        </w:rPr>
        <w:t>. 有效开展入场安全教育。根据项目特点，从施工区域、专业、作业涉及风险类型等多个维度区分外包工程（项目），梳理好入场安全教育课件</w:t>
      </w:r>
      <w:r>
        <w:rPr>
          <w:rFonts w:hint="eastAsia"/>
          <w:sz w:val="28"/>
          <w:szCs w:val="28"/>
        </w:rPr>
        <w:t>，</w:t>
      </w:r>
      <w:r>
        <w:rPr>
          <w:sz w:val="28"/>
          <w:szCs w:val="28"/>
        </w:rPr>
        <w:t>开展好不同项目</w:t>
      </w:r>
      <w:r>
        <w:rPr>
          <w:rFonts w:hint="eastAsia"/>
          <w:sz w:val="28"/>
          <w:szCs w:val="28"/>
        </w:rPr>
        <w:t>不同</w:t>
      </w:r>
      <w:r>
        <w:rPr>
          <w:sz w:val="28"/>
          <w:szCs w:val="28"/>
        </w:rPr>
        <w:t>岗位外包人员的入厂安全教育和考试，有效提升入厂安全教育与实际作业的符合性。其中，外包人员入厂安全教育学时要求如下：</w:t>
      </w:r>
    </w:p>
    <w:p>
      <w:pPr>
        <w:ind w:firstLine="560" w:firstLineChars="200"/>
        <w:rPr>
          <w:sz w:val="28"/>
          <w:szCs w:val="28"/>
        </w:rPr>
      </w:pPr>
      <w:r>
        <w:rPr>
          <w:sz w:val="28"/>
          <w:szCs w:val="28"/>
        </w:rPr>
        <w:t>临时性外包工程（服务时间为 1 周以内）不少于 4 学时；短期外包工程（服务时间为 1 个月以内）不得少于 8 学时；中长期（服务时间为 6 个月及以上）外包工程不少于 12 学时。承担厂家服务、检验检测等临时性工作的外包作业人员，可进行交底性安全培训，具体内容和时间由</w:t>
      </w:r>
      <w:r>
        <w:rPr>
          <w:rFonts w:hint="eastAsia"/>
          <w:sz w:val="28"/>
          <w:szCs w:val="28"/>
        </w:rPr>
        <w:t>项目</w:t>
      </w:r>
      <w:r>
        <w:rPr>
          <w:sz w:val="28"/>
          <w:szCs w:val="28"/>
        </w:rPr>
        <w:t>主管部门根据实际情况确定。</w:t>
      </w:r>
    </w:p>
    <w:p>
      <w:pPr>
        <w:ind w:firstLine="419" w:firstLineChars="149"/>
        <w:rPr>
          <w:b/>
          <w:sz w:val="28"/>
          <w:szCs w:val="28"/>
        </w:rPr>
      </w:pPr>
      <w:r>
        <w:rPr>
          <w:b/>
          <w:sz w:val="28"/>
          <w:szCs w:val="28"/>
        </w:rPr>
        <w:t>（三）精准监管，深入实施过程管控</w:t>
      </w:r>
    </w:p>
    <w:p>
      <w:pPr>
        <w:ind w:firstLine="560" w:firstLineChars="200"/>
        <w:rPr>
          <w:sz w:val="28"/>
          <w:szCs w:val="28"/>
        </w:rPr>
      </w:pPr>
      <w:r>
        <w:rPr>
          <w:rFonts w:hint="eastAsia"/>
          <w:sz w:val="28"/>
          <w:szCs w:val="28"/>
        </w:rPr>
        <w:t>6</w:t>
      </w:r>
      <w:r>
        <w:rPr>
          <w:sz w:val="28"/>
          <w:szCs w:val="28"/>
        </w:rPr>
        <w:t xml:space="preserve">. </w:t>
      </w:r>
      <w:r>
        <w:rPr>
          <w:rFonts w:hint="eastAsia"/>
          <w:sz w:val="28"/>
          <w:szCs w:val="28"/>
        </w:rPr>
        <w:t>持续</w:t>
      </w:r>
      <w:r>
        <w:rPr>
          <w:sz w:val="28"/>
          <w:szCs w:val="28"/>
        </w:rPr>
        <w:t>实施网格化管理。在前期外包单位网格化管理的基础上</w:t>
      </w:r>
      <w:r>
        <w:rPr>
          <w:rFonts w:hint="eastAsia"/>
          <w:sz w:val="28"/>
          <w:szCs w:val="28"/>
        </w:rPr>
        <w:t>，</w:t>
      </w:r>
      <w:r>
        <w:rPr>
          <w:sz w:val="28"/>
          <w:szCs w:val="28"/>
        </w:rPr>
        <w:t>继续加强网格化建设</w:t>
      </w:r>
      <w:r>
        <w:rPr>
          <w:rFonts w:hint="eastAsia"/>
          <w:sz w:val="28"/>
          <w:szCs w:val="28"/>
        </w:rPr>
        <w:t>（外包安全管理网格化见附件1），</w:t>
      </w:r>
      <w:r>
        <w:rPr>
          <w:sz w:val="28"/>
          <w:szCs w:val="28"/>
        </w:rPr>
        <w:t>压实项目主管部门及项目联系人安全责任</w:t>
      </w:r>
      <w:r>
        <w:rPr>
          <w:rFonts w:hint="eastAsia"/>
          <w:sz w:val="28"/>
          <w:szCs w:val="28"/>
        </w:rPr>
        <w:t>，</w:t>
      </w:r>
      <w:r>
        <w:rPr>
          <w:sz w:val="28"/>
          <w:szCs w:val="28"/>
        </w:rPr>
        <w:t>按照同质化自主化管理要求</w:t>
      </w:r>
      <w:r>
        <w:rPr>
          <w:rFonts w:hint="eastAsia"/>
          <w:sz w:val="28"/>
          <w:szCs w:val="28"/>
        </w:rPr>
        <w:t>，</w:t>
      </w:r>
      <w:r>
        <w:rPr>
          <w:sz w:val="28"/>
          <w:szCs w:val="28"/>
        </w:rPr>
        <w:t>作出管理及监督行为</w:t>
      </w:r>
      <w:r>
        <w:rPr>
          <w:rFonts w:hint="eastAsia"/>
          <w:sz w:val="28"/>
          <w:szCs w:val="28"/>
        </w:rPr>
        <w:t>，</w:t>
      </w:r>
      <w:r>
        <w:rPr>
          <w:sz w:val="28"/>
          <w:szCs w:val="28"/>
        </w:rPr>
        <w:t>实时监督管理成效。各</w:t>
      </w:r>
      <w:r>
        <w:rPr>
          <w:rFonts w:hint="eastAsia"/>
          <w:sz w:val="28"/>
          <w:szCs w:val="28"/>
        </w:rPr>
        <w:t>部门</w:t>
      </w:r>
      <w:r>
        <w:rPr>
          <w:sz w:val="28"/>
          <w:szCs w:val="28"/>
        </w:rPr>
        <w:t>要在 2024年3月底前建立本单位外包单位“两张清单”（外包单位清单、外包人员清单），并动态跟踪。</w:t>
      </w:r>
      <w:r>
        <w:rPr>
          <w:rFonts w:hint="eastAsia"/>
          <w:sz w:val="28"/>
          <w:szCs w:val="28"/>
        </w:rPr>
        <w:t>每个</w:t>
      </w:r>
      <w:r>
        <w:rPr>
          <w:sz w:val="28"/>
          <w:szCs w:val="28"/>
        </w:rPr>
        <w:t>外包项目的外包联系人要建立涵盖“三类人员”的微信群或钉钉群（一是外包单位所有员工；二是项目主管部门负责人、外包单位联系人和安全员；三是</w:t>
      </w:r>
      <w:r>
        <w:rPr>
          <w:rFonts w:hint="eastAsia"/>
          <w:sz w:val="28"/>
          <w:szCs w:val="28"/>
        </w:rPr>
        <w:t>安监网络</w:t>
      </w:r>
      <w:r>
        <w:rPr>
          <w:sz w:val="28"/>
          <w:szCs w:val="28"/>
        </w:rPr>
        <w:t>成员），通过信息化手段，及时将安全风险隐患和安全管理要求提醒传达到位，监督全覆盖。</w:t>
      </w:r>
    </w:p>
    <w:p>
      <w:pPr>
        <w:ind w:firstLine="560" w:firstLineChars="200"/>
        <w:rPr>
          <w:sz w:val="28"/>
          <w:szCs w:val="28"/>
        </w:rPr>
      </w:pPr>
      <w:r>
        <w:rPr>
          <w:rFonts w:hint="eastAsia"/>
          <w:sz w:val="28"/>
          <w:szCs w:val="28"/>
        </w:rPr>
        <w:t>7</w:t>
      </w:r>
      <w:r>
        <w:rPr>
          <w:sz w:val="28"/>
          <w:szCs w:val="28"/>
        </w:rPr>
        <w:t>.全面做好安全教育持续性。组织开展好外包人员全员安全教育培训，要求每个项目每月不少于三次安全活动，其中于每月中旬的安全活动中组织传达上级安全生产要求，学习系统内外相关事故事件，开展风险辨识及安全技能培训，提升培训实效。</w:t>
      </w:r>
      <w:r>
        <w:rPr>
          <w:rFonts w:hint="eastAsia"/>
          <w:sz w:val="28"/>
          <w:szCs w:val="28"/>
        </w:rPr>
        <w:t>安健环</w:t>
      </w:r>
      <w:r>
        <w:rPr>
          <w:sz w:val="28"/>
          <w:szCs w:val="28"/>
        </w:rPr>
        <w:t>部、项目主管部门应对有现场施工作业的项目进行抽考</w:t>
      </w:r>
      <w:r>
        <w:rPr>
          <w:rFonts w:hint="eastAsia"/>
          <w:sz w:val="28"/>
          <w:szCs w:val="28"/>
        </w:rPr>
        <w:t>，</w:t>
      </w:r>
      <w:r>
        <w:rPr>
          <w:sz w:val="28"/>
          <w:szCs w:val="28"/>
        </w:rPr>
        <w:t>抽考比例不低于 30%（50 人及以上可以为 20%），不合格者</w:t>
      </w:r>
      <w:r>
        <w:rPr>
          <w:rFonts w:hint="eastAsia"/>
          <w:sz w:val="28"/>
          <w:szCs w:val="28"/>
        </w:rPr>
        <w:t>可以</w:t>
      </w:r>
      <w:r>
        <w:rPr>
          <w:sz w:val="28"/>
          <w:szCs w:val="28"/>
        </w:rPr>
        <w:t>补考，两次不合格者应督促外包单位更换人员。</w:t>
      </w:r>
    </w:p>
    <w:p>
      <w:pPr>
        <w:ind w:firstLine="560" w:firstLineChars="200"/>
        <w:rPr>
          <w:sz w:val="28"/>
          <w:szCs w:val="28"/>
        </w:rPr>
      </w:pPr>
      <w:r>
        <w:rPr>
          <w:sz w:val="28"/>
          <w:szCs w:val="28"/>
        </w:rPr>
        <w:t>利用嘉华公司安全教育体验中心的</w:t>
      </w:r>
      <w:r>
        <w:rPr>
          <w:rFonts w:hint="eastAsia"/>
          <w:sz w:val="28"/>
          <w:szCs w:val="28"/>
        </w:rPr>
        <w:t>安培教室</w:t>
      </w:r>
      <w:r>
        <w:rPr>
          <w:sz w:val="28"/>
          <w:szCs w:val="28"/>
        </w:rPr>
        <w:t>，开办安全技术</w:t>
      </w:r>
      <w:r>
        <w:rPr>
          <w:rFonts w:hint="eastAsia"/>
          <w:sz w:val="28"/>
          <w:szCs w:val="28"/>
        </w:rPr>
        <w:t>课堂</w:t>
      </w:r>
      <w:r>
        <w:rPr>
          <w:sz w:val="28"/>
          <w:szCs w:val="28"/>
        </w:rPr>
        <w:t>，为广大</w:t>
      </w:r>
      <w:r>
        <w:rPr>
          <w:rFonts w:hint="eastAsia"/>
          <w:sz w:val="28"/>
          <w:szCs w:val="28"/>
        </w:rPr>
        <w:t>公司员工及</w:t>
      </w:r>
      <w:r>
        <w:rPr>
          <w:sz w:val="28"/>
          <w:szCs w:val="28"/>
        </w:rPr>
        <w:t>外包单位人员提供安全教育和技术培训。安全技术讲堂初步计划由安健环部制定后各生产部门配合实施。</w:t>
      </w:r>
    </w:p>
    <w:p>
      <w:pPr>
        <w:ind w:firstLine="560" w:firstLineChars="200"/>
        <w:rPr>
          <w:sz w:val="28"/>
          <w:szCs w:val="28"/>
        </w:rPr>
      </w:pPr>
      <w:r>
        <w:rPr>
          <w:rFonts w:hint="eastAsia"/>
          <w:sz w:val="28"/>
          <w:szCs w:val="28"/>
        </w:rPr>
        <w:t>8．不断推进外包同质化。在原来为外包单位和班组提供较为方便的办公场所和办公网络的基础上，进一步统筹规划和定置外包班组，不断改善外包单位办公条件。</w:t>
      </w:r>
    </w:p>
    <w:p>
      <w:pPr>
        <w:ind w:firstLine="560" w:firstLineChars="200"/>
        <w:rPr>
          <w:sz w:val="28"/>
          <w:szCs w:val="28"/>
        </w:rPr>
      </w:pPr>
      <w:r>
        <w:rPr>
          <w:sz w:val="28"/>
          <w:szCs w:val="28"/>
        </w:rPr>
        <w:t>开展外包班组“安全班长”试点。选拔一批有责任心、懂安全、有技术的嘉华公司员工，兼任外包班组的“安全班长”，长期指导和帮扶外包班组安全管理工作，探索外包安全管理新模式。</w:t>
      </w:r>
    </w:p>
    <w:p>
      <w:pPr>
        <w:ind w:firstLine="560" w:firstLineChars="200"/>
        <w:rPr>
          <w:sz w:val="28"/>
          <w:szCs w:val="28"/>
        </w:rPr>
      </w:pPr>
      <w:r>
        <w:rPr>
          <w:rFonts w:hint="eastAsia"/>
          <w:sz w:val="28"/>
          <w:szCs w:val="28"/>
        </w:rPr>
        <w:t>将外包单位主要成员纳入到部门级反违章检查小组，定期开展反违章检查活动，检查结果录入安全风险管控云平台。具体分组如下：</w:t>
      </w:r>
    </w:p>
    <w:tbl>
      <w:tblPr>
        <w:tblStyle w:val="5"/>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1683"/>
        <w:gridCol w:w="5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0" w:type="dxa"/>
          </w:tcPr>
          <w:p>
            <w:pPr>
              <w:rPr>
                <w:rFonts w:asciiTheme="minorHAnsi" w:hAnsiTheme="minorHAnsi" w:eastAsiaTheme="minorEastAsia" w:cstheme="minorBidi"/>
                <w:sz w:val="28"/>
                <w:szCs w:val="28"/>
              </w:rPr>
            </w:pPr>
            <w:r>
              <w:rPr>
                <w:rFonts w:asciiTheme="minorHAnsi" w:hAnsiTheme="minorHAnsi" w:eastAsiaTheme="minorEastAsia" w:cstheme="minorBidi"/>
                <w:sz w:val="28"/>
                <w:szCs w:val="28"/>
              </w:rPr>
              <w:t>序号</w:t>
            </w:r>
          </w:p>
        </w:tc>
        <w:tc>
          <w:tcPr>
            <w:tcW w:w="1683" w:type="dxa"/>
          </w:tcPr>
          <w:p>
            <w:pPr>
              <w:rPr>
                <w:rFonts w:asciiTheme="minorHAnsi" w:hAnsiTheme="minorHAnsi" w:eastAsiaTheme="minorEastAsia" w:cstheme="minorBidi"/>
                <w:sz w:val="28"/>
                <w:szCs w:val="28"/>
              </w:rPr>
            </w:pPr>
            <w:r>
              <w:rPr>
                <w:rFonts w:asciiTheme="minorHAnsi" w:hAnsiTheme="minorHAnsi" w:eastAsiaTheme="minorEastAsia" w:cstheme="minorBidi"/>
                <w:sz w:val="28"/>
                <w:szCs w:val="28"/>
              </w:rPr>
              <w:t>主管部门</w:t>
            </w:r>
          </w:p>
        </w:tc>
        <w:tc>
          <w:tcPr>
            <w:tcW w:w="5143" w:type="dxa"/>
          </w:tcPr>
          <w:p>
            <w:pPr>
              <w:rPr>
                <w:rFonts w:asciiTheme="minorHAnsi" w:hAnsiTheme="minorHAnsi" w:eastAsiaTheme="minorEastAsia" w:cstheme="minorBidi"/>
                <w:sz w:val="28"/>
                <w:szCs w:val="28"/>
              </w:rPr>
            </w:pPr>
            <w:r>
              <w:rPr>
                <w:rFonts w:asciiTheme="minorHAnsi" w:hAnsiTheme="minorHAnsi" w:eastAsiaTheme="minorEastAsia" w:cstheme="minorBidi"/>
                <w:sz w:val="28"/>
                <w:szCs w:val="28"/>
              </w:rPr>
              <w:t>外包单位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0" w:type="dxa"/>
          </w:tcPr>
          <w:p>
            <w:pPr>
              <w:rPr>
                <w:rFonts w:asciiTheme="minorHAnsi" w:hAnsiTheme="minorHAnsi" w:eastAsiaTheme="minorEastAsia" w:cstheme="minorBidi"/>
                <w:sz w:val="28"/>
                <w:szCs w:val="28"/>
              </w:rPr>
            </w:pPr>
            <w:r>
              <w:rPr>
                <w:rFonts w:asciiTheme="minorHAnsi" w:hAnsiTheme="minorHAnsi" w:eastAsiaTheme="minorEastAsia" w:cstheme="minorBidi"/>
                <w:sz w:val="28"/>
                <w:szCs w:val="28"/>
              </w:rPr>
              <w:t>1</w:t>
            </w:r>
          </w:p>
        </w:tc>
        <w:tc>
          <w:tcPr>
            <w:tcW w:w="1683" w:type="dxa"/>
          </w:tcPr>
          <w:p>
            <w:pPr>
              <w:rPr>
                <w:rFonts w:asciiTheme="minorHAnsi" w:hAnsiTheme="minorHAnsi" w:eastAsiaTheme="minorEastAsia" w:cstheme="minorBidi"/>
                <w:sz w:val="28"/>
                <w:szCs w:val="28"/>
              </w:rPr>
            </w:pPr>
            <w:bookmarkStart w:id="0" w:name="_GoBack"/>
            <w:bookmarkEnd w:id="0"/>
          </w:p>
        </w:tc>
        <w:tc>
          <w:tcPr>
            <w:tcW w:w="5143" w:type="dxa"/>
          </w:tcPr>
          <w:p>
            <w:pPr>
              <w:rPr>
                <w:rFonts w:asciiTheme="minorHAnsi" w:hAnsiTheme="minorHAnsi" w:eastAsiaTheme="minorEastAsia" w:cstheme="minorBid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0" w:type="dxa"/>
          </w:tcPr>
          <w:p>
            <w:pPr>
              <w:rPr>
                <w:rFonts w:asciiTheme="minorHAnsi" w:hAnsiTheme="minorHAnsi" w:eastAsiaTheme="minorEastAsia" w:cstheme="minorBidi"/>
                <w:sz w:val="28"/>
                <w:szCs w:val="28"/>
              </w:rPr>
            </w:pPr>
            <w:r>
              <w:rPr>
                <w:rFonts w:asciiTheme="minorHAnsi" w:hAnsiTheme="minorHAnsi" w:eastAsiaTheme="minorEastAsia" w:cstheme="minorBidi"/>
                <w:sz w:val="28"/>
                <w:szCs w:val="28"/>
              </w:rPr>
              <w:t>2</w:t>
            </w:r>
          </w:p>
        </w:tc>
        <w:tc>
          <w:tcPr>
            <w:tcW w:w="1683" w:type="dxa"/>
          </w:tcPr>
          <w:p>
            <w:pPr>
              <w:rPr>
                <w:rFonts w:asciiTheme="minorHAnsi" w:hAnsiTheme="minorHAnsi" w:eastAsiaTheme="minorEastAsia" w:cstheme="minorBidi"/>
                <w:sz w:val="28"/>
                <w:szCs w:val="28"/>
              </w:rPr>
            </w:pPr>
          </w:p>
        </w:tc>
        <w:tc>
          <w:tcPr>
            <w:tcW w:w="5143" w:type="dxa"/>
          </w:tcPr>
          <w:p>
            <w:pPr>
              <w:rPr>
                <w:rFonts w:asciiTheme="minorHAnsi" w:hAnsiTheme="minorHAnsi" w:eastAsiaTheme="minorEastAsia" w:cstheme="minorBid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0" w:type="dxa"/>
          </w:tcPr>
          <w:p>
            <w:pPr>
              <w:rPr>
                <w:rFonts w:asciiTheme="minorHAnsi" w:hAnsiTheme="minorHAnsi" w:eastAsiaTheme="minorEastAsia" w:cstheme="minorBidi"/>
                <w:sz w:val="28"/>
                <w:szCs w:val="28"/>
              </w:rPr>
            </w:pPr>
            <w:r>
              <w:rPr>
                <w:rFonts w:hint="eastAsia" w:asciiTheme="minorHAnsi" w:hAnsiTheme="minorHAnsi" w:eastAsiaTheme="minorEastAsia" w:cstheme="minorBidi"/>
                <w:sz w:val="28"/>
                <w:szCs w:val="28"/>
              </w:rPr>
              <w:t>3</w:t>
            </w:r>
          </w:p>
        </w:tc>
        <w:tc>
          <w:tcPr>
            <w:tcW w:w="1683" w:type="dxa"/>
          </w:tcPr>
          <w:p>
            <w:pPr>
              <w:rPr>
                <w:rFonts w:asciiTheme="minorHAnsi" w:hAnsiTheme="minorHAnsi" w:eastAsiaTheme="minorEastAsia" w:cstheme="minorBidi"/>
                <w:sz w:val="28"/>
                <w:szCs w:val="28"/>
              </w:rPr>
            </w:pPr>
          </w:p>
        </w:tc>
        <w:tc>
          <w:tcPr>
            <w:tcW w:w="5143" w:type="dxa"/>
          </w:tcPr>
          <w:p>
            <w:pPr>
              <w:rPr>
                <w:rFonts w:asciiTheme="minorHAnsi" w:hAnsiTheme="minorHAnsi" w:eastAsiaTheme="minorEastAsia" w:cstheme="minorBid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0" w:type="dxa"/>
          </w:tcPr>
          <w:p>
            <w:pPr>
              <w:rPr>
                <w:rFonts w:asciiTheme="minorHAnsi" w:hAnsiTheme="minorHAnsi" w:eastAsiaTheme="minorEastAsia" w:cstheme="minorBidi"/>
                <w:sz w:val="28"/>
                <w:szCs w:val="28"/>
              </w:rPr>
            </w:pPr>
            <w:r>
              <w:rPr>
                <w:rFonts w:hint="eastAsia" w:asciiTheme="minorHAnsi" w:hAnsiTheme="minorHAnsi" w:eastAsiaTheme="minorEastAsia" w:cstheme="minorBidi"/>
                <w:sz w:val="28"/>
                <w:szCs w:val="28"/>
              </w:rPr>
              <w:t>4</w:t>
            </w:r>
          </w:p>
        </w:tc>
        <w:tc>
          <w:tcPr>
            <w:tcW w:w="1683" w:type="dxa"/>
          </w:tcPr>
          <w:p>
            <w:pPr>
              <w:rPr>
                <w:rFonts w:asciiTheme="minorHAnsi" w:hAnsiTheme="minorHAnsi" w:eastAsiaTheme="minorEastAsia" w:cstheme="minorBidi"/>
                <w:sz w:val="28"/>
                <w:szCs w:val="28"/>
              </w:rPr>
            </w:pPr>
          </w:p>
        </w:tc>
        <w:tc>
          <w:tcPr>
            <w:tcW w:w="5143" w:type="dxa"/>
          </w:tcPr>
          <w:p>
            <w:pPr>
              <w:rPr>
                <w:rFonts w:asciiTheme="minorHAnsi" w:hAnsiTheme="minorHAnsi" w:eastAsiaTheme="minorEastAsia" w:cstheme="minorBid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0" w:type="dxa"/>
          </w:tcPr>
          <w:p>
            <w:pPr>
              <w:rPr>
                <w:rFonts w:asciiTheme="minorHAnsi" w:hAnsiTheme="minorHAnsi" w:eastAsiaTheme="minorEastAsia" w:cstheme="minorBidi"/>
                <w:sz w:val="28"/>
                <w:szCs w:val="28"/>
              </w:rPr>
            </w:pPr>
            <w:r>
              <w:rPr>
                <w:rFonts w:hint="eastAsia" w:asciiTheme="minorHAnsi" w:hAnsiTheme="minorHAnsi" w:eastAsiaTheme="minorEastAsia" w:cstheme="minorBidi"/>
                <w:sz w:val="28"/>
                <w:szCs w:val="28"/>
              </w:rPr>
              <w:t>5</w:t>
            </w:r>
          </w:p>
        </w:tc>
        <w:tc>
          <w:tcPr>
            <w:tcW w:w="1683" w:type="dxa"/>
          </w:tcPr>
          <w:p>
            <w:pPr>
              <w:rPr>
                <w:rFonts w:asciiTheme="minorHAnsi" w:hAnsiTheme="minorHAnsi" w:eastAsiaTheme="minorEastAsia" w:cstheme="minorBidi"/>
                <w:sz w:val="28"/>
                <w:szCs w:val="28"/>
              </w:rPr>
            </w:pPr>
          </w:p>
        </w:tc>
        <w:tc>
          <w:tcPr>
            <w:tcW w:w="5143" w:type="dxa"/>
          </w:tcPr>
          <w:p>
            <w:pPr>
              <w:rPr>
                <w:rFonts w:asciiTheme="minorHAnsi" w:hAnsiTheme="minorHAnsi" w:eastAsiaTheme="minorEastAsia" w:cstheme="minorBidi"/>
                <w:sz w:val="28"/>
                <w:szCs w:val="28"/>
              </w:rPr>
            </w:pPr>
          </w:p>
        </w:tc>
      </w:tr>
    </w:tbl>
    <w:p>
      <w:pPr>
        <w:ind w:firstLine="480" w:firstLineChars="200"/>
        <w:rPr>
          <w:sz w:val="24"/>
        </w:rPr>
      </w:pPr>
    </w:p>
    <w:p>
      <w:pPr>
        <w:ind w:firstLine="480" w:firstLineChars="200"/>
        <w:rPr>
          <w:sz w:val="24"/>
        </w:rPr>
      </w:pPr>
      <w:r>
        <w:rPr>
          <w:sz w:val="24"/>
        </w:rPr>
        <w:t>注：单位名单动态更新。</w:t>
      </w:r>
    </w:p>
    <w:p>
      <w:pPr>
        <w:ind w:firstLine="560" w:firstLineChars="200"/>
        <w:rPr>
          <w:sz w:val="28"/>
          <w:szCs w:val="28"/>
        </w:rPr>
      </w:pPr>
      <w:r>
        <w:rPr>
          <w:rFonts w:hint="eastAsia"/>
          <w:sz w:val="28"/>
          <w:szCs w:val="28"/>
        </w:rPr>
        <w:t>9</w:t>
      </w:r>
      <w:r>
        <w:rPr>
          <w:sz w:val="28"/>
          <w:szCs w:val="28"/>
        </w:rPr>
        <w:t>. 持续全面抓好高风险作业管控。严格落实风险分级管控要求，确保高风险作业“五不开工”（风险辨识不到位、隐患不消除、安全交底不清楚、安全措施不落实、现场监控不覆盖等）。主管部门要组织策划好高风险作业项目，开工确认前需落实风险辨识、消除隐患、安全交底、安全措施、部署现场监控等必备条件。要根据施工特点，按照集团公司《安全生产风险分级管控管理规定》的相关规定，设置好每项高风险作业的安全见证点，制定并落实好安全措施见证，管控好安全风险。外包联系人要实时掌握八小时外作业情况，采用</w:t>
      </w:r>
      <w:r>
        <w:rPr>
          <w:rFonts w:hint="eastAsia"/>
          <w:sz w:val="28"/>
          <w:szCs w:val="28"/>
        </w:rPr>
        <w:t>“</w:t>
      </w:r>
      <w:r>
        <w:rPr>
          <w:sz w:val="28"/>
          <w:szCs w:val="28"/>
        </w:rPr>
        <w:t>安全管控云平台</w:t>
      </w:r>
      <w:r>
        <w:rPr>
          <w:rFonts w:hint="eastAsia"/>
          <w:sz w:val="28"/>
          <w:szCs w:val="28"/>
        </w:rPr>
        <w:t>”“</w:t>
      </w:r>
      <w:r>
        <w:rPr>
          <w:sz w:val="28"/>
          <w:szCs w:val="28"/>
        </w:rPr>
        <w:t>智慧工地</w:t>
      </w:r>
      <w:r>
        <w:rPr>
          <w:rFonts w:hint="eastAsia"/>
          <w:sz w:val="28"/>
          <w:szCs w:val="28"/>
        </w:rPr>
        <w:t>”</w:t>
      </w:r>
      <w:r>
        <w:rPr>
          <w:sz w:val="28"/>
          <w:szCs w:val="28"/>
        </w:rPr>
        <w:t>等视频监控手段，实施高风险作业全过程视频监控，做到“无视频监控不工作”，精准监管现场作业。</w:t>
      </w:r>
    </w:p>
    <w:p>
      <w:pPr>
        <w:ind w:firstLine="280" w:firstLineChars="100"/>
        <w:rPr>
          <w:sz w:val="28"/>
          <w:szCs w:val="28"/>
        </w:rPr>
      </w:pPr>
      <w:r>
        <w:rPr>
          <w:rFonts w:hint="eastAsia"/>
          <w:sz w:val="28"/>
          <w:szCs w:val="28"/>
        </w:rPr>
        <w:t xml:space="preserve"> 10</w:t>
      </w:r>
      <w:r>
        <w:rPr>
          <w:sz w:val="28"/>
          <w:szCs w:val="28"/>
        </w:rPr>
        <w:t>. 全面管控短期（临时）外包工程。对于临时性、短期工程（项目）（含科技项目），项目主管部门要着重强调施工全过程的风险辨识管控工作，主管部门的外包单位联系人要监督指导零星外包班组开好班前会（工前会），严格做到</w:t>
      </w:r>
      <w:r>
        <w:rPr>
          <w:rFonts w:hint="eastAsia"/>
          <w:sz w:val="28"/>
          <w:szCs w:val="28"/>
        </w:rPr>
        <w:t>“</w:t>
      </w:r>
      <w:r>
        <w:rPr>
          <w:sz w:val="28"/>
          <w:szCs w:val="28"/>
        </w:rPr>
        <w:t>三交三查</w:t>
      </w:r>
      <w:r>
        <w:rPr>
          <w:rFonts w:hint="eastAsia"/>
          <w:sz w:val="28"/>
          <w:szCs w:val="28"/>
        </w:rPr>
        <w:t>”</w:t>
      </w:r>
      <w:r>
        <w:rPr>
          <w:sz w:val="28"/>
          <w:szCs w:val="28"/>
        </w:rPr>
        <w:t>，督促做好作业风险辨识及管控措施交底。在施工作业过程中，项目部门要派人定期进行检查安全情况，纠正和制止违章，确保项目实施安全。</w:t>
      </w:r>
    </w:p>
    <w:p>
      <w:pPr>
        <w:ind w:firstLine="560" w:firstLineChars="200"/>
        <w:rPr>
          <w:sz w:val="28"/>
          <w:szCs w:val="28"/>
        </w:rPr>
      </w:pPr>
      <w:r>
        <w:rPr>
          <w:rFonts w:hint="eastAsia"/>
          <w:sz w:val="28"/>
          <w:szCs w:val="28"/>
        </w:rPr>
        <w:t>11</w:t>
      </w:r>
      <w:r>
        <w:rPr>
          <w:sz w:val="28"/>
          <w:szCs w:val="28"/>
        </w:rPr>
        <w:t>. 开展外包工程安全监督</w:t>
      </w:r>
      <w:r>
        <w:rPr>
          <w:rFonts w:hint="eastAsia"/>
          <w:sz w:val="28"/>
          <w:szCs w:val="28"/>
        </w:rPr>
        <w:t>，设立外包单位安全管理月报制度</w:t>
      </w:r>
      <w:r>
        <w:rPr>
          <w:sz w:val="28"/>
          <w:szCs w:val="28"/>
        </w:rPr>
        <w:t>。</w:t>
      </w:r>
    </w:p>
    <w:p>
      <w:pPr>
        <w:ind w:firstLine="420" w:firstLineChars="150"/>
        <w:rPr>
          <w:sz w:val="28"/>
          <w:szCs w:val="28"/>
        </w:rPr>
      </w:pPr>
      <w:r>
        <w:rPr>
          <w:rFonts w:hint="eastAsia"/>
          <w:sz w:val="28"/>
          <w:szCs w:val="28"/>
        </w:rPr>
        <w:t>（1）项目主管部门、计划营销部、安健环部应对外包工程的进度、质量、安全及合同履约情况进行全面监督。项目主管部门必须监督指导并参与到在外包工程（项目）的作业风险分级管控工作，参与高风险作业安全见证点的设置和见证工作，采取旁站监护、全程监护、阶段式随查等方式，确保高风险作业全程安全。</w:t>
      </w:r>
    </w:p>
    <w:p>
      <w:pPr>
        <w:ind w:firstLine="420" w:firstLineChars="150"/>
        <w:rPr>
          <w:sz w:val="28"/>
          <w:szCs w:val="28"/>
        </w:rPr>
      </w:pPr>
      <w:r>
        <w:rPr>
          <w:rFonts w:hint="eastAsia"/>
          <w:sz w:val="28"/>
          <w:szCs w:val="28"/>
        </w:rPr>
        <w:t>（2）嘉华公司设立外包安全管理月报制度。对于设有外包安全绩效考核金的各外包单位每月1日之前除了需填写安全管理绩效测评表格之外，需将上月安全管理工作简况汇报给主管部门，外包单位安全管理月报内容包含项目内容、上月安全情况、上月安全管理情况、上月反违章及内部考核情况、管理亮点、存在的不足及改进措施。</w:t>
      </w:r>
    </w:p>
    <w:p>
      <w:pPr>
        <w:ind w:firstLine="560" w:firstLineChars="200"/>
        <w:rPr>
          <w:sz w:val="28"/>
          <w:szCs w:val="28"/>
        </w:rPr>
      </w:pPr>
      <w:r>
        <w:rPr>
          <w:rFonts w:hint="eastAsia"/>
          <w:sz w:val="28"/>
          <w:szCs w:val="28"/>
        </w:rPr>
        <w:t>月报报送给项目主管部门后，主管部门需进行综合打分，并作为安全管理绩效考评和年底优秀外包单位、优秀项目部等评选的参考依据之一。</w:t>
      </w:r>
    </w:p>
    <w:p>
      <w:pPr>
        <w:ind w:firstLine="560" w:firstLineChars="200"/>
        <w:rPr>
          <w:sz w:val="28"/>
          <w:szCs w:val="28"/>
        </w:rPr>
      </w:pPr>
      <w:r>
        <w:rPr>
          <w:rFonts w:hint="eastAsia"/>
          <w:sz w:val="28"/>
          <w:szCs w:val="28"/>
        </w:rPr>
        <w:t>12、确保安全生产投入到位</w:t>
      </w:r>
    </w:p>
    <w:p>
      <w:pPr>
        <w:ind w:firstLine="560" w:firstLineChars="200"/>
        <w:rPr>
          <w:sz w:val="28"/>
          <w:szCs w:val="28"/>
        </w:rPr>
      </w:pPr>
      <w:r>
        <w:rPr>
          <w:rFonts w:hint="eastAsia"/>
          <w:sz w:val="28"/>
          <w:szCs w:val="28"/>
        </w:rPr>
        <w:t>计划营销部、项目主管部门、安健环部要细化外包合同安全费用具体列支及使用要求，定期排查安全生产费用投入和使用情况。对于不投入或投入不足的外包单位进行考核纠正。</w:t>
      </w:r>
    </w:p>
    <w:p>
      <w:pPr>
        <w:ind w:firstLine="560" w:firstLineChars="200"/>
        <w:rPr>
          <w:sz w:val="28"/>
          <w:szCs w:val="28"/>
        </w:rPr>
      </w:pPr>
      <w:r>
        <w:rPr>
          <w:rFonts w:hint="eastAsia"/>
          <w:sz w:val="28"/>
          <w:szCs w:val="28"/>
        </w:rPr>
        <w:t>13.设立外包人员突出贡献奖励制度。</w:t>
      </w:r>
    </w:p>
    <w:p>
      <w:pPr>
        <w:ind w:firstLine="560" w:firstLineChars="200"/>
        <w:rPr>
          <w:sz w:val="28"/>
          <w:szCs w:val="28"/>
        </w:rPr>
      </w:pPr>
      <w:r>
        <w:rPr>
          <w:rFonts w:hint="eastAsia"/>
          <w:sz w:val="28"/>
          <w:szCs w:val="28"/>
        </w:rPr>
        <w:t>对于在安全生产工作中有突出贡献的外包单位及个人，经外包单位申报，主管部门审核，公司领导批准后，公司将给予特别嘉奖，</w:t>
      </w:r>
      <w:r>
        <w:rPr>
          <w:sz w:val="28"/>
          <w:szCs w:val="28"/>
        </w:rPr>
        <w:t>奖励资金由安全专项奖励金支出</w:t>
      </w:r>
      <w:r>
        <w:rPr>
          <w:rFonts w:hint="eastAsia"/>
          <w:sz w:val="28"/>
          <w:szCs w:val="28"/>
        </w:rPr>
        <w:t>。主要指以下情况（包括但不限于）：</w:t>
      </w:r>
    </w:p>
    <w:p>
      <w:pPr>
        <w:pStyle w:val="12"/>
        <w:numPr>
          <w:ilvl w:val="0"/>
          <w:numId w:val="1"/>
        </w:numPr>
        <w:spacing w:line="360" w:lineRule="auto"/>
        <w:ind w:firstLine="560"/>
        <w:rPr>
          <w:rFonts w:ascii="Times New Roman"/>
          <w:kern w:val="2"/>
          <w:sz w:val="28"/>
          <w:szCs w:val="28"/>
        </w:rPr>
      </w:pPr>
      <w:r>
        <w:rPr>
          <w:rFonts w:hint="eastAsia" w:ascii="Times New Roman"/>
          <w:kern w:val="2"/>
          <w:sz w:val="28"/>
          <w:szCs w:val="28"/>
        </w:rPr>
        <w:t>发现危险情况，正确应急处置，避免公司安全事故（事件）发生的，如及时扑灭火险、避免火灾、爆炸、人员伤亡事故的，年度绩效奖励10~20分/次，一次性奖励1000~10000元/次；</w:t>
      </w:r>
    </w:p>
    <w:p>
      <w:pPr>
        <w:pStyle w:val="12"/>
        <w:numPr>
          <w:ilvl w:val="0"/>
          <w:numId w:val="1"/>
        </w:numPr>
        <w:spacing w:line="360" w:lineRule="auto"/>
        <w:ind w:firstLine="560"/>
        <w:rPr>
          <w:rFonts w:ascii="Times New Roman"/>
          <w:kern w:val="2"/>
          <w:sz w:val="28"/>
          <w:szCs w:val="28"/>
        </w:rPr>
      </w:pPr>
      <w:r>
        <w:rPr>
          <w:rFonts w:hint="eastAsia" w:ascii="Times New Roman"/>
          <w:kern w:val="2"/>
          <w:sz w:val="28"/>
          <w:szCs w:val="28"/>
        </w:rPr>
        <w:t>发现重要隐患或缺陷，及时报告公司，避免引起设备二类障碍以上事件的，年度绩效奖励5~10分/次，一次性奖励500~2000元/次；</w:t>
      </w:r>
    </w:p>
    <w:p>
      <w:pPr>
        <w:pStyle w:val="12"/>
        <w:numPr>
          <w:ilvl w:val="0"/>
          <w:numId w:val="1"/>
        </w:numPr>
        <w:spacing w:line="360" w:lineRule="auto"/>
        <w:ind w:firstLine="560"/>
        <w:rPr>
          <w:rFonts w:ascii="Times New Roman"/>
          <w:kern w:val="2"/>
          <w:sz w:val="28"/>
          <w:szCs w:val="28"/>
        </w:rPr>
      </w:pPr>
      <w:r>
        <w:rPr>
          <w:rFonts w:hint="eastAsia" w:ascii="Times New Roman"/>
          <w:kern w:val="2"/>
          <w:sz w:val="28"/>
          <w:szCs w:val="28"/>
        </w:rPr>
        <w:t>发现其它单位和个人一类违章并报告公司的，月度绩效奖励5分/次，奖励500~1000元/次；</w:t>
      </w:r>
    </w:p>
    <w:p>
      <w:pPr>
        <w:pStyle w:val="12"/>
        <w:numPr>
          <w:ilvl w:val="0"/>
          <w:numId w:val="1"/>
        </w:numPr>
        <w:spacing w:line="360" w:lineRule="auto"/>
        <w:ind w:firstLine="560"/>
        <w:rPr>
          <w:rFonts w:ascii="Times New Roman"/>
          <w:kern w:val="2"/>
          <w:sz w:val="28"/>
          <w:szCs w:val="28"/>
        </w:rPr>
      </w:pPr>
      <w:r>
        <w:rPr>
          <w:rFonts w:hint="eastAsia" w:ascii="Times New Roman"/>
          <w:kern w:val="2"/>
          <w:sz w:val="28"/>
          <w:szCs w:val="28"/>
        </w:rPr>
        <w:t>其它经公司安委会认定的具有</w:t>
      </w:r>
      <w:r>
        <w:rPr>
          <w:rFonts w:ascii="Times New Roman"/>
          <w:kern w:val="2"/>
          <w:sz w:val="28"/>
          <w:szCs w:val="28"/>
        </w:rPr>
        <w:t>突出表现和业绩的外包单位</w:t>
      </w:r>
      <w:r>
        <w:rPr>
          <w:rFonts w:hint="eastAsia" w:ascii="Times New Roman"/>
          <w:kern w:val="2"/>
          <w:sz w:val="28"/>
          <w:szCs w:val="28"/>
        </w:rPr>
        <w:t>及</w:t>
      </w:r>
      <w:r>
        <w:rPr>
          <w:rFonts w:ascii="Times New Roman"/>
          <w:kern w:val="2"/>
          <w:sz w:val="28"/>
          <w:szCs w:val="28"/>
        </w:rPr>
        <w:t>个人</w:t>
      </w:r>
      <w:r>
        <w:rPr>
          <w:rFonts w:hint="eastAsia" w:ascii="Times New Roman"/>
          <w:kern w:val="2"/>
          <w:sz w:val="28"/>
          <w:szCs w:val="28"/>
        </w:rPr>
        <w:t>。</w:t>
      </w:r>
    </w:p>
    <w:p>
      <w:pPr>
        <w:ind w:firstLine="413" w:firstLineChars="147"/>
        <w:rPr>
          <w:b/>
          <w:sz w:val="28"/>
          <w:szCs w:val="28"/>
        </w:rPr>
      </w:pPr>
      <w:r>
        <w:rPr>
          <w:b/>
          <w:sz w:val="28"/>
          <w:szCs w:val="28"/>
        </w:rPr>
        <w:t>（四）建班建制，提升外包人员素养能力</w:t>
      </w:r>
    </w:p>
    <w:p>
      <w:pPr>
        <w:ind w:firstLine="560" w:firstLineChars="200"/>
        <w:rPr>
          <w:sz w:val="28"/>
          <w:szCs w:val="28"/>
        </w:rPr>
      </w:pPr>
      <w:r>
        <w:rPr>
          <w:rFonts w:hint="eastAsia"/>
          <w:sz w:val="28"/>
          <w:szCs w:val="28"/>
        </w:rPr>
        <w:t>14</w:t>
      </w:r>
      <w:r>
        <w:rPr>
          <w:sz w:val="28"/>
          <w:szCs w:val="28"/>
        </w:rPr>
        <w:t>.全面开展外包班组班组建设。在2023年实现</w:t>
      </w:r>
      <w:r>
        <w:rPr>
          <w:rFonts w:hint="eastAsia"/>
          <w:sz w:val="28"/>
          <w:szCs w:val="28"/>
        </w:rPr>
        <w:t>27个外包班组全面达标、其中</w:t>
      </w:r>
      <w:r>
        <w:rPr>
          <w:sz w:val="28"/>
          <w:szCs w:val="28"/>
        </w:rPr>
        <w:t>6</w:t>
      </w:r>
      <w:r>
        <w:rPr>
          <w:rFonts w:hint="eastAsia"/>
          <w:sz w:val="28"/>
          <w:szCs w:val="28"/>
        </w:rPr>
        <w:t>个班组达到星级</w:t>
      </w:r>
      <w:r>
        <w:rPr>
          <w:sz w:val="28"/>
          <w:szCs w:val="28"/>
        </w:rPr>
        <w:t>的基础上，2024年要实现班组建设全面向外包班组延伸，长协外包单位全面建班建制，零星外包单位人员要纳入相关班组管理。在集团公司外包班组管理考评机制的基础上，针对外包项目外包班组特点</w:t>
      </w:r>
      <w:r>
        <w:rPr>
          <w:rFonts w:hint="eastAsia"/>
          <w:sz w:val="28"/>
          <w:szCs w:val="28"/>
        </w:rPr>
        <w:t>，</w:t>
      </w:r>
      <w:r>
        <w:rPr>
          <w:sz w:val="28"/>
          <w:szCs w:val="28"/>
        </w:rPr>
        <w:t>进一步健全完善本单位考评机制。不断优化外包安全绩效评价细则</w:t>
      </w:r>
      <w:r>
        <w:rPr>
          <w:rFonts w:hint="eastAsia"/>
          <w:sz w:val="28"/>
          <w:szCs w:val="28"/>
        </w:rPr>
        <w:t>，</w:t>
      </w:r>
      <w:r>
        <w:rPr>
          <w:sz w:val="28"/>
          <w:szCs w:val="28"/>
        </w:rPr>
        <w:t>建立外包单位绩效晾晒约谈机制</w:t>
      </w:r>
      <w:r>
        <w:rPr>
          <w:rFonts w:hint="eastAsia"/>
          <w:sz w:val="28"/>
          <w:szCs w:val="28"/>
        </w:rPr>
        <w:t>，</w:t>
      </w:r>
      <w:r>
        <w:rPr>
          <w:sz w:val="28"/>
          <w:szCs w:val="28"/>
        </w:rPr>
        <w:t>筛选优质外包队伍</w:t>
      </w:r>
      <w:r>
        <w:rPr>
          <w:rFonts w:hint="eastAsia"/>
          <w:sz w:val="28"/>
          <w:szCs w:val="28"/>
        </w:rPr>
        <w:t>，</w:t>
      </w:r>
      <w:r>
        <w:rPr>
          <w:sz w:val="28"/>
          <w:szCs w:val="28"/>
        </w:rPr>
        <w:t>逐步推进外包单位整合</w:t>
      </w:r>
      <w:r>
        <w:rPr>
          <w:rFonts w:hint="eastAsia"/>
          <w:sz w:val="28"/>
          <w:szCs w:val="28"/>
        </w:rPr>
        <w:t>。</w:t>
      </w:r>
    </w:p>
    <w:p>
      <w:pPr>
        <w:ind w:firstLine="560" w:firstLineChars="200"/>
        <w:rPr>
          <w:sz w:val="28"/>
          <w:szCs w:val="28"/>
        </w:rPr>
      </w:pPr>
      <w:r>
        <w:rPr>
          <w:rFonts w:hint="eastAsia"/>
          <w:sz w:val="28"/>
          <w:szCs w:val="28"/>
        </w:rPr>
        <w:t>15</w:t>
      </w:r>
      <w:r>
        <w:rPr>
          <w:sz w:val="28"/>
          <w:szCs w:val="28"/>
        </w:rPr>
        <w:t>. 多途径提升外包班组建设水平。制定外包班组“达标”计划，实现外包班组 100%建设达标，并积极鼓励</w:t>
      </w:r>
      <w:r>
        <w:rPr>
          <w:rFonts w:hint="eastAsia"/>
          <w:sz w:val="28"/>
          <w:szCs w:val="28"/>
        </w:rPr>
        <w:t>“</w:t>
      </w:r>
      <w:r>
        <w:rPr>
          <w:sz w:val="28"/>
          <w:szCs w:val="28"/>
        </w:rPr>
        <w:t>星级</w:t>
      </w:r>
      <w:r>
        <w:rPr>
          <w:rFonts w:hint="eastAsia"/>
          <w:sz w:val="28"/>
          <w:szCs w:val="28"/>
        </w:rPr>
        <w:t>”</w:t>
      </w:r>
      <w:r>
        <w:rPr>
          <w:sz w:val="28"/>
          <w:szCs w:val="28"/>
        </w:rPr>
        <w:t>班组提升，每半年组织一次外包班组建设考评交流，全面提升</w:t>
      </w:r>
      <w:r>
        <w:rPr>
          <w:rFonts w:hint="eastAsia"/>
          <w:sz w:val="28"/>
          <w:szCs w:val="28"/>
        </w:rPr>
        <w:t>外包</w:t>
      </w:r>
      <w:r>
        <w:rPr>
          <w:sz w:val="28"/>
          <w:szCs w:val="28"/>
        </w:rPr>
        <w:t>班组建设水平</w:t>
      </w:r>
      <w:r>
        <w:rPr>
          <w:rFonts w:hint="eastAsia"/>
          <w:sz w:val="28"/>
          <w:szCs w:val="28"/>
        </w:rPr>
        <w:t>。</w:t>
      </w:r>
      <w:r>
        <w:rPr>
          <w:sz w:val="28"/>
          <w:szCs w:val="28"/>
        </w:rPr>
        <w:t>对于安全管理薄弱班组、新进班组</w:t>
      </w:r>
      <w:r>
        <w:rPr>
          <w:rFonts w:hint="eastAsia"/>
          <w:sz w:val="28"/>
          <w:szCs w:val="28"/>
        </w:rPr>
        <w:t>，</w:t>
      </w:r>
      <w:r>
        <w:rPr>
          <w:sz w:val="28"/>
          <w:szCs w:val="28"/>
        </w:rPr>
        <w:t>项目主管部门和安健环部要制定对口的帮扶措施，通过</w:t>
      </w:r>
      <w:r>
        <w:rPr>
          <w:rFonts w:hint="eastAsia"/>
          <w:sz w:val="28"/>
          <w:szCs w:val="28"/>
        </w:rPr>
        <w:t>“</w:t>
      </w:r>
      <w:r>
        <w:rPr>
          <w:sz w:val="28"/>
          <w:szCs w:val="28"/>
        </w:rPr>
        <w:t>一对一帮扶</w:t>
      </w:r>
      <w:r>
        <w:rPr>
          <w:rFonts w:hint="eastAsia"/>
          <w:sz w:val="28"/>
          <w:szCs w:val="28"/>
        </w:rPr>
        <w:t>”</w:t>
      </w:r>
      <w:r>
        <w:rPr>
          <w:sz w:val="28"/>
          <w:szCs w:val="28"/>
        </w:rPr>
        <w:t>等形式促进其班组建设水平稳步提升。</w:t>
      </w:r>
    </w:p>
    <w:p>
      <w:pPr>
        <w:ind w:firstLine="560" w:firstLineChars="200"/>
        <w:rPr>
          <w:sz w:val="28"/>
          <w:szCs w:val="28"/>
        </w:rPr>
      </w:pPr>
      <w:r>
        <w:rPr>
          <w:rFonts w:hint="eastAsia"/>
          <w:sz w:val="28"/>
          <w:szCs w:val="28"/>
        </w:rPr>
        <w:t>16.开展灵活多样的外包竞赛和评比活动</w:t>
      </w:r>
    </w:p>
    <w:p>
      <w:pPr>
        <w:ind w:firstLine="420" w:firstLineChars="150"/>
        <w:rPr>
          <w:sz w:val="28"/>
          <w:szCs w:val="28"/>
        </w:rPr>
      </w:pPr>
      <w:r>
        <w:rPr>
          <w:rFonts w:hint="eastAsia"/>
          <w:sz w:val="28"/>
          <w:szCs w:val="28"/>
        </w:rPr>
        <w:t>（1）每年年底组织评选</w:t>
      </w:r>
      <w:r>
        <w:rPr>
          <w:sz w:val="28"/>
          <w:szCs w:val="28"/>
        </w:rPr>
        <w:t>优秀外包项目、优秀项目经理、优秀外包安全员、安全生产先进个人</w:t>
      </w:r>
      <w:r>
        <w:rPr>
          <w:rFonts w:hint="eastAsia"/>
          <w:sz w:val="28"/>
          <w:szCs w:val="28"/>
        </w:rPr>
        <w:t>等，</w:t>
      </w:r>
      <w:r>
        <w:rPr>
          <w:sz w:val="28"/>
          <w:szCs w:val="28"/>
        </w:rPr>
        <w:t>张榜公布并进行奖励</w:t>
      </w:r>
      <w:r>
        <w:rPr>
          <w:rFonts w:hint="eastAsia"/>
          <w:sz w:val="28"/>
          <w:szCs w:val="28"/>
        </w:rPr>
        <w:t>，</w:t>
      </w:r>
      <w:r>
        <w:rPr>
          <w:sz w:val="28"/>
          <w:szCs w:val="28"/>
        </w:rPr>
        <w:t>奖励资金由安全专项奖励金支出。</w:t>
      </w:r>
    </w:p>
    <w:p>
      <w:pPr>
        <w:ind w:firstLine="420" w:firstLineChars="150"/>
        <w:rPr>
          <w:b/>
          <w:sz w:val="28"/>
          <w:szCs w:val="28"/>
        </w:rPr>
      </w:pPr>
      <w:r>
        <w:rPr>
          <w:rFonts w:hint="eastAsia"/>
          <w:sz w:val="28"/>
          <w:szCs w:val="28"/>
        </w:rPr>
        <w:t>（2）每年组织形式多样的技术比武及安全竞赛，对优胜单位、班组和个人进行奖励，</w:t>
      </w:r>
      <w:r>
        <w:rPr>
          <w:sz w:val="28"/>
          <w:szCs w:val="28"/>
        </w:rPr>
        <w:t>奖励资金由安全专项奖励金支出。具体计划由安健环部制定后各部门配合实施。</w:t>
      </w:r>
    </w:p>
    <w:p>
      <w:pPr>
        <w:ind w:firstLine="413" w:firstLineChars="147"/>
        <w:rPr>
          <w:b/>
          <w:sz w:val="28"/>
          <w:szCs w:val="28"/>
        </w:rPr>
      </w:pPr>
      <w:r>
        <w:rPr>
          <w:b/>
          <w:sz w:val="28"/>
          <w:szCs w:val="28"/>
        </w:rPr>
        <w:t>（五）动态管理，强化承包商考核评价</w:t>
      </w:r>
    </w:p>
    <w:p>
      <w:pPr>
        <w:ind w:firstLine="560" w:firstLineChars="200"/>
        <w:rPr>
          <w:sz w:val="28"/>
          <w:szCs w:val="28"/>
        </w:rPr>
      </w:pPr>
      <w:r>
        <w:rPr>
          <w:sz w:val="28"/>
          <w:szCs w:val="28"/>
        </w:rPr>
        <w:t>1</w:t>
      </w:r>
      <w:r>
        <w:rPr>
          <w:rFonts w:hint="eastAsia"/>
          <w:sz w:val="28"/>
          <w:szCs w:val="28"/>
        </w:rPr>
        <w:t>7</w:t>
      </w:r>
      <w:r>
        <w:rPr>
          <w:sz w:val="28"/>
          <w:szCs w:val="28"/>
        </w:rPr>
        <w:t>. 有效开展外包安全业绩评价。及时组织开展</w:t>
      </w:r>
      <w:r>
        <w:rPr>
          <w:rFonts w:hint="eastAsia"/>
          <w:sz w:val="28"/>
          <w:szCs w:val="28"/>
        </w:rPr>
        <w:t>公司</w:t>
      </w:r>
      <w:r>
        <w:rPr>
          <w:sz w:val="28"/>
          <w:szCs w:val="28"/>
        </w:rPr>
        <w:t>外包单位安全业绩评定工作，进一步细化安全业绩评定标准，结合公司</w:t>
      </w:r>
      <w:r>
        <w:rPr>
          <w:rFonts w:hint="eastAsia"/>
          <w:sz w:val="28"/>
          <w:szCs w:val="28"/>
        </w:rPr>
        <w:t>《外包工程（项目）安全管理》、《反违章及安全分管理》、《浙能嘉华外包单位安全管理绩效考评实施细则》、《项目管理》、《供应商管理》等标准，</w:t>
      </w:r>
      <w:r>
        <w:rPr>
          <w:sz w:val="28"/>
          <w:szCs w:val="28"/>
        </w:rPr>
        <w:t>要将触碰红线的事件和行为列入不合格清单，并按照集团合格供应商管理办法列入“黑名单”。情节严重达到合同条款终止条件的，终止合同并清退出厂。（1）外包单位安全业绩评定结果实时对接集团公司智慧供应链一体化平台，并根据集团公司《供应商关系管理办法》作相应考核。（2）安全业绩评定为“优秀”的外包单位，参与集团公司优质供应商评选，可根据制度给予相应优惠政策。（3）安全业绩评定为“不合格”的外包单位，视情节严重程度，可给予“列入黑名单”1 年、2 年、3 年或永久性等处置，取消其参与集团系统采购活动资格。</w:t>
      </w:r>
    </w:p>
    <w:p>
      <w:pPr>
        <w:ind w:firstLine="560" w:firstLineChars="200"/>
        <w:rPr>
          <w:sz w:val="28"/>
          <w:szCs w:val="28"/>
        </w:rPr>
      </w:pPr>
      <w:r>
        <w:rPr>
          <w:sz w:val="28"/>
          <w:szCs w:val="28"/>
        </w:rPr>
        <w:t>1</w:t>
      </w:r>
      <w:r>
        <w:rPr>
          <w:rFonts w:hint="eastAsia"/>
          <w:sz w:val="28"/>
          <w:szCs w:val="28"/>
        </w:rPr>
        <w:t>8</w:t>
      </w:r>
      <w:r>
        <w:rPr>
          <w:sz w:val="28"/>
          <w:szCs w:val="28"/>
        </w:rPr>
        <w:t>. 实行个人“风险清单”机制。违反集团公司《安全生产禁令》或违章累计超过 3 次的外包人员，要清退出厂，并列入个人“风险清单”。安全业绩评定不合格的外包单位，相应的项目负责人、法人代表也要列入个人“风险清单”，</w:t>
      </w:r>
      <w:r>
        <w:rPr>
          <w:rFonts w:hint="eastAsia"/>
          <w:sz w:val="28"/>
          <w:szCs w:val="28"/>
        </w:rPr>
        <w:t>公司</w:t>
      </w:r>
      <w:r>
        <w:rPr>
          <w:sz w:val="28"/>
          <w:szCs w:val="28"/>
        </w:rPr>
        <w:t>各部门要加强开工审查，拒绝个人“风险清单”人员进入</w:t>
      </w:r>
      <w:r>
        <w:rPr>
          <w:rFonts w:hint="eastAsia"/>
          <w:sz w:val="28"/>
          <w:szCs w:val="28"/>
        </w:rPr>
        <w:t>公司</w:t>
      </w:r>
      <w:r>
        <w:rPr>
          <w:sz w:val="28"/>
          <w:szCs w:val="28"/>
        </w:rPr>
        <w:t>现场工作。要加强投标文件审核，杜绝个人“风险清单” 的项目负责人和法人代表参与集团系统采购活动。</w:t>
      </w:r>
    </w:p>
    <w:p>
      <w:pPr>
        <w:ind w:firstLine="562" w:firstLineChars="200"/>
        <w:rPr>
          <w:b/>
          <w:sz w:val="28"/>
          <w:szCs w:val="28"/>
        </w:rPr>
      </w:pPr>
      <w:r>
        <w:rPr>
          <w:b/>
          <w:sz w:val="28"/>
          <w:szCs w:val="28"/>
        </w:rPr>
        <w:t>三、工作要求</w:t>
      </w:r>
    </w:p>
    <w:p>
      <w:pPr>
        <w:ind w:firstLine="420" w:firstLineChars="150"/>
        <w:rPr>
          <w:sz w:val="28"/>
          <w:szCs w:val="28"/>
        </w:rPr>
      </w:pPr>
      <w:r>
        <w:rPr>
          <w:sz w:val="28"/>
          <w:szCs w:val="28"/>
        </w:rPr>
        <w:t>（一）缜密周密部署。各</w:t>
      </w:r>
      <w:r>
        <w:rPr>
          <w:rFonts w:hint="eastAsia"/>
          <w:sz w:val="28"/>
          <w:szCs w:val="28"/>
        </w:rPr>
        <w:t>项目</w:t>
      </w:r>
      <w:r>
        <w:rPr>
          <w:sz w:val="28"/>
          <w:szCs w:val="28"/>
        </w:rPr>
        <w:t>主管部门要结合自身特点，细化制定工作任务计划和时间进度表</w:t>
      </w:r>
      <w:r>
        <w:rPr>
          <w:rFonts w:hint="eastAsia"/>
          <w:sz w:val="28"/>
          <w:szCs w:val="28"/>
        </w:rPr>
        <w:t>。</w:t>
      </w:r>
      <w:r>
        <w:rPr>
          <w:sz w:val="28"/>
          <w:szCs w:val="28"/>
        </w:rPr>
        <w:t>加强组织领导，明确各项任务的目标、时限、责任等工作要求，</w:t>
      </w:r>
      <w:r>
        <w:rPr>
          <w:rFonts w:hint="eastAsia"/>
          <w:sz w:val="28"/>
          <w:szCs w:val="28"/>
        </w:rPr>
        <w:t>部门</w:t>
      </w:r>
      <w:r>
        <w:rPr>
          <w:sz w:val="28"/>
          <w:szCs w:val="28"/>
        </w:rPr>
        <w:t>主要领导要亲自组织部署，亲自督查专项行动推进情况，确保取得实效。四期基建工程可参照本方案，制定符合自身实际的外包单位安全管理提升专项行动实施方案。请各部门在4</w:t>
      </w:r>
      <w:r>
        <w:rPr>
          <w:rFonts w:hint="eastAsia"/>
          <w:sz w:val="28"/>
          <w:szCs w:val="28"/>
        </w:rPr>
        <w:t>月</w:t>
      </w:r>
      <w:r>
        <w:rPr>
          <w:sz w:val="28"/>
          <w:szCs w:val="28"/>
        </w:rPr>
        <w:t>10</w:t>
      </w:r>
      <w:r>
        <w:rPr>
          <w:rFonts w:hint="eastAsia"/>
          <w:sz w:val="28"/>
          <w:szCs w:val="28"/>
        </w:rPr>
        <w:t>日前将部门的</w:t>
      </w:r>
      <w:r>
        <w:rPr>
          <w:sz w:val="28"/>
          <w:szCs w:val="28"/>
        </w:rPr>
        <w:t>外包单位安全管理提升专项行动实施计划和进度表报送给安健环部</w:t>
      </w:r>
      <w:r>
        <w:rPr>
          <w:rFonts w:hint="eastAsia"/>
          <w:sz w:val="28"/>
          <w:szCs w:val="28"/>
        </w:rPr>
        <w:t>，安健环部</w:t>
      </w:r>
      <w:r>
        <w:rPr>
          <w:sz w:val="28"/>
          <w:szCs w:val="28"/>
        </w:rPr>
        <w:t>于4月1日前上报</w:t>
      </w:r>
      <w:r>
        <w:rPr>
          <w:rFonts w:hint="eastAsia"/>
          <w:sz w:val="28"/>
          <w:szCs w:val="28"/>
        </w:rPr>
        <w:t>集团</w:t>
      </w:r>
      <w:r>
        <w:rPr>
          <w:sz w:val="28"/>
          <w:szCs w:val="28"/>
        </w:rPr>
        <w:t>和股份公司。</w:t>
      </w:r>
    </w:p>
    <w:p>
      <w:pPr>
        <w:ind w:firstLine="420" w:firstLineChars="150"/>
        <w:rPr>
          <w:sz w:val="28"/>
          <w:szCs w:val="28"/>
        </w:rPr>
      </w:pPr>
      <w:r>
        <w:rPr>
          <w:sz w:val="28"/>
          <w:szCs w:val="28"/>
        </w:rPr>
        <w:t>（二）坚持目标导向。各</w:t>
      </w:r>
      <w:r>
        <w:rPr>
          <w:rFonts w:hint="eastAsia"/>
          <w:sz w:val="28"/>
          <w:szCs w:val="28"/>
        </w:rPr>
        <w:t>部门</w:t>
      </w:r>
      <w:r>
        <w:rPr>
          <w:sz w:val="28"/>
          <w:szCs w:val="28"/>
        </w:rPr>
        <w:t>要坚持以提升外包单位安全管理为目标、以不发生外包工程（项目）不安全事故事件为底线，全面排查整治外包工程（项目）安全管理各类问题，追根溯源、找准病灶，针对性地在完善健全规章制度、拧紧责任链条</w:t>
      </w:r>
      <w:r>
        <w:rPr>
          <w:rFonts w:hint="eastAsia"/>
          <w:sz w:val="28"/>
          <w:szCs w:val="28"/>
        </w:rPr>
        <w:t>，</w:t>
      </w:r>
      <w:r>
        <w:rPr>
          <w:sz w:val="28"/>
          <w:szCs w:val="28"/>
        </w:rPr>
        <w:t>增强外包单位安全管理能力等方面出实招见实效，及时消除漏洞、补齐短板。安健环部</w:t>
      </w:r>
      <w:r>
        <w:rPr>
          <w:rFonts w:hint="eastAsia"/>
          <w:sz w:val="28"/>
          <w:szCs w:val="28"/>
        </w:rPr>
        <w:t>、安全生产稽查队</w:t>
      </w:r>
      <w:r>
        <w:rPr>
          <w:sz w:val="28"/>
          <w:szCs w:val="28"/>
        </w:rPr>
        <w:t>定期对</w:t>
      </w:r>
      <w:r>
        <w:rPr>
          <w:rFonts w:hint="eastAsia"/>
          <w:sz w:val="28"/>
          <w:szCs w:val="28"/>
        </w:rPr>
        <w:t>各</w:t>
      </w:r>
      <w:r>
        <w:rPr>
          <w:sz w:val="28"/>
          <w:szCs w:val="28"/>
        </w:rPr>
        <w:t>部门本专项行动实施开展成效开展检查</w:t>
      </w:r>
      <w:r>
        <w:rPr>
          <w:rFonts w:hint="eastAsia"/>
          <w:sz w:val="28"/>
          <w:szCs w:val="28"/>
        </w:rPr>
        <w:t>和</w:t>
      </w:r>
      <w:r>
        <w:rPr>
          <w:sz w:val="28"/>
          <w:szCs w:val="28"/>
        </w:rPr>
        <w:t>稽查，及时发现和改进存在的问题。</w:t>
      </w:r>
    </w:p>
    <w:p>
      <w:pPr>
        <w:ind w:firstLine="420" w:firstLineChars="150"/>
        <w:rPr>
          <w:sz w:val="28"/>
          <w:szCs w:val="28"/>
        </w:rPr>
      </w:pPr>
      <w:r>
        <w:rPr>
          <w:sz w:val="28"/>
          <w:szCs w:val="28"/>
        </w:rPr>
        <w:t>（三）做好总结分析。各</w:t>
      </w:r>
      <w:r>
        <w:rPr>
          <w:rFonts w:hint="eastAsia"/>
          <w:sz w:val="28"/>
          <w:szCs w:val="28"/>
        </w:rPr>
        <w:t>部门</w:t>
      </w:r>
      <w:r>
        <w:rPr>
          <w:sz w:val="28"/>
          <w:szCs w:val="28"/>
        </w:rPr>
        <w:t>请于1</w:t>
      </w:r>
      <w:r>
        <w:rPr>
          <w:rFonts w:hint="eastAsia"/>
          <w:sz w:val="28"/>
          <w:szCs w:val="28"/>
        </w:rPr>
        <w:t>1</w:t>
      </w:r>
      <w:r>
        <w:rPr>
          <w:sz w:val="28"/>
          <w:szCs w:val="28"/>
        </w:rPr>
        <w:t>月</w:t>
      </w:r>
      <w:r>
        <w:rPr>
          <w:rFonts w:hint="eastAsia"/>
          <w:sz w:val="28"/>
          <w:szCs w:val="28"/>
        </w:rPr>
        <w:t>30</w:t>
      </w:r>
      <w:r>
        <w:rPr>
          <w:sz w:val="28"/>
          <w:szCs w:val="28"/>
        </w:rPr>
        <w:t>日前将本次专项行动总结报送给安健环部</w:t>
      </w:r>
      <w:r>
        <w:rPr>
          <w:rFonts w:hint="eastAsia"/>
          <w:sz w:val="28"/>
          <w:szCs w:val="28"/>
        </w:rPr>
        <w:t>，</w:t>
      </w:r>
      <w:r>
        <w:rPr>
          <w:sz w:val="28"/>
          <w:szCs w:val="28"/>
        </w:rPr>
        <w:t>安健环部</w:t>
      </w:r>
      <w:r>
        <w:rPr>
          <w:rFonts w:hint="eastAsia"/>
          <w:sz w:val="28"/>
          <w:szCs w:val="28"/>
        </w:rPr>
        <w:t>12月5日前</w:t>
      </w:r>
      <w:r>
        <w:rPr>
          <w:sz w:val="28"/>
          <w:szCs w:val="28"/>
        </w:rPr>
        <w:t>向集团生产安全监察部上报公司专项行动总结</w:t>
      </w:r>
      <w:r>
        <w:rPr>
          <w:rFonts w:hint="eastAsia"/>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A67C27"/>
    <w:multiLevelType w:val="singleLevel"/>
    <w:tmpl w:val="6FA67C2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EB7"/>
    <w:rsid w:val="00001722"/>
    <w:rsid w:val="0000210B"/>
    <w:rsid w:val="000024C7"/>
    <w:rsid w:val="00003A3E"/>
    <w:rsid w:val="0000418E"/>
    <w:rsid w:val="000044AB"/>
    <w:rsid w:val="00004B89"/>
    <w:rsid w:val="00004F54"/>
    <w:rsid w:val="000051A0"/>
    <w:rsid w:val="000109DB"/>
    <w:rsid w:val="00010D26"/>
    <w:rsid w:val="0001149A"/>
    <w:rsid w:val="00012197"/>
    <w:rsid w:val="00013938"/>
    <w:rsid w:val="000157B3"/>
    <w:rsid w:val="00015CC3"/>
    <w:rsid w:val="0002178C"/>
    <w:rsid w:val="00022207"/>
    <w:rsid w:val="00022A03"/>
    <w:rsid w:val="00023000"/>
    <w:rsid w:val="00023732"/>
    <w:rsid w:val="00024464"/>
    <w:rsid w:val="000245B8"/>
    <w:rsid w:val="00027B90"/>
    <w:rsid w:val="0003128F"/>
    <w:rsid w:val="00031D66"/>
    <w:rsid w:val="00031F20"/>
    <w:rsid w:val="00036423"/>
    <w:rsid w:val="00036E0A"/>
    <w:rsid w:val="00037291"/>
    <w:rsid w:val="00040374"/>
    <w:rsid w:val="00041159"/>
    <w:rsid w:val="00041469"/>
    <w:rsid w:val="00045F4F"/>
    <w:rsid w:val="0004698D"/>
    <w:rsid w:val="00046EF9"/>
    <w:rsid w:val="000502B7"/>
    <w:rsid w:val="00051FD0"/>
    <w:rsid w:val="0005200B"/>
    <w:rsid w:val="000538BA"/>
    <w:rsid w:val="00056D4E"/>
    <w:rsid w:val="000605A3"/>
    <w:rsid w:val="0006378C"/>
    <w:rsid w:val="00064227"/>
    <w:rsid w:val="00064C7D"/>
    <w:rsid w:val="00071AB2"/>
    <w:rsid w:val="00076A05"/>
    <w:rsid w:val="00076A38"/>
    <w:rsid w:val="0008027A"/>
    <w:rsid w:val="000804A4"/>
    <w:rsid w:val="00082CF9"/>
    <w:rsid w:val="00083B9E"/>
    <w:rsid w:val="00084B8B"/>
    <w:rsid w:val="00086894"/>
    <w:rsid w:val="00087410"/>
    <w:rsid w:val="00090F88"/>
    <w:rsid w:val="00091AE2"/>
    <w:rsid w:val="0009226F"/>
    <w:rsid w:val="00097849"/>
    <w:rsid w:val="00097BCF"/>
    <w:rsid w:val="000A1A93"/>
    <w:rsid w:val="000A2513"/>
    <w:rsid w:val="000A3EB6"/>
    <w:rsid w:val="000A4768"/>
    <w:rsid w:val="000A4808"/>
    <w:rsid w:val="000A62CF"/>
    <w:rsid w:val="000B00A6"/>
    <w:rsid w:val="000B1240"/>
    <w:rsid w:val="000B4624"/>
    <w:rsid w:val="000B50FF"/>
    <w:rsid w:val="000B5204"/>
    <w:rsid w:val="000B59C3"/>
    <w:rsid w:val="000B7C70"/>
    <w:rsid w:val="000C1938"/>
    <w:rsid w:val="000C289A"/>
    <w:rsid w:val="000C2E62"/>
    <w:rsid w:val="000C32EF"/>
    <w:rsid w:val="000C4057"/>
    <w:rsid w:val="000C685C"/>
    <w:rsid w:val="000C6DF8"/>
    <w:rsid w:val="000D3288"/>
    <w:rsid w:val="000D3891"/>
    <w:rsid w:val="000D67AE"/>
    <w:rsid w:val="000D69B1"/>
    <w:rsid w:val="000D6B11"/>
    <w:rsid w:val="000E02DE"/>
    <w:rsid w:val="000E1154"/>
    <w:rsid w:val="000E1C65"/>
    <w:rsid w:val="000E4321"/>
    <w:rsid w:val="000E7CB3"/>
    <w:rsid w:val="000F0DC6"/>
    <w:rsid w:val="000F18E3"/>
    <w:rsid w:val="000F232C"/>
    <w:rsid w:val="000F4892"/>
    <w:rsid w:val="000F65A6"/>
    <w:rsid w:val="0010047E"/>
    <w:rsid w:val="00100D3D"/>
    <w:rsid w:val="001041B5"/>
    <w:rsid w:val="00104478"/>
    <w:rsid w:val="001062EB"/>
    <w:rsid w:val="00106613"/>
    <w:rsid w:val="001105A0"/>
    <w:rsid w:val="00110E5E"/>
    <w:rsid w:val="00111921"/>
    <w:rsid w:val="0011267A"/>
    <w:rsid w:val="001132A7"/>
    <w:rsid w:val="001154FD"/>
    <w:rsid w:val="00115BCE"/>
    <w:rsid w:val="00116ED9"/>
    <w:rsid w:val="0012120C"/>
    <w:rsid w:val="00121F11"/>
    <w:rsid w:val="00123CB2"/>
    <w:rsid w:val="00125143"/>
    <w:rsid w:val="00127294"/>
    <w:rsid w:val="00127F05"/>
    <w:rsid w:val="00130500"/>
    <w:rsid w:val="001310E3"/>
    <w:rsid w:val="0013349D"/>
    <w:rsid w:val="00133CFC"/>
    <w:rsid w:val="00134CDD"/>
    <w:rsid w:val="00135513"/>
    <w:rsid w:val="00137504"/>
    <w:rsid w:val="0013785E"/>
    <w:rsid w:val="001379A0"/>
    <w:rsid w:val="00141970"/>
    <w:rsid w:val="00141D20"/>
    <w:rsid w:val="001421ED"/>
    <w:rsid w:val="00143A5F"/>
    <w:rsid w:val="00144605"/>
    <w:rsid w:val="001462E5"/>
    <w:rsid w:val="00146C1B"/>
    <w:rsid w:val="00146E38"/>
    <w:rsid w:val="00147205"/>
    <w:rsid w:val="00147583"/>
    <w:rsid w:val="00153EC1"/>
    <w:rsid w:val="001548F5"/>
    <w:rsid w:val="00154FF0"/>
    <w:rsid w:val="00156677"/>
    <w:rsid w:val="00156911"/>
    <w:rsid w:val="00157B9D"/>
    <w:rsid w:val="00160EFD"/>
    <w:rsid w:val="00163EFA"/>
    <w:rsid w:val="00165347"/>
    <w:rsid w:val="0016561C"/>
    <w:rsid w:val="00165A29"/>
    <w:rsid w:val="0016651D"/>
    <w:rsid w:val="0017765E"/>
    <w:rsid w:val="00177B2E"/>
    <w:rsid w:val="00182BE8"/>
    <w:rsid w:val="0018337E"/>
    <w:rsid w:val="00183706"/>
    <w:rsid w:val="00183749"/>
    <w:rsid w:val="001877CC"/>
    <w:rsid w:val="00190CBA"/>
    <w:rsid w:val="00191991"/>
    <w:rsid w:val="00193620"/>
    <w:rsid w:val="00194E4C"/>
    <w:rsid w:val="001950DD"/>
    <w:rsid w:val="001A1653"/>
    <w:rsid w:val="001A1AA7"/>
    <w:rsid w:val="001A2813"/>
    <w:rsid w:val="001A33F7"/>
    <w:rsid w:val="001A3619"/>
    <w:rsid w:val="001A3B73"/>
    <w:rsid w:val="001A5C93"/>
    <w:rsid w:val="001A775F"/>
    <w:rsid w:val="001B2B3E"/>
    <w:rsid w:val="001B409F"/>
    <w:rsid w:val="001B4329"/>
    <w:rsid w:val="001B4931"/>
    <w:rsid w:val="001B7714"/>
    <w:rsid w:val="001B77A0"/>
    <w:rsid w:val="001C17FB"/>
    <w:rsid w:val="001C7DC7"/>
    <w:rsid w:val="001D40B0"/>
    <w:rsid w:val="001D5C87"/>
    <w:rsid w:val="001D6710"/>
    <w:rsid w:val="001D701C"/>
    <w:rsid w:val="001E2029"/>
    <w:rsid w:val="001E40F5"/>
    <w:rsid w:val="001F330B"/>
    <w:rsid w:val="001F3F71"/>
    <w:rsid w:val="001F3F7C"/>
    <w:rsid w:val="001F49E3"/>
    <w:rsid w:val="001F605E"/>
    <w:rsid w:val="001F74EF"/>
    <w:rsid w:val="00200219"/>
    <w:rsid w:val="00200889"/>
    <w:rsid w:val="00200953"/>
    <w:rsid w:val="00200BD7"/>
    <w:rsid w:val="00203684"/>
    <w:rsid w:val="00207359"/>
    <w:rsid w:val="002102A3"/>
    <w:rsid w:val="00210DB8"/>
    <w:rsid w:val="002112ED"/>
    <w:rsid w:val="00215515"/>
    <w:rsid w:val="00216E6B"/>
    <w:rsid w:val="00217502"/>
    <w:rsid w:val="002179B4"/>
    <w:rsid w:val="00217DC5"/>
    <w:rsid w:val="00220054"/>
    <w:rsid w:val="002214A9"/>
    <w:rsid w:val="002215E5"/>
    <w:rsid w:val="00223831"/>
    <w:rsid w:val="002245B1"/>
    <w:rsid w:val="00226002"/>
    <w:rsid w:val="0022619A"/>
    <w:rsid w:val="00226A01"/>
    <w:rsid w:val="00234B9B"/>
    <w:rsid w:val="002355D8"/>
    <w:rsid w:val="002364BD"/>
    <w:rsid w:val="00242614"/>
    <w:rsid w:val="00242BF0"/>
    <w:rsid w:val="00243D62"/>
    <w:rsid w:val="002448C1"/>
    <w:rsid w:val="00245D31"/>
    <w:rsid w:val="00246A78"/>
    <w:rsid w:val="00247A2F"/>
    <w:rsid w:val="00250D5F"/>
    <w:rsid w:val="0025181B"/>
    <w:rsid w:val="00253936"/>
    <w:rsid w:val="00255847"/>
    <w:rsid w:val="002563D3"/>
    <w:rsid w:val="00257776"/>
    <w:rsid w:val="0026025D"/>
    <w:rsid w:val="002625A3"/>
    <w:rsid w:val="0026395E"/>
    <w:rsid w:val="00263B5F"/>
    <w:rsid w:val="00267B3F"/>
    <w:rsid w:val="00271B0E"/>
    <w:rsid w:val="00271D81"/>
    <w:rsid w:val="00272EF2"/>
    <w:rsid w:val="002751E3"/>
    <w:rsid w:val="00277514"/>
    <w:rsid w:val="00277620"/>
    <w:rsid w:val="002776F5"/>
    <w:rsid w:val="00280B84"/>
    <w:rsid w:val="00283711"/>
    <w:rsid w:val="00283A43"/>
    <w:rsid w:val="00285AE7"/>
    <w:rsid w:val="002869F5"/>
    <w:rsid w:val="00286D2B"/>
    <w:rsid w:val="00287949"/>
    <w:rsid w:val="00290652"/>
    <w:rsid w:val="00296D06"/>
    <w:rsid w:val="002A17B4"/>
    <w:rsid w:val="002A4AFD"/>
    <w:rsid w:val="002A52BD"/>
    <w:rsid w:val="002A7B86"/>
    <w:rsid w:val="002B09B1"/>
    <w:rsid w:val="002B16CE"/>
    <w:rsid w:val="002B2240"/>
    <w:rsid w:val="002B30FC"/>
    <w:rsid w:val="002B42C1"/>
    <w:rsid w:val="002B4399"/>
    <w:rsid w:val="002B47E6"/>
    <w:rsid w:val="002B4FF8"/>
    <w:rsid w:val="002B7210"/>
    <w:rsid w:val="002B7ECA"/>
    <w:rsid w:val="002C1607"/>
    <w:rsid w:val="002C23D3"/>
    <w:rsid w:val="002C783C"/>
    <w:rsid w:val="002D24F2"/>
    <w:rsid w:val="002D4BFA"/>
    <w:rsid w:val="002D649F"/>
    <w:rsid w:val="002D78E9"/>
    <w:rsid w:val="002E0BD2"/>
    <w:rsid w:val="002E4099"/>
    <w:rsid w:val="002E4764"/>
    <w:rsid w:val="002E6CB0"/>
    <w:rsid w:val="002E7108"/>
    <w:rsid w:val="002E73E1"/>
    <w:rsid w:val="002F04C3"/>
    <w:rsid w:val="002F2DBE"/>
    <w:rsid w:val="002F3AF4"/>
    <w:rsid w:val="002F56FA"/>
    <w:rsid w:val="002F7426"/>
    <w:rsid w:val="00300482"/>
    <w:rsid w:val="00301655"/>
    <w:rsid w:val="00302669"/>
    <w:rsid w:val="00302EF3"/>
    <w:rsid w:val="00303FBA"/>
    <w:rsid w:val="0030516A"/>
    <w:rsid w:val="003074EF"/>
    <w:rsid w:val="00311667"/>
    <w:rsid w:val="003127A5"/>
    <w:rsid w:val="003138D5"/>
    <w:rsid w:val="0031395D"/>
    <w:rsid w:val="00314D77"/>
    <w:rsid w:val="0031524C"/>
    <w:rsid w:val="0031638B"/>
    <w:rsid w:val="00320756"/>
    <w:rsid w:val="003211D4"/>
    <w:rsid w:val="00323A4C"/>
    <w:rsid w:val="00331A1A"/>
    <w:rsid w:val="00331FD4"/>
    <w:rsid w:val="00333542"/>
    <w:rsid w:val="00334D8A"/>
    <w:rsid w:val="003354F2"/>
    <w:rsid w:val="00336B0D"/>
    <w:rsid w:val="00337361"/>
    <w:rsid w:val="00340F3B"/>
    <w:rsid w:val="00343D59"/>
    <w:rsid w:val="00346045"/>
    <w:rsid w:val="00346DE6"/>
    <w:rsid w:val="00347883"/>
    <w:rsid w:val="003534E5"/>
    <w:rsid w:val="00354808"/>
    <w:rsid w:val="00354FDD"/>
    <w:rsid w:val="00355D21"/>
    <w:rsid w:val="003574B5"/>
    <w:rsid w:val="00357BEB"/>
    <w:rsid w:val="00357C7E"/>
    <w:rsid w:val="0036064E"/>
    <w:rsid w:val="00362D9F"/>
    <w:rsid w:val="00362E4A"/>
    <w:rsid w:val="0036544A"/>
    <w:rsid w:val="00365C9A"/>
    <w:rsid w:val="003666A1"/>
    <w:rsid w:val="0036734A"/>
    <w:rsid w:val="00371836"/>
    <w:rsid w:val="00375F8E"/>
    <w:rsid w:val="00384051"/>
    <w:rsid w:val="00387CB6"/>
    <w:rsid w:val="00390FDB"/>
    <w:rsid w:val="00391E41"/>
    <w:rsid w:val="00396234"/>
    <w:rsid w:val="003966F2"/>
    <w:rsid w:val="00396739"/>
    <w:rsid w:val="00397508"/>
    <w:rsid w:val="003979BD"/>
    <w:rsid w:val="00397D08"/>
    <w:rsid w:val="00397D41"/>
    <w:rsid w:val="003A000D"/>
    <w:rsid w:val="003A0D9D"/>
    <w:rsid w:val="003A1261"/>
    <w:rsid w:val="003A40F8"/>
    <w:rsid w:val="003A58DB"/>
    <w:rsid w:val="003A78E5"/>
    <w:rsid w:val="003A7991"/>
    <w:rsid w:val="003B2956"/>
    <w:rsid w:val="003B5736"/>
    <w:rsid w:val="003C13BD"/>
    <w:rsid w:val="003C2D7D"/>
    <w:rsid w:val="003C5C2B"/>
    <w:rsid w:val="003D219D"/>
    <w:rsid w:val="003D3346"/>
    <w:rsid w:val="003E17D0"/>
    <w:rsid w:val="003E3834"/>
    <w:rsid w:val="003E4233"/>
    <w:rsid w:val="003E5C19"/>
    <w:rsid w:val="003E70A9"/>
    <w:rsid w:val="003F1537"/>
    <w:rsid w:val="003F7484"/>
    <w:rsid w:val="00400085"/>
    <w:rsid w:val="0040020D"/>
    <w:rsid w:val="004002ED"/>
    <w:rsid w:val="00402888"/>
    <w:rsid w:val="00403074"/>
    <w:rsid w:val="0040386E"/>
    <w:rsid w:val="00404396"/>
    <w:rsid w:val="004046DF"/>
    <w:rsid w:val="004059A3"/>
    <w:rsid w:val="00406A09"/>
    <w:rsid w:val="00407838"/>
    <w:rsid w:val="00411230"/>
    <w:rsid w:val="00412945"/>
    <w:rsid w:val="00413E8D"/>
    <w:rsid w:val="004148E4"/>
    <w:rsid w:val="004179CA"/>
    <w:rsid w:val="00417AE4"/>
    <w:rsid w:val="004210DF"/>
    <w:rsid w:val="00422B92"/>
    <w:rsid w:val="00422DCD"/>
    <w:rsid w:val="00423CCB"/>
    <w:rsid w:val="004267EB"/>
    <w:rsid w:val="0042692A"/>
    <w:rsid w:val="00426F83"/>
    <w:rsid w:val="004304DB"/>
    <w:rsid w:val="00430834"/>
    <w:rsid w:val="004309E0"/>
    <w:rsid w:val="0043181B"/>
    <w:rsid w:val="004319BC"/>
    <w:rsid w:val="004334C9"/>
    <w:rsid w:val="004336D1"/>
    <w:rsid w:val="00434DE6"/>
    <w:rsid w:val="004358A1"/>
    <w:rsid w:val="00435C3C"/>
    <w:rsid w:val="00444F2F"/>
    <w:rsid w:val="00444F39"/>
    <w:rsid w:val="00446230"/>
    <w:rsid w:val="00446CF3"/>
    <w:rsid w:val="00447594"/>
    <w:rsid w:val="00451A4E"/>
    <w:rsid w:val="00452694"/>
    <w:rsid w:val="004560B3"/>
    <w:rsid w:val="00456909"/>
    <w:rsid w:val="00456E1C"/>
    <w:rsid w:val="00456EFE"/>
    <w:rsid w:val="00460F13"/>
    <w:rsid w:val="004614D3"/>
    <w:rsid w:val="00461611"/>
    <w:rsid w:val="004622D6"/>
    <w:rsid w:val="00463743"/>
    <w:rsid w:val="00463DE0"/>
    <w:rsid w:val="00464C29"/>
    <w:rsid w:val="00466FFF"/>
    <w:rsid w:val="00467429"/>
    <w:rsid w:val="0046749E"/>
    <w:rsid w:val="004712D0"/>
    <w:rsid w:val="004737B2"/>
    <w:rsid w:val="00475FE4"/>
    <w:rsid w:val="004769AE"/>
    <w:rsid w:val="00476CAC"/>
    <w:rsid w:val="004776CB"/>
    <w:rsid w:val="0048187B"/>
    <w:rsid w:val="00481B9D"/>
    <w:rsid w:val="00483288"/>
    <w:rsid w:val="0048389D"/>
    <w:rsid w:val="004844A1"/>
    <w:rsid w:val="004845F2"/>
    <w:rsid w:val="00485AEA"/>
    <w:rsid w:val="00485C2D"/>
    <w:rsid w:val="004863E9"/>
    <w:rsid w:val="00493032"/>
    <w:rsid w:val="00493790"/>
    <w:rsid w:val="00493F2C"/>
    <w:rsid w:val="004955F7"/>
    <w:rsid w:val="00495851"/>
    <w:rsid w:val="004974D3"/>
    <w:rsid w:val="004A1CB2"/>
    <w:rsid w:val="004A212B"/>
    <w:rsid w:val="004A3BB1"/>
    <w:rsid w:val="004A49E1"/>
    <w:rsid w:val="004A6BBD"/>
    <w:rsid w:val="004B04B6"/>
    <w:rsid w:val="004B3810"/>
    <w:rsid w:val="004B3E70"/>
    <w:rsid w:val="004B734D"/>
    <w:rsid w:val="004B7FEF"/>
    <w:rsid w:val="004C0B15"/>
    <w:rsid w:val="004C3478"/>
    <w:rsid w:val="004C39F5"/>
    <w:rsid w:val="004C6920"/>
    <w:rsid w:val="004C6CF6"/>
    <w:rsid w:val="004C6E9C"/>
    <w:rsid w:val="004C7274"/>
    <w:rsid w:val="004C7370"/>
    <w:rsid w:val="004C73EE"/>
    <w:rsid w:val="004D2261"/>
    <w:rsid w:val="004D38B1"/>
    <w:rsid w:val="004D5087"/>
    <w:rsid w:val="004E04A7"/>
    <w:rsid w:val="004E1E88"/>
    <w:rsid w:val="004E2524"/>
    <w:rsid w:val="004E2CE5"/>
    <w:rsid w:val="004E358B"/>
    <w:rsid w:val="004F002D"/>
    <w:rsid w:val="004F07F5"/>
    <w:rsid w:val="004F0ED4"/>
    <w:rsid w:val="004F0FCC"/>
    <w:rsid w:val="004F3411"/>
    <w:rsid w:val="004F4B91"/>
    <w:rsid w:val="004F5ADC"/>
    <w:rsid w:val="004F5E17"/>
    <w:rsid w:val="004F6CFC"/>
    <w:rsid w:val="00500AEE"/>
    <w:rsid w:val="005014F1"/>
    <w:rsid w:val="005019D3"/>
    <w:rsid w:val="00501F0C"/>
    <w:rsid w:val="00506C91"/>
    <w:rsid w:val="00506E6C"/>
    <w:rsid w:val="00507FBE"/>
    <w:rsid w:val="00510084"/>
    <w:rsid w:val="00513500"/>
    <w:rsid w:val="00514775"/>
    <w:rsid w:val="0051481F"/>
    <w:rsid w:val="00515FBE"/>
    <w:rsid w:val="005177CE"/>
    <w:rsid w:val="005216A3"/>
    <w:rsid w:val="005224D0"/>
    <w:rsid w:val="00525529"/>
    <w:rsid w:val="00525DA8"/>
    <w:rsid w:val="005273AC"/>
    <w:rsid w:val="00531137"/>
    <w:rsid w:val="00531926"/>
    <w:rsid w:val="00531F5B"/>
    <w:rsid w:val="005321A3"/>
    <w:rsid w:val="005338EB"/>
    <w:rsid w:val="00533B83"/>
    <w:rsid w:val="005345EF"/>
    <w:rsid w:val="005351AA"/>
    <w:rsid w:val="0053668A"/>
    <w:rsid w:val="00537182"/>
    <w:rsid w:val="00542081"/>
    <w:rsid w:val="005438F6"/>
    <w:rsid w:val="00543DE6"/>
    <w:rsid w:val="00544D0D"/>
    <w:rsid w:val="005465B4"/>
    <w:rsid w:val="00547639"/>
    <w:rsid w:val="0055227E"/>
    <w:rsid w:val="005536D9"/>
    <w:rsid w:val="00555AAC"/>
    <w:rsid w:val="00555DA5"/>
    <w:rsid w:val="00557133"/>
    <w:rsid w:val="00557C81"/>
    <w:rsid w:val="00560010"/>
    <w:rsid w:val="00560559"/>
    <w:rsid w:val="005627A8"/>
    <w:rsid w:val="005659EC"/>
    <w:rsid w:val="00567C34"/>
    <w:rsid w:val="00571628"/>
    <w:rsid w:val="00571BC1"/>
    <w:rsid w:val="00574E7F"/>
    <w:rsid w:val="00575B89"/>
    <w:rsid w:val="00576576"/>
    <w:rsid w:val="00580686"/>
    <w:rsid w:val="00580C0C"/>
    <w:rsid w:val="00582391"/>
    <w:rsid w:val="00582BFB"/>
    <w:rsid w:val="005846DB"/>
    <w:rsid w:val="00585086"/>
    <w:rsid w:val="0058512D"/>
    <w:rsid w:val="00585E96"/>
    <w:rsid w:val="00585F51"/>
    <w:rsid w:val="00590293"/>
    <w:rsid w:val="00591244"/>
    <w:rsid w:val="0059158F"/>
    <w:rsid w:val="0059371A"/>
    <w:rsid w:val="0059472C"/>
    <w:rsid w:val="00594DE4"/>
    <w:rsid w:val="0059682B"/>
    <w:rsid w:val="00596AD1"/>
    <w:rsid w:val="00596C5C"/>
    <w:rsid w:val="00597FCE"/>
    <w:rsid w:val="005A1C62"/>
    <w:rsid w:val="005A2503"/>
    <w:rsid w:val="005A340F"/>
    <w:rsid w:val="005A37D3"/>
    <w:rsid w:val="005A3D7F"/>
    <w:rsid w:val="005A50DC"/>
    <w:rsid w:val="005A5A2B"/>
    <w:rsid w:val="005A5E13"/>
    <w:rsid w:val="005B2AAB"/>
    <w:rsid w:val="005B6A91"/>
    <w:rsid w:val="005B7F13"/>
    <w:rsid w:val="005C05CE"/>
    <w:rsid w:val="005C213E"/>
    <w:rsid w:val="005C3705"/>
    <w:rsid w:val="005C50E6"/>
    <w:rsid w:val="005C5427"/>
    <w:rsid w:val="005D345B"/>
    <w:rsid w:val="005D461C"/>
    <w:rsid w:val="005D525D"/>
    <w:rsid w:val="005D7809"/>
    <w:rsid w:val="005E0A86"/>
    <w:rsid w:val="005E103B"/>
    <w:rsid w:val="005E1677"/>
    <w:rsid w:val="005E29FA"/>
    <w:rsid w:val="005E5D9F"/>
    <w:rsid w:val="005E7732"/>
    <w:rsid w:val="005E780B"/>
    <w:rsid w:val="005F2D03"/>
    <w:rsid w:val="005F460C"/>
    <w:rsid w:val="005F46B7"/>
    <w:rsid w:val="005F76B8"/>
    <w:rsid w:val="0060231C"/>
    <w:rsid w:val="0060518D"/>
    <w:rsid w:val="006068F2"/>
    <w:rsid w:val="00607D7F"/>
    <w:rsid w:val="00611688"/>
    <w:rsid w:val="00611ED7"/>
    <w:rsid w:val="00613276"/>
    <w:rsid w:val="00613840"/>
    <w:rsid w:val="006140FF"/>
    <w:rsid w:val="006152F4"/>
    <w:rsid w:val="00616272"/>
    <w:rsid w:val="00617D7F"/>
    <w:rsid w:val="006223A0"/>
    <w:rsid w:val="0063357C"/>
    <w:rsid w:val="006342A1"/>
    <w:rsid w:val="00636BA6"/>
    <w:rsid w:val="006372EE"/>
    <w:rsid w:val="00641509"/>
    <w:rsid w:val="0064312F"/>
    <w:rsid w:val="0065056B"/>
    <w:rsid w:val="006505C1"/>
    <w:rsid w:val="00651BC0"/>
    <w:rsid w:val="00653A34"/>
    <w:rsid w:val="00653B40"/>
    <w:rsid w:val="00654953"/>
    <w:rsid w:val="00654A4B"/>
    <w:rsid w:val="00655459"/>
    <w:rsid w:val="00656EF4"/>
    <w:rsid w:val="00661DA7"/>
    <w:rsid w:val="00664980"/>
    <w:rsid w:val="00664D6F"/>
    <w:rsid w:val="006675F1"/>
    <w:rsid w:val="00671BD3"/>
    <w:rsid w:val="006728FD"/>
    <w:rsid w:val="00672EE9"/>
    <w:rsid w:val="00673E52"/>
    <w:rsid w:val="00680BA8"/>
    <w:rsid w:val="0068178A"/>
    <w:rsid w:val="00682CD8"/>
    <w:rsid w:val="0068514C"/>
    <w:rsid w:val="0068646E"/>
    <w:rsid w:val="006870DE"/>
    <w:rsid w:val="0068779B"/>
    <w:rsid w:val="00690708"/>
    <w:rsid w:val="00690862"/>
    <w:rsid w:val="006922DD"/>
    <w:rsid w:val="00693EF0"/>
    <w:rsid w:val="00694280"/>
    <w:rsid w:val="00694CDF"/>
    <w:rsid w:val="00694E13"/>
    <w:rsid w:val="006969E6"/>
    <w:rsid w:val="006A0167"/>
    <w:rsid w:val="006A1A7D"/>
    <w:rsid w:val="006A2428"/>
    <w:rsid w:val="006A2EA4"/>
    <w:rsid w:val="006A34ED"/>
    <w:rsid w:val="006A55AD"/>
    <w:rsid w:val="006B1391"/>
    <w:rsid w:val="006B220B"/>
    <w:rsid w:val="006B3216"/>
    <w:rsid w:val="006B3D0E"/>
    <w:rsid w:val="006B43CF"/>
    <w:rsid w:val="006B4D1E"/>
    <w:rsid w:val="006C004E"/>
    <w:rsid w:val="006C2837"/>
    <w:rsid w:val="006C2DB0"/>
    <w:rsid w:val="006C4D74"/>
    <w:rsid w:val="006D003E"/>
    <w:rsid w:val="006D0B0C"/>
    <w:rsid w:val="006D4F06"/>
    <w:rsid w:val="006D4FCB"/>
    <w:rsid w:val="006D6EBA"/>
    <w:rsid w:val="006E0017"/>
    <w:rsid w:val="006E1D98"/>
    <w:rsid w:val="006E2397"/>
    <w:rsid w:val="006E2B3A"/>
    <w:rsid w:val="006E3F75"/>
    <w:rsid w:val="006E499C"/>
    <w:rsid w:val="006E4E7D"/>
    <w:rsid w:val="006E4F3C"/>
    <w:rsid w:val="006E6880"/>
    <w:rsid w:val="006E7962"/>
    <w:rsid w:val="006F1CC8"/>
    <w:rsid w:val="006F24F6"/>
    <w:rsid w:val="006F31ED"/>
    <w:rsid w:val="006F4BDD"/>
    <w:rsid w:val="006F552F"/>
    <w:rsid w:val="006F6A4D"/>
    <w:rsid w:val="006F70EC"/>
    <w:rsid w:val="00701512"/>
    <w:rsid w:val="00705022"/>
    <w:rsid w:val="00705429"/>
    <w:rsid w:val="00706E6C"/>
    <w:rsid w:val="00713D23"/>
    <w:rsid w:val="00714ABE"/>
    <w:rsid w:val="00722980"/>
    <w:rsid w:val="0072427C"/>
    <w:rsid w:val="007245D9"/>
    <w:rsid w:val="00725E16"/>
    <w:rsid w:val="0073050E"/>
    <w:rsid w:val="0073096C"/>
    <w:rsid w:val="00732D8D"/>
    <w:rsid w:val="007361CA"/>
    <w:rsid w:val="00740456"/>
    <w:rsid w:val="00741C38"/>
    <w:rsid w:val="00742457"/>
    <w:rsid w:val="007435B5"/>
    <w:rsid w:val="00743D93"/>
    <w:rsid w:val="00744001"/>
    <w:rsid w:val="007443CF"/>
    <w:rsid w:val="00744D0F"/>
    <w:rsid w:val="00744DDE"/>
    <w:rsid w:val="007451F6"/>
    <w:rsid w:val="00746AF3"/>
    <w:rsid w:val="00750226"/>
    <w:rsid w:val="00751ECE"/>
    <w:rsid w:val="00752358"/>
    <w:rsid w:val="007525B7"/>
    <w:rsid w:val="00754571"/>
    <w:rsid w:val="007554DC"/>
    <w:rsid w:val="007565A4"/>
    <w:rsid w:val="00757F2E"/>
    <w:rsid w:val="00761B04"/>
    <w:rsid w:val="00763465"/>
    <w:rsid w:val="00763983"/>
    <w:rsid w:val="0076465B"/>
    <w:rsid w:val="00765BE1"/>
    <w:rsid w:val="00765C14"/>
    <w:rsid w:val="00770021"/>
    <w:rsid w:val="00772220"/>
    <w:rsid w:val="00773BB4"/>
    <w:rsid w:val="007758AA"/>
    <w:rsid w:val="007808B4"/>
    <w:rsid w:val="007809E5"/>
    <w:rsid w:val="00780F0B"/>
    <w:rsid w:val="00786C94"/>
    <w:rsid w:val="00791DBB"/>
    <w:rsid w:val="00792B1C"/>
    <w:rsid w:val="00793A84"/>
    <w:rsid w:val="00795615"/>
    <w:rsid w:val="00795AF0"/>
    <w:rsid w:val="00797A34"/>
    <w:rsid w:val="007A0C9D"/>
    <w:rsid w:val="007A268A"/>
    <w:rsid w:val="007A5348"/>
    <w:rsid w:val="007A7806"/>
    <w:rsid w:val="007B207E"/>
    <w:rsid w:val="007B36B8"/>
    <w:rsid w:val="007B492E"/>
    <w:rsid w:val="007B6904"/>
    <w:rsid w:val="007C0CCF"/>
    <w:rsid w:val="007C3E27"/>
    <w:rsid w:val="007C4D87"/>
    <w:rsid w:val="007C721E"/>
    <w:rsid w:val="007C77E1"/>
    <w:rsid w:val="007D0A51"/>
    <w:rsid w:val="007D33F3"/>
    <w:rsid w:val="007D4451"/>
    <w:rsid w:val="007D7F04"/>
    <w:rsid w:val="007E239C"/>
    <w:rsid w:val="007E5E27"/>
    <w:rsid w:val="007E6999"/>
    <w:rsid w:val="007E6F38"/>
    <w:rsid w:val="007F041F"/>
    <w:rsid w:val="007F1A17"/>
    <w:rsid w:val="007F1F7C"/>
    <w:rsid w:val="007F2EC4"/>
    <w:rsid w:val="007F30D9"/>
    <w:rsid w:val="007F3714"/>
    <w:rsid w:val="007F486A"/>
    <w:rsid w:val="007F5C00"/>
    <w:rsid w:val="007F6162"/>
    <w:rsid w:val="007F6F8D"/>
    <w:rsid w:val="00800578"/>
    <w:rsid w:val="00800ACD"/>
    <w:rsid w:val="008010B8"/>
    <w:rsid w:val="0080210A"/>
    <w:rsid w:val="00803B74"/>
    <w:rsid w:val="008041C0"/>
    <w:rsid w:val="0080587B"/>
    <w:rsid w:val="008069FB"/>
    <w:rsid w:val="008075CE"/>
    <w:rsid w:val="00810B99"/>
    <w:rsid w:val="00811B6C"/>
    <w:rsid w:val="008127D5"/>
    <w:rsid w:val="00815F06"/>
    <w:rsid w:val="0081747D"/>
    <w:rsid w:val="00820391"/>
    <w:rsid w:val="0082148E"/>
    <w:rsid w:val="008219C5"/>
    <w:rsid w:val="00821EFD"/>
    <w:rsid w:val="00822301"/>
    <w:rsid w:val="00822C21"/>
    <w:rsid w:val="00822CEB"/>
    <w:rsid w:val="00825415"/>
    <w:rsid w:val="00826358"/>
    <w:rsid w:val="00827070"/>
    <w:rsid w:val="00831B64"/>
    <w:rsid w:val="00832BBE"/>
    <w:rsid w:val="00835AB7"/>
    <w:rsid w:val="00837076"/>
    <w:rsid w:val="00837D6B"/>
    <w:rsid w:val="00840D89"/>
    <w:rsid w:val="00841EB4"/>
    <w:rsid w:val="008439B2"/>
    <w:rsid w:val="00845025"/>
    <w:rsid w:val="00847064"/>
    <w:rsid w:val="00847FEA"/>
    <w:rsid w:val="00851CCE"/>
    <w:rsid w:val="008520B6"/>
    <w:rsid w:val="008525BA"/>
    <w:rsid w:val="008539AB"/>
    <w:rsid w:val="008571B5"/>
    <w:rsid w:val="0085768B"/>
    <w:rsid w:val="0086214C"/>
    <w:rsid w:val="00867A72"/>
    <w:rsid w:val="0087078D"/>
    <w:rsid w:val="00870DD9"/>
    <w:rsid w:val="0087224B"/>
    <w:rsid w:val="00872D27"/>
    <w:rsid w:val="00875716"/>
    <w:rsid w:val="008760B9"/>
    <w:rsid w:val="00880579"/>
    <w:rsid w:val="0088285F"/>
    <w:rsid w:val="0088370C"/>
    <w:rsid w:val="00885433"/>
    <w:rsid w:val="008911B5"/>
    <w:rsid w:val="0089229F"/>
    <w:rsid w:val="0089243D"/>
    <w:rsid w:val="00892866"/>
    <w:rsid w:val="008932A7"/>
    <w:rsid w:val="00894029"/>
    <w:rsid w:val="0089402C"/>
    <w:rsid w:val="00895C74"/>
    <w:rsid w:val="00896879"/>
    <w:rsid w:val="00896B5D"/>
    <w:rsid w:val="00896D1A"/>
    <w:rsid w:val="008A1031"/>
    <w:rsid w:val="008A19EE"/>
    <w:rsid w:val="008A1AE0"/>
    <w:rsid w:val="008A21B1"/>
    <w:rsid w:val="008A2CEB"/>
    <w:rsid w:val="008A2FB4"/>
    <w:rsid w:val="008A43C6"/>
    <w:rsid w:val="008A7435"/>
    <w:rsid w:val="008B2ADB"/>
    <w:rsid w:val="008B5DE6"/>
    <w:rsid w:val="008B6589"/>
    <w:rsid w:val="008B73C1"/>
    <w:rsid w:val="008B7F4B"/>
    <w:rsid w:val="008C171B"/>
    <w:rsid w:val="008C1905"/>
    <w:rsid w:val="008C2504"/>
    <w:rsid w:val="008C28D4"/>
    <w:rsid w:val="008C5CD5"/>
    <w:rsid w:val="008D03D9"/>
    <w:rsid w:val="008D1784"/>
    <w:rsid w:val="008D481C"/>
    <w:rsid w:val="008D4844"/>
    <w:rsid w:val="008D72BA"/>
    <w:rsid w:val="008E3048"/>
    <w:rsid w:val="008E3F30"/>
    <w:rsid w:val="008E59E2"/>
    <w:rsid w:val="008E715A"/>
    <w:rsid w:val="008F0D17"/>
    <w:rsid w:val="008F5BCE"/>
    <w:rsid w:val="00901031"/>
    <w:rsid w:val="009036ED"/>
    <w:rsid w:val="00903C1F"/>
    <w:rsid w:val="00907502"/>
    <w:rsid w:val="00910769"/>
    <w:rsid w:val="00912C26"/>
    <w:rsid w:val="00913F94"/>
    <w:rsid w:val="00914859"/>
    <w:rsid w:val="009165BC"/>
    <w:rsid w:val="009178C3"/>
    <w:rsid w:val="0092086D"/>
    <w:rsid w:val="00923F26"/>
    <w:rsid w:val="0092584A"/>
    <w:rsid w:val="009263D9"/>
    <w:rsid w:val="0092715D"/>
    <w:rsid w:val="009274E7"/>
    <w:rsid w:val="00927929"/>
    <w:rsid w:val="00930471"/>
    <w:rsid w:val="00931BF4"/>
    <w:rsid w:val="00933184"/>
    <w:rsid w:val="00933A51"/>
    <w:rsid w:val="00935FE1"/>
    <w:rsid w:val="009422FF"/>
    <w:rsid w:val="00942926"/>
    <w:rsid w:val="00942F82"/>
    <w:rsid w:val="009435F9"/>
    <w:rsid w:val="0094448E"/>
    <w:rsid w:val="0094561F"/>
    <w:rsid w:val="00945A2F"/>
    <w:rsid w:val="009460F1"/>
    <w:rsid w:val="0095052B"/>
    <w:rsid w:val="00951238"/>
    <w:rsid w:val="00951D1A"/>
    <w:rsid w:val="00953460"/>
    <w:rsid w:val="00960A09"/>
    <w:rsid w:val="009619E8"/>
    <w:rsid w:val="00962CFA"/>
    <w:rsid w:val="00963EB7"/>
    <w:rsid w:val="009654B7"/>
    <w:rsid w:val="00967711"/>
    <w:rsid w:val="00972084"/>
    <w:rsid w:val="00976C21"/>
    <w:rsid w:val="009777BC"/>
    <w:rsid w:val="00980645"/>
    <w:rsid w:val="009807C4"/>
    <w:rsid w:val="009819C6"/>
    <w:rsid w:val="00984B9A"/>
    <w:rsid w:val="0098796F"/>
    <w:rsid w:val="00990E41"/>
    <w:rsid w:val="009937CB"/>
    <w:rsid w:val="00995578"/>
    <w:rsid w:val="00995914"/>
    <w:rsid w:val="009A0AC6"/>
    <w:rsid w:val="009A0E7A"/>
    <w:rsid w:val="009A0F6A"/>
    <w:rsid w:val="009A1AD4"/>
    <w:rsid w:val="009A24A0"/>
    <w:rsid w:val="009A3D97"/>
    <w:rsid w:val="009A6576"/>
    <w:rsid w:val="009A7F58"/>
    <w:rsid w:val="009B12A0"/>
    <w:rsid w:val="009B59D0"/>
    <w:rsid w:val="009B5CE9"/>
    <w:rsid w:val="009C2CE8"/>
    <w:rsid w:val="009C35B9"/>
    <w:rsid w:val="009C3F1A"/>
    <w:rsid w:val="009C5ECE"/>
    <w:rsid w:val="009D0B7F"/>
    <w:rsid w:val="009D2FB5"/>
    <w:rsid w:val="009D3828"/>
    <w:rsid w:val="009D4174"/>
    <w:rsid w:val="009D46BA"/>
    <w:rsid w:val="009D6083"/>
    <w:rsid w:val="009D67B1"/>
    <w:rsid w:val="009D7959"/>
    <w:rsid w:val="009E066D"/>
    <w:rsid w:val="009E07C0"/>
    <w:rsid w:val="009E50F2"/>
    <w:rsid w:val="009E7577"/>
    <w:rsid w:val="009E782D"/>
    <w:rsid w:val="009F095E"/>
    <w:rsid w:val="009F1C4E"/>
    <w:rsid w:val="009F1E0E"/>
    <w:rsid w:val="009F2437"/>
    <w:rsid w:val="009F5566"/>
    <w:rsid w:val="009F5978"/>
    <w:rsid w:val="009F5DDE"/>
    <w:rsid w:val="009F6882"/>
    <w:rsid w:val="009F7F55"/>
    <w:rsid w:val="00A01304"/>
    <w:rsid w:val="00A01868"/>
    <w:rsid w:val="00A02ED4"/>
    <w:rsid w:val="00A0478E"/>
    <w:rsid w:val="00A04A5E"/>
    <w:rsid w:val="00A06369"/>
    <w:rsid w:val="00A07369"/>
    <w:rsid w:val="00A07DA8"/>
    <w:rsid w:val="00A1426A"/>
    <w:rsid w:val="00A14CFC"/>
    <w:rsid w:val="00A16B07"/>
    <w:rsid w:val="00A16E8B"/>
    <w:rsid w:val="00A20688"/>
    <w:rsid w:val="00A21ED6"/>
    <w:rsid w:val="00A21FE5"/>
    <w:rsid w:val="00A23379"/>
    <w:rsid w:val="00A25103"/>
    <w:rsid w:val="00A25758"/>
    <w:rsid w:val="00A26AF1"/>
    <w:rsid w:val="00A274F2"/>
    <w:rsid w:val="00A30923"/>
    <w:rsid w:val="00A30EF8"/>
    <w:rsid w:val="00A3107C"/>
    <w:rsid w:val="00A32131"/>
    <w:rsid w:val="00A33C5F"/>
    <w:rsid w:val="00A33D19"/>
    <w:rsid w:val="00A347FA"/>
    <w:rsid w:val="00A34C41"/>
    <w:rsid w:val="00A352B1"/>
    <w:rsid w:val="00A40FEF"/>
    <w:rsid w:val="00A43BD5"/>
    <w:rsid w:val="00A43CB8"/>
    <w:rsid w:val="00A45703"/>
    <w:rsid w:val="00A45FE1"/>
    <w:rsid w:val="00A46F37"/>
    <w:rsid w:val="00A472BD"/>
    <w:rsid w:val="00A47A10"/>
    <w:rsid w:val="00A506D1"/>
    <w:rsid w:val="00A536E6"/>
    <w:rsid w:val="00A537CC"/>
    <w:rsid w:val="00A6116A"/>
    <w:rsid w:val="00A63261"/>
    <w:rsid w:val="00A64664"/>
    <w:rsid w:val="00A66A08"/>
    <w:rsid w:val="00A677B5"/>
    <w:rsid w:val="00A70090"/>
    <w:rsid w:val="00A717E1"/>
    <w:rsid w:val="00A72EED"/>
    <w:rsid w:val="00A7323A"/>
    <w:rsid w:val="00A73CD6"/>
    <w:rsid w:val="00A769C6"/>
    <w:rsid w:val="00A807AF"/>
    <w:rsid w:val="00A80EE8"/>
    <w:rsid w:val="00A85733"/>
    <w:rsid w:val="00A87E7B"/>
    <w:rsid w:val="00A933F2"/>
    <w:rsid w:val="00A940DA"/>
    <w:rsid w:val="00A9496B"/>
    <w:rsid w:val="00A94C8A"/>
    <w:rsid w:val="00A96069"/>
    <w:rsid w:val="00A97BC8"/>
    <w:rsid w:val="00AA08FE"/>
    <w:rsid w:val="00AA0A8E"/>
    <w:rsid w:val="00AA3DB5"/>
    <w:rsid w:val="00AA6DFE"/>
    <w:rsid w:val="00AA74B9"/>
    <w:rsid w:val="00AB02E0"/>
    <w:rsid w:val="00AB0349"/>
    <w:rsid w:val="00AB1C95"/>
    <w:rsid w:val="00AB4119"/>
    <w:rsid w:val="00AB62F6"/>
    <w:rsid w:val="00AB6B99"/>
    <w:rsid w:val="00AC1047"/>
    <w:rsid w:val="00AC14ED"/>
    <w:rsid w:val="00AC29A3"/>
    <w:rsid w:val="00AC2A26"/>
    <w:rsid w:val="00AC31BB"/>
    <w:rsid w:val="00AC32C7"/>
    <w:rsid w:val="00AC4456"/>
    <w:rsid w:val="00AC5E31"/>
    <w:rsid w:val="00AC6667"/>
    <w:rsid w:val="00AD0869"/>
    <w:rsid w:val="00AD0B4E"/>
    <w:rsid w:val="00AD16D2"/>
    <w:rsid w:val="00AD1B04"/>
    <w:rsid w:val="00AD405C"/>
    <w:rsid w:val="00AD4DE2"/>
    <w:rsid w:val="00AD5946"/>
    <w:rsid w:val="00AD5953"/>
    <w:rsid w:val="00AD6FC7"/>
    <w:rsid w:val="00AE1BFB"/>
    <w:rsid w:val="00AE1D0B"/>
    <w:rsid w:val="00AE2D94"/>
    <w:rsid w:val="00AE6D20"/>
    <w:rsid w:val="00AE6DFF"/>
    <w:rsid w:val="00AE7EF6"/>
    <w:rsid w:val="00AF1D05"/>
    <w:rsid w:val="00AF2F27"/>
    <w:rsid w:val="00AF3350"/>
    <w:rsid w:val="00AF4444"/>
    <w:rsid w:val="00AF5AD8"/>
    <w:rsid w:val="00AF6999"/>
    <w:rsid w:val="00AF78F2"/>
    <w:rsid w:val="00B01116"/>
    <w:rsid w:val="00B054DB"/>
    <w:rsid w:val="00B055C6"/>
    <w:rsid w:val="00B070FF"/>
    <w:rsid w:val="00B0783F"/>
    <w:rsid w:val="00B117C3"/>
    <w:rsid w:val="00B130EC"/>
    <w:rsid w:val="00B138E0"/>
    <w:rsid w:val="00B17193"/>
    <w:rsid w:val="00B211D4"/>
    <w:rsid w:val="00B21DBF"/>
    <w:rsid w:val="00B24288"/>
    <w:rsid w:val="00B24300"/>
    <w:rsid w:val="00B262D9"/>
    <w:rsid w:val="00B26AED"/>
    <w:rsid w:val="00B2761F"/>
    <w:rsid w:val="00B31842"/>
    <w:rsid w:val="00B31AFA"/>
    <w:rsid w:val="00B3322C"/>
    <w:rsid w:val="00B3339C"/>
    <w:rsid w:val="00B35623"/>
    <w:rsid w:val="00B35A9A"/>
    <w:rsid w:val="00B365F0"/>
    <w:rsid w:val="00B37C1B"/>
    <w:rsid w:val="00B41908"/>
    <w:rsid w:val="00B440EB"/>
    <w:rsid w:val="00B44E14"/>
    <w:rsid w:val="00B461AD"/>
    <w:rsid w:val="00B46F07"/>
    <w:rsid w:val="00B47108"/>
    <w:rsid w:val="00B47230"/>
    <w:rsid w:val="00B503C1"/>
    <w:rsid w:val="00B51AAA"/>
    <w:rsid w:val="00B53785"/>
    <w:rsid w:val="00B6124F"/>
    <w:rsid w:val="00B61806"/>
    <w:rsid w:val="00B62868"/>
    <w:rsid w:val="00B628E1"/>
    <w:rsid w:val="00B6357C"/>
    <w:rsid w:val="00B63DA6"/>
    <w:rsid w:val="00B6434F"/>
    <w:rsid w:val="00B65F3B"/>
    <w:rsid w:val="00B66C0E"/>
    <w:rsid w:val="00B6770E"/>
    <w:rsid w:val="00B678B6"/>
    <w:rsid w:val="00B8200D"/>
    <w:rsid w:val="00B82514"/>
    <w:rsid w:val="00B82D11"/>
    <w:rsid w:val="00B857E6"/>
    <w:rsid w:val="00B873F2"/>
    <w:rsid w:val="00B9000F"/>
    <w:rsid w:val="00B900F3"/>
    <w:rsid w:val="00B90681"/>
    <w:rsid w:val="00B932A3"/>
    <w:rsid w:val="00B93C12"/>
    <w:rsid w:val="00B96EA0"/>
    <w:rsid w:val="00B97CCC"/>
    <w:rsid w:val="00BA19B3"/>
    <w:rsid w:val="00BA2E15"/>
    <w:rsid w:val="00BA3F00"/>
    <w:rsid w:val="00BA63D8"/>
    <w:rsid w:val="00BA6569"/>
    <w:rsid w:val="00BA707F"/>
    <w:rsid w:val="00BA7C2E"/>
    <w:rsid w:val="00BB03E9"/>
    <w:rsid w:val="00BB1602"/>
    <w:rsid w:val="00BB17E6"/>
    <w:rsid w:val="00BB1F45"/>
    <w:rsid w:val="00BB3C46"/>
    <w:rsid w:val="00BB4285"/>
    <w:rsid w:val="00BB4BBF"/>
    <w:rsid w:val="00BB7491"/>
    <w:rsid w:val="00BB7547"/>
    <w:rsid w:val="00BB79D5"/>
    <w:rsid w:val="00BC0BFC"/>
    <w:rsid w:val="00BC12AE"/>
    <w:rsid w:val="00BC2CA8"/>
    <w:rsid w:val="00BC64F3"/>
    <w:rsid w:val="00BD0290"/>
    <w:rsid w:val="00BD039C"/>
    <w:rsid w:val="00BD16F6"/>
    <w:rsid w:val="00BD1D74"/>
    <w:rsid w:val="00BD2E32"/>
    <w:rsid w:val="00BD4015"/>
    <w:rsid w:val="00BD4A36"/>
    <w:rsid w:val="00BD51B6"/>
    <w:rsid w:val="00BD51F0"/>
    <w:rsid w:val="00BE18F4"/>
    <w:rsid w:val="00BE27E7"/>
    <w:rsid w:val="00BE299B"/>
    <w:rsid w:val="00BE43FE"/>
    <w:rsid w:val="00BE4A83"/>
    <w:rsid w:val="00BE5258"/>
    <w:rsid w:val="00BE64C5"/>
    <w:rsid w:val="00BE7180"/>
    <w:rsid w:val="00BF08B2"/>
    <w:rsid w:val="00BF0BAD"/>
    <w:rsid w:val="00BF2154"/>
    <w:rsid w:val="00BF462E"/>
    <w:rsid w:val="00C03C1D"/>
    <w:rsid w:val="00C0446E"/>
    <w:rsid w:val="00C06BFA"/>
    <w:rsid w:val="00C113FE"/>
    <w:rsid w:val="00C12995"/>
    <w:rsid w:val="00C13810"/>
    <w:rsid w:val="00C142B3"/>
    <w:rsid w:val="00C206B7"/>
    <w:rsid w:val="00C22C36"/>
    <w:rsid w:val="00C24FC7"/>
    <w:rsid w:val="00C268A9"/>
    <w:rsid w:val="00C33F93"/>
    <w:rsid w:val="00C34992"/>
    <w:rsid w:val="00C3733C"/>
    <w:rsid w:val="00C42E8E"/>
    <w:rsid w:val="00C4594B"/>
    <w:rsid w:val="00C45FA8"/>
    <w:rsid w:val="00C46A51"/>
    <w:rsid w:val="00C517C4"/>
    <w:rsid w:val="00C51E72"/>
    <w:rsid w:val="00C52F3E"/>
    <w:rsid w:val="00C55512"/>
    <w:rsid w:val="00C56434"/>
    <w:rsid w:val="00C618E9"/>
    <w:rsid w:val="00C624C5"/>
    <w:rsid w:val="00C6258C"/>
    <w:rsid w:val="00C653AB"/>
    <w:rsid w:val="00C65496"/>
    <w:rsid w:val="00C671F4"/>
    <w:rsid w:val="00C67AA6"/>
    <w:rsid w:val="00C71A89"/>
    <w:rsid w:val="00C7203B"/>
    <w:rsid w:val="00C73CE0"/>
    <w:rsid w:val="00C740E7"/>
    <w:rsid w:val="00C74C17"/>
    <w:rsid w:val="00C75920"/>
    <w:rsid w:val="00C759CF"/>
    <w:rsid w:val="00C75D4D"/>
    <w:rsid w:val="00C82A82"/>
    <w:rsid w:val="00C82B6A"/>
    <w:rsid w:val="00C84E79"/>
    <w:rsid w:val="00C85C44"/>
    <w:rsid w:val="00C90F45"/>
    <w:rsid w:val="00C92419"/>
    <w:rsid w:val="00C935BF"/>
    <w:rsid w:val="00C93C42"/>
    <w:rsid w:val="00C93F07"/>
    <w:rsid w:val="00C94E39"/>
    <w:rsid w:val="00C9567A"/>
    <w:rsid w:val="00C95715"/>
    <w:rsid w:val="00C95D0D"/>
    <w:rsid w:val="00C96AE9"/>
    <w:rsid w:val="00C97014"/>
    <w:rsid w:val="00CA1134"/>
    <w:rsid w:val="00CA116C"/>
    <w:rsid w:val="00CA18E0"/>
    <w:rsid w:val="00CA29F6"/>
    <w:rsid w:val="00CA3C60"/>
    <w:rsid w:val="00CA54BB"/>
    <w:rsid w:val="00CA5E02"/>
    <w:rsid w:val="00CB07C6"/>
    <w:rsid w:val="00CB3732"/>
    <w:rsid w:val="00CB4D92"/>
    <w:rsid w:val="00CB5E08"/>
    <w:rsid w:val="00CB6B00"/>
    <w:rsid w:val="00CB6BD5"/>
    <w:rsid w:val="00CB763C"/>
    <w:rsid w:val="00CC0D0F"/>
    <w:rsid w:val="00CC18F5"/>
    <w:rsid w:val="00CC21F3"/>
    <w:rsid w:val="00CC232E"/>
    <w:rsid w:val="00CC2C7D"/>
    <w:rsid w:val="00CC3572"/>
    <w:rsid w:val="00CC35D0"/>
    <w:rsid w:val="00CC5F17"/>
    <w:rsid w:val="00CC7968"/>
    <w:rsid w:val="00CD0008"/>
    <w:rsid w:val="00CD0130"/>
    <w:rsid w:val="00CD61E6"/>
    <w:rsid w:val="00CE04E1"/>
    <w:rsid w:val="00CE0E79"/>
    <w:rsid w:val="00CE1105"/>
    <w:rsid w:val="00CE1C7C"/>
    <w:rsid w:val="00CE7F04"/>
    <w:rsid w:val="00CF149F"/>
    <w:rsid w:val="00CF217A"/>
    <w:rsid w:val="00CF29A5"/>
    <w:rsid w:val="00CF6DE9"/>
    <w:rsid w:val="00CF70C7"/>
    <w:rsid w:val="00CF7B71"/>
    <w:rsid w:val="00D01166"/>
    <w:rsid w:val="00D02921"/>
    <w:rsid w:val="00D02C87"/>
    <w:rsid w:val="00D038E5"/>
    <w:rsid w:val="00D0611E"/>
    <w:rsid w:val="00D074F8"/>
    <w:rsid w:val="00D117E9"/>
    <w:rsid w:val="00D12139"/>
    <w:rsid w:val="00D15733"/>
    <w:rsid w:val="00D24DC9"/>
    <w:rsid w:val="00D258E1"/>
    <w:rsid w:val="00D26A20"/>
    <w:rsid w:val="00D30ED0"/>
    <w:rsid w:val="00D31160"/>
    <w:rsid w:val="00D3660B"/>
    <w:rsid w:val="00D41623"/>
    <w:rsid w:val="00D43CE1"/>
    <w:rsid w:val="00D441CF"/>
    <w:rsid w:val="00D4434B"/>
    <w:rsid w:val="00D448DD"/>
    <w:rsid w:val="00D44C34"/>
    <w:rsid w:val="00D45FD5"/>
    <w:rsid w:val="00D4703B"/>
    <w:rsid w:val="00D47B5F"/>
    <w:rsid w:val="00D47E48"/>
    <w:rsid w:val="00D50021"/>
    <w:rsid w:val="00D56195"/>
    <w:rsid w:val="00D562E2"/>
    <w:rsid w:val="00D56EA2"/>
    <w:rsid w:val="00D5762D"/>
    <w:rsid w:val="00D579E3"/>
    <w:rsid w:val="00D60496"/>
    <w:rsid w:val="00D63727"/>
    <w:rsid w:val="00D6386B"/>
    <w:rsid w:val="00D63D0B"/>
    <w:rsid w:val="00D65A87"/>
    <w:rsid w:val="00D65E83"/>
    <w:rsid w:val="00D6645E"/>
    <w:rsid w:val="00D74DFE"/>
    <w:rsid w:val="00D75DE1"/>
    <w:rsid w:val="00D7676A"/>
    <w:rsid w:val="00D77C9A"/>
    <w:rsid w:val="00D805E4"/>
    <w:rsid w:val="00D850F9"/>
    <w:rsid w:val="00D8600C"/>
    <w:rsid w:val="00D86619"/>
    <w:rsid w:val="00D8732E"/>
    <w:rsid w:val="00D87859"/>
    <w:rsid w:val="00D91ACE"/>
    <w:rsid w:val="00D91FC3"/>
    <w:rsid w:val="00D96B6F"/>
    <w:rsid w:val="00D97DDF"/>
    <w:rsid w:val="00D97EE9"/>
    <w:rsid w:val="00DA1CF2"/>
    <w:rsid w:val="00DA2933"/>
    <w:rsid w:val="00DA3E8E"/>
    <w:rsid w:val="00DA5E90"/>
    <w:rsid w:val="00DB1ECA"/>
    <w:rsid w:val="00DB20E8"/>
    <w:rsid w:val="00DB3054"/>
    <w:rsid w:val="00DB35DC"/>
    <w:rsid w:val="00DB717E"/>
    <w:rsid w:val="00DC0C78"/>
    <w:rsid w:val="00DC105A"/>
    <w:rsid w:val="00DC163B"/>
    <w:rsid w:val="00DC2B1D"/>
    <w:rsid w:val="00DC46EF"/>
    <w:rsid w:val="00DC5110"/>
    <w:rsid w:val="00DC5168"/>
    <w:rsid w:val="00DC6027"/>
    <w:rsid w:val="00DC665C"/>
    <w:rsid w:val="00DC6A10"/>
    <w:rsid w:val="00DC7218"/>
    <w:rsid w:val="00DC7D2A"/>
    <w:rsid w:val="00DD0A9B"/>
    <w:rsid w:val="00DD0D7F"/>
    <w:rsid w:val="00DD19F9"/>
    <w:rsid w:val="00DD739B"/>
    <w:rsid w:val="00DE72CF"/>
    <w:rsid w:val="00DF0205"/>
    <w:rsid w:val="00DF0C1D"/>
    <w:rsid w:val="00DF0DBC"/>
    <w:rsid w:val="00DF25DC"/>
    <w:rsid w:val="00DF2A27"/>
    <w:rsid w:val="00DF32BA"/>
    <w:rsid w:val="00DF4765"/>
    <w:rsid w:val="00DF4E79"/>
    <w:rsid w:val="00E00506"/>
    <w:rsid w:val="00E04814"/>
    <w:rsid w:val="00E05553"/>
    <w:rsid w:val="00E05798"/>
    <w:rsid w:val="00E05C7B"/>
    <w:rsid w:val="00E10A81"/>
    <w:rsid w:val="00E13F33"/>
    <w:rsid w:val="00E151C5"/>
    <w:rsid w:val="00E156B1"/>
    <w:rsid w:val="00E15EAB"/>
    <w:rsid w:val="00E166D1"/>
    <w:rsid w:val="00E2031E"/>
    <w:rsid w:val="00E21259"/>
    <w:rsid w:val="00E224FE"/>
    <w:rsid w:val="00E22C2F"/>
    <w:rsid w:val="00E24418"/>
    <w:rsid w:val="00E258E9"/>
    <w:rsid w:val="00E30A72"/>
    <w:rsid w:val="00E30E92"/>
    <w:rsid w:val="00E30F7D"/>
    <w:rsid w:val="00E324EC"/>
    <w:rsid w:val="00E32B3C"/>
    <w:rsid w:val="00E32DC7"/>
    <w:rsid w:val="00E338B0"/>
    <w:rsid w:val="00E3781C"/>
    <w:rsid w:val="00E37C70"/>
    <w:rsid w:val="00E37ECA"/>
    <w:rsid w:val="00E41110"/>
    <w:rsid w:val="00E43F5E"/>
    <w:rsid w:val="00E44010"/>
    <w:rsid w:val="00E45FBE"/>
    <w:rsid w:val="00E46728"/>
    <w:rsid w:val="00E515C6"/>
    <w:rsid w:val="00E53361"/>
    <w:rsid w:val="00E538F3"/>
    <w:rsid w:val="00E551E9"/>
    <w:rsid w:val="00E62C66"/>
    <w:rsid w:val="00E6333B"/>
    <w:rsid w:val="00E6576A"/>
    <w:rsid w:val="00E70E94"/>
    <w:rsid w:val="00E70F28"/>
    <w:rsid w:val="00E71418"/>
    <w:rsid w:val="00E72AF5"/>
    <w:rsid w:val="00E75211"/>
    <w:rsid w:val="00E75DD6"/>
    <w:rsid w:val="00E762BB"/>
    <w:rsid w:val="00E808BC"/>
    <w:rsid w:val="00E80C18"/>
    <w:rsid w:val="00E84E44"/>
    <w:rsid w:val="00E85DD5"/>
    <w:rsid w:val="00E86396"/>
    <w:rsid w:val="00E87FBB"/>
    <w:rsid w:val="00E902E8"/>
    <w:rsid w:val="00E907C4"/>
    <w:rsid w:val="00E90C37"/>
    <w:rsid w:val="00E95AD5"/>
    <w:rsid w:val="00E96D22"/>
    <w:rsid w:val="00EA1618"/>
    <w:rsid w:val="00EA19CE"/>
    <w:rsid w:val="00EA28C1"/>
    <w:rsid w:val="00EA2F45"/>
    <w:rsid w:val="00EA6614"/>
    <w:rsid w:val="00EA79DF"/>
    <w:rsid w:val="00EB0C0F"/>
    <w:rsid w:val="00EB33BC"/>
    <w:rsid w:val="00EB48F8"/>
    <w:rsid w:val="00EB4F1B"/>
    <w:rsid w:val="00EB5AA5"/>
    <w:rsid w:val="00EB5F26"/>
    <w:rsid w:val="00EC1D26"/>
    <w:rsid w:val="00EC27DE"/>
    <w:rsid w:val="00EC3D97"/>
    <w:rsid w:val="00EC48FD"/>
    <w:rsid w:val="00EC4E33"/>
    <w:rsid w:val="00EC66B6"/>
    <w:rsid w:val="00EC7823"/>
    <w:rsid w:val="00ED1965"/>
    <w:rsid w:val="00ED1AFD"/>
    <w:rsid w:val="00ED2384"/>
    <w:rsid w:val="00ED23EE"/>
    <w:rsid w:val="00ED3160"/>
    <w:rsid w:val="00ED3498"/>
    <w:rsid w:val="00ED3601"/>
    <w:rsid w:val="00EE032B"/>
    <w:rsid w:val="00EE1370"/>
    <w:rsid w:val="00EE181B"/>
    <w:rsid w:val="00EE287A"/>
    <w:rsid w:val="00EE3E1B"/>
    <w:rsid w:val="00EE56B4"/>
    <w:rsid w:val="00EE6F9B"/>
    <w:rsid w:val="00EF2540"/>
    <w:rsid w:val="00EF25DE"/>
    <w:rsid w:val="00EF2AAB"/>
    <w:rsid w:val="00EF6BE4"/>
    <w:rsid w:val="00F00AF5"/>
    <w:rsid w:val="00F0223E"/>
    <w:rsid w:val="00F02B42"/>
    <w:rsid w:val="00F02E75"/>
    <w:rsid w:val="00F0396D"/>
    <w:rsid w:val="00F114E2"/>
    <w:rsid w:val="00F13A42"/>
    <w:rsid w:val="00F1442D"/>
    <w:rsid w:val="00F14CE8"/>
    <w:rsid w:val="00F168F2"/>
    <w:rsid w:val="00F16E92"/>
    <w:rsid w:val="00F17A70"/>
    <w:rsid w:val="00F17BFA"/>
    <w:rsid w:val="00F17FAB"/>
    <w:rsid w:val="00F2114F"/>
    <w:rsid w:val="00F25C0D"/>
    <w:rsid w:val="00F26218"/>
    <w:rsid w:val="00F27E8A"/>
    <w:rsid w:val="00F30052"/>
    <w:rsid w:val="00F322A6"/>
    <w:rsid w:val="00F32857"/>
    <w:rsid w:val="00F33B6A"/>
    <w:rsid w:val="00F3453B"/>
    <w:rsid w:val="00F406D4"/>
    <w:rsid w:val="00F413D2"/>
    <w:rsid w:val="00F41A39"/>
    <w:rsid w:val="00F42473"/>
    <w:rsid w:val="00F42E97"/>
    <w:rsid w:val="00F44AF2"/>
    <w:rsid w:val="00F45386"/>
    <w:rsid w:val="00F57C17"/>
    <w:rsid w:val="00F60F27"/>
    <w:rsid w:val="00F637B4"/>
    <w:rsid w:val="00F678CE"/>
    <w:rsid w:val="00F67CF0"/>
    <w:rsid w:val="00F72DBA"/>
    <w:rsid w:val="00F77999"/>
    <w:rsid w:val="00F802CF"/>
    <w:rsid w:val="00F8240E"/>
    <w:rsid w:val="00F853AD"/>
    <w:rsid w:val="00F857BD"/>
    <w:rsid w:val="00F85E84"/>
    <w:rsid w:val="00F86A3F"/>
    <w:rsid w:val="00F923B2"/>
    <w:rsid w:val="00F93B0B"/>
    <w:rsid w:val="00FA080E"/>
    <w:rsid w:val="00FA33F1"/>
    <w:rsid w:val="00FA3D41"/>
    <w:rsid w:val="00FA45E2"/>
    <w:rsid w:val="00FA6DE0"/>
    <w:rsid w:val="00FA6E34"/>
    <w:rsid w:val="00FB3411"/>
    <w:rsid w:val="00FB4647"/>
    <w:rsid w:val="00FB5BA7"/>
    <w:rsid w:val="00FC048B"/>
    <w:rsid w:val="00FC10BD"/>
    <w:rsid w:val="00FC25DB"/>
    <w:rsid w:val="00FC7B26"/>
    <w:rsid w:val="00FD08C3"/>
    <w:rsid w:val="00FD0E26"/>
    <w:rsid w:val="00FD1BB0"/>
    <w:rsid w:val="00FD25D7"/>
    <w:rsid w:val="00FD27C8"/>
    <w:rsid w:val="00FD3027"/>
    <w:rsid w:val="00FD59A1"/>
    <w:rsid w:val="00FD5A00"/>
    <w:rsid w:val="00FD6BEC"/>
    <w:rsid w:val="00FD6E01"/>
    <w:rsid w:val="00FE0655"/>
    <w:rsid w:val="00FE1C2C"/>
    <w:rsid w:val="00FE4BEF"/>
    <w:rsid w:val="00FE671C"/>
    <w:rsid w:val="00FE7E9C"/>
    <w:rsid w:val="00FE7ED3"/>
    <w:rsid w:val="00FF3848"/>
    <w:rsid w:val="00FF3ED9"/>
    <w:rsid w:val="00FF406A"/>
    <w:rsid w:val="00FF5D94"/>
    <w:rsid w:val="00FF6679"/>
    <w:rsid w:val="00FF6E79"/>
    <w:rsid w:val="00FF6FA7"/>
    <w:rsid w:val="00FF74FC"/>
    <w:rsid w:val="05BE257A"/>
    <w:rsid w:val="066264A2"/>
    <w:rsid w:val="088F5F4F"/>
    <w:rsid w:val="2BBE3FB6"/>
    <w:rsid w:val="3E2A4EC8"/>
    <w:rsid w:val="48A60C3E"/>
    <w:rsid w:val="4B4F23F6"/>
    <w:rsid w:val="633329AF"/>
    <w:rsid w:val="6D7B692A"/>
    <w:rsid w:val="73F25E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Strong"/>
    <w:basedOn w:val="6"/>
    <w:qFormat/>
    <w:uiPriority w:val="0"/>
    <w:rPr>
      <w:b/>
      <w:bCs/>
    </w:rPr>
  </w:style>
  <w:style w:type="character" w:customStyle="1" w:styleId="8">
    <w:name w:val="页眉 Char"/>
    <w:basedOn w:val="6"/>
    <w:link w:val="3"/>
    <w:qFormat/>
    <w:uiPriority w:val="99"/>
    <w:rPr>
      <w:kern w:val="2"/>
      <w:sz w:val="18"/>
      <w:szCs w:val="18"/>
    </w:rPr>
  </w:style>
  <w:style w:type="character" w:customStyle="1" w:styleId="9">
    <w:name w:val="页脚 Char"/>
    <w:basedOn w:val="6"/>
    <w:link w:val="2"/>
    <w:qFormat/>
    <w:uiPriority w:val="99"/>
    <w:rPr>
      <w:kern w:val="2"/>
      <w:sz w:val="18"/>
      <w:szCs w:val="18"/>
    </w:rPr>
  </w:style>
  <w:style w:type="paragraph" w:styleId="10">
    <w:name w:val="List Paragraph"/>
    <w:basedOn w:val="1"/>
    <w:qFormat/>
    <w:uiPriority w:val="34"/>
    <w:pPr>
      <w:ind w:firstLine="420" w:firstLineChars="200"/>
    </w:pPr>
  </w:style>
  <w:style w:type="character" w:customStyle="1" w:styleId="11">
    <w:name w:val="段 Char"/>
    <w:link w:val="12"/>
    <w:qFormat/>
    <w:locked/>
    <w:uiPriority w:val="99"/>
    <w:rPr>
      <w:rFonts w:ascii="宋体"/>
    </w:rPr>
  </w:style>
  <w:style w:type="paragraph" w:customStyle="1" w:styleId="12">
    <w:name w:val="段"/>
    <w:link w:val="11"/>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18A30B-E16D-4123-A5BC-3E2EC2C6F365}">
  <ds:schemaRefs/>
</ds:datastoreItem>
</file>

<file path=docProps/app.xml><?xml version="1.0" encoding="utf-8"?>
<Properties xmlns="http://schemas.openxmlformats.org/officeDocument/2006/extended-properties" xmlns:vt="http://schemas.openxmlformats.org/officeDocument/2006/docPropsVTypes">
  <Template>Normal</Template>
  <Company>浙江浙能嘉华发电有限公司</Company>
  <Pages>10</Pages>
  <Words>817</Words>
  <Characters>4657</Characters>
  <Lines>38</Lines>
  <Paragraphs>10</Paragraphs>
  <TotalTime>2</TotalTime>
  <ScaleCrop>false</ScaleCrop>
  <LinksUpToDate>false</LinksUpToDate>
  <CharactersWithSpaces>5464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2024-03-29T03:15:00Z</dcterms:created>
  <dc:creator>leiming jin</dc:creator>
  <cp:lastModifiedBy>d</cp:lastModifiedBy>
  <dcterms:modified xsi:type="dcterms:W3CDTF">2024-04-01T13:52:14Z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2A4C97F4617F4624ACE9A709AC9F7394_13</vt:lpwstr>
  </property>
</Properties>
</file>