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numPr>
          <w:ilvl w:val="0"/>
          <w:numId w:val="0"/>
        </w:numPr>
      </w:pPr>
      <w:bookmarkStart w:id="145" w:name="_GoBack"/>
      <w:bookmarkEnd w:id="145"/>
    </w:p>
    <w:p>
      <w:pPr>
        <w:spacing w:line="500" w:lineRule="exact"/>
        <w:jc w:val="center"/>
        <w:rPr>
          <w:b/>
          <w:sz w:val="44"/>
          <w:szCs w:val="44"/>
        </w:rPr>
      </w:pPr>
    </w:p>
    <w:p>
      <w:pPr>
        <w:spacing w:line="500" w:lineRule="exact"/>
        <w:jc w:val="center"/>
        <w:rPr>
          <w:b/>
          <w:sz w:val="44"/>
          <w:szCs w:val="44"/>
        </w:rPr>
      </w:pPr>
    </w:p>
    <w:p>
      <w:pPr>
        <w:spacing w:line="500" w:lineRule="exact"/>
        <w:jc w:val="center"/>
        <w:rPr>
          <w:b/>
          <w:sz w:val="44"/>
          <w:szCs w:val="44"/>
        </w:rPr>
      </w:pPr>
    </w:p>
    <w:p>
      <w:pPr>
        <w:jc w:val="center"/>
        <w:rPr>
          <w:rFonts w:hint="eastAsia"/>
          <w:b/>
          <w:sz w:val="52"/>
          <w:szCs w:val="52"/>
        </w:rPr>
      </w:pPr>
      <w:r>
        <w:rPr>
          <w:rStyle w:val="31"/>
          <w:rFonts w:hint="default" w:ascii="Times New Roman" w:hAnsi="Times New Roman" w:cs="Times New Roman"/>
          <w:b/>
          <w:sz w:val="48"/>
          <w:szCs w:val="48"/>
        </w:rPr>
        <w:t>浙江浙能电力股份有限公司台州发电厂</w:t>
      </w:r>
    </w:p>
    <w:p>
      <w:pPr>
        <w:jc w:val="center"/>
        <w:rPr>
          <w:rStyle w:val="31"/>
          <w:rFonts w:hint="default" w:ascii="Times New Roman" w:hAnsi="Times New Roman" w:cs="Times New Roman"/>
          <w:b/>
          <w:sz w:val="48"/>
          <w:szCs w:val="48"/>
        </w:rPr>
      </w:pPr>
      <w:r>
        <w:rPr>
          <w:rStyle w:val="31"/>
          <w:rFonts w:hint="eastAsia" w:ascii="Times New Roman" w:hAnsi="Times New Roman" w:cs="Times New Roman"/>
          <w:b/>
          <w:sz w:val="48"/>
          <w:szCs w:val="48"/>
        </w:rPr>
        <w:t>9号炉空预器出口烟道优化改造项目</w:t>
      </w:r>
    </w:p>
    <w:p>
      <w:pPr>
        <w:jc w:val="center"/>
        <w:rPr>
          <w:b/>
          <w:sz w:val="44"/>
          <w:szCs w:val="44"/>
        </w:rPr>
      </w:pPr>
    </w:p>
    <w:p>
      <w:pPr>
        <w:rPr>
          <w:rFonts w:hint="eastAsia" w:ascii="宋体" w:hAnsi="宋体"/>
          <w:sz w:val="28"/>
        </w:rPr>
      </w:pPr>
    </w:p>
    <w:p>
      <w:pPr>
        <w:rPr>
          <w:rFonts w:hint="eastAsia" w:ascii="宋体" w:hAnsi="宋体"/>
          <w:sz w:val="28"/>
        </w:rPr>
      </w:pPr>
    </w:p>
    <w:p>
      <w:pPr>
        <w:jc w:val="center"/>
        <w:rPr>
          <w:rFonts w:hint="eastAsia" w:ascii="宋体" w:hAnsi="宋体"/>
          <w:sz w:val="28"/>
        </w:rPr>
      </w:pPr>
    </w:p>
    <w:p>
      <w:pPr>
        <w:jc w:val="center"/>
        <w:rPr>
          <w:rFonts w:hint="eastAsia" w:ascii="宋体" w:hAnsi="宋体"/>
          <w:b/>
          <w:sz w:val="48"/>
          <w:szCs w:val="48"/>
        </w:rPr>
      </w:pPr>
      <w:bookmarkStart w:id="0" w:name="_Toc286153212"/>
      <w:bookmarkStart w:id="1" w:name="_Toc215298661"/>
      <w:bookmarkStart w:id="2" w:name="_Toc215298563"/>
      <w:bookmarkStart w:id="3" w:name="_Toc215298515"/>
      <w:r>
        <w:rPr>
          <w:rFonts w:hint="eastAsia" w:ascii="宋体" w:hAnsi="宋体"/>
          <w:b/>
          <w:sz w:val="48"/>
          <w:szCs w:val="48"/>
        </w:rPr>
        <w:t>技术规范</w:t>
      </w:r>
      <w:bookmarkEnd w:id="0"/>
      <w:bookmarkEnd w:id="1"/>
      <w:bookmarkEnd w:id="2"/>
      <w:bookmarkEnd w:id="3"/>
      <w:r>
        <w:rPr>
          <w:rFonts w:hint="eastAsia" w:ascii="宋体" w:hAnsi="宋体"/>
          <w:b/>
          <w:sz w:val="48"/>
          <w:szCs w:val="48"/>
        </w:rPr>
        <w:t>书</w:t>
      </w:r>
    </w:p>
    <w:p>
      <w:pPr>
        <w:jc w:val="center"/>
        <w:rPr>
          <w:rFonts w:hint="eastAsia" w:ascii="宋体" w:hAnsi="宋体"/>
          <w:b/>
          <w:sz w:val="48"/>
          <w:szCs w:val="48"/>
        </w:rPr>
      </w:pPr>
    </w:p>
    <w:p>
      <w:pPr>
        <w:jc w:val="center"/>
        <w:rPr>
          <w:rFonts w:hint="eastAsia" w:ascii="宋体" w:hAnsi="宋体"/>
          <w:b/>
          <w:sz w:val="36"/>
          <w:szCs w:val="36"/>
        </w:rPr>
      </w:pPr>
    </w:p>
    <w:p>
      <w:pPr>
        <w:rPr>
          <w:sz w:val="28"/>
        </w:rPr>
      </w:pPr>
    </w:p>
    <w:p>
      <w:pPr>
        <w:pStyle w:val="4"/>
        <w:autoSpaceDE w:val="0"/>
        <w:autoSpaceDN w:val="0"/>
        <w:adjustRightInd w:val="0"/>
        <w:spacing w:before="240" w:beforeLines="100" w:after="240" w:afterLines="100" w:line="480" w:lineRule="auto"/>
        <w:ind w:firstLine="3200" w:firstLineChars="1000"/>
        <w:rPr>
          <w:rStyle w:val="31"/>
          <w:rFonts w:hint="default" w:ascii="Times New Roman" w:hAnsi="Times New Roman" w:eastAsia="黑体" w:cs="Times New Roman"/>
          <w:kern w:val="0"/>
          <w:sz w:val="32"/>
          <w:szCs w:val="32"/>
        </w:rPr>
      </w:pPr>
      <w:r>
        <w:rPr>
          <w:rStyle w:val="31"/>
          <w:rFonts w:hint="default" w:ascii="Times New Roman" w:hAnsi="Times New Roman" w:eastAsia="黑体" w:cs="Times New Roman"/>
          <w:kern w:val="0"/>
          <w:sz w:val="32"/>
          <w:szCs w:val="32"/>
        </w:rPr>
        <w:t>编 写：</w:t>
      </w:r>
    </w:p>
    <w:p>
      <w:pPr>
        <w:pStyle w:val="4"/>
        <w:autoSpaceDE w:val="0"/>
        <w:autoSpaceDN w:val="0"/>
        <w:adjustRightInd w:val="0"/>
        <w:spacing w:before="240" w:beforeLines="100" w:after="240" w:afterLines="100" w:line="480" w:lineRule="auto"/>
        <w:ind w:firstLine="3200" w:firstLineChars="1000"/>
        <w:rPr>
          <w:rStyle w:val="31"/>
          <w:rFonts w:hint="default" w:ascii="Times New Roman" w:hAnsi="Times New Roman" w:eastAsia="黑体" w:cs="Times New Roman"/>
          <w:kern w:val="0"/>
          <w:sz w:val="32"/>
          <w:szCs w:val="32"/>
        </w:rPr>
      </w:pPr>
      <w:r>
        <w:rPr>
          <w:rStyle w:val="31"/>
          <w:rFonts w:hint="default" w:ascii="Times New Roman" w:hAnsi="Times New Roman" w:eastAsia="黑体" w:cs="Times New Roman"/>
          <w:kern w:val="0"/>
          <w:sz w:val="32"/>
          <w:szCs w:val="32"/>
        </w:rPr>
        <w:t xml:space="preserve">会 审： </w:t>
      </w:r>
    </w:p>
    <w:p>
      <w:pPr>
        <w:pStyle w:val="4"/>
        <w:autoSpaceDE w:val="0"/>
        <w:autoSpaceDN w:val="0"/>
        <w:adjustRightInd w:val="0"/>
        <w:spacing w:before="240" w:beforeLines="100" w:after="240" w:afterLines="100" w:line="480" w:lineRule="auto"/>
        <w:ind w:firstLine="3200" w:firstLineChars="1000"/>
        <w:rPr>
          <w:rStyle w:val="31"/>
          <w:rFonts w:hint="default" w:ascii="Times New Roman" w:hAnsi="Times New Roman" w:eastAsia="黑体" w:cs="Times New Roman"/>
          <w:kern w:val="0"/>
          <w:sz w:val="32"/>
          <w:szCs w:val="32"/>
        </w:rPr>
      </w:pPr>
      <w:r>
        <w:rPr>
          <w:rStyle w:val="31"/>
          <w:rFonts w:hint="default" w:ascii="Times New Roman" w:hAnsi="Times New Roman" w:eastAsia="黑体" w:cs="Times New Roman"/>
          <w:kern w:val="0"/>
          <w:sz w:val="32"/>
          <w:szCs w:val="32"/>
        </w:rPr>
        <w:t>审 核：</w:t>
      </w:r>
    </w:p>
    <w:p>
      <w:pPr>
        <w:ind w:firstLine="3200" w:firstLineChars="1000"/>
        <w:rPr>
          <w:sz w:val="28"/>
        </w:rPr>
      </w:pPr>
      <w:r>
        <w:rPr>
          <w:rStyle w:val="31"/>
          <w:rFonts w:hint="default" w:ascii="Times New Roman" w:hAnsi="Times New Roman" w:eastAsia="黑体" w:cs="Times New Roman"/>
          <w:kern w:val="0"/>
          <w:sz w:val="32"/>
          <w:szCs w:val="32"/>
        </w:rPr>
        <w:t>批 准：</w:t>
      </w:r>
      <w:r>
        <w:rPr>
          <w:rStyle w:val="31"/>
          <w:rFonts w:hint="default" w:ascii="Times New Roman" w:hAnsi="Times New Roman" w:eastAsia="黑体" w:cs="Times New Roman"/>
          <w:kern w:val="0"/>
          <w:sz w:val="32"/>
          <w:szCs w:val="32"/>
        </w:rPr>
        <w:tab/>
      </w:r>
    </w:p>
    <w:p>
      <w:pPr>
        <w:tabs>
          <w:tab w:val="left" w:pos="2479"/>
        </w:tabs>
        <w:rPr>
          <w:sz w:val="28"/>
        </w:rPr>
      </w:pPr>
      <w:r>
        <w:rPr>
          <w:sz w:val="28"/>
        </w:rPr>
        <w:tab/>
      </w:r>
    </w:p>
    <w:p/>
    <w:p/>
    <w:p>
      <w:pPr>
        <w:spacing w:before="120" w:beforeLines="50"/>
        <w:jc w:val="center"/>
        <w:rPr>
          <w:rFonts w:ascii="黑体" w:hAnsi="黑体" w:eastAsia="黑体" w:cs="宋体"/>
          <w:kern w:val="0"/>
          <w:sz w:val="32"/>
          <w:szCs w:val="32"/>
        </w:rPr>
      </w:pPr>
      <w:r>
        <w:rPr>
          <w:rFonts w:hint="eastAsia"/>
        </w:rPr>
        <w:tab/>
      </w:r>
      <w:r>
        <w:rPr>
          <w:rFonts w:hint="eastAsia" w:ascii="黑体" w:hAnsi="黑体" w:eastAsia="黑体" w:cs="宋体"/>
          <w:kern w:val="0"/>
          <w:sz w:val="32"/>
          <w:szCs w:val="32"/>
        </w:rPr>
        <w:t>浙江浙能电力股份有限公司台州发电厂</w:t>
      </w:r>
    </w:p>
    <w:p>
      <w:pPr>
        <w:spacing w:before="120" w:beforeLines="50"/>
        <w:jc w:val="center"/>
        <w:rPr>
          <w:rFonts w:ascii="黑体" w:hAnsi="黑体" w:eastAsia="黑体" w:cs="黑体"/>
          <w:kern w:val="0"/>
          <w:sz w:val="32"/>
          <w:szCs w:val="32"/>
        </w:rPr>
      </w:pPr>
      <w:r>
        <w:rPr>
          <w:rFonts w:hint="eastAsia" w:ascii="黑体" w:hAnsi="黑体" w:eastAsia="黑体" w:cs="黑体"/>
          <w:kern w:val="0"/>
          <w:sz w:val="32"/>
          <w:szCs w:val="32"/>
        </w:rPr>
        <w:t>2024年9月</w:t>
      </w:r>
    </w:p>
    <w:p>
      <w:pPr>
        <w:tabs>
          <w:tab w:val="center" w:pos="4337"/>
        </w:tabs>
        <w:jc w:val="left"/>
        <w:sectPr>
          <w:type w:val="nextColumn"/>
          <w:pgSz w:w="11907" w:h="16840"/>
          <w:pgMar w:top="1418" w:right="1531" w:bottom="1418" w:left="1701" w:header="851" w:footer="992" w:gutter="0"/>
          <w:pgNumType w:start="1"/>
          <w:cols w:space="720" w:num="1"/>
          <w:docGrid w:linePitch="380" w:charSpace="0"/>
        </w:sectPr>
      </w:pPr>
    </w:p>
    <w:p>
      <w:pPr>
        <w:rPr>
          <w:sz w:val="28"/>
        </w:rPr>
      </w:pPr>
    </w:p>
    <w:p>
      <w:pPr>
        <w:spacing w:line="500" w:lineRule="exact"/>
        <w:ind w:right="1120"/>
        <w:jc w:val="right"/>
        <w:rPr>
          <w:sz w:val="28"/>
        </w:rPr>
      </w:pPr>
    </w:p>
    <w:p>
      <w:pPr>
        <w:spacing w:line="500" w:lineRule="exact"/>
        <w:jc w:val="center"/>
        <w:rPr>
          <w:b/>
          <w:sz w:val="44"/>
        </w:rPr>
        <w:sectPr>
          <w:headerReference r:id="rId4" w:type="first"/>
          <w:headerReference r:id="rId3" w:type="default"/>
          <w:footerReference r:id="rId5" w:type="default"/>
          <w:footerReference r:id="rId6" w:type="even"/>
          <w:pgSz w:w="11907" w:h="16840"/>
          <w:pgMar w:top="1418" w:right="1531" w:bottom="1418" w:left="1701" w:header="851" w:footer="851" w:gutter="0"/>
          <w:pgNumType w:start="1"/>
          <w:cols w:space="720" w:num="1"/>
          <w:docGrid w:linePitch="326" w:charSpace="0"/>
        </w:sectPr>
      </w:pPr>
    </w:p>
    <w:p>
      <w:pPr>
        <w:autoSpaceDE w:val="0"/>
        <w:autoSpaceDN w:val="0"/>
        <w:spacing w:line="500" w:lineRule="exact"/>
        <w:jc w:val="center"/>
        <w:rPr>
          <w:rFonts w:ascii="宋体"/>
          <w:sz w:val="44"/>
          <w:szCs w:val="44"/>
        </w:rPr>
      </w:pPr>
      <w:r>
        <w:rPr>
          <w:rFonts w:hint="eastAsia" w:ascii="宋体"/>
          <w:sz w:val="44"/>
          <w:szCs w:val="44"/>
        </w:rPr>
        <w:t>目  录</w:t>
      </w:r>
    </w:p>
    <w:p>
      <w:pPr>
        <w:pStyle w:val="23"/>
        <w:spacing w:line="500" w:lineRule="exact"/>
        <w:rPr>
          <w:rStyle w:val="34"/>
          <w:rFonts w:hint="eastAsia"/>
          <w:b w:val="0"/>
          <w:bCs/>
          <w:caps/>
          <w:color w:val="auto"/>
          <w:sz w:val="24"/>
          <w:szCs w:val="24"/>
        </w:rPr>
      </w:pPr>
    </w:p>
    <w:p>
      <w:pPr>
        <w:pStyle w:val="23"/>
        <w:rPr>
          <w:rFonts w:ascii="Calibri" w:hAnsi="Calibri" w:eastAsia="宋体" w:cs="宋体"/>
          <w:b w:val="0"/>
          <w:kern w:val="2"/>
          <w:sz w:val="24"/>
          <w:szCs w:val="24"/>
          <w14:ligatures w14:val="standardContextual"/>
        </w:rPr>
      </w:pPr>
      <w:r>
        <w:rPr>
          <w:b w:val="0"/>
          <w:bCs/>
          <w:caps/>
          <w:sz w:val="24"/>
          <w:szCs w:val="24"/>
        </w:rPr>
        <w:fldChar w:fldCharType="begin"/>
      </w:r>
      <w:r>
        <w:rPr>
          <w:rStyle w:val="34"/>
          <w:b w:val="0"/>
          <w:bCs/>
          <w:caps/>
          <w:color w:val="auto"/>
          <w:sz w:val="24"/>
          <w:szCs w:val="24"/>
        </w:rPr>
        <w:instrText xml:space="preserve"> TOC \o "1-1" \h \z \u </w:instrText>
      </w:r>
      <w:r>
        <w:rPr>
          <w:b w:val="0"/>
          <w:bCs/>
          <w:caps/>
          <w:sz w:val="24"/>
          <w:szCs w:val="24"/>
        </w:rPr>
        <w:fldChar w:fldCharType="separate"/>
      </w:r>
      <w:r>
        <w:fldChar w:fldCharType="begin"/>
      </w:r>
      <w:r>
        <w:instrText xml:space="preserve"> HYPERLINK \l "_Toc153568466" </w:instrText>
      </w:r>
      <w:r>
        <w:fldChar w:fldCharType="separate"/>
      </w:r>
      <w:r>
        <w:rPr>
          <w:rStyle w:val="34"/>
          <w:sz w:val="24"/>
          <w:szCs w:val="24"/>
        </w:rPr>
        <w:t>附件1 技术规范</w:t>
      </w:r>
      <w:r>
        <w:rPr>
          <w:sz w:val="24"/>
          <w:szCs w:val="24"/>
        </w:rPr>
        <w:tab/>
      </w:r>
      <w:r>
        <w:rPr>
          <w:sz w:val="24"/>
          <w:szCs w:val="24"/>
        </w:rPr>
        <w:fldChar w:fldCharType="begin"/>
      </w:r>
      <w:r>
        <w:rPr>
          <w:sz w:val="24"/>
          <w:szCs w:val="24"/>
        </w:rPr>
        <w:instrText xml:space="preserve"> PAGEREF _Toc153568466 \h </w:instrText>
      </w:r>
      <w:r>
        <w:rPr>
          <w:sz w:val="24"/>
          <w:szCs w:val="24"/>
        </w:rPr>
        <w:fldChar w:fldCharType="separate"/>
      </w:r>
      <w:r>
        <w:rPr>
          <w:sz w:val="24"/>
          <w:szCs w:val="24"/>
        </w:rPr>
        <w:t>1</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"_Toc153568467" </w:instrText>
      </w:r>
      <w:r>
        <w:fldChar w:fldCharType="separate"/>
      </w:r>
      <w:r>
        <w:rPr>
          <w:rStyle w:val="34"/>
          <w:sz w:val="24"/>
          <w:szCs w:val="24"/>
        </w:rPr>
        <w:t>附件2 供货范围</w:t>
      </w:r>
      <w:r>
        <w:rPr>
          <w:sz w:val="24"/>
          <w:szCs w:val="24"/>
        </w:rPr>
        <w:tab/>
      </w:r>
      <w:r>
        <w:rPr>
          <w:sz w:val="24"/>
          <w:szCs w:val="24"/>
        </w:rPr>
        <w:fldChar w:fldCharType="begin"/>
      </w:r>
      <w:r>
        <w:rPr>
          <w:sz w:val="24"/>
          <w:szCs w:val="24"/>
        </w:rPr>
        <w:instrText xml:space="preserve"> PAGEREF _Toc153568467 \h </w:instrText>
      </w:r>
      <w:r>
        <w:rPr>
          <w:sz w:val="24"/>
          <w:szCs w:val="24"/>
        </w:rPr>
        <w:fldChar w:fldCharType="separate"/>
      </w:r>
      <w:r>
        <w:rPr>
          <w:sz w:val="24"/>
          <w:szCs w:val="24"/>
        </w:rPr>
        <w:t>9</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"_Toc153568468" </w:instrText>
      </w:r>
      <w:r>
        <w:fldChar w:fldCharType="separate"/>
      </w:r>
      <w:r>
        <w:rPr>
          <w:rStyle w:val="34"/>
          <w:sz w:val="24"/>
          <w:szCs w:val="24"/>
        </w:rPr>
        <w:t>附件3 技术资料及交付进度</w:t>
      </w:r>
      <w:r>
        <w:rPr>
          <w:sz w:val="24"/>
          <w:szCs w:val="24"/>
        </w:rPr>
        <w:tab/>
      </w:r>
      <w:r>
        <w:rPr>
          <w:sz w:val="24"/>
          <w:szCs w:val="24"/>
        </w:rPr>
        <w:fldChar w:fldCharType="begin"/>
      </w:r>
      <w:r>
        <w:rPr>
          <w:sz w:val="24"/>
          <w:szCs w:val="24"/>
        </w:rPr>
        <w:instrText xml:space="preserve"> PAGEREF _Toc153568468 \h </w:instrText>
      </w:r>
      <w:r>
        <w:rPr>
          <w:sz w:val="24"/>
          <w:szCs w:val="24"/>
        </w:rPr>
        <w:fldChar w:fldCharType="separate"/>
      </w:r>
      <w:r>
        <w:rPr>
          <w:sz w:val="24"/>
          <w:szCs w:val="24"/>
        </w:rPr>
        <w:t>10</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"_Toc153568469" </w:instrText>
      </w:r>
      <w:r>
        <w:fldChar w:fldCharType="separate"/>
      </w:r>
      <w:r>
        <w:rPr>
          <w:rStyle w:val="34"/>
          <w:sz w:val="24"/>
          <w:szCs w:val="24"/>
        </w:rPr>
        <w:t>附件4 进度安排</w:t>
      </w:r>
      <w:r>
        <w:rPr>
          <w:sz w:val="24"/>
          <w:szCs w:val="24"/>
        </w:rPr>
        <w:tab/>
      </w:r>
      <w:r>
        <w:rPr>
          <w:sz w:val="24"/>
          <w:szCs w:val="24"/>
        </w:rPr>
        <w:fldChar w:fldCharType="begin"/>
      </w:r>
      <w:r>
        <w:rPr>
          <w:sz w:val="24"/>
          <w:szCs w:val="24"/>
        </w:rPr>
        <w:instrText xml:space="preserve"> PAGEREF _Toc153568469 \h </w:instrText>
      </w:r>
      <w:r>
        <w:rPr>
          <w:sz w:val="24"/>
          <w:szCs w:val="24"/>
        </w:rPr>
        <w:fldChar w:fldCharType="separate"/>
      </w:r>
      <w:r>
        <w:rPr>
          <w:sz w:val="24"/>
          <w:szCs w:val="24"/>
        </w:rPr>
        <w:t>11</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"_Toc153568470" </w:instrText>
      </w:r>
      <w:r>
        <w:fldChar w:fldCharType="separate"/>
      </w:r>
      <w:r>
        <w:rPr>
          <w:rStyle w:val="34"/>
          <w:sz w:val="24"/>
          <w:szCs w:val="24"/>
        </w:rPr>
        <w:t>附件5 设备监造、检验和性能验收试验</w:t>
      </w:r>
      <w:r>
        <w:rPr>
          <w:sz w:val="24"/>
          <w:szCs w:val="24"/>
        </w:rPr>
        <w:tab/>
      </w:r>
      <w:r>
        <w:rPr>
          <w:sz w:val="24"/>
          <w:szCs w:val="24"/>
        </w:rPr>
        <w:fldChar w:fldCharType="begin"/>
      </w:r>
      <w:r>
        <w:rPr>
          <w:sz w:val="24"/>
          <w:szCs w:val="24"/>
        </w:rPr>
        <w:instrText xml:space="preserve"> PAGEREF _Toc153568470 \h </w:instrText>
      </w:r>
      <w:r>
        <w:rPr>
          <w:sz w:val="24"/>
          <w:szCs w:val="24"/>
        </w:rPr>
        <w:fldChar w:fldCharType="separate"/>
      </w:r>
      <w:r>
        <w:rPr>
          <w:sz w:val="24"/>
          <w:szCs w:val="24"/>
        </w:rPr>
        <w:t>12</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"_Toc153568471" </w:instrText>
      </w:r>
      <w:r>
        <w:fldChar w:fldCharType="separate"/>
      </w:r>
      <w:r>
        <w:rPr>
          <w:rStyle w:val="34"/>
          <w:sz w:val="24"/>
          <w:szCs w:val="24"/>
        </w:rPr>
        <w:t>附件6 技术服务和联络</w:t>
      </w:r>
      <w:r>
        <w:rPr>
          <w:sz w:val="24"/>
          <w:szCs w:val="24"/>
        </w:rPr>
        <w:tab/>
      </w:r>
      <w:r>
        <w:rPr>
          <w:sz w:val="24"/>
          <w:szCs w:val="24"/>
        </w:rPr>
        <w:fldChar w:fldCharType="begin"/>
      </w:r>
      <w:r>
        <w:rPr>
          <w:sz w:val="24"/>
          <w:szCs w:val="24"/>
        </w:rPr>
        <w:instrText xml:space="preserve"> PAGEREF _Toc153568471 \h </w:instrText>
      </w:r>
      <w:r>
        <w:rPr>
          <w:sz w:val="24"/>
          <w:szCs w:val="24"/>
        </w:rPr>
        <w:fldChar w:fldCharType="separate"/>
      </w:r>
      <w:r>
        <w:rPr>
          <w:sz w:val="24"/>
          <w:szCs w:val="24"/>
        </w:rPr>
        <w:t>14</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"_Toc153568472" </w:instrText>
      </w:r>
      <w:r>
        <w:fldChar w:fldCharType="separate"/>
      </w:r>
      <w:r>
        <w:rPr>
          <w:rStyle w:val="34"/>
          <w:sz w:val="24"/>
          <w:szCs w:val="24"/>
        </w:rPr>
        <w:t>附件7外购</w:t>
      </w:r>
      <w:r>
        <w:rPr>
          <w:sz w:val="24"/>
          <w:szCs w:val="24"/>
        </w:rPr>
        <w:tab/>
      </w:r>
      <w:r>
        <w:rPr>
          <w:sz w:val="24"/>
          <w:szCs w:val="24"/>
        </w:rPr>
        <w:fldChar w:fldCharType="begin"/>
      </w:r>
      <w:r>
        <w:rPr>
          <w:sz w:val="24"/>
          <w:szCs w:val="24"/>
        </w:rPr>
        <w:instrText xml:space="preserve"> PAGEREF _Toc153568472 \h </w:instrText>
      </w:r>
      <w:r>
        <w:rPr>
          <w:sz w:val="24"/>
          <w:szCs w:val="24"/>
        </w:rPr>
        <w:fldChar w:fldCharType="separate"/>
      </w:r>
      <w:r>
        <w:rPr>
          <w:sz w:val="24"/>
          <w:szCs w:val="24"/>
        </w:rPr>
        <w:t>16</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"_Toc153568473" </w:instrText>
      </w:r>
      <w:r>
        <w:fldChar w:fldCharType="separate"/>
      </w:r>
      <w:r>
        <w:rPr>
          <w:rStyle w:val="34"/>
          <w:sz w:val="24"/>
          <w:szCs w:val="24"/>
        </w:rPr>
        <w:t>附件8 设计方案</w:t>
      </w:r>
      <w:r>
        <w:rPr>
          <w:sz w:val="24"/>
          <w:szCs w:val="24"/>
        </w:rPr>
        <w:tab/>
      </w:r>
      <w:r>
        <w:rPr>
          <w:sz w:val="24"/>
          <w:szCs w:val="24"/>
        </w:rPr>
        <w:fldChar w:fldCharType="begin"/>
      </w:r>
      <w:r>
        <w:rPr>
          <w:sz w:val="24"/>
          <w:szCs w:val="24"/>
        </w:rPr>
        <w:instrText xml:space="preserve"> PAGEREF _Toc153568473 \h </w:instrText>
      </w:r>
      <w:r>
        <w:rPr>
          <w:sz w:val="24"/>
          <w:szCs w:val="24"/>
        </w:rPr>
        <w:fldChar w:fldCharType="separate"/>
      </w:r>
      <w:r>
        <w:rPr>
          <w:sz w:val="24"/>
          <w:szCs w:val="24"/>
        </w:rPr>
        <w:t>17</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"_Toc153568474" </w:instrText>
      </w:r>
      <w:r>
        <w:fldChar w:fldCharType="separate"/>
      </w:r>
      <w:r>
        <w:rPr>
          <w:rStyle w:val="34"/>
          <w:sz w:val="24"/>
          <w:szCs w:val="24"/>
        </w:rPr>
        <w:t>附件9 大（部）件情况</w:t>
      </w:r>
      <w:r>
        <w:rPr>
          <w:sz w:val="24"/>
          <w:szCs w:val="24"/>
        </w:rPr>
        <w:tab/>
      </w:r>
      <w:r>
        <w:rPr>
          <w:sz w:val="24"/>
          <w:szCs w:val="24"/>
        </w:rPr>
        <w:fldChar w:fldCharType="begin"/>
      </w:r>
      <w:r>
        <w:rPr>
          <w:sz w:val="24"/>
          <w:szCs w:val="24"/>
        </w:rPr>
        <w:instrText xml:space="preserve"> PAGEREF _Toc153568474 \h </w:instrText>
      </w:r>
      <w:r>
        <w:rPr>
          <w:sz w:val="24"/>
          <w:szCs w:val="24"/>
        </w:rPr>
        <w:fldChar w:fldCharType="separate"/>
      </w:r>
      <w:r>
        <w:rPr>
          <w:sz w:val="24"/>
          <w:szCs w:val="24"/>
        </w:rPr>
        <w:t>18</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"_Toc153568475" </w:instrText>
      </w:r>
      <w:r>
        <w:fldChar w:fldCharType="separate"/>
      </w:r>
      <w:r>
        <w:rPr>
          <w:rStyle w:val="34"/>
          <w:sz w:val="24"/>
          <w:szCs w:val="24"/>
        </w:rPr>
        <w:t>附件10 技术差异表</w:t>
      </w:r>
      <w:r>
        <w:rPr>
          <w:sz w:val="24"/>
          <w:szCs w:val="24"/>
        </w:rPr>
        <w:tab/>
      </w:r>
      <w:r>
        <w:rPr>
          <w:sz w:val="24"/>
          <w:szCs w:val="24"/>
        </w:rPr>
        <w:fldChar w:fldCharType="begin"/>
      </w:r>
      <w:r>
        <w:rPr>
          <w:sz w:val="24"/>
          <w:szCs w:val="24"/>
        </w:rPr>
        <w:instrText xml:space="preserve"> PAGEREF _Toc153568475 \h </w:instrText>
      </w:r>
      <w:r>
        <w:rPr>
          <w:sz w:val="24"/>
          <w:szCs w:val="24"/>
        </w:rPr>
        <w:fldChar w:fldCharType="separate"/>
      </w:r>
      <w:r>
        <w:rPr>
          <w:sz w:val="24"/>
          <w:szCs w:val="24"/>
        </w:rPr>
        <w:t>19</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"_Toc153568476" </w:instrText>
      </w:r>
      <w:r>
        <w:fldChar w:fldCharType="separate"/>
      </w:r>
      <w:r>
        <w:rPr>
          <w:rStyle w:val="34"/>
          <w:sz w:val="24"/>
          <w:szCs w:val="24"/>
        </w:rPr>
        <w:t>附件11 附图</w:t>
      </w:r>
      <w:r>
        <w:rPr>
          <w:sz w:val="24"/>
          <w:szCs w:val="24"/>
        </w:rPr>
        <w:tab/>
      </w:r>
      <w:r>
        <w:rPr>
          <w:sz w:val="24"/>
          <w:szCs w:val="24"/>
        </w:rPr>
        <w:fldChar w:fldCharType="begin"/>
      </w:r>
      <w:r>
        <w:rPr>
          <w:sz w:val="24"/>
          <w:szCs w:val="24"/>
        </w:rPr>
        <w:instrText xml:space="preserve"> PAGEREF _Toc153568476 \h </w:instrText>
      </w:r>
      <w:r>
        <w:rPr>
          <w:sz w:val="24"/>
          <w:szCs w:val="24"/>
        </w:rPr>
        <w:fldChar w:fldCharType="separate"/>
      </w:r>
      <w:r>
        <w:rPr>
          <w:sz w:val="24"/>
          <w:szCs w:val="24"/>
        </w:rPr>
        <w:t>20</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"_Toc153568477" </w:instrText>
      </w:r>
      <w:r>
        <w:fldChar w:fldCharType="separate"/>
      </w:r>
      <w:r>
        <w:rPr>
          <w:rStyle w:val="34"/>
          <w:sz w:val="24"/>
          <w:szCs w:val="24"/>
        </w:rPr>
        <w:t>附件12 性能考核条款</w:t>
      </w:r>
      <w:r>
        <w:rPr>
          <w:sz w:val="24"/>
          <w:szCs w:val="24"/>
        </w:rPr>
        <w:tab/>
      </w:r>
      <w:r>
        <w:rPr>
          <w:sz w:val="24"/>
          <w:szCs w:val="24"/>
        </w:rPr>
        <w:fldChar w:fldCharType="begin"/>
      </w:r>
      <w:r>
        <w:rPr>
          <w:sz w:val="24"/>
          <w:szCs w:val="24"/>
        </w:rPr>
        <w:instrText xml:space="preserve"> PAGEREF _Toc153568477 \h </w:instrText>
      </w:r>
      <w:r>
        <w:rPr>
          <w:sz w:val="24"/>
          <w:szCs w:val="24"/>
        </w:rPr>
        <w:fldChar w:fldCharType="separate"/>
      </w:r>
      <w:r>
        <w:rPr>
          <w:sz w:val="24"/>
          <w:szCs w:val="24"/>
        </w:rPr>
        <w:t>21</w:t>
      </w:r>
      <w:r>
        <w:rPr>
          <w:sz w:val="24"/>
          <w:szCs w:val="24"/>
        </w:rPr>
        <w:fldChar w:fldCharType="end"/>
      </w:r>
      <w:r>
        <w:fldChar w:fldCharType="end"/>
      </w:r>
    </w:p>
    <w:p>
      <w:pPr>
        <w:pStyle w:val="23"/>
        <w:rPr>
          <w:rFonts w:ascii="Calibri" w:hAnsi="Calibri" w:eastAsia="宋体" w:cs="宋体"/>
          <w:b w:val="0"/>
          <w:kern w:val="2"/>
          <w:sz w:val="24"/>
          <w:szCs w:val="24"/>
          <w14:ligatures w14:val="standardContextual"/>
        </w:rPr>
      </w:pPr>
      <w:r>
        <w:fldChar w:fldCharType="begin"/>
      </w:r>
      <w:r>
        <w:instrText xml:space="preserve"> HYPERLINK \l "_Toc153568478" </w:instrText>
      </w:r>
      <w:r>
        <w:fldChar w:fldCharType="separate"/>
      </w:r>
      <w:r>
        <w:rPr>
          <w:rStyle w:val="34"/>
          <w:sz w:val="24"/>
          <w:szCs w:val="24"/>
        </w:rPr>
        <w:t>附件13 投标人需要说明的其他问题（技术特点、质保体系及售后服务承诺等）</w:t>
      </w:r>
      <w:r>
        <w:rPr>
          <w:sz w:val="24"/>
          <w:szCs w:val="24"/>
        </w:rPr>
        <w:tab/>
      </w:r>
      <w:r>
        <w:rPr>
          <w:sz w:val="24"/>
          <w:szCs w:val="24"/>
        </w:rPr>
        <w:fldChar w:fldCharType="begin"/>
      </w:r>
      <w:r>
        <w:rPr>
          <w:sz w:val="24"/>
          <w:szCs w:val="24"/>
        </w:rPr>
        <w:instrText xml:space="preserve"> PAGEREF _Toc153568478 \h </w:instrText>
      </w:r>
      <w:r>
        <w:rPr>
          <w:sz w:val="24"/>
          <w:szCs w:val="24"/>
        </w:rPr>
        <w:fldChar w:fldCharType="separate"/>
      </w:r>
      <w:r>
        <w:rPr>
          <w:sz w:val="24"/>
          <w:szCs w:val="24"/>
        </w:rPr>
        <w:t>22</w:t>
      </w:r>
      <w:r>
        <w:rPr>
          <w:sz w:val="24"/>
          <w:szCs w:val="24"/>
        </w:rPr>
        <w:fldChar w:fldCharType="end"/>
      </w:r>
      <w:r>
        <w:fldChar w:fldCharType="end"/>
      </w:r>
    </w:p>
    <w:p>
      <w:pPr>
        <w:pStyle w:val="5"/>
        <w:spacing w:line="500" w:lineRule="exact"/>
        <w:rPr>
          <w:rStyle w:val="34"/>
          <w:b w:val="0"/>
          <w:bCs/>
          <w:caps/>
          <w:color w:val="auto"/>
          <w:sz w:val="24"/>
          <w:szCs w:val="24"/>
        </w:rPr>
        <w:sectPr>
          <w:footerReference r:id="rId8" w:type="first"/>
          <w:footerReference r:id="rId7" w:type="default"/>
          <w:type w:val="continuous"/>
          <w:pgSz w:w="11907" w:h="16840"/>
          <w:pgMar w:top="1418" w:right="1531" w:bottom="1418" w:left="1701" w:header="1089" w:footer="1089" w:gutter="0"/>
          <w:pgNumType w:start="0"/>
          <w:cols w:space="720" w:num="1"/>
          <w:docGrid w:linePitch="285" w:charSpace="0"/>
        </w:sectPr>
      </w:pPr>
      <w:r>
        <w:rPr>
          <w:b w:val="0"/>
          <w:bCs/>
          <w:caps/>
          <w:sz w:val="24"/>
          <w:szCs w:val="24"/>
        </w:rPr>
        <w:fldChar w:fldCharType="end"/>
      </w:r>
      <w:bookmarkStart w:id="4" w:name="_Toc96238071"/>
      <w:bookmarkStart w:id="5" w:name="_Toc60567001"/>
      <w:bookmarkStart w:id="6" w:name="_Toc18813690"/>
    </w:p>
    <w:p>
      <w:pPr>
        <w:pStyle w:val="5"/>
        <w:rPr>
          <w:sz w:val="30"/>
          <w:szCs w:val="30"/>
        </w:rPr>
      </w:pPr>
      <w:bookmarkStart w:id="7" w:name="_Toc153568466"/>
      <w:r>
        <w:rPr>
          <w:rFonts w:hint="eastAsia"/>
          <w:sz w:val="30"/>
          <w:szCs w:val="30"/>
        </w:rPr>
        <w:t>附件</w:t>
      </w:r>
      <w:r>
        <w:rPr>
          <w:sz w:val="30"/>
          <w:szCs w:val="30"/>
        </w:rPr>
        <w:t>1</w:t>
      </w:r>
      <w:r>
        <w:rPr>
          <w:rFonts w:hint="eastAsia"/>
          <w:sz w:val="30"/>
          <w:szCs w:val="30"/>
        </w:rPr>
        <w:t xml:space="preserve"> 技术规范</w:t>
      </w:r>
      <w:bookmarkEnd w:id="4"/>
      <w:bookmarkEnd w:id="5"/>
      <w:bookmarkEnd w:id="6"/>
      <w:bookmarkEnd w:id="7"/>
    </w:p>
    <w:p>
      <w:pPr>
        <w:pStyle w:val="6"/>
        <w:numPr>
          <w:ilvl w:val="0"/>
          <w:numId w:val="3"/>
        </w:numPr>
        <w:spacing w:before="0" w:after="0" w:line="500" w:lineRule="exact"/>
        <w:rPr>
          <w:rFonts w:hint="eastAsia" w:hAnsi="宋体"/>
          <w:bCs/>
          <w:szCs w:val="28"/>
        </w:rPr>
      </w:pPr>
      <w:bookmarkStart w:id="8" w:name="_Toc170270571"/>
      <w:bookmarkStart w:id="9" w:name="_Toc170462597"/>
      <w:bookmarkStart w:id="10" w:name="_Toc96238072"/>
      <w:r>
        <w:rPr>
          <w:rFonts w:hint="eastAsia" w:hAnsi="宋体"/>
          <w:bCs/>
          <w:szCs w:val="28"/>
        </w:rPr>
        <w:t xml:space="preserve">  总则</w:t>
      </w:r>
      <w:bookmarkEnd w:id="8"/>
      <w:bookmarkEnd w:id="9"/>
      <w:bookmarkEnd w:id="10"/>
    </w:p>
    <w:p>
      <w:pPr>
        <w:keepNext w:val="0"/>
        <w:keepLines w:val="0"/>
        <w:pageBreakBefore w:val="0"/>
        <w:widowControl w:val="0"/>
        <w:kinsoku/>
        <w:wordWrap/>
        <w:overflowPunct/>
        <w:topLinePunct w:val="0"/>
        <w:autoSpaceDE/>
        <w:autoSpaceDN/>
        <w:bidi w:val="0"/>
        <w:snapToGrid/>
        <w:spacing w:before="120" w:beforeLines="50" w:line="360" w:lineRule="auto"/>
        <w:rPr>
          <w:rStyle w:val="31"/>
          <w:rFonts w:hint="default" w:ascii="Times New Roman" w:hAnsi="Times New Roman" w:eastAsia="宋体" w:cs="Times New Roman"/>
          <w:kern w:val="2"/>
          <w:sz w:val="24"/>
          <w:szCs w:val="24"/>
          <w:lang w:val="en-US" w:eastAsia="zh-CN" w:bidi="ar-SA"/>
        </w:rPr>
      </w:pPr>
      <w:r>
        <w:rPr>
          <w:rStyle w:val="31"/>
          <w:rFonts w:hint="eastAsia" w:ascii="Times New Roman" w:hAnsi="Times New Roman" w:eastAsia="宋体" w:cs="Times New Roman"/>
          <w:kern w:val="2"/>
          <w:sz w:val="24"/>
          <w:szCs w:val="24"/>
          <w:lang w:val="en-US" w:eastAsia="zh-CN" w:bidi="ar-SA"/>
        </w:rPr>
        <w:t>1</w:t>
      </w:r>
      <w:r>
        <w:rPr>
          <w:rStyle w:val="31"/>
          <w:rFonts w:hint="default" w:ascii="Times New Roman" w:hAnsi="Times New Roman" w:eastAsia="宋体" w:cs="Times New Roman"/>
          <w:kern w:val="2"/>
          <w:sz w:val="24"/>
          <w:szCs w:val="24"/>
          <w:lang w:val="en-US" w:eastAsia="zh-CN" w:bidi="ar-SA"/>
        </w:rPr>
        <w:t>.1本技术规范书提出的是最低限度的技术要求</w:t>
      </w:r>
      <w:r>
        <w:rPr>
          <w:rStyle w:val="31"/>
          <w:rFonts w:hint="eastAsia" w:ascii="Times New Roman" w:hAnsi="Times New Roman" w:eastAsia="宋体" w:cs="Times New Roman"/>
          <w:kern w:val="2"/>
          <w:sz w:val="24"/>
          <w:szCs w:val="24"/>
          <w:lang w:val="en-US" w:eastAsia="zh-CN" w:bidi="ar-SA"/>
        </w:rPr>
        <w:t>，</w:t>
      </w:r>
      <w:r>
        <w:rPr>
          <w:rStyle w:val="31"/>
          <w:rFonts w:hint="default" w:ascii="Times New Roman" w:hAnsi="Times New Roman" w:eastAsia="宋体" w:cs="Times New Roman"/>
          <w:kern w:val="2"/>
          <w:sz w:val="24"/>
          <w:szCs w:val="24"/>
          <w:lang w:val="en-US" w:eastAsia="zh-CN" w:bidi="ar-SA"/>
        </w:rPr>
        <w:t>并未对一切技术细节作出规定,也未充分引述有关标准和规范的条文</w:t>
      </w:r>
      <w:r>
        <w:rPr>
          <w:rStyle w:val="31"/>
          <w:rFonts w:hint="eastAsia" w:ascii="Times New Roman" w:hAnsi="Times New Roman" w:eastAsia="宋体" w:cs="Times New Roman"/>
          <w:kern w:val="2"/>
          <w:sz w:val="24"/>
          <w:szCs w:val="24"/>
          <w:lang w:val="en-US" w:eastAsia="zh-CN" w:bidi="ar-SA"/>
        </w:rPr>
        <w:t>，</w:t>
      </w:r>
      <w:r>
        <w:rPr>
          <w:rStyle w:val="31"/>
          <w:rFonts w:hint="default" w:ascii="Times New Roman" w:hAnsi="Times New Roman" w:eastAsia="宋体" w:cs="Times New Roman"/>
          <w:kern w:val="2"/>
          <w:sz w:val="24"/>
          <w:szCs w:val="24"/>
          <w:lang w:val="en-US" w:eastAsia="zh-CN" w:bidi="ar-SA"/>
        </w:rPr>
        <w:t>投标方应提供符合本技术规范书和有关最新工业标准的先进、成熟的优质产品及相应服务。对国家有关安全、环保等强制性标准必须满足其要求。</w:t>
      </w:r>
    </w:p>
    <w:p>
      <w:pPr>
        <w:keepNext w:val="0"/>
        <w:keepLines w:val="0"/>
        <w:pageBreakBefore w:val="0"/>
        <w:widowControl w:val="0"/>
        <w:kinsoku/>
        <w:wordWrap/>
        <w:overflowPunct/>
        <w:topLinePunct w:val="0"/>
        <w:autoSpaceDE/>
        <w:autoSpaceDN/>
        <w:bidi w:val="0"/>
        <w:snapToGrid/>
        <w:spacing w:before="120" w:beforeLines="50" w:line="360" w:lineRule="auto"/>
        <w:rPr>
          <w:rStyle w:val="31"/>
          <w:rFonts w:hint="default" w:ascii="Times New Roman" w:hAnsi="Times New Roman" w:eastAsia="宋体" w:cs="Times New Roman"/>
          <w:kern w:val="2"/>
          <w:sz w:val="24"/>
          <w:szCs w:val="24"/>
          <w:lang w:val="en-US" w:eastAsia="zh-CN" w:bidi="ar-SA"/>
        </w:rPr>
      </w:pPr>
      <w:r>
        <w:rPr>
          <w:rStyle w:val="31"/>
          <w:rFonts w:hint="default" w:ascii="Times New Roman" w:hAnsi="Times New Roman" w:eastAsia="宋体" w:cs="Times New Roman"/>
          <w:kern w:val="2"/>
          <w:sz w:val="24"/>
          <w:szCs w:val="24"/>
          <w:lang w:val="en-US" w:eastAsia="zh-CN" w:bidi="ar-SA"/>
        </w:rPr>
        <w:t>1.2</w:t>
      </w:r>
      <w:r>
        <w:rPr>
          <w:rFonts w:hint="eastAsia" w:ascii="宋体" w:hAnsi="宋体" w:cs="宋体"/>
        </w:rPr>
        <w:t>本规范书适用于浙江浙能电力股份有限公司台州发电厂（以下简称台州发电厂）</w:t>
      </w:r>
      <w:r>
        <w:rPr>
          <w:rFonts w:hint="eastAsia" w:ascii="宋体" w:hAnsi="宋体" w:cs="宋体"/>
          <w:lang w:val="en-US" w:eastAsia="zh-CN"/>
        </w:rPr>
        <w:t>9</w:t>
      </w:r>
      <w:r>
        <w:rPr>
          <w:rFonts w:hint="eastAsia" w:ascii="宋体" w:hAnsi="宋体" w:cs="宋体"/>
        </w:rPr>
        <w:t>号炉空预器出口至吸收塔入口烟道优化采购项目，本规范提出了该项目的项目范围、技术要求方面的技术要求。</w:t>
      </w:r>
    </w:p>
    <w:p>
      <w:pPr>
        <w:keepNext w:val="0"/>
        <w:keepLines w:val="0"/>
        <w:pageBreakBefore w:val="0"/>
        <w:widowControl w:val="0"/>
        <w:kinsoku/>
        <w:wordWrap/>
        <w:overflowPunct/>
        <w:topLinePunct w:val="0"/>
        <w:autoSpaceDE/>
        <w:autoSpaceDN/>
        <w:bidi w:val="0"/>
        <w:snapToGrid/>
        <w:spacing w:before="120" w:beforeLines="50" w:line="360" w:lineRule="auto"/>
        <w:rPr>
          <w:rStyle w:val="31"/>
          <w:rFonts w:hint="default" w:ascii="Times New Roman" w:hAnsi="Times New Roman" w:eastAsia="宋体" w:cs="Times New Roman"/>
          <w:kern w:val="2"/>
          <w:sz w:val="24"/>
          <w:szCs w:val="24"/>
          <w:highlight w:val="yellow"/>
          <w:lang w:val="en-US" w:eastAsia="zh-CN" w:bidi="ar-SA"/>
        </w:rPr>
      </w:pPr>
      <w:r>
        <w:rPr>
          <w:rStyle w:val="31"/>
          <w:rFonts w:hint="default" w:ascii="Times New Roman" w:hAnsi="Times New Roman" w:eastAsia="宋体" w:cs="Times New Roman"/>
          <w:kern w:val="2"/>
          <w:sz w:val="24"/>
          <w:szCs w:val="24"/>
          <w:lang w:val="en-US" w:eastAsia="zh-CN" w:bidi="ar-SA"/>
        </w:rPr>
        <w:t xml:space="preserve">1.3 </w:t>
      </w:r>
      <w:r>
        <w:rPr>
          <w:rFonts w:hint="default" w:ascii="宋体" w:hAnsi="宋体" w:cs="宋体"/>
          <w:lang w:val="en-US" w:eastAsia="zh-CN"/>
        </w:rPr>
        <w:t>工程采取EPC总承包模式</w:t>
      </w:r>
      <w:r>
        <w:rPr>
          <w:rFonts w:hint="eastAsia" w:ascii="宋体" w:hAnsi="宋体" w:cs="宋体"/>
          <w:lang w:val="en-US" w:eastAsia="zh-CN"/>
        </w:rPr>
        <w:t>，</w:t>
      </w:r>
      <w:r>
        <w:rPr>
          <w:rFonts w:hint="default" w:ascii="宋体" w:hAnsi="宋体" w:cs="宋体"/>
          <w:lang w:val="en-US" w:eastAsia="zh-CN"/>
        </w:rPr>
        <w:t>包括设计、制造（含现场制作）、设备及材料供应、运输、储存、安装、工程施工、调试、技术服务、性能考核、售后服务和最终交付等所有工作。</w:t>
      </w:r>
    </w:p>
    <w:p>
      <w:pPr>
        <w:keepNext w:val="0"/>
        <w:keepLines w:val="0"/>
        <w:pageBreakBefore w:val="0"/>
        <w:widowControl w:val="0"/>
        <w:kinsoku/>
        <w:wordWrap/>
        <w:overflowPunct/>
        <w:topLinePunct w:val="0"/>
        <w:autoSpaceDE/>
        <w:autoSpaceDN/>
        <w:bidi w:val="0"/>
        <w:snapToGrid/>
        <w:spacing w:before="120" w:beforeLines="50" w:line="360" w:lineRule="auto"/>
        <w:rPr>
          <w:rStyle w:val="31"/>
          <w:rFonts w:hint="eastAsia" w:ascii="Times New Roman" w:hAnsi="Times New Roman" w:eastAsia="宋体" w:cs="Times New Roman"/>
          <w:kern w:val="2"/>
          <w:sz w:val="24"/>
          <w:szCs w:val="24"/>
          <w:lang w:val="en-US" w:eastAsia="zh-CN" w:bidi="ar-SA"/>
        </w:rPr>
      </w:pPr>
      <w:r>
        <w:rPr>
          <w:rStyle w:val="31"/>
          <w:rFonts w:hint="default" w:ascii="Times New Roman" w:hAnsi="Times New Roman" w:eastAsia="宋体" w:cs="Times New Roman"/>
          <w:kern w:val="2"/>
          <w:sz w:val="24"/>
          <w:szCs w:val="24"/>
          <w:lang w:val="en-US" w:eastAsia="zh-CN" w:bidi="ar-SA"/>
        </w:rPr>
        <w:t>1.4 如投标方没有以书面形式对本技术规范书的条文提出异议，则发包方可认为投标方完全接受和同意本规范书的要求。如有异议，应书面提出。</w:t>
      </w:r>
    </w:p>
    <w:p>
      <w:pPr>
        <w:keepNext w:val="0"/>
        <w:keepLines w:val="0"/>
        <w:pageBreakBefore w:val="0"/>
        <w:widowControl w:val="0"/>
        <w:kinsoku/>
        <w:wordWrap/>
        <w:overflowPunct/>
        <w:topLinePunct w:val="0"/>
        <w:autoSpaceDE/>
        <w:autoSpaceDN/>
        <w:bidi w:val="0"/>
        <w:snapToGrid/>
        <w:spacing w:before="120" w:beforeLines="50" w:line="360" w:lineRule="auto"/>
        <w:rPr>
          <w:rStyle w:val="31"/>
          <w:rFonts w:hint="eastAsia" w:ascii="Times New Roman" w:hAnsi="Times New Roman" w:eastAsia="宋体" w:cs="Times New Roman"/>
          <w:kern w:val="2"/>
          <w:sz w:val="24"/>
          <w:szCs w:val="24"/>
          <w:lang w:val="en-US" w:eastAsia="zh-CN" w:bidi="ar-SA"/>
        </w:rPr>
      </w:pPr>
      <w:r>
        <w:rPr>
          <w:rStyle w:val="31"/>
          <w:rFonts w:hint="default" w:ascii="Times New Roman" w:hAnsi="Times New Roman" w:eastAsia="宋体" w:cs="Times New Roman"/>
          <w:kern w:val="2"/>
          <w:sz w:val="24"/>
          <w:szCs w:val="24"/>
          <w:lang w:val="en-US" w:eastAsia="zh-CN" w:bidi="ar-SA"/>
        </w:rPr>
        <w:t>1.5 投标方须执行本规范书所列要求、标准，本规范书未提及的内容均应满足或优于现行相关的国家、行业标准。本规范书所使用的标准如遇与投标方所执行的标准发生矛盾时</w:t>
      </w:r>
      <w:r>
        <w:rPr>
          <w:rStyle w:val="31"/>
          <w:rFonts w:hint="eastAsia" w:ascii="Times New Roman" w:hAnsi="Times New Roman" w:eastAsia="宋体" w:cs="Times New Roman"/>
          <w:kern w:val="2"/>
          <w:sz w:val="24"/>
          <w:szCs w:val="24"/>
          <w:lang w:val="en-US" w:eastAsia="zh-CN" w:bidi="ar-SA"/>
        </w:rPr>
        <w:t>，</w:t>
      </w:r>
      <w:r>
        <w:rPr>
          <w:rStyle w:val="31"/>
          <w:rFonts w:hint="default" w:ascii="Times New Roman" w:hAnsi="Times New Roman" w:eastAsia="宋体" w:cs="Times New Roman"/>
          <w:kern w:val="2"/>
          <w:sz w:val="24"/>
          <w:szCs w:val="24"/>
          <w:lang w:val="en-US" w:eastAsia="zh-CN" w:bidi="ar-SA"/>
        </w:rPr>
        <w:t>按较高标准执行。如果本规范书与现行使用的有关国家、行业标准有明显抵触的条文，投标方应及时书面通知招标方进行解决。</w:t>
      </w:r>
    </w:p>
    <w:p>
      <w:pPr>
        <w:keepNext w:val="0"/>
        <w:keepLines w:val="0"/>
        <w:pageBreakBefore w:val="0"/>
        <w:widowControl w:val="0"/>
        <w:kinsoku/>
        <w:wordWrap/>
        <w:overflowPunct/>
        <w:topLinePunct w:val="0"/>
        <w:autoSpaceDE/>
        <w:autoSpaceDN/>
        <w:bidi w:val="0"/>
        <w:snapToGrid/>
        <w:spacing w:before="120" w:beforeLines="50" w:line="360" w:lineRule="auto"/>
        <w:rPr>
          <w:rStyle w:val="31"/>
          <w:rFonts w:hint="eastAsia" w:ascii="Times New Roman" w:hAnsi="Times New Roman" w:eastAsia="宋体" w:cs="Times New Roman"/>
          <w:b/>
          <w:bCs/>
          <w:kern w:val="2"/>
          <w:sz w:val="24"/>
          <w:szCs w:val="24"/>
          <w:lang w:val="en-US" w:eastAsia="zh-CN" w:bidi="ar-SA"/>
        </w:rPr>
      </w:pPr>
      <w:r>
        <w:rPr>
          <w:rStyle w:val="31"/>
          <w:rFonts w:hint="default" w:ascii="Times New Roman" w:hAnsi="Times New Roman" w:eastAsia="宋体" w:cs="Times New Roman"/>
          <w:b/>
          <w:bCs/>
          <w:kern w:val="2"/>
          <w:sz w:val="24"/>
          <w:szCs w:val="24"/>
          <w:lang w:val="en-US" w:eastAsia="zh-CN" w:bidi="ar-SA"/>
        </w:rPr>
        <w:t>1.</w:t>
      </w:r>
      <w:r>
        <w:rPr>
          <w:rStyle w:val="31"/>
          <w:rFonts w:hint="eastAsia" w:cs="Times New Roman"/>
          <w:b/>
          <w:bCs/>
          <w:kern w:val="2"/>
          <w:sz w:val="24"/>
          <w:szCs w:val="24"/>
          <w:lang w:val="en-US" w:eastAsia="zh-CN" w:bidi="ar-SA"/>
        </w:rPr>
        <w:t>6</w:t>
      </w:r>
      <w:r>
        <w:rPr>
          <w:rStyle w:val="31"/>
          <w:rFonts w:hint="eastAsia" w:ascii="Times New Roman" w:hAnsi="Times New Roman" w:eastAsia="宋体" w:cs="Times New Roman"/>
          <w:b/>
          <w:bCs/>
          <w:kern w:val="2"/>
          <w:sz w:val="24"/>
          <w:szCs w:val="24"/>
          <w:lang w:val="en-US" w:eastAsia="zh-CN" w:bidi="ar-SA"/>
        </w:rPr>
        <w:t>投标方技术文件中应包含详细改造方案C</w:t>
      </w:r>
      <w:r>
        <w:rPr>
          <w:rStyle w:val="31"/>
          <w:rFonts w:hint="default" w:ascii="Times New Roman" w:hAnsi="Times New Roman" w:eastAsia="宋体" w:cs="Times New Roman"/>
          <w:b/>
          <w:bCs/>
          <w:kern w:val="2"/>
          <w:sz w:val="24"/>
          <w:szCs w:val="24"/>
          <w:lang w:val="en-US" w:eastAsia="zh-CN" w:bidi="ar-SA"/>
        </w:rPr>
        <w:t>FD</w:t>
      </w:r>
      <w:r>
        <w:rPr>
          <w:rStyle w:val="31"/>
          <w:rFonts w:hint="eastAsia" w:ascii="Times New Roman" w:hAnsi="Times New Roman" w:eastAsia="宋体" w:cs="Times New Roman"/>
          <w:b/>
          <w:bCs/>
          <w:kern w:val="2"/>
          <w:sz w:val="24"/>
          <w:szCs w:val="24"/>
          <w:lang w:val="en-US" w:eastAsia="zh-CN" w:bidi="ar-SA"/>
        </w:rPr>
        <w:t>模拟计算报告，分析改造方案可行性，否则招标方有权否定其投标文件。</w:t>
      </w:r>
    </w:p>
    <w:p>
      <w:pPr>
        <w:keepNext w:val="0"/>
        <w:keepLines w:val="0"/>
        <w:pageBreakBefore w:val="0"/>
        <w:widowControl w:val="0"/>
        <w:kinsoku/>
        <w:wordWrap/>
        <w:overflowPunct/>
        <w:topLinePunct w:val="0"/>
        <w:autoSpaceDE/>
        <w:autoSpaceDN/>
        <w:bidi w:val="0"/>
        <w:snapToGrid/>
        <w:spacing w:before="120" w:beforeLines="50" w:line="360" w:lineRule="auto"/>
        <w:rPr>
          <w:rStyle w:val="31"/>
          <w:rFonts w:hint="eastAsia" w:ascii="Times New Roman" w:hAnsi="Times New Roman" w:eastAsia="宋体" w:cs="Times New Roman"/>
          <w:kern w:val="2"/>
          <w:sz w:val="24"/>
          <w:szCs w:val="24"/>
          <w:lang w:val="en-US" w:eastAsia="zh-CN" w:bidi="ar-SA"/>
        </w:rPr>
      </w:pPr>
      <w:r>
        <w:rPr>
          <w:rStyle w:val="31"/>
          <w:rFonts w:hint="default" w:ascii="Times New Roman" w:hAnsi="Times New Roman" w:eastAsia="宋体" w:cs="Times New Roman"/>
          <w:kern w:val="2"/>
          <w:sz w:val="24"/>
          <w:szCs w:val="24"/>
          <w:lang w:val="en-US" w:eastAsia="zh-CN" w:bidi="ar-SA"/>
        </w:rPr>
        <w:t>1.</w:t>
      </w:r>
      <w:r>
        <w:rPr>
          <w:rStyle w:val="31"/>
          <w:rFonts w:hint="eastAsia" w:cs="Times New Roman"/>
          <w:kern w:val="2"/>
          <w:sz w:val="24"/>
          <w:szCs w:val="24"/>
          <w:lang w:val="en-US" w:eastAsia="zh-CN" w:bidi="ar-SA"/>
        </w:rPr>
        <w:t>7</w:t>
      </w:r>
      <w:r>
        <w:rPr>
          <w:rStyle w:val="31"/>
          <w:rFonts w:hint="default" w:ascii="Times New Roman" w:hAnsi="Times New Roman" w:eastAsia="宋体" w:cs="Times New Roman"/>
          <w:kern w:val="2"/>
          <w:sz w:val="24"/>
          <w:szCs w:val="24"/>
          <w:lang w:val="en-US" w:eastAsia="zh-CN" w:bidi="ar-SA"/>
        </w:rPr>
        <w:t xml:space="preserve"> </w:t>
      </w:r>
      <w:r>
        <w:rPr>
          <w:rStyle w:val="31"/>
          <w:rFonts w:hint="eastAsia" w:ascii="Times New Roman" w:hAnsi="Times New Roman" w:eastAsia="宋体" w:cs="Times New Roman"/>
          <w:kern w:val="2"/>
          <w:sz w:val="24"/>
          <w:szCs w:val="24"/>
          <w:lang w:val="en-US" w:eastAsia="zh-CN" w:bidi="ar-SA"/>
        </w:rPr>
        <w:t>本工程的验收数据以改造后性能考核试验数据为准，未进行改造的机组实测数据或改造前的摸底数据作为改造前的比较基准，二者作为性能验收的依据。</w:t>
      </w:r>
    </w:p>
    <w:p>
      <w:pPr>
        <w:spacing w:line="500" w:lineRule="exact"/>
        <w:rPr>
          <w:rFonts w:hint="eastAsia" w:ascii="宋体" w:hAnsi="宋体" w:cs="Arial"/>
        </w:rPr>
      </w:pPr>
    </w:p>
    <w:p>
      <w:pPr>
        <w:pStyle w:val="6"/>
        <w:numPr>
          <w:ilvl w:val="0"/>
          <w:numId w:val="0"/>
        </w:numPr>
        <w:ind w:leftChars="0"/>
        <w:rPr>
          <w:rFonts w:ascii="Times New Roman"/>
        </w:rPr>
      </w:pPr>
      <w:bookmarkStart w:id="11" w:name="_Toc170462600"/>
      <w:bookmarkStart w:id="12" w:name="_Toc96238075"/>
      <w:bookmarkStart w:id="13" w:name="_Toc170270574"/>
      <w:r>
        <w:rPr>
          <w:rFonts w:hint="eastAsia" w:ascii="Times New Roman"/>
          <w:lang w:val="en-US" w:eastAsia="zh-CN"/>
        </w:rPr>
        <w:t>2</w:t>
      </w:r>
      <w:r>
        <w:rPr>
          <w:rFonts w:ascii="Times New Roman"/>
        </w:rPr>
        <w:t>工程概况</w:t>
      </w:r>
    </w:p>
    <w:p>
      <w:pPr>
        <w:pStyle w:val="66"/>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before="120" w:beforeLines="50" w:line="360" w:lineRule="auto"/>
        <w:ind w:leftChars="0"/>
        <w:jc w:val="left"/>
        <w:textAlignment w:val="auto"/>
        <w:outlineLvl w:val="1"/>
        <w:rPr>
          <w:rFonts w:hint="eastAsia" w:asciiTheme="minorEastAsia" w:hAnsiTheme="minorEastAsia" w:eastAsiaTheme="minorEastAsia" w:cstheme="minorEastAsia"/>
          <w:color w:val="000000"/>
          <w:sz w:val="24"/>
          <w:szCs w:val="24"/>
        </w:rPr>
      </w:pPr>
      <w:bookmarkStart w:id="14" w:name="_Toc532771569"/>
      <w:bookmarkStart w:id="15" w:name="_Toc21683366"/>
      <w:bookmarkStart w:id="16" w:name="_Toc534754028"/>
      <w:r>
        <w:rPr>
          <w:rFonts w:hint="eastAsia" w:asciiTheme="minorEastAsia" w:hAnsiTheme="minorEastAsia" w:eastAsiaTheme="minorEastAsia" w:cstheme="minorEastAsia"/>
          <w:color w:val="000000"/>
          <w:sz w:val="24"/>
          <w:szCs w:val="24"/>
          <w:lang w:val="en-US" w:eastAsia="zh-CN"/>
        </w:rPr>
        <w:t>2.1</w:t>
      </w:r>
      <w:r>
        <w:rPr>
          <w:rFonts w:hint="eastAsia" w:asciiTheme="minorEastAsia" w:hAnsiTheme="minorEastAsia" w:eastAsiaTheme="minorEastAsia" w:cstheme="minorEastAsia"/>
          <w:color w:val="000000"/>
          <w:sz w:val="24"/>
          <w:szCs w:val="24"/>
        </w:rPr>
        <w:t>概述：</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本工程为浙江浙能台州发电有限责任公司9号锅炉</w:t>
      </w:r>
      <w:r>
        <w:rPr>
          <w:rStyle w:val="31"/>
          <w:rFonts w:hint="default" w:ascii="Times New Roman" w:hAnsi="Times New Roman" w:eastAsia="宋体" w:cs="Times New Roman"/>
          <w:color w:val="auto"/>
          <w:sz w:val="24"/>
          <w:szCs w:val="24"/>
        </w:rPr>
        <w:t>空预器出口</w:t>
      </w:r>
      <w:r>
        <w:rPr>
          <w:rStyle w:val="31"/>
          <w:rFonts w:hint="default" w:ascii="Times New Roman" w:hAnsi="Times New Roman" w:cs="Times New Roman"/>
          <w:color w:val="auto"/>
        </w:rPr>
        <w:t>至</w:t>
      </w:r>
      <w:r>
        <w:rPr>
          <w:rStyle w:val="31"/>
          <w:rFonts w:hint="eastAsia" w:cs="Times New Roman"/>
          <w:color w:val="auto"/>
          <w:lang w:val="en-US" w:eastAsia="zh-CN"/>
        </w:rPr>
        <w:t>烟囱</w:t>
      </w:r>
      <w:r>
        <w:rPr>
          <w:rStyle w:val="31"/>
          <w:rFonts w:hint="default" w:ascii="Times New Roman" w:hAnsi="Times New Roman" w:cs="Times New Roman"/>
          <w:color w:val="auto"/>
        </w:rPr>
        <w:t>入口烟道流场优化改造</w:t>
      </w:r>
      <w:r>
        <w:rPr>
          <w:rFonts w:hint="eastAsia" w:ascii="宋体" w:hAnsi="宋体" w:cs="宋体"/>
        </w:rPr>
        <w:t>（EPC）采购</w:t>
      </w:r>
      <w:r>
        <w:rPr>
          <w:rStyle w:val="31"/>
          <w:rFonts w:hint="default" w:ascii="Times New Roman" w:hAnsi="Times New Roman" w:eastAsia="宋体" w:cs="Times New Roman"/>
          <w:color w:val="auto"/>
          <w:sz w:val="24"/>
          <w:szCs w:val="24"/>
        </w:rPr>
        <w:t>项目</w:t>
      </w:r>
      <w:r>
        <w:rPr>
          <w:rFonts w:hint="eastAsia" w:asciiTheme="minorEastAsia" w:hAnsiTheme="minorEastAsia" w:eastAsiaTheme="minorEastAsia" w:cstheme="minorEastAsia"/>
          <w:sz w:val="24"/>
          <w:szCs w:val="24"/>
        </w:rPr>
        <w:t>。</w:t>
      </w:r>
    </w:p>
    <w:p>
      <w:pPr>
        <w:pStyle w:val="66"/>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before="120" w:beforeLines="50" w:line="360" w:lineRule="auto"/>
        <w:ind w:leftChars="0"/>
        <w:jc w:val="left"/>
        <w:textAlignment w:val="auto"/>
        <w:outlineLvl w:val="1"/>
        <w:rPr>
          <w:rFonts w:hint="eastAsia" w:asciiTheme="minorEastAsia" w:hAnsiTheme="minorEastAsia" w:eastAsiaTheme="minorEastAsia" w:cstheme="minorEastAsia"/>
          <w:color w:val="000000"/>
          <w:sz w:val="24"/>
          <w:szCs w:val="24"/>
        </w:rPr>
      </w:pPr>
      <w:bookmarkStart w:id="17" w:name="_Toc534754029"/>
      <w:bookmarkStart w:id="18" w:name="_Toc532771570"/>
      <w:bookmarkStart w:id="19" w:name="_Toc21683367"/>
      <w:r>
        <w:rPr>
          <w:rFonts w:hint="eastAsia" w:asciiTheme="minorEastAsia" w:hAnsiTheme="minorEastAsia" w:eastAsiaTheme="minorEastAsia" w:cstheme="minorEastAsia"/>
          <w:color w:val="000000"/>
          <w:sz w:val="24"/>
          <w:szCs w:val="24"/>
          <w:lang w:val="en-US" w:eastAsia="zh-CN"/>
        </w:rPr>
        <w:t>2.2</w:t>
      </w:r>
      <w:r>
        <w:rPr>
          <w:rFonts w:hint="eastAsia" w:asciiTheme="minorEastAsia" w:hAnsiTheme="minorEastAsia" w:eastAsiaTheme="minorEastAsia" w:cstheme="minorEastAsia"/>
          <w:color w:val="000000"/>
          <w:sz w:val="24"/>
          <w:szCs w:val="24"/>
        </w:rPr>
        <w:t>设备</w:t>
      </w:r>
      <w:bookmarkEnd w:id="17"/>
      <w:bookmarkEnd w:id="18"/>
      <w:r>
        <w:rPr>
          <w:rFonts w:hint="eastAsia" w:asciiTheme="minorEastAsia" w:hAnsiTheme="minorEastAsia" w:eastAsiaTheme="minorEastAsia" w:cstheme="minorEastAsia"/>
          <w:color w:val="000000"/>
          <w:sz w:val="24"/>
          <w:szCs w:val="24"/>
        </w:rPr>
        <w:t>参数</w:t>
      </w:r>
      <w:bookmarkEnd w:id="19"/>
    </w:p>
    <w:p>
      <w:pPr>
        <w:keepNext w:val="0"/>
        <w:keepLines w:val="0"/>
        <w:pageBreakBefore w:val="0"/>
        <w:widowControl w:val="0"/>
        <w:kinsoku/>
        <w:wordWrap/>
        <w:overflowPunct/>
        <w:topLinePunct w:val="0"/>
        <w:autoSpaceDE/>
        <w:autoSpaceDN/>
        <w:bidi w:val="0"/>
        <w:adjustRightInd/>
        <w:snapToGrid/>
        <w:spacing w:before="120" w:beforeLines="50" w:line="360" w:lineRule="auto"/>
        <w:ind w:firstLine="480" w:firstLine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浙江浙能电力股份有限公司台州发电厂10号锅炉配置了330MW亚临界锅炉。锅炉是由哈尔滨锅炉厂有限责任公司根据美国ABB—CE燃烧工程公司技术设计制造的。锅炉型号增容后为HG-1086.9/17.55-YM15，配由东方汽轮机厂设计制造的300MW汽轮发电机组的亚临界压力，一次中间再热、控制循环汽包锅炉，采用平衡通风、摆动式直流燃烧器、四角切圆燃烧方式、固态排渣，单炉膛∏型、全悬吊式结构，向下作自由膨胀。制粉系统采用HP863中速磨煤机，一次风正压直吹式系统。每台炉配5台HP863中速磨，每台磨供一层共4只燃烧器，在BMCR工况时，运行4台磨煤机，1台备用。台州发电厂10号机组于2008年4月投运。为降低机组污染物排放水平，锅炉相继进行了低氮燃烧器改造、增容改造、脱硝改造、超低排放改造。</w:t>
      </w:r>
    </w:p>
    <w:p>
      <w:pPr>
        <w:pStyle w:val="6"/>
        <w:rPr>
          <w:rFonts w:ascii="Times New Roman"/>
          <w:spacing w:val="5"/>
          <w:sz w:val="24"/>
          <w:szCs w:val="24"/>
        </w:rPr>
      </w:pPr>
      <w:r>
        <w:rPr>
          <w:rFonts w:hint="eastAsia" w:hAnsi="宋体"/>
          <w:bCs/>
          <w:szCs w:val="28"/>
        </w:rPr>
        <w:t xml:space="preserve">3   </w:t>
      </w:r>
      <w:r>
        <w:rPr>
          <w:rFonts w:ascii="Times New Roman"/>
          <w:szCs w:val="28"/>
        </w:rPr>
        <w:t>设计和运行条件</w:t>
      </w:r>
      <w:r>
        <w:rPr>
          <w:rFonts w:ascii="Times New Roman"/>
          <w:b w:val="0"/>
          <w:bCs/>
          <w:sz w:val="24"/>
          <w:szCs w:val="24"/>
        </w:rPr>
        <w:tab/>
      </w:r>
    </w:p>
    <w:p>
      <w:pPr>
        <w:autoSpaceDE w:val="0"/>
        <w:autoSpaceDN w:val="0"/>
        <w:spacing w:line="500" w:lineRule="exact"/>
        <w:rPr>
          <w:rFonts w:hint="eastAsia" w:ascii="宋体" w:hAnsi="宋体"/>
          <w:spacing w:val="6"/>
        </w:rPr>
      </w:pPr>
      <w:r>
        <w:rPr>
          <w:rFonts w:hint="eastAsia"/>
        </w:rPr>
        <w:t>3</w:t>
      </w:r>
      <w:r>
        <w:t>.</w:t>
      </w:r>
      <w:r>
        <w:rPr>
          <w:rFonts w:hint="eastAsia"/>
        </w:rPr>
        <w:t>1</w:t>
      </w:r>
      <w:r>
        <w:rPr>
          <w:rFonts w:hint="eastAsia" w:ascii="宋体" w:hAnsi="宋体"/>
          <w:spacing w:val="5"/>
        </w:rPr>
        <w:t xml:space="preserve"> </w:t>
      </w:r>
      <w:r>
        <w:rPr>
          <w:rFonts w:hint="eastAsia" w:ascii="宋体" w:hAnsi="宋体"/>
          <w:spacing w:val="6"/>
        </w:rPr>
        <w:t>工程主要原始资料</w:t>
      </w:r>
    </w:p>
    <w:p>
      <w:pPr>
        <w:pStyle w:val="73"/>
        <w:spacing w:line="500" w:lineRule="exact"/>
        <w:ind w:firstLine="480" w:firstLineChars="200"/>
      </w:pPr>
      <w:r>
        <w:rPr>
          <w:rFonts w:hint="eastAsia"/>
        </w:rPr>
        <w:t>厂址附近气象站实测气象资料统计得到各气象要素特征值如下：</w:t>
      </w:r>
    </w:p>
    <w:p>
      <w:pPr>
        <w:pStyle w:val="73"/>
        <w:spacing w:line="500" w:lineRule="exact"/>
        <w:ind w:firstLine="480" w:firstLineChars="200"/>
      </w:pPr>
      <w:r>
        <w:rPr>
          <w:rFonts w:hint="eastAsia"/>
        </w:rPr>
        <w:t>多年平均气压</w:t>
      </w:r>
      <w:r>
        <w:t xml:space="preserve">       1015.7 hPa</w:t>
      </w:r>
    </w:p>
    <w:p>
      <w:pPr>
        <w:pStyle w:val="73"/>
        <w:spacing w:line="500" w:lineRule="exact"/>
        <w:ind w:firstLine="480" w:firstLineChars="200"/>
      </w:pPr>
      <w:r>
        <w:rPr>
          <w:rFonts w:hint="eastAsia"/>
        </w:rPr>
        <w:t>多年平均气温</w:t>
      </w:r>
      <w:r>
        <w:t xml:space="preserve">       16.9℃</w:t>
      </w:r>
    </w:p>
    <w:p>
      <w:pPr>
        <w:pStyle w:val="73"/>
        <w:spacing w:line="500" w:lineRule="exact"/>
        <w:ind w:firstLine="480" w:firstLineChars="200"/>
      </w:pPr>
      <w:r>
        <w:rPr>
          <w:rFonts w:hint="eastAsia"/>
        </w:rPr>
        <w:t>最热月平均气温</w:t>
      </w:r>
      <w:r>
        <w:t xml:space="preserve">     27.6℃</w:t>
      </w:r>
    </w:p>
    <w:p>
      <w:pPr>
        <w:pStyle w:val="73"/>
        <w:spacing w:line="500" w:lineRule="exact"/>
        <w:ind w:firstLine="480" w:firstLineChars="200"/>
      </w:pPr>
      <w:r>
        <w:rPr>
          <w:rFonts w:hint="eastAsia"/>
        </w:rPr>
        <w:t>最冷月平均气温</w:t>
      </w:r>
      <w:r>
        <w:t xml:space="preserve">     6.0℃</w:t>
      </w:r>
    </w:p>
    <w:p>
      <w:pPr>
        <w:pStyle w:val="73"/>
        <w:spacing w:line="500" w:lineRule="exact"/>
        <w:ind w:firstLine="480" w:firstLineChars="200"/>
      </w:pPr>
      <w:r>
        <w:rPr>
          <w:rFonts w:hint="eastAsia"/>
        </w:rPr>
        <w:t>极端最高气温</w:t>
      </w:r>
      <w:r>
        <w:t xml:space="preserve">       38.1℃</w:t>
      </w:r>
    </w:p>
    <w:p>
      <w:pPr>
        <w:pStyle w:val="73"/>
        <w:spacing w:line="500" w:lineRule="exact"/>
        <w:ind w:firstLine="480" w:firstLineChars="200"/>
      </w:pPr>
      <w:r>
        <w:rPr>
          <w:rFonts w:hint="eastAsia"/>
        </w:rPr>
        <w:t>极端最低气温</w:t>
      </w:r>
      <w:r>
        <w:t xml:space="preserve">       -6.8℃ </w:t>
      </w:r>
    </w:p>
    <w:p>
      <w:pPr>
        <w:pStyle w:val="73"/>
        <w:spacing w:line="500" w:lineRule="exact"/>
        <w:ind w:firstLine="480" w:firstLineChars="200"/>
      </w:pPr>
      <w:r>
        <w:rPr>
          <w:rFonts w:hint="eastAsia"/>
        </w:rPr>
        <w:t>多年平均水汽压</w:t>
      </w:r>
      <w:r>
        <w:t xml:space="preserve">     18.0 hPa</w:t>
      </w:r>
    </w:p>
    <w:p>
      <w:pPr>
        <w:pStyle w:val="73"/>
        <w:spacing w:line="500" w:lineRule="exact"/>
        <w:ind w:firstLine="480" w:firstLineChars="200"/>
      </w:pPr>
      <w:r>
        <w:rPr>
          <w:rFonts w:hint="eastAsia"/>
        </w:rPr>
        <w:t>历年最大水汽压</w:t>
      </w:r>
      <w:r>
        <w:t xml:space="preserve">     41.0 hPa</w:t>
      </w:r>
    </w:p>
    <w:p>
      <w:pPr>
        <w:pStyle w:val="73"/>
        <w:spacing w:line="500" w:lineRule="exact"/>
        <w:ind w:firstLine="480" w:firstLineChars="200"/>
      </w:pPr>
      <w:r>
        <w:rPr>
          <w:rFonts w:hint="eastAsia"/>
        </w:rPr>
        <w:t>历年最小水汽压</w:t>
      </w:r>
      <w:r>
        <w:t xml:space="preserve">     1.2hPa</w:t>
      </w:r>
    </w:p>
    <w:p>
      <w:pPr>
        <w:pStyle w:val="73"/>
        <w:spacing w:line="500" w:lineRule="exact"/>
        <w:ind w:firstLine="480" w:firstLineChars="200"/>
      </w:pPr>
      <w:r>
        <w:rPr>
          <w:rFonts w:hint="eastAsia"/>
        </w:rPr>
        <w:t>多年平均相对湿度</w:t>
      </w:r>
      <w:r>
        <w:t xml:space="preserve">   82%</w:t>
      </w:r>
    </w:p>
    <w:p>
      <w:pPr>
        <w:pStyle w:val="73"/>
        <w:spacing w:line="500" w:lineRule="exact"/>
        <w:ind w:firstLine="480" w:firstLineChars="200"/>
      </w:pPr>
      <w:r>
        <w:rPr>
          <w:rFonts w:hint="eastAsia"/>
        </w:rPr>
        <w:t>历年最小相对湿度</w:t>
      </w:r>
      <w:r>
        <w:t xml:space="preserve">   10 %    </w:t>
      </w:r>
    </w:p>
    <w:p>
      <w:pPr>
        <w:pStyle w:val="73"/>
        <w:spacing w:line="500" w:lineRule="exact"/>
        <w:ind w:firstLine="480" w:firstLineChars="200"/>
      </w:pPr>
      <w:r>
        <w:rPr>
          <w:rFonts w:hint="eastAsia"/>
        </w:rPr>
        <w:t>多年平均降水量</w:t>
      </w:r>
      <w:r>
        <w:t xml:space="preserve">     1467.2mm</w:t>
      </w:r>
    </w:p>
    <w:p>
      <w:pPr>
        <w:pStyle w:val="73"/>
        <w:spacing w:line="500" w:lineRule="exact"/>
        <w:ind w:firstLine="480" w:firstLineChars="200"/>
      </w:pPr>
      <w:r>
        <w:rPr>
          <w:rFonts w:hint="eastAsia"/>
        </w:rPr>
        <w:t>历年最大年降水量</w:t>
      </w:r>
      <w:r>
        <w:t xml:space="preserve">   2375.1mm</w:t>
      </w:r>
    </w:p>
    <w:p>
      <w:pPr>
        <w:pStyle w:val="73"/>
        <w:spacing w:line="500" w:lineRule="exact"/>
        <w:ind w:firstLine="480" w:firstLineChars="200"/>
      </w:pPr>
      <w:r>
        <w:rPr>
          <w:rFonts w:hint="eastAsia"/>
        </w:rPr>
        <w:t>历年最小年降水量</w:t>
      </w:r>
      <w:r>
        <w:t xml:space="preserve">   912.8mm</w:t>
      </w:r>
    </w:p>
    <w:p>
      <w:pPr>
        <w:pStyle w:val="73"/>
        <w:spacing w:line="500" w:lineRule="exact"/>
        <w:ind w:firstLine="480" w:firstLineChars="200"/>
      </w:pPr>
      <w:r>
        <w:rPr>
          <w:rFonts w:hint="eastAsia"/>
        </w:rPr>
        <w:t>历年最大日降水量</w:t>
      </w:r>
      <w:r>
        <w:t xml:space="preserve">   321mm</w:t>
      </w:r>
    </w:p>
    <w:p>
      <w:pPr>
        <w:pStyle w:val="73"/>
        <w:spacing w:line="500" w:lineRule="exact"/>
        <w:ind w:firstLine="480" w:firstLineChars="200"/>
      </w:pPr>
      <w:r>
        <w:rPr>
          <w:rFonts w:hint="eastAsia"/>
        </w:rPr>
        <w:t>历年最大积雪深度</w:t>
      </w:r>
      <w:r>
        <w:t xml:space="preserve">   14cm</w:t>
      </w:r>
    </w:p>
    <w:p>
      <w:pPr>
        <w:pStyle w:val="73"/>
        <w:spacing w:line="500" w:lineRule="exact"/>
        <w:ind w:firstLine="480" w:firstLineChars="200"/>
      </w:pPr>
      <w:r>
        <w:rPr>
          <w:rFonts w:hint="eastAsia"/>
        </w:rPr>
        <w:t>多年平均风速</w:t>
      </w:r>
      <w:r>
        <w:t xml:space="preserve">       2.6 m/s</w:t>
      </w:r>
    </w:p>
    <w:p>
      <w:pPr>
        <w:pStyle w:val="73"/>
        <w:spacing w:line="500" w:lineRule="exact"/>
        <w:ind w:firstLine="480" w:firstLineChars="200"/>
      </w:pPr>
      <w:r>
        <w:rPr>
          <w:rFonts w:hint="eastAsia"/>
        </w:rPr>
        <w:t>历年实测瞬时最大风速</w:t>
      </w:r>
      <w:r>
        <w:t xml:space="preserve">  &gt;40m/s</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spacing w:val="6"/>
        </w:rPr>
      </w:pP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spacing w:val="6"/>
        </w:rPr>
      </w:pPr>
      <w:r>
        <w:rPr>
          <w:rFonts w:hint="eastAsia" w:ascii="宋体" w:hAnsi="宋体"/>
          <w:spacing w:val="6"/>
        </w:rPr>
        <w:t>3</w:t>
      </w:r>
      <w:r>
        <w:rPr>
          <w:rFonts w:ascii="宋体" w:hAnsi="宋体"/>
          <w:spacing w:val="6"/>
        </w:rPr>
        <w:t xml:space="preserve">.2 </w:t>
      </w:r>
      <w:r>
        <w:rPr>
          <w:rFonts w:hint="eastAsia" w:ascii="宋体" w:hAnsi="宋体"/>
          <w:spacing w:val="6"/>
        </w:rPr>
        <w:t>项目背景</w:t>
      </w:r>
    </w:p>
    <w:p>
      <w:pPr>
        <w:keepNext w:val="0"/>
        <w:keepLines w:val="0"/>
        <w:pageBreakBefore w:val="0"/>
        <w:widowControl w:val="0"/>
        <w:kinsoku/>
        <w:wordWrap/>
        <w:overflowPunct/>
        <w:topLinePunct w:val="0"/>
        <w:bidi w:val="0"/>
        <w:adjustRightInd/>
        <w:snapToGrid/>
        <w:spacing w:after="120" w:afterLines="50" w:line="360" w:lineRule="auto"/>
        <w:ind w:firstLine="482"/>
        <w:textAlignment w:val="auto"/>
      </w:pPr>
      <w:r>
        <w:rPr>
          <w:rFonts w:hAnsi="宋体"/>
          <w:color w:val="000000"/>
        </w:rPr>
        <w:t>招标方为330MW</w:t>
      </w:r>
      <w:r>
        <w:rPr>
          <w:rFonts w:hint="eastAsia" w:hAnsi="宋体"/>
          <w:color w:val="000000"/>
        </w:rPr>
        <w:t>亚</w:t>
      </w:r>
      <w:r>
        <w:rPr>
          <w:rFonts w:hAnsi="宋体"/>
          <w:color w:val="000000"/>
        </w:rPr>
        <w:t>临界燃煤发电机组</w:t>
      </w:r>
      <w:r>
        <w:rPr>
          <w:rFonts w:hint="eastAsia" w:hAnsi="宋体"/>
          <w:color w:val="000000"/>
        </w:rPr>
        <w:t>。</w:t>
      </w:r>
      <w:r>
        <w:rPr>
          <w:rFonts w:hint="eastAsia" w:hAnsi="宋体"/>
          <w:color w:val="000000"/>
          <w:lang w:val="en-US" w:eastAsia="zh-CN"/>
        </w:rPr>
        <w:t>9号</w:t>
      </w:r>
      <w:r>
        <w:rPr>
          <w:rFonts w:hint="eastAsia" w:hAnsi="宋体"/>
          <w:color w:val="000000"/>
        </w:rPr>
        <w:t>锅</w:t>
      </w:r>
      <w:r>
        <w:rPr>
          <w:rFonts w:hint="eastAsia"/>
        </w:rPr>
        <w:t>炉空预器出口至</w:t>
      </w:r>
      <w:r>
        <w:rPr>
          <w:rFonts w:hint="eastAsia"/>
          <w:lang w:val="en-US" w:eastAsia="zh-CN"/>
        </w:rPr>
        <w:t>烟囱</w:t>
      </w:r>
      <w:r>
        <w:rPr>
          <w:rFonts w:hint="eastAsia"/>
        </w:rPr>
        <w:t>入口尾部烟道布置结构不太合理，烟道变径、转向烟道比较多，造成机组尾部烟道阻力偏大；并且引风机进、出口布置形式不合理，引风机进出口烟道两侧非对布置，造成引风机进、出口烟气流场条件较差，恶化了引风机运行流场外部环境，进一步恶化引风机运行工况，非常不利于引风机安全经济稳定运行。</w:t>
      </w:r>
    </w:p>
    <w:p>
      <w:pPr>
        <w:keepNext w:val="0"/>
        <w:keepLines w:val="0"/>
        <w:pageBreakBefore w:val="0"/>
        <w:widowControl w:val="0"/>
        <w:kinsoku/>
        <w:wordWrap/>
        <w:overflowPunct/>
        <w:topLinePunct w:val="0"/>
        <w:bidi w:val="0"/>
        <w:adjustRightInd/>
        <w:snapToGrid/>
        <w:spacing w:before="120" w:beforeLines="50" w:line="360" w:lineRule="auto"/>
        <w:ind w:firstLine="480" w:firstLineChars="200"/>
        <w:textAlignment w:val="auto"/>
        <w:rPr>
          <w:rFonts w:hint="eastAsia" w:hAnsi="宋体"/>
          <w:color w:val="000000"/>
        </w:rPr>
      </w:pPr>
      <w:r>
        <w:rPr>
          <w:rFonts w:hint="eastAsia" w:hAnsi="宋体"/>
          <w:color w:val="000000"/>
        </w:rPr>
        <w:t>空预器出口至烟囱入口</w:t>
      </w:r>
      <w:r>
        <w:rPr>
          <w:rFonts w:hAnsi="宋体"/>
          <w:color w:val="000000"/>
        </w:rPr>
        <w:t>烟道布置图如下：</w:t>
      </w:r>
    </w:p>
    <w:p>
      <w:pPr>
        <w:spacing w:before="120" w:beforeLines="50"/>
        <w:jc w:val="center"/>
      </w:pPr>
      <w:r>
        <w:drawing>
          <wp:inline distT="0" distB="0" distL="0" distR="0">
            <wp:extent cx="4775200" cy="3582035"/>
            <wp:effectExtent l="6032" t="0" r="0" b="0"/>
            <wp:docPr id="1026" name="图片 2"/>
            <wp:cNvGraphicFramePr/>
            <a:graphic xmlns:a="http://schemas.openxmlformats.org/drawingml/2006/main">
              <a:graphicData uri="http://schemas.openxmlformats.org/drawingml/2006/picture">
                <pic:pic xmlns:pic="http://schemas.openxmlformats.org/drawingml/2006/picture">
                  <pic:nvPicPr>
                    <pic:cNvPr id="1026" name="图片 2"/>
                    <pic:cNvPicPr/>
                  </pic:nvPicPr>
                  <pic:blipFill>
                    <a:blip r:embed="rId14" cstate="print"/>
                    <a:srcRect/>
                    <a:stretch>
                      <a:fillRect/>
                    </a:stretch>
                  </pic:blipFill>
                  <pic:spPr>
                    <a:xfrm rot="5400000">
                      <a:off x="0" y="0"/>
                      <a:ext cx="4775663" cy="3582035"/>
                    </a:xfrm>
                    <a:prstGeom prst="rect">
                      <a:avLst/>
                    </a:prstGeom>
                    <a:ln>
                      <a:noFill/>
                    </a:ln>
                  </pic:spPr>
                </pic:pic>
              </a:graphicData>
            </a:graphic>
          </wp:inline>
        </w:drawing>
      </w:r>
    </w:p>
    <w:p>
      <w:pPr>
        <w:spacing w:before="120" w:beforeLines="50"/>
        <w:jc w:val="center"/>
        <w:rPr>
          <w:sz w:val="21"/>
          <w:szCs w:val="21"/>
        </w:rPr>
      </w:pPr>
      <w:r>
        <w:rPr>
          <w:rFonts w:hint="eastAsia"/>
          <w:sz w:val="21"/>
          <w:szCs w:val="21"/>
        </w:rPr>
        <w:t>（a）空预器出口至电除尘入口烟道布置图</w:t>
      </w:r>
    </w:p>
    <w:p>
      <w:pPr>
        <w:spacing w:before="120" w:beforeLines="50"/>
        <w:jc w:val="center"/>
      </w:pPr>
      <w:r>
        <w:drawing>
          <wp:inline distT="0" distB="0" distL="0" distR="0">
            <wp:extent cx="4224655" cy="3168650"/>
            <wp:effectExtent l="0" t="5397" r="0" b="0"/>
            <wp:docPr id="1027" name="图片 3"/>
            <wp:cNvGraphicFramePr/>
            <a:graphic xmlns:a="http://schemas.openxmlformats.org/drawingml/2006/main">
              <a:graphicData uri="http://schemas.openxmlformats.org/drawingml/2006/picture">
                <pic:pic xmlns:pic="http://schemas.openxmlformats.org/drawingml/2006/picture">
                  <pic:nvPicPr>
                    <pic:cNvPr id="1027" name="图片 3"/>
                    <pic:cNvPicPr/>
                  </pic:nvPicPr>
                  <pic:blipFill>
                    <a:blip r:embed="rId15" cstate="print"/>
                    <a:srcRect/>
                    <a:stretch>
                      <a:fillRect/>
                    </a:stretch>
                  </pic:blipFill>
                  <pic:spPr>
                    <a:xfrm rot="5400000">
                      <a:off x="0" y="0"/>
                      <a:ext cx="4224726" cy="3168799"/>
                    </a:xfrm>
                    <a:prstGeom prst="rect">
                      <a:avLst/>
                    </a:prstGeom>
                    <a:ln>
                      <a:noFill/>
                    </a:ln>
                  </pic:spPr>
                </pic:pic>
              </a:graphicData>
            </a:graphic>
          </wp:inline>
        </w:drawing>
      </w:r>
    </w:p>
    <w:p>
      <w:pPr>
        <w:spacing w:before="120" w:beforeLines="50"/>
        <w:jc w:val="center"/>
        <w:rPr>
          <w:sz w:val="21"/>
          <w:szCs w:val="21"/>
        </w:rPr>
      </w:pPr>
      <w:r>
        <w:rPr>
          <w:rFonts w:hint="eastAsia"/>
          <w:sz w:val="21"/>
          <w:szCs w:val="21"/>
        </w:rPr>
        <w:t>（b）电除尘出口至引风机入口烟道布置图</w:t>
      </w:r>
    </w:p>
    <w:p>
      <w:pPr>
        <w:spacing w:before="120" w:beforeLines="50"/>
        <w:jc w:val="center"/>
      </w:pPr>
      <w:r>
        <w:drawing>
          <wp:inline distT="0" distB="0" distL="0" distR="0">
            <wp:extent cx="5149850" cy="3862070"/>
            <wp:effectExtent l="0" t="0" r="0" b="5080"/>
            <wp:docPr id="1028" name="图片 4"/>
            <wp:cNvGraphicFramePr/>
            <a:graphic xmlns:a="http://schemas.openxmlformats.org/drawingml/2006/main">
              <a:graphicData uri="http://schemas.openxmlformats.org/drawingml/2006/picture">
                <pic:pic xmlns:pic="http://schemas.openxmlformats.org/drawingml/2006/picture">
                  <pic:nvPicPr>
                    <pic:cNvPr id="1028" name="图片 4"/>
                    <pic:cNvPicPr/>
                  </pic:nvPicPr>
                  <pic:blipFill>
                    <a:blip r:embed="rId16" cstate="print"/>
                    <a:srcRect/>
                    <a:stretch>
                      <a:fillRect/>
                    </a:stretch>
                  </pic:blipFill>
                  <pic:spPr>
                    <a:xfrm>
                      <a:off x="0" y="0"/>
                      <a:ext cx="5149850" cy="3862698"/>
                    </a:xfrm>
                    <a:prstGeom prst="rect">
                      <a:avLst/>
                    </a:prstGeom>
                    <a:ln>
                      <a:noFill/>
                    </a:ln>
                  </pic:spPr>
                </pic:pic>
              </a:graphicData>
            </a:graphic>
          </wp:inline>
        </w:drawing>
      </w:r>
    </w:p>
    <w:p>
      <w:pPr>
        <w:spacing w:before="120" w:beforeLines="50"/>
        <w:jc w:val="center"/>
        <w:rPr>
          <w:sz w:val="21"/>
          <w:szCs w:val="21"/>
        </w:rPr>
      </w:pPr>
      <w:r>
        <w:rPr>
          <w:rFonts w:hint="eastAsia"/>
          <w:sz w:val="21"/>
          <w:szCs w:val="21"/>
        </w:rPr>
        <w:t>（c）引风机出口至吸收塔入口烟道布置图</w:t>
      </w:r>
    </w:p>
    <w:p>
      <w:pPr>
        <w:spacing w:before="120" w:beforeLines="50"/>
        <w:jc w:val="center"/>
      </w:pPr>
      <w:r>
        <w:drawing>
          <wp:inline distT="0" distB="0" distL="0" distR="0">
            <wp:extent cx="4540250" cy="3404870"/>
            <wp:effectExtent l="0" t="0" r="0" b="5080"/>
            <wp:docPr id="1029" name="图片 1"/>
            <wp:cNvGraphicFramePr/>
            <a:graphic xmlns:a="http://schemas.openxmlformats.org/drawingml/2006/main">
              <a:graphicData uri="http://schemas.openxmlformats.org/drawingml/2006/picture">
                <pic:pic xmlns:pic="http://schemas.openxmlformats.org/drawingml/2006/picture">
                  <pic:nvPicPr>
                    <pic:cNvPr id="1029" name="图片 1"/>
                    <pic:cNvPicPr/>
                  </pic:nvPicPr>
                  <pic:blipFill>
                    <a:blip r:embed="rId17" cstate="print"/>
                    <a:srcRect/>
                    <a:stretch>
                      <a:fillRect/>
                    </a:stretch>
                  </pic:blipFill>
                  <pic:spPr>
                    <a:xfrm>
                      <a:off x="0" y="0"/>
                      <a:ext cx="4540250" cy="3405460"/>
                    </a:xfrm>
                    <a:prstGeom prst="rect">
                      <a:avLst/>
                    </a:prstGeom>
                    <a:ln>
                      <a:noFill/>
                    </a:ln>
                  </pic:spPr>
                </pic:pic>
              </a:graphicData>
            </a:graphic>
          </wp:inline>
        </w:drawing>
      </w:r>
    </w:p>
    <w:p>
      <w:pPr>
        <w:spacing w:before="120" w:beforeLines="50"/>
        <w:jc w:val="center"/>
        <w:rPr>
          <w:sz w:val="21"/>
          <w:szCs w:val="21"/>
        </w:rPr>
      </w:pPr>
      <w:r>
        <w:rPr>
          <w:rFonts w:hint="eastAsia"/>
          <w:sz w:val="21"/>
          <w:szCs w:val="21"/>
        </w:rPr>
        <w:t>（d）吸收塔出口至烟囱入口烟道布置图</w:t>
      </w:r>
    </w:p>
    <w:p>
      <w:pPr>
        <w:spacing w:before="120" w:beforeLines="50"/>
        <w:jc w:val="center"/>
      </w:pPr>
      <w:r>
        <w:rPr>
          <w:rFonts w:hint="eastAsia"/>
        </w:rPr>
        <w:t>图3</w:t>
      </w:r>
      <w:r>
        <w:t xml:space="preserve">-1  </w:t>
      </w:r>
      <w:r>
        <w:rPr>
          <w:rFonts w:hint="eastAsia"/>
        </w:rPr>
        <w:t>空预器出口至烟囱入口</w:t>
      </w:r>
      <w:r>
        <w:t>烟道布置图</w:t>
      </w:r>
    </w:p>
    <w:p>
      <w:pPr>
        <w:pStyle w:val="6"/>
        <w:rPr>
          <w:rFonts w:hint="eastAsia" w:hAnsi="宋体"/>
          <w:bCs/>
          <w:szCs w:val="28"/>
        </w:rPr>
      </w:pPr>
      <w:r>
        <w:rPr>
          <w:rFonts w:hint="eastAsia" w:hAnsi="宋体"/>
          <w:bCs/>
          <w:szCs w:val="28"/>
        </w:rPr>
        <w:t>4   技术条件</w:t>
      </w:r>
      <w:bookmarkEnd w:id="11"/>
      <w:bookmarkEnd w:id="12"/>
      <w:bookmarkEnd w:id="13"/>
    </w:p>
    <w:p>
      <w:pPr>
        <w:pageBreakBefore w:val="0"/>
        <w:widowControl w:val="0"/>
        <w:kinsoku/>
        <w:wordWrap/>
        <w:overflowPunct/>
        <w:topLinePunct w:val="0"/>
        <w:autoSpaceDE/>
        <w:autoSpaceDN/>
        <w:bidi w:val="0"/>
        <w:spacing w:line="360" w:lineRule="auto"/>
      </w:pPr>
      <w:r>
        <w:rPr>
          <w:rFonts w:hint="eastAsia" w:ascii="宋体" w:hAnsi="宋体"/>
        </w:rPr>
        <w:t xml:space="preserve">4.1 </w:t>
      </w:r>
      <w:r>
        <w:rPr>
          <w:rFonts w:hint="eastAsia"/>
        </w:rPr>
        <w:t>投标方需现场确认锅炉炉后烟道布置情况，查阅原图纸资料，明确相关技术和工艺要求。设备的设计均应满足国家的有关标准、规范的要求，并充分考虑当地环境条件和使用条件的影响。</w:t>
      </w:r>
    </w:p>
    <w:p>
      <w:pPr>
        <w:pStyle w:val="17"/>
        <w:pageBreakBefore w:val="0"/>
        <w:widowControl w:val="0"/>
        <w:kinsoku/>
        <w:wordWrap/>
        <w:overflowPunct/>
        <w:topLinePunct w:val="0"/>
        <w:autoSpaceDE/>
        <w:autoSpaceDN/>
        <w:bidi w:val="0"/>
        <w:spacing w:line="360" w:lineRule="auto"/>
        <w:rPr>
          <w:rFonts w:ascii="Times New Roman"/>
        </w:rPr>
      </w:pPr>
      <w:r>
        <w:rPr>
          <w:rFonts w:hint="eastAsia" w:ascii="Times New Roman" w:hAnsi="宋体"/>
        </w:rPr>
        <w:t xml:space="preserve">4.2 </w:t>
      </w:r>
      <w:r>
        <w:rPr>
          <w:rFonts w:hint="eastAsia"/>
          <w:szCs w:val="24"/>
        </w:rPr>
        <w:t>投标方</w:t>
      </w:r>
      <w:r>
        <w:rPr>
          <w:rFonts w:ascii="Times New Roman" w:hAnsi="宋体"/>
        </w:rPr>
        <w:t>通过对</w:t>
      </w:r>
      <w:r>
        <w:rPr>
          <w:rFonts w:hint="eastAsia" w:ascii="Times New Roman" w:hAnsi="宋体"/>
        </w:rPr>
        <w:t>锅炉空预器出口</w:t>
      </w:r>
      <w:r>
        <w:rPr>
          <w:rFonts w:ascii="Times New Roman" w:hAnsi="宋体"/>
        </w:rPr>
        <w:t>至</w:t>
      </w:r>
      <w:r>
        <w:rPr>
          <w:rFonts w:hint="eastAsia" w:ascii="Times New Roman" w:hAnsi="宋体"/>
        </w:rPr>
        <w:t>吸收塔</w:t>
      </w:r>
      <w:r>
        <w:rPr>
          <w:rFonts w:ascii="Times New Roman" w:hAnsi="宋体"/>
        </w:rPr>
        <w:t>入口段</w:t>
      </w:r>
      <w:r>
        <w:rPr>
          <w:rFonts w:hint="eastAsia" w:ascii="Times New Roman" w:hAnsi="宋体"/>
        </w:rPr>
        <w:t>烟道</w:t>
      </w:r>
      <w:r>
        <w:rPr>
          <w:rFonts w:ascii="Times New Roman" w:hAnsi="宋体"/>
        </w:rPr>
        <w:t>降阻及流场优化改造，尽可能降低</w:t>
      </w:r>
      <w:r>
        <w:rPr>
          <w:rFonts w:hint="eastAsia" w:ascii="Times New Roman" w:hAnsi="宋体"/>
        </w:rPr>
        <w:t>锅炉尾部烟</w:t>
      </w:r>
      <w:r>
        <w:rPr>
          <w:rFonts w:ascii="Times New Roman" w:hAnsi="宋体"/>
        </w:rPr>
        <w:t>道系统阻力，并</w:t>
      </w:r>
      <w:r>
        <w:rPr>
          <w:rFonts w:hint="eastAsia" w:ascii="Times New Roman" w:hAnsi="宋体"/>
        </w:rPr>
        <w:t>有效改善</w:t>
      </w:r>
      <w:r>
        <w:rPr>
          <w:rFonts w:hint="eastAsia"/>
        </w:rPr>
        <w:t>引风机进出口烟道流场条件，改善引风机所处流场环境，提升引风机出力，达到节能提效的目的。</w:t>
      </w:r>
    </w:p>
    <w:p>
      <w:pPr>
        <w:pStyle w:val="60"/>
        <w:spacing w:before="120" w:after="120"/>
        <w:rPr>
          <w:rFonts w:hint="eastAsia" w:ascii="宋体" w:hAnsi="Courier New"/>
          <w:kern w:val="2"/>
          <w:szCs w:val="20"/>
        </w:rPr>
      </w:pPr>
      <w:r>
        <w:rPr>
          <w:rFonts w:hint="eastAsia"/>
        </w:rPr>
        <w:t>4.3 投标方设计方案的技术路</w:t>
      </w:r>
      <w:r>
        <w:rPr>
          <w:rFonts w:hint="eastAsia" w:ascii="宋体" w:hAnsi="Courier New"/>
          <w:kern w:val="2"/>
          <w:szCs w:val="20"/>
        </w:rPr>
        <w:t>线，一般选用综合</w:t>
      </w:r>
      <w:bookmarkStart w:id="20" w:name="OLE_LINK79"/>
      <w:bookmarkStart w:id="21" w:name="OLE_LINK78"/>
      <w:bookmarkStart w:id="22" w:name="OLE_LINK77"/>
      <w:r>
        <w:rPr>
          <w:rFonts w:hint="eastAsia" w:ascii="宋体" w:hAnsi="Courier New"/>
          <w:kern w:val="2"/>
          <w:szCs w:val="20"/>
        </w:rPr>
        <w:t>导流板+烟道局部优化改造+优化板</w:t>
      </w:r>
      <w:bookmarkEnd w:id="20"/>
      <w:bookmarkEnd w:id="21"/>
      <w:bookmarkEnd w:id="22"/>
      <w:r>
        <w:rPr>
          <w:rFonts w:hint="eastAsia" w:ascii="宋体" w:hAnsi="Courier New"/>
          <w:kern w:val="2"/>
          <w:szCs w:val="20"/>
        </w:rPr>
        <w:t>的技术路线，或者其它具备投标条件的可行技术路线。设计必须进行充分的CFD数值模拟优化，以此来优化设计方案，使烟道降阻效果达到最优。</w:t>
      </w:r>
    </w:p>
    <w:p>
      <w:pPr>
        <w:pageBreakBefore w:val="0"/>
        <w:widowControl w:val="0"/>
        <w:kinsoku/>
        <w:wordWrap/>
        <w:overflowPunct/>
        <w:topLinePunct w:val="0"/>
        <w:autoSpaceDE/>
        <w:autoSpaceDN/>
        <w:bidi w:val="0"/>
        <w:spacing w:before="120" w:beforeLines="50" w:after="120" w:afterLines="50" w:line="360" w:lineRule="auto"/>
      </w:pPr>
      <w:bookmarkStart w:id="23" w:name="_Toc270403673"/>
      <w:bookmarkStart w:id="24" w:name="_Toc147043858"/>
      <w:r>
        <w:rPr>
          <w:rFonts w:hint="eastAsia"/>
        </w:rPr>
        <w:t>4.4 投标方</w:t>
      </w:r>
      <w:r>
        <w:t>应根据本技术</w:t>
      </w:r>
      <w:r>
        <w:rPr>
          <w:rFonts w:hint="eastAsia"/>
        </w:rPr>
        <w:t>协议</w:t>
      </w:r>
      <w:r>
        <w:t>要求，提供完整的改造等相关系统的全部设计</w:t>
      </w:r>
      <w:r>
        <w:rPr>
          <w:rFonts w:hint="eastAsia"/>
        </w:rPr>
        <w:t>，</w:t>
      </w:r>
      <w:r>
        <w:t>至少应满足以下总的技术要求：</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1）</w:t>
      </w:r>
      <w:r>
        <w:t>采用先进、成熟、可靠的技术，造价要经济、合理，便于运行维护。</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2）</w:t>
      </w:r>
      <w:r>
        <w:t>所有的设备和材料应是新的和优质的。</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3）</w:t>
      </w:r>
      <w:r>
        <w:t>高的可利用率。</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4）</w:t>
      </w:r>
      <w:r>
        <w:t>机械部件及其组件或局部组件应有良好的互换性。</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5）</w:t>
      </w:r>
      <w:r>
        <w:t>确保人员和设备安全。</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6）</w:t>
      </w:r>
      <w:r>
        <w:t>观察、监视、维护简单。</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7）</w:t>
      </w:r>
      <w:r>
        <w:t>运行人员数量最少。</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8）</w:t>
      </w:r>
      <w:r>
        <w:t>节省能源、水和原材料。</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lang w:val="en-US" w:eastAsia="zh-CN"/>
        </w:rPr>
        <w:t>9</w:t>
      </w:r>
      <w:r>
        <w:rPr>
          <w:rFonts w:hint="eastAsia"/>
        </w:rPr>
        <w:t>）</w:t>
      </w:r>
      <w:r>
        <w:t>在设计上要留有足够的通道，包括施工、检修需要的吊装及运输通道。</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1</w:t>
      </w:r>
      <w:r>
        <w:rPr>
          <w:rFonts w:hint="eastAsia"/>
          <w:lang w:val="en-US" w:eastAsia="zh-CN"/>
        </w:rPr>
        <w:t>0</w:t>
      </w:r>
      <w:r>
        <w:rPr>
          <w:rFonts w:hint="eastAsia"/>
        </w:rPr>
        <w:t>）</w:t>
      </w:r>
      <w:r>
        <w:t>根据现有条件考虑合理的检修起吊设计和供货。</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1</w:t>
      </w:r>
      <w:r>
        <w:rPr>
          <w:rFonts w:hint="eastAsia"/>
          <w:lang w:val="en-US" w:eastAsia="zh-CN"/>
        </w:rPr>
        <w:t>1</w:t>
      </w:r>
      <w:r>
        <w:rPr>
          <w:rFonts w:hint="eastAsia"/>
        </w:rPr>
        <w:t>）</w:t>
      </w:r>
      <w:r>
        <w:t>对于容易损耗、磨损或出现故障并因此影响装置运行性能的所有设备，即使设有备用件，也应设计成易于更换、检修和维护。</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1</w:t>
      </w:r>
      <w:r>
        <w:rPr>
          <w:rFonts w:hint="eastAsia"/>
          <w:lang w:val="en-US" w:eastAsia="zh-CN"/>
        </w:rPr>
        <w:t>2</w:t>
      </w:r>
      <w:r>
        <w:rPr>
          <w:rFonts w:hint="eastAsia"/>
        </w:rPr>
        <w:t>）</w:t>
      </w:r>
      <w:r>
        <w:t>所有设备和管道，包括</w:t>
      </w:r>
      <w:r>
        <w:rPr>
          <w:rFonts w:hint="eastAsia"/>
        </w:rPr>
        <w:t>风</w:t>
      </w:r>
      <w:r>
        <w:t>道、膨胀节等在设计时必须考虑设备和管道发生故障时能承受最大的温度热应力和机械应力。</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1</w:t>
      </w:r>
      <w:r>
        <w:rPr>
          <w:rFonts w:hint="eastAsia"/>
          <w:lang w:val="en-US" w:eastAsia="zh-CN"/>
        </w:rPr>
        <w:t>3</w:t>
      </w:r>
      <w:r>
        <w:rPr>
          <w:rFonts w:hint="eastAsia"/>
        </w:rPr>
        <w:t>）</w:t>
      </w:r>
      <w:r>
        <w:t>设计选用的材料必须适应实际运行条件，包括考虑适当的腐蚀、磨损余量，特别是使用两种不同钢材连接时应采取适当的措施, 并征得</w:t>
      </w:r>
      <w:r>
        <w:rPr>
          <w:rFonts w:hint="eastAsia"/>
        </w:rPr>
        <w:t>招标方</w:t>
      </w:r>
      <w:r>
        <w:t>同意。</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1</w:t>
      </w:r>
      <w:r>
        <w:rPr>
          <w:rFonts w:hint="eastAsia"/>
          <w:lang w:val="en-US" w:eastAsia="zh-CN"/>
        </w:rPr>
        <w:t>4</w:t>
      </w:r>
      <w:r>
        <w:rPr>
          <w:rFonts w:hint="eastAsia"/>
        </w:rPr>
        <w:t>）</w:t>
      </w:r>
      <w:r>
        <w:t>所有设备与管道等的布置应考虑系统功能的实现和运行工作的方便。</w:t>
      </w:r>
    </w:p>
    <w:bookmarkEnd w:id="23"/>
    <w:bookmarkEnd w:id="24"/>
    <w:p>
      <w:pPr>
        <w:snapToGrid w:val="0"/>
        <w:spacing w:line="360" w:lineRule="auto"/>
        <w:ind w:firstLine="480" w:firstLineChars="200"/>
        <w:rPr>
          <w:highlight w:val="none"/>
        </w:rPr>
      </w:pPr>
      <w:r>
        <w:rPr>
          <w:rFonts w:hint="eastAsia"/>
        </w:rPr>
        <w:t>1</w:t>
      </w:r>
      <w:r>
        <w:rPr>
          <w:rFonts w:hint="eastAsia"/>
          <w:lang w:val="en-US" w:eastAsia="zh-CN"/>
        </w:rPr>
        <w:t>5</w:t>
      </w:r>
      <w:r>
        <w:rPr>
          <w:rFonts w:hint="eastAsia"/>
        </w:rPr>
        <w:t>）</w:t>
      </w:r>
      <w:r>
        <w:rPr>
          <w:rStyle w:val="31"/>
          <w:rFonts w:hint="default" w:ascii="Times New Roman" w:hAnsi="Times New Roman" w:cs="Times New Roman"/>
          <w:color w:val="auto"/>
        </w:rPr>
        <w:t>投标方供货范围内的烟道及烟道内设备，要求采用Q235A及以上等级材料制作，烟道壁厚不小于5mm，烟道内设备壁厚不小于5m</w:t>
      </w:r>
      <w:r>
        <w:rPr>
          <w:rStyle w:val="31"/>
          <w:rFonts w:hint="default" w:ascii="Times New Roman" w:hAnsi="Times New Roman" w:cs="Times New Roman"/>
          <w:color w:val="auto"/>
          <w:highlight w:val="none"/>
        </w:rPr>
        <w:t>m</w:t>
      </w:r>
      <w:r>
        <w:rPr>
          <w:rStyle w:val="31"/>
          <w:rFonts w:hint="eastAsia" w:cs="Times New Roman"/>
          <w:color w:val="auto"/>
          <w:highlight w:val="none"/>
          <w:lang w:eastAsia="zh-CN"/>
        </w:rPr>
        <w:t>，</w:t>
      </w:r>
      <w:r>
        <w:rPr>
          <w:rStyle w:val="31"/>
          <w:rFonts w:hint="eastAsia" w:cs="Times New Roman"/>
          <w:color w:val="auto"/>
          <w:highlight w:val="none"/>
          <w:lang w:val="en-US" w:eastAsia="zh-CN"/>
        </w:rPr>
        <w:t>其中吸收塔后采用316L材质厚度</w:t>
      </w:r>
      <w:r>
        <w:rPr>
          <w:rStyle w:val="31"/>
          <w:rFonts w:hint="default" w:ascii="Times New Roman" w:hAnsi="Times New Roman" w:cs="Times New Roman"/>
          <w:color w:val="auto"/>
          <w:highlight w:val="none"/>
        </w:rPr>
        <w:t>不小于5mm。</w:t>
      </w:r>
    </w:p>
    <w:p>
      <w:pPr>
        <w:pageBreakBefore w:val="0"/>
        <w:widowControl w:val="0"/>
        <w:kinsoku/>
        <w:wordWrap/>
        <w:overflowPunct/>
        <w:topLinePunct w:val="0"/>
        <w:autoSpaceDE/>
        <w:autoSpaceDN/>
        <w:bidi w:val="0"/>
        <w:snapToGrid w:val="0"/>
        <w:spacing w:line="360" w:lineRule="auto"/>
        <w:ind w:firstLine="480" w:firstLineChars="200"/>
      </w:pPr>
      <w:r>
        <w:rPr>
          <w:rFonts w:hint="eastAsia"/>
        </w:rPr>
        <w:t>1</w:t>
      </w:r>
      <w:r>
        <w:rPr>
          <w:rFonts w:hint="eastAsia"/>
          <w:lang w:val="en-US" w:eastAsia="zh-CN"/>
        </w:rPr>
        <w:t>6</w:t>
      </w:r>
      <w:r>
        <w:rPr>
          <w:rFonts w:hint="eastAsia"/>
        </w:rPr>
        <w:t xml:space="preserve">） </w:t>
      </w:r>
      <w:r>
        <w:t>应尽量减小所设计烟道和</w:t>
      </w:r>
      <w:r>
        <w:rPr>
          <w:rFonts w:hint="eastAsia"/>
        </w:rPr>
        <w:t>烟</w:t>
      </w:r>
      <w:r>
        <w:t>道系统的压降，其布置、形状和内部件（如导流板和转弯处导向板）等均应进行优化设计。</w:t>
      </w:r>
    </w:p>
    <w:p>
      <w:pPr>
        <w:pageBreakBefore w:val="0"/>
        <w:widowControl w:val="0"/>
        <w:kinsoku/>
        <w:wordWrap/>
        <w:overflowPunct/>
        <w:topLinePunct w:val="0"/>
        <w:autoSpaceDE/>
        <w:autoSpaceDN/>
        <w:bidi w:val="0"/>
        <w:snapToGrid w:val="0"/>
        <w:spacing w:line="360" w:lineRule="auto"/>
        <w:ind w:firstLine="480" w:firstLineChars="200"/>
      </w:pPr>
      <w:r>
        <w:rPr>
          <w:rFonts w:hint="eastAsia"/>
        </w:rPr>
        <w:t>1</w:t>
      </w:r>
      <w:r>
        <w:rPr>
          <w:rFonts w:hint="eastAsia"/>
          <w:lang w:val="en-US" w:eastAsia="zh-CN"/>
        </w:rPr>
        <w:t>7</w:t>
      </w:r>
      <w:r>
        <w:rPr>
          <w:rFonts w:hint="eastAsia"/>
        </w:rPr>
        <w:t>）</w:t>
      </w:r>
      <w:r>
        <w:t>在外削角急转弯头、变截面收缩急转弯头处及</w:t>
      </w:r>
      <w:r>
        <w:rPr>
          <w:rFonts w:hint="eastAsia"/>
        </w:rPr>
        <w:t>投标方</w:t>
      </w:r>
      <w:r>
        <w:t>认为需要的地方或根据投标人提供的其它烟气流动模型研究结果要求的地方，应设置导流装置。</w:t>
      </w:r>
    </w:p>
    <w:p>
      <w:pPr>
        <w:pageBreakBefore w:val="0"/>
        <w:widowControl w:val="0"/>
        <w:kinsoku/>
        <w:wordWrap/>
        <w:overflowPunct/>
        <w:topLinePunct w:val="0"/>
        <w:autoSpaceDE/>
        <w:autoSpaceDN/>
        <w:bidi w:val="0"/>
        <w:snapToGrid w:val="0"/>
        <w:spacing w:line="360" w:lineRule="auto"/>
        <w:ind w:firstLine="480" w:firstLineChars="200"/>
        <w:rPr>
          <w:rFonts w:hint="eastAsia" w:ascii="宋体" w:hAnsi="宋体"/>
        </w:rPr>
      </w:pPr>
      <w:r>
        <w:rPr>
          <w:rFonts w:hint="eastAsia"/>
        </w:rPr>
        <w:t>1</w:t>
      </w:r>
      <w:r>
        <w:rPr>
          <w:rFonts w:hint="eastAsia"/>
          <w:lang w:val="en-US" w:eastAsia="zh-CN"/>
        </w:rPr>
        <w:t>8</w:t>
      </w:r>
      <w:r>
        <w:rPr>
          <w:rFonts w:hint="eastAsia"/>
        </w:rPr>
        <w:t>）投标方</w:t>
      </w:r>
      <w:r>
        <w:t>供货范围内的烟道因热膨胀产生的应力不能传递到锅炉本体，热膨胀应力通过膨胀节消除。</w:t>
      </w:r>
    </w:p>
    <w:p>
      <w:pPr>
        <w:pageBreakBefore w:val="0"/>
        <w:widowControl w:val="0"/>
        <w:kinsoku/>
        <w:wordWrap/>
        <w:overflowPunct/>
        <w:topLinePunct w:val="0"/>
        <w:autoSpaceDE/>
        <w:autoSpaceDN/>
        <w:bidi w:val="0"/>
        <w:spacing w:before="120" w:beforeLines="50" w:after="120" w:afterLines="50" w:line="360" w:lineRule="auto"/>
      </w:pPr>
      <w:r>
        <w:rPr>
          <w:rFonts w:hint="eastAsia"/>
        </w:rPr>
        <w:t>4.5 标准</w:t>
      </w:r>
    </w:p>
    <w:p>
      <w:pPr>
        <w:pageBreakBefore w:val="0"/>
        <w:widowControl w:val="0"/>
        <w:kinsoku/>
        <w:wordWrap/>
        <w:overflowPunct/>
        <w:topLinePunct w:val="0"/>
        <w:autoSpaceDE/>
        <w:autoSpaceDN/>
        <w:bidi w:val="0"/>
        <w:spacing w:line="360" w:lineRule="auto"/>
        <w:ind w:firstLine="480" w:firstLineChars="200"/>
      </w:pPr>
      <w:bookmarkStart w:id="25" w:name="_Toc279415513"/>
      <w:r>
        <w:rPr>
          <w:rFonts w:hint="eastAsia"/>
        </w:rPr>
        <w:t>投标方</w:t>
      </w:r>
      <w:r>
        <w:t>提供的国内规范、规程和标准必须为下列规范、规程和标准的最新版本，但不仅限于此：</w:t>
      </w:r>
      <w:bookmarkEnd w:id="25"/>
    </w:p>
    <w:p>
      <w:pPr>
        <w:pageBreakBefore w:val="0"/>
        <w:widowControl w:val="0"/>
        <w:kinsoku/>
        <w:wordWrap/>
        <w:overflowPunct/>
        <w:topLinePunct w:val="0"/>
        <w:autoSpaceDE/>
        <w:autoSpaceDN/>
        <w:bidi w:val="0"/>
        <w:spacing w:before="120" w:beforeLines="50" w:after="120" w:afterLines="50" w:line="360" w:lineRule="auto"/>
        <w:ind w:firstLine="480" w:firstLineChars="200"/>
      </w:pPr>
      <w:r>
        <w:t>DL</w:t>
      </w:r>
      <w:r>
        <w:rPr>
          <w:rFonts w:hint="eastAsia"/>
        </w:rPr>
        <w:t xml:space="preserve"> </w:t>
      </w:r>
      <w:r>
        <w:t>5000</w:t>
      </w:r>
      <w:r>
        <w:rPr>
          <w:rFonts w:hint="eastAsia"/>
        </w:rPr>
        <w:t xml:space="preserve"> </w:t>
      </w:r>
      <w:r>
        <w:t>《火力发电厂设计技术规程》</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t>DL</w:t>
      </w:r>
      <w:r>
        <w:rPr>
          <w:rFonts w:hint="eastAsia"/>
        </w:rPr>
        <w:t xml:space="preserve"> </w:t>
      </w:r>
      <w:r>
        <w:t>5028</w:t>
      </w:r>
      <w:r>
        <w:rPr>
          <w:rFonts w:hint="eastAsia"/>
        </w:rPr>
        <w:t xml:space="preserve"> </w:t>
      </w:r>
      <w:r>
        <w:t>《电力工程制图标准》</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t>SDGJ</w:t>
      </w:r>
      <w:r>
        <w:rPr>
          <w:rFonts w:hint="eastAsia"/>
        </w:rPr>
        <w:t xml:space="preserve"> </w:t>
      </w:r>
      <w:r>
        <w:t>34</w:t>
      </w:r>
      <w:r>
        <w:rPr>
          <w:rFonts w:hint="eastAsia"/>
        </w:rPr>
        <w:t xml:space="preserve"> </w:t>
      </w:r>
      <w:r>
        <w:t>《电力勘测设计制图统一规定：综合部分（试行）》</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t>DL/T</w:t>
      </w:r>
      <w:r>
        <w:rPr>
          <w:rFonts w:hint="eastAsia"/>
        </w:rPr>
        <w:t xml:space="preserve"> </w:t>
      </w:r>
      <w:r>
        <w:t>5121</w:t>
      </w:r>
      <w:r>
        <w:rPr>
          <w:rFonts w:hint="eastAsia"/>
        </w:rPr>
        <w:t xml:space="preserve"> </w:t>
      </w:r>
      <w:r>
        <w:t>《火力发电厂烟风煤粉管道设计技术规程》</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rPr>
          <w:rFonts w:hint="eastAsia"/>
        </w:rPr>
        <w:t>GB/T 10184 《电站锅炉性能试验规程》</w:t>
      </w:r>
    </w:p>
    <w:p>
      <w:pPr>
        <w:pageBreakBefore w:val="0"/>
        <w:widowControl w:val="0"/>
        <w:kinsoku/>
        <w:wordWrap/>
        <w:overflowPunct/>
        <w:topLinePunct w:val="0"/>
        <w:autoSpaceDE/>
        <w:autoSpaceDN/>
        <w:bidi w:val="0"/>
        <w:spacing w:before="120" w:beforeLines="50" w:after="120" w:afterLines="50" w:line="360" w:lineRule="auto"/>
        <w:ind w:firstLine="480" w:firstLineChars="200"/>
      </w:pPr>
      <w:r>
        <w:t>GB</w:t>
      </w:r>
      <w:r>
        <w:rPr>
          <w:rFonts w:hint="eastAsia"/>
        </w:rPr>
        <w:t xml:space="preserve"> </w:t>
      </w:r>
      <w:r>
        <w:t>50009</w:t>
      </w:r>
      <w:r>
        <w:rPr>
          <w:rFonts w:hint="eastAsia"/>
        </w:rPr>
        <w:t xml:space="preserve"> </w:t>
      </w:r>
      <w:r>
        <w:t>《建筑结构荷载规范》</w:t>
      </w:r>
    </w:p>
    <w:p>
      <w:pPr>
        <w:pageBreakBefore w:val="0"/>
        <w:widowControl w:val="0"/>
        <w:kinsoku/>
        <w:wordWrap/>
        <w:overflowPunct/>
        <w:topLinePunct w:val="0"/>
        <w:autoSpaceDE/>
        <w:autoSpaceDN/>
        <w:bidi w:val="0"/>
        <w:spacing w:line="360" w:lineRule="auto"/>
        <w:ind w:firstLine="480" w:firstLineChars="200"/>
      </w:pPr>
      <w:r>
        <w:t>GB</w:t>
      </w:r>
      <w:r>
        <w:rPr>
          <w:rFonts w:hint="eastAsia"/>
        </w:rPr>
        <w:t xml:space="preserve"> </w:t>
      </w:r>
      <w:r>
        <w:t>50017</w:t>
      </w:r>
      <w:r>
        <w:rPr>
          <w:rFonts w:hint="eastAsia"/>
        </w:rPr>
        <w:t xml:space="preserve"> </w:t>
      </w:r>
      <w:r>
        <w:t>《钢结构设计规范》</w:t>
      </w:r>
    </w:p>
    <w:p>
      <w:pPr>
        <w:pageBreakBefore w:val="0"/>
        <w:widowControl w:val="0"/>
        <w:kinsoku/>
        <w:wordWrap/>
        <w:overflowPunct/>
        <w:topLinePunct w:val="0"/>
        <w:autoSpaceDE/>
        <w:autoSpaceDN/>
        <w:bidi w:val="0"/>
        <w:spacing w:line="360" w:lineRule="auto"/>
        <w:ind w:firstLine="480" w:firstLineChars="200"/>
        <w:rPr>
          <w:rFonts w:hint="eastAsia" w:ascii="宋体" w:hAnsi="宋体"/>
        </w:rPr>
      </w:pPr>
      <w:r>
        <w:rPr>
          <w:rFonts w:hint="eastAsia" w:ascii="宋体" w:hAnsi="宋体"/>
        </w:rPr>
        <w:t>投标方</w:t>
      </w:r>
      <w:r>
        <w:rPr>
          <w:rFonts w:ascii="宋体" w:hAnsi="宋体"/>
        </w:rPr>
        <w:t>须提出合同设备的设计、制造、检验/试验、装配、安装、调试、试运、验收、试验、运行和维护等标准清单给</w:t>
      </w:r>
      <w:r>
        <w:rPr>
          <w:rFonts w:hint="eastAsia" w:ascii="宋体" w:hAnsi="宋体"/>
        </w:rPr>
        <w:t>招标方</w:t>
      </w:r>
      <w:r>
        <w:rPr>
          <w:rFonts w:ascii="宋体" w:hAnsi="宋体"/>
        </w:rPr>
        <w:t>，供</w:t>
      </w:r>
      <w:r>
        <w:rPr>
          <w:rFonts w:hint="eastAsia" w:ascii="宋体" w:hAnsi="宋体"/>
        </w:rPr>
        <w:t>招标方</w:t>
      </w:r>
      <w:r>
        <w:rPr>
          <w:rFonts w:ascii="宋体" w:hAnsi="宋体"/>
        </w:rPr>
        <w:t>确认</w:t>
      </w:r>
      <w:r>
        <w:rPr>
          <w:rFonts w:hint="eastAsia" w:ascii="宋体" w:hAnsi="宋体"/>
        </w:rPr>
        <w:t>。</w:t>
      </w:r>
    </w:p>
    <w:p>
      <w:pPr>
        <w:pageBreakBefore w:val="0"/>
        <w:widowControl w:val="0"/>
        <w:kinsoku/>
        <w:wordWrap/>
        <w:overflowPunct/>
        <w:topLinePunct w:val="0"/>
        <w:autoSpaceDE/>
        <w:autoSpaceDN/>
        <w:bidi w:val="0"/>
        <w:spacing w:line="360" w:lineRule="auto"/>
        <w:rPr>
          <w:rFonts w:hint="eastAsia" w:ascii="宋体" w:hAnsi="宋体"/>
          <w:b/>
        </w:rPr>
      </w:pPr>
      <w:r>
        <w:rPr>
          <w:rFonts w:hint="eastAsia" w:ascii="宋体" w:hAnsi="宋体"/>
          <w:b/>
        </w:rPr>
        <w:t>4</w:t>
      </w:r>
      <w:r>
        <w:rPr>
          <w:rFonts w:ascii="宋体" w:hAnsi="宋体"/>
          <w:b/>
        </w:rPr>
        <w:t>.</w:t>
      </w:r>
      <w:r>
        <w:rPr>
          <w:rFonts w:hint="eastAsia" w:ascii="宋体" w:hAnsi="宋体"/>
          <w:b/>
        </w:rPr>
        <w:t>6 性能保证值</w:t>
      </w:r>
    </w:p>
    <w:p>
      <w:pPr>
        <w:pageBreakBefore w:val="0"/>
        <w:widowControl w:val="0"/>
        <w:numPr>
          <w:ilvl w:val="0"/>
          <w:numId w:val="4"/>
        </w:numPr>
        <w:kinsoku/>
        <w:wordWrap/>
        <w:overflowPunct/>
        <w:topLinePunct w:val="0"/>
        <w:autoSpaceDE/>
        <w:autoSpaceDN/>
        <w:bidi w:val="0"/>
        <w:spacing w:line="360" w:lineRule="auto"/>
        <w:rPr>
          <w:rFonts w:hint="eastAsia" w:ascii="宋体" w:hAnsi="宋体"/>
          <w:bCs/>
        </w:rPr>
      </w:pPr>
      <w:r>
        <w:rPr>
          <w:rFonts w:hint="eastAsia" w:ascii="宋体" w:hAnsi="宋体"/>
          <w:bCs/>
        </w:rPr>
        <w:t>机组额定工况下，改造后，</w:t>
      </w:r>
      <w:r>
        <w:rPr>
          <w:rFonts w:hint="eastAsia" w:ascii="宋体" w:hAnsi="宋体"/>
          <w:bCs/>
          <w:highlight w:val="yellow"/>
        </w:rPr>
        <w:t>空预器出口至</w:t>
      </w:r>
      <w:r>
        <w:rPr>
          <w:rFonts w:hint="eastAsia" w:ascii="宋体" w:hAnsi="宋体"/>
          <w:bCs/>
          <w:highlight w:val="yellow"/>
          <w:lang w:val="en-US" w:eastAsia="zh-CN"/>
        </w:rPr>
        <w:t>烟囱</w:t>
      </w:r>
      <w:r>
        <w:rPr>
          <w:rFonts w:hint="eastAsia" w:ascii="宋体" w:hAnsi="宋体"/>
          <w:bCs/>
          <w:highlight w:val="yellow"/>
        </w:rPr>
        <w:t>入口烟道阻力总体下降</w:t>
      </w:r>
      <w:r>
        <w:rPr>
          <w:rFonts w:ascii="宋体" w:hAnsi="宋体"/>
          <w:bCs/>
          <w:highlight w:val="yellow"/>
        </w:rPr>
        <w:t>5</w:t>
      </w:r>
      <w:r>
        <w:rPr>
          <w:rFonts w:hint="eastAsia" w:ascii="宋体" w:hAnsi="宋体"/>
          <w:bCs/>
          <w:highlight w:val="yellow"/>
        </w:rPr>
        <w:t>00Pa以上（实际燃用煤种，BRL工况）。</w:t>
      </w:r>
      <w:r>
        <w:rPr>
          <w:rFonts w:hint="eastAsia" w:ascii="宋体" w:hAnsi="宋体"/>
          <w:bCs/>
        </w:rPr>
        <w:t>采用未进行改造的机组实测数据或改造前的摸底数据为比较基准。</w:t>
      </w:r>
    </w:p>
    <w:p>
      <w:pPr>
        <w:pageBreakBefore w:val="0"/>
        <w:widowControl w:val="0"/>
        <w:numPr>
          <w:ilvl w:val="0"/>
          <w:numId w:val="4"/>
        </w:numPr>
        <w:kinsoku/>
        <w:wordWrap/>
        <w:overflowPunct/>
        <w:topLinePunct w:val="0"/>
        <w:autoSpaceDE/>
        <w:autoSpaceDN/>
        <w:bidi w:val="0"/>
        <w:spacing w:line="360" w:lineRule="auto"/>
        <w:rPr>
          <w:rFonts w:hint="eastAsia" w:ascii="宋体" w:hAnsi="宋体"/>
          <w:bCs/>
        </w:rPr>
      </w:pPr>
      <w:r>
        <w:rPr>
          <w:rStyle w:val="31"/>
          <w:rFonts w:hint="default" w:ascii="Times New Roman" w:hAnsi="Times New Roman" w:eastAsia="宋体" w:cs="Times New Roman"/>
          <w:color w:val="auto"/>
          <w:sz w:val="24"/>
        </w:rPr>
        <w:t>机组额定工况下，单侧引风机入口烟道烟气速度场分布相对标准偏差（CV值）不高于15%，引风机出口烟道截面速度场分布相对标准偏差（CV值）不高于25%，根据改造后现场性能验收试验实测数据判断。</w:t>
      </w:r>
    </w:p>
    <w:p>
      <w:pPr>
        <w:spacing w:line="360" w:lineRule="auto"/>
        <w:ind w:firstLine="480" w:firstLineChars="200"/>
        <w:rPr>
          <w:rFonts w:hint="eastAsia" w:ascii="宋体" w:hAnsi="宋体" w:cs="宋体"/>
          <w:color w:val="000000"/>
        </w:rPr>
      </w:pPr>
      <w:r>
        <w:rPr>
          <w:rFonts w:hint="eastAsia" w:ascii="宋体" w:hAnsi="宋体" w:cs="宋体"/>
          <w:color w:val="000000"/>
        </w:rPr>
        <w:t>3）质量保修期自工程移交证书或工程竣工验收单中写明的全部工程完工之日算起。在全部工程完工验收前，已经发包方提前验收的单位工程或部分工程，若未投入正常使用，其保修期亦按全部工程的完工日开始算起。</w:t>
      </w:r>
    </w:p>
    <w:p>
      <w:pPr>
        <w:spacing w:line="360" w:lineRule="auto"/>
        <w:ind w:firstLine="480" w:firstLineChars="200"/>
        <w:rPr>
          <w:rFonts w:hint="eastAsia"/>
        </w:rPr>
      </w:pPr>
      <w:r>
        <w:rPr>
          <w:rFonts w:hint="eastAsia" w:ascii="宋体" w:hAnsi="宋体" w:cs="宋体"/>
          <w:color w:val="000000"/>
        </w:rPr>
        <w:t>4）</w:t>
      </w:r>
      <w:r>
        <w:rPr>
          <w:rFonts w:hint="eastAsia" w:ascii="宋体" w:hAnsi="宋体" w:cs="宋体"/>
          <w:lang w:val="sq-AL"/>
        </w:rPr>
        <w:t>设备投运后两年内出现产品质量问题，投标人应在接到招标人通知后</w:t>
      </w:r>
      <w:r>
        <w:rPr>
          <w:rFonts w:hint="eastAsia" w:ascii="宋体" w:hAnsi="宋体" w:cs="宋体"/>
          <w:u w:val="single"/>
          <w:lang w:val="sq-AL"/>
        </w:rPr>
        <w:t>24小时</w:t>
      </w:r>
      <w:r>
        <w:rPr>
          <w:rFonts w:hint="eastAsia" w:ascii="宋体" w:hAnsi="宋体" w:cs="宋体"/>
          <w:lang w:val="sq-AL"/>
        </w:rPr>
        <w:t>内到达现场免费修理或更换。</w:t>
      </w:r>
    </w:p>
    <w:p>
      <w:pPr>
        <w:pageBreakBefore w:val="0"/>
        <w:widowControl w:val="0"/>
        <w:kinsoku/>
        <w:wordWrap/>
        <w:overflowPunct/>
        <w:topLinePunct w:val="0"/>
        <w:autoSpaceDE/>
        <w:autoSpaceDN/>
        <w:bidi w:val="0"/>
        <w:spacing w:line="360" w:lineRule="auto"/>
      </w:pPr>
    </w:p>
    <w:p>
      <w:pPr>
        <w:pStyle w:val="6"/>
        <w:rPr>
          <w:rFonts w:hint="eastAsia" w:ascii="宋体" w:hAnsi="宋体" w:eastAsia="宋体" w:cs="宋体"/>
          <w:b w:val="0"/>
          <w:kern w:val="2"/>
          <w:sz w:val="24"/>
          <w:szCs w:val="24"/>
          <w:lang w:val="sq-AL" w:eastAsia="zh-CN" w:bidi="ar-SA"/>
        </w:rPr>
      </w:pPr>
      <w:bookmarkStart w:id="26" w:name="_Toc170270576"/>
      <w:bookmarkStart w:id="27" w:name="_Toc96238077"/>
      <w:bookmarkStart w:id="28" w:name="_Toc170462602"/>
      <w:bookmarkStart w:id="29" w:name="_Toc170462603"/>
      <w:bookmarkStart w:id="30" w:name="_Toc96238078"/>
      <w:bookmarkStart w:id="31" w:name="_Toc170270577"/>
      <w:r>
        <w:rPr>
          <w:rFonts w:hint="eastAsia" w:ascii="宋体" w:hAnsi="宋体" w:eastAsia="宋体" w:cs="宋体"/>
          <w:b w:val="0"/>
          <w:kern w:val="2"/>
          <w:sz w:val="24"/>
          <w:szCs w:val="24"/>
          <w:lang w:val="sq-AL" w:eastAsia="zh-CN" w:bidi="ar-SA"/>
        </w:rPr>
        <w:t>5 安装施工与调试</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5.1 本项目包含旧设备的拆除、现场倒运、新设备的安装及调试等。投标人须派专业技术人员到现场进行技术服务解决安装调试中的问题；设备安装、调试期间，现场施工、服务人员应服从招标人的统一调度，设备安装所需的吊车、叉车等施工所需车辆及工器具均由投标人负责。</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5.2 设备安装调试过程中，由于制造质量造成的不符合规定的偏差，必须有文字记录，由投标人处理，费用也由投标人自负。</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5.3 设备安装后，投标人派人参加现场进行的分部试运及性能试验、验收，并帮助解决试验中暴露的问题。</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5.4 投标人在投标技术方案中需对烟道优化施工进度计划、施工质量及安全保证措施进行详细说明。</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5.5 专用工具</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5.5.1 投标人提供所有便于维修和安装使用的专用工具。</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5.5.2 除专用工具外，投标人还应向招标人提供一份推荐的检修维护人员必备的工具清单。</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 施工要求</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5.6.1 投标人施工前提供完整的施工措施及方案。</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5.6.2 投标人负责项目施工，施工人员由投标人负责组织，施工人员必须具有相应的技术资质，施工人员进入现场前必须按招标人要求经过专业技术培训及相应的安全培训。</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5.6.3 施工所需耗材、工具，如：焊条、砂轮片、电焊机、磨光机、割炬、施工车辆、吊装设备等由投标人自理并满足安全生产要求，招标人不负责提供。</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5.6.4 招标人负责向投标人提供施工所需电源、水源、氧气、乙炔。</w:t>
      </w:r>
      <w:r>
        <w:rPr>
          <w:rFonts w:hint="eastAsia" w:ascii="宋体" w:hAnsi="宋体" w:cs="宋体"/>
          <w:b w:val="0"/>
          <w:kern w:val="2"/>
          <w:sz w:val="24"/>
          <w:szCs w:val="24"/>
          <w:lang w:val="en-US" w:eastAsia="zh-CN" w:bidi="ar-SA"/>
        </w:rPr>
        <w:t>脚手架搭拆、保温拆装由承包人负责。</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5.6.5 招标人负责为投标人提供项目改造所需材料堆放场地等，施工完成后投标人须将剩余的部件、废料放置到招标人指定存放处，不得随意清理。</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5.6.6 投标人应按照预定工期向招标人提供项目进度计划并合理组织施工，其进度应符合检修网络图要求。为了保证工期及质量，投标人应现场配备足够的安装工具及施工人员。工程施工在招标人对应机组计划检修期间展开，工期</w:t>
      </w:r>
      <w:r>
        <w:rPr>
          <w:rFonts w:hint="eastAsia" w:ascii="宋体" w:hAnsi="宋体" w:cs="宋体"/>
          <w:b w:val="0"/>
          <w:kern w:val="2"/>
          <w:sz w:val="24"/>
          <w:szCs w:val="24"/>
          <w:lang w:val="en-US" w:eastAsia="zh-CN" w:bidi="ar-SA"/>
        </w:rPr>
        <w:t>23</w:t>
      </w:r>
      <w:r>
        <w:rPr>
          <w:rFonts w:hint="eastAsia" w:ascii="宋体" w:hAnsi="宋体" w:eastAsia="宋体" w:cs="宋体"/>
          <w:b w:val="0"/>
          <w:kern w:val="2"/>
          <w:sz w:val="24"/>
          <w:szCs w:val="24"/>
          <w:lang w:val="sq-AL" w:eastAsia="zh-CN" w:bidi="ar-SA"/>
        </w:rPr>
        <w:t>天。（具体时间按电网的批准的机组计划检修工期，以招标方的开工通知为准，投标方在接到通知后一周内按甲方要求办理完成施工人员入厂手续，并准备好所有施工所用的工器具及设备、材料）。</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5.6.7 投标人施工人员应经招标人安全部门的安全培训合格，且所有施工均应符合《电力安全工作规程》相关要求，如出现违章现象，招标人有权按招标人管理规定执行考核。</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5.6.8 投标人施工全过程应遵守招标人现场文明施工管理制度。</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5.6.9 投标人工作场所实行定置管理，所需工器具、材料应根据招标人要求按区域放置，做到整洁美观，以保证招标人其他作业的正常进行。</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5.6.10 投标人应服从招标人的协调、管理。</w:t>
      </w:r>
    </w:p>
    <w:p>
      <w:pPr>
        <w:spacing w:line="360" w:lineRule="auto"/>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5.6.11 投标人项目组成员年龄不得大于60周岁，提供县级以上医院提供的健康证和工伤保险证明；特种作业人员须持有效操作证件上岗。</w:t>
      </w:r>
    </w:p>
    <w:p>
      <w:pPr>
        <w:pStyle w:val="6"/>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6 设计与供货界限及接口规则</w:t>
      </w:r>
      <w:bookmarkEnd w:id="26"/>
      <w:bookmarkEnd w:id="27"/>
      <w:bookmarkEnd w:id="28"/>
    </w:p>
    <w:p>
      <w:pPr>
        <w:spacing w:before="120" w:beforeLines="50" w:line="360" w:lineRule="auto"/>
        <w:ind w:firstLine="480" w:firstLineChars="200"/>
        <w:rPr>
          <w:rFonts w:hint="eastAsia" w:ascii="宋体" w:hAnsi="宋体" w:eastAsia="宋体" w:cs="宋体"/>
          <w:b w:val="0"/>
          <w:kern w:val="2"/>
          <w:sz w:val="24"/>
          <w:szCs w:val="24"/>
          <w:lang w:val="sq-AL" w:eastAsia="zh-CN" w:bidi="ar-SA"/>
        </w:rPr>
      </w:pPr>
      <w:r>
        <w:rPr>
          <w:rFonts w:hint="eastAsia" w:ascii="宋体" w:hAnsi="宋体" w:eastAsia="宋体" w:cs="宋体"/>
          <w:b w:val="0"/>
          <w:kern w:val="2"/>
          <w:sz w:val="24"/>
          <w:szCs w:val="24"/>
          <w:lang w:val="sq-AL" w:eastAsia="zh-CN" w:bidi="ar-SA"/>
        </w:rPr>
        <w:t>投标方负责本项目的界限为空预器出口至电除尘入口烟道阻力优化改造、电除尘出口至引风机入口烟道阻力优化改造改造、引风机出口至吸收塔入口烟道阻力优化改造，并包含以上阻力优化所涉及的角铁、支撑件等备件以及安装施工、调试等。</w:t>
      </w:r>
    </w:p>
    <w:p>
      <w:pPr>
        <w:pStyle w:val="6"/>
        <w:bidi w:val="0"/>
        <w:rPr>
          <w:rStyle w:val="31"/>
          <w:rFonts w:hint="default" w:ascii="Times New Roman" w:hAnsi="Times New Roman" w:cs="Times New Roman"/>
          <w:color w:val="auto"/>
        </w:rPr>
      </w:pPr>
      <w:r>
        <w:rPr>
          <w:rFonts w:hint="eastAsia" w:hAnsi="宋体"/>
        </w:rPr>
        <w:t>7</w:t>
      </w:r>
      <w:r>
        <w:rPr>
          <w:rFonts w:hint="eastAsia" w:hAnsi="宋体"/>
          <w:bCs/>
          <w:szCs w:val="28"/>
        </w:rPr>
        <w:t xml:space="preserve">   </w:t>
      </w:r>
      <w:bookmarkEnd w:id="29"/>
      <w:bookmarkEnd w:id="30"/>
      <w:bookmarkEnd w:id="31"/>
      <w:r>
        <w:rPr>
          <w:rStyle w:val="31"/>
          <w:rFonts w:hint="default" w:ascii="Times New Roman" w:hAnsi="Times New Roman" w:cs="Times New Roman"/>
          <w:color w:val="auto"/>
        </w:rPr>
        <w:t>包装, 装卸, 运输与储存</w:t>
      </w:r>
    </w:p>
    <w:p>
      <w:pPr>
        <w:pStyle w:val="4"/>
        <w:bidi w:val="0"/>
        <w:rPr>
          <w:rStyle w:val="31"/>
          <w:rFonts w:hint="default"/>
          <w:color w:val="auto"/>
        </w:rPr>
      </w:pPr>
      <w:r>
        <w:rPr>
          <w:rStyle w:val="31"/>
          <w:rFonts w:hint="eastAsia"/>
          <w:color w:val="auto"/>
          <w:lang w:val="en-US" w:eastAsia="zh-CN"/>
        </w:rPr>
        <w:t>7</w:t>
      </w:r>
      <w:r>
        <w:rPr>
          <w:rStyle w:val="31"/>
          <w:rFonts w:hint="default"/>
          <w:color w:val="auto"/>
        </w:rPr>
        <w:t>.1 包装</w:t>
      </w:r>
    </w:p>
    <w:p>
      <w:pPr>
        <w:pStyle w:val="4"/>
        <w:numPr>
          <w:ilvl w:val="0"/>
          <w:numId w:val="5"/>
        </w:numPr>
        <w:spacing w:line="360" w:lineRule="auto"/>
        <w:rPr>
          <w:rStyle w:val="31"/>
          <w:rFonts w:hint="default" w:ascii="Times New Roman" w:hAnsi="Times New Roman" w:cs="Times New Roman"/>
          <w:color w:val="auto"/>
        </w:rPr>
      </w:pPr>
      <w:r>
        <w:rPr>
          <w:rStyle w:val="31"/>
          <w:rFonts w:hint="default" w:ascii="Times New Roman" w:hAnsi="Times New Roman" w:cs="Times New Roman"/>
          <w:color w:val="auto"/>
        </w:rPr>
        <w:t>设备出厂时，零部件的包装应符合JB/ZQ 4286的规定，并遵循适于运输、便于安装和查找的原则。备品配件及专用工具另行包装。</w:t>
      </w:r>
    </w:p>
    <w:p>
      <w:pPr>
        <w:pStyle w:val="4"/>
        <w:numPr>
          <w:ilvl w:val="0"/>
          <w:numId w:val="5"/>
        </w:numPr>
        <w:spacing w:line="360" w:lineRule="auto"/>
        <w:rPr>
          <w:rStyle w:val="31"/>
          <w:rFonts w:hint="default" w:ascii="Times New Roman" w:hAnsi="Times New Roman" w:cs="Times New Roman"/>
          <w:color w:val="auto"/>
        </w:rPr>
      </w:pPr>
      <w:r>
        <w:rPr>
          <w:rStyle w:val="31"/>
          <w:rFonts w:hint="default" w:ascii="Times New Roman" w:hAnsi="Times New Roman" w:cs="Times New Roman"/>
          <w:color w:val="auto"/>
        </w:rPr>
        <w:t>包装箱外侧应有明显的文字说明，如：设备名称、用途及运输、储存安全注意事项等。</w:t>
      </w:r>
    </w:p>
    <w:p>
      <w:pPr>
        <w:pStyle w:val="4"/>
        <w:numPr>
          <w:ilvl w:val="0"/>
          <w:numId w:val="5"/>
        </w:numPr>
        <w:spacing w:line="360" w:lineRule="auto"/>
        <w:rPr>
          <w:rStyle w:val="31"/>
          <w:rFonts w:hint="default" w:ascii="Times New Roman" w:hAnsi="Times New Roman" w:cs="Times New Roman"/>
          <w:color w:val="auto"/>
        </w:rPr>
      </w:pPr>
      <w:r>
        <w:rPr>
          <w:rStyle w:val="31"/>
          <w:rFonts w:hint="default" w:ascii="Times New Roman" w:hAnsi="Times New Roman" w:cs="Times New Roman"/>
          <w:color w:val="auto"/>
        </w:rPr>
        <w:t>包装箱内附带下列文件（不限于）：装箱单、产品使用说明书、产品检验合格证书、安装指示图。</w:t>
      </w:r>
    </w:p>
    <w:p>
      <w:pPr>
        <w:pStyle w:val="4"/>
        <w:bidi w:val="0"/>
        <w:rPr>
          <w:rStyle w:val="31"/>
          <w:rFonts w:hint="default"/>
          <w:color w:val="auto"/>
        </w:rPr>
      </w:pPr>
      <w:bookmarkStart w:id="32" w:name="_Toc20760092"/>
      <w:bookmarkStart w:id="33" w:name="_Toc112742694"/>
      <w:bookmarkStart w:id="34" w:name="_Toc405887835"/>
      <w:bookmarkStart w:id="35" w:name="_Toc104345491"/>
      <w:bookmarkStart w:id="36" w:name="_Toc135667083"/>
      <w:bookmarkStart w:id="37" w:name="_Toc198953309"/>
      <w:bookmarkStart w:id="38" w:name="_Toc250311039"/>
      <w:bookmarkStart w:id="39" w:name="_Toc946496"/>
      <w:bookmarkStart w:id="40" w:name="_Toc21683370"/>
      <w:r>
        <w:rPr>
          <w:rStyle w:val="31"/>
          <w:rFonts w:hint="eastAsia"/>
          <w:color w:val="auto"/>
          <w:lang w:val="en-US" w:eastAsia="zh-CN"/>
        </w:rPr>
        <w:t>7</w:t>
      </w:r>
      <w:r>
        <w:rPr>
          <w:rStyle w:val="31"/>
          <w:rFonts w:hint="default"/>
          <w:color w:val="auto"/>
        </w:rPr>
        <w:t>.2 运输</w:t>
      </w:r>
      <w:bookmarkEnd w:id="32"/>
      <w:bookmarkEnd w:id="33"/>
      <w:bookmarkEnd w:id="34"/>
      <w:bookmarkEnd w:id="35"/>
      <w:bookmarkEnd w:id="36"/>
      <w:bookmarkEnd w:id="37"/>
      <w:bookmarkEnd w:id="38"/>
      <w:bookmarkEnd w:id="39"/>
      <w:bookmarkEnd w:id="40"/>
      <w:r>
        <w:rPr>
          <w:rStyle w:val="31"/>
          <w:rFonts w:hint="default"/>
          <w:color w:val="auto"/>
        </w:rPr>
        <w:t>和储存</w:t>
      </w:r>
    </w:p>
    <w:p>
      <w:pPr>
        <w:pStyle w:val="4"/>
        <w:numPr>
          <w:ilvl w:val="0"/>
          <w:numId w:val="6"/>
        </w:numPr>
        <w:spacing w:line="360" w:lineRule="auto"/>
        <w:rPr>
          <w:rStyle w:val="31"/>
          <w:rFonts w:hint="default" w:ascii="Times New Roman" w:hAnsi="Times New Roman" w:cs="Times New Roman"/>
          <w:color w:val="auto"/>
          <w:szCs w:val="21"/>
        </w:rPr>
      </w:pPr>
      <w:r>
        <w:rPr>
          <w:rStyle w:val="31"/>
          <w:rFonts w:hint="default" w:ascii="Times New Roman" w:hAnsi="Times New Roman" w:cs="Times New Roman"/>
          <w:color w:val="auto"/>
          <w:szCs w:val="21"/>
        </w:rPr>
        <w:t>大部件尺寸表格见附件9。储存要求参见国家有关标准。</w:t>
      </w:r>
    </w:p>
    <w:p>
      <w:pPr>
        <w:pStyle w:val="4"/>
        <w:numPr>
          <w:ilvl w:val="0"/>
          <w:numId w:val="6"/>
        </w:numPr>
        <w:spacing w:line="360" w:lineRule="auto"/>
        <w:rPr>
          <w:rStyle w:val="31"/>
          <w:rFonts w:hint="default" w:ascii="Times New Roman" w:hAnsi="Times New Roman" w:cs="Times New Roman"/>
          <w:color w:val="auto"/>
        </w:rPr>
      </w:pPr>
      <w:r>
        <w:rPr>
          <w:rStyle w:val="31"/>
          <w:rFonts w:hint="default" w:ascii="Times New Roman" w:hAnsi="Times New Roman" w:cs="Times New Roman"/>
          <w:color w:val="auto"/>
        </w:rPr>
        <w:t>经由铁路运输的部件，其运输尺寸和重量不应超过国家标准所允许的限界规定。其它运输方式部件的运输尺寸和重量的限值，在授予合同后双方进一步协商确定。</w:t>
      </w:r>
    </w:p>
    <w:p>
      <w:pPr>
        <w:pStyle w:val="4"/>
        <w:numPr>
          <w:ilvl w:val="0"/>
          <w:numId w:val="6"/>
        </w:numPr>
        <w:spacing w:line="360" w:lineRule="auto"/>
        <w:rPr>
          <w:rStyle w:val="31"/>
          <w:rFonts w:hint="default" w:ascii="Times New Roman" w:hAnsi="Times New Roman" w:cs="Times New Roman"/>
          <w:color w:val="auto"/>
          <w:szCs w:val="21"/>
        </w:rPr>
      </w:pPr>
      <w:r>
        <w:rPr>
          <w:rStyle w:val="31"/>
          <w:rFonts w:hint="default" w:ascii="Times New Roman" w:hAnsi="Times New Roman" w:cs="Times New Roman"/>
          <w:color w:val="auto"/>
        </w:rPr>
        <w:t>长大部件的运输应有防止变形、擦伤及碰撞等措施</w:t>
      </w:r>
    </w:p>
    <w:p>
      <w:pPr>
        <w:pStyle w:val="4"/>
        <w:numPr>
          <w:ilvl w:val="0"/>
          <w:numId w:val="6"/>
        </w:numPr>
        <w:spacing w:line="360" w:lineRule="auto"/>
        <w:rPr>
          <w:rStyle w:val="31"/>
          <w:rFonts w:hint="default" w:ascii="Times New Roman" w:hAnsi="Times New Roman" w:cs="Times New Roman"/>
          <w:color w:val="auto"/>
        </w:rPr>
      </w:pPr>
      <w:r>
        <w:rPr>
          <w:rStyle w:val="31"/>
          <w:rFonts w:hint="default" w:ascii="Times New Roman" w:hAnsi="Times New Roman" w:cs="Times New Roman"/>
          <w:bCs/>
          <w:color w:val="auto"/>
        </w:rPr>
        <w:t>风道及结构件等采取板材供货，现场组装。</w:t>
      </w:r>
    </w:p>
    <w:p>
      <w:pPr>
        <w:pageBreakBefore w:val="0"/>
        <w:widowControl w:val="0"/>
        <w:numPr>
          <w:ilvl w:val="0"/>
          <w:numId w:val="0"/>
        </w:numPr>
        <w:kinsoku/>
        <w:wordWrap/>
        <w:overflowPunct/>
        <w:topLinePunct w:val="0"/>
        <w:autoSpaceDE/>
        <w:autoSpaceDN/>
        <w:bidi w:val="0"/>
        <w:spacing w:line="360" w:lineRule="auto"/>
        <w:ind w:leftChars="0"/>
        <w:rPr>
          <w:rFonts w:hint="eastAsia" w:ascii="宋体" w:hAnsi="宋体"/>
        </w:rPr>
      </w:pPr>
    </w:p>
    <w:p>
      <w:pPr>
        <w:pStyle w:val="6"/>
        <w:spacing w:before="0" w:after="0" w:line="500" w:lineRule="exact"/>
        <w:ind w:right="-32"/>
        <w:rPr>
          <w:rFonts w:hint="eastAsia" w:hAnsi="宋体"/>
          <w:bCs/>
          <w:szCs w:val="28"/>
        </w:rPr>
      </w:pPr>
      <w:bookmarkStart w:id="41" w:name="_Toc170270578"/>
      <w:bookmarkStart w:id="42" w:name="_Toc170462604"/>
      <w:bookmarkStart w:id="43" w:name="_Toc96238079"/>
      <w:r>
        <w:rPr>
          <w:rFonts w:hint="eastAsia" w:hAnsi="宋体"/>
          <w:bCs/>
          <w:szCs w:val="28"/>
        </w:rPr>
        <w:t>8   数据表</w:t>
      </w:r>
      <w:bookmarkEnd w:id="41"/>
      <w:bookmarkEnd w:id="42"/>
      <w:r>
        <w:rPr>
          <w:rFonts w:hint="eastAsia" w:hAnsi="宋体"/>
          <w:bCs/>
          <w:szCs w:val="28"/>
        </w:rPr>
        <w:t xml:space="preserve"> </w:t>
      </w:r>
      <w:bookmarkEnd w:id="43"/>
      <w:r>
        <w:rPr>
          <w:rFonts w:hint="eastAsia"/>
        </w:rPr>
        <w:t>（投标人填写）</w:t>
      </w:r>
    </w:p>
    <w:p>
      <w:pPr>
        <w:pStyle w:val="16"/>
        <w:spacing w:after="0" w:line="500" w:lineRule="exact"/>
      </w:pPr>
      <w:bookmarkStart w:id="44" w:name="_Toc496269570"/>
      <w:bookmarkStart w:id="45" w:name="_Toc60567002"/>
      <w:bookmarkStart w:id="46" w:name="_Toc18813691"/>
      <w:bookmarkStart w:id="47" w:name="_Toc96238081"/>
      <w:bookmarkStart w:id="48" w:name="_Toc492697268"/>
      <w:r>
        <w:rPr>
          <w:rFonts w:hint="eastAsia"/>
        </w:rPr>
        <w:t>8</w:t>
      </w:r>
      <w:r>
        <w:t>.1</w:t>
      </w:r>
      <w:r>
        <w:rPr>
          <w:rFonts w:hint="eastAsia"/>
        </w:rPr>
        <w:t xml:space="preserve"> </w:t>
      </w:r>
      <w:r>
        <w:t>性能汇总表</w:t>
      </w:r>
    </w:p>
    <w:tbl>
      <w:tblPr>
        <w:tblStyle w:val="29"/>
        <w:tblW w:w="8695" w:type="dxa"/>
        <w:tblInd w:w="-1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3134"/>
        <w:gridCol w:w="1134"/>
        <w:gridCol w:w="2558"/>
        <w:gridCol w:w="186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429" w:hRule="atLeast"/>
          <w:tblHeader/>
        </w:trPr>
        <w:tc>
          <w:tcPr>
            <w:tcW w:w="3134" w:type="dxa"/>
            <w:vAlign w:val="center"/>
          </w:tcPr>
          <w:p>
            <w:pPr>
              <w:pStyle w:val="27"/>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项   目</w:t>
            </w:r>
          </w:p>
        </w:tc>
        <w:tc>
          <w:tcPr>
            <w:tcW w:w="1134" w:type="dxa"/>
            <w:vAlign w:val="center"/>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单位</w:t>
            </w:r>
          </w:p>
        </w:tc>
        <w:tc>
          <w:tcPr>
            <w:tcW w:w="2558" w:type="dxa"/>
            <w:vAlign w:val="center"/>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招标人要求</w:t>
            </w:r>
          </w:p>
        </w:tc>
        <w:tc>
          <w:tcPr>
            <w:tcW w:w="1869" w:type="dxa"/>
            <w:vAlign w:val="center"/>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投标人填写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c>
          <w:tcPr>
            <w:tcW w:w="3134" w:type="dxa"/>
            <w:vAlign w:val="center"/>
          </w:tcPr>
          <w:p>
            <w:pPr>
              <w:ind w:firstLine="242" w:firstLineChars="101"/>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烟道降阻</w:t>
            </w:r>
          </w:p>
        </w:tc>
        <w:tc>
          <w:tcPr>
            <w:tcW w:w="1134" w:type="dxa"/>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P</w:t>
            </w:r>
            <w:r>
              <w:rPr>
                <w:rFonts w:ascii="Times New Roman" w:hAnsi="Times New Roman" w:eastAsia="宋体" w:cs="Times New Roman"/>
                <w:kern w:val="2"/>
                <w:sz w:val="24"/>
                <w:szCs w:val="24"/>
                <w:lang w:val="en-US" w:eastAsia="zh-CN" w:bidi="ar-SA"/>
              </w:rPr>
              <w:t>a</w:t>
            </w:r>
          </w:p>
        </w:tc>
        <w:tc>
          <w:tcPr>
            <w:tcW w:w="2558" w:type="dxa"/>
            <w:vAlign w:val="center"/>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不低于50</w:t>
            </w:r>
            <w:r>
              <w:rPr>
                <w:rFonts w:ascii="Times New Roman" w:hAnsi="Times New Roman" w:eastAsia="宋体" w:cs="Times New Roman"/>
                <w:kern w:val="2"/>
                <w:sz w:val="24"/>
                <w:szCs w:val="24"/>
                <w:lang w:val="en-US" w:eastAsia="zh-CN" w:bidi="ar-SA"/>
              </w:rPr>
              <w:t>0Pa</w:t>
            </w:r>
          </w:p>
        </w:tc>
        <w:tc>
          <w:tcPr>
            <w:tcW w:w="1869" w:type="dxa"/>
            <w:vAlign w:val="center"/>
          </w:tcPr>
          <w:p>
            <w:pPr>
              <w:jc w:val="center"/>
              <w:rPr>
                <w:rFonts w:ascii="Times New Roman" w:hAnsi="Times New Roman"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2" w:hRule="atLeast"/>
        </w:trPr>
        <w:tc>
          <w:tcPr>
            <w:tcW w:w="3134" w:type="dxa"/>
            <w:vAlign w:val="center"/>
          </w:tcPr>
          <w:p>
            <w:pPr>
              <w:ind w:firstLine="242" w:firstLineChars="101"/>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引风机入口流场C</w:t>
            </w:r>
            <w:r>
              <w:rPr>
                <w:rFonts w:ascii="Times New Roman" w:hAnsi="Times New Roman" w:eastAsia="宋体" w:cs="Times New Roman"/>
                <w:kern w:val="2"/>
                <w:sz w:val="24"/>
                <w:szCs w:val="24"/>
                <w:lang w:val="en-US" w:eastAsia="zh-CN" w:bidi="ar-SA"/>
              </w:rPr>
              <w:t>V</w:t>
            </w:r>
            <w:r>
              <w:rPr>
                <w:rFonts w:hint="eastAsia" w:ascii="Times New Roman" w:hAnsi="Times New Roman" w:eastAsia="宋体" w:cs="Times New Roman"/>
                <w:kern w:val="2"/>
                <w:sz w:val="24"/>
                <w:szCs w:val="24"/>
                <w:lang w:val="en-US" w:eastAsia="zh-CN" w:bidi="ar-SA"/>
              </w:rPr>
              <w:t>值</w:t>
            </w:r>
          </w:p>
        </w:tc>
        <w:tc>
          <w:tcPr>
            <w:tcW w:w="1134" w:type="dxa"/>
            <w:vAlign w:val="center"/>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w:t>
            </w:r>
          </w:p>
        </w:tc>
        <w:tc>
          <w:tcPr>
            <w:tcW w:w="2558" w:type="dxa"/>
            <w:vAlign w:val="center"/>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w:t>
            </w:r>
            <w:r>
              <w:rPr>
                <w:rFonts w:ascii="Times New Roman" w:hAnsi="Times New Roman" w:eastAsia="宋体" w:cs="Times New Roman"/>
                <w:kern w:val="2"/>
                <w:sz w:val="24"/>
                <w:szCs w:val="24"/>
                <w:lang w:val="en-US" w:eastAsia="zh-CN" w:bidi="ar-SA"/>
              </w:rPr>
              <w:t>5</w:t>
            </w:r>
          </w:p>
        </w:tc>
        <w:tc>
          <w:tcPr>
            <w:tcW w:w="1869" w:type="dxa"/>
            <w:vAlign w:val="center"/>
          </w:tcPr>
          <w:p>
            <w:pPr>
              <w:jc w:val="center"/>
              <w:rPr>
                <w:rFonts w:ascii="Times New Roman" w:hAnsi="Times New Roman"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38" w:hRule="atLeast"/>
        </w:trPr>
        <w:tc>
          <w:tcPr>
            <w:tcW w:w="3134" w:type="dxa"/>
            <w:vAlign w:val="center"/>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引风机出口流场C</w:t>
            </w:r>
            <w:r>
              <w:rPr>
                <w:rFonts w:ascii="Times New Roman" w:hAnsi="Times New Roman" w:eastAsia="宋体" w:cs="Times New Roman"/>
                <w:kern w:val="2"/>
                <w:sz w:val="24"/>
                <w:szCs w:val="24"/>
                <w:lang w:val="en-US" w:eastAsia="zh-CN" w:bidi="ar-SA"/>
              </w:rPr>
              <w:t>V</w:t>
            </w:r>
            <w:r>
              <w:rPr>
                <w:rFonts w:hint="eastAsia" w:ascii="Times New Roman" w:hAnsi="Times New Roman" w:eastAsia="宋体" w:cs="Times New Roman"/>
                <w:kern w:val="2"/>
                <w:sz w:val="24"/>
                <w:szCs w:val="24"/>
                <w:lang w:val="en-US" w:eastAsia="zh-CN" w:bidi="ar-SA"/>
              </w:rPr>
              <w:t>值</w:t>
            </w:r>
          </w:p>
        </w:tc>
        <w:tc>
          <w:tcPr>
            <w:tcW w:w="1134" w:type="dxa"/>
            <w:vAlign w:val="center"/>
          </w:tcPr>
          <w:p>
            <w:pPr>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w:t>
            </w:r>
          </w:p>
        </w:tc>
        <w:tc>
          <w:tcPr>
            <w:tcW w:w="2558" w:type="dxa"/>
            <w:vAlign w:val="center"/>
          </w:tcPr>
          <w:p>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w:t>
            </w:r>
            <w:r>
              <w:rPr>
                <w:rFonts w:ascii="Times New Roman" w:hAnsi="Times New Roman" w:eastAsia="宋体" w:cs="Times New Roman"/>
                <w:kern w:val="2"/>
                <w:sz w:val="24"/>
                <w:szCs w:val="24"/>
                <w:lang w:val="en-US" w:eastAsia="zh-CN" w:bidi="ar-SA"/>
              </w:rPr>
              <w:t>5</w:t>
            </w:r>
          </w:p>
        </w:tc>
        <w:tc>
          <w:tcPr>
            <w:tcW w:w="1869" w:type="dxa"/>
            <w:vAlign w:val="center"/>
          </w:tcPr>
          <w:p>
            <w:pPr>
              <w:jc w:val="center"/>
              <w:rPr>
                <w:rFonts w:ascii="Times New Roman" w:hAnsi="Times New Roman" w:eastAsia="宋体" w:cs="Times New Roman"/>
                <w:kern w:val="2"/>
                <w:sz w:val="24"/>
                <w:szCs w:val="24"/>
                <w:lang w:val="en-US" w:eastAsia="zh-CN" w:bidi="ar-SA"/>
              </w:rPr>
            </w:pPr>
          </w:p>
        </w:tc>
      </w:tr>
    </w:tbl>
    <w:p>
      <w:pPr>
        <w:spacing w:line="500" w:lineRule="exact"/>
      </w:pPr>
    </w:p>
    <w:p>
      <w:pPr>
        <w:spacing w:line="500" w:lineRule="exact"/>
        <w:rPr>
          <w:rFonts w:hint="eastAsia" w:ascii="宋体" w:hAnsi="宋体"/>
        </w:rPr>
        <w:sectPr>
          <w:headerReference r:id="rId9" w:type="default"/>
          <w:footerReference r:id="rId10" w:type="default"/>
          <w:endnotePr>
            <w:numFmt w:val="decimal"/>
          </w:endnotePr>
          <w:pgSz w:w="11907" w:h="16840"/>
          <w:pgMar w:top="1418" w:right="1531" w:bottom="1418" w:left="1701" w:header="851" w:footer="1021" w:gutter="0"/>
          <w:cols w:space="720" w:num="1"/>
          <w:docGrid w:linePitch="326" w:charSpace="0"/>
        </w:sectPr>
      </w:pPr>
    </w:p>
    <w:p>
      <w:pPr>
        <w:pStyle w:val="5"/>
        <w:rPr>
          <w:sz w:val="30"/>
          <w:szCs w:val="30"/>
        </w:rPr>
      </w:pPr>
      <w:bookmarkStart w:id="49" w:name="_Toc153568467"/>
      <w:r>
        <w:rPr>
          <w:rFonts w:hint="eastAsia"/>
          <w:sz w:val="30"/>
          <w:szCs w:val="30"/>
        </w:rPr>
        <w:t>附件2 供货范围</w:t>
      </w:r>
      <w:bookmarkEnd w:id="44"/>
      <w:bookmarkEnd w:id="45"/>
      <w:bookmarkEnd w:id="46"/>
      <w:bookmarkEnd w:id="47"/>
      <w:bookmarkEnd w:id="48"/>
      <w:bookmarkEnd w:id="49"/>
    </w:p>
    <w:p>
      <w:pPr>
        <w:spacing w:after="120" w:afterLines="50" w:line="300" w:lineRule="auto"/>
        <w:rPr>
          <w:rFonts w:hint="eastAsia" w:ascii="宋体" w:hAnsi="宋体" w:eastAsia="宋体"/>
          <w:sz w:val="28"/>
          <w:szCs w:val="28"/>
        </w:rPr>
      </w:pPr>
      <w:r>
        <w:rPr>
          <w:rFonts w:ascii="宋体" w:hAnsi="宋体" w:eastAsia="宋体"/>
          <w:sz w:val="28"/>
          <w:szCs w:val="28"/>
        </w:rPr>
        <w:t>2</w:t>
      </w:r>
      <w:r>
        <w:rPr>
          <w:rFonts w:hint="eastAsia" w:ascii="宋体" w:hAnsi="宋体" w:eastAsia="宋体"/>
          <w:sz w:val="28"/>
          <w:szCs w:val="28"/>
        </w:rPr>
        <w:t>.1概述</w:t>
      </w:r>
    </w:p>
    <w:p>
      <w:pPr>
        <w:spacing w:after="120" w:afterLines="50" w:line="300" w:lineRule="auto"/>
        <w:ind w:firstLine="482"/>
        <w:rPr>
          <w:rFonts w:hint="eastAsia" w:ascii="宋体" w:hAnsi="宋体" w:eastAsia="宋体"/>
        </w:rPr>
      </w:pPr>
      <w:r>
        <w:rPr>
          <w:rFonts w:hint="eastAsia" w:ascii="宋体" w:hAnsi="宋体" w:eastAsia="宋体"/>
        </w:rPr>
        <w:t>本项目</w:t>
      </w:r>
      <w:r>
        <w:rPr>
          <w:rFonts w:ascii="宋体" w:hAnsi="宋体" w:eastAsia="宋体"/>
        </w:rPr>
        <w:t>计划对</w:t>
      </w:r>
      <w:r>
        <w:rPr>
          <w:rFonts w:hint="eastAsia" w:ascii="宋体" w:hAnsi="宋体" w:eastAsia="宋体"/>
        </w:rPr>
        <w:t>9号</w:t>
      </w:r>
      <w:r>
        <w:rPr>
          <w:rFonts w:ascii="宋体" w:hAnsi="宋体" w:eastAsia="宋体"/>
        </w:rPr>
        <w:t>锅炉进行</w:t>
      </w:r>
      <w:r>
        <w:rPr>
          <w:rFonts w:hint="eastAsia" w:ascii="宋体" w:hAnsi="宋体" w:eastAsia="宋体"/>
        </w:rPr>
        <w:t>空预器出口</w:t>
      </w:r>
      <w:r>
        <w:rPr>
          <w:rStyle w:val="31"/>
          <w:rFonts w:hint="default" w:ascii="Times New Roman" w:hAnsi="Times New Roman" w:eastAsia="宋体" w:cs="Times New Roman"/>
          <w:color w:val="auto"/>
        </w:rPr>
        <w:t>至</w:t>
      </w:r>
      <w:r>
        <w:rPr>
          <w:rStyle w:val="31"/>
          <w:rFonts w:hint="eastAsia" w:eastAsia="宋体" w:cs="Times New Roman"/>
          <w:color w:val="auto"/>
          <w:lang w:val="en-US" w:eastAsia="zh-CN"/>
        </w:rPr>
        <w:t>烟囱</w:t>
      </w:r>
      <w:r>
        <w:rPr>
          <w:rStyle w:val="31"/>
          <w:rFonts w:hint="default" w:ascii="Times New Roman" w:hAnsi="Times New Roman" w:eastAsia="宋体" w:cs="Times New Roman"/>
          <w:color w:val="auto"/>
        </w:rPr>
        <w:t>入口烟道优化改造</w:t>
      </w:r>
      <w:r>
        <w:rPr>
          <w:rFonts w:ascii="宋体" w:hAnsi="宋体" w:eastAsia="宋体"/>
        </w:rPr>
        <w:t>，为完成本工程所需的所有工作均包含在本工程范围内。工程采取EPC总承包模式</w:t>
      </w:r>
      <w:r>
        <w:rPr>
          <w:rFonts w:hint="eastAsia" w:ascii="宋体" w:hAnsi="宋体" w:eastAsia="宋体"/>
        </w:rPr>
        <w:t>，</w:t>
      </w:r>
      <w:r>
        <w:rPr>
          <w:rFonts w:ascii="宋体" w:hAnsi="宋体" w:eastAsia="宋体"/>
        </w:rPr>
        <w:t>包括设计、制造（含现场制作）、设备及材料供应、运输、储存、安装、工程施工、调试、技术服务、性能考核、售后服务和最终交付等所有工作。</w:t>
      </w:r>
    </w:p>
    <w:p>
      <w:pPr>
        <w:spacing w:line="360" w:lineRule="auto"/>
        <w:ind w:firstLine="480" w:firstLineChars="200"/>
        <w:rPr>
          <w:rFonts w:hint="eastAsia" w:ascii="宋体" w:hAnsi="宋体" w:eastAsia="宋体"/>
        </w:rPr>
      </w:pPr>
      <w:r>
        <w:rPr>
          <w:rFonts w:hint="eastAsia" w:ascii="宋体" w:hAnsi="宋体" w:eastAsia="宋体"/>
        </w:rPr>
        <w:t>投标方</w:t>
      </w:r>
      <w:r>
        <w:rPr>
          <w:rFonts w:ascii="宋体" w:hAnsi="宋体" w:eastAsia="宋体"/>
        </w:rPr>
        <w:t>按照</w:t>
      </w:r>
      <w:r>
        <w:rPr>
          <w:rFonts w:hint="eastAsia" w:ascii="宋体" w:hAnsi="宋体" w:eastAsia="宋体"/>
        </w:rPr>
        <w:t>招标方</w:t>
      </w:r>
      <w:r>
        <w:rPr>
          <w:rFonts w:ascii="宋体" w:hAnsi="宋体" w:eastAsia="宋体"/>
        </w:rPr>
        <w:t>的总体进度要求，组织、参加设计联络会，按时提供基本设计和详细设计文件及施工、安装、运行、检修的说明（手册）等。</w:t>
      </w:r>
    </w:p>
    <w:p>
      <w:pPr>
        <w:spacing w:line="360" w:lineRule="auto"/>
        <w:ind w:firstLine="480" w:firstLineChars="200"/>
        <w:rPr>
          <w:rFonts w:hint="eastAsia" w:ascii="宋体" w:hAnsi="宋体" w:eastAsia="宋体"/>
        </w:rPr>
      </w:pPr>
      <w:r>
        <w:rPr>
          <w:rFonts w:hint="eastAsia" w:ascii="宋体" w:hAnsi="宋体" w:eastAsia="宋体"/>
        </w:rPr>
        <w:t>本改造项目实施时间定为</w:t>
      </w:r>
      <w:r>
        <w:rPr>
          <w:rFonts w:hint="eastAsia" w:ascii="宋体" w:hAnsi="宋体" w:eastAsia="宋体"/>
          <w:color w:val="FF0000"/>
        </w:rPr>
        <w:t>9号锅炉20</w:t>
      </w:r>
      <w:r>
        <w:rPr>
          <w:rFonts w:ascii="宋体" w:hAnsi="宋体" w:eastAsia="宋体"/>
          <w:color w:val="FF0000"/>
        </w:rPr>
        <w:t>2</w:t>
      </w:r>
      <w:r>
        <w:rPr>
          <w:rFonts w:hint="eastAsia" w:ascii="宋体" w:hAnsi="宋体"/>
          <w:color w:val="FF0000"/>
          <w:lang w:val="en-US" w:eastAsia="zh-CN"/>
        </w:rPr>
        <w:t>5</w:t>
      </w:r>
      <w:r>
        <w:rPr>
          <w:rFonts w:hint="eastAsia" w:ascii="宋体" w:hAnsi="宋体" w:eastAsia="宋体"/>
          <w:color w:val="FF0000"/>
        </w:rPr>
        <w:t>年</w:t>
      </w:r>
      <w:r>
        <w:rPr>
          <w:rFonts w:hint="eastAsia" w:ascii="宋体" w:hAnsi="宋体" w:eastAsia="宋体"/>
        </w:rPr>
        <w:t>计划性检修期间进行，具体时间待定。</w:t>
      </w:r>
    </w:p>
    <w:p>
      <w:pPr>
        <w:spacing w:after="120" w:afterLines="50" w:line="300" w:lineRule="auto"/>
        <w:rPr>
          <w:rFonts w:hint="eastAsia" w:ascii="宋体" w:hAnsi="宋体" w:eastAsia="宋体"/>
          <w:sz w:val="28"/>
          <w:szCs w:val="28"/>
        </w:rPr>
      </w:pPr>
      <w:r>
        <w:rPr>
          <w:rFonts w:ascii="宋体" w:hAnsi="宋体" w:eastAsia="宋体"/>
          <w:sz w:val="28"/>
          <w:szCs w:val="28"/>
        </w:rPr>
        <w:t>2.2改造内容</w:t>
      </w:r>
    </w:p>
    <w:p>
      <w:pPr>
        <w:spacing w:before="120" w:beforeLines="50" w:line="360" w:lineRule="auto"/>
      </w:pPr>
      <w:r>
        <w:rPr>
          <w:rFonts w:hint="eastAsia"/>
        </w:rPr>
        <w:t>（1）空预器出口烟道优化</w:t>
      </w:r>
      <w:r>
        <w:t>改造</w:t>
      </w:r>
    </w:p>
    <w:p>
      <w:pPr>
        <w:spacing w:line="360" w:lineRule="auto"/>
        <w:ind w:firstLine="480" w:firstLineChars="200"/>
        <w:rPr>
          <w:rFonts w:hint="eastAsia" w:ascii="宋体" w:hAnsi="宋体" w:eastAsia="宋体"/>
        </w:rPr>
      </w:pPr>
      <w:r>
        <w:rPr>
          <w:rFonts w:ascii="宋体" w:hAnsi="宋体" w:eastAsia="宋体"/>
        </w:rPr>
        <w:t>改造目的：最大程度降低</w:t>
      </w:r>
      <w:r>
        <w:rPr>
          <w:rFonts w:hint="eastAsia" w:ascii="宋体" w:hAnsi="宋体" w:eastAsia="宋体"/>
        </w:rPr>
        <w:t>空预器</w:t>
      </w:r>
      <w:r>
        <w:rPr>
          <w:rFonts w:ascii="宋体" w:hAnsi="宋体" w:eastAsia="宋体"/>
        </w:rPr>
        <w:t>出口</w:t>
      </w:r>
      <w:r>
        <w:rPr>
          <w:rFonts w:hint="eastAsia" w:ascii="宋体" w:hAnsi="宋体" w:eastAsia="宋体"/>
        </w:rPr>
        <w:t>至</w:t>
      </w:r>
      <w:r>
        <w:rPr>
          <w:rFonts w:hint="eastAsia" w:ascii="宋体" w:hAnsi="宋体"/>
          <w:lang w:val="en-US" w:eastAsia="zh-CN"/>
        </w:rPr>
        <w:t>烟囱</w:t>
      </w:r>
      <w:r>
        <w:rPr>
          <w:rFonts w:hint="eastAsia" w:ascii="宋体" w:hAnsi="宋体" w:eastAsia="宋体"/>
        </w:rPr>
        <w:t>入口</w:t>
      </w:r>
      <w:r>
        <w:rPr>
          <w:rFonts w:ascii="宋体" w:hAnsi="宋体" w:eastAsia="宋体"/>
        </w:rPr>
        <w:t>烟道阻力，达到降阻提效的目的</w:t>
      </w:r>
      <w:r>
        <w:rPr>
          <w:rFonts w:hint="eastAsia" w:ascii="宋体" w:hAnsi="宋体" w:eastAsia="宋体"/>
        </w:rPr>
        <w:t>；</w:t>
      </w:r>
      <w:r>
        <w:rPr>
          <w:rFonts w:ascii="宋体" w:hAnsi="宋体" w:eastAsia="宋体"/>
        </w:rPr>
        <w:t>最大程度提升引风机进</w:t>
      </w:r>
      <w:r>
        <w:rPr>
          <w:rFonts w:hint="eastAsia" w:ascii="宋体" w:hAnsi="宋体" w:eastAsia="宋体"/>
        </w:rPr>
        <w:t>、</w:t>
      </w:r>
      <w:r>
        <w:rPr>
          <w:rFonts w:ascii="宋体" w:hAnsi="宋体" w:eastAsia="宋体"/>
        </w:rPr>
        <w:t>出烟道流场分布均匀性，为引风机运行创造均匀稳定的流场外部环境，提升引风机运行可靠性；</w:t>
      </w:r>
    </w:p>
    <w:p>
      <w:pPr>
        <w:pStyle w:val="8"/>
        <w:tabs>
          <w:tab w:val="left" w:pos="567"/>
        </w:tabs>
        <w:spacing w:before="120" w:beforeLines="50" w:after="120" w:afterLines="50" w:line="360" w:lineRule="auto"/>
        <w:ind w:firstLine="0"/>
        <w:rPr>
          <w:szCs w:val="24"/>
        </w:rPr>
      </w:pPr>
      <w:r>
        <w:rPr>
          <w:rFonts w:hint="eastAsia"/>
          <w:szCs w:val="24"/>
        </w:rPr>
        <w:t>（2）</w:t>
      </w:r>
      <w:r>
        <w:rPr>
          <w:szCs w:val="24"/>
        </w:rPr>
        <w:t>工程内容包括：</w:t>
      </w:r>
    </w:p>
    <w:p>
      <w:pPr>
        <w:pStyle w:val="3"/>
        <w:ind w:firstLineChars="200"/>
        <w:rPr>
          <w:bCs/>
        </w:rPr>
      </w:pPr>
      <w:r>
        <w:rPr>
          <w:rFonts w:hint="eastAsia" w:hAnsi="宋体"/>
          <w:color w:val="auto"/>
          <w:szCs w:val="24"/>
        </w:rPr>
        <w:t>投标方确保供货范围完整，以能满足用户安装、运行要求为原则，在技术协议中涉及的供货要求也作为本供货范围的补充，若在安装、调试、运行中发现缺项（属投标方供货范围）由投标方补充。</w:t>
      </w:r>
      <w:r>
        <w:rPr>
          <w:rFonts w:hint="eastAsia"/>
          <w:bCs/>
          <w:color w:val="auto"/>
        </w:rPr>
        <w:t>项目范围包括：</w:t>
      </w:r>
    </w:p>
    <w:p>
      <w:pPr>
        <w:pStyle w:val="4"/>
        <w:numPr>
          <w:ilvl w:val="0"/>
          <w:numId w:val="7"/>
        </w:numPr>
        <w:spacing w:line="360" w:lineRule="auto"/>
        <w:ind w:firstLine="480" w:firstLineChars="200"/>
        <w:rPr>
          <w:rStyle w:val="31"/>
          <w:rFonts w:hint="default" w:ascii="Times New Roman" w:hAnsi="Times New Roman" w:cs="Times New Roman"/>
          <w:bCs/>
          <w:color w:val="auto"/>
        </w:rPr>
      </w:pPr>
      <w:r>
        <w:rPr>
          <w:rStyle w:val="31"/>
          <w:rFonts w:hint="default" w:ascii="Times New Roman" w:hAnsi="Times New Roman" w:cs="Times New Roman"/>
          <w:bCs/>
          <w:color w:val="auto"/>
        </w:rPr>
        <w:t>前期现场勘查（按需）</w:t>
      </w:r>
      <w:r>
        <w:rPr>
          <w:rStyle w:val="31"/>
          <w:rFonts w:hint="eastAsia" w:cs="Times New Roman"/>
          <w:bCs/>
          <w:color w:val="auto"/>
          <w:lang w:eastAsia="zh-CN"/>
        </w:rPr>
        <w:t>，</w:t>
      </w:r>
      <w:r>
        <w:rPr>
          <w:rStyle w:val="31"/>
          <w:rFonts w:hint="eastAsia" w:cs="Times New Roman"/>
          <w:bCs/>
          <w:color w:val="auto"/>
          <w:lang w:val="en-US" w:eastAsia="zh-CN"/>
        </w:rPr>
        <w:t>摸底</w:t>
      </w:r>
      <w:r>
        <w:rPr>
          <w:rStyle w:val="31"/>
          <w:rFonts w:hint="eastAsia" w:cs="Times New Roman"/>
          <w:bCs/>
          <w:color w:val="auto"/>
          <w:lang w:eastAsia="zh-CN"/>
        </w:rPr>
        <w:t>试验</w:t>
      </w:r>
      <w:r>
        <w:rPr>
          <w:rStyle w:val="31"/>
          <w:rFonts w:hint="default" w:ascii="Times New Roman" w:hAnsi="Times New Roman" w:cs="Times New Roman"/>
          <w:bCs/>
          <w:color w:val="auto"/>
        </w:rPr>
        <w:t>；</w:t>
      </w:r>
    </w:p>
    <w:p>
      <w:pPr>
        <w:pStyle w:val="4"/>
        <w:numPr>
          <w:ilvl w:val="0"/>
          <w:numId w:val="7"/>
        </w:numPr>
        <w:spacing w:line="360" w:lineRule="auto"/>
        <w:ind w:firstLine="480" w:firstLineChars="200"/>
        <w:rPr>
          <w:rStyle w:val="31"/>
          <w:rFonts w:hint="default" w:ascii="Times New Roman" w:hAnsi="Times New Roman" w:cs="Times New Roman"/>
          <w:bCs/>
          <w:color w:val="auto"/>
        </w:rPr>
      </w:pPr>
      <w:r>
        <w:rPr>
          <w:rStyle w:val="31"/>
          <w:rFonts w:hint="default" w:ascii="Times New Roman" w:hAnsi="Times New Roman" w:cs="Times New Roman"/>
          <w:bCs/>
          <w:color w:val="auto"/>
        </w:rPr>
        <w:t>详细的CFD数值模拟方案设计；</w:t>
      </w:r>
    </w:p>
    <w:p>
      <w:pPr>
        <w:pStyle w:val="4"/>
        <w:numPr>
          <w:ilvl w:val="0"/>
          <w:numId w:val="7"/>
        </w:numPr>
        <w:ind w:firstLine="480" w:firstLineChars="200"/>
        <w:rPr>
          <w:rStyle w:val="31"/>
          <w:rFonts w:hint="default" w:eastAsia="宋体"/>
          <w:bCs/>
          <w:color w:val="auto"/>
          <w:lang w:val="en-US" w:eastAsia="zh-CN"/>
        </w:rPr>
      </w:pPr>
      <w:r>
        <w:rPr>
          <w:rStyle w:val="31"/>
          <w:rFonts w:hint="default" w:ascii="Times New Roman" w:cs="Times New Roman"/>
          <w:bCs/>
          <w:color w:val="auto"/>
          <w:lang w:val="en-US" w:eastAsia="zh-CN"/>
        </w:rPr>
        <w:t xml:space="preserve">施工图设计和竣工图编制； </w:t>
      </w:r>
    </w:p>
    <w:p>
      <w:pPr>
        <w:pStyle w:val="4"/>
        <w:numPr>
          <w:ilvl w:val="0"/>
          <w:numId w:val="7"/>
        </w:numPr>
        <w:spacing w:line="360" w:lineRule="auto"/>
        <w:ind w:firstLine="480" w:firstLineChars="200"/>
        <w:rPr>
          <w:rStyle w:val="31"/>
          <w:rFonts w:hint="default" w:ascii="Times New Roman" w:hAnsi="Times New Roman" w:cs="Times New Roman"/>
          <w:bCs/>
          <w:color w:val="auto"/>
        </w:rPr>
      </w:pPr>
      <w:r>
        <w:rPr>
          <w:rStyle w:val="31"/>
          <w:rFonts w:hint="default" w:ascii="Times New Roman" w:hAnsi="Times New Roman" w:cs="Times New Roman"/>
          <w:bCs/>
          <w:color w:val="auto"/>
        </w:rPr>
        <w:t>设备监造及供货（含运输）；</w:t>
      </w:r>
    </w:p>
    <w:p>
      <w:pPr>
        <w:pStyle w:val="4"/>
        <w:numPr>
          <w:ilvl w:val="0"/>
          <w:numId w:val="7"/>
        </w:numPr>
        <w:ind w:firstLine="480" w:firstLineChars="200"/>
        <w:rPr>
          <w:rStyle w:val="31"/>
          <w:rFonts w:hint="default" w:eastAsia="宋体"/>
          <w:bCs/>
          <w:color w:val="auto"/>
          <w:lang w:val="en-US" w:eastAsia="zh-CN"/>
        </w:rPr>
      </w:pPr>
      <w:r>
        <w:rPr>
          <w:rStyle w:val="31"/>
          <w:rFonts w:hint="default"/>
          <w:bCs/>
          <w:color w:val="auto"/>
        </w:rPr>
        <w:t>烟道强度校核</w:t>
      </w:r>
      <w:r>
        <w:rPr>
          <w:rStyle w:val="31"/>
          <w:rFonts w:hint="default"/>
          <w:bCs/>
          <w:color w:val="auto"/>
          <w:lang w:val="en-US" w:eastAsia="zh-CN"/>
        </w:rPr>
        <w:t>及出具校核报告：</w:t>
      </w:r>
      <w:r>
        <w:rPr>
          <w:rStyle w:val="31"/>
          <w:rFonts w:hint="default" w:ascii="Times New Roman" w:hAnsi="Times New Roman" w:cs="Times New Roman"/>
          <w:bCs/>
          <w:snapToGrid/>
          <w:color w:val="auto"/>
          <w:spacing w:val="0"/>
          <w:szCs w:val="24"/>
        </w:rPr>
        <w:t>须具备</w:t>
      </w:r>
      <w:r>
        <w:rPr>
          <w:rStyle w:val="31"/>
          <w:rFonts w:hint="default" w:ascii="Times New Roman" w:hAnsi="Times New Roman" w:cs="Times New Roman"/>
          <w:bCs/>
          <w:snapToGrid/>
          <w:color w:val="auto"/>
          <w:spacing w:val="0"/>
          <w:szCs w:val="24"/>
          <w:highlight w:val="none"/>
        </w:rPr>
        <w:t>CMA中国计量认证证书或CNAS中国合格评定国家认可证书</w:t>
      </w:r>
      <w:r>
        <w:rPr>
          <w:rStyle w:val="31"/>
          <w:rFonts w:hint="default" w:ascii="Times New Roman" w:cs="Times New Roman"/>
          <w:bCs/>
          <w:snapToGrid/>
          <w:color w:val="auto"/>
          <w:spacing w:val="0"/>
          <w:szCs w:val="24"/>
          <w:highlight w:val="none"/>
          <w:lang w:val="en-US" w:eastAsia="zh-CN"/>
        </w:rPr>
        <w:t>的单位出具</w:t>
      </w:r>
    </w:p>
    <w:p>
      <w:pPr>
        <w:pStyle w:val="4"/>
        <w:numPr>
          <w:ilvl w:val="0"/>
          <w:numId w:val="7"/>
        </w:numPr>
        <w:spacing w:line="360" w:lineRule="auto"/>
        <w:ind w:firstLine="480" w:firstLineChars="200"/>
        <w:rPr>
          <w:rStyle w:val="31"/>
          <w:rFonts w:hint="default" w:ascii="Times New Roman" w:hAnsi="Times New Roman" w:cs="Times New Roman"/>
          <w:bCs/>
          <w:color w:val="auto"/>
        </w:rPr>
      </w:pPr>
      <w:r>
        <w:rPr>
          <w:rStyle w:val="31"/>
          <w:rFonts w:hint="default" w:ascii="Times New Roman" w:hAnsi="Times New Roman" w:cs="Times New Roman"/>
          <w:bCs/>
          <w:color w:val="auto"/>
        </w:rPr>
        <w:t>现场施工；</w:t>
      </w:r>
    </w:p>
    <w:p>
      <w:pPr>
        <w:pStyle w:val="4"/>
        <w:numPr>
          <w:ilvl w:val="0"/>
          <w:numId w:val="7"/>
        </w:numPr>
        <w:spacing w:line="360" w:lineRule="auto"/>
        <w:ind w:firstLine="480" w:firstLineChars="200"/>
        <w:rPr>
          <w:rStyle w:val="31"/>
          <w:rFonts w:hint="default" w:ascii="Times New Roman" w:hAnsi="Times New Roman" w:cs="Times New Roman"/>
          <w:bCs/>
          <w:color w:val="auto"/>
          <w:highlight w:val="none"/>
        </w:rPr>
      </w:pPr>
      <w:r>
        <w:rPr>
          <w:rStyle w:val="31"/>
          <w:rFonts w:hint="default" w:ascii="Times New Roman" w:hAnsi="Times New Roman" w:cs="Times New Roman"/>
          <w:bCs/>
          <w:color w:val="auto"/>
          <w:highlight w:val="none"/>
        </w:rPr>
        <w:t>安装完成后的设备调试</w:t>
      </w:r>
      <w:r>
        <w:rPr>
          <w:rStyle w:val="31"/>
          <w:rFonts w:hint="eastAsia" w:cs="Times New Roman"/>
          <w:bCs/>
          <w:color w:val="auto"/>
          <w:highlight w:val="none"/>
          <w:lang w:val="en-US" w:eastAsia="zh-CN"/>
        </w:rPr>
        <w:t>和试验</w:t>
      </w:r>
      <w:r>
        <w:rPr>
          <w:rStyle w:val="31"/>
          <w:rFonts w:hint="default" w:ascii="Times New Roman" w:hAnsi="Times New Roman" w:cs="Times New Roman"/>
          <w:bCs/>
          <w:color w:val="auto"/>
          <w:highlight w:val="none"/>
        </w:rPr>
        <w:t>；</w:t>
      </w:r>
    </w:p>
    <w:p>
      <w:pPr>
        <w:numPr>
          <w:ilvl w:val="0"/>
          <w:numId w:val="0"/>
        </w:numPr>
        <w:spacing w:line="360" w:lineRule="auto"/>
        <w:ind w:leftChars="0" w:firstLine="480" w:firstLineChars="200"/>
        <w:rPr>
          <w:rStyle w:val="31"/>
          <w:rFonts w:hint="default" w:ascii="Times New Roman" w:hAnsi="Times New Roman" w:eastAsia="宋体" w:cs="Times New Roman"/>
          <w:bCs/>
          <w:color w:val="auto"/>
          <w:kern w:val="2"/>
          <w:sz w:val="24"/>
          <w:szCs w:val="24"/>
          <w:highlight w:val="none"/>
          <w:lang w:val="en-US" w:eastAsia="zh-CN" w:bidi="ar-SA"/>
        </w:rPr>
      </w:pPr>
      <w:r>
        <w:rPr>
          <w:rStyle w:val="31"/>
          <w:rFonts w:hint="eastAsia" w:ascii="Times New Roman" w:hAnsi="Times New Roman" w:eastAsia="宋体" w:cs="Times New Roman"/>
          <w:bCs/>
          <w:color w:val="auto"/>
          <w:kern w:val="2"/>
          <w:sz w:val="24"/>
          <w:szCs w:val="24"/>
          <w:highlight w:val="none"/>
          <w:lang w:val="en-US" w:eastAsia="zh-CN" w:bidi="ar-SA"/>
        </w:rPr>
        <w:t>8）配合完成改造后的测试试验，并配合招标方委托的第三方单位提交试验报告给招标方验收。</w:t>
      </w:r>
    </w:p>
    <w:p>
      <w:pPr>
        <w:spacing w:after="120" w:afterLines="50" w:line="300" w:lineRule="auto"/>
        <w:rPr>
          <w:rFonts w:hint="eastAsia" w:ascii="宋体" w:hAnsi="宋体" w:eastAsia="宋体"/>
          <w:sz w:val="28"/>
          <w:szCs w:val="28"/>
        </w:rPr>
      </w:pPr>
      <w:r>
        <w:rPr>
          <w:rFonts w:hint="eastAsia" w:ascii="宋体" w:hAnsi="宋体" w:eastAsia="宋体"/>
          <w:sz w:val="28"/>
          <w:szCs w:val="28"/>
        </w:rPr>
        <w:t>2</w:t>
      </w:r>
      <w:r>
        <w:rPr>
          <w:rFonts w:ascii="宋体" w:hAnsi="宋体" w:eastAsia="宋体"/>
          <w:sz w:val="28"/>
          <w:szCs w:val="28"/>
        </w:rPr>
        <w:t xml:space="preserve">.3 </w:t>
      </w:r>
      <w:r>
        <w:rPr>
          <w:rFonts w:hint="eastAsia" w:ascii="宋体" w:hAnsi="宋体" w:eastAsia="宋体"/>
          <w:sz w:val="28"/>
          <w:szCs w:val="28"/>
        </w:rPr>
        <w:t>设备范围</w:t>
      </w:r>
      <w:r>
        <w:rPr>
          <w:rFonts w:ascii="宋体" w:hAnsi="宋体" w:eastAsia="宋体"/>
          <w:sz w:val="28"/>
          <w:szCs w:val="28"/>
        </w:rPr>
        <w:t>（</w:t>
      </w:r>
      <w:r>
        <w:rPr>
          <w:rFonts w:hint="eastAsia" w:ascii="宋体" w:hAnsi="宋体" w:eastAsia="宋体"/>
          <w:sz w:val="28"/>
          <w:szCs w:val="28"/>
        </w:rPr>
        <w:t>单</w:t>
      </w:r>
      <w:r>
        <w:rPr>
          <w:rFonts w:ascii="宋体" w:hAnsi="宋体" w:eastAsia="宋体"/>
          <w:sz w:val="28"/>
          <w:szCs w:val="28"/>
        </w:rPr>
        <w:t>台机组</w:t>
      </w:r>
      <w:r>
        <w:rPr>
          <w:rFonts w:hint="eastAsia" w:ascii="宋体" w:hAnsi="宋体" w:eastAsia="宋体"/>
          <w:sz w:val="28"/>
          <w:szCs w:val="28"/>
        </w:rPr>
        <w:t>，但不限于此</w:t>
      </w:r>
      <w:r>
        <w:rPr>
          <w:rFonts w:ascii="宋体" w:hAnsi="宋体" w:eastAsia="宋体"/>
          <w:sz w:val="28"/>
          <w:szCs w:val="28"/>
        </w:rPr>
        <w:t>）</w:t>
      </w:r>
    </w:p>
    <w:p>
      <w:pPr>
        <w:spacing w:line="500" w:lineRule="exact"/>
        <w:ind w:firstLine="480" w:firstLineChars="200"/>
      </w:pPr>
      <w:r>
        <w:t>投标人要确认此范围并提供细化清单</w:t>
      </w:r>
    </w:p>
    <w:tbl>
      <w:tblPr>
        <w:tblStyle w:val="29"/>
        <w:tblW w:w="900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92"/>
        <w:gridCol w:w="1068"/>
        <w:gridCol w:w="720"/>
        <w:gridCol w:w="720"/>
        <w:gridCol w:w="720"/>
        <w:gridCol w:w="1260"/>
        <w:gridCol w:w="18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sz w:val="21"/>
                <w:szCs w:val="21"/>
              </w:rPr>
            </w:pPr>
            <w:r>
              <w:rPr>
                <w:rFonts w:hint="eastAsia"/>
                <w:sz w:val="21"/>
                <w:szCs w:val="21"/>
              </w:rPr>
              <w:t>序号</w:t>
            </w:r>
          </w:p>
        </w:tc>
        <w:tc>
          <w:tcPr>
            <w:tcW w:w="1992" w:type="dxa"/>
            <w:vAlign w:val="center"/>
          </w:tcPr>
          <w:p>
            <w:pPr>
              <w:jc w:val="center"/>
              <w:rPr>
                <w:sz w:val="21"/>
                <w:szCs w:val="21"/>
              </w:rPr>
            </w:pPr>
            <w:r>
              <w:rPr>
                <w:rFonts w:hint="eastAsia"/>
                <w:sz w:val="21"/>
                <w:szCs w:val="21"/>
              </w:rPr>
              <w:t>名称</w:t>
            </w:r>
          </w:p>
        </w:tc>
        <w:tc>
          <w:tcPr>
            <w:tcW w:w="1068" w:type="dxa"/>
            <w:vAlign w:val="center"/>
          </w:tcPr>
          <w:p>
            <w:pPr>
              <w:jc w:val="center"/>
              <w:rPr>
                <w:sz w:val="21"/>
                <w:szCs w:val="21"/>
              </w:rPr>
            </w:pPr>
            <w:r>
              <w:rPr>
                <w:rFonts w:hint="eastAsia"/>
                <w:sz w:val="21"/>
                <w:szCs w:val="21"/>
              </w:rPr>
              <w:t>规格型号</w:t>
            </w:r>
          </w:p>
        </w:tc>
        <w:tc>
          <w:tcPr>
            <w:tcW w:w="720" w:type="dxa"/>
            <w:vAlign w:val="center"/>
          </w:tcPr>
          <w:p>
            <w:pPr>
              <w:jc w:val="center"/>
              <w:rPr>
                <w:sz w:val="21"/>
                <w:szCs w:val="21"/>
              </w:rPr>
            </w:pPr>
            <w:r>
              <w:rPr>
                <w:rFonts w:hint="eastAsia"/>
                <w:sz w:val="21"/>
                <w:szCs w:val="21"/>
              </w:rPr>
              <w:t>单位</w:t>
            </w:r>
          </w:p>
        </w:tc>
        <w:tc>
          <w:tcPr>
            <w:tcW w:w="720" w:type="dxa"/>
            <w:vAlign w:val="center"/>
          </w:tcPr>
          <w:p>
            <w:pPr>
              <w:jc w:val="center"/>
              <w:rPr>
                <w:sz w:val="21"/>
                <w:szCs w:val="21"/>
              </w:rPr>
            </w:pPr>
            <w:r>
              <w:rPr>
                <w:rFonts w:hint="eastAsia"/>
                <w:sz w:val="21"/>
                <w:szCs w:val="21"/>
              </w:rPr>
              <w:t>数量</w:t>
            </w:r>
          </w:p>
        </w:tc>
        <w:tc>
          <w:tcPr>
            <w:tcW w:w="720" w:type="dxa"/>
            <w:vAlign w:val="center"/>
          </w:tcPr>
          <w:p>
            <w:pPr>
              <w:jc w:val="center"/>
              <w:rPr>
                <w:sz w:val="21"/>
                <w:szCs w:val="21"/>
              </w:rPr>
            </w:pPr>
            <w:r>
              <w:rPr>
                <w:rFonts w:hint="eastAsia"/>
                <w:sz w:val="21"/>
                <w:szCs w:val="21"/>
              </w:rPr>
              <w:t>产地</w:t>
            </w:r>
          </w:p>
        </w:tc>
        <w:tc>
          <w:tcPr>
            <w:tcW w:w="1260" w:type="dxa"/>
            <w:vAlign w:val="center"/>
          </w:tcPr>
          <w:p>
            <w:pPr>
              <w:jc w:val="center"/>
              <w:rPr>
                <w:sz w:val="21"/>
                <w:szCs w:val="21"/>
              </w:rPr>
            </w:pPr>
            <w:r>
              <w:rPr>
                <w:rFonts w:hint="eastAsia"/>
                <w:sz w:val="21"/>
                <w:szCs w:val="21"/>
              </w:rPr>
              <w:t>生产厂家</w:t>
            </w:r>
          </w:p>
        </w:tc>
        <w:tc>
          <w:tcPr>
            <w:tcW w:w="1800" w:type="dxa"/>
            <w:vAlign w:val="center"/>
          </w:tcPr>
          <w:p>
            <w:pPr>
              <w:jc w:val="center"/>
              <w:rPr>
                <w:sz w:val="21"/>
                <w:szCs w:val="21"/>
              </w:rPr>
            </w:pPr>
            <w:r>
              <w:rPr>
                <w:rFonts w:hint="eastAsia"/>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720" w:type="dxa"/>
            <w:vAlign w:val="center"/>
          </w:tcPr>
          <w:p>
            <w:pPr>
              <w:jc w:val="center"/>
              <w:rPr>
                <w:sz w:val="21"/>
                <w:szCs w:val="21"/>
              </w:rPr>
            </w:pPr>
            <w:r>
              <w:rPr>
                <w:rFonts w:hint="eastAsia"/>
                <w:sz w:val="21"/>
                <w:szCs w:val="21"/>
              </w:rPr>
              <w:t>1</w:t>
            </w:r>
          </w:p>
        </w:tc>
        <w:tc>
          <w:tcPr>
            <w:tcW w:w="1992" w:type="dxa"/>
            <w:vAlign w:val="center"/>
          </w:tcPr>
          <w:p>
            <w:pPr>
              <w:jc w:val="center"/>
              <w:rPr>
                <w:sz w:val="21"/>
                <w:szCs w:val="21"/>
              </w:rPr>
            </w:pPr>
            <w:r>
              <w:rPr>
                <w:rFonts w:hint="eastAsia"/>
                <w:sz w:val="21"/>
                <w:szCs w:val="21"/>
              </w:rPr>
              <w:t>空预器出口至电除尘入口导流板组</w:t>
            </w:r>
          </w:p>
        </w:tc>
        <w:tc>
          <w:tcPr>
            <w:tcW w:w="1068" w:type="dxa"/>
            <w:vAlign w:val="center"/>
          </w:tcPr>
          <w:p>
            <w:pPr>
              <w:pStyle w:val="4"/>
              <w:jc w:val="center"/>
              <w:rPr>
                <w:rFonts w:hint="default" w:ascii="Times New Roman" w:hAnsi="Times New Roman" w:eastAsia="宋体" w:cs="Times New Roman"/>
                <w:color w:val="auto"/>
                <w:kern w:val="2"/>
                <w:sz w:val="21"/>
                <w:szCs w:val="21"/>
                <w:highlight w:val="yellow"/>
                <w:lang w:val="en-US" w:eastAsia="zh-CN" w:bidi="ar-SA"/>
              </w:rPr>
            </w:pPr>
            <w:r>
              <w:rPr>
                <w:rStyle w:val="31"/>
                <w:rFonts w:hint="eastAsia" w:cs="Times New Roman"/>
                <w:color w:val="auto"/>
                <w:sz w:val="21"/>
                <w:szCs w:val="21"/>
                <w:highlight w:val="yellow"/>
                <w:lang w:val="en-US" w:eastAsia="zh-CN"/>
              </w:rPr>
              <w:t>Q235</w:t>
            </w:r>
          </w:p>
        </w:tc>
        <w:tc>
          <w:tcPr>
            <w:tcW w:w="720" w:type="dxa"/>
            <w:vAlign w:val="center"/>
          </w:tcPr>
          <w:p>
            <w:pPr>
              <w:jc w:val="center"/>
              <w:rPr>
                <w:sz w:val="21"/>
                <w:szCs w:val="21"/>
              </w:rPr>
            </w:pPr>
            <w:r>
              <w:rPr>
                <w:rFonts w:hint="eastAsia"/>
                <w:sz w:val="21"/>
                <w:szCs w:val="21"/>
              </w:rPr>
              <w:t>套</w:t>
            </w:r>
          </w:p>
        </w:tc>
        <w:tc>
          <w:tcPr>
            <w:tcW w:w="720" w:type="dxa"/>
            <w:vAlign w:val="center"/>
          </w:tcPr>
          <w:p>
            <w:pPr>
              <w:jc w:val="center"/>
              <w:rPr>
                <w:sz w:val="21"/>
                <w:szCs w:val="21"/>
              </w:rPr>
            </w:pPr>
            <w:r>
              <w:rPr>
                <w:rFonts w:hint="eastAsia"/>
                <w:sz w:val="21"/>
                <w:szCs w:val="21"/>
              </w:rPr>
              <w:t>1</w:t>
            </w:r>
          </w:p>
        </w:tc>
        <w:tc>
          <w:tcPr>
            <w:tcW w:w="720" w:type="dxa"/>
            <w:vAlign w:val="center"/>
          </w:tcPr>
          <w:p>
            <w:pPr>
              <w:jc w:val="center"/>
              <w:rPr>
                <w:sz w:val="21"/>
                <w:szCs w:val="21"/>
              </w:rPr>
            </w:pPr>
          </w:p>
        </w:tc>
        <w:tc>
          <w:tcPr>
            <w:tcW w:w="1260" w:type="dxa"/>
            <w:vAlign w:val="center"/>
          </w:tcPr>
          <w:p>
            <w:pPr>
              <w:jc w:val="center"/>
              <w:rPr>
                <w:sz w:val="21"/>
                <w:szCs w:val="21"/>
              </w:rPr>
            </w:pPr>
          </w:p>
        </w:tc>
        <w:tc>
          <w:tcPr>
            <w:tcW w:w="1800" w:type="dxa"/>
            <w:vAlign w:val="center"/>
          </w:tcPr>
          <w:p>
            <w:pPr>
              <w:jc w:val="center"/>
              <w:rPr>
                <w:sz w:val="21"/>
                <w:szCs w:val="21"/>
              </w:rPr>
            </w:pPr>
            <w:r>
              <w:rPr>
                <w:rStyle w:val="31"/>
                <w:rFonts w:hint="eastAsia" w:cs="Times New Roman"/>
                <w:color w:val="auto"/>
                <w:sz w:val="21"/>
                <w:szCs w:val="21"/>
                <w:highlight w:val="yellow"/>
                <w:lang w:val="en-US" w:eastAsia="zh-CN"/>
              </w:rPr>
              <w:t>厚度不小于5mm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720" w:type="dxa"/>
            <w:tcBorders>
              <w:bottom w:val="single" w:color="auto" w:sz="4" w:space="0"/>
            </w:tcBorders>
            <w:vAlign w:val="center"/>
          </w:tcPr>
          <w:p>
            <w:pPr>
              <w:jc w:val="center"/>
              <w:rPr>
                <w:sz w:val="21"/>
                <w:szCs w:val="21"/>
              </w:rPr>
            </w:pPr>
            <w:r>
              <w:rPr>
                <w:rFonts w:hint="eastAsia"/>
                <w:sz w:val="21"/>
                <w:szCs w:val="21"/>
              </w:rPr>
              <w:t>2</w:t>
            </w:r>
          </w:p>
        </w:tc>
        <w:tc>
          <w:tcPr>
            <w:tcW w:w="1992" w:type="dxa"/>
            <w:tcBorders>
              <w:bottom w:val="single" w:color="auto" w:sz="4" w:space="0"/>
            </w:tcBorders>
            <w:vAlign w:val="center"/>
          </w:tcPr>
          <w:p>
            <w:pPr>
              <w:jc w:val="center"/>
              <w:rPr>
                <w:sz w:val="21"/>
                <w:szCs w:val="21"/>
              </w:rPr>
            </w:pPr>
            <w:r>
              <w:rPr>
                <w:rFonts w:hint="eastAsia"/>
                <w:sz w:val="21"/>
                <w:szCs w:val="21"/>
              </w:rPr>
              <w:t>电除尘出口至引风机入口导流板组</w:t>
            </w:r>
          </w:p>
        </w:tc>
        <w:tc>
          <w:tcPr>
            <w:tcW w:w="1068" w:type="dxa"/>
            <w:tcBorders>
              <w:bottom w:val="single" w:color="auto" w:sz="4" w:space="0"/>
            </w:tcBorders>
            <w:vAlign w:val="center"/>
          </w:tcPr>
          <w:p>
            <w:pPr>
              <w:pStyle w:val="4"/>
              <w:jc w:val="center"/>
              <w:rPr>
                <w:rFonts w:hint="default" w:ascii="Times New Roman" w:hAnsi="Times New Roman" w:eastAsia="宋体" w:cs="Times New Roman"/>
                <w:color w:val="auto"/>
                <w:kern w:val="2"/>
                <w:sz w:val="21"/>
                <w:szCs w:val="21"/>
                <w:highlight w:val="yellow"/>
                <w:lang w:val="en-US" w:eastAsia="zh-CN" w:bidi="ar-SA"/>
              </w:rPr>
            </w:pPr>
            <w:r>
              <w:rPr>
                <w:rStyle w:val="31"/>
                <w:rFonts w:hint="eastAsia" w:cs="Times New Roman"/>
                <w:color w:val="auto"/>
                <w:sz w:val="21"/>
                <w:szCs w:val="21"/>
                <w:highlight w:val="yellow"/>
                <w:lang w:val="en-US" w:eastAsia="zh-CN"/>
              </w:rPr>
              <w:t>Q235</w:t>
            </w:r>
          </w:p>
        </w:tc>
        <w:tc>
          <w:tcPr>
            <w:tcW w:w="720" w:type="dxa"/>
            <w:tcBorders>
              <w:bottom w:val="single" w:color="auto" w:sz="4" w:space="0"/>
            </w:tcBorders>
            <w:vAlign w:val="center"/>
          </w:tcPr>
          <w:p>
            <w:pPr>
              <w:jc w:val="center"/>
              <w:rPr>
                <w:sz w:val="21"/>
                <w:szCs w:val="21"/>
              </w:rPr>
            </w:pPr>
            <w:r>
              <w:rPr>
                <w:rFonts w:hint="eastAsia"/>
                <w:sz w:val="21"/>
                <w:szCs w:val="21"/>
              </w:rPr>
              <w:t>套</w:t>
            </w:r>
          </w:p>
        </w:tc>
        <w:tc>
          <w:tcPr>
            <w:tcW w:w="720" w:type="dxa"/>
            <w:tcBorders>
              <w:bottom w:val="single" w:color="auto" w:sz="4" w:space="0"/>
            </w:tcBorders>
            <w:vAlign w:val="center"/>
          </w:tcPr>
          <w:p>
            <w:pPr>
              <w:jc w:val="center"/>
              <w:rPr>
                <w:sz w:val="21"/>
                <w:szCs w:val="21"/>
              </w:rPr>
            </w:pPr>
            <w:r>
              <w:rPr>
                <w:rFonts w:hint="eastAsia"/>
                <w:sz w:val="21"/>
                <w:szCs w:val="21"/>
              </w:rPr>
              <w:t>1</w:t>
            </w:r>
          </w:p>
        </w:tc>
        <w:tc>
          <w:tcPr>
            <w:tcW w:w="720" w:type="dxa"/>
            <w:tcBorders>
              <w:bottom w:val="single" w:color="auto" w:sz="4" w:space="0"/>
            </w:tcBorders>
            <w:vAlign w:val="center"/>
          </w:tcPr>
          <w:p>
            <w:pPr>
              <w:jc w:val="center"/>
              <w:rPr>
                <w:sz w:val="21"/>
                <w:szCs w:val="21"/>
              </w:rPr>
            </w:pPr>
          </w:p>
        </w:tc>
        <w:tc>
          <w:tcPr>
            <w:tcW w:w="1260" w:type="dxa"/>
            <w:tcBorders>
              <w:bottom w:val="single" w:color="auto" w:sz="4" w:space="0"/>
            </w:tcBorders>
            <w:vAlign w:val="center"/>
          </w:tcPr>
          <w:p>
            <w:pPr>
              <w:jc w:val="center"/>
              <w:rPr>
                <w:sz w:val="21"/>
                <w:szCs w:val="21"/>
              </w:rPr>
            </w:pPr>
          </w:p>
        </w:tc>
        <w:tc>
          <w:tcPr>
            <w:tcW w:w="1800" w:type="dxa"/>
            <w:tcBorders>
              <w:bottom w:val="single" w:color="auto" w:sz="4" w:space="0"/>
            </w:tcBorders>
            <w:vAlign w:val="center"/>
          </w:tcPr>
          <w:p>
            <w:pPr>
              <w:jc w:val="center"/>
              <w:rPr>
                <w:sz w:val="21"/>
                <w:szCs w:val="21"/>
              </w:rPr>
            </w:pPr>
            <w:r>
              <w:rPr>
                <w:rStyle w:val="31"/>
                <w:rFonts w:hint="eastAsia" w:cs="Times New Roman"/>
                <w:color w:val="auto"/>
                <w:sz w:val="21"/>
                <w:szCs w:val="21"/>
                <w:highlight w:val="yellow"/>
                <w:lang w:val="en-US" w:eastAsia="zh-CN"/>
              </w:rPr>
              <w:t>厚度不小于5mm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720" w:type="dxa"/>
            <w:tcBorders>
              <w:top w:val="single" w:color="auto" w:sz="4" w:space="0"/>
              <w:left w:val="single" w:color="auto" w:sz="4" w:space="0"/>
              <w:bottom w:val="single" w:color="auto" w:sz="4" w:space="0"/>
              <w:right w:val="single" w:color="auto" w:sz="6" w:space="0"/>
            </w:tcBorders>
            <w:vAlign w:val="center"/>
          </w:tcPr>
          <w:p>
            <w:pPr>
              <w:jc w:val="center"/>
              <w:rPr>
                <w:sz w:val="21"/>
                <w:szCs w:val="21"/>
              </w:rPr>
            </w:pPr>
            <w:r>
              <w:rPr>
                <w:rFonts w:hint="eastAsia"/>
                <w:sz w:val="21"/>
                <w:szCs w:val="21"/>
              </w:rPr>
              <w:t>3</w:t>
            </w:r>
          </w:p>
        </w:tc>
        <w:tc>
          <w:tcPr>
            <w:tcW w:w="1992" w:type="dxa"/>
            <w:tcBorders>
              <w:top w:val="single" w:color="auto" w:sz="4" w:space="0"/>
              <w:left w:val="single" w:color="auto" w:sz="6" w:space="0"/>
              <w:bottom w:val="single" w:color="auto" w:sz="4" w:space="0"/>
              <w:right w:val="single" w:color="auto" w:sz="6" w:space="0"/>
            </w:tcBorders>
            <w:vAlign w:val="center"/>
          </w:tcPr>
          <w:p>
            <w:pPr>
              <w:jc w:val="center"/>
              <w:rPr>
                <w:sz w:val="21"/>
                <w:szCs w:val="21"/>
              </w:rPr>
            </w:pPr>
            <w:r>
              <w:rPr>
                <w:rFonts w:hint="eastAsia"/>
                <w:sz w:val="21"/>
                <w:szCs w:val="21"/>
              </w:rPr>
              <w:t>引风机出口至吸收塔入口导流板组</w:t>
            </w:r>
          </w:p>
        </w:tc>
        <w:tc>
          <w:tcPr>
            <w:tcW w:w="1068" w:type="dxa"/>
            <w:tcBorders>
              <w:top w:val="single" w:color="auto" w:sz="4" w:space="0"/>
              <w:left w:val="single" w:color="auto" w:sz="6" w:space="0"/>
              <w:bottom w:val="single" w:color="auto" w:sz="4" w:space="0"/>
              <w:right w:val="single" w:color="auto" w:sz="6" w:space="0"/>
            </w:tcBorders>
            <w:vAlign w:val="center"/>
          </w:tcPr>
          <w:p>
            <w:pPr>
              <w:pStyle w:val="4"/>
              <w:jc w:val="center"/>
              <w:rPr>
                <w:rFonts w:hint="default" w:ascii="Times New Roman" w:hAnsi="Times New Roman" w:eastAsia="宋体" w:cs="Times New Roman"/>
                <w:color w:val="auto"/>
                <w:kern w:val="2"/>
                <w:sz w:val="21"/>
                <w:szCs w:val="21"/>
                <w:highlight w:val="yellow"/>
                <w:lang w:val="en-US" w:eastAsia="zh-CN" w:bidi="ar-SA"/>
              </w:rPr>
            </w:pPr>
            <w:r>
              <w:rPr>
                <w:rStyle w:val="31"/>
                <w:rFonts w:hint="eastAsia" w:cs="Times New Roman"/>
                <w:color w:val="auto"/>
                <w:sz w:val="21"/>
                <w:szCs w:val="21"/>
                <w:highlight w:val="yellow"/>
                <w:lang w:val="en-US" w:eastAsia="zh-CN"/>
              </w:rPr>
              <w:t>Q235</w:t>
            </w:r>
          </w:p>
        </w:tc>
        <w:tc>
          <w:tcPr>
            <w:tcW w:w="720" w:type="dxa"/>
            <w:tcBorders>
              <w:top w:val="single" w:color="auto" w:sz="4" w:space="0"/>
              <w:left w:val="single" w:color="auto" w:sz="6" w:space="0"/>
              <w:bottom w:val="single" w:color="auto" w:sz="4" w:space="0"/>
              <w:right w:val="single" w:color="auto" w:sz="6" w:space="0"/>
            </w:tcBorders>
            <w:vAlign w:val="center"/>
          </w:tcPr>
          <w:p>
            <w:pPr>
              <w:jc w:val="center"/>
              <w:rPr>
                <w:sz w:val="21"/>
                <w:szCs w:val="21"/>
              </w:rPr>
            </w:pPr>
            <w:r>
              <w:rPr>
                <w:rFonts w:hint="eastAsia"/>
                <w:sz w:val="21"/>
                <w:szCs w:val="21"/>
              </w:rPr>
              <w:t>套</w:t>
            </w:r>
          </w:p>
        </w:tc>
        <w:tc>
          <w:tcPr>
            <w:tcW w:w="720" w:type="dxa"/>
            <w:tcBorders>
              <w:top w:val="single" w:color="auto" w:sz="4" w:space="0"/>
              <w:left w:val="single" w:color="auto" w:sz="6" w:space="0"/>
              <w:bottom w:val="single" w:color="auto" w:sz="4" w:space="0"/>
              <w:right w:val="single" w:color="auto" w:sz="6" w:space="0"/>
            </w:tcBorders>
            <w:vAlign w:val="center"/>
          </w:tcPr>
          <w:p>
            <w:pPr>
              <w:jc w:val="center"/>
              <w:rPr>
                <w:sz w:val="21"/>
                <w:szCs w:val="21"/>
              </w:rPr>
            </w:pPr>
            <w:r>
              <w:rPr>
                <w:rFonts w:hint="eastAsia"/>
                <w:sz w:val="21"/>
                <w:szCs w:val="21"/>
              </w:rPr>
              <w:t>1</w:t>
            </w:r>
          </w:p>
        </w:tc>
        <w:tc>
          <w:tcPr>
            <w:tcW w:w="720" w:type="dxa"/>
            <w:tcBorders>
              <w:top w:val="single" w:color="auto" w:sz="4" w:space="0"/>
              <w:left w:val="single" w:color="auto" w:sz="6" w:space="0"/>
              <w:bottom w:val="single" w:color="auto" w:sz="4" w:space="0"/>
              <w:right w:val="single" w:color="auto" w:sz="6" w:space="0"/>
            </w:tcBorders>
            <w:vAlign w:val="center"/>
          </w:tcPr>
          <w:p>
            <w:pPr>
              <w:jc w:val="center"/>
              <w:rPr>
                <w:sz w:val="21"/>
                <w:szCs w:val="21"/>
              </w:rPr>
            </w:pPr>
          </w:p>
        </w:tc>
        <w:tc>
          <w:tcPr>
            <w:tcW w:w="1260" w:type="dxa"/>
            <w:tcBorders>
              <w:top w:val="single" w:color="auto" w:sz="4" w:space="0"/>
              <w:left w:val="single" w:color="auto" w:sz="6" w:space="0"/>
              <w:bottom w:val="single" w:color="auto" w:sz="4" w:space="0"/>
              <w:right w:val="single" w:color="auto" w:sz="6" w:space="0"/>
            </w:tcBorders>
            <w:vAlign w:val="center"/>
          </w:tcPr>
          <w:p>
            <w:pPr>
              <w:jc w:val="center"/>
              <w:rPr>
                <w:sz w:val="21"/>
                <w:szCs w:val="21"/>
              </w:rPr>
            </w:pPr>
          </w:p>
        </w:tc>
        <w:tc>
          <w:tcPr>
            <w:tcW w:w="1800" w:type="dxa"/>
            <w:tcBorders>
              <w:top w:val="single" w:color="auto" w:sz="4" w:space="0"/>
              <w:left w:val="single" w:color="auto" w:sz="6" w:space="0"/>
              <w:bottom w:val="single" w:color="auto" w:sz="4" w:space="0"/>
              <w:right w:val="single" w:color="auto" w:sz="4" w:space="0"/>
            </w:tcBorders>
            <w:vAlign w:val="center"/>
          </w:tcPr>
          <w:p>
            <w:pPr>
              <w:jc w:val="center"/>
              <w:rPr>
                <w:sz w:val="21"/>
                <w:szCs w:val="21"/>
              </w:rPr>
            </w:pPr>
            <w:r>
              <w:rPr>
                <w:rStyle w:val="31"/>
                <w:rFonts w:hint="eastAsia" w:cs="Times New Roman"/>
                <w:color w:val="auto"/>
                <w:sz w:val="21"/>
                <w:szCs w:val="21"/>
                <w:highlight w:val="yellow"/>
                <w:lang w:val="en-US" w:eastAsia="zh-CN"/>
              </w:rPr>
              <w:t>厚度不小于5mm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720" w:type="dxa"/>
            <w:tcBorders>
              <w:top w:val="single" w:color="auto" w:sz="4" w:space="0"/>
              <w:left w:val="single" w:color="auto" w:sz="4" w:space="0"/>
              <w:bottom w:val="single" w:color="auto" w:sz="4" w:space="0"/>
              <w:right w:val="single" w:color="auto" w:sz="6" w:space="0"/>
            </w:tcBorders>
            <w:vAlign w:val="center"/>
          </w:tcPr>
          <w:p>
            <w:pPr>
              <w:pStyle w:val="4"/>
              <w:jc w:val="center"/>
              <w:rPr>
                <w:rFonts w:hint="default" w:ascii="Times New Roman" w:hAnsi="Times New Roman" w:eastAsia="宋体" w:cs="Times New Roman"/>
                <w:color w:val="auto"/>
                <w:kern w:val="2"/>
                <w:sz w:val="21"/>
                <w:szCs w:val="21"/>
                <w:lang w:val="en-US" w:eastAsia="zh-CN" w:bidi="ar-SA"/>
              </w:rPr>
            </w:pPr>
            <w:r>
              <w:rPr>
                <w:rStyle w:val="31"/>
                <w:rFonts w:hint="default" w:ascii="Times New Roman" w:hAnsi="Times New Roman" w:cs="Times New Roman"/>
                <w:color w:val="auto"/>
                <w:sz w:val="21"/>
                <w:szCs w:val="21"/>
                <w:lang w:val="en-US" w:eastAsia="zh-CN"/>
              </w:rPr>
              <w:t>4</w:t>
            </w:r>
          </w:p>
        </w:tc>
        <w:tc>
          <w:tcPr>
            <w:tcW w:w="1992" w:type="dxa"/>
            <w:tcBorders>
              <w:top w:val="single" w:color="auto" w:sz="4" w:space="0"/>
              <w:left w:val="single" w:color="auto" w:sz="6" w:space="0"/>
              <w:bottom w:val="single" w:color="auto" w:sz="4" w:space="0"/>
              <w:right w:val="single" w:color="auto" w:sz="6" w:space="0"/>
            </w:tcBorders>
            <w:vAlign w:val="center"/>
          </w:tcPr>
          <w:p>
            <w:pPr>
              <w:pStyle w:val="4"/>
              <w:spacing w:line="360" w:lineRule="auto"/>
              <w:rPr>
                <w:rFonts w:hint="default" w:ascii="Times New Roman" w:hAnsi="Times New Roman" w:eastAsia="宋体" w:cs="Times New Roman"/>
                <w:color w:val="auto"/>
                <w:kern w:val="2"/>
                <w:sz w:val="24"/>
                <w:szCs w:val="24"/>
                <w:lang w:val="en-US" w:eastAsia="zh-CN" w:bidi="ar-SA"/>
              </w:rPr>
            </w:pPr>
            <w:r>
              <w:rPr>
                <w:rStyle w:val="31"/>
                <w:rFonts w:hint="default" w:ascii="Times New Roman" w:hAnsi="Times New Roman" w:cs="Times New Roman"/>
                <w:color w:val="auto"/>
                <w:sz w:val="21"/>
                <w:szCs w:val="21"/>
                <w:lang w:val="en-US" w:eastAsia="zh-CN"/>
              </w:rPr>
              <w:t>吸收塔</w:t>
            </w:r>
            <w:r>
              <w:rPr>
                <w:rStyle w:val="31"/>
                <w:rFonts w:hint="default" w:ascii="Times New Roman" w:hAnsi="Times New Roman" w:cs="Times New Roman"/>
                <w:color w:val="auto"/>
                <w:sz w:val="21"/>
                <w:szCs w:val="21"/>
              </w:rPr>
              <w:t>出口至烟囱入口</w:t>
            </w:r>
            <w:r>
              <w:rPr>
                <w:rStyle w:val="31"/>
                <w:rFonts w:hint="default" w:ascii="Times New Roman" w:hAnsi="Times New Roman" w:cs="Times New Roman"/>
                <w:color w:val="auto"/>
                <w:sz w:val="21"/>
                <w:szCs w:val="21"/>
                <w:lang w:val="en-US" w:eastAsia="zh-CN"/>
              </w:rPr>
              <w:t>导流板组</w:t>
            </w:r>
          </w:p>
        </w:tc>
        <w:tc>
          <w:tcPr>
            <w:tcW w:w="1068" w:type="dxa"/>
            <w:tcBorders>
              <w:top w:val="single" w:color="auto" w:sz="4" w:space="0"/>
              <w:left w:val="single" w:color="auto" w:sz="6" w:space="0"/>
              <w:bottom w:val="single" w:color="auto" w:sz="4" w:space="0"/>
              <w:right w:val="single" w:color="auto" w:sz="6" w:space="0"/>
            </w:tcBorders>
            <w:vAlign w:val="center"/>
          </w:tcPr>
          <w:p>
            <w:pPr>
              <w:pStyle w:val="4"/>
              <w:spacing w:line="360" w:lineRule="auto"/>
              <w:jc w:val="center"/>
              <w:rPr>
                <w:rFonts w:hint="default" w:ascii="Times New Roman" w:hAnsi="Times New Roman" w:eastAsia="宋体" w:cs="Times New Roman"/>
                <w:color w:val="auto"/>
                <w:kern w:val="2"/>
                <w:sz w:val="24"/>
                <w:szCs w:val="24"/>
                <w:highlight w:val="yellow"/>
                <w:lang w:val="en-US" w:eastAsia="zh-CN" w:bidi="ar-SA"/>
              </w:rPr>
            </w:pPr>
            <w:r>
              <w:rPr>
                <w:rStyle w:val="31"/>
                <w:rFonts w:hint="eastAsia" w:cs="Times New Roman"/>
                <w:color w:val="auto"/>
                <w:kern w:val="2"/>
                <w:sz w:val="24"/>
                <w:szCs w:val="24"/>
                <w:highlight w:val="yellow"/>
                <w:lang w:val="en-US" w:eastAsia="zh-CN" w:bidi="ar-SA"/>
              </w:rPr>
              <w:t>316L</w:t>
            </w:r>
          </w:p>
        </w:tc>
        <w:tc>
          <w:tcPr>
            <w:tcW w:w="720" w:type="dxa"/>
            <w:tcBorders>
              <w:top w:val="single" w:color="auto" w:sz="4" w:space="0"/>
              <w:left w:val="single" w:color="auto" w:sz="6" w:space="0"/>
              <w:bottom w:val="single" w:color="auto" w:sz="4" w:space="0"/>
              <w:right w:val="single" w:color="auto" w:sz="6" w:space="0"/>
            </w:tcBorders>
            <w:vAlign w:val="center"/>
          </w:tcPr>
          <w:p>
            <w:pPr>
              <w:pStyle w:val="4"/>
              <w:spacing w:line="360" w:lineRule="auto"/>
              <w:jc w:val="center"/>
              <w:rPr>
                <w:rFonts w:hint="default" w:ascii="Times New Roman" w:hAnsi="Times New Roman" w:eastAsia="宋体" w:cs="Times New Roman"/>
                <w:color w:val="auto"/>
                <w:kern w:val="2"/>
                <w:sz w:val="24"/>
                <w:szCs w:val="24"/>
                <w:lang w:val="en-US" w:eastAsia="zh-CN" w:bidi="ar-SA"/>
              </w:rPr>
            </w:pPr>
            <w:r>
              <w:rPr>
                <w:rStyle w:val="31"/>
                <w:rFonts w:hint="default" w:ascii="Times New Roman" w:hAnsi="Times New Roman" w:cs="Times New Roman"/>
                <w:color w:val="auto"/>
                <w:lang w:val="en-US" w:eastAsia="zh-CN"/>
              </w:rPr>
              <w:t>套</w:t>
            </w:r>
          </w:p>
        </w:tc>
        <w:tc>
          <w:tcPr>
            <w:tcW w:w="720" w:type="dxa"/>
            <w:tcBorders>
              <w:top w:val="single" w:color="auto" w:sz="4" w:space="0"/>
              <w:left w:val="single" w:color="auto" w:sz="6" w:space="0"/>
              <w:bottom w:val="single" w:color="auto" w:sz="4" w:space="0"/>
              <w:right w:val="single" w:color="auto" w:sz="6" w:space="0"/>
            </w:tcBorders>
            <w:vAlign w:val="center"/>
          </w:tcPr>
          <w:p>
            <w:pPr>
              <w:pStyle w:val="4"/>
              <w:spacing w:line="360" w:lineRule="auto"/>
              <w:jc w:val="center"/>
              <w:rPr>
                <w:rFonts w:hint="default" w:ascii="Times New Roman" w:hAnsi="Times New Roman" w:eastAsia="宋体" w:cs="Times New Roman"/>
                <w:color w:val="auto"/>
                <w:kern w:val="2"/>
                <w:sz w:val="24"/>
                <w:szCs w:val="24"/>
                <w:lang w:val="en-US" w:eastAsia="zh-CN" w:bidi="ar-SA"/>
              </w:rPr>
            </w:pPr>
            <w:r>
              <w:rPr>
                <w:rStyle w:val="31"/>
                <w:rFonts w:hint="default" w:ascii="Times New Roman" w:hAnsi="Times New Roman" w:cs="Times New Roman"/>
                <w:color w:val="auto"/>
                <w:lang w:val="en-US" w:eastAsia="zh-CN"/>
              </w:rPr>
              <w:t>1</w:t>
            </w:r>
          </w:p>
        </w:tc>
        <w:tc>
          <w:tcPr>
            <w:tcW w:w="720" w:type="dxa"/>
            <w:tcBorders>
              <w:top w:val="single" w:color="auto" w:sz="4" w:space="0"/>
              <w:left w:val="single" w:color="auto" w:sz="6" w:space="0"/>
              <w:bottom w:val="single" w:color="auto" w:sz="4" w:space="0"/>
              <w:right w:val="single" w:color="auto" w:sz="6" w:space="0"/>
            </w:tcBorders>
            <w:vAlign w:val="center"/>
          </w:tcPr>
          <w:p>
            <w:pPr>
              <w:jc w:val="center"/>
              <w:rPr>
                <w:sz w:val="21"/>
                <w:szCs w:val="21"/>
              </w:rPr>
            </w:pPr>
          </w:p>
        </w:tc>
        <w:tc>
          <w:tcPr>
            <w:tcW w:w="1260" w:type="dxa"/>
            <w:tcBorders>
              <w:top w:val="single" w:color="auto" w:sz="4" w:space="0"/>
              <w:left w:val="single" w:color="auto" w:sz="6" w:space="0"/>
              <w:bottom w:val="single" w:color="auto" w:sz="4" w:space="0"/>
              <w:right w:val="single" w:color="auto" w:sz="6" w:space="0"/>
            </w:tcBorders>
            <w:vAlign w:val="center"/>
          </w:tcPr>
          <w:p>
            <w:pPr>
              <w:jc w:val="center"/>
              <w:rPr>
                <w:sz w:val="21"/>
                <w:szCs w:val="21"/>
              </w:rPr>
            </w:pPr>
          </w:p>
        </w:tc>
        <w:tc>
          <w:tcPr>
            <w:tcW w:w="1800" w:type="dxa"/>
            <w:tcBorders>
              <w:top w:val="single" w:color="auto" w:sz="4" w:space="0"/>
              <w:left w:val="single" w:color="auto" w:sz="6" w:space="0"/>
              <w:bottom w:val="single" w:color="auto" w:sz="4" w:space="0"/>
              <w:right w:val="single" w:color="auto" w:sz="4" w:space="0"/>
            </w:tcBorders>
            <w:vAlign w:val="center"/>
          </w:tcPr>
          <w:p>
            <w:pPr>
              <w:jc w:val="center"/>
              <w:rPr>
                <w:sz w:val="21"/>
                <w:szCs w:val="21"/>
              </w:rPr>
            </w:pPr>
            <w:r>
              <w:rPr>
                <w:rStyle w:val="31"/>
                <w:rFonts w:hint="eastAsia" w:cs="Times New Roman"/>
                <w:color w:val="auto"/>
                <w:sz w:val="21"/>
                <w:szCs w:val="21"/>
                <w:highlight w:val="yellow"/>
                <w:lang w:val="en-US" w:eastAsia="zh-CN"/>
              </w:rPr>
              <w:t>厚度不小于5mm</w:t>
            </w:r>
          </w:p>
        </w:tc>
      </w:tr>
    </w:tbl>
    <w:p>
      <w:pPr>
        <w:tabs>
          <w:tab w:val="left" w:pos="540"/>
        </w:tabs>
        <w:spacing w:line="500" w:lineRule="exact"/>
        <w:rPr>
          <w:rFonts w:hint="eastAsia" w:ascii="宋体" w:hAnsi="宋体"/>
        </w:rPr>
      </w:pPr>
      <w:r>
        <w:rPr>
          <w:rFonts w:hint="eastAsia" w:ascii="宋体" w:hAnsi="宋体"/>
        </w:rPr>
        <w:t>专用工具</w:t>
      </w:r>
    </w:p>
    <w:tbl>
      <w:tblPr>
        <w:tblStyle w:val="29"/>
        <w:tblW w:w="9085" w:type="dxa"/>
        <w:tblInd w:w="2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540"/>
        <w:gridCol w:w="2160"/>
        <w:gridCol w:w="1556"/>
        <w:gridCol w:w="560"/>
        <w:gridCol w:w="560"/>
        <w:gridCol w:w="755"/>
        <w:gridCol w:w="1148"/>
        <w:gridCol w:w="1806"/>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vAlign w:val="center"/>
          </w:tcPr>
          <w:p>
            <w:pPr>
              <w:spacing w:line="500" w:lineRule="exact"/>
              <w:jc w:val="center"/>
              <w:rPr>
                <w:sz w:val="21"/>
                <w:szCs w:val="21"/>
              </w:rPr>
            </w:pPr>
            <w:r>
              <w:rPr>
                <w:sz w:val="21"/>
                <w:szCs w:val="21"/>
              </w:rPr>
              <w:t>序号</w:t>
            </w:r>
          </w:p>
        </w:tc>
        <w:tc>
          <w:tcPr>
            <w:tcW w:w="2160" w:type="dxa"/>
            <w:vAlign w:val="center"/>
          </w:tcPr>
          <w:p>
            <w:pPr>
              <w:spacing w:line="500" w:lineRule="exact"/>
              <w:jc w:val="center"/>
              <w:rPr>
                <w:sz w:val="21"/>
                <w:szCs w:val="21"/>
              </w:rPr>
            </w:pPr>
            <w:r>
              <w:rPr>
                <w:sz w:val="21"/>
                <w:szCs w:val="21"/>
              </w:rPr>
              <w:t>名称</w:t>
            </w:r>
          </w:p>
        </w:tc>
        <w:tc>
          <w:tcPr>
            <w:tcW w:w="1556" w:type="dxa"/>
            <w:vAlign w:val="center"/>
          </w:tcPr>
          <w:p>
            <w:pPr>
              <w:spacing w:line="500" w:lineRule="exact"/>
              <w:jc w:val="center"/>
              <w:rPr>
                <w:sz w:val="21"/>
                <w:szCs w:val="21"/>
              </w:rPr>
            </w:pPr>
            <w:r>
              <w:rPr>
                <w:sz w:val="21"/>
                <w:szCs w:val="21"/>
              </w:rPr>
              <w:t>规格和型号</w:t>
            </w:r>
          </w:p>
        </w:tc>
        <w:tc>
          <w:tcPr>
            <w:tcW w:w="560" w:type="dxa"/>
            <w:vAlign w:val="center"/>
          </w:tcPr>
          <w:p>
            <w:pPr>
              <w:spacing w:line="500" w:lineRule="exact"/>
              <w:jc w:val="center"/>
              <w:rPr>
                <w:sz w:val="21"/>
                <w:szCs w:val="21"/>
              </w:rPr>
            </w:pPr>
            <w:r>
              <w:rPr>
                <w:sz w:val="21"/>
                <w:szCs w:val="21"/>
              </w:rPr>
              <w:t>单位</w:t>
            </w:r>
          </w:p>
        </w:tc>
        <w:tc>
          <w:tcPr>
            <w:tcW w:w="560" w:type="dxa"/>
            <w:vAlign w:val="center"/>
          </w:tcPr>
          <w:p>
            <w:pPr>
              <w:spacing w:line="500" w:lineRule="exact"/>
              <w:jc w:val="center"/>
              <w:rPr>
                <w:sz w:val="21"/>
                <w:szCs w:val="21"/>
              </w:rPr>
            </w:pPr>
            <w:r>
              <w:rPr>
                <w:sz w:val="21"/>
                <w:szCs w:val="21"/>
              </w:rPr>
              <w:t>数量</w:t>
            </w:r>
          </w:p>
        </w:tc>
        <w:tc>
          <w:tcPr>
            <w:tcW w:w="755" w:type="dxa"/>
            <w:vAlign w:val="center"/>
          </w:tcPr>
          <w:p>
            <w:pPr>
              <w:spacing w:line="500" w:lineRule="exact"/>
              <w:jc w:val="center"/>
              <w:rPr>
                <w:sz w:val="21"/>
                <w:szCs w:val="21"/>
              </w:rPr>
            </w:pPr>
            <w:r>
              <w:rPr>
                <w:sz w:val="21"/>
                <w:szCs w:val="21"/>
              </w:rPr>
              <w:t>产地</w:t>
            </w:r>
          </w:p>
        </w:tc>
        <w:tc>
          <w:tcPr>
            <w:tcW w:w="1148" w:type="dxa"/>
            <w:vAlign w:val="center"/>
          </w:tcPr>
          <w:p>
            <w:pPr>
              <w:spacing w:line="500" w:lineRule="exact"/>
              <w:jc w:val="center"/>
              <w:rPr>
                <w:sz w:val="21"/>
                <w:szCs w:val="21"/>
              </w:rPr>
            </w:pPr>
            <w:r>
              <w:rPr>
                <w:sz w:val="21"/>
                <w:szCs w:val="21"/>
              </w:rPr>
              <w:t>生产厂家</w:t>
            </w:r>
          </w:p>
        </w:tc>
        <w:tc>
          <w:tcPr>
            <w:tcW w:w="1806" w:type="dxa"/>
            <w:vAlign w:val="center"/>
          </w:tcPr>
          <w:p>
            <w:pPr>
              <w:spacing w:line="500" w:lineRule="exact"/>
              <w:jc w:val="center"/>
              <w:rPr>
                <w:sz w:val="21"/>
                <w:szCs w:val="21"/>
              </w:rPr>
            </w:pPr>
            <w:r>
              <w:rPr>
                <w:sz w:val="21"/>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vAlign w:val="center"/>
          </w:tcPr>
          <w:p>
            <w:pPr>
              <w:spacing w:line="500" w:lineRule="exact"/>
              <w:jc w:val="center"/>
              <w:rPr>
                <w:sz w:val="21"/>
                <w:szCs w:val="21"/>
              </w:rPr>
            </w:pPr>
            <w:r>
              <w:rPr>
                <w:sz w:val="21"/>
                <w:szCs w:val="21"/>
              </w:rPr>
              <w:t>1</w:t>
            </w:r>
          </w:p>
        </w:tc>
        <w:tc>
          <w:tcPr>
            <w:tcW w:w="2160" w:type="dxa"/>
            <w:vAlign w:val="center"/>
          </w:tcPr>
          <w:p>
            <w:pPr>
              <w:spacing w:line="500" w:lineRule="exact"/>
              <w:jc w:val="center"/>
              <w:rPr>
                <w:sz w:val="21"/>
                <w:szCs w:val="21"/>
              </w:rPr>
            </w:pPr>
          </w:p>
        </w:tc>
        <w:tc>
          <w:tcPr>
            <w:tcW w:w="1556" w:type="dxa"/>
            <w:vAlign w:val="center"/>
          </w:tcPr>
          <w:p>
            <w:pPr>
              <w:spacing w:line="500" w:lineRule="exact"/>
              <w:jc w:val="center"/>
              <w:rPr>
                <w:sz w:val="21"/>
                <w:szCs w:val="21"/>
              </w:rPr>
            </w:pPr>
          </w:p>
        </w:tc>
        <w:tc>
          <w:tcPr>
            <w:tcW w:w="560" w:type="dxa"/>
            <w:vAlign w:val="center"/>
          </w:tcPr>
          <w:p>
            <w:pPr>
              <w:spacing w:line="500" w:lineRule="exact"/>
              <w:jc w:val="center"/>
              <w:rPr>
                <w:sz w:val="21"/>
                <w:szCs w:val="21"/>
              </w:rPr>
            </w:pPr>
          </w:p>
        </w:tc>
        <w:tc>
          <w:tcPr>
            <w:tcW w:w="560" w:type="dxa"/>
            <w:vAlign w:val="center"/>
          </w:tcPr>
          <w:p>
            <w:pPr>
              <w:spacing w:line="500" w:lineRule="exact"/>
              <w:jc w:val="center"/>
              <w:rPr>
                <w:sz w:val="21"/>
                <w:szCs w:val="21"/>
              </w:rPr>
            </w:pPr>
          </w:p>
        </w:tc>
        <w:tc>
          <w:tcPr>
            <w:tcW w:w="755" w:type="dxa"/>
            <w:vAlign w:val="center"/>
          </w:tcPr>
          <w:p>
            <w:pPr>
              <w:spacing w:line="500" w:lineRule="exact"/>
              <w:jc w:val="center"/>
              <w:rPr>
                <w:sz w:val="21"/>
                <w:szCs w:val="21"/>
              </w:rPr>
            </w:pPr>
          </w:p>
        </w:tc>
        <w:tc>
          <w:tcPr>
            <w:tcW w:w="1148" w:type="dxa"/>
            <w:vAlign w:val="center"/>
          </w:tcPr>
          <w:p>
            <w:pPr>
              <w:spacing w:line="500" w:lineRule="exact"/>
              <w:jc w:val="center"/>
              <w:rPr>
                <w:sz w:val="21"/>
                <w:szCs w:val="21"/>
              </w:rPr>
            </w:pPr>
          </w:p>
        </w:tc>
        <w:tc>
          <w:tcPr>
            <w:tcW w:w="1806" w:type="dxa"/>
            <w:vAlign w:val="center"/>
          </w:tcPr>
          <w:p>
            <w:pPr>
              <w:spacing w:line="500" w:lineRule="exact"/>
              <w:jc w:val="center"/>
              <w:rPr>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vAlign w:val="center"/>
          </w:tcPr>
          <w:p>
            <w:pPr>
              <w:spacing w:line="500" w:lineRule="exact"/>
              <w:jc w:val="center"/>
              <w:rPr>
                <w:sz w:val="21"/>
                <w:szCs w:val="21"/>
              </w:rPr>
            </w:pPr>
            <w:r>
              <w:rPr>
                <w:sz w:val="21"/>
                <w:szCs w:val="21"/>
              </w:rPr>
              <w:t>2</w:t>
            </w:r>
          </w:p>
        </w:tc>
        <w:tc>
          <w:tcPr>
            <w:tcW w:w="2160" w:type="dxa"/>
            <w:vAlign w:val="center"/>
          </w:tcPr>
          <w:p>
            <w:pPr>
              <w:spacing w:line="500" w:lineRule="exact"/>
              <w:jc w:val="center"/>
              <w:rPr>
                <w:sz w:val="21"/>
                <w:szCs w:val="21"/>
              </w:rPr>
            </w:pPr>
          </w:p>
        </w:tc>
        <w:tc>
          <w:tcPr>
            <w:tcW w:w="1556" w:type="dxa"/>
            <w:vAlign w:val="center"/>
          </w:tcPr>
          <w:p>
            <w:pPr>
              <w:spacing w:line="500" w:lineRule="exact"/>
              <w:jc w:val="center"/>
              <w:rPr>
                <w:sz w:val="21"/>
                <w:szCs w:val="21"/>
              </w:rPr>
            </w:pPr>
          </w:p>
        </w:tc>
        <w:tc>
          <w:tcPr>
            <w:tcW w:w="560" w:type="dxa"/>
            <w:vAlign w:val="center"/>
          </w:tcPr>
          <w:p>
            <w:pPr>
              <w:spacing w:line="500" w:lineRule="exact"/>
              <w:jc w:val="center"/>
              <w:rPr>
                <w:sz w:val="21"/>
                <w:szCs w:val="21"/>
              </w:rPr>
            </w:pPr>
          </w:p>
        </w:tc>
        <w:tc>
          <w:tcPr>
            <w:tcW w:w="560" w:type="dxa"/>
            <w:vAlign w:val="center"/>
          </w:tcPr>
          <w:p>
            <w:pPr>
              <w:spacing w:line="500" w:lineRule="exact"/>
              <w:jc w:val="center"/>
              <w:rPr>
                <w:sz w:val="21"/>
                <w:szCs w:val="21"/>
              </w:rPr>
            </w:pPr>
          </w:p>
        </w:tc>
        <w:tc>
          <w:tcPr>
            <w:tcW w:w="755" w:type="dxa"/>
            <w:vAlign w:val="center"/>
          </w:tcPr>
          <w:p>
            <w:pPr>
              <w:spacing w:line="500" w:lineRule="exact"/>
              <w:jc w:val="center"/>
              <w:rPr>
                <w:sz w:val="21"/>
                <w:szCs w:val="21"/>
              </w:rPr>
            </w:pPr>
          </w:p>
        </w:tc>
        <w:tc>
          <w:tcPr>
            <w:tcW w:w="1148" w:type="dxa"/>
            <w:vAlign w:val="center"/>
          </w:tcPr>
          <w:p>
            <w:pPr>
              <w:spacing w:line="500" w:lineRule="exact"/>
              <w:jc w:val="center"/>
              <w:rPr>
                <w:sz w:val="21"/>
                <w:szCs w:val="21"/>
              </w:rPr>
            </w:pPr>
          </w:p>
        </w:tc>
        <w:tc>
          <w:tcPr>
            <w:tcW w:w="1806" w:type="dxa"/>
            <w:vAlign w:val="center"/>
          </w:tcPr>
          <w:p>
            <w:pPr>
              <w:spacing w:line="500" w:lineRule="exact"/>
              <w:jc w:val="center"/>
              <w:rPr>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vAlign w:val="center"/>
          </w:tcPr>
          <w:p>
            <w:pPr>
              <w:spacing w:line="500" w:lineRule="exact"/>
              <w:jc w:val="center"/>
              <w:rPr>
                <w:sz w:val="21"/>
                <w:szCs w:val="21"/>
              </w:rPr>
            </w:pPr>
            <w:r>
              <w:rPr>
                <w:sz w:val="21"/>
                <w:szCs w:val="21"/>
              </w:rPr>
              <w:t>3</w:t>
            </w:r>
          </w:p>
        </w:tc>
        <w:tc>
          <w:tcPr>
            <w:tcW w:w="2160" w:type="dxa"/>
            <w:vAlign w:val="center"/>
          </w:tcPr>
          <w:p>
            <w:pPr>
              <w:spacing w:line="500" w:lineRule="exact"/>
              <w:jc w:val="center"/>
              <w:rPr>
                <w:sz w:val="21"/>
                <w:szCs w:val="21"/>
              </w:rPr>
            </w:pPr>
          </w:p>
        </w:tc>
        <w:tc>
          <w:tcPr>
            <w:tcW w:w="1556" w:type="dxa"/>
            <w:vAlign w:val="center"/>
          </w:tcPr>
          <w:p>
            <w:pPr>
              <w:spacing w:line="500" w:lineRule="exact"/>
              <w:jc w:val="center"/>
              <w:rPr>
                <w:sz w:val="21"/>
                <w:szCs w:val="21"/>
              </w:rPr>
            </w:pPr>
          </w:p>
        </w:tc>
        <w:tc>
          <w:tcPr>
            <w:tcW w:w="560" w:type="dxa"/>
            <w:vAlign w:val="center"/>
          </w:tcPr>
          <w:p>
            <w:pPr>
              <w:spacing w:line="500" w:lineRule="exact"/>
              <w:jc w:val="center"/>
              <w:rPr>
                <w:sz w:val="21"/>
                <w:szCs w:val="21"/>
              </w:rPr>
            </w:pPr>
          </w:p>
        </w:tc>
        <w:tc>
          <w:tcPr>
            <w:tcW w:w="560" w:type="dxa"/>
            <w:vAlign w:val="center"/>
          </w:tcPr>
          <w:p>
            <w:pPr>
              <w:spacing w:line="500" w:lineRule="exact"/>
              <w:jc w:val="center"/>
              <w:rPr>
                <w:sz w:val="21"/>
                <w:szCs w:val="21"/>
              </w:rPr>
            </w:pPr>
          </w:p>
        </w:tc>
        <w:tc>
          <w:tcPr>
            <w:tcW w:w="755" w:type="dxa"/>
            <w:vAlign w:val="center"/>
          </w:tcPr>
          <w:p>
            <w:pPr>
              <w:spacing w:line="500" w:lineRule="exact"/>
              <w:jc w:val="center"/>
              <w:rPr>
                <w:sz w:val="21"/>
                <w:szCs w:val="21"/>
              </w:rPr>
            </w:pPr>
          </w:p>
        </w:tc>
        <w:tc>
          <w:tcPr>
            <w:tcW w:w="1148" w:type="dxa"/>
            <w:vAlign w:val="center"/>
          </w:tcPr>
          <w:p>
            <w:pPr>
              <w:spacing w:line="500" w:lineRule="exact"/>
              <w:jc w:val="center"/>
              <w:rPr>
                <w:sz w:val="21"/>
                <w:szCs w:val="21"/>
              </w:rPr>
            </w:pPr>
          </w:p>
        </w:tc>
        <w:tc>
          <w:tcPr>
            <w:tcW w:w="1806" w:type="dxa"/>
            <w:vAlign w:val="center"/>
          </w:tcPr>
          <w:p>
            <w:pPr>
              <w:spacing w:line="500" w:lineRule="exact"/>
              <w:jc w:val="center"/>
              <w:rPr>
                <w:sz w:val="21"/>
                <w:szCs w:val="21"/>
              </w:rPr>
            </w:pPr>
          </w:p>
        </w:tc>
      </w:tr>
    </w:tbl>
    <w:p>
      <w:pPr>
        <w:tabs>
          <w:tab w:val="left" w:pos="540"/>
        </w:tabs>
        <w:spacing w:line="500" w:lineRule="exact"/>
      </w:pPr>
      <w:r>
        <w:rPr>
          <w:rFonts w:hint="eastAsia" w:ascii="宋体" w:hAnsi="宋体"/>
        </w:rPr>
        <w:t>随机备品备件</w:t>
      </w:r>
      <w:r>
        <w:t>（包含但不限于下列各项</w:t>
      </w:r>
      <w:r>
        <w:rPr>
          <w:rFonts w:hint="eastAsia"/>
        </w:rPr>
        <w:t>，</w:t>
      </w:r>
      <w:r>
        <w:t>按</w:t>
      </w:r>
      <w:r>
        <w:rPr>
          <w:rFonts w:hint="eastAsia"/>
        </w:rPr>
        <w:t>单</w:t>
      </w:r>
      <w:r>
        <w:t>台机组</w:t>
      </w:r>
      <w:r>
        <w:rPr>
          <w:rFonts w:hint="eastAsia"/>
        </w:rPr>
        <w:t>开列</w:t>
      </w:r>
      <w:r>
        <w:t>）</w:t>
      </w:r>
    </w:p>
    <w:tbl>
      <w:tblPr>
        <w:tblStyle w:val="29"/>
        <w:tblW w:w="9524"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76"/>
        <w:gridCol w:w="1761"/>
        <w:gridCol w:w="1399"/>
        <w:gridCol w:w="850"/>
        <w:gridCol w:w="992"/>
        <w:gridCol w:w="567"/>
        <w:gridCol w:w="1148"/>
        <w:gridCol w:w="203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76" w:type="dxa"/>
            <w:tcBorders>
              <w:top w:val="single" w:color="000000" w:sz="6" w:space="0"/>
              <w:left w:val="single" w:color="000000" w:sz="12" w:space="0"/>
              <w:bottom w:val="single" w:color="000000" w:sz="6" w:space="0"/>
              <w:right w:val="single" w:color="000000" w:sz="6" w:space="0"/>
            </w:tcBorders>
          </w:tcPr>
          <w:p>
            <w:pPr>
              <w:spacing w:line="500" w:lineRule="exact"/>
              <w:jc w:val="center"/>
              <w:rPr>
                <w:sz w:val="21"/>
                <w:szCs w:val="21"/>
              </w:rPr>
            </w:pPr>
            <w:r>
              <w:rPr>
                <w:sz w:val="21"/>
                <w:szCs w:val="21"/>
              </w:rPr>
              <w:t>序号</w:t>
            </w:r>
          </w:p>
        </w:tc>
        <w:tc>
          <w:tcPr>
            <w:tcW w:w="1761"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r>
              <w:rPr>
                <w:sz w:val="21"/>
                <w:szCs w:val="21"/>
              </w:rPr>
              <w:t>名称</w:t>
            </w:r>
          </w:p>
        </w:tc>
        <w:tc>
          <w:tcPr>
            <w:tcW w:w="1399"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r>
              <w:rPr>
                <w:sz w:val="21"/>
                <w:szCs w:val="21"/>
              </w:rPr>
              <w:t>规格和型号</w:t>
            </w:r>
          </w:p>
        </w:tc>
        <w:tc>
          <w:tcPr>
            <w:tcW w:w="850"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r>
              <w:rPr>
                <w:sz w:val="21"/>
                <w:szCs w:val="21"/>
              </w:rPr>
              <w:t>单位</w:t>
            </w:r>
          </w:p>
        </w:tc>
        <w:tc>
          <w:tcPr>
            <w:tcW w:w="992"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r>
              <w:rPr>
                <w:sz w:val="21"/>
                <w:szCs w:val="21"/>
              </w:rPr>
              <w:t>数量</w:t>
            </w:r>
          </w:p>
        </w:tc>
        <w:tc>
          <w:tcPr>
            <w:tcW w:w="567"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r>
              <w:rPr>
                <w:sz w:val="21"/>
                <w:szCs w:val="21"/>
              </w:rPr>
              <w:t>产地</w:t>
            </w:r>
          </w:p>
        </w:tc>
        <w:tc>
          <w:tcPr>
            <w:tcW w:w="1148"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r>
              <w:rPr>
                <w:sz w:val="21"/>
                <w:szCs w:val="21"/>
              </w:rPr>
              <w:t>生产厂家</w:t>
            </w:r>
          </w:p>
        </w:tc>
        <w:tc>
          <w:tcPr>
            <w:tcW w:w="2031" w:type="dxa"/>
            <w:tcBorders>
              <w:top w:val="single" w:color="000000" w:sz="6" w:space="0"/>
              <w:left w:val="single" w:color="000000" w:sz="6" w:space="0"/>
              <w:bottom w:val="single" w:color="000000" w:sz="6" w:space="0"/>
              <w:right w:val="single" w:color="000000" w:sz="12" w:space="0"/>
            </w:tcBorders>
          </w:tcPr>
          <w:p>
            <w:pPr>
              <w:spacing w:line="500" w:lineRule="exact"/>
              <w:jc w:val="center"/>
              <w:rPr>
                <w:sz w:val="21"/>
                <w:szCs w:val="21"/>
              </w:rPr>
            </w:pPr>
            <w:r>
              <w:rPr>
                <w:sz w:val="21"/>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76" w:type="dxa"/>
            <w:tcBorders>
              <w:top w:val="single" w:color="000000" w:sz="6" w:space="0"/>
              <w:left w:val="single" w:color="000000" w:sz="12" w:space="0"/>
              <w:bottom w:val="single" w:color="000000" w:sz="6" w:space="0"/>
              <w:right w:val="single" w:color="000000" w:sz="6" w:space="0"/>
            </w:tcBorders>
          </w:tcPr>
          <w:p>
            <w:pPr>
              <w:spacing w:line="500" w:lineRule="exact"/>
              <w:jc w:val="center"/>
              <w:rPr>
                <w:sz w:val="21"/>
                <w:szCs w:val="21"/>
              </w:rPr>
            </w:pPr>
          </w:p>
        </w:tc>
        <w:tc>
          <w:tcPr>
            <w:tcW w:w="1761"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1399"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850"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992"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567"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1148"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2031" w:type="dxa"/>
            <w:tcBorders>
              <w:top w:val="single" w:color="000000" w:sz="6" w:space="0"/>
              <w:left w:val="single" w:color="000000" w:sz="6" w:space="0"/>
              <w:bottom w:val="single" w:color="000000" w:sz="6" w:space="0"/>
              <w:right w:val="single" w:color="000000" w:sz="12" w:space="0"/>
            </w:tcBorders>
          </w:tcPr>
          <w:p>
            <w:pPr>
              <w:spacing w:line="500" w:lineRule="exact"/>
              <w:jc w:val="center"/>
              <w:rPr>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76" w:type="dxa"/>
            <w:tcBorders>
              <w:top w:val="single" w:color="000000" w:sz="6" w:space="0"/>
              <w:left w:val="single" w:color="000000" w:sz="12" w:space="0"/>
              <w:bottom w:val="single" w:color="000000" w:sz="6" w:space="0"/>
              <w:right w:val="single" w:color="000000" w:sz="6" w:space="0"/>
            </w:tcBorders>
          </w:tcPr>
          <w:p>
            <w:pPr>
              <w:spacing w:line="500" w:lineRule="exact"/>
              <w:jc w:val="center"/>
              <w:rPr>
                <w:sz w:val="21"/>
                <w:szCs w:val="21"/>
              </w:rPr>
            </w:pPr>
          </w:p>
        </w:tc>
        <w:tc>
          <w:tcPr>
            <w:tcW w:w="1761"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1399"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850"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992"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567"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1148"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2031" w:type="dxa"/>
            <w:tcBorders>
              <w:top w:val="single" w:color="000000" w:sz="6" w:space="0"/>
              <w:left w:val="single" w:color="000000" w:sz="6" w:space="0"/>
              <w:bottom w:val="single" w:color="000000" w:sz="6" w:space="0"/>
              <w:right w:val="single" w:color="000000" w:sz="12" w:space="0"/>
            </w:tcBorders>
          </w:tcPr>
          <w:p>
            <w:pPr>
              <w:spacing w:line="500" w:lineRule="exact"/>
              <w:jc w:val="center"/>
              <w:rPr>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76" w:type="dxa"/>
            <w:tcBorders>
              <w:top w:val="single" w:color="000000" w:sz="6" w:space="0"/>
              <w:left w:val="single" w:color="000000" w:sz="12" w:space="0"/>
              <w:bottom w:val="single" w:color="000000" w:sz="6" w:space="0"/>
              <w:right w:val="single" w:color="000000" w:sz="6" w:space="0"/>
            </w:tcBorders>
          </w:tcPr>
          <w:p>
            <w:pPr>
              <w:spacing w:line="500" w:lineRule="exact"/>
              <w:jc w:val="center"/>
              <w:rPr>
                <w:sz w:val="21"/>
                <w:szCs w:val="21"/>
              </w:rPr>
            </w:pPr>
          </w:p>
        </w:tc>
        <w:tc>
          <w:tcPr>
            <w:tcW w:w="1761"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1399"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850"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992"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567"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1148" w:type="dxa"/>
            <w:tcBorders>
              <w:top w:val="single" w:color="000000" w:sz="6" w:space="0"/>
              <w:left w:val="single" w:color="000000" w:sz="6" w:space="0"/>
              <w:bottom w:val="single" w:color="000000" w:sz="6" w:space="0"/>
              <w:right w:val="single" w:color="000000" w:sz="6" w:space="0"/>
            </w:tcBorders>
          </w:tcPr>
          <w:p>
            <w:pPr>
              <w:spacing w:line="500" w:lineRule="exact"/>
              <w:jc w:val="center"/>
              <w:rPr>
                <w:sz w:val="21"/>
                <w:szCs w:val="21"/>
              </w:rPr>
            </w:pPr>
          </w:p>
        </w:tc>
        <w:tc>
          <w:tcPr>
            <w:tcW w:w="2031" w:type="dxa"/>
            <w:tcBorders>
              <w:top w:val="single" w:color="000000" w:sz="6" w:space="0"/>
              <w:left w:val="single" w:color="000000" w:sz="6" w:space="0"/>
              <w:bottom w:val="single" w:color="000000" w:sz="6" w:space="0"/>
              <w:right w:val="single" w:color="000000" w:sz="12" w:space="0"/>
            </w:tcBorders>
          </w:tcPr>
          <w:p>
            <w:pPr>
              <w:spacing w:line="500" w:lineRule="exact"/>
              <w:jc w:val="center"/>
              <w:rPr>
                <w:sz w:val="21"/>
                <w:szCs w:val="21"/>
              </w:rPr>
            </w:pPr>
          </w:p>
        </w:tc>
      </w:tr>
    </w:tbl>
    <w:p>
      <w:pPr>
        <w:tabs>
          <w:tab w:val="left" w:pos="540"/>
        </w:tabs>
        <w:spacing w:line="500" w:lineRule="exact"/>
        <w:rPr>
          <w:rFonts w:hint="eastAsia" w:ascii="宋体" w:hAnsi="宋体"/>
        </w:rPr>
      </w:pPr>
      <w:r>
        <w:rPr>
          <w:rFonts w:hint="eastAsia" w:ascii="宋体" w:hAnsi="宋体"/>
        </w:rPr>
        <w:t>生产运行（三年）备品备件（不计入投标总价）</w:t>
      </w:r>
    </w:p>
    <w:tbl>
      <w:tblPr>
        <w:tblStyle w:val="29"/>
        <w:tblW w:w="9360" w:type="dxa"/>
        <w:tblInd w:w="2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540"/>
        <w:gridCol w:w="1800"/>
        <w:gridCol w:w="1440"/>
        <w:gridCol w:w="540"/>
        <w:gridCol w:w="540"/>
        <w:gridCol w:w="780"/>
        <w:gridCol w:w="1077"/>
        <w:gridCol w:w="1023"/>
        <w:gridCol w:w="162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465" w:hRule="atLeast"/>
          <w:tblHeader/>
        </w:trPr>
        <w:tc>
          <w:tcPr>
            <w:tcW w:w="540" w:type="dxa"/>
          </w:tcPr>
          <w:p>
            <w:pPr>
              <w:spacing w:line="500" w:lineRule="exact"/>
              <w:jc w:val="center"/>
            </w:pPr>
            <w:r>
              <w:t>序号</w:t>
            </w:r>
          </w:p>
        </w:tc>
        <w:tc>
          <w:tcPr>
            <w:tcW w:w="1800" w:type="dxa"/>
          </w:tcPr>
          <w:p>
            <w:pPr>
              <w:spacing w:line="500" w:lineRule="exact"/>
              <w:jc w:val="center"/>
            </w:pPr>
            <w:r>
              <w:t>名称</w:t>
            </w:r>
          </w:p>
        </w:tc>
        <w:tc>
          <w:tcPr>
            <w:tcW w:w="1440" w:type="dxa"/>
          </w:tcPr>
          <w:p>
            <w:pPr>
              <w:spacing w:line="500" w:lineRule="exact"/>
              <w:jc w:val="center"/>
            </w:pPr>
            <w:r>
              <w:t>规格和型号</w:t>
            </w:r>
          </w:p>
        </w:tc>
        <w:tc>
          <w:tcPr>
            <w:tcW w:w="540" w:type="dxa"/>
          </w:tcPr>
          <w:p>
            <w:pPr>
              <w:spacing w:line="500" w:lineRule="exact"/>
              <w:jc w:val="center"/>
            </w:pPr>
            <w:r>
              <w:t>单位</w:t>
            </w:r>
          </w:p>
        </w:tc>
        <w:tc>
          <w:tcPr>
            <w:tcW w:w="540" w:type="dxa"/>
          </w:tcPr>
          <w:p>
            <w:pPr>
              <w:spacing w:line="500" w:lineRule="exact"/>
              <w:jc w:val="center"/>
            </w:pPr>
            <w:r>
              <w:t>数量</w:t>
            </w:r>
          </w:p>
        </w:tc>
        <w:tc>
          <w:tcPr>
            <w:tcW w:w="780" w:type="dxa"/>
          </w:tcPr>
          <w:p>
            <w:pPr>
              <w:spacing w:line="500" w:lineRule="exact"/>
              <w:jc w:val="center"/>
            </w:pPr>
            <w:r>
              <w:t>产地</w:t>
            </w:r>
          </w:p>
        </w:tc>
        <w:tc>
          <w:tcPr>
            <w:tcW w:w="1077" w:type="dxa"/>
          </w:tcPr>
          <w:p>
            <w:pPr>
              <w:spacing w:line="500" w:lineRule="exact"/>
              <w:jc w:val="center"/>
            </w:pPr>
            <w:r>
              <w:t>生产厂家</w:t>
            </w:r>
          </w:p>
        </w:tc>
        <w:tc>
          <w:tcPr>
            <w:tcW w:w="1023" w:type="dxa"/>
          </w:tcPr>
          <w:p>
            <w:pPr>
              <w:spacing w:line="500" w:lineRule="exact"/>
              <w:jc w:val="center"/>
            </w:pPr>
            <w:r>
              <w:t>使用寿命</w:t>
            </w:r>
          </w:p>
        </w:tc>
        <w:tc>
          <w:tcPr>
            <w:tcW w:w="1620" w:type="dxa"/>
          </w:tcPr>
          <w:p>
            <w:pPr>
              <w:spacing w:line="500" w:lineRule="exact"/>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540" w:type="dxa"/>
          </w:tcPr>
          <w:p>
            <w:pPr>
              <w:spacing w:line="500" w:lineRule="exact"/>
              <w:jc w:val="center"/>
            </w:pPr>
          </w:p>
        </w:tc>
        <w:tc>
          <w:tcPr>
            <w:tcW w:w="1800" w:type="dxa"/>
            <w:vAlign w:val="center"/>
          </w:tcPr>
          <w:p>
            <w:pPr>
              <w:spacing w:line="500" w:lineRule="exact"/>
            </w:pPr>
          </w:p>
        </w:tc>
        <w:tc>
          <w:tcPr>
            <w:tcW w:w="1440" w:type="dxa"/>
            <w:vAlign w:val="center"/>
          </w:tcPr>
          <w:p>
            <w:pPr>
              <w:spacing w:line="500" w:lineRule="exact"/>
            </w:pPr>
          </w:p>
        </w:tc>
        <w:tc>
          <w:tcPr>
            <w:tcW w:w="540" w:type="dxa"/>
          </w:tcPr>
          <w:p>
            <w:pPr>
              <w:spacing w:line="500" w:lineRule="exact"/>
            </w:pPr>
          </w:p>
        </w:tc>
        <w:tc>
          <w:tcPr>
            <w:tcW w:w="540" w:type="dxa"/>
          </w:tcPr>
          <w:p>
            <w:pPr>
              <w:keepNext/>
              <w:spacing w:line="500" w:lineRule="exact"/>
            </w:pPr>
          </w:p>
        </w:tc>
        <w:tc>
          <w:tcPr>
            <w:tcW w:w="780" w:type="dxa"/>
          </w:tcPr>
          <w:p>
            <w:pPr>
              <w:spacing w:line="500" w:lineRule="exact"/>
            </w:pPr>
          </w:p>
        </w:tc>
        <w:tc>
          <w:tcPr>
            <w:tcW w:w="1077" w:type="dxa"/>
          </w:tcPr>
          <w:p>
            <w:pPr>
              <w:spacing w:line="500" w:lineRule="exact"/>
            </w:pPr>
          </w:p>
        </w:tc>
        <w:tc>
          <w:tcPr>
            <w:tcW w:w="1023" w:type="dxa"/>
          </w:tcPr>
          <w:p>
            <w:pPr>
              <w:spacing w:line="500" w:lineRule="exact"/>
            </w:pPr>
          </w:p>
        </w:tc>
        <w:tc>
          <w:tcPr>
            <w:tcW w:w="1620" w:type="dxa"/>
          </w:tcPr>
          <w:p>
            <w:pPr>
              <w:spacing w:line="500" w:lineRule="exact"/>
              <w:jc w:val="cente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540" w:type="dxa"/>
          </w:tcPr>
          <w:p>
            <w:pPr>
              <w:spacing w:line="500" w:lineRule="exact"/>
              <w:jc w:val="center"/>
            </w:pPr>
          </w:p>
        </w:tc>
        <w:tc>
          <w:tcPr>
            <w:tcW w:w="1800" w:type="dxa"/>
          </w:tcPr>
          <w:p>
            <w:pPr>
              <w:spacing w:line="500" w:lineRule="exact"/>
            </w:pPr>
          </w:p>
        </w:tc>
        <w:tc>
          <w:tcPr>
            <w:tcW w:w="1440" w:type="dxa"/>
          </w:tcPr>
          <w:p>
            <w:pPr>
              <w:spacing w:line="500" w:lineRule="exact"/>
            </w:pPr>
          </w:p>
        </w:tc>
        <w:tc>
          <w:tcPr>
            <w:tcW w:w="540" w:type="dxa"/>
          </w:tcPr>
          <w:p>
            <w:pPr>
              <w:spacing w:line="500" w:lineRule="exact"/>
            </w:pPr>
          </w:p>
        </w:tc>
        <w:tc>
          <w:tcPr>
            <w:tcW w:w="540" w:type="dxa"/>
          </w:tcPr>
          <w:p>
            <w:pPr>
              <w:keepNext/>
              <w:spacing w:line="500" w:lineRule="exact"/>
            </w:pPr>
          </w:p>
        </w:tc>
        <w:tc>
          <w:tcPr>
            <w:tcW w:w="780" w:type="dxa"/>
          </w:tcPr>
          <w:p>
            <w:pPr>
              <w:spacing w:line="500" w:lineRule="exact"/>
            </w:pPr>
          </w:p>
        </w:tc>
        <w:tc>
          <w:tcPr>
            <w:tcW w:w="1077" w:type="dxa"/>
          </w:tcPr>
          <w:p>
            <w:pPr>
              <w:spacing w:line="500" w:lineRule="exact"/>
            </w:pPr>
          </w:p>
        </w:tc>
        <w:tc>
          <w:tcPr>
            <w:tcW w:w="1023" w:type="dxa"/>
          </w:tcPr>
          <w:p>
            <w:pPr>
              <w:spacing w:line="500" w:lineRule="exact"/>
            </w:pPr>
          </w:p>
        </w:tc>
        <w:tc>
          <w:tcPr>
            <w:tcW w:w="1620" w:type="dxa"/>
          </w:tcPr>
          <w:p>
            <w:pPr>
              <w:spacing w:line="500" w:lineRule="exact"/>
              <w:jc w:val="cente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540" w:type="dxa"/>
          </w:tcPr>
          <w:p>
            <w:pPr>
              <w:spacing w:line="500" w:lineRule="exact"/>
              <w:jc w:val="center"/>
            </w:pPr>
          </w:p>
        </w:tc>
        <w:tc>
          <w:tcPr>
            <w:tcW w:w="1800" w:type="dxa"/>
          </w:tcPr>
          <w:p>
            <w:pPr>
              <w:spacing w:line="500" w:lineRule="exact"/>
            </w:pPr>
          </w:p>
        </w:tc>
        <w:tc>
          <w:tcPr>
            <w:tcW w:w="1440" w:type="dxa"/>
          </w:tcPr>
          <w:p>
            <w:pPr>
              <w:spacing w:line="500" w:lineRule="exact"/>
            </w:pPr>
          </w:p>
        </w:tc>
        <w:tc>
          <w:tcPr>
            <w:tcW w:w="540" w:type="dxa"/>
          </w:tcPr>
          <w:p>
            <w:pPr>
              <w:spacing w:line="500" w:lineRule="exact"/>
            </w:pPr>
          </w:p>
        </w:tc>
        <w:tc>
          <w:tcPr>
            <w:tcW w:w="540" w:type="dxa"/>
          </w:tcPr>
          <w:p>
            <w:pPr>
              <w:spacing w:line="500" w:lineRule="exact"/>
            </w:pPr>
          </w:p>
        </w:tc>
        <w:tc>
          <w:tcPr>
            <w:tcW w:w="780" w:type="dxa"/>
          </w:tcPr>
          <w:p>
            <w:pPr>
              <w:spacing w:line="500" w:lineRule="exact"/>
            </w:pPr>
          </w:p>
        </w:tc>
        <w:tc>
          <w:tcPr>
            <w:tcW w:w="1077" w:type="dxa"/>
          </w:tcPr>
          <w:p>
            <w:pPr>
              <w:spacing w:line="500" w:lineRule="exact"/>
            </w:pPr>
          </w:p>
        </w:tc>
        <w:tc>
          <w:tcPr>
            <w:tcW w:w="1023" w:type="dxa"/>
          </w:tcPr>
          <w:p>
            <w:pPr>
              <w:spacing w:line="500" w:lineRule="exact"/>
            </w:pPr>
          </w:p>
        </w:tc>
        <w:tc>
          <w:tcPr>
            <w:tcW w:w="1620" w:type="dxa"/>
          </w:tcPr>
          <w:p>
            <w:pPr>
              <w:spacing w:line="500" w:lineRule="exact"/>
              <w:jc w:val="center"/>
            </w:pPr>
          </w:p>
        </w:tc>
      </w:tr>
    </w:tbl>
    <w:p>
      <w:pPr>
        <w:tabs>
          <w:tab w:val="left" w:pos="540"/>
        </w:tabs>
        <w:spacing w:line="500" w:lineRule="exact"/>
        <w:rPr>
          <w:rFonts w:hint="eastAsia" w:ascii="宋体" w:hAnsi="宋体"/>
        </w:rPr>
      </w:pPr>
      <w:r>
        <w:rPr>
          <w:rFonts w:hint="eastAsia" w:ascii="宋体" w:hAnsi="宋体"/>
        </w:rPr>
        <w:t>进口件清单（如有）</w:t>
      </w:r>
    </w:p>
    <w:tbl>
      <w:tblPr>
        <w:tblStyle w:val="29"/>
        <w:tblW w:w="9360" w:type="dxa"/>
        <w:tblInd w:w="2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602"/>
        <w:gridCol w:w="1736"/>
        <w:gridCol w:w="1442"/>
        <w:gridCol w:w="540"/>
        <w:gridCol w:w="1056"/>
        <w:gridCol w:w="1284"/>
        <w:gridCol w:w="1080"/>
        <w:gridCol w:w="162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02" w:type="dxa"/>
          </w:tcPr>
          <w:p>
            <w:pPr>
              <w:spacing w:line="500" w:lineRule="exact"/>
            </w:pPr>
            <w:r>
              <w:t>序号</w:t>
            </w:r>
          </w:p>
        </w:tc>
        <w:tc>
          <w:tcPr>
            <w:tcW w:w="1736" w:type="dxa"/>
          </w:tcPr>
          <w:p>
            <w:pPr>
              <w:spacing w:line="500" w:lineRule="exact"/>
            </w:pPr>
            <w:r>
              <w:t>名称</w:t>
            </w:r>
          </w:p>
        </w:tc>
        <w:tc>
          <w:tcPr>
            <w:tcW w:w="1442" w:type="dxa"/>
          </w:tcPr>
          <w:p>
            <w:pPr>
              <w:spacing w:line="500" w:lineRule="exact"/>
            </w:pPr>
            <w:r>
              <w:t>规格和型号</w:t>
            </w:r>
          </w:p>
        </w:tc>
        <w:tc>
          <w:tcPr>
            <w:tcW w:w="540" w:type="dxa"/>
          </w:tcPr>
          <w:p>
            <w:pPr>
              <w:spacing w:line="500" w:lineRule="exact"/>
            </w:pPr>
            <w:r>
              <w:t>单位</w:t>
            </w:r>
          </w:p>
        </w:tc>
        <w:tc>
          <w:tcPr>
            <w:tcW w:w="1056" w:type="dxa"/>
          </w:tcPr>
          <w:p>
            <w:pPr>
              <w:spacing w:line="500" w:lineRule="exact"/>
            </w:pPr>
            <w:r>
              <w:t>数量</w:t>
            </w:r>
          </w:p>
        </w:tc>
        <w:tc>
          <w:tcPr>
            <w:tcW w:w="1284" w:type="dxa"/>
          </w:tcPr>
          <w:p>
            <w:pPr>
              <w:spacing w:line="500" w:lineRule="exact"/>
            </w:pPr>
            <w:r>
              <w:t>产地</w:t>
            </w:r>
          </w:p>
        </w:tc>
        <w:tc>
          <w:tcPr>
            <w:tcW w:w="1080" w:type="dxa"/>
          </w:tcPr>
          <w:p>
            <w:pPr>
              <w:spacing w:line="500" w:lineRule="exact"/>
            </w:pPr>
            <w:r>
              <w:t>生产厂家</w:t>
            </w:r>
          </w:p>
        </w:tc>
        <w:tc>
          <w:tcPr>
            <w:tcW w:w="1620" w:type="dxa"/>
          </w:tcPr>
          <w:p>
            <w:pPr>
              <w:spacing w:line="500" w:lineRule="exact"/>
            </w:pPr>
            <w: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65" w:hRule="atLeast"/>
        </w:trPr>
        <w:tc>
          <w:tcPr>
            <w:tcW w:w="602" w:type="dxa"/>
          </w:tcPr>
          <w:p>
            <w:pPr>
              <w:spacing w:line="500" w:lineRule="exact"/>
              <w:jc w:val="center"/>
            </w:pPr>
            <w:r>
              <w:t>1</w:t>
            </w:r>
          </w:p>
        </w:tc>
        <w:tc>
          <w:tcPr>
            <w:tcW w:w="1736" w:type="dxa"/>
          </w:tcPr>
          <w:p>
            <w:pPr>
              <w:spacing w:line="500" w:lineRule="exact"/>
            </w:pPr>
          </w:p>
        </w:tc>
        <w:tc>
          <w:tcPr>
            <w:tcW w:w="1442" w:type="dxa"/>
          </w:tcPr>
          <w:p>
            <w:pPr>
              <w:spacing w:line="500" w:lineRule="exact"/>
            </w:pPr>
          </w:p>
        </w:tc>
        <w:tc>
          <w:tcPr>
            <w:tcW w:w="540" w:type="dxa"/>
          </w:tcPr>
          <w:p>
            <w:pPr>
              <w:spacing w:line="500" w:lineRule="exact"/>
            </w:pPr>
          </w:p>
        </w:tc>
        <w:tc>
          <w:tcPr>
            <w:tcW w:w="1056" w:type="dxa"/>
          </w:tcPr>
          <w:p>
            <w:pPr>
              <w:spacing w:line="500" w:lineRule="exact"/>
            </w:pPr>
          </w:p>
        </w:tc>
        <w:tc>
          <w:tcPr>
            <w:tcW w:w="1284" w:type="dxa"/>
          </w:tcPr>
          <w:p>
            <w:pPr>
              <w:spacing w:line="500" w:lineRule="exact"/>
            </w:pPr>
          </w:p>
        </w:tc>
        <w:tc>
          <w:tcPr>
            <w:tcW w:w="1080" w:type="dxa"/>
          </w:tcPr>
          <w:p>
            <w:pPr>
              <w:spacing w:line="500" w:lineRule="exact"/>
            </w:pPr>
          </w:p>
        </w:tc>
        <w:tc>
          <w:tcPr>
            <w:tcW w:w="1620" w:type="dxa"/>
          </w:tcPr>
          <w:p>
            <w:pPr>
              <w:spacing w:line="500" w:lineRule="exact"/>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02" w:type="dxa"/>
          </w:tcPr>
          <w:p>
            <w:pPr>
              <w:spacing w:line="500" w:lineRule="exact"/>
              <w:jc w:val="center"/>
            </w:pPr>
            <w:r>
              <w:t>2</w:t>
            </w:r>
          </w:p>
        </w:tc>
        <w:tc>
          <w:tcPr>
            <w:tcW w:w="1736" w:type="dxa"/>
          </w:tcPr>
          <w:p>
            <w:pPr>
              <w:spacing w:line="500" w:lineRule="exact"/>
            </w:pPr>
          </w:p>
        </w:tc>
        <w:tc>
          <w:tcPr>
            <w:tcW w:w="1442" w:type="dxa"/>
          </w:tcPr>
          <w:p>
            <w:pPr>
              <w:spacing w:line="500" w:lineRule="exact"/>
            </w:pPr>
          </w:p>
        </w:tc>
        <w:tc>
          <w:tcPr>
            <w:tcW w:w="540" w:type="dxa"/>
          </w:tcPr>
          <w:p>
            <w:pPr>
              <w:spacing w:line="500" w:lineRule="exact"/>
            </w:pPr>
          </w:p>
        </w:tc>
        <w:tc>
          <w:tcPr>
            <w:tcW w:w="1056" w:type="dxa"/>
          </w:tcPr>
          <w:p>
            <w:pPr>
              <w:spacing w:line="500" w:lineRule="exact"/>
            </w:pPr>
          </w:p>
        </w:tc>
        <w:tc>
          <w:tcPr>
            <w:tcW w:w="1284" w:type="dxa"/>
          </w:tcPr>
          <w:p>
            <w:pPr>
              <w:spacing w:line="500" w:lineRule="exact"/>
            </w:pPr>
          </w:p>
        </w:tc>
        <w:tc>
          <w:tcPr>
            <w:tcW w:w="1080" w:type="dxa"/>
          </w:tcPr>
          <w:p>
            <w:pPr>
              <w:spacing w:line="500" w:lineRule="exact"/>
            </w:pPr>
          </w:p>
        </w:tc>
        <w:tc>
          <w:tcPr>
            <w:tcW w:w="1620" w:type="dxa"/>
          </w:tcPr>
          <w:p>
            <w:pPr>
              <w:spacing w:line="500" w:lineRule="exact"/>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02" w:type="dxa"/>
          </w:tcPr>
          <w:p>
            <w:pPr>
              <w:spacing w:line="500" w:lineRule="exact"/>
              <w:jc w:val="center"/>
            </w:pPr>
            <w:r>
              <w:t>3</w:t>
            </w:r>
          </w:p>
        </w:tc>
        <w:tc>
          <w:tcPr>
            <w:tcW w:w="1736" w:type="dxa"/>
          </w:tcPr>
          <w:p>
            <w:pPr>
              <w:spacing w:line="500" w:lineRule="exact"/>
            </w:pPr>
          </w:p>
        </w:tc>
        <w:tc>
          <w:tcPr>
            <w:tcW w:w="1442" w:type="dxa"/>
          </w:tcPr>
          <w:p>
            <w:pPr>
              <w:spacing w:line="500" w:lineRule="exact"/>
            </w:pPr>
          </w:p>
        </w:tc>
        <w:tc>
          <w:tcPr>
            <w:tcW w:w="540" w:type="dxa"/>
          </w:tcPr>
          <w:p>
            <w:pPr>
              <w:spacing w:line="500" w:lineRule="exact"/>
            </w:pPr>
          </w:p>
        </w:tc>
        <w:tc>
          <w:tcPr>
            <w:tcW w:w="1056" w:type="dxa"/>
          </w:tcPr>
          <w:p>
            <w:pPr>
              <w:spacing w:line="500" w:lineRule="exact"/>
            </w:pPr>
          </w:p>
        </w:tc>
        <w:tc>
          <w:tcPr>
            <w:tcW w:w="1284" w:type="dxa"/>
          </w:tcPr>
          <w:p>
            <w:pPr>
              <w:spacing w:line="500" w:lineRule="exact"/>
            </w:pPr>
          </w:p>
        </w:tc>
        <w:tc>
          <w:tcPr>
            <w:tcW w:w="1080" w:type="dxa"/>
          </w:tcPr>
          <w:p>
            <w:pPr>
              <w:spacing w:line="500" w:lineRule="exact"/>
            </w:pPr>
          </w:p>
        </w:tc>
        <w:tc>
          <w:tcPr>
            <w:tcW w:w="1620" w:type="dxa"/>
          </w:tcPr>
          <w:p>
            <w:pPr>
              <w:spacing w:line="500" w:lineRule="exact"/>
            </w:pPr>
          </w:p>
        </w:tc>
      </w:tr>
    </w:tbl>
    <w:p/>
    <w:p>
      <w:pPr>
        <w:spacing w:line="500" w:lineRule="exact"/>
        <w:ind w:firstLine="4560" w:firstLineChars="1900"/>
        <w:rPr>
          <w:rFonts w:hint="eastAsia" w:ascii="宋体" w:hAnsi="宋体"/>
        </w:rPr>
        <w:sectPr>
          <w:endnotePr>
            <w:numFmt w:val="decimal"/>
          </w:endnotePr>
          <w:pgSz w:w="11907" w:h="16840"/>
          <w:pgMar w:top="1418" w:right="1531" w:bottom="1418" w:left="1701" w:header="851" w:footer="851" w:gutter="0"/>
          <w:cols w:space="720" w:num="1"/>
          <w:docGrid w:linePitch="312" w:charSpace="0"/>
        </w:sectPr>
      </w:pPr>
    </w:p>
    <w:p>
      <w:pPr>
        <w:pStyle w:val="5"/>
        <w:rPr>
          <w:sz w:val="30"/>
          <w:szCs w:val="30"/>
        </w:rPr>
      </w:pPr>
      <w:bookmarkStart w:id="50" w:name="_Toc96238084"/>
      <w:bookmarkStart w:id="51" w:name="_Toc64705877"/>
      <w:bookmarkStart w:id="52" w:name="_Toc18813692"/>
      <w:bookmarkStart w:id="53" w:name="_Toc60567004"/>
      <w:bookmarkStart w:id="54" w:name="_Toc153568468"/>
      <w:r>
        <w:rPr>
          <w:rFonts w:hint="eastAsia"/>
          <w:sz w:val="30"/>
          <w:szCs w:val="30"/>
        </w:rPr>
        <w:t>附件3 技术</w:t>
      </w:r>
      <w:bookmarkEnd w:id="50"/>
      <w:bookmarkEnd w:id="51"/>
      <w:bookmarkEnd w:id="52"/>
      <w:bookmarkEnd w:id="53"/>
      <w:r>
        <w:rPr>
          <w:rFonts w:hint="eastAsia"/>
          <w:sz w:val="30"/>
          <w:szCs w:val="30"/>
        </w:rPr>
        <w:t>资料及交付进度</w:t>
      </w:r>
      <w:bookmarkEnd w:id="54"/>
    </w:p>
    <w:p>
      <w:pPr>
        <w:pStyle w:val="4"/>
        <w:spacing w:line="360" w:lineRule="auto"/>
        <w:rPr>
          <w:rStyle w:val="31"/>
          <w:rFonts w:hint="default" w:ascii="Times New Roman" w:hAnsi="Times New Roman" w:cs="Times New Roman"/>
          <w:color w:val="auto"/>
        </w:rPr>
      </w:pPr>
      <w:r>
        <w:rPr>
          <w:rStyle w:val="31"/>
          <w:rFonts w:hint="default" w:ascii="Times New Roman" w:hAnsi="Times New Roman" w:cs="Times New Roman"/>
          <w:color w:val="auto"/>
          <w:kern w:val="0"/>
          <w:szCs w:val="20"/>
        </w:rPr>
        <w:t xml:space="preserve">1.1 </w:t>
      </w:r>
      <w:r>
        <w:rPr>
          <w:rStyle w:val="31"/>
          <w:rFonts w:hint="default" w:ascii="Times New Roman" w:hAnsi="Times New Roman" w:cs="Times New Roman"/>
          <w:color w:val="auto"/>
        </w:rPr>
        <w:t>投标方提供的资料应使用国家法定单位制 (语言为中文) ，进口部件的外文图纸及文件应由投标方免费翻译成中文。图纸资料除提供书面文件外还应提供电子文件。图纸应为CAD格式，文本文件应为Word/Excel格式，扫面文档为PDF格式。</w:t>
      </w:r>
    </w:p>
    <w:p>
      <w:pPr>
        <w:pStyle w:val="4"/>
        <w:spacing w:line="360" w:lineRule="auto"/>
        <w:rPr>
          <w:rStyle w:val="31"/>
          <w:rFonts w:hint="default" w:ascii="Times New Roman" w:hAnsi="Times New Roman" w:cs="Times New Roman"/>
          <w:color w:val="auto"/>
        </w:rPr>
      </w:pPr>
      <w:r>
        <w:rPr>
          <w:rStyle w:val="31"/>
          <w:rFonts w:hint="default" w:ascii="Times New Roman" w:hAnsi="Times New Roman" w:cs="Times New Roman"/>
          <w:color w:val="auto"/>
          <w:kern w:val="0"/>
          <w:szCs w:val="20"/>
        </w:rPr>
        <w:t>1.2</w:t>
      </w:r>
      <w:r>
        <w:rPr>
          <w:rStyle w:val="31"/>
          <w:rFonts w:hint="default" w:ascii="Times New Roman" w:hAnsi="Times New Roman" w:cs="Times New Roman"/>
          <w:color w:val="auto"/>
        </w:rPr>
        <w:t xml:space="preserve"> 资料的组织结构清晰、逻辑性强。资料内容正确、准确、一致、清晰完整，满足工程要求，不得提供缩微复印的图纸。</w:t>
      </w:r>
    </w:p>
    <w:p>
      <w:pPr>
        <w:pStyle w:val="4"/>
        <w:tabs>
          <w:tab w:val="left" w:pos="600"/>
        </w:tabs>
        <w:adjustRightInd w:val="0"/>
        <w:spacing w:line="360" w:lineRule="auto"/>
        <w:jc w:val="left"/>
        <w:textAlignment w:val="baseline"/>
        <w:rPr>
          <w:rStyle w:val="31"/>
          <w:rFonts w:hint="default" w:ascii="Times New Roman" w:hAnsi="Times New Roman" w:cs="Times New Roman"/>
          <w:color w:val="auto"/>
        </w:rPr>
      </w:pPr>
      <w:r>
        <w:rPr>
          <w:rStyle w:val="31"/>
          <w:rFonts w:hint="default" w:ascii="Times New Roman" w:hAnsi="Times New Roman" w:cs="Times New Roman"/>
          <w:color w:val="auto"/>
          <w:kern w:val="0"/>
          <w:szCs w:val="20"/>
        </w:rPr>
        <w:t xml:space="preserve">1.3 </w:t>
      </w:r>
      <w:r>
        <w:rPr>
          <w:rStyle w:val="31"/>
          <w:rFonts w:hint="default" w:ascii="Times New Roman" w:hAnsi="Times New Roman" w:cs="Times New Roman"/>
          <w:color w:val="auto"/>
        </w:rPr>
        <w:t>投标方资料的提交应及时、充分、正确，满足工程进度要求。合同签订后5天内给出配合工程设计的全部技术资料和交付进度清单，并经招标方确认。</w:t>
      </w:r>
    </w:p>
    <w:p>
      <w:pPr>
        <w:pStyle w:val="4"/>
        <w:tabs>
          <w:tab w:val="left" w:pos="600"/>
        </w:tabs>
        <w:adjustRightInd w:val="0"/>
        <w:spacing w:line="360" w:lineRule="auto"/>
        <w:jc w:val="left"/>
        <w:textAlignment w:val="baseline"/>
        <w:rPr>
          <w:rStyle w:val="31"/>
          <w:rFonts w:hint="default" w:ascii="Times New Roman" w:hAnsi="Times New Roman" w:cs="Times New Roman"/>
          <w:color w:val="auto"/>
        </w:rPr>
      </w:pPr>
      <w:r>
        <w:rPr>
          <w:rStyle w:val="31"/>
          <w:rFonts w:hint="default" w:ascii="Times New Roman" w:hAnsi="Times New Roman" w:cs="Times New Roman"/>
          <w:color w:val="auto"/>
          <w:kern w:val="0"/>
          <w:szCs w:val="20"/>
        </w:rPr>
        <w:t xml:space="preserve">1.4 </w:t>
      </w:r>
      <w:r>
        <w:rPr>
          <w:rStyle w:val="31"/>
          <w:rFonts w:hint="default" w:ascii="Times New Roman" w:hAnsi="Times New Roman" w:cs="Times New Roman"/>
          <w:color w:val="auto"/>
        </w:rPr>
        <w:t>投标方提供的技术资料分为配合设计阶段、设备监造检验、施工调试试运、性能试验验收和运行维护等阶段。投标方须满足以上各阶段的具体要求。</w:t>
      </w:r>
    </w:p>
    <w:p>
      <w:pPr>
        <w:pStyle w:val="4"/>
        <w:tabs>
          <w:tab w:val="left" w:pos="600"/>
        </w:tabs>
        <w:adjustRightInd w:val="0"/>
        <w:spacing w:line="360" w:lineRule="auto"/>
        <w:jc w:val="left"/>
        <w:textAlignment w:val="baseline"/>
        <w:rPr>
          <w:rStyle w:val="31"/>
          <w:rFonts w:hint="default" w:ascii="Times New Roman" w:hAnsi="Times New Roman" w:cs="Times New Roman"/>
          <w:color w:val="auto"/>
        </w:rPr>
      </w:pPr>
      <w:r>
        <w:rPr>
          <w:rStyle w:val="31"/>
          <w:rFonts w:hint="default" w:ascii="Times New Roman" w:hAnsi="Times New Roman" w:cs="Times New Roman"/>
          <w:color w:val="auto"/>
          <w:kern w:val="0"/>
          <w:szCs w:val="20"/>
        </w:rPr>
        <w:t xml:space="preserve">1.5 </w:t>
      </w:r>
      <w:r>
        <w:rPr>
          <w:rStyle w:val="31"/>
          <w:rFonts w:hint="default" w:ascii="Times New Roman" w:hAnsi="Times New Roman" w:cs="Times New Roman"/>
          <w:color w:val="auto"/>
        </w:rPr>
        <w:t>对于其它没有列入合同技术资料清单，却是工程所必需文件和资料，一经发现，投标方应及时免费提供。如本期工程为多台设备构成，后续设备有改进时，投标方也应及时免费提供新的技术资料。</w:t>
      </w:r>
    </w:p>
    <w:p>
      <w:pPr>
        <w:pStyle w:val="4"/>
        <w:spacing w:line="360" w:lineRule="auto"/>
        <w:rPr>
          <w:rStyle w:val="31"/>
          <w:rFonts w:hint="default" w:ascii="Times New Roman" w:hAnsi="Times New Roman" w:cs="Times New Roman"/>
          <w:color w:val="auto"/>
        </w:rPr>
      </w:pPr>
      <w:r>
        <w:rPr>
          <w:rStyle w:val="31"/>
          <w:rFonts w:hint="default" w:ascii="Times New Roman" w:hAnsi="Times New Roman" w:cs="Times New Roman"/>
          <w:color w:val="auto"/>
          <w:kern w:val="0"/>
          <w:szCs w:val="20"/>
        </w:rPr>
        <w:t>1.6 投标方</w:t>
      </w:r>
      <w:r>
        <w:rPr>
          <w:rStyle w:val="31"/>
          <w:rFonts w:hint="default" w:ascii="Times New Roman" w:hAnsi="Times New Roman" w:cs="Times New Roman"/>
          <w:color w:val="auto"/>
        </w:rPr>
        <w:t>要及时提供与合同设备设计制造有关的资料。</w:t>
      </w:r>
    </w:p>
    <w:p>
      <w:pPr>
        <w:pStyle w:val="4"/>
        <w:tabs>
          <w:tab w:val="left" w:pos="600"/>
        </w:tabs>
        <w:adjustRightInd w:val="0"/>
        <w:spacing w:line="360" w:lineRule="auto"/>
        <w:jc w:val="left"/>
        <w:textAlignment w:val="baseline"/>
        <w:rPr>
          <w:rStyle w:val="31"/>
          <w:rFonts w:hint="default" w:ascii="Times New Roman" w:hAnsi="Times New Roman" w:cs="Times New Roman"/>
          <w:color w:val="auto"/>
        </w:rPr>
      </w:pPr>
      <w:r>
        <w:rPr>
          <w:rStyle w:val="31"/>
          <w:rFonts w:hint="default" w:ascii="Times New Roman" w:hAnsi="Times New Roman" w:cs="Times New Roman"/>
          <w:color w:val="auto"/>
        </w:rPr>
        <w:t>1.7 投标方提供的所有资料（包括图纸）均应有本工程专用标识，即盖有相关图章，修改版资料对修改部分应有明显的标识或标注。</w:t>
      </w:r>
    </w:p>
    <w:p>
      <w:pPr>
        <w:pStyle w:val="4"/>
        <w:tabs>
          <w:tab w:val="left" w:pos="600"/>
        </w:tabs>
        <w:adjustRightInd w:val="0"/>
        <w:spacing w:line="360" w:lineRule="auto"/>
        <w:jc w:val="left"/>
        <w:textAlignment w:val="baseline"/>
        <w:rPr>
          <w:rStyle w:val="31"/>
          <w:rFonts w:hint="default" w:ascii="Times New Roman" w:hAnsi="Times New Roman" w:cs="Times New Roman"/>
          <w:color w:val="auto"/>
        </w:rPr>
      </w:pPr>
      <w:r>
        <w:rPr>
          <w:rStyle w:val="31"/>
          <w:rFonts w:hint="default" w:ascii="Times New Roman" w:hAnsi="Times New Roman" w:cs="Times New Roman"/>
          <w:color w:val="auto"/>
        </w:rPr>
        <w:t>1.8 投标方应及时提供以下（不限于）图纸和资料，包括</w:t>
      </w:r>
      <w:r>
        <w:rPr>
          <w:rStyle w:val="31"/>
          <w:rFonts w:hint="default" w:ascii="Times New Roman" w:hAnsi="Times New Roman" w:cs="Times New Roman"/>
          <w:color w:val="auto"/>
          <w:kern w:val="0"/>
          <w:szCs w:val="20"/>
        </w:rPr>
        <w:t>3份纸质资料、1份CAD电子版图纸和1份PDF扫描资料。</w:t>
      </w:r>
    </w:p>
    <w:p>
      <w:pPr>
        <w:pStyle w:val="4"/>
        <w:numPr>
          <w:ilvl w:val="0"/>
          <w:numId w:val="0"/>
        </w:numPr>
        <w:tabs>
          <w:tab w:val="left" w:pos="600"/>
        </w:tabs>
        <w:adjustRightInd w:val="0"/>
        <w:spacing w:line="360" w:lineRule="auto"/>
        <w:ind w:leftChars="0"/>
        <w:jc w:val="left"/>
        <w:textAlignment w:val="baseline"/>
        <w:rPr>
          <w:rStyle w:val="31"/>
          <w:rFonts w:hint="default" w:ascii="Times New Roman" w:hAnsi="Times New Roman" w:cs="Times New Roman"/>
          <w:color w:val="auto"/>
        </w:rPr>
      </w:pPr>
      <w:r>
        <w:rPr>
          <w:rStyle w:val="31"/>
          <w:rFonts w:hint="eastAsia" w:cs="Times New Roman"/>
          <w:color w:val="auto"/>
          <w:kern w:val="0"/>
          <w:lang w:val="en-US" w:eastAsia="zh-CN"/>
        </w:rPr>
        <w:t>1）</w:t>
      </w:r>
      <w:r>
        <w:rPr>
          <w:rStyle w:val="31"/>
          <w:rFonts w:hint="default" w:ascii="Times New Roman" w:hAnsi="Times New Roman" w:cs="Times New Roman"/>
          <w:color w:val="auto"/>
          <w:kern w:val="0"/>
        </w:rPr>
        <w:t>设计方案和</w:t>
      </w:r>
      <w:r>
        <w:rPr>
          <w:rStyle w:val="31"/>
          <w:rFonts w:hint="default" w:ascii="Times New Roman" w:hAnsi="Times New Roman" w:cs="Times New Roman"/>
          <w:color w:val="auto"/>
        </w:rPr>
        <w:t>供货清单。</w:t>
      </w:r>
    </w:p>
    <w:p>
      <w:pPr>
        <w:pStyle w:val="71"/>
        <w:numPr>
          <w:ilvl w:val="0"/>
          <w:numId w:val="0"/>
        </w:numPr>
        <w:ind w:leftChars="0"/>
        <w:rPr>
          <w:rStyle w:val="31"/>
          <w:rFonts w:hint="default" w:ascii="Times New Roman" w:hAnsi="Times New Roman" w:cs="Times New Roman"/>
          <w:color w:val="auto"/>
        </w:rPr>
      </w:pPr>
      <w:r>
        <w:rPr>
          <w:rStyle w:val="31"/>
          <w:rFonts w:hint="eastAsia" w:ascii="Times New Roman" w:cs="Times New Roman"/>
          <w:color w:val="auto"/>
          <w:lang w:val="en-US" w:eastAsia="zh-CN"/>
        </w:rPr>
        <w:t xml:space="preserve">2) </w:t>
      </w:r>
      <w:r>
        <w:rPr>
          <w:rStyle w:val="31"/>
          <w:rFonts w:hint="default" w:ascii="Times New Roman" w:hAnsi="Times New Roman" w:cs="Times New Roman"/>
          <w:color w:val="auto"/>
        </w:rPr>
        <w:t>供货图纸</w:t>
      </w:r>
      <w:r>
        <w:rPr>
          <w:rStyle w:val="31"/>
          <w:rFonts w:hint="eastAsia" w:ascii="Times New Roman" w:cs="Times New Roman"/>
          <w:color w:val="auto"/>
          <w:lang w:eastAsia="zh-CN"/>
        </w:rPr>
        <w:t>（</w:t>
      </w:r>
      <w:r>
        <w:rPr>
          <w:rStyle w:val="31"/>
          <w:rFonts w:hint="eastAsia" w:ascii="Times New Roman" w:cs="Times New Roman"/>
          <w:color w:val="auto"/>
          <w:highlight w:val="yellow"/>
          <w:lang w:val="en-US" w:eastAsia="zh-CN"/>
        </w:rPr>
        <w:t>包括竣工图</w:t>
      </w:r>
      <w:r>
        <w:rPr>
          <w:rStyle w:val="31"/>
          <w:rFonts w:hint="eastAsia" w:ascii="Times New Roman" w:cs="Times New Roman"/>
          <w:color w:val="auto"/>
          <w:lang w:eastAsia="zh-CN"/>
        </w:rPr>
        <w:t>）</w:t>
      </w:r>
      <w:r>
        <w:rPr>
          <w:rStyle w:val="31"/>
          <w:rFonts w:hint="default" w:ascii="Times New Roman" w:hAnsi="Times New Roman" w:cs="Times New Roman"/>
          <w:color w:val="auto"/>
        </w:rPr>
        <w:t>，包括零部件图、安装图、改造后的烟道布置图等。</w:t>
      </w:r>
    </w:p>
    <w:p>
      <w:pPr>
        <w:pStyle w:val="4"/>
        <w:numPr>
          <w:ilvl w:val="0"/>
          <w:numId w:val="0"/>
        </w:numPr>
        <w:tabs>
          <w:tab w:val="left" w:pos="600"/>
        </w:tabs>
        <w:adjustRightInd w:val="0"/>
        <w:spacing w:line="360" w:lineRule="auto"/>
        <w:ind w:leftChars="0"/>
        <w:jc w:val="left"/>
        <w:textAlignment w:val="baseline"/>
        <w:rPr>
          <w:rStyle w:val="31"/>
          <w:rFonts w:hint="default" w:ascii="Times New Roman" w:hAnsi="Times New Roman" w:cs="Times New Roman"/>
          <w:color w:val="auto"/>
        </w:rPr>
      </w:pPr>
      <w:r>
        <w:rPr>
          <w:rStyle w:val="31"/>
          <w:rFonts w:hint="eastAsia" w:cs="Times New Roman"/>
          <w:color w:val="auto"/>
          <w:lang w:val="en-US" w:eastAsia="zh-CN"/>
        </w:rPr>
        <w:t xml:space="preserve">3) </w:t>
      </w:r>
      <w:r>
        <w:rPr>
          <w:rStyle w:val="31"/>
          <w:rFonts w:hint="default" w:ascii="Times New Roman" w:hAnsi="Times New Roman" w:cs="Times New Roman"/>
          <w:color w:val="auto"/>
        </w:rPr>
        <w:t>装箱清单及</w:t>
      </w:r>
      <w:r>
        <w:rPr>
          <w:rStyle w:val="31"/>
          <w:rFonts w:hint="default" w:ascii="Times New Roman" w:hAnsi="Times New Roman" w:cs="Times New Roman"/>
          <w:color w:val="auto"/>
          <w:kern w:val="0"/>
          <w:szCs w:val="20"/>
        </w:rPr>
        <w:t>材料化验单、合格证、产品检验合格证、产品质量保证书等</w:t>
      </w:r>
      <w:r>
        <w:rPr>
          <w:rStyle w:val="31"/>
          <w:rFonts w:hint="default" w:ascii="Times New Roman" w:hAnsi="Times New Roman" w:cs="Times New Roman"/>
          <w:color w:val="auto"/>
        </w:rPr>
        <w:t>（随产品数量）。</w:t>
      </w:r>
    </w:p>
    <w:p>
      <w:pPr>
        <w:pStyle w:val="71"/>
        <w:numPr>
          <w:ilvl w:val="0"/>
          <w:numId w:val="0"/>
        </w:numPr>
        <w:ind w:leftChars="0"/>
        <w:rPr>
          <w:rStyle w:val="31"/>
          <w:rFonts w:hint="default" w:ascii="Times New Roman" w:hAnsi="Times New Roman" w:cs="Times New Roman"/>
          <w:color w:val="auto"/>
        </w:rPr>
      </w:pPr>
      <w:r>
        <w:rPr>
          <w:rStyle w:val="31"/>
          <w:rFonts w:hint="eastAsia" w:ascii="Times New Roman" w:cs="Times New Roman"/>
          <w:color w:val="auto"/>
          <w:lang w:val="en-US" w:eastAsia="zh-CN"/>
        </w:rPr>
        <w:t>4）</w:t>
      </w:r>
      <w:r>
        <w:rPr>
          <w:rStyle w:val="31"/>
          <w:rFonts w:hint="default" w:ascii="Times New Roman" w:hAnsi="Times New Roman" w:cs="Times New Roman"/>
          <w:color w:val="auto"/>
        </w:rPr>
        <w:t>现场试验测试方案及报告。</w:t>
      </w:r>
    </w:p>
    <w:p>
      <w:pPr>
        <w:pStyle w:val="71"/>
        <w:numPr>
          <w:ilvl w:val="0"/>
          <w:numId w:val="0"/>
        </w:numPr>
        <w:ind w:leftChars="0"/>
        <w:rPr>
          <w:rStyle w:val="31"/>
          <w:rFonts w:hint="default" w:ascii="Times New Roman" w:hAnsi="Times New Roman" w:cs="Times New Roman"/>
          <w:color w:val="auto"/>
        </w:rPr>
      </w:pPr>
      <w:r>
        <w:rPr>
          <w:rStyle w:val="31"/>
          <w:rFonts w:hint="eastAsia" w:ascii="Times New Roman" w:cs="Times New Roman"/>
          <w:color w:val="auto"/>
          <w:szCs w:val="24"/>
          <w:lang w:val="en-US" w:eastAsia="zh-CN"/>
        </w:rPr>
        <w:t>5）改造后的烟道强度校核</w:t>
      </w:r>
      <w:r>
        <w:rPr>
          <w:rStyle w:val="31"/>
          <w:rFonts w:hint="default" w:ascii="Times New Roman" w:hAnsi="Times New Roman" w:cs="Times New Roman"/>
          <w:color w:val="auto"/>
        </w:rPr>
        <w:t>报告。</w:t>
      </w:r>
    </w:p>
    <w:p>
      <w:pPr>
        <w:pStyle w:val="71"/>
        <w:numPr>
          <w:ilvl w:val="0"/>
          <w:numId w:val="0"/>
        </w:numPr>
        <w:ind w:leftChars="0"/>
        <w:rPr>
          <w:rFonts w:hAnsi="宋体"/>
          <w:color w:val="auto"/>
        </w:rPr>
      </w:pPr>
      <w:r>
        <w:rPr>
          <w:rFonts w:hint="eastAsia" w:hAnsi="宋体"/>
          <w:color w:val="auto"/>
          <w:szCs w:val="24"/>
          <w:lang w:val="en-US" w:eastAsia="zh-CN"/>
        </w:rPr>
        <w:t>6）</w:t>
      </w:r>
      <w:r>
        <w:rPr>
          <w:rFonts w:hAnsi="宋体"/>
          <w:color w:val="auto"/>
          <w:szCs w:val="24"/>
        </w:rPr>
        <w:t>性能验收试验</w:t>
      </w:r>
      <w:r>
        <w:rPr>
          <w:rFonts w:hint="eastAsia" w:hAnsi="宋体"/>
          <w:color w:val="auto"/>
        </w:rPr>
        <w:t>及报告。</w:t>
      </w:r>
    </w:p>
    <w:p>
      <w:pPr>
        <w:adjustRightInd w:val="0"/>
        <w:snapToGrid w:val="0"/>
        <w:spacing w:line="500" w:lineRule="exact"/>
        <w:rPr>
          <w:rFonts w:hint="eastAsia" w:ascii="宋体" w:hAnsi="宋体"/>
        </w:rPr>
      </w:pPr>
    </w:p>
    <w:p>
      <w:pPr>
        <w:adjustRightInd w:val="0"/>
        <w:snapToGrid w:val="0"/>
        <w:spacing w:line="500" w:lineRule="exact"/>
        <w:rPr>
          <w:rFonts w:hint="eastAsia" w:ascii="宋体" w:hAnsi="宋体"/>
        </w:rPr>
      </w:pPr>
    </w:p>
    <w:p>
      <w:pPr>
        <w:adjustRightInd w:val="0"/>
        <w:snapToGrid w:val="0"/>
        <w:spacing w:line="500" w:lineRule="exact"/>
        <w:rPr>
          <w:rFonts w:hint="eastAsia" w:ascii="宋体" w:hAnsi="宋体"/>
        </w:rPr>
      </w:pPr>
    </w:p>
    <w:p>
      <w:pPr>
        <w:adjustRightInd w:val="0"/>
        <w:snapToGrid w:val="0"/>
        <w:spacing w:line="500" w:lineRule="exact"/>
        <w:rPr>
          <w:rFonts w:hint="eastAsia" w:ascii="宋体" w:hAnsi="宋体"/>
        </w:rPr>
      </w:pPr>
    </w:p>
    <w:p>
      <w:pPr>
        <w:adjustRightInd w:val="0"/>
        <w:snapToGrid w:val="0"/>
        <w:spacing w:line="500" w:lineRule="exact"/>
        <w:rPr>
          <w:rFonts w:hint="eastAsia" w:ascii="宋体" w:hAnsi="宋体"/>
        </w:rPr>
      </w:pPr>
    </w:p>
    <w:p>
      <w:pPr>
        <w:pStyle w:val="5"/>
        <w:rPr>
          <w:sz w:val="30"/>
          <w:szCs w:val="30"/>
        </w:rPr>
      </w:pPr>
      <w:bookmarkStart w:id="55" w:name="_Hlt515349389"/>
      <w:bookmarkEnd w:id="55"/>
      <w:bookmarkStart w:id="56" w:name="_Toc399318773"/>
      <w:bookmarkEnd w:id="56"/>
      <w:bookmarkStart w:id="57" w:name="_Toc505746939"/>
      <w:bookmarkEnd w:id="57"/>
      <w:bookmarkStart w:id="58" w:name="_Toc399326517"/>
      <w:bookmarkEnd w:id="58"/>
      <w:bookmarkStart w:id="59" w:name="_Toc478439473"/>
      <w:bookmarkEnd w:id="59"/>
      <w:bookmarkStart w:id="60" w:name="_Toc286159472"/>
      <w:bookmarkStart w:id="61" w:name="_Toc513014512"/>
      <w:bookmarkStart w:id="62" w:name="_Toc515785175"/>
      <w:bookmarkStart w:id="63" w:name="_Toc153568469"/>
      <w:r>
        <w:rPr>
          <w:rFonts w:hint="eastAsia"/>
          <w:sz w:val="30"/>
          <w:szCs w:val="30"/>
        </w:rPr>
        <w:t>附件4 进度</w:t>
      </w:r>
      <w:bookmarkEnd w:id="60"/>
      <w:bookmarkEnd w:id="61"/>
      <w:bookmarkEnd w:id="62"/>
      <w:r>
        <w:rPr>
          <w:rFonts w:hint="eastAsia"/>
          <w:sz w:val="30"/>
          <w:szCs w:val="30"/>
        </w:rPr>
        <w:t>安排</w:t>
      </w:r>
      <w:bookmarkEnd w:id="63"/>
    </w:p>
    <w:p>
      <w:pPr>
        <w:pStyle w:val="66"/>
        <w:widowControl/>
        <w:numPr>
          <w:ilvl w:val="1"/>
          <w:numId w:val="8"/>
        </w:numPr>
        <w:adjustRightInd w:val="0"/>
        <w:spacing w:line="360" w:lineRule="auto"/>
        <w:ind w:firstLineChars="0"/>
        <w:rPr>
          <w:rStyle w:val="31"/>
          <w:rFonts w:hint="default" w:ascii="Times New Roman" w:hAnsi="Times New Roman" w:cs="Times New Roman"/>
          <w:color w:val="auto"/>
          <w:kern w:val="0"/>
          <w:sz w:val="24"/>
        </w:rPr>
      </w:pPr>
      <w:r>
        <w:rPr>
          <w:rStyle w:val="31"/>
          <w:rFonts w:hint="default" w:ascii="Times New Roman" w:hAnsi="Times New Roman" w:cs="Times New Roman"/>
          <w:color w:val="auto"/>
          <w:kern w:val="0"/>
          <w:sz w:val="24"/>
        </w:rPr>
        <w:t>本项目实施结合202</w:t>
      </w:r>
      <w:r>
        <w:rPr>
          <w:rStyle w:val="31"/>
          <w:rFonts w:hint="eastAsia" w:cs="Times New Roman"/>
          <w:color w:val="auto"/>
          <w:kern w:val="0"/>
          <w:sz w:val="24"/>
          <w:lang w:val="en-US" w:eastAsia="zh-CN"/>
        </w:rPr>
        <w:t>5</w:t>
      </w:r>
      <w:r>
        <w:rPr>
          <w:rStyle w:val="31"/>
          <w:rFonts w:hint="default" w:ascii="Times New Roman" w:hAnsi="Times New Roman" w:cs="Times New Roman"/>
          <w:color w:val="auto"/>
          <w:kern w:val="0"/>
          <w:sz w:val="24"/>
        </w:rPr>
        <w:t>年</w:t>
      </w:r>
      <w:r>
        <w:rPr>
          <w:rStyle w:val="31"/>
          <w:rFonts w:hint="eastAsia" w:cs="Times New Roman"/>
          <w:color w:val="auto"/>
          <w:kern w:val="0"/>
          <w:sz w:val="24"/>
          <w:lang w:val="en-US" w:eastAsia="zh-CN"/>
        </w:rPr>
        <w:t>9</w:t>
      </w:r>
      <w:r>
        <w:rPr>
          <w:rStyle w:val="31"/>
          <w:rFonts w:hint="default" w:ascii="Times New Roman" w:hAnsi="Times New Roman" w:cs="Times New Roman"/>
          <w:color w:val="auto"/>
          <w:kern w:val="0"/>
          <w:sz w:val="24"/>
        </w:rPr>
        <w:t>号机组检修期间进行</w:t>
      </w:r>
      <w:r>
        <w:rPr>
          <w:rStyle w:val="31"/>
          <w:rFonts w:hint="eastAsia" w:cs="Times New Roman"/>
          <w:color w:val="auto"/>
          <w:kern w:val="0"/>
          <w:sz w:val="24"/>
          <w:lang w:eastAsia="zh-CN"/>
        </w:rPr>
        <w:t>，</w:t>
      </w:r>
      <w:r>
        <w:rPr>
          <w:rStyle w:val="31"/>
          <w:rFonts w:hint="default" w:ascii="Times New Roman" w:hAnsi="Times New Roman" w:cs="Times New Roman"/>
          <w:color w:val="auto"/>
          <w:kern w:val="0"/>
          <w:sz w:val="24"/>
        </w:rPr>
        <w:t>具体时间由招标方另行通知。（具体时间按电网批准的机组计划检修工期，以招标方的开工通知为准，投标方在接到通知后一周内按甲方要求办理完成施工人员入厂手续，并准备好所有施工所用的工器具及设备、材料）</w:t>
      </w:r>
      <w:r>
        <w:rPr>
          <w:rStyle w:val="31"/>
          <w:rFonts w:hint="eastAsia" w:cs="Times New Roman"/>
          <w:color w:val="auto"/>
          <w:kern w:val="0"/>
          <w:sz w:val="24"/>
          <w:lang w:eastAsia="zh-CN"/>
        </w:rPr>
        <w:t>。</w:t>
      </w:r>
    </w:p>
    <w:p>
      <w:pPr>
        <w:pStyle w:val="66"/>
        <w:widowControl/>
        <w:numPr>
          <w:ilvl w:val="1"/>
          <w:numId w:val="8"/>
        </w:numPr>
        <w:adjustRightInd w:val="0"/>
        <w:spacing w:line="360" w:lineRule="auto"/>
        <w:ind w:firstLineChars="0"/>
        <w:rPr>
          <w:rStyle w:val="31"/>
          <w:rFonts w:hint="default" w:ascii="Times New Roman" w:hAnsi="Times New Roman" w:cs="Times New Roman"/>
          <w:color w:val="auto"/>
          <w:kern w:val="0"/>
          <w:sz w:val="24"/>
        </w:rPr>
      </w:pPr>
      <w:r>
        <w:rPr>
          <w:rStyle w:val="31"/>
          <w:rFonts w:hint="default" w:ascii="Times New Roman" w:hAnsi="Times New Roman" w:cs="Times New Roman"/>
          <w:color w:val="auto"/>
          <w:kern w:val="0"/>
          <w:sz w:val="24"/>
        </w:rPr>
        <w:t>投标方应在</w:t>
      </w:r>
      <w:r>
        <w:rPr>
          <w:rStyle w:val="31"/>
          <w:rFonts w:hint="eastAsia" w:cs="Times New Roman"/>
          <w:color w:val="auto"/>
          <w:kern w:val="0"/>
          <w:sz w:val="24"/>
          <w:lang w:val="en-US" w:eastAsia="zh-CN"/>
        </w:rPr>
        <w:t>合同</w:t>
      </w:r>
      <w:r>
        <w:rPr>
          <w:rStyle w:val="31"/>
          <w:rFonts w:hint="default" w:ascii="Times New Roman" w:hAnsi="Times New Roman" w:cs="Times New Roman"/>
          <w:color w:val="auto"/>
          <w:kern w:val="0"/>
          <w:sz w:val="24"/>
        </w:rPr>
        <w:t>签订后</w:t>
      </w:r>
      <w:r>
        <w:rPr>
          <w:rStyle w:val="31"/>
          <w:rFonts w:hint="eastAsia" w:cs="Times New Roman"/>
          <w:color w:val="auto"/>
          <w:kern w:val="0"/>
          <w:sz w:val="24"/>
          <w:lang w:val="en-US" w:eastAsia="zh-CN"/>
        </w:rPr>
        <w:t>1</w:t>
      </w:r>
      <w:r>
        <w:rPr>
          <w:rStyle w:val="31"/>
          <w:rFonts w:hint="default" w:ascii="Times New Roman" w:hAnsi="Times New Roman" w:cs="Times New Roman"/>
          <w:color w:val="auto"/>
          <w:kern w:val="0"/>
          <w:sz w:val="24"/>
        </w:rPr>
        <w:t>5天内完成现场试验测试等工作，并出具相关试验报告（按需）。</w:t>
      </w:r>
    </w:p>
    <w:p>
      <w:pPr>
        <w:pStyle w:val="66"/>
        <w:widowControl/>
        <w:numPr>
          <w:ilvl w:val="1"/>
          <w:numId w:val="8"/>
        </w:numPr>
        <w:adjustRightInd w:val="0"/>
        <w:spacing w:line="360" w:lineRule="auto"/>
        <w:ind w:firstLineChars="0"/>
        <w:rPr>
          <w:rStyle w:val="31"/>
          <w:rFonts w:hint="default" w:ascii="Times New Roman" w:hAnsi="Times New Roman" w:cs="Times New Roman"/>
          <w:color w:val="auto"/>
          <w:sz w:val="24"/>
        </w:rPr>
      </w:pPr>
      <w:r>
        <w:rPr>
          <w:rStyle w:val="31"/>
          <w:rFonts w:hint="default" w:ascii="Times New Roman" w:hAnsi="Times New Roman" w:cs="Times New Roman"/>
          <w:color w:val="auto"/>
          <w:kern w:val="0"/>
          <w:sz w:val="24"/>
        </w:rPr>
        <w:t>投标方应在</w:t>
      </w:r>
      <w:r>
        <w:rPr>
          <w:rStyle w:val="31"/>
          <w:rFonts w:hint="eastAsia" w:cs="Times New Roman"/>
          <w:color w:val="auto"/>
          <w:kern w:val="0"/>
          <w:sz w:val="24"/>
          <w:lang w:val="en-US" w:eastAsia="zh-CN"/>
        </w:rPr>
        <w:t>合同</w:t>
      </w:r>
      <w:r>
        <w:rPr>
          <w:rStyle w:val="31"/>
          <w:rFonts w:hint="default" w:ascii="Times New Roman" w:hAnsi="Times New Roman" w:cs="Times New Roman"/>
          <w:color w:val="auto"/>
          <w:kern w:val="0"/>
          <w:sz w:val="24"/>
        </w:rPr>
        <w:t>签订后</w:t>
      </w:r>
      <w:r>
        <w:rPr>
          <w:rStyle w:val="31"/>
          <w:rFonts w:hint="eastAsia" w:cs="Times New Roman"/>
          <w:color w:val="auto"/>
          <w:kern w:val="0"/>
          <w:sz w:val="24"/>
          <w:lang w:val="en-US" w:eastAsia="zh-CN"/>
        </w:rPr>
        <w:t>30</w:t>
      </w:r>
      <w:r>
        <w:rPr>
          <w:rStyle w:val="31"/>
          <w:rFonts w:hint="default" w:ascii="Times New Roman" w:hAnsi="Times New Roman" w:cs="Times New Roman"/>
          <w:color w:val="auto"/>
          <w:kern w:val="0"/>
          <w:sz w:val="24"/>
        </w:rPr>
        <w:t>天完成整套改造设计方案和配套图纸，提交招标方进行审核。</w:t>
      </w:r>
    </w:p>
    <w:p>
      <w:pPr>
        <w:pStyle w:val="71"/>
        <w:numPr>
          <w:ilvl w:val="1"/>
          <w:numId w:val="8"/>
        </w:numPr>
        <w:ind w:firstLineChars="0"/>
        <w:rPr>
          <w:rStyle w:val="31"/>
          <w:rFonts w:hint="default" w:ascii="Times New Roman" w:hAnsi="Times New Roman" w:cs="Times New Roman"/>
          <w:color w:val="auto"/>
          <w:szCs w:val="24"/>
        </w:rPr>
      </w:pPr>
      <w:r>
        <w:rPr>
          <w:rStyle w:val="31"/>
          <w:rFonts w:hint="default" w:ascii="Times New Roman" w:hAnsi="Times New Roman" w:cs="Times New Roman"/>
          <w:color w:val="auto"/>
          <w:szCs w:val="24"/>
        </w:rPr>
        <w:t>交货地点为浙江浙能台州发电有限公司</w:t>
      </w:r>
      <w:r>
        <w:rPr>
          <w:rStyle w:val="31"/>
          <w:rFonts w:hint="eastAsia" w:ascii="Times New Roman" w:cs="Times New Roman"/>
          <w:color w:val="auto"/>
          <w:szCs w:val="24"/>
          <w:lang w:val="en-US" w:eastAsia="zh-CN"/>
        </w:rPr>
        <w:t>9</w:t>
      </w:r>
      <w:r>
        <w:rPr>
          <w:rStyle w:val="31"/>
          <w:rFonts w:hint="default" w:ascii="Times New Roman" w:hAnsi="Times New Roman" w:cs="Times New Roman"/>
          <w:color w:val="auto"/>
          <w:szCs w:val="24"/>
        </w:rPr>
        <w:t>号机组检修现场，到达现场后投标方派人到现场办理交接。</w:t>
      </w:r>
    </w:p>
    <w:p>
      <w:pPr>
        <w:pStyle w:val="71"/>
        <w:numPr>
          <w:ilvl w:val="1"/>
          <w:numId w:val="8"/>
        </w:numPr>
        <w:ind w:firstLineChars="0"/>
        <w:rPr>
          <w:rStyle w:val="31"/>
          <w:rFonts w:hint="default" w:ascii="Times New Roman" w:hAnsi="Times New Roman" w:eastAsia="宋体" w:cs="Times New Roman"/>
          <w:color w:val="auto"/>
          <w:szCs w:val="24"/>
          <w:lang w:val="en-US" w:eastAsia="zh-CN"/>
        </w:rPr>
      </w:pPr>
      <w:r>
        <w:rPr>
          <w:rStyle w:val="31"/>
          <w:rFonts w:hint="default" w:ascii="Times New Roman" w:hAnsi="Times New Roman" w:eastAsia="宋体" w:cs="Times New Roman"/>
          <w:color w:val="auto"/>
          <w:szCs w:val="24"/>
          <w:lang w:val="en-US" w:eastAsia="zh-CN"/>
        </w:rPr>
        <w:t>投标方所供货设备</w:t>
      </w:r>
      <w:r>
        <w:rPr>
          <w:rStyle w:val="31"/>
          <w:rFonts w:hint="eastAsia" w:cs="Times New Roman"/>
          <w:color w:val="auto"/>
          <w:szCs w:val="24"/>
          <w:lang w:val="en-US" w:eastAsia="zh-CN"/>
        </w:rPr>
        <w:t>起始时间以接到招标方中标通知书为准，</w:t>
      </w:r>
      <w:r>
        <w:rPr>
          <w:rStyle w:val="31"/>
          <w:rFonts w:hint="default" w:ascii="Times New Roman" w:hAnsi="Times New Roman" w:eastAsia="宋体" w:cs="Times New Roman"/>
          <w:color w:val="auto"/>
          <w:szCs w:val="24"/>
          <w:lang w:val="en-US" w:eastAsia="zh-CN"/>
        </w:rPr>
        <w:t>投标方所供货设备需在在</w:t>
      </w:r>
      <w:r>
        <w:rPr>
          <w:rStyle w:val="31"/>
          <w:rFonts w:hint="eastAsia" w:cs="Times New Roman"/>
          <w:color w:val="auto"/>
          <w:szCs w:val="24"/>
          <w:lang w:val="en-US" w:eastAsia="zh-CN"/>
        </w:rPr>
        <w:t>2025年3月30日前到达</w:t>
      </w:r>
      <w:r>
        <w:rPr>
          <w:rStyle w:val="31"/>
          <w:rFonts w:hint="default" w:ascii="Times New Roman" w:hAnsi="Times New Roman" w:eastAsia="宋体" w:cs="Times New Roman"/>
          <w:color w:val="auto"/>
          <w:szCs w:val="24"/>
          <w:lang w:val="en-US" w:eastAsia="zh-CN"/>
        </w:rPr>
        <w:t>台州发电厂指定仓库</w:t>
      </w:r>
      <w:r>
        <w:rPr>
          <w:rStyle w:val="31"/>
          <w:rFonts w:hint="eastAsia" w:ascii="Times New Roman" w:cs="Times New Roman"/>
          <w:color w:val="auto"/>
          <w:szCs w:val="24"/>
          <w:lang w:val="en-US" w:eastAsia="zh-CN"/>
        </w:rPr>
        <w:t>。</w:t>
      </w:r>
    </w:p>
    <w:p>
      <w:pPr>
        <w:spacing w:line="500" w:lineRule="exact"/>
        <w:rPr>
          <w:rFonts w:hint="eastAsia" w:ascii="宋体" w:hAnsi="宋体"/>
          <w:bCs/>
        </w:rPr>
      </w:pPr>
    </w:p>
    <w:p>
      <w:pPr>
        <w:spacing w:line="500" w:lineRule="exact"/>
        <w:rPr>
          <w:rFonts w:hint="eastAsia" w:ascii="宋体" w:hAnsi="宋体"/>
          <w:bCs/>
        </w:rPr>
      </w:pPr>
    </w:p>
    <w:p>
      <w:pPr>
        <w:spacing w:line="500" w:lineRule="exact"/>
        <w:rPr>
          <w:rFonts w:hint="eastAsia" w:ascii="宋体" w:hAnsi="宋体"/>
          <w:bCs/>
        </w:rPr>
      </w:pPr>
    </w:p>
    <w:p>
      <w:pPr>
        <w:spacing w:line="500" w:lineRule="exact"/>
        <w:rPr>
          <w:rFonts w:hint="eastAsia" w:ascii="宋体" w:hAnsi="宋体"/>
        </w:rPr>
      </w:pPr>
    </w:p>
    <w:p>
      <w:pPr>
        <w:spacing w:line="500" w:lineRule="exact"/>
        <w:rPr>
          <w:rFonts w:hint="eastAsia" w:ascii="宋体" w:hAnsi="宋体"/>
          <w:bCs/>
        </w:rPr>
        <w:sectPr>
          <w:endnotePr>
            <w:numFmt w:val="decimal"/>
          </w:endnotePr>
          <w:pgSz w:w="11907" w:h="16840"/>
          <w:pgMar w:top="1418" w:right="1531" w:bottom="1418" w:left="1701" w:header="851" w:footer="1021" w:gutter="0"/>
          <w:cols w:space="720" w:num="1"/>
          <w:docGrid w:linePitch="326" w:charSpace="0"/>
        </w:sectPr>
      </w:pPr>
    </w:p>
    <w:p>
      <w:pPr>
        <w:pStyle w:val="74"/>
        <w:bidi w:val="0"/>
        <w:rPr>
          <w:rStyle w:val="31"/>
          <w:rFonts w:hint="default" w:ascii="Times New Roman" w:hAnsi="Times New Roman" w:cs="Times New Roman"/>
          <w:color w:val="auto"/>
        </w:rPr>
      </w:pPr>
      <w:bookmarkStart w:id="64" w:name="_Toc153568470"/>
      <w:bookmarkStart w:id="65" w:name="_Toc515785176"/>
      <w:bookmarkStart w:id="66" w:name="_Toc286159473"/>
      <w:bookmarkStart w:id="67" w:name="_Toc513014514"/>
      <w:bookmarkStart w:id="68" w:name="_Toc27736_WPSOffice_Level1"/>
      <w:bookmarkStart w:id="69" w:name="_Toc4790"/>
      <w:bookmarkStart w:id="70" w:name="_Toc501817570"/>
      <w:r>
        <w:rPr>
          <w:rStyle w:val="31"/>
          <w:rFonts w:hint="default" w:ascii="Times New Roman" w:hAnsi="Times New Roman" w:cs="Times New Roman"/>
          <w:color w:val="auto"/>
        </w:rPr>
        <w:t xml:space="preserve">附件5 </w:t>
      </w:r>
      <w:r>
        <w:rPr>
          <w:rStyle w:val="31"/>
          <w:rFonts w:hint="eastAsia" w:ascii="Times New Roman" w:cs="Times New Roman"/>
          <w:color w:val="auto"/>
          <w:lang w:val="en-US" w:eastAsia="zh-CN"/>
        </w:rPr>
        <w:t>设备验收及</w:t>
      </w:r>
      <w:r>
        <w:rPr>
          <w:rStyle w:val="31"/>
          <w:rFonts w:hint="default" w:ascii="Times New Roman" w:hAnsi="Times New Roman" w:cs="Times New Roman"/>
          <w:color w:val="auto"/>
        </w:rPr>
        <w:t>性能验收试验</w:t>
      </w:r>
      <w:bookmarkEnd w:id="64"/>
      <w:bookmarkEnd w:id="65"/>
      <w:bookmarkEnd w:id="66"/>
      <w:bookmarkEnd w:id="67"/>
      <w:bookmarkEnd w:id="68"/>
      <w:bookmarkEnd w:id="69"/>
      <w:bookmarkEnd w:id="70"/>
      <w:bookmarkStart w:id="71" w:name="_Toc515785177"/>
      <w:bookmarkStart w:id="72" w:name="_Toc513014515"/>
      <w:bookmarkStart w:id="73" w:name="_Toc501817571"/>
    </w:p>
    <w:bookmarkEnd w:id="71"/>
    <w:bookmarkEnd w:id="72"/>
    <w:bookmarkEnd w:id="73"/>
    <w:p>
      <w:pPr>
        <w:pStyle w:val="6"/>
        <w:bidi w:val="0"/>
        <w:rPr>
          <w:rStyle w:val="31"/>
          <w:rFonts w:hint="default" w:ascii="Times New Roman" w:hAnsi="Times New Roman" w:cs="Times New Roman"/>
          <w:color w:val="auto"/>
        </w:rPr>
      </w:pPr>
      <w:bookmarkStart w:id="74" w:name="_Toc501817572"/>
      <w:bookmarkStart w:id="75" w:name="_Toc513014516"/>
      <w:bookmarkStart w:id="76" w:name="_Toc515785178"/>
      <w:r>
        <w:rPr>
          <w:rStyle w:val="31"/>
          <w:rFonts w:hint="eastAsia" w:ascii="Times New Roman" w:cs="Times New Roman"/>
          <w:color w:val="auto"/>
          <w:lang w:val="en-US" w:eastAsia="zh-CN"/>
        </w:rPr>
        <w:t>1</w:t>
      </w:r>
      <w:r>
        <w:rPr>
          <w:rStyle w:val="31"/>
          <w:rFonts w:hint="default" w:ascii="Times New Roman" w:hAnsi="Times New Roman" w:cs="Times New Roman"/>
          <w:color w:val="auto"/>
        </w:rPr>
        <w:t xml:space="preserve"> 设备验收</w:t>
      </w:r>
    </w:p>
    <w:p>
      <w:pPr>
        <w:pStyle w:val="72"/>
        <w:spacing w:line="360" w:lineRule="auto"/>
        <w:ind w:firstLine="0" w:firstLineChars="0"/>
        <w:rPr>
          <w:rStyle w:val="31"/>
          <w:rFonts w:hint="default" w:ascii="Times New Roman" w:hAnsi="Times New Roman" w:cs="Times New Roman"/>
          <w:color w:val="auto"/>
          <w:kern w:val="0"/>
          <w:sz w:val="24"/>
          <w:szCs w:val="20"/>
        </w:rPr>
      </w:pPr>
      <w:r>
        <w:rPr>
          <w:rStyle w:val="31"/>
          <w:rFonts w:hint="eastAsia" w:ascii="Times New Roman" w:hAnsi="Times New Roman" w:cs="Times New Roman"/>
          <w:color w:val="auto"/>
          <w:kern w:val="0"/>
          <w:sz w:val="24"/>
          <w:szCs w:val="20"/>
          <w:lang w:val="en-US" w:eastAsia="zh-CN"/>
        </w:rPr>
        <w:t>1</w:t>
      </w:r>
      <w:r>
        <w:rPr>
          <w:rStyle w:val="31"/>
          <w:rFonts w:hint="default" w:ascii="Times New Roman" w:hAnsi="Times New Roman" w:cs="Times New Roman"/>
          <w:color w:val="auto"/>
          <w:kern w:val="0"/>
          <w:sz w:val="24"/>
          <w:szCs w:val="20"/>
        </w:rPr>
        <w:t>.1 投标方应按国家标准和企业标准对供货设备逐一进行出厂检验, 检验合格后方能出厂。</w:t>
      </w:r>
    </w:p>
    <w:p>
      <w:pPr>
        <w:pStyle w:val="72"/>
        <w:spacing w:line="360" w:lineRule="auto"/>
        <w:ind w:firstLine="0" w:firstLineChars="0"/>
        <w:rPr>
          <w:rStyle w:val="31"/>
          <w:rFonts w:hint="default" w:ascii="Times New Roman" w:hAnsi="Times New Roman" w:cs="Times New Roman"/>
          <w:color w:val="auto"/>
        </w:rPr>
      </w:pPr>
      <w:r>
        <w:rPr>
          <w:rStyle w:val="31"/>
          <w:rFonts w:hint="eastAsia" w:ascii="Times New Roman" w:hAnsi="Times New Roman" w:cs="Times New Roman"/>
          <w:color w:val="auto"/>
          <w:kern w:val="0"/>
          <w:sz w:val="24"/>
          <w:szCs w:val="20"/>
          <w:lang w:val="en-US" w:eastAsia="zh-CN"/>
        </w:rPr>
        <w:t>1</w:t>
      </w:r>
      <w:r>
        <w:rPr>
          <w:rStyle w:val="31"/>
          <w:rFonts w:hint="default" w:ascii="Times New Roman" w:hAnsi="Times New Roman" w:cs="Times New Roman"/>
          <w:color w:val="auto"/>
          <w:kern w:val="0"/>
          <w:sz w:val="24"/>
          <w:szCs w:val="20"/>
        </w:rPr>
        <w:t>.2 投标方派人进行设备开箱检验，检验所提供设备满足规定的性能。试验由招标方在场并复查。</w:t>
      </w:r>
      <w:r>
        <w:rPr>
          <w:rStyle w:val="31"/>
          <w:rFonts w:hint="default" w:ascii="Times New Roman" w:hAnsi="Times New Roman" w:cs="Times New Roman"/>
          <w:color w:val="auto"/>
          <w:sz w:val="24"/>
          <w:szCs w:val="24"/>
        </w:rPr>
        <w:t>验收中发现质量和数量问题，及不符合技术规范要求的，投标方应无条件修补和更换，由此造成的一切费用和损失由投标方负担。</w:t>
      </w:r>
    </w:p>
    <w:p>
      <w:pPr>
        <w:pStyle w:val="6"/>
        <w:bidi w:val="0"/>
        <w:rPr>
          <w:rStyle w:val="31"/>
          <w:rFonts w:hint="default" w:ascii="Times New Roman" w:hAnsi="Times New Roman" w:cs="Times New Roman"/>
          <w:color w:val="auto"/>
        </w:rPr>
      </w:pPr>
      <w:bookmarkStart w:id="77" w:name="_Toc135667124"/>
      <w:bookmarkStart w:id="78" w:name="_Toc21683391"/>
      <w:bookmarkStart w:id="79" w:name="_Toc946521"/>
      <w:r>
        <w:rPr>
          <w:rStyle w:val="31"/>
          <w:rFonts w:hint="eastAsia" w:ascii="Times New Roman" w:cs="Times New Roman"/>
          <w:color w:val="auto"/>
          <w:lang w:val="en-US" w:eastAsia="zh-CN"/>
        </w:rPr>
        <w:t>2</w:t>
      </w:r>
      <w:r>
        <w:rPr>
          <w:rStyle w:val="31"/>
          <w:rFonts w:hint="default" w:ascii="Times New Roman" w:hAnsi="Times New Roman" w:cs="Times New Roman"/>
          <w:color w:val="auto"/>
        </w:rPr>
        <w:t xml:space="preserve"> 调试</w:t>
      </w:r>
      <w:bookmarkEnd w:id="77"/>
      <w:r>
        <w:rPr>
          <w:rStyle w:val="31"/>
          <w:rFonts w:hint="default" w:ascii="Times New Roman" w:hAnsi="Times New Roman" w:cs="Times New Roman"/>
          <w:color w:val="auto"/>
        </w:rPr>
        <w:t>及性能验收试验</w:t>
      </w:r>
      <w:bookmarkEnd w:id="78"/>
      <w:bookmarkEnd w:id="79"/>
    </w:p>
    <w:p>
      <w:pPr>
        <w:pStyle w:val="75"/>
        <w:spacing w:line="360" w:lineRule="auto"/>
        <w:ind w:firstLine="0"/>
        <w:rPr>
          <w:rStyle w:val="31"/>
          <w:rFonts w:hint="default" w:ascii="Times New Roman" w:hAnsi="Times New Roman" w:cs="Times New Roman"/>
          <w:snapToGrid w:val="0"/>
          <w:color w:val="auto"/>
          <w:spacing w:val="4"/>
          <w:szCs w:val="24"/>
        </w:rPr>
      </w:pPr>
      <w:r>
        <w:rPr>
          <w:rStyle w:val="31"/>
          <w:rFonts w:hint="eastAsia" w:cs="Times New Roman"/>
          <w:color w:val="auto"/>
          <w:lang w:val="en-US" w:eastAsia="zh-CN"/>
        </w:rPr>
        <w:t>2</w:t>
      </w:r>
      <w:r>
        <w:rPr>
          <w:rStyle w:val="31"/>
          <w:rFonts w:hint="default" w:ascii="Times New Roman" w:hAnsi="Times New Roman" w:cs="Times New Roman"/>
          <w:color w:val="auto"/>
        </w:rPr>
        <w:t xml:space="preserve">.1 </w:t>
      </w:r>
      <w:r>
        <w:rPr>
          <w:rStyle w:val="31"/>
          <w:rFonts w:hint="default" w:ascii="Times New Roman" w:hAnsi="Times New Roman" w:cs="Times New Roman"/>
          <w:snapToGrid w:val="0"/>
          <w:color w:val="auto"/>
          <w:spacing w:val="4"/>
          <w:szCs w:val="24"/>
        </w:rPr>
        <w:t>本项目是EP</w:t>
      </w:r>
      <w:r>
        <w:rPr>
          <w:rStyle w:val="31"/>
          <w:rFonts w:hint="eastAsia" w:cs="Times New Roman"/>
          <w:snapToGrid w:val="0"/>
          <w:color w:val="auto"/>
          <w:spacing w:val="4"/>
          <w:szCs w:val="24"/>
          <w:lang w:val="en-US" w:eastAsia="zh-CN"/>
        </w:rPr>
        <w:t>C</w:t>
      </w:r>
      <w:r>
        <w:rPr>
          <w:rStyle w:val="31"/>
          <w:rFonts w:hint="default" w:ascii="Times New Roman" w:hAnsi="Times New Roman" w:cs="Times New Roman"/>
          <w:snapToGrid w:val="0"/>
          <w:color w:val="auto"/>
          <w:spacing w:val="4"/>
          <w:szCs w:val="24"/>
        </w:rPr>
        <w:t>工程，投标方负责设备的调试。</w:t>
      </w:r>
    </w:p>
    <w:p>
      <w:pPr>
        <w:pStyle w:val="4"/>
        <w:spacing w:line="360" w:lineRule="auto"/>
        <w:rPr>
          <w:rStyle w:val="31"/>
          <w:rFonts w:hint="default" w:ascii="Times New Roman" w:hAnsi="Times New Roman" w:cs="Times New Roman"/>
          <w:snapToGrid w:val="0"/>
          <w:color w:val="auto"/>
          <w:spacing w:val="4"/>
        </w:rPr>
      </w:pPr>
      <w:r>
        <w:rPr>
          <w:rStyle w:val="31"/>
          <w:rFonts w:hint="eastAsia" w:cs="Times New Roman"/>
          <w:snapToGrid w:val="0"/>
          <w:color w:val="auto"/>
          <w:spacing w:val="4"/>
          <w:lang w:val="en-US" w:eastAsia="zh-CN"/>
        </w:rPr>
        <w:t>2</w:t>
      </w:r>
      <w:r>
        <w:rPr>
          <w:rStyle w:val="31"/>
          <w:rFonts w:hint="default" w:ascii="Times New Roman" w:hAnsi="Times New Roman" w:cs="Times New Roman"/>
          <w:snapToGrid w:val="0"/>
          <w:color w:val="auto"/>
          <w:spacing w:val="4"/>
        </w:rPr>
        <w:t>.2 投标方应在安装、保温及现场检验和试验工作全部完成之后，派调试和性能试验人员到现场，进行调试和性能验收试验。投标方应对调试及性能验收试验工作负全部责任。</w:t>
      </w:r>
    </w:p>
    <w:p>
      <w:pPr>
        <w:pStyle w:val="4"/>
        <w:spacing w:line="360" w:lineRule="auto"/>
        <w:rPr>
          <w:rStyle w:val="31"/>
          <w:rFonts w:hint="default" w:ascii="Times New Roman" w:hAnsi="Times New Roman" w:cs="Times New Roman"/>
          <w:snapToGrid w:val="0"/>
          <w:color w:val="auto"/>
          <w:spacing w:val="4"/>
        </w:rPr>
      </w:pPr>
      <w:r>
        <w:rPr>
          <w:rStyle w:val="31"/>
          <w:rFonts w:hint="eastAsia" w:cs="Times New Roman"/>
          <w:snapToGrid w:val="0"/>
          <w:color w:val="auto"/>
          <w:spacing w:val="4"/>
          <w:lang w:val="en-US" w:eastAsia="zh-CN"/>
        </w:rPr>
        <w:t>2</w:t>
      </w:r>
      <w:r>
        <w:rPr>
          <w:rStyle w:val="31"/>
          <w:rFonts w:hint="default" w:ascii="Times New Roman" w:hAnsi="Times New Roman" w:cs="Times New Roman"/>
          <w:snapToGrid w:val="0"/>
          <w:color w:val="auto"/>
          <w:spacing w:val="4"/>
        </w:rPr>
        <w:t>.3 投标方应负责为调试和性能验收试验做好准备工作。</w:t>
      </w:r>
    </w:p>
    <w:p>
      <w:pPr>
        <w:pStyle w:val="4"/>
        <w:spacing w:line="360" w:lineRule="auto"/>
        <w:rPr>
          <w:rStyle w:val="31"/>
          <w:rFonts w:hint="default" w:ascii="Times New Roman" w:hAnsi="Times New Roman" w:cs="Times New Roman"/>
          <w:color w:val="auto"/>
        </w:rPr>
      </w:pPr>
      <w:r>
        <w:rPr>
          <w:rStyle w:val="31"/>
          <w:rFonts w:hint="eastAsia" w:cs="Times New Roman"/>
          <w:snapToGrid w:val="0"/>
          <w:color w:val="auto"/>
          <w:spacing w:val="4"/>
          <w:lang w:val="en-US" w:eastAsia="zh-CN"/>
        </w:rPr>
        <w:t>2</w:t>
      </w:r>
      <w:r>
        <w:rPr>
          <w:rStyle w:val="31"/>
          <w:rFonts w:hint="default" w:ascii="Times New Roman" w:hAnsi="Times New Roman" w:cs="Times New Roman"/>
          <w:snapToGrid w:val="0"/>
          <w:color w:val="auto"/>
          <w:spacing w:val="4"/>
        </w:rPr>
        <w:t xml:space="preserve">.4 </w:t>
      </w:r>
      <w:r>
        <w:rPr>
          <w:rStyle w:val="31"/>
          <w:rFonts w:hint="default" w:ascii="Times New Roman" w:hAnsi="Times New Roman" w:cs="Times New Roman"/>
          <w:color w:val="auto"/>
        </w:rPr>
        <w:t>性能考核试验的目的是为了检验合同设备的所有性能是否符合附件1的要求.暂定在机组报复役后</w:t>
      </w:r>
      <w:r>
        <w:rPr>
          <w:rStyle w:val="31"/>
          <w:rFonts w:hint="default" w:ascii="Times New Roman" w:hAnsi="Times New Roman" w:cs="Times New Roman"/>
          <w:color w:val="auto"/>
          <w:kern w:val="0"/>
        </w:rPr>
        <w:t>15天内进行，</w:t>
      </w:r>
      <w:r>
        <w:rPr>
          <w:rStyle w:val="31"/>
          <w:rFonts w:hint="default" w:ascii="Times New Roman" w:hAnsi="Times New Roman" w:cs="Times New Roman"/>
          <w:color w:val="auto"/>
        </w:rPr>
        <w:t>测试</w:t>
      </w:r>
      <w:r>
        <w:rPr>
          <w:rStyle w:val="31"/>
          <w:rFonts w:hint="default" w:ascii="Times New Roman" w:hAnsi="Times New Roman" w:cs="Times New Roman"/>
          <w:color w:val="auto"/>
          <w:kern w:val="0"/>
        </w:rPr>
        <w:t>相关的全部内容。</w:t>
      </w:r>
    </w:p>
    <w:p>
      <w:pPr>
        <w:pStyle w:val="4"/>
        <w:tabs>
          <w:tab w:val="left" w:pos="425"/>
        </w:tabs>
        <w:adjustRightInd w:val="0"/>
        <w:spacing w:line="360" w:lineRule="auto"/>
        <w:textAlignment w:val="baseline"/>
        <w:rPr>
          <w:rStyle w:val="31"/>
          <w:rFonts w:hint="default" w:ascii="Times New Roman" w:hAnsi="Times New Roman" w:cs="Times New Roman"/>
          <w:color w:val="auto"/>
        </w:rPr>
      </w:pPr>
      <w:r>
        <w:rPr>
          <w:rStyle w:val="31"/>
          <w:rFonts w:hint="eastAsia" w:cs="Times New Roman"/>
          <w:snapToGrid w:val="0"/>
          <w:color w:val="auto"/>
          <w:spacing w:val="4"/>
          <w:lang w:val="en-US" w:eastAsia="zh-CN"/>
        </w:rPr>
        <w:t>2</w:t>
      </w:r>
      <w:r>
        <w:rPr>
          <w:rStyle w:val="31"/>
          <w:rFonts w:hint="default" w:ascii="Times New Roman" w:hAnsi="Times New Roman" w:cs="Times New Roman"/>
          <w:snapToGrid w:val="0"/>
          <w:color w:val="auto"/>
          <w:spacing w:val="4"/>
        </w:rPr>
        <w:t xml:space="preserve">.5 </w:t>
      </w:r>
      <w:r>
        <w:rPr>
          <w:rStyle w:val="31"/>
          <w:rFonts w:hint="default" w:ascii="Times New Roman" w:hAnsi="Times New Roman" w:cs="Times New Roman"/>
          <w:color w:val="auto"/>
        </w:rPr>
        <w:t>性能考核试验由招标方主持，投标方参加，具体试验时间由双方商议确定。</w:t>
      </w:r>
    </w:p>
    <w:p>
      <w:pPr>
        <w:pStyle w:val="4"/>
        <w:tabs>
          <w:tab w:val="left" w:pos="425"/>
        </w:tabs>
        <w:adjustRightInd w:val="0"/>
        <w:spacing w:line="360" w:lineRule="auto"/>
        <w:textAlignment w:val="baseline"/>
        <w:rPr>
          <w:rStyle w:val="31"/>
          <w:rFonts w:hint="default" w:ascii="Times New Roman" w:hAnsi="Times New Roman" w:cs="Times New Roman"/>
          <w:color w:val="auto"/>
        </w:rPr>
      </w:pPr>
      <w:r>
        <w:rPr>
          <w:rStyle w:val="31"/>
          <w:rFonts w:hint="eastAsia" w:cs="Times New Roman"/>
          <w:color w:val="auto"/>
          <w:lang w:val="en-US" w:eastAsia="zh-CN"/>
        </w:rPr>
        <w:t>2</w:t>
      </w:r>
      <w:r>
        <w:rPr>
          <w:rStyle w:val="31"/>
          <w:rFonts w:hint="default" w:ascii="Times New Roman" w:hAnsi="Times New Roman" w:cs="Times New Roman"/>
          <w:color w:val="auto"/>
        </w:rPr>
        <w:t>.6 投标方提供试验所需的技术配合和人员配合，并派人到现场帮助，解决试验暴露的缺陷，直到合格为止。</w:t>
      </w:r>
    </w:p>
    <w:p>
      <w:pPr>
        <w:pStyle w:val="4"/>
        <w:tabs>
          <w:tab w:val="left" w:pos="425"/>
        </w:tabs>
        <w:adjustRightInd w:val="0"/>
        <w:spacing w:line="360" w:lineRule="auto"/>
        <w:textAlignment w:val="baseline"/>
        <w:rPr>
          <w:rStyle w:val="31"/>
          <w:rFonts w:hint="default" w:ascii="Times New Roman" w:hAnsi="Times New Roman" w:cs="Times New Roman"/>
          <w:color w:val="auto"/>
        </w:rPr>
      </w:pPr>
      <w:r>
        <w:rPr>
          <w:rStyle w:val="31"/>
          <w:rFonts w:hint="eastAsia" w:cs="Times New Roman"/>
          <w:color w:val="auto"/>
          <w:lang w:val="en-US" w:eastAsia="zh-CN"/>
        </w:rPr>
        <w:t>2</w:t>
      </w:r>
      <w:r>
        <w:rPr>
          <w:rStyle w:val="31"/>
          <w:rFonts w:hint="default" w:ascii="Times New Roman" w:hAnsi="Times New Roman" w:cs="Times New Roman"/>
          <w:color w:val="auto"/>
        </w:rPr>
        <w:t>.7 性能考核试验开始前，投标方必须对装置进行优化调整，使系统达到最优运行状态，具体指标在性能试验联络会上确定。性能考核试验时的运行参数在允许的偏离范围时。运行参数超出偏离范围时，方需根据基准条件进行修正。</w:t>
      </w:r>
    </w:p>
    <w:p>
      <w:pPr>
        <w:pStyle w:val="4"/>
        <w:tabs>
          <w:tab w:val="left" w:pos="425"/>
        </w:tabs>
        <w:adjustRightInd w:val="0"/>
        <w:spacing w:line="360" w:lineRule="auto"/>
        <w:textAlignment w:val="baseline"/>
        <w:rPr>
          <w:rStyle w:val="31"/>
          <w:rFonts w:hint="default" w:ascii="Times New Roman" w:hAnsi="Times New Roman" w:cs="Times New Roman"/>
          <w:color w:val="auto"/>
        </w:rPr>
      </w:pPr>
      <w:r>
        <w:rPr>
          <w:rStyle w:val="31"/>
          <w:rFonts w:hint="eastAsia" w:cs="Times New Roman"/>
          <w:color w:val="auto"/>
          <w:lang w:val="en-US" w:eastAsia="zh-CN"/>
        </w:rPr>
        <w:t>2</w:t>
      </w:r>
      <w:r>
        <w:rPr>
          <w:rStyle w:val="31"/>
          <w:rFonts w:hint="default" w:ascii="Times New Roman" w:hAnsi="Times New Roman" w:cs="Times New Roman"/>
          <w:color w:val="auto"/>
        </w:rPr>
        <w:t>.8 如果性能考核试验中设备不能达到本技术规范书中规定的保证值，招标方保留不接收该设备的权力，并有权根据合同条款进行考核。但招标方可以给投标方另一机会：根据运行需要在招标方指定的时间内，投标方应采用能达到保证值的设备换掉有关设备，或者对有关设备进行完善和改造，重新进行试验，使之达到保证值。对完善或换掉设备及进行新的试验所产生的费用，如果是由于投标方提供的设计或设备引起的，应由投标方承担，考核视新试验的成功与否来决定。</w:t>
      </w:r>
      <w:bookmarkEnd w:id="74"/>
      <w:bookmarkEnd w:id="75"/>
      <w:bookmarkEnd w:id="76"/>
    </w:p>
    <w:p>
      <w:pPr>
        <w:pStyle w:val="4"/>
        <w:tabs>
          <w:tab w:val="left" w:pos="425"/>
        </w:tabs>
        <w:adjustRightInd w:val="0"/>
        <w:spacing w:line="360" w:lineRule="auto"/>
        <w:textAlignment w:val="baseline"/>
        <w:rPr>
          <w:rStyle w:val="31"/>
          <w:rFonts w:hint="default" w:ascii="Times New Roman" w:hAnsi="Times New Roman" w:cs="Times New Roman"/>
          <w:color w:val="auto"/>
        </w:rPr>
      </w:pPr>
      <w:r>
        <w:rPr>
          <w:rStyle w:val="31"/>
          <w:rFonts w:hint="eastAsia" w:cs="Times New Roman"/>
          <w:color w:val="auto"/>
          <w:kern w:val="0"/>
          <w:szCs w:val="20"/>
          <w:lang w:val="en-US" w:eastAsia="zh-CN"/>
        </w:rPr>
        <w:t>2</w:t>
      </w:r>
      <w:r>
        <w:rPr>
          <w:rStyle w:val="31"/>
          <w:rFonts w:hint="default" w:ascii="Times New Roman" w:hAnsi="Times New Roman" w:cs="Times New Roman"/>
          <w:color w:val="auto"/>
          <w:kern w:val="0"/>
          <w:szCs w:val="20"/>
        </w:rPr>
        <w:t xml:space="preserve">.9 </w:t>
      </w:r>
      <w:r>
        <w:rPr>
          <w:rStyle w:val="31"/>
          <w:rFonts w:hint="default" w:ascii="Times New Roman" w:hAnsi="Times New Roman" w:cs="Times New Roman"/>
          <w:color w:val="auto"/>
        </w:rPr>
        <w:t>进行性能验收试验时，一方接到另一方试验通知而不派人参加试验，则被视为对验收试验结果的同意。</w:t>
      </w:r>
    </w:p>
    <w:p>
      <w:pPr>
        <w:pStyle w:val="4"/>
        <w:tabs>
          <w:tab w:val="left" w:pos="425"/>
        </w:tabs>
        <w:adjustRightInd w:val="0"/>
        <w:spacing w:line="360" w:lineRule="auto"/>
        <w:textAlignment w:val="baseline"/>
        <w:rPr>
          <w:rStyle w:val="31"/>
          <w:rFonts w:hint="default" w:ascii="Times New Roman" w:hAnsi="Times New Roman" w:eastAsia="宋体" w:cs="Times New Roman"/>
          <w:color w:val="auto"/>
          <w:lang w:val="en-US" w:eastAsia="zh-CN"/>
        </w:rPr>
      </w:pPr>
      <w:r>
        <w:rPr>
          <w:rStyle w:val="31"/>
          <w:rFonts w:hint="eastAsia" w:cs="Times New Roman"/>
          <w:color w:val="auto"/>
          <w:lang w:val="en-US" w:eastAsia="zh-CN"/>
        </w:rPr>
        <w:t>2</w:t>
      </w:r>
      <w:r>
        <w:rPr>
          <w:rStyle w:val="31"/>
          <w:rFonts w:hint="default" w:ascii="Times New Roman" w:hAnsi="Times New Roman" w:cs="Times New Roman"/>
          <w:color w:val="auto"/>
          <w:lang w:val="en-US" w:eastAsia="zh-CN"/>
        </w:rPr>
        <w:t>.10</w:t>
      </w:r>
      <w:r>
        <w:rPr>
          <w:rStyle w:val="31"/>
          <w:rFonts w:hint="eastAsia" w:cs="Times New Roman"/>
          <w:color w:val="auto"/>
          <w:lang w:val="en-US" w:eastAsia="zh-CN"/>
        </w:rPr>
        <w:t>第三方的</w:t>
      </w:r>
      <w:r>
        <w:rPr>
          <w:rStyle w:val="31"/>
          <w:rFonts w:hint="default" w:ascii="Times New Roman" w:hAnsi="Times New Roman" w:cs="Times New Roman"/>
          <w:color w:val="auto"/>
          <w:lang w:val="en-US" w:eastAsia="zh-CN"/>
        </w:rPr>
        <w:t>性能验收试验所发生的所有费用由</w:t>
      </w:r>
      <w:r>
        <w:rPr>
          <w:rStyle w:val="31"/>
          <w:rFonts w:hint="eastAsia" w:cs="Times New Roman"/>
          <w:color w:val="auto"/>
          <w:lang w:val="en-US" w:eastAsia="zh-CN"/>
        </w:rPr>
        <w:t>招标</w:t>
      </w:r>
      <w:r>
        <w:rPr>
          <w:rStyle w:val="31"/>
          <w:rFonts w:hint="default" w:ascii="Times New Roman" w:hAnsi="Times New Roman" w:cs="Times New Roman"/>
          <w:color w:val="auto"/>
          <w:lang w:val="en-US" w:eastAsia="zh-CN"/>
        </w:rPr>
        <w:t>方承担。</w:t>
      </w:r>
    </w:p>
    <w:p>
      <w:pPr>
        <w:pStyle w:val="4"/>
        <w:rPr>
          <w:rStyle w:val="31"/>
          <w:rFonts w:hint="default" w:ascii="Times New Roman" w:hAnsi="Times New Roman" w:cs="Times New Roman"/>
          <w:color w:val="auto"/>
        </w:rPr>
      </w:pPr>
    </w:p>
    <w:p>
      <w:pPr>
        <w:pStyle w:val="3"/>
        <w:snapToGrid w:val="0"/>
        <w:spacing w:line="500" w:lineRule="exact"/>
        <w:ind w:firstLine="480" w:firstLineChars="200"/>
        <w:rPr>
          <w:rStyle w:val="31"/>
          <w:rFonts w:hint="default" w:ascii="Times New Roman" w:hAnsi="Times New Roman" w:cs="Times New Roman"/>
          <w:color w:val="auto"/>
        </w:rPr>
        <w:sectPr>
          <w:endnotePr>
            <w:numFmt w:val="decimal"/>
          </w:endnotePr>
          <w:pgSz w:w="11907" w:h="16840"/>
          <w:pgMar w:top="1418" w:right="1531" w:bottom="1418" w:left="1701" w:header="851" w:footer="1021" w:gutter="0"/>
          <w:cols w:space="720" w:num="1"/>
          <w:docGrid w:linePitch="326" w:charSpace="0"/>
        </w:sectPr>
      </w:pPr>
    </w:p>
    <w:p/>
    <w:p>
      <w:pPr>
        <w:pStyle w:val="74"/>
        <w:bidi w:val="0"/>
        <w:rPr>
          <w:rStyle w:val="31"/>
          <w:rFonts w:hint="default" w:ascii="Times New Roman" w:hAnsi="Times New Roman" w:cs="Times New Roman"/>
          <w:color w:val="auto"/>
        </w:rPr>
      </w:pPr>
      <w:bookmarkStart w:id="80" w:name="_Toc488922627"/>
      <w:bookmarkStart w:id="81" w:name="_Toc515708315"/>
      <w:bookmarkStart w:id="82" w:name="_Toc515332013"/>
      <w:bookmarkStart w:id="83" w:name="_Toc286159474"/>
      <w:bookmarkStart w:id="84" w:name="_Toc515785184"/>
      <w:bookmarkStart w:id="85" w:name="_Toc153568471"/>
      <w:bookmarkStart w:id="86" w:name="_Toc515705620"/>
      <w:bookmarkStart w:id="87" w:name="_Toc3158"/>
      <w:bookmarkStart w:id="88" w:name="_Toc26941_WPSOffice_Level1"/>
      <w:bookmarkStart w:id="89" w:name="_Toc515727599"/>
      <w:bookmarkStart w:id="90" w:name="_Toc515622054"/>
      <w:bookmarkStart w:id="91" w:name="_Toc515697899"/>
      <w:bookmarkStart w:id="92" w:name="_Toc515335072"/>
      <w:bookmarkStart w:id="93" w:name="_Toc515622055"/>
      <w:bookmarkStart w:id="94" w:name="_Toc515697903"/>
      <w:bookmarkStart w:id="95" w:name="_Toc515332014"/>
      <w:bookmarkStart w:id="96" w:name="_Toc515335073"/>
      <w:bookmarkStart w:id="97" w:name="_Toc488922628"/>
      <w:r>
        <w:rPr>
          <w:rStyle w:val="31"/>
          <w:rFonts w:hint="default" w:ascii="Times New Roman" w:hAnsi="Times New Roman" w:cs="Times New Roman"/>
          <w:color w:val="auto"/>
        </w:rPr>
        <w:t>附件</w:t>
      </w:r>
      <w:bookmarkEnd w:id="80"/>
      <w:bookmarkStart w:id="98" w:name="_Hlt515349331"/>
      <w:bookmarkEnd w:id="98"/>
      <w:r>
        <w:rPr>
          <w:rStyle w:val="31"/>
          <w:rFonts w:hint="default" w:ascii="Times New Roman" w:hAnsi="Times New Roman" w:cs="Times New Roman"/>
          <w:color w:val="auto"/>
        </w:rPr>
        <w:t>6 技术服务和联络</w:t>
      </w:r>
      <w:bookmarkEnd w:id="81"/>
      <w:bookmarkEnd w:id="82"/>
      <w:bookmarkEnd w:id="83"/>
      <w:bookmarkEnd w:id="84"/>
      <w:bookmarkEnd w:id="85"/>
      <w:bookmarkEnd w:id="86"/>
      <w:bookmarkEnd w:id="87"/>
      <w:bookmarkEnd w:id="88"/>
      <w:bookmarkEnd w:id="89"/>
      <w:bookmarkEnd w:id="90"/>
      <w:bookmarkEnd w:id="91"/>
      <w:bookmarkEnd w:id="92"/>
      <w:bookmarkStart w:id="99" w:name="_Toc515785185"/>
      <w:bookmarkStart w:id="100" w:name="_Toc515697900"/>
      <w:bookmarkStart w:id="101" w:name="_Toc515705621"/>
      <w:bookmarkStart w:id="102" w:name="_Toc515708316"/>
      <w:bookmarkStart w:id="103" w:name="_Toc515727600"/>
    </w:p>
    <w:p>
      <w:pPr>
        <w:pStyle w:val="6"/>
        <w:bidi w:val="0"/>
        <w:rPr>
          <w:rStyle w:val="31"/>
          <w:rFonts w:hint="default" w:ascii="Times New Roman" w:hAnsi="Times New Roman" w:cs="Times New Roman"/>
          <w:color w:val="auto"/>
        </w:rPr>
      </w:pPr>
      <w:r>
        <w:rPr>
          <w:rStyle w:val="31"/>
          <w:rFonts w:hint="default" w:ascii="Times New Roman" w:hAnsi="Times New Roman" w:cs="Times New Roman"/>
          <w:color w:val="auto"/>
        </w:rPr>
        <w:t>1. 投标人现场技术服务</w:t>
      </w:r>
      <w:bookmarkEnd w:id="99"/>
      <w:bookmarkEnd w:id="100"/>
      <w:bookmarkEnd w:id="101"/>
      <w:bookmarkEnd w:id="102"/>
      <w:bookmarkEnd w:id="103"/>
    </w:p>
    <w:p>
      <w:pPr>
        <w:pStyle w:val="4"/>
        <w:spacing w:line="500" w:lineRule="exact"/>
        <w:rPr>
          <w:rStyle w:val="31"/>
          <w:rFonts w:hint="default" w:ascii="Times New Roman" w:hAnsi="Times New Roman" w:cs="Times New Roman"/>
          <w:color w:val="auto"/>
        </w:rPr>
      </w:pPr>
      <w:bookmarkStart w:id="104" w:name="_Toc515705622"/>
      <w:bookmarkStart w:id="105" w:name="_Toc515697901"/>
      <w:bookmarkStart w:id="106" w:name="_Toc515785186"/>
      <w:bookmarkStart w:id="107" w:name="_Toc515727601"/>
      <w:bookmarkStart w:id="108" w:name="_Toc515708317"/>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1投标人在投标时应书面详细说明所愿意承诺的售后服务项目和内容，这些承诺将与中标后的技术协议与合同要求具有同等效力。</w:t>
      </w:r>
    </w:p>
    <w:p>
      <w:pPr>
        <w:pStyle w:val="4"/>
        <w:spacing w:line="360" w:lineRule="auto"/>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2 投标人应派经本公司法人委托的合格的项目经理到现场指导进行安装施工，并负责解决合同设备的制造质量等有关问题，投标人</w:t>
      </w:r>
      <w:r>
        <w:rPr>
          <w:rStyle w:val="31"/>
          <w:rFonts w:hint="default" w:ascii="Times New Roman" w:hAnsi="Times New Roman" w:cs="Times New Roman"/>
          <w:color w:val="auto"/>
          <w:spacing w:val="-4"/>
        </w:rPr>
        <w:t>要派合格的现场服务人员。如果此现场服务人日数不能满足安装及调试等需要，招标人有权要求</w:t>
      </w:r>
      <w:r>
        <w:rPr>
          <w:rStyle w:val="31"/>
          <w:rFonts w:hint="default" w:ascii="Times New Roman" w:hAnsi="Times New Roman" w:cs="Times New Roman"/>
          <w:color w:val="auto"/>
        </w:rPr>
        <w:t>投标人</w:t>
      </w:r>
      <w:r>
        <w:rPr>
          <w:rStyle w:val="31"/>
          <w:rFonts w:hint="default" w:ascii="Times New Roman" w:hAnsi="Times New Roman" w:cs="Times New Roman"/>
          <w:color w:val="auto"/>
          <w:spacing w:val="-4"/>
        </w:rPr>
        <w:t>增加现场服务人日数，费用由</w:t>
      </w:r>
      <w:r>
        <w:rPr>
          <w:rStyle w:val="31"/>
          <w:rFonts w:hint="default" w:ascii="Times New Roman" w:hAnsi="Times New Roman" w:cs="Times New Roman"/>
          <w:color w:val="auto"/>
        </w:rPr>
        <w:t>投标人</w:t>
      </w:r>
      <w:r>
        <w:rPr>
          <w:rStyle w:val="31"/>
          <w:rFonts w:hint="default" w:ascii="Times New Roman" w:hAnsi="Times New Roman" w:cs="Times New Roman"/>
          <w:color w:val="auto"/>
          <w:spacing w:val="-4"/>
        </w:rPr>
        <w:t>承担。</w:t>
      </w:r>
    </w:p>
    <w:p>
      <w:pPr>
        <w:pStyle w:val="4"/>
        <w:spacing w:line="500" w:lineRule="exact"/>
        <w:rPr>
          <w:rStyle w:val="31"/>
          <w:rFonts w:hint="default" w:ascii="Times New Roman" w:hAnsi="Times New Roman" w:cs="Times New Roman"/>
          <w:color w:val="auto"/>
          <w:spacing w:val="-4"/>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 xml:space="preserve">3 </w:t>
      </w:r>
      <w:r>
        <w:rPr>
          <w:rStyle w:val="31"/>
          <w:rFonts w:hint="default" w:ascii="Times New Roman" w:hAnsi="Times New Roman" w:cs="Times New Roman"/>
          <w:color w:val="auto"/>
          <w:spacing w:val="-4"/>
        </w:rPr>
        <w:t>项目的质保期定为两年，在质保期内设计、制造、安装等质量问题由投标人负责免费修理或更换。</w:t>
      </w:r>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4 质保期后，如设备出现故障,在接到招标人通知后，投标人应在24小时做出回应，并对出现的问题进行积极的配合解决。</w:t>
      </w:r>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5 对招标人选购的与本合同设备有关的配套设备，投标人有提供技术配合的义务，并不由此而发生任何费用。</w:t>
      </w:r>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6 投标人向招标人有长期优惠提供设备备件或提供设备备件供应商名单的义务。</w:t>
      </w:r>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7报价人现场服务人员应具有下列资格：</w:t>
      </w:r>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7.1遵守法纪，遵守现场的各项规章和制度；</w:t>
      </w:r>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7.2有较强的责任感和事业心，按时到位；</w:t>
      </w:r>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7.3了解合同设备的设计，熟悉其结构，有相同或相近机组的现场工作经验，能够正确地进行现场指导；</w:t>
      </w:r>
    </w:p>
    <w:p>
      <w:pPr>
        <w:pStyle w:val="4"/>
        <w:rPr>
          <w:rStyle w:val="31"/>
          <w:rFonts w:hint="default" w:ascii="Times New Roman" w:hAnsi="Times New Roman" w:cs="Times New Roman"/>
          <w:color w:val="auto"/>
        </w:rPr>
      </w:pPr>
      <w:r>
        <w:rPr>
          <w:rStyle w:val="31"/>
          <w:rFonts w:hint="default" w:ascii="Times New Roman" w:hAnsi="Times New Roman" w:cs="Times New Roman"/>
          <w:color w:val="auto"/>
          <w:lang w:val="en-US" w:eastAsia="zh-CN"/>
        </w:rPr>
        <w:t>1.</w:t>
      </w:r>
      <w:r>
        <w:rPr>
          <w:rStyle w:val="31"/>
          <w:rFonts w:hint="default" w:ascii="Times New Roman" w:hAnsi="Times New Roman" w:cs="Times New Roman"/>
          <w:color w:val="auto"/>
        </w:rPr>
        <w:t>7.4身体健康，适应现场工作的条件，男不超过60周岁，女不超过55周岁。</w:t>
      </w:r>
    </w:p>
    <w:p>
      <w:pPr>
        <w:pStyle w:val="6"/>
        <w:bidi w:val="0"/>
        <w:rPr>
          <w:rStyle w:val="31"/>
          <w:rFonts w:hint="default" w:ascii="Times New Roman" w:hAnsi="Times New Roman" w:cs="Times New Roman"/>
          <w:color w:val="auto"/>
        </w:rPr>
      </w:pPr>
      <w:r>
        <w:rPr>
          <w:rStyle w:val="31"/>
          <w:rFonts w:hint="default" w:ascii="Times New Roman" w:hAnsi="Times New Roman" w:cs="Times New Roman"/>
          <w:color w:val="auto"/>
        </w:rPr>
        <w:t>2. 培训</w:t>
      </w:r>
      <w:bookmarkEnd w:id="104"/>
      <w:bookmarkEnd w:id="105"/>
      <w:bookmarkEnd w:id="106"/>
      <w:bookmarkEnd w:id="107"/>
      <w:bookmarkEnd w:id="108"/>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rPr>
        <w:t>2.1</w:t>
      </w:r>
      <w:r>
        <w:rPr>
          <w:rStyle w:val="31"/>
          <w:rFonts w:hint="default" w:ascii="Times New Roman" w:hAnsi="Times New Roman" w:cs="Times New Roman"/>
          <w:color w:val="auto"/>
        </w:rPr>
        <w:tab/>
      </w:r>
      <w:r>
        <w:rPr>
          <w:rStyle w:val="31"/>
          <w:rFonts w:hint="default" w:ascii="Times New Roman" w:hAnsi="Times New Roman" w:cs="Times New Roman"/>
          <w:color w:val="auto"/>
        </w:rPr>
        <w:t>为使合同设备能正常安装、调试、运行、维护及检修，投标人有责任提供相应的技术培训。培训内容应与工程进度相一致。</w:t>
      </w:r>
    </w:p>
    <w:p>
      <w:pPr>
        <w:pStyle w:val="4"/>
        <w:spacing w:line="500" w:lineRule="exact"/>
        <w:rPr>
          <w:rStyle w:val="31"/>
          <w:rFonts w:hint="default" w:ascii="Times New Roman" w:hAnsi="Times New Roman" w:cs="Times New Roman"/>
          <w:color w:val="auto"/>
        </w:rPr>
      </w:pPr>
      <w:r>
        <w:rPr>
          <w:rStyle w:val="31"/>
          <w:rFonts w:hint="default" w:ascii="Times New Roman" w:hAnsi="Times New Roman" w:cs="Times New Roman"/>
          <w:color w:val="auto"/>
        </w:rPr>
        <w:t>2.</w:t>
      </w:r>
      <w:r>
        <w:rPr>
          <w:rStyle w:val="31"/>
          <w:rFonts w:hint="eastAsia" w:cs="Times New Roman"/>
          <w:color w:val="auto"/>
          <w:lang w:val="en-US" w:eastAsia="zh-CN"/>
        </w:rPr>
        <w:t>2</w:t>
      </w:r>
      <w:r>
        <w:rPr>
          <w:rStyle w:val="31"/>
          <w:rFonts w:hint="default" w:ascii="Times New Roman" w:hAnsi="Times New Roman" w:cs="Times New Roman"/>
          <w:color w:val="auto"/>
        </w:rPr>
        <w:tab/>
      </w:r>
      <w:r>
        <w:rPr>
          <w:rStyle w:val="31"/>
          <w:rFonts w:hint="default" w:ascii="Times New Roman" w:hAnsi="Times New Roman" w:cs="Times New Roman"/>
          <w:color w:val="auto"/>
        </w:rPr>
        <w:t>培训的时间、人数、地点等具体内容由招投标双方商定。</w:t>
      </w:r>
    </w:p>
    <w:p>
      <w:pPr>
        <w:pStyle w:val="3"/>
        <w:snapToGrid w:val="0"/>
        <w:spacing w:line="500" w:lineRule="exact"/>
        <w:ind w:firstLine="0"/>
        <w:rPr>
          <w:rStyle w:val="31"/>
          <w:rFonts w:hint="default" w:ascii="Times New Roman" w:hAnsi="Times New Roman" w:cs="Times New Roman"/>
          <w:color w:val="auto"/>
        </w:rPr>
      </w:pPr>
      <w:r>
        <w:rPr>
          <w:rStyle w:val="31"/>
          <w:rFonts w:hint="default" w:ascii="Times New Roman" w:hAnsi="Times New Roman" w:cs="Times New Roman"/>
          <w:color w:val="auto"/>
          <w:kern w:val="2"/>
          <w:szCs w:val="24"/>
        </w:rPr>
        <w:t>2.</w:t>
      </w:r>
      <w:r>
        <w:rPr>
          <w:rStyle w:val="31"/>
          <w:rFonts w:hint="eastAsia" w:ascii="Times New Roman" w:cs="Times New Roman"/>
          <w:color w:val="auto"/>
          <w:kern w:val="2"/>
          <w:szCs w:val="24"/>
          <w:lang w:val="en-US" w:eastAsia="zh-CN"/>
        </w:rPr>
        <w:t>3</w:t>
      </w:r>
      <w:r>
        <w:rPr>
          <w:rStyle w:val="31"/>
          <w:rFonts w:hint="default" w:ascii="Times New Roman" w:hAnsi="Times New Roman" w:cs="Times New Roman"/>
          <w:color w:val="auto"/>
        </w:rPr>
        <w:tab/>
      </w:r>
      <w:r>
        <w:rPr>
          <w:rStyle w:val="31"/>
          <w:rFonts w:hint="default" w:ascii="Times New Roman" w:hAnsi="Times New Roman" w:cs="Times New Roman"/>
          <w:color w:val="auto"/>
        </w:rPr>
        <w:t>投标人为招标人培训人员提供设备、场地、资料等培训条件，并提供食宿和交通方便。</w:t>
      </w:r>
    </w:p>
    <w:p>
      <w:pPr>
        <w:pStyle w:val="6"/>
        <w:bidi w:val="0"/>
        <w:rPr>
          <w:rStyle w:val="31"/>
          <w:rFonts w:hint="default" w:ascii="Times New Roman" w:hAnsi="Times New Roman" w:cs="Times New Roman"/>
          <w:color w:val="auto"/>
        </w:rPr>
      </w:pPr>
      <w:bookmarkStart w:id="109" w:name="_Toc515727602"/>
      <w:bookmarkStart w:id="110" w:name="_Toc515785187"/>
      <w:bookmarkStart w:id="111" w:name="_Toc515697902"/>
      <w:bookmarkStart w:id="112" w:name="_Toc515708318"/>
      <w:bookmarkStart w:id="113" w:name="_Toc515705623"/>
      <w:r>
        <w:rPr>
          <w:rStyle w:val="31"/>
          <w:rFonts w:hint="default" w:ascii="Times New Roman" w:hAnsi="Times New Roman" w:cs="Times New Roman"/>
          <w:color w:val="auto"/>
        </w:rPr>
        <w:t>3. 设计联络会</w:t>
      </w:r>
      <w:bookmarkEnd w:id="109"/>
      <w:bookmarkEnd w:id="110"/>
      <w:bookmarkEnd w:id="111"/>
      <w:bookmarkEnd w:id="112"/>
      <w:bookmarkEnd w:id="113"/>
    </w:p>
    <w:p>
      <w:pPr>
        <w:pStyle w:val="4"/>
        <w:spacing w:line="360" w:lineRule="auto"/>
        <w:ind w:firstLine="480" w:firstLineChars="200"/>
        <w:rPr>
          <w:rStyle w:val="31"/>
          <w:rFonts w:hint="default" w:ascii="Times New Roman" w:hAnsi="Times New Roman" w:cs="Times New Roman"/>
          <w:color w:val="auto"/>
        </w:rPr>
        <w:sectPr>
          <w:endnotePr>
            <w:numFmt w:val="decimal"/>
          </w:endnotePr>
          <w:pgSz w:w="11907" w:h="16840"/>
          <w:pgMar w:top="1418" w:right="1531" w:bottom="1418" w:left="1701" w:header="851" w:footer="1021" w:gutter="0"/>
          <w:cols w:space="720" w:num="1"/>
          <w:docGrid w:linePitch="326" w:charSpace="0"/>
        </w:sectPr>
      </w:pPr>
      <w:r>
        <w:rPr>
          <w:rStyle w:val="31"/>
          <w:rFonts w:hint="default" w:ascii="Times New Roman" w:hAnsi="Times New Roman" w:cs="Times New Roman"/>
          <w:color w:val="auto"/>
        </w:rPr>
        <w:t>有关设计联络的计划、时间、地点和内容要求由双方</w:t>
      </w:r>
      <w:r>
        <w:rPr>
          <w:rStyle w:val="31"/>
          <w:rFonts w:hint="eastAsia" w:cs="Times New Roman"/>
          <w:color w:val="auto"/>
          <w:lang w:val="en-US" w:eastAsia="zh-CN"/>
        </w:rPr>
        <w:t>协商</w:t>
      </w:r>
      <w:r>
        <w:rPr>
          <w:rStyle w:val="31"/>
          <w:rFonts w:hint="default" w:ascii="Times New Roman" w:hAnsi="Times New Roman" w:cs="Times New Roman"/>
          <w:color w:val="auto"/>
        </w:rPr>
        <w:t>。</w:t>
      </w:r>
    </w:p>
    <w:p>
      <w:pPr>
        <w:pStyle w:val="5"/>
        <w:rPr>
          <w:sz w:val="30"/>
          <w:szCs w:val="30"/>
        </w:rPr>
      </w:pPr>
      <w:bookmarkStart w:id="114" w:name="_Toc286159475"/>
      <w:bookmarkStart w:id="115" w:name="_Toc153568472"/>
      <w:r>
        <w:rPr>
          <w:rFonts w:hint="eastAsia"/>
          <w:sz w:val="30"/>
          <w:szCs w:val="30"/>
        </w:rPr>
        <w:t>附件7外购</w:t>
      </w:r>
      <w:bookmarkEnd w:id="114"/>
      <w:bookmarkEnd w:id="115"/>
    </w:p>
    <w:p>
      <w:pPr>
        <w:spacing w:line="500" w:lineRule="exact"/>
        <w:ind w:firstLine="480" w:firstLineChars="200"/>
        <w:rPr>
          <w:bCs/>
        </w:rPr>
      </w:pPr>
      <w:r>
        <w:rPr>
          <w:bCs/>
        </w:rPr>
        <w:t>1、</w:t>
      </w:r>
      <w:r>
        <w:rPr>
          <w:rFonts w:hint="eastAsia"/>
          <w:bCs/>
        </w:rPr>
        <w:t>投标人应根据技术要求在下列表格中填写外购情况表。</w:t>
      </w:r>
    </w:p>
    <w:p>
      <w:pPr>
        <w:spacing w:line="460" w:lineRule="exact"/>
        <w:ind w:firstLine="420" w:firstLineChars="175"/>
        <w:jc w:val="center"/>
      </w:pPr>
      <w:r>
        <w:t>外购情况表</w:t>
      </w:r>
    </w:p>
    <w:tbl>
      <w:tblPr>
        <w:tblStyle w:val="29"/>
        <w:tblW w:w="88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c>
          <w:tcPr>
            <w:tcW w:w="704" w:type="dxa"/>
            <w:vAlign w:val="center"/>
          </w:tcPr>
          <w:p>
            <w:pPr>
              <w:spacing w:line="360" w:lineRule="auto"/>
              <w:jc w:val="center"/>
            </w:pPr>
            <w:r>
              <w:t>序号</w:t>
            </w:r>
          </w:p>
        </w:tc>
        <w:tc>
          <w:tcPr>
            <w:tcW w:w="1206" w:type="dxa"/>
            <w:vAlign w:val="center"/>
          </w:tcPr>
          <w:p>
            <w:pPr>
              <w:spacing w:line="360" w:lineRule="auto"/>
              <w:jc w:val="center"/>
            </w:pPr>
            <w:r>
              <w:t>设备/部件</w:t>
            </w:r>
          </w:p>
        </w:tc>
        <w:tc>
          <w:tcPr>
            <w:tcW w:w="805" w:type="dxa"/>
            <w:vAlign w:val="center"/>
          </w:tcPr>
          <w:p>
            <w:pPr>
              <w:spacing w:line="360" w:lineRule="auto"/>
              <w:jc w:val="center"/>
            </w:pPr>
            <w:r>
              <w:t>型号</w:t>
            </w:r>
          </w:p>
        </w:tc>
        <w:tc>
          <w:tcPr>
            <w:tcW w:w="805" w:type="dxa"/>
            <w:vAlign w:val="center"/>
          </w:tcPr>
          <w:p>
            <w:pPr>
              <w:spacing w:line="360" w:lineRule="auto"/>
              <w:jc w:val="center"/>
            </w:pPr>
            <w:r>
              <w:t>单位</w:t>
            </w:r>
          </w:p>
        </w:tc>
        <w:tc>
          <w:tcPr>
            <w:tcW w:w="794" w:type="dxa"/>
            <w:vAlign w:val="center"/>
          </w:tcPr>
          <w:p>
            <w:pPr>
              <w:spacing w:line="360" w:lineRule="auto"/>
              <w:jc w:val="center"/>
            </w:pPr>
            <w:r>
              <w:t>数量</w:t>
            </w:r>
          </w:p>
        </w:tc>
        <w:tc>
          <w:tcPr>
            <w:tcW w:w="862" w:type="dxa"/>
            <w:vAlign w:val="center"/>
          </w:tcPr>
          <w:p>
            <w:pPr>
              <w:spacing w:line="360" w:lineRule="auto"/>
              <w:jc w:val="center"/>
            </w:pPr>
            <w:r>
              <w:t>产地</w:t>
            </w:r>
          </w:p>
        </w:tc>
        <w:tc>
          <w:tcPr>
            <w:tcW w:w="1159" w:type="dxa"/>
            <w:vAlign w:val="center"/>
          </w:tcPr>
          <w:p>
            <w:pPr>
              <w:spacing w:line="360" w:lineRule="auto"/>
              <w:jc w:val="center"/>
            </w:pPr>
            <w:r>
              <w:t>厂家名称</w:t>
            </w:r>
          </w:p>
        </w:tc>
        <w:tc>
          <w:tcPr>
            <w:tcW w:w="1608" w:type="dxa"/>
            <w:vAlign w:val="center"/>
          </w:tcPr>
          <w:p>
            <w:pPr>
              <w:spacing w:line="360" w:lineRule="auto"/>
              <w:jc w:val="center"/>
            </w:pPr>
            <w:r>
              <w:t>近两年同类型机组主要业绩</w:t>
            </w:r>
          </w:p>
        </w:tc>
        <w:tc>
          <w:tcPr>
            <w:tcW w:w="902" w:type="dxa"/>
            <w:vAlign w:val="center"/>
          </w:tcPr>
          <w:p>
            <w:pPr>
              <w:spacing w:line="360" w:lineRule="auto"/>
              <w:jc w:val="center"/>
            </w:pPr>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c>
          <w:tcPr>
            <w:tcW w:w="704" w:type="dxa"/>
            <w:vAlign w:val="center"/>
          </w:tcPr>
          <w:p>
            <w:pPr>
              <w:spacing w:line="360" w:lineRule="auto"/>
              <w:jc w:val="center"/>
            </w:pPr>
          </w:p>
        </w:tc>
        <w:tc>
          <w:tcPr>
            <w:tcW w:w="1206" w:type="dxa"/>
            <w:vAlign w:val="center"/>
          </w:tcPr>
          <w:p>
            <w:pPr>
              <w:spacing w:line="360" w:lineRule="auto"/>
              <w:jc w:val="center"/>
            </w:pPr>
          </w:p>
        </w:tc>
        <w:tc>
          <w:tcPr>
            <w:tcW w:w="805" w:type="dxa"/>
            <w:vAlign w:val="center"/>
          </w:tcPr>
          <w:p>
            <w:pPr>
              <w:spacing w:line="360" w:lineRule="auto"/>
              <w:jc w:val="center"/>
            </w:pPr>
          </w:p>
        </w:tc>
        <w:tc>
          <w:tcPr>
            <w:tcW w:w="805" w:type="dxa"/>
            <w:vAlign w:val="center"/>
          </w:tcPr>
          <w:p>
            <w:pPr>
              <w:spacing w:line="360" w:lineRule="auto"/>
              <w:jc w:val="center"/>
            </w:pPr>
          </w:p>
        </w:tc>
        <w:tc>
          <w:tcPr>
            <w:tcW w:w="794" w:type="dxa"/>
            <w:vAlign w:val="center"/>
          </w:tcPr>
          <w:p>
            <w:pPr>
              <w:spacing w:line="360" w:lineRule="auto"/>
              <w:jc w:val="center"/>
            </w:pPr>
          </w:p>
        </w:tc>
        <w:tc>
          <w:tcPr>
            <w:tcW w:w="862" w:type="dxa"/>
            <w:vAlign w:val="center"/>
          </w:tcPr>
          <w:p>
            <w:pPr>
              <w:spacing w:line="360" w:lineRule="auto"/>
              <w:jc w:val="center"/>
            </w:pPr>
          </w:p>
        </w:tc>
        <w:tc>
          <w:tcPr>
            <w:tcW w:w="1159" w:type="dxa"/>
            <w:vAlign w:val="center"/>
          </w:tcPr>
          <w:p>
            <w:pPr>
              <w:spacing w:line="360" w:lineRule="auto"/>
              <w:jc w:val="center"/>
            </w:pPr>
          </w:p>
        </w:tc>
        <w:tc>
          <w:tcPr>
            <w:tcW w:w="1608" w:type="dxa"/>
            <w:vAlign w:val="center"/>
          </w:tcPr>
          <w:p>
            <w:pPr>
              <w:spacing w:line="360" w:lineRule="auto"/>
              <w:jc w:val="center"/>
            </w:pPr>
          </w:p>
        </w:tc>
        <w:tc>
          <w:tcPr>
            <w:tcW w:w="902" w:type="dxa"/>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c>
          <w:tcPr>
            <w:tcW w:w="704" w:type="dxa"/>
            <w:vAlign w:val="center"/>
          </w:tcPr>
          <w:p>
            <w:pPr>
              <w:spacing w:line="360" w:lineRule="auto"/>
              <w:jc w:val="center"/>
            </w:pPr>
          </w:p>
        </w:tc>
        <w:tc>
          <w:tcPr>
            <w:tcW w:w="1206" w:type="dxa"/>
            <w:vAlign w:val="center"/>
          </w:tcPr>
          <w:p>
            <w:pPr>
              <w:spacing w:line="360" w:lineRule="auto"/>
              <w:jc w:val="center"/>
            </w:pPr>
          </w:p>
        </w:tc>
        <w:tc>
          <w:tcPr>
            <w:tcW w:w="805" w:type="dxa"/>
            <w:vAlign w:val="center"/>
          </w:tcPr>
          <w:p>
            <w:pPr>
              <w:spacing w:line="360" w:lineRule="auto"/>
              <w:jc w:val="center"/>
            </w:pPr>
          </w:p>
        </w:tc>
        <w:tc>
          <w:tcPr>
            <w:tcW w:w="805" w:type="dxa"/>
            <w:vAlign w:val="center"/>
          </w:tcPr>
          <w:p>
            <w:pPr>
              <w:spacing w:line="360" w:lineRule="auto"/>
              <w:jc w:val="center"/>
            </w:pPr>
          </w:p>
        </w:tc>
        <w:tc>
          <w:tcPr>
            <w:tcW w:w="794" w:type="dxa"/>
            <w:vAlign w:val="center"/>
          </w:tcPr>
          <w:p>
            <w:pPr>
              <w:spacing w:line="360" w:lineRule="auto"/>
              <w:jc w:val="center"/>
            </w:pPr>
          </w:p>
        </w:tc>
        <w:tc>
          <w:tcPr>
            <w:tcW w:w="862" w:type="dxa"/>
            <w:vAlign w:val="center"/>
          </w:tcPr>
          <w:p>
            <w:pPr>
              <w:spacing w:line="360" w:lineRule="auto"/>
              <w:jc w:val="center"/>
            </w:pPr>
          </w:p>
        </w:tc>
        <w:tc>
          <w:tcPr>
            <w:tcW w:w="1159" w:type="dxa"/>
            <w:vAlign w:val="center"/>
          </w:tcPr>
          <w:p>
            <w:pPr>
              <w:spacing w:line="360" w:lineRule="auto"/>
              <w:jc w:val="center"/>
            </w:pPr>
          </w:p>
        </w:tc>
        <w:tc>
          <w:tcPr>
            <w:tcW w:w="1608" w:type="dxa"/>
            <w:vAlign w:val="center"/>
          </w:tcPr>
          <w:p>
            <w:pPr>
              <w:spacing w:line="360" w:lineRule="auto"/>
              <w:jc w:val="center"/>
            </w:pPr>
          </w:p>
        </w:tc>
        <w:tc>
          <w:tcPr>
            <w:tcW w:w="902" w:type="dxa"/>
            <w:vAlign w:val="center"/>
          </w:tcPr>
          <w:p>
            <w:pPr>
              <w:spacing w:line="360" w:lineRule="auto"/>
              <w:jc w:val="center"/>
            </w:pPr>
          </w:p>
        </w:tc>
      </w:tr>
    </w:tbl>
    <w:p>
      <w:pPr>
        <w:spacing w:line="360" w:lineRule="auto"/>
        <w:ind w:firstLine="420"/>
        <w:rPr>
          <w:rFonts w:hint="eastAsia" w:hAnsi="宋体"/>
        </w:rPr>
      </w:pPr>
      <w:r>
        <w:rPr>
          <w:rFonts w:hint="eastAsia"/>
          <w:bCs/>
        </w:rPr>
        <w:t>2、对外购件的质量管理内容情况说明。</w:t>
      </w:r>
    </w:p>
    <w:bookmarkEnd w:id="93"/>
    <w:bookmarkEnd w:id="94"/>
    <w:bookmarkEnd w:id="95"/>
    <w:bookmarkEnd w:id="96"/>
    <w:bookmarkEnd w:id="97"/>
    <w:p>
      <w:pPr>
        <w:spacing w:line="500" w:lineRule="exact"/>
        <w:ind w:firstLine="420"/>
        <w:rPr>
          <w:rFonts w:hint="eastAsia" w:ascii="宋体" w:hAnsi="宋体"/>
        </w:rPr>
      </w:pPr>
    </w:p>
    <w:p>
      <w:pPr>
        <w:spacing w:line="500" w:lineRule="exact"/>
        <w:ind w:firstLine="420"/>
        <w:rPr>
          <w:rFonts w:hint="eastAsia" w:ascii="宋体" w:hAnsi="宋体"/>
        </w:rPr>
        <w:sectPr>
          <w:endnotePr>
            <w:numFmt w:val="decimal"/>
          </w:endnotePr>
          <w:pgSz w:w="11907" w:h="16840"/>
          <w:pgMar w:top="1418" w:right="1531" w:bottom="1418" w:left="1701" w:header="851" w:footer="1021" w:gutter="0"/>
          <w:cols w:space="720" w:num="1"/>
          <w:docGrid w:linePitch="326" w:charSpace="0"/>
        </w:sectPr>
      </w:pPr>
    </w:p>
    <w:p>
      <w:pPr>
        <w:pStyle w:val="5"/>
        <w:rPr>
          <w:sz w:val="30"/>
          <w:szCs w:val="30"/>
        </w:rPr>
      </w:pPr>
      <w:bookmarkStart w:id="116" w:name="_Toc201065489"/>
      <w:bookmarkStart w:id="117" w:name="_Toc286159476"/>
      <w:bookmarkStart w:id="118" w:name="_Toc153568473"/>
      <w:bookmarkStart w:id="119" w:name="_Toc517056034"/>
      <w:bookmarkStart w:id="120" w:name="_Toc501817581"/>
      <w:r>
        <w:rPr>
          <w:rFonts w:hint="eastAsia"/>
          <w:sz w:val="30"/>
          <w:szCs w:val="30"/>
        </w:rPr>
        <w:t xml:space="preserve">附件8 </w:t>
      </w:r>
      <w:bookmarkEnd w:id="116"/>
      <w:bookmarkEnd w:id="117"/>
      <w:r>
        <w:rPr>
          <w:rFonts w:hint="eastAsia"/>
          <w:sz w:val="30"/>
          <w:szCs w:val="30"/>
        </w:rPr>
        <w:t>设计方案</w:t>
      </w:r>
      <w:bookmarkEnd w:id="118"/>
    </w:p>
    <w:p>
      <w:pPr>
        <w:autoSpaceDE w:val="0"/>
        <w:autoSpaceDN w:val="0"/>
        <w:snapToGrid w:val="0"/>
        <w:spacing w:before="100" w:beforeAutospacing="1" w:line="360" w:lineRule="auto"/>
        <w:ind w:firstLine="480" w:firstLineChars="200"/>
        <w:rPr>
          <w:rFonts w:ascii="宋体"/>
        </w:rPr>
      </w:pPr>
      <w:r>
        <w:rPr>
          <w:rFonts w:hint="eastAsia" w:ascii="宋体"/>
          <w:lang w:eastAsia="zh-CN"/>
        </w:rPr>
        <w:t>投标方</w:t>
      </w:r>
      <w:r>
        <w:rPr>
          <w:rFonts w:hint="eastAsia" w:ascii="宋体"/>
        </w:rPr>
        <w:t>应提供详细改造方案CFD模拟计算报告、提供初步设计方案或图纸，另行装订成册，数量和格式见附件3 技术资料的要求。</w:t>
      </w:r>
    </w:p>
    <w:p>
      <w:pPr>
        <w:spacing w:line="500" w:lineRule="exact"/>
        <w:rPr>
          <w:rFonts w:hint="eastAsia" w:ascii="宋体" w:hAnsi="宋体"/>
          <w:sz w:val="28"/>
        </w:rPr>
      </w:pPr>
    </w:p>
    <w:bookmarkEnd w:id="119"/>
    <w:bookmarkEnd w:id="120"/>
    <w:p>
      <w:pPr>
        <w:spacing w:line="500" w:lineRule="exact"/>
        <w:ind w:firstLine="420"/>
        <w:rPr>
          <w:rFonts w:hint="eastAsia" w:ascii="宋体" w:hAnsi="宋体"/>
        </w:rPr>
        <w:sectPr>
          <w:headerReference r:id="rId11" w:type="first"/>
          <w:footerReference r:id="rId12" w:type="first"/>
          <w:endnotePr>
            <w:numFmt w:val="decimal"/>
          </w:endnotePr>
          <w:pgSz w:w="11907" w:h="16840"/>
          <w:pgMar w:top="1418" w:right="1531" w:bottom="1418" w:left="1701" w:header="851" w:footer="1021" w:gutter="0"/>
          <w:cols w:space="720" w:num="1"/>
          <w:docGrid w:linePitch="326" w:charSpace="0"/>
        </w:sectPr>
      </w:pPr>
    </w:p>
    <w:p>
      <w:pPr>
        <w:spacing w:line="500" w:lineRule="exact"/>
        <w:rPr>
          <w:rFonts w:hint="eastAsia" w:ascii="宋体" w:hAnsi="宋体"/>
        </w:rPr>
      </w:pPr>
    </w:p>
    <w:p>
      <w:pPr>
        <w:pStyle w:val="5"/>
        <w:rPr>
          <w:sz w:val="30"/>
          <w:szCs w:val="30"/>
        </w:rPr>
      </w:pPr>
      <w:bookmarkStart w:id="121" w:name="_Toc286159477"/>
      <w:bookmarkStart w:id="122" w:name="_Toc153568474"/>
      <w:r>
        <w:rPr>
          <w:rFonts w:hint="eastAsia"/>
          <w:sz w:val="30"/>
          <w:szCs w:val="30"/>
        </w:rPr>
        <w:t>附件</w:t>
      </w:r>
      <w:r>
        <w:rPr>
          <w:sz w:val="30"/>
          <w:szCs w:val="30"/>
        </w:rPr>
        <w:t xml:space="preserve">9 </w:t>
      </w:r>
      <w:r>
        <w:rPr>
          <w:rFonts w:hint="eastAsia"/>
          <w:sz w:val="30"/>
          <w:szCs w:val="30"/>
        </w:rPr>
        <w:t>大（部）件情况</w:t>
      </w:r>
      <w:bookmarkEnd w:id="121"/>
      <w:bookmarkEnd w:id="122"/>
    </w:p>
    <w:p>
      <w:pPr>
        <w:spacing w:line="500" w:lineRule="exact"/>
        <w:ind w:firstLine="566"/>
        <w:rPr>
          <w:rFonts w:hint="eastAsia" w:ascii="宋体" w:hAnsi="宋体"/>
        </w:rPr>
      </w:pPr>
      <w:r>
        <w:rPr>
          <w:rFonts w:hint="eastAsia" w:ascii="宋体" w:hAnsi="宋体"/>
        </w:rPr>
        <w:t>投标人应把超重超限的情况详细予以说明。</w:t>
      </w:r>
    </w:p>
    <w:tbl>
      <w:tblPr>
        <w:tblStyle w:val="29"/>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pPr>
              <w:spacing w:line="500" w:lineRule="exact"/>
              <w:jc w:val="center"/>
              <w:rPr>
                <w:rFonts w:hint="eastAsia" w:ascii="宋体" w:hAnsi="宋体"/>
              </w:rPr>
            </w:pPr>
            <w:r>
              <w:rPr>
                <w:rFonts w:hint="eastAsia" w:ascii="宋体" w:hAnsi="宋体"/>
              </w:rPr>
              <w:t>序</w:t>
            </w:r>
          </w:p>
          <w:p>
            <w:pPr>
              <w:spacing w:line="500" w:lineRule="exact"/>
              <w:jc w:val="center"/>
              <w:rPr>
                <w:rFonts w:hint="eastAsia" w:ascii="宋体" w:hAnsi="宋体"/>
              </w:rPr>
            </w:pPr>
            <w:r>
              <w:rPr>
                <w:rFonts w:hint="eastAsia" w:ascii="宋体" w:hAnsi="宋体"/>
              </w:rPr>
              <w:t>号</w:t>
            </w:r>
          </w:p>
        </w:tc>
        <w:tc>
          <w:tcPr>
            <w:tcW w:w="710" w:type="dxa"/>
            <w:vMerge w:val="restart"/>
            <w:tcBorders>
              <w:top w:val="single" w:color="auto" w:sz="6" w:space="0"/>
              <w:left w:val="nil"/>
              <w:right w:val="single" w:color="auto" w:sz="6" w:space="0"/>
            </w:tcBorders>
            <w:vAlign w:val="center"/>
          </w:tcPr>
          <w:p>
            <w:pPr>
              <w:spacing w:line="500" w:lineRule="exact"/>
              <w:jc w:val="center"/>
              <w:rPr>
                <w:rFonts w:hint="eastAsia" w:ascii="宋体" w:hAnsi="宋体"/>
              </w:rPr>
            </w:pPr>
            <w:r>
              <w:rPr>
                <w:rFonts w:hint="eastAsia" w:ascii="宋体" w:hAnsi="宋体"/>
              </w:rPr>
              <w:t>部件名称</w:t>
            </w:r>
          </w:p>
        </w:tc>
        <w:tc>
          <w:tcPr>
            <w:tcW w:w="475" w:type="dxa"/>
            <w:vMerge w:val="restart"/>
            <w:tcBorders>
              <w:top w:val="single" w:color="auto" w:sz="6" w:space="0"/>
              <w:left w:val="nil"/>
              <w:right w:val="single" w:color="auto" w:sz="6" w:space="0"/>
            </w:tcBorders>
            <w:vAlign w:val="center"/>
          </w:tcPr>
          <w:p>
            <w:pPr>
              <w:spacing w:line="500" w:lineRule="exact"/>
              <w:jc w:val="center"/>
              <w:rPr>
                <w:rFonts w:hint="eastAsia" w:ascii="宋体" w:hAnsi="宋体"/>
              </w:rPr>
            </w:pPr>
            <w:r>
              <w:rPr>
                <w:rFonts w:hint="eastAsia" w:ascii="宋体" w:hAnsi="宋体"/>
              </w:rPr>
              <w:t>数量</w:t>
            </w:r>
          </w:p>
        </w:tc>
        <w:tc>
          <w:tcPr>
            <w:tcW w:w="1580" w:type="dxa"/>
            <w:gridSpan w:val="2"/>
            <w:tcBorders>
              <w:top w:val="single" w:color="auto" w:sz="6" w:space="0"/>
              <w:left w:val="nil"/>
              <w:bottom w:val="single" w:color="auto" w:sz="6" w:space="0"/>
              <w:right w:val="nil"/>
            </w:tcBorders>
            <w:vAlign w:val="center"/>
          </w:tcPr>
          <w:p>
            <w:pPr>
              <w:spacing w:line="500" w:lineRule="exact"/>
              <w:jc w:val="center"/>
              <w:rPr>
                <w:rFonts w:hint="eastAsia" w:ascii="宋体" w:hAnsi="宋体"/>
              </w:rPr>
            </w:pPr>
            <w:r>
              <w:rPr>
                <w:rFonts w:hint="eastAsia" w:ascii="宋体" w:hAnsi="宋体"/>
              </w:rPr>
              <w:t>长</w:t>
            </w:r>
            <w:r>
              <w:rPr>
                <w:rFonts w:ascii="宋体" w:hAnsi="宋体"/>
              </w:rPr>
              <w:t>*</w:t>
            </w:r>
            <w:r>
              <w:rPr>
                <w:rFonts w:hint="eastAsia" w:ascii="宋体" w:hAnsi="宋体"/>
              </w:rPr>
              <w:t>宽</w:t>
            </w:r>
            <w:r>
              <w:rPr>
                <w:rFonts w:ascii="宋体" w:hAnsi="宋体"/>
              </w:rPr>
              <w:t>*</w:t>
            </w:r>
            <w:r>
              <w:rPr>
                <w:rFonts w:hint="eastAsia" w:ascii="宋体" w:hAnsi="宋体"/>
              </w:rPr>
              <w:t>高</w:t>
            </w:r>
          </w:p>
        </w:tc>
        <w:tc>
          <w:tcPr>
            <w:tcW w:w="1560" w:type="dxa"/>
            <w:gridSpan w:val="2"/>
            <w:tcBorders>
              <w:top w:val="single" w:color="auto" w:sz="6" w:space="0"/>
              <w:left w:val="single" w:color="auto" w:sz="6" w:space="0"/>
              <w:bottom w:val="single" w:color="auto" w:sz="6" w:space="0"/>
              <w:right w:val="nil"/>
            </w:tcBorders>
            <w:vAlign w:val="center"/>
          </w:tcPr>
          <w:p>
            <w:pPr>
              <w:spacing w:line="500" w:lineRule="exact"/>
              <w:jc w:val="center"/>
              <w:rPr>
                <w:rFonts w:hint="eastAsia" w:ascii="宋体" w:hAnsi="宋体"/>
              </w:rPr>
            </w:pPr>
            <w:r>
              <w:rPr>
                <w:rFonts w:hint="eastAsia" w:ascii="宋体" w:hAnsi="宋体"/>
              </w:rPr>
              <w:t>重量</w:t>
            </w:r>
          </w:p>
        </w:tc>
        <w:tc>
          <w:tcPr>
            <w:tcW w:w="1080" w:type="dxa"/>
            <w:vMerge w:val="restart"/>
            <w:tcBorders>
              <w:top w:val="single" w:color="auto" w:sz="6" w:space="0"/>
              <w:left w:val="single" w:color="auto" w:sz="6" w:space="0"/>
              <w:right w:val="nil"/>
            </w:tcBorders>
            <w:vAlign w:val="center"/>
          </w:tcPr>
          <w:p>
            <w:pPr>
              <w:spacing w:line="500" w:lineRule="exact"/>
              <w:jc w:val="center"/>
              <w:rPr>
                <w:rFonts w:hint="eastAsia" w:ascii="宋体" w:hAnsi="宋体"/>
              </w:rPr>
            </w:pPr>
            <w:r>
              <w:rPr>
                <w:rFonts w:hint="eastAsia" w:ascii="宋体" w:hAnsi="宋体"/>
              </w:rPr>
              <w:t>厂家</w:t>
            </w:r>
          </w:p>
          <w:p>
            <w:pPr>
              <w:spacing w:line="500" w:lineRule="exact"/>
              <w:jc w:val="center"/>
              <w:rPr>
                <w:rFonts w:hint="eastAsia" w:ascii="宋体" w:hAnsi="宋体"/>
              </w:rPr>
            </w:pPr>
            <w:r>
              <w:rPr>
                <w:rFonts w:hint="eastAsia" w:ascii="宋体" w:hAnsi="宋体"/>
              </w:rPr>
              <w:t>名称</w:t>
            </w:r>
          </w:p>
        </w:tc>
        <w:tc>
          <w:tcPr>
            <w:tcW w:w="1440" w:type="dxa"/>
            <w:vMerge w:val="restart"/>
            <w:tcBorders>
              <w:top w:val="single" w:color="auto" w:sz="6" w:space="0"/>
              <w:left w:val="single" w:color="auto" w:sz="6" w:space="0"/>
              <w:right w:val="nil"/>
            </w:tcBorders>
            <w:vAlign w:val="center"/>
          </w:tcPr>
          <w:p>
            <w:pPr>
              <w:spacing w:line="500" w:lineRule="exact"/>
              <w:jc w:val="center"/>
              <w:rPr>
                <w:rFonts w:hint="eastAsia" w:ascii="宋体" w:hAnsi="宋体"/>
              </w:rPr>
            </w:pPr>
            <w:r>
              <w:rPr>
                <w:rFonts w:hint="eastAsia" w:ascii="宋体" w:hAnsi="宋体"/>
              </w:rPr>
              <w:t>货物发运</w:t>
            </w:r>
          </w:p>
          <w:p>
            <w:pPr>
              <w:spacing w:line="500" w:lineRule="exact"/>
              <w:jc w:val="center"/>
              <w:rPr>
                <w:rFonts w:hint="eastAsia" w:ascii="宋体" w:hAnsi="宋体"/>
              </w:rPr>
            </w:pPr>
            <w:r>
              <w:rPr>
                <w:rFonts w:hint="eastAsia" w:ascii="宋体" w:hAnsi="宋体"/>
              </w:rPr>
              <w:t>地点</w:t>
            </w:r>
          </w:p>
        </w:tc>
        <w:tc>
          <w:tcPr>
            <w:tcW w:w="1080" w:type="dxa"/>
            <w:vMerge w:val="restart"/>
            <w:tcBorders>
              <w:top w:val="single" w:color="auto" w:sz="6" w:space="0"/>
              <w:left w:val="single" w:color="auto" w:sz="6" w:space="0"/>
              <w:right w:val="nil"/>
            </w:tcBorders>
            <w:vAlign w:val="center"/>
          </w:tcPr>
          <w:p>
            <w:pPr>
              <w:spacing w:line="500" w:lineRule="exact"/>
              <w:jc w:val="center"/>
              <w:rPr>
                <w:rFonts w:hint="eastAsia" w:ascii="宋体" w:hAnsi="宋体"/>
              </w:rPr>
            </w:pPr>
            <w:r>
              <w:rPr>
                <w:rFonts w:hint="eastAsia" w:ascii="宋体" w:hAnsi="宋体"/>
              </w:rPr>
              <w:t>运输方式</w:t>
            </w:r>
          </w:p>
        </w:tc>
        <w:tc>
          <w:tcPr>
            <w:tcW w:w="960" w:type="dxa"/>
            <w:vMerge w:val="restart"/>
            <w:tcBorders>
              <w:top w:val="single" w:color="auto" w:sz="6" w:space="0"/>
              <w:left w:val="single" w:color="auto" w:sz="6" w:space="0"/>
              <w:right w:val="single" w:color="auto" w:sz="6" w:space="0"/>
            </w:tcBorders>
            <w:vAlign w:val="center"/>
          </w:tcPr>
          <w:p>
            <w:pPr>
              <w:spacing w:line="500" w:lineRule="exact"/>
              <w:jc w:val="center"/>
              <w:rPr>
                <w:rFonts w:hint="eastAsia" w:ascii="宋体" w:hAnsi="宋体"/>
              </w:rPr>
            </w:pPr>
            <w:r>
              <w:rPr>
                <w:rFonts w:hint="eastAsia" w:ascii="宋体" w:hAnsi="宋体"/>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pPr>
              <w:spacing w:line="500" w:lineRule="exact"/>
              <w:jc w:val="center"/>
              <w:rPr>
                <w:rFonts w:hint="eastAsia" w:ascii="宋体" w:hAnsi="宋体"/>
              </w:rPr>
            </w:pPr>
          </w:p>
        </w:tc>
        <w:tc>
          <w:tcPr>
            <w:tcW w:w="710" w:type="dxa"/>
            <w:vMerge w:val="continue"/>
            <w:tcBorders>
              <w:left w:val="nil"/>
              <w:bottom w:val="single" w:color="auto" w:sz="6" w:space="0"/>
              <w:right w:val="single" w:color="auto" w:sz="6" w:space="0"/>
            </w:tcBorders>
          </w:tcPr>
          <w:p>
            <w:pPr>
              <w:spacing w:line="500" w:lineRule="exact"/>
              <w:jc w:val="center"/>
              <w:rPr>
                <w:rFonts w:hint="eastAsia" w:ascii="宋体" w:hAnsi="宋体"/>
              </w:rPr>
            </w:pPr>
          </w:p>
        </w:tc>
        <w:tc>
          <w:tcPr>
            <w:tcW w:w="475" w:type="dxa"/>
            <w:vMerge w:val="continue"/>
            <w:tcBorders>
              <w:left w:val="nil"/>
              <w:bottom w:val="single" w:color="auto" w:sz="6" w:space="0"/>
              <w:right w:val="single" w:color="auto" w:sz="6" w:space="0"/>
            </w:tcBorders>
          </w:tcPr>
          <w:p>
            <w:pPr>
              <w:spacing w:line="500" w:lineRule="exact"/>
              <w:jc w:val="center"/>
              <w:rPr>
                <w:rFonts w:hint="eastAsia" w:ascii="宋体" w:hAnsi="宋体"/>
              </w:rPr>
            </w:pPr>
          </w:p>
        </w:tc>
        <w:tc>
          <w:tcPr>
            <w:tcW w:w="620" w:type="dxa"/>
            <w:tcBorders>
              <w:top w:val="nil"/>
              <w:left w:val="nil"/>
            </w:tcBorders>
          </w:tcPr>
          <w:p>
            <w:pPr>
              <w:spacing w:line="500" w:lineRule="exact"/>
              <w:jc w:val="center"/>
              <w:rPr>
                <w:rFonts w:hint="eastAsia" w:ascii="宋体" w:hAnsi="宋体"/>
              </w:rPr>
            </w:pPr>
            <w:r>
              <w:rPr>
                <w:rFonts w:hint="eastAsia" w:ascii="宋体" w:hAnsi="宋体"/>
              </w:rPr>
              <w:t>包装</w:t>
            </w:r>
          </w:p>
        </w:tc>
        <w:tc>
          <w:tcPr>
            <w:tcW w:w="960" w:type="dxa"/>
            <w:tcBorders>
              <w:top w:val="nil"/>
            </w:tcBorders>
          </w:tcPr>
          <w:p>
            <w:pPr>
              <w:spacing w:line="500" w:lineRule="exact"/>
              <w:jc w:val="center"/>
              <w:rPr>
                <w:rFonts w:hint="eastAsia" w:ascii="宋体" w:hAnsi="宋体"/>
              </w:rPr>
            </w:pPr>
            <w:r>
              <w:rPr>
                <w:rFonts w:hint="eastAsia" w:ascii="宋体" w:hAnsi="宋体"/>
              </w:rPr>
              <w:t>未包装</w:t>
            </w:r>
          </w:p>
        </w:tc>
        <w:tc>
          <w:tcPr>
            <w:tcW w:w="600" w:type="dxa"/>
            <w:tcBorders>
              <w:top w:val="nil"/>
            </w:tcBorders>
          </w:tcPr>
          <w:p>
            <w:pPr>
              <w:spacing w:line="500" w:lineRule="exact"/>
              <w:jc w:val="center"/>
              <w:rPr>
                <w:rFonts w:hint="eastAsia" w:ascii="宋体" w:hAnsi="宋体"/>
              </w:rPr>
            </w:pPr>
            <w:r>
              <w:rPr>
                <w:rFonts w:hint="eastAsia" w:ascii="宋体" w:hAnsi="宋体"/>
              </w:rPr>
              <w:t>包装</w:t>
            </w:r>
          </w:p>
        </w:tc>
        <w:tc>
          <w:tcPr>
            <w:tcW w:w="960" w:type="dxa"/>
            <w:tcBorders>
              <w:top w:val="nil"/>
              <w:right w:val="nil"/>
            </w:tcBorders>
          </w:tcPr>
          <w:p>
            <w:pPr>
              <w:spacing w:line="500" w:lineRule="exact"/>
              <w:jc w:val="center"/>
              <w:rPr>
                <w:rFonts w:hint="eastAsia" w:ascii="宋体" w:hAnsi="宋体"/>
              </w:rPr>
            </w:pPr>
            <w:r>
              <w:rPr>
                <w:rFonts w:hint="eastAsia" w:ascii="宋体" w:hAnsi="宋体"/>
              </w:rPr>
              <w:t>未包装</w:t>
            </w:r>
          </w:p>
        </w:tc>
        <w:tc>
          <w:tcPr>
            <w:tcW w:w="1080" w:type="dxa"/>
            <w:vMerge w:val="continue"/>
            <w:tcBorders>
              <w:left w:val="single" w:color="auto" w:sz="6" w:space="0"/>
              <w:bottom w:val="single" w:color="auto" w:sz="6" w:space="0"/>
              <w:right w:val="nil"/>
            </w:tcBorders>
          </w:tcPr>
          <w:p>
            <w:pPr>
              <w:spacing w:line="500" w:lineRule="exact"/>
              <w:jc w:val="center"/>
              <w:rPr>
                <w:rFonts w:hint="eastAsia" w:ascii="宋体" w:hAnsi="宋体"/>
              </w:rPr>
            </w:pPr>
          </w:p>
        </w:tc>
        <w:tc>
          <w:tcPr>
            <w:tcW w:w="1440" w:type="dxa"/>
            <w:vMerge w:val="continue"/>
            <w:tcBorders>
              <w:left w:val="single" w:color="auto" w:sz="6" w:space="0"/>
              <w:bottom w:val="single" w:color="auto" w:sz="6" w:space="0"/>
              <w:right w:val="nil"/>
            </w:tcBorders>
          </w:tcPr>
          <w:p>
            <w:pPr>
              <w:spacing w:line="500" w:lineRule="exact"/>
              <w:jc w:val="center"/>
              <w:rPr>
                <w:rFonts w:hint="eastAsia" w:ascii="宋体" w:hAnsi="宋体"/>
              </w:rPr>
            </w:pPr>
          </w:p>
        </w:tc>
        <w:tc>
          <w:tcPr>
            <w:tcW w:w="1080" w:type="dxa"/>
            <w:vMerge w:val="continue"/>
            <w:tcBorders>
              <w:left w:val="single" w:color="auto" w:sz="6" w:space="0"/>
              <w:bottom w:val="single" w:color="auto" w:sz="6" w:space="0"/>
              <w:right w:val="nil"/>
            </w:tcBorders>
          </w:tcPr>
          <w:p>
            <w:pPr>
              <w:spacing w:line="500" w:lineRule="exact"/>
              <w:jc w:val="center"/>
              <w:rPr>
                <w:rFonts w:hint="eastAsia" w:ascii="宋体" w:hAnsi="宋体"/>
              </w:rPr>
            </w:pPr>
          </w:p>
        </w:tc>
        <w:tc>
          <w:tcPr>
            <w:tcW w:w="960" w:type="dxa"/>
            <w:vMerge w:val="continue"/>
            <w:tcBorders>
              <w:left w:val="single" w:color="auto" w:sz="6" w:space="0"/>
              <w:bottom w:val="single" w:color="auto" w:sz="6" w:space="0"/>
              <w:right w:val="single" w:color="auto" w:sz="6" w:space="0"/>
            </w:tcBorders>
          </w:tcPr>
          <w:p>
            <w:pPr>
              <w:spacing w:line="500" w:lineRule="exact"/>
              <w:jc w:val="center"/>
              <w:rPr>
                <w:rFonts w:hint="eastAsia"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pPr>
              <w:spacing w:line="500" w:lineRule="exact"/>
              <w:rPr>
                <w:rFonts w:hint="eastAsia" w:ascii="宋体" w:hAnsi="宋体"/>
              </w:rPr>
            </w:pPr>
          </w:p>
        </w:tc>
        <w:tc>
          <w:tcPr>
            <w:tcW w:w="710" w:type="dxa"/>
            <w:tcBorders>
              <w:top w:val="nil"/>
            </w:tcBorders>
          </w:tcPr>
          <w:p>
            <w:pPr>
              <w:spacing w:line="500" w:lineRule="exact"/>
              <w:rPr>
                <w:rFonts w:hint="eastAsia" w:ascii="宋体" w:hAnsi="宋体"/>
              </w:rPr>
            </w:pPr>
          </w:p>
        </w:tc>
        <w:tc>
          <w:tcPr>
            <w:tcW w:w="475" w:type="dxa"/>
            <w:tcBorders>
              <w:top w:val="nil"/>
            </w:tcBorders>
          </w:tcPr>
          <w:p>
            <w:pPr>
              <w:spacing w:line="500" w:lineRule="exact"/>
              <w:rPr>
                <w:rFonts w:hint="eastAsia" w:ascii="宋体" w:hAnsi="宋体"/>
              </w:rPr>
            </w:pPr>
          </w:p>
        </w:tc>
        <w:tc>
          <w:tcPr>
            <w:tcW w:w="620" w:type="dxa"/>
          </w:tcPr>
          <w:p>
            <w:pPr>
              <w:spacing w:line="500" w:lineRule="exact"/>
              <w:rPr>
                <w:rFonts w:hint="eastAsia" w:ascii="宋体" w:hAnsi="宋体"/>
              </w:rPr>
            </w:pPr>
          </w:p>
        </w:tc>
        <w:tc>
          <w:tcPr>
            <w:tcW w:w="960" w:type="dxa"/>
          </w:tcPr>
          <w:p>
            <w:pPr>
              <w:spacing w:line="500" w:lineRule="exact"/>
              <w:rPr>
                <w:rFonts w:hint="eastAsia" w:ascii="宋体" w:hAnsi="宋体"/>
              </w:rPr>
            </w:pPr>
          </w:p>
        </w:tc>
        <w:tc>
          <w:tcPr>
            <w:tcW w:w="600" w:type="dxa"/>
          </w:tcPr>
          <w:p>
            <w:pPr>
              <w:spacing w:line="500" w:lineRule="exact"/>
              <w:rPr>
                <w:rFonts w:hint="eastAsia" w:ascii="宋体" w:hAnsi="宋体"/>
              </w:rPr>
            </w:pPr>
          </w:p>
        </w:tc>
        <w:tc>
          <w:tcPr>
            <w:tcW w:w="960" w:type="dxa"/>
          </w:tcPr>
          <w:p>
            <w:pPr>
              <w:spacing w:line="500" w:lineRule="exact"/>
              <w:rPr>
                <w:rFonts w:hint="eastAsia" w:ascii="宋体" w:hAnsi="宋体"/>
              </w:rPr>
            </w:pPr>
          </w:p>
        </w:tc>
        <w:tc>
          <w:tcPr>
            <w:tcW w:w="1080" w:type="dxa"/>
            <w:tcBorders>
              <w:top w:val="nil"/>
            </w:tcBorders>
          </w:tcPr>
          <w:p>
            <w:pPr>
              <w:spacing w:line="500" w:lineRule="exact"/>
              <w:rPr>
                <w:rFonts w:hint="eastAsia" w:ascii="宋体" w:hAnsi="宋体"/>
              </w:rPr>
            </w:pPr>
          </w:p>
        </w:tc>
        <w:tc>
          <w:tcPr>
            <w:tcW w:w="1440" w:type="dxa"/>
            <w:tcBorders>
              <w:top w:val="nil"/>
            </w:tcBorders>
          </w:tcPr>
          <w:p>
            <w:pPr>
              <w:spacing w:line="500" w:lineRule="exact"/>
              <w:rPr>
                <w:rFonts w:hint="eastAsia" w:ascii="宋体" w:hAnsi="宋体"/>
              </w:rPr>
            </w:pPr>
          </w:p>
        </w:tc>
        <w:tc>
          <w:tcPr>
            <w:tcW w:w="1080" w:type="dxa"/>
            <w:tcBorders>
              <w:top w:val="nil"/>
            </w:tcBorders>
          </w:tcPr>
          <w:p>
            <w:pPr>
              <w:spacing w:line="500" w:lineRule="exact"/>
              <w:rPr>
                <w:rFonts w:hint="eastAsia" w:ascii="宋体" w:hAnsi="宋体"/>
              </w:rPr>
            </w:pPr>
          </w:p>
        </w:tc>
        <w:tc>
          <w:tcPr>
            <w:tcW w:w="960" w:type="dxa"/>
            <w:tcBorders>
              <w:top w:val="nil"/>
            </w:tcBorders>
          </w:tcPr>
          <w:p>
            <w:pPr>
              <w:spacing w:line="500" w:lineRule="exact"/>
              <w:rPr>
                <w:rFonts w:hint="eastAsia"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pPr>
              <w:spacing w:line="500" w:lineRule="exact"/>
              <w:rPr>
                <w:rFonts w:hint="eastAsia" w:ascii="宋体" w:hAnsi="宋体"/>
              </w:rPr>
            </w:pPr>
          </w:p>
        </w:tc>
        <w:tc>
          <w:tcPr>
            <w:tcW w:w="710" w:type="dxa"/>
          </w:tcPr>
          <w:p>
            <w:pPr>
              <w:spacing w:line="500" w:lineRule="exact"/>
              <w:rPr>
                <w:rFonts w:hint="eastAsia" w:ascii="宋体" w:hAnsi="宋体"/>
              </w:rPr>
            </w:pPr>
          </w:p>
        </w:tc>
        <w:tc>
          <w:tcPr>
            <w:tcW w:w="475" w:type="dxa"/>
          </w:tcPr>
          <w:p>
            <w:pPr>
              <w:spacing w:line="500" w:lineRule="exact"/>
              <w:rPr>
                <w:rFonts w:hint="eastAsia" w:ascii="宋体" w:hAnsi="宋体"/>
              </w:rPr>
            </w:pPr>
          </w:p>
        </w:tc>
        <w:tc>
          <w:tcPr>
            <w:tcW w:w="620" w:type="dxa"/>
          </w:tcPr>
          <w:p>
            <w:pPr>
              <w:spacing w:line="500" w:lineRule="exact"/>
              <w:rPr>
                <w:rFonts w:hint="eastAsia" w:ascii="宋体" w:hAnsi="宋体"/>
              </w:rPr>
            </w:pPr>
          </w:p>
        </w:tc>
        <w:tc>
          <w:tcPr>
            <w:tcW w:w="960" w:type="dxa"/>
          </w:tcPr>
          <w:p>
            <w:pPr>
              <w:spacing w:line="500" w:lineRule="exact"/>
              <w:rPr>
                <w:rFonts w:hint="eastAsia" w:ascii="宋体" w:hAnsi="宋体"/>
              </w:rPr>
            </w:pPr>
          </w:p>
        </w:tc>
        <w:tc>
          <w:tcPr>
            <w:tcW w:w="600" w:type="dxa"/>
          </w:tcPr>
          <w:p>
            <w:pPr>
              <w:spacing w:line="500" w:lineRule="exact"/>
              <w:rPr>
                <w:rFonts w:hint="eastAsia" w:ascii="宋体" w:hAnsi="宋体"/>
              </w:rPr>
            </w:pPr>
          </w:p>
        </w:tc>
        <w:tc>
          <w:tcPr>
            <w:tcW w:w="960" w:type="dxa"/>
          </w:tcPr>
          <w:p>
            <w:pPr>
              <w:spacing w:line="500" w:lineRule="exact"/>
              <w:rPr>
                <w:rFonts w:hint="eastAsia" w:ascii="宋体" w:hAnsi="宋体"/>
              </w:rPr>
            </w:pPr>
          </w:p>
        </w:tc>
        <w:tc>
          <w:tcPr>
            <w:tcW w:w="1080" w:type="dxa"/>
          </w:tcPr>
          <w:p>
            <w:pPr>
              <w:spacing w:line="500" w:lineRule="exact"/>
              <w:rPr>
                <w:rFonts w:hint="eastAsia" w:ascii="宋体" w:hAnsi="宋体"/>
              </w:rPr>
            </w:pPr>
          </w:p>
        </w:tc>
        <w:tc>
          <w:tcPr>
            <w:tcW w:w="1440" w:type="dxa"/>
          </w:tcPr>
          <w:p>
            <w:pPr>
              <w:spacing w:line="500" w:lineRule="exact"/>
              <w:rPr>
                <w:rFonts w:hint="eastAsia" w:ascii="宋体" w:hAnsi="宋体"/>
              </w:rPr>
            </w:pPr>
          </w:p>
        </w:tc>
        <w:tc>
          <w:tcPr>
            <w:tcW w:w="1080" w:type="dxa"/>
          </w:tcPr>
          <w:p>
            <w:pPr>
              <w:spacing w:line="500" w:lineRule="exact"/>
              <w:rPr>
                <w:rFonts w:hint="eastAsia" w:ascii="宋体" w:hAnsi="宋体"/>
              </w:rPr>
            </w:pPr>
          </w:p>
        </w:tc>
        <w:tc>
          <w:tcPr>
            <w:tcW w:w="960" w:type="dxa"/>
          </w:tcPr>
          <w:p>
            <w:pPr>
              <w:spacing w:line="500" w:lineRule="exact"/>
              <w:rPr>
                <w:rFonts w:hint="eastAsia"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pPr>
              <w:spacing w:line="500" w:lineRule="exact"/>
              <w:rPr>
                <w:rFonts w:hint="eastAsia" w:ascii="宋体" w:hAnsi="宋体"/>
              </w:rPr>
            </w:pPr>
          </w:p>
        </w:tc>
        <w:tc>
          <w:tcPr>
            <w:tcW w:w="710" w:type="dxa"/>
          </w:tcPr>
          <w:p>
            <w:pPr>
              <w:spacing w:line="500" w:lineRule="exact"/>
              <w:rPr>
                <w:rFonts w:hint="eastAsia" w:ascii="宋体" w:hAnsi="宋体"/>
              </w:rPr>
            </w:pPr>
          </w:p>
        </w:tc>
        <w:tc>
          <w:tcPr>
            <w:tcW w:w="475" w:type="dxa"/>
          </w:tcPr>
          <w:p>
            <w:pPr>
              <w:spacing w:line="500" w:lineRule="exact"/>
              <w:rPr>
                <w:rFonts w:hint="eastAsia" w:ascii="宋体" w:hAnsi="宋体"/>
              </w:rPr>
            </w:pPr>
          </w:p>
        </w:tc>
        <w:tc>
          <w:tcPr>
            <w:tcW w:w="620" w:type="dxa"/>
          </w:tcPr>
          <w:p>
            <w:pPr>
              <w:spacing w:line="500" w:lineRule="exact"/>
              <w:rPr>
                <w:rFonts w:hint="eastAsia" w:ascii="宋体" w:hAnsi="宋体"/>
              </w:rPr>
            </w:pPr>
          </w:p>
        </w:tc>
        <w:tc>
          <w:tcPr>
            <w:tcW w:w="960" w:type="dxa"/>
          </w:tcPr>
          <w:p>
            <w:pPr>
              <w:spacing w:line="500" w:lineRule="exact"/>
              <w:rPr>
                <w:rFonts w:hint="eastAsia" w:ascii="宋体" w:hAnsi="宋体"/>
              </w:rPr>
            </w:pPr>
          </w:p>
        </w:tc>
        <w:tc>
          <w:tcPr>
            <w:tcW w:w="600" w:type="dxa"/>
          </w:tcPr>
          <w:p>
            <w:pPr>
              <w:spacing w:line="500" w:lineRule="exact"/>
              <w:rPr>
                <w:rFonts w:hint="eastAsia" w:ascii="宋体" w:hAnsi="宋体"/>
              </w:rPr>
            </w:pPr>
          </w:p>
        </w:tc>
        <w:tc>
          <w:tcPr>
            <w:tcW w:w="960" w:type="dxa"/>
          </w:tcPr>
          <w:p>
            <w:pPr>
              <w:spacing w:line="500" w:lineRule="exact"/>
              <w:rPr>
                <w:rFonts w:hint="eastAsia" w:ascii="宋体" w:hAnsi="宋体"/>
              </w:rPr>
            </w:pPr>
          </w:p>
        </w:tc>
        <w:tc>
          <w:tcPr>
            <w:tcW w:w="1080" w:type="dxa"/>
          </w:tcPr>
          <w:p>
            <w:pPr>
              <w:spacing w:line="500" w:lineRule="exact"/>
              <w:rPr>
                <w:rFonts w:hint="eastAsia" w:ascii="宋体" w:hAnsi="宋体"/>
              </w:rPr>
            </w:pPr>
          </w:p>
        </w:tc>
        <w:tc>
          <w:tcPr>
            <w:tcW w:w="1440" w:type="dxa"/>
          </w:tcPr>
          <w:p>
            <w:pPr>
              <w:spacing w:line="500" w:lineRule="exact"/>
              <w:rPr>
                <w:rFonts w:hint="eastAsia" w:ascii="宋体" w:hAnsi="宋体"/>
              </w:rPr>
            </w:pPr>
          </w:p>
        </w:tc>
        <w:tc>
          <w:tcPr>
            <w:tcW w:w="1080" w:type="dxa"/>
          </w:tcPr>
          <w:p>
            <w:pPr>
              <w:spacing w:line="500" w:lineRule="exact"/>
              <w:rPr>
                <w:rFonts w:hint="eastAsia" w:ascii="宋体" w:hAnsi="宋体"/>
              </w:rPr>
            </w:pPr>
          </w:p>
        </w:tc>
        <w:tc>
          <w:tcPr>
            <w:tcW w:w="960" w:type="dxa"/>
          </w:tcPr>
          <w:p>
            <w:pPr>
              <w:spacing w:line="500" w:lineRule="exact"/>
              <w:rPr>
                <w:rFonts w:hint="eastAsia"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pPr>
              <w:spacing w:line="500" w:lineRule="exact"/>
              <w:rPr>
                <w:rFonts w:hint="eastAsia" w:ascii="宋体" w:hAnsi="宋体"/>
              </w:rPr>
            </w:pPr>
          </w:p>
        </w:tc>
        <w:tc>
          <w:tcPr>
            <w:tcW w:w="710" w:type="dxa"/>
          </w:tcPr>
          <w:p>
            <w:pPr>
              <w:spacing w:line="500" w:lineRule="exact"/>
              <w:rPr>
                <w:rFonts w:hint="eastAsia" w:ascii="宋体" w:hAnsi="宋体"/>
              </w:rPr>
            </w:pPr>
          </w:p>
        </w:tc>
        <w:tc>
          <w:tcPr>
            <w:tcW w:w="475" w:type="dxa"/>
          </w:tcPr>
          <w:p>
            <w:pPr>
              <w:spacing w:line="500" w:lineRule="exact"/>
              <w:rPr>
                <w:rFonts w:hint="eastAsia" w:ascii="宋体" w:hAnsi="宋体"/>
              </w:rPr>
            </w:pPr>
          </w:p>
        </w:tc>
        <w:tc>
          <w:tcPr>
            <w:tcW w:w="620" w:type="dxa"/>
          </w:tcPr>
          <w:p>
            <w:pPr>
              <w:spacing w:line="500" w:lineRule="exact"/>
              <w:rPr>
                <w:rFonts w:hint="eastAsia" w:ascii="宋体" w:hAnsi="宋体"/>
              </w:rPr>
            </w:pPr>
          </w:p>
        </w:tc>
        <w:tc>
          <w:tcPr>
            <w:tcW w:w="960" w:type="dxa"/>
          </w:tcPr>
          <w:p>
            <w:pPr>
              <w:spacing w:line="500" w:lineRule="exact"/>
              <w:rPr>
                <w:rFonts w:hint="eastAsia" w:ascii="宋体" w:hAnsi="宋体"/>
              </w:rPr>
            </w:pPr>
          </w:p>
        </w:tc>
        <w:tc>
          <w:tcPr>
            <w:tcW w:w="600" w:type="dxa"/>
          </w:tcPr>
          <w:p>
            <w:pPr>
              <w:spacing w:line="500" w:lineRule="exact"/>
              <w:rPr>
                <w:rFonts w:hint="eastAsia" w:ascii="宋体" w:hAnsi="宋体"/>
              </w:rPr>
            </w:pPr>
          </w:p>
        </w:tc>
        <w:tc>
          <w:tcPr>
            <w:tcW w:w="960" w:type="dxa"/>
          </w:tcPr>
          <w:p>
            <w:pPr>
              <w:spacing w:line="500" w:lineRule="exact"/>
              <w:rPr>
                <w:rFonts w:hint="eastAsia" w:ascii="宋体" w:hAnsi="宋体"/>
              </w:rPr>
            </w:pPr>
          </w:p>
        </w:tc>
        <w:tc>
          <w:tcPr>
            <w:tcW w:w="1080" w:type="dxa"/>
          </w:tcPr>
          <w:p>
            <w:pPr>
              <w:spacing w:line="500" w:lineRule="exact"/>
              <w:rPr>
                <w:rFonts w:hint="eastAsia" w:ascii="宋体" w:hAnsi="宋体"/>
              </w:rPr>
            </w:pPr>
          </w:p>
        </w:tc>
        <w:tc>
          <w:tcPr>
            <w:tcW w:w="1440" w:type="dxa"/>
          </w:tcPr>
          <w:p>
            <w:pPr>
              <w:spacing w:line="500" w:lineRule="exact"/>
              <w:rPr>
                <w:rFonts w:hint="eastAsia" w:ascii="宋体" w:hAnsi="宋体"/>
              </w:rPr>
            </w:pPr>
          </w:p>
        </w:tc>
        <w:tc>
          <w:tcPr>
            <w:tcW w:w="1080" w:type="dxa"/>
          </w:tcPr>
          <w:p>
            <w:pPr>
              <w:spacing w:line="500" w:lineRule="exact"/>
              <w:rPr>
                <w:rFonts w:hint="eastAsia" w:ascii="宋体" w:hAnsi="宋体"/>
              </w:rPr>
            </w:pPr>
          </w:p>
        </w:tc>
        <w:tc>
          <w:tcPr>
            <w:tcW w:w="960" w:type="dxa"/>
          </w:tcPr>
          <w:p>
            <w:pPr>
              <w:spacing w:line="500" w:lineRule="exact"/>
              <w:rPr>
                <w:rFonts w:hint="eastAsia" w:ascii="宋体" w:hAnsi="宋体"/>
              </w:rPr>
            </w:pPr>
          </w:p>
        </w:tc>
      </w:tr>
    </w:tbl>
    <w:p>
      <w:pPr>
        <w:spacing w:line="500" w:lineRule="exact"/>
        <w:rPr>
          <w:rFonts w:hint="eastAsia" w:ascii="宋体" w:hAnsi="宋体"/>
        </w:rPr>
      </w:pPr>
    </w:p>
    <w:p>
      <w:pPr>
        <w:spacing w:line="500" w:lineRule="exact"/>
        <w:rPr>
          <w:rFonts w:hint="eastAsia" w:ascii="宋体" w:hAnsi="宋体"/>
          <w:snapToGrid w:val="0"/>
        </w:rPr>
      </w:pPr>
      <w:r>
        <w:rPr>
          <w:rFonts w:hint="eastAsia" w:ascii="宋体" w:hAnsi="宋体"/>
          <w:snapToGrid w:val="0"/>
        </w:rPr>
        <w:t>说明：</w:t>
      </w:r>
    </w:p>
    <w:p>
      <w:pPr>
        <w:spacing w:line="500" w:lineRule="exact"/>
        <w:ind w:firstLine="482"/>
        <w:rPr>
          <w:rFonts w:hint="eastAsia" w:ascii="宋体" w:hAnsi="宋体"/>
          <w:snapToGrid w:val="0"/>
        </w:rPr>
      </w:pPr>
      <w:r>
        <w:rPr>
          <w:snapToGrid w:val="0"/>
        </w:rPr>
        <w:t>1.</w:t>
      </w:r>
      <w:r>
        <w:rPr>
          <w:rFonts w:ascii="宋体" w:hAnsi="宋体"/>
          <w:snapToGrid w:val="0"/>
        </w:rPr>
        <w:t xml:space="preserve"> </w:t>
      </w:r>
      <w:r>
        <w:rPr>
          <w:rFonts w:hint="eastAsia" w:ascii="宋体" w:hAnsi="宋体"/>
          <w:snapToGrid w:val="0"/>
        </w:rPr>
        <w:t>投标人应在投标文件中按附表要求提供设备各大件的运输尺寸（长*宽*高）、重量，并附运输外形尺寸图及其重心位置。</w:t>
      </w:r>
    </w:p>
    <w:p>
      <w:pPr>
        <w:spacing w:line="500" w:lineRule="exact"/>
        <w:ind w:firstLine="482"/>
        <w:rPr>
          <w:snapToGrid w:val="0"/>
        </w:rPr>
      </w:pPr>
      <w:r>
        <w:rPr>
          <w:rFonts w:hint="eastAsia"/>
          <w:snapToGrid w:val="0"/>
        </w:rPr>
        <w:t>2.</w:t>
      </w:r>
      <w:r>
        <w:rPr>
          <w:snapToGrid w:val="0"/>
        </w:rPr>
        <w:t xml:space="preserve"> </w:t>
      </w:r>
      <w:r>
        <w:rPr>
          <w:rFonts w:hint="eastAsia"/>
          <w:snapToGrid w:val="0"/>
        </w:rPr>
        <w:t>设备运输尺寸，指设备包装后的各部分尺寸。</w:t>
      </w:r>
    </w:p>
    <w:p>
      <w:pPr>
        <w:spacing w:line="500" w:lineRule="exact"/>
        <w:ind w:firstLine="482"/>
        <w:rPr>
          <w:snapToGrid w:val="0"/>
        </w:rPr>
      </w:pPr>
      <w:r>
        <w:rPr>
          <w:rFonts w:hint="eastAsia"/>
          <w:snapToGrid w:val="0"/>
        </w:rPr>
        <w:t>3.</w:t>
      </w:r>
      <w:r>
        <w:rPr>
          <w:snapToGrid w:val="0"/>
        </w:rPr>
        <w:t xml:space="preserve"> </w:t>
      </w:r>
      <w:r>
        <w:rPr>
          <w:rFonts w:hint="eastAsia"/>
          <w:snapToGrid w:val="0"/>
        </w:rPr>
        <w:t>当采用铁路运输时，设备的运输外形尺寸，应考虑该设备拟采用的运输车辆装载面至轨面的高度要求。</w:t>
      </w:r>
    </w:p>
    <w:p>
      <w:pPr>
        <w:spacing w:line="500" w:lineRule="exact"/>
        <w:ind w:firstLine="482"/>
        <w:rPr>
          <w:snapToGrid w:val="0"/>
        </w:rPr>
      </w:pPr>
      <w:r>
        <w:rPr>
          <w:rFonts w:hint="eastAsia"/>
          <w:snapToGrid w:val="0"/>
        </w:rPr>
        <w:t>4.投标人应根据大件运输的线路及运输方式，对沿途中所经过的涵洞、桥梁等构、建筑物进行充分的调查和论证，在投标文件中提出大件运输的方案，确保设备大件安全运至现场。</w:t>
      </w:r>
    </w:p>
    <w:p>
      <w:pPr>
        <w:spacing w:line="500" w:lineRule="exact"/>
        <w:ind w:firstLine="482"/>
        <w:rPr>
          <w:snapToGrid w:val="0"/>
        </w:rPr>
      </w:pPr>
      <w:r>
        <w:rPr>
          <w:rFonts w:hint="eastAsia"/>
          <w:snapToGrid w:val="0"/>
        </w:rPr>
        <w:t>5. 投标人还应在投标文件中说明所有其它设备的运输方案，包括车辆、船舶型号、数量、运输路线等。</w:t>
      </w:r>
    </w:p>
    <w:p>
      <w:pPr>
        <w:spacing w:line="500" w:lineRule="exact"/>
        <w:ind w:firstLine="420"/>
        <w:rPr>
          <w:snapToGrid w:val="0"/>
        </w:rPr>
      </w:pPr>
      <w:r>
        <w:rPr>
          <w:rFonts w:hint="eastAsia"/>
          <w:snapToGrid w:val="0"/>
        </w:rPr>
        <w:t>6. 当投标人设备的运输尺寸超出上述给定的铁路运输界限规定的界限要求时，投标人应承担由于采取必要措施进行运输而发生的费用。</w:t>
      </w:r>
    </w:p>
    <w:p>
      <w:pPr>
        <w:spacing w:line="500" w:lineRule="exact"/>
        <w:rPr>
          <w:rFonts w:hint="eastAsia" w:ascii="宋体" w:hAnsi="宋体"/>
        </w:rPr>
        <w:sectPr>
          <w:endnotePr>
            <w:numFmt w:val="decimal"/>
          </w:endnotePr>
          <w:pgSz w:w="11907" w:h="16840"/>
          <w:pgMar w:top="1418" w:right="1531" w:bottom="1418" w:left="1701" w:header="851" w:footer="1021" w:gutter="0"/>
          <w:cols w:space="720" w:num="1"/>
          <w:docGrid w:linePitch="326" w:charSpace="0"/>
        </w:sectPr>
      </w:pPr>
    </w:p>
    <w:p>
      <w:pPr>
        <w:spacing w:line="500" w:lineRule="exact"/>
        <w:rPr>
          <w:rFonts w:hint="eastAsia" w:ascii="宋体" w:hAnsi="宋体"/>
        </w:rPr>
      </w:pPr>
    </w:p>
    <w:p>
      <w:pPr>
        <w:pStyle w:val="5"/>
        <w:rPr>
          <w:sz w:val="30"/>
          <w:szCs w:val="30"/>
        </w:rPr>
      </w:pPr>
      <w:bookmarkStart w:id="123" w:name="_Toc397174654"/>
      <w:bookmarkStart w:id="124" w:name="_Toc397131869"/>
      <w:bookmarkStart w:id="125" w:name="_Toc396988670"/>
      <w:bookmarkStart w:id="126" w:name="_Toc396990284"/>
      <w:bookmarkStart w:id="127" w:name="_Toc397175925"/>
      <w:bookmarkStart w:id="128" w:name="_Toc517056038"/>
      <w:bookmarkStart w:id="129" w:name="_Toc399326523"/>
      <w:bookmarkStart w:id="130" w:name="_Toc396529293"/>
      <w:bookmarkStart w:id="131" w:name="_Toc153568475"/>
      <w:bookmarkStart w:id="132" w:name="_Toc286159478"/>
      <w:bookmarkStart w:id="133" w:name="_Toc396528069"/>
      <w:bookmarkStart w:id="134" w:name="_Toc399318779"/>
      <w:bookmarkStart w:id="135" w:name="_Toc501940892"/>
      <w:bookmarkStart w:id="136" w:name="_Toc396528500"/>
      <w:bookmarkStart w:id="137" w:name="_Toc396527854"/>
      <w:r>
        <w:rPr>
          <w:rFonts w:hint="eastAsia"/>
          <w:sz w:val="30"/>
          <w:szCs w:val="30"/>
        </w:rPr>
        <w:t>附件</w:t>
      </w:r>
      <w:r>
        <w:rPr>
          <w:sz w:val="30"/>
          <w:szCs w:val="30"/>
        </w:rPr>
        <w:t>1</w:t>
      </w:r>
      <w:r>
        <w:rPr>
          <w:rFonts w:hint="eastAsia"/>
          <w:sz w:val="30"/>
          <w:szCs w:val="30"/>
        </w:rPr>
        <w:t>0</w:t>
      </w:r>
      <w:r>
        <w:rPr>
          <w:sz w:val="30"/>
          <w:szCs w:val="30"/>
        </w:rPr>
        <w:t xml:space="preserve"> </w:t>
      </w:r>
      <w:r>
        <w:rPr>
          <w:rFonts w:hint="eastAsia"/>
          <w:sz w:val="30"/>
          <w:szCs w:val="30"/>
        </w:rPr>
        <w:t>技术差异表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spacing w:line="500" w:lineRule="exact"/>
        <w:ind w:firstLine="420"/>
        <w:rPr>
          <w:rFonts w:hint="eastAsia" w:ascii="宋体" w:hAnsi="宋体"/>
        </w:rPr>
      </w:pPr>
      <w:r>
        <w:rPr>
          <w:rFonts w:hint="eastAsia" w:ascii="宋体" w:hAnsi="宋体"/>
        </w:rPr>
        <w:t>投标人要将投标文件和招标文件的差异之处汇集成表。技术部分和商务部分要单独列表。</w:t>
      </w:r>
    </w:p>
    <w:p>
      <w:pPr>
        <w:spacing w:line="500" w:lineRule="exact"/>
        <w:jc w:val="center"/>
        <w:rPr>
          <w:rFonts w:hint="eastAsia" w:ascii="宋体" w:hAnsi="宋体"/>
        </w:rPr>
      </w:pPr>
      <w:r>
        <w:rPr>
          <w:rFonts w:hint="eastAsia" w:ascii="宋体" w:hAnsi="宋体"/>
        </w:rPr>
        <w:t>差  异  表</w:t>
      </w:r>
    </w:p>
    <w:tbl>
      <w:tblPr>
        <w:tblStyle w:val="29"/>
        <w:tblW w:w="8640" w:type="dxa"/>
        <w:tblInd w:w="148" w:type="dxa"/>
        <w:tblLayout w:type="fixed"/>
        <w:tblCellMar>
          <w:top w:w="0" w:type="dxa"/>
          <w:left w:w="28" w:type="dxa"/>
          <w:bottom w:w="0" w:type="dxa"/>
          <w:right w:w="28" w:type="dxa"/>
        </w:tblCellMar>
      </w:tblPr>
      <w:tblGrid>
        <w:gridCol w:w="840"/>
        <w:gridCol w:w="965"/>
        <w:gridCol w:w="2995"/>
        <w:gridCol w:w="960"/>
        <w:gridCol w:w="2880"/>
      </w:tblGrid>
      <w:tr>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pPr>
              <w:spacing w:line="500" w:lineRule="exact"/>
              <w:rPr>
                <w:rFonts w:hint="eastAsia" w:ascii="宋体" w:hAnsi="宋体"/>
              </w:rPr>
            </w:pPr>
            <w:r>
              <w:rPr>
                <w:rFonts w:ascii="宋体" w:hAnsi="宋体"/>
              </w:rPr>
              <w:t xml:space="preserve"> </w:t>
            </w:r>
            <w:r>
              <w:rPr>
                <w:rFonts w:hint="eastAsia" w:ascii="宋体" w:hAnsi="宋体"/>
              </w:rPr>
              <w:t>序号</w:t>
            </w:r>
          </w:p>
        </w:tc>
        <w:tc>
          <w:tcPr>
            <w:tcW w:w="3960" w:type="dxa"/>
            <w:gridSpan w:val="2"/>
            <w:tcBorders>
              <w:top w:val="single" w:color="auto" w:sz="6" w:space="0"/>
              <w:left w:val="nil"/>
              <w:right w:val="single" w:color="auto" w:sz="6" w:space="0"/>
            </w:tcBorders>
          </w:tcPr>
          <w:p>
            <w:pPr>
              <w:spacing w:line="500" w:lineRule="exact"/>
              <w:jc w:val="center"/>
              <w:rPr>
                <w:rFonts w:hint="eastAsia" w:ascii="宋体" w:hAnsi="宋体"/>
              </w:rPr>
            </w:pPr>
            <w:r>
              <w:rPr>
                <w:rFonts w:hint="eastAsia" w:ascii="宋体" w:hAnsi="宋体"/>
              </w:rPr>
              <w:t>招标文件</w:t>
            </w:r>
          </w:p>
        </w:tc>
        <w:tc>
          <w:tcPr>
            <w:tcW w:w="3840" w:type="dxa"/>
            <w:gridSpan w:val="2"/>
            <w:tcBorders>
              <w:top w:val="single" w:color="auto" w:sz="6" w:space="0"/>
              <w:left w:val="nil"/>
              <w:right w:val="single" w:color="auto" w:sz="6" w:space="0"/>
            </w:tcBorders>
          </w:tcPr>
          <w:p>
            <w:pPr>
              <w:spacing w:line="500" w:lineRule="exact"/>
              <w:jc w:val="center"/>
              <w:rPr>
                <w:rFonts w:hint="eastAsia" w:ascii="宋体" w:hAnsi="宋体"/>
              </w:rPr>
            </w:pPr>
            <w:r>
              <w:rPr>
                <w:rFonts w:hint="eastAsia" w:ascii="宋体" w:hAnsi="宋体"/>
              </w:rPr>
              <w:t>投标文件</w:t>
            </w:r>
          </w:p>
        </w:tc>
      </w:tr>
      <w:tr>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pPr>
              <w:spacing w:line="500" w:lineRule="exact"/>
              <w:rPr>
                <w:rFonts w:hint="eastAsia" w:ascii="宋体" w:hAnsi="宋体"/>
              </w:rPr>
            </w:pPr>
          </w:p>
        </w:tc>
        <w:tc>
          <w:tcPr>
            <w:tcW w:w="965" w:type="dxa"/>
            <w:tcBorders>
              <w:top w:val="single" w:color="auto" w:sz="6" w:space="0"/>
              <w:left w:val="nil"/>
              <w:right w:val="single" w:color="auto" w:sz="6" w:space="0"/>
            </w:tcBorders>
          </w:tcPr>
          <w:p>
            <w:pPr>
              <w:spacing w:line="500" w:lineRule="exact"/>
              <w:rPr>
                <w:rFonts w:hint="eastAsia" w:ascii="宋体" w:hAnsi="宋体"/>
              </w:rPr>
            </w:pPr>
            <w:r>
              <w:rPr>
                <w:rFonts w:ascii="宋体" w:hAnsi="宋体"/>
              </w:rPr>
              <w:t xml:space="preserve">  </w:t>
            </w:r>
            <w:r>
              <w:rPr>
                <w:rFonts w:hint="eastAsia" w:ascii="宋体" w:hAnsi="宋体"/>
              </w:rPr>
              <w:t>条目</w:t>
            </w:r>
          </w:p>
        </w:tc>
        <w:tc>
          <w:tcPr>
            <w:tcW w:w="2995" w:type="dxa"/>
            <w:tcBorders>
              <w:top w:val="single" w:color="auto" w:sz="6" w:space="0"/>
              <w:left w:val="nil"/>
              <w:right w:val="single" w:color="auto" w:sz="6" w:space="0"/>
            </w:tcBorders>
          </w:tcPr>
          <w:p>
            <w:pPr>
              <w:spacing w:line="500" w:lineRule="exact"/>
              <w:rPr>
                <w:rFonts w:hint="eastAsia" w:ascii="宋体" w:hAnsi="宋体"/>
              </w:rPr>
            </w:pPr>
            <w:r>
              <w:rPr>
                <w:rFonts w:ascii="宋体" w:hAnsi="宋体"/>
              </w:rPr>
              <w:t xml:space="preserve">        </w:t>
            </w:r>
            <w:r>
              <w:rPr>
                <w:rFonts w:hint="eastAsia" w:ascii="宋体" w:hAnsi="宋体"/>
              </w:rPr>
              <w:t>简要内容</w:t>
            </w:r>
          </w:p>
        </w:tc>
        <w:tc>
          <w:tcPr>
            <w:tcW w:w="960" w:type="dxa"/>
            <w:tcBorders>
              <w:top w:val="single" w:color="auto" w:sz="6" w:space="0"/>
              <w:left w:val="nil"/>
              <w:right w:val="single" w:color="auto" w:sz="6" w:space="0"/>
            </w:tcBorders>
          </w:tcPr>
          <w:p>
            <w:pPr>
              <w:spacing w:line="500" w:lineRule="exact"/>
              <w:rPr>
                <w:rFonts w:hint="eastAsia" w:ascii="宋体" w:hAnsi="宋体"/>
              </w:rPr>
            </w:pPr>
            <w:r>
              <w:rPr>
                <w:rFonts w:ascii="宋体" w:hAnsi="宋体"/>
              </w:rPr>
              <w:t xml:space="preserve">  </w:t>
            </w:r>
            <w:r>
              <w:rPr>
                <w:rFonts w:hint="eastAsia" w:ascii="宋体" w:hAnsi="宋体"/>
              </w:rPr>
              <w:t>条目</w:t>
            </w:r>
          </w:p>
        </w:tc>
        <w:tc>
          <w:tcPr>
            <w:tcW w:w="2880" w:type="dxa"/>
            <w:tcBorders>
              <w:top w:val="single" w:color="auto" w:sz="6" w:space="0"/>
              <w:left w:val="nil"/>
              <w:right w:val="single" w:color="auto" w:sz="6" w:space="0"/>
            </w:tcBorders>
          </w:tcPr>
          <w:p>
            <w:pPr>
              <w:spacing w:line="500" w:lineRule="exact"/>
              <w:rPr>
                <w:rFonts w:hint="eastAsia" w:ascii="宋体" w:hAnsi="宋体"/>
              </w:rPr>
            </w:pPr>
            <w:r>
              <w:rPr>
                <w:rFonts w:ascii="宋体" w:hAnsi="宋体"/>
              </w:rPr>
              <w:t xml:space="preserve">        </w:t>
            </w:r>
            <w:r>
              <w:rPr>
                <w:rFonts w:hint="eastAsia" w:ascii="宋体" w:hAnsi="宋体"/>
              </w:rPr>
              <w:t>简要内容</w:t>
            </w: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r>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pPr>
              <w:spacing w:line="500" w:lineRule="exact"/>
              <w:rPr>
                <w:rFonts w:hint="eastAsia" w:ascii="宋体" w:hAnsi="宋体"/>
              </w:rPr>
            </w:pPr>
          </w:p>
        </w:tc>
        <w:tc>
          <w:tcPr>
            <w:tcW w:w="965"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995" w:type="dxa"/>
            <w:tcBorders>
              <w:top w:val="single" w:color="auto" w:sz="6" w:space="0"/>
              <w:left w:val="nil"/>
              <w:bottom w:val="single" w:color="auto" w:sz="6" w:space="0"/>
            </w:tcBorders>
          </w:tcPr>
          <w:p>
            <w:pPr>
              <w:spacing w:line="500" w:lineRule="exact"/>
              <w:rPr>
                <w:rFonts w:hint="eastAsia" w:ascii="宋体" w:hAnsi="宋体"/>
              </w:rPr>
            </w:pPr>
          </w:p>
        </w:tc>
        <w:tc>
          <w:tcPr>
            <w:tcW w:w="960" w:type="dxa"/>
            <w:tcBorders>
              <w:top w:val="single" w:color="auto" w:sz="6" w:space="0"/>
              <w:left w:val="single" w:color="auto" w:sz="6" w:space="0"/>
              <w:bottom w:val="single" w:color="auto" w:sz="6" w:space="0"/>
              <w:right w:val="single" w:color="auto" w:sz="6" w:space="0"/>
            </w:tcBorders>
          </w:tcPr>
          <w:p>
            <w:pPr>
              <w:spacing w:line="500" w:lineRule="exact"/>
              <w:rPr>
                <w:rFonts w:hint="eastAsia" w:ascii="宋体" w:hAnsi="宋体"/>
              </w:rPr>
            </w:pPr>
          </w:p>
        </w:tc>
        <w:tc>
          <w:tcPr>
            <w:tcW w:w="2880" w:type="dxa"/>
            <w:tcBorders>
              <w:top w:val="single" w:color="auto" w:sz="6" w:space="0"/>
              <w:left w:val="nil"/>
              <w:bottom w:val="single" w:color="auto" w:sz="6" w:space="0"/>
              <w:right w:val="single" w:color="auto" w:sz="6" w:space="0"/>
            </w:tcBorders>
          </w:tcPr>
          <w:p>
            <w:pPr>
              <w:spacing w:line="500" w:lineRule="exact"/>
              <w:rPr>
                <w:rFonts w:hint="eastAsia" w:ascii="宋体" w:hAnsi="宋体"/>
              </w:rPr>
            </w:pPr>
          </w:p>
        </w:tc>
      </w:tr>
    </w:tbl>
    <w:p>
      <w:pPr>
        <w:spacing w:line="500" w:lineRule="exact"/>
        <w:rPr>
          <w:rFonts w:hint="eastAsia" w:ascii="宋体" w:hAnsi="宋体"/>
        </w:rPr>
      </w:pPr>
    </w:p>
    <w:p>
      <w:pPr>
        <w:spacing w:line="500" w:lineRule="exact"/>
        <w:ind w:firstLine="420"/>
        <w:rPr>
          <w:rFonts w:hint="eastAsia" w:ascii="宋体" w:hAnsi="宋体"/>
        </w:rPr>
      </w:pPr>
    </w:p>
    <w:p>
      <w:pPr>
        <w:adjustRightInd w:val="0"/>
        <w:snapToGrid w:val="0"/>
        <w:spacing w:line="500" w:lineRule="exact"/>
        <w:rPr>
          <w:rFonts w:hint="eastAsia" w:ascii="宋体" w:hAnsi="宋体"/>
        </w:rPr>
        <w:sectPr>
          <w:endnotePr>
            <w:numFmt w:val="decimal"/>
          </w:endnotePr>
          <w:pgSz w:w="11907" w:h="16840"/>
          <w:pgMar w:top="1418" w:right="1531" w:bottom="1418" w:left="1701" w:header="851" w:footer="1021" w:gutter="0"/>
          <w:cols w:space="720" w:num="1"/>
          <w:docGrid w:linePitch="326" w:charSpace="0"/>
        </w:sectPr>
      </w:pPr>
    </w:p>
    <w:p>
      <w:pPr>
        <w:pStyle w:val="5"/>
        <w:rPr>
          <w:sz w:val="30"/>
          <w:szCs w:val="30"/>
        </w:rPr>
      </w:pPr>
      <w:bookmarkStart w:id="138" w:name="_Toc153568476"/>
      <w:bookmarkStart w:id="139" w:name="_Toc346199012"/>
      <w:r>
        <w:rPr>
          <w:rFonts w:hint="eastAsia"/>
          <w:sz w:val="30"/>
          <w:szCs w:val="30"/>
        </w:rPr>
        <w:t>附件11 附图</w:t>
      </w:r>
      <w:bookmarkEnd w:id="138"/>
    </w:p>
    <w:p>
      <w:pPr>
        <w:autoSpaceDE w:val="0"/>
        <w:autoSpaceDN w:val="0"/>
        <w:snapToGrid w:val="0"/>
        <w:spacing w:before="100" w:beforeAutospacing="1" w:line="360" w:lineRule="auto"/>
        <w:ind w:firstLine="480" w:firstLineChars="200"/>
        <w:rPr>
          <w:rFonts w:ascii="宋体"/>
        </w:rPr>
      </w:pPr>
      <w:r>
        <w:rPr>
          <w:rFonts w:hint="eastAsia" w:ascii="宋体"/>
        </w:rPr>
        <w:t>投标人提供详细的投标设备图纸，并另行装订成册，图纸清册、数量和格式见附件3要求。</w:t>
      </w: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p>
      <w:pPr>
        <w:autoSpaceDE w:val="0"/>
        <w:autoSpaceDN w:val="0"/>
        <w:snapToGrid w:val="0"/>
        <w:spacing w:before="100" w:beforeAutospacing="1" w:line="360" w:lineRule="auto"/>
        <w:ind w:firstLine="480" w:firstLineChars="200"/>
        <w:rPr>
          <w:rFonts w:ascii="宋体"/>
        </w:rPr>
      </w:pPr>
    </w:p>
    <w:bookmarkEnd w:id="139"/>
    <w:p>
      <w:pPr>
        <w:pStyle w:val="5"/>
        <w:rPr>
          <w:sz w:val="30"/>
          <w:szCs w:val="30"/>
        </w:rPr>
      </w:pPr>
      <w:bookmarkStart w:id="140" w:name="_Toc286159480"/>
      <w:bookmarkStart w:id="141" w:name="_Toc346199017"/>
      <w:bookmarkStart w:id="142" w:name="_Toc153568477"/>
      <w:r>
        <w:rPr>
          <w:rFonts w:hint="eastAsia"/>
          <w:sz w:val="30"/>
          <w:szCs w:val="30"/>
        </w:rPr>
        <w:t>附件12 性能考核</w:t>
      </w:r>
      <w:bookmarkEnd w:id="140"/>
      <w:r>
        <w:rPr>
          <w:rFonts w:hint="eastAsia"/>
          <w:sz w:val="30"/>
          <w:szCs w:val="30"/>
        </w:rPr>
        <w:t>条款</w:t>
      </w:r>
      <w:bookmarkEnd w:id="141"/>
      <w:bookmarkEnd w:id="142"/>
    </w:p>
    <w:p>
      <w:pPr>
        <w:pStyle w:val="66"/>
        <w:widowControl/>
        <w:numPr>
          <w:ilvl w:val="0"/>
          <w:numId w:val="0"/>
        </w:numPr>
        <w:spacing w:before="120" w:beforeLines="50" w:after="120" w:afterLines="50" w:line="360" w:lineRule="auto"/>
        <w:ind w:leftChars="0"/>
        <w:jc w:val="left"/>
        <w:rPr>
          <w:rStyle w:val="31"/>
          <w:rFonts w:hint="default" w:ascii="Times New Roman" w:hAnsi="Times New Roman" w:eastAsia="宋体" w:cs="Times New Roman"/>
          <w:b w:val="0"/>
          <w:bCs w:val="0"/>
          <w:color w:val="auto"/>
          <w:kern w:val="0"/>
          <w:sz w:val="24"/>
          <w:highlight w:val="none"/>
          <w:lang w:val="en-US" w:eastAsia="zh-CN"/>
        </w:rPr>
      </w:pPr>
      <w:r>
        <w:rPr>
          <w:rStyle w:val="31"/>
          <w:rFonts w:hint="eastAsia" w:cs="Times New Roman"/>
          <w:b w:val="0"/>
          <w:bCs w:val="0"/>
          <w:color w:val="auto"/>
          <w:kern w:val="0"/>
          <w:sz w:val="24"/>
          <w:highlight w:val="none"/>
          <w:lang w:val="en-US" w:eastAsia="zh-CN"/>
        </w:rPr>
        <w:t>1）</w:t>
      </w:r>
      <w:r>
        <w:rPr>
          <w:rStyle w:val="31"/>
          <w:rFonts w:hint="default" w:ascii="Times New Roman" w:hAnsi="Times New Roman" w:cs="Times New Roman"/>
          <w:b w:val="0"/>
          <w:bCs w:val="0"/>
          <w:color w:val="auto"/>
          <w:kern w:val="0"/>
          <w:sz w:val="24"/>
          <w:highlight w:val="none"/>
        </w:rPr>
        <w:t>机组额定工况下，改造后，空预器出口至烟囱入口烟道阻力总体下降5</w:t>
      </w:r>
      <w:r>
        <w:rPr>
          <w:rStyle w:val="31"/>
          <w:rFonts w:hint="eastAsia" w:cs="Times New Roman"/>
          <w:b w:val="0"/>
          <w:bCs w:val="0"/>
          <w:color w:val="auto"/>
          <w:kern w:val="0"/>
          <w:sz w:val="24"/>
          <w:highlight w:val="none"/>
          <w:lang w:val="en-US" w:eastAsia="zh-CN"/>
        </w:rPr>
        <w:t>0</w:t>
      </w:r>
      <w:r>
        <w:rPr>
          <w:rStyle w:val="31"/>
          <w:rFonts w:hint="default" w:ascii="Times New Roman" w:hAnsi="Times New Roman" w:cs="Times New Roman"/>
          <w:b w:val="0"/>
          <w:bCs w:val="0"/>
          <w:color w:val="auto"/>
          <w:kern w:val="0"/>
          <w:sz w:val="24"/>
          <w:highlight w:val="none"/>
        </w:rPr>
        <w:t>0Pa以上（此为最低要求，实际指标根据投标方投标文件承诺修改），（实际燃用煤种，BRL工况）。采用未进行改造的机组实测数据或改造前的摸底数据为比较基准。降阻幅度每减少</w:t>
      </w:r>
      <w:r>
        <w:rPr>
          <w:rStyle w:val="31"/>
          <w:rFonts w:hint="default" w:ascii="Times New Roman" w:hAnsi="Times New Roman" w:cs="Times New Roman"/>
          <w:b w:val="0"/>
          <w:bCs w:val="0"/>
          <w:color w:val="auto"/>
          <w:kern w:val="0"/>
          <w:sz w:val="24"/>
          <w:highlight w:val="none"/>
          <w:lang w:val="en-US" w:eastAsia="zh-CN"/>
        </w:rPr>
        <w:t>20</w:t>
      </w:r>
      <w:r>
        <w:rPr>
          <w:rStyle w:val="31"/>
          <w:rFonts w:hint="default" w:ascii="Times New Roman" w:hAnsi="Times New Roman" w:cs="Times New Roman"/>
          <w:b w:val="0"/>
          <w:bCs w:val="0"/>
          <w:color w:val="auto"/>
          <w:kern w:val="0"/>
          <w:sz w:val="24"/>
          <w:highlight w:val="none"/>
        </w:rPr>
        <w:t>Pa，扣除总合同价的2%</w:t>
      </w:r>
      <w:r>
        <w:rPr>
          <w:rStyle w:val="31"/>
          <w:rFonts w:hint="default" w:ascii="Times New Roman" w:hAnsi="Times New Roman" w:cs="Times New Roman"/>
          <w:b w:val="0"/>
          <w:bCs w:val="0"/>
          <w:color w:val="auto"/>
          <w:kern w:val="0"/>
          <w:sz w:val="24"/>
          <w:highlight w:val="none"/>
          <w:lang w:eastAsia="zh-CN"/>
        </w:rPr>
        <w:t>。</w:t>
      </w:r>
      <w:r>
        <w:rPr>
          <w:rStyle w:val="31"/>
          <w:rFonts w:hint="default" w:ascii="Times New Roman" w:hAnsi="Times New Roman" w:cs="Times New Roman"/>
          <w:b w:val="0"/>
          <w:bCs w:val="0"/>
          <w:color w:val="auto"/>
          <w:kern w:val="0"/>
          <w:sz w:val="24"/>
          <w:highlight w:val="none"/>
          <w:lang w:val="en-US" w:eastAsia="zh-CN"/>
        </w:rPr>
        <w:t xml:space="preserve"> </w:t>
      </w:r>
      <w:r>
        <w:rPr>
          <w:rStyle w:val="31"/>
          <w:rFonts w:hint="eastAsia" w:cs="Times New Roman"/>
          <w:b w:val="0"/>
          <w:bCs w:val="0"/>
          <w:color w:val="auto"/>
          <w:kern w:val="0"/>
          <w:sz w:val="24"/>
          <w:highlight w:val="none"/>
          <w:lang w:val="en-US" w:eastAsia="zh-CN"/>
        </w:rPr>
        <w:t>如果改造后，</w:t>
      </w:r>
      <w:r>
        <w:rPr>
          <w:rStyle w:val="31"/>
          <w:rFonts w:hint="default" w:ascii="Times New Roman" w:hAnsi="Times New Roman" w:cs="Times New Roman"/>
          <w:b w:val="0"/>
          <w:bCs w:val="0"/>
          <w:color w:val="auto"/>
          <w:kern w:val="0"/>
          <w:sz w:val="24"/>
          <w:highlight w:val="none"/>
        </w:rPr>
        <w:t>空预器出口至烟囱入口烟道阻力总体下降</w:t>
      </w:r>
      <w:r>
        <w:rPr>
          <w:rStyle w:val="31"/>
          <w:rFonts w:hint="eastAsia" w:cs="Times New Roman"/>
          <w:b w:val="0"/>
          <w:bCs w:val="0"/>
          <w:color w:val="auto"/>
          <w:kern w:val="0"/>
          <w:sz w:val="24"/>
          <w:highlight w:val="none"/>
          <w:lang w:val="en-US" w:eastAsia="zh-CN"/>
        </w:rPr>
        <w:t>不到35</w:t>
      </w:r>
      <w:r>
        <w:rPr>
          <w:rStyle w:val="31"/>
          <w:rFonts w:hint="default" w:ascii="Times New Roman" w:hAnsi="Times New Roman" w:cs="Times New Roman"/>
          <w:b w:val="0"/>
          <w:bCs w:val="0"/>
          <w:color w:val="auto"/>
          <w:kern w:val="0"/>
          <w:sz w:val="24"/>
          <w:highlight w:val="none"/>
        </w:rPr>
        <w:t>0Pa</w:t>
      </w:r>
      <w:r>
        <w:rPr>
          <w:rStyle w:val="31"/>
          <w:rFonts w:hint="eastAsia" w:cs="Times New Roman"/>
          <w:b w:val="0"/>
          <w:bCs w:val="0"/>
          <w:color w:val="auto"/>
          <w:kern w:val="0"/>
          <w:sz w:val="24"/>
          <w:highlight w:val="none"/>
          <w:lang w:eastAsia="zh-CN"/>
        </w:rPr>
        <w:t>，</w:t>
      </w:r>
      <w:r>
        <w:rPr>
          <w:rStyle w:val="31"/>
          <w:rFonts w:hint="eastAsia" w:cs="Times New Roman"/>
          <w:b w:val="0"/>
          <w:bCs w:val="0"/>
          <w:color w:val="auto"/>
          <w:kern w:val="0"/>
          <w:sz w:val="24"/>
          <w:highlight w:val="none"/>
          <w:lang w:val="en-US" w:eastAsia="zh-CN"/>
        </w:rPr>
        <w:t>改造失败，余款不予支付。</w:t>
      </w:r>
    </w:p>
    <w:p>
      <w:pPr>
        <w:pStyle w:val="66"/>
        <w:widowControl/>
        <w:numPr>
          <w:ilvl w:val="0"/>
          <w:numId w:val="0"/>
        </w:numPr>
        <w:spacing w:before="120" w:beforeLines="50" w:after="120" w:afterLines="50" w:line="360" w:lineRule="auto"/>
        <w:ind w:leftChars="0"/>
        <w:jc w:val="left"/>
        <w:rPr>
          <w:rStyle w:val="31"/>
          <w:rFonts w:hint="default" w:ascii="Times New Roman" w:hAnsi="Times New Roman" w:cs="Times New Roman"/>
          <w:color w:val="auto"/>
          <w:kern w:val="0"/>
          <w:sz w:val="24"/>
        </w:rPr>
      </w:pPr>
      <w:r>
        <w:rPr>
          <w:rStyle w:val="31"/>
          <w:rFonts w:hint="eastAsia" w:cs="Times New Roman"/>
          <w:color w:val="auto"/>
          <w:kern w:val="0"/>
          <w:sz w:val="24"/>
          <w:lang w:val="en-US" w:eastAsia="zh-CN"/>
        </w:rPr>
        <w:t>2）</w:t>
      </w:r>
      <w:r>
        <w:rPr>
          <w:rStyle w:val="31"/>
          <w:rFonts w:hint="default" w:ascii="Times New Roman" w:hAnsi="Times New Roman" w:cs="Times New Roman"/>
          <w:color w:val="auto"/>
          <w:kern w:val="0"/>
          <w:sz w:val="24"/>
        </w:rPr>
        <w:t>机组额定工况下，单侧引风机入口烟道烟气速度场分布相对标准偏差小于15%（此为最低要求，实际指标根据投标方投标文件承诺修改），提升引风机入口烟气流场分布均匀性。速度分布偏差每增加2个百分点，扣除总合同价的1%</w:t>
      </w:r>
      <w:r>
        <w:rPr>
          <w:rStyle w:val="31"/>
          <w:rFonts w:hint="default" w:ascii="Times New Roman" w:hAnsi="Times New Roman" w:cs="Times New Roman"/>
          <w:color w:val="auto"/>
          <w:kern w:val="0"/>
          <w:sz w:val="24"/>
          <w:lang w:eastAsia="zh-CN"/>
        </w:rPr>
        <w:t>。</w:t>
      </w:r>
      <w:r>
        <w:rPr>
          <w:rStyle w:val="31"/>
          <w:rFonts w:hint="default" w:ascii="Times New Roman" w:hAnsi="Times New Roman" w:cs="Times New Roman"/>
          <w:color w:val="auto"/>
          <w:kern w:val="0"/>
          <w:sz w:val="24"/>
          <w:lang w:val="en-US" w:eastAsia="zh-CN"/>
        </w:rPr>
        <w:t xml:space="preserve">  </w:t>
      </w:r>
    </w:p>
    <w:p>
      <w:pPr>
        <w:pStyle w:val="66"/>
        <w:widowControl/>
        <w:numPr>
          <w:ilvl w:val="0"/>
          <w:numId w:val="0"/>
        </w:numPr>
        <w:spacing w:before="120" w:beforeLines="50" w:after="120" w:afterLines="50" w:line="360" w:lineRule="auto"/>
        <w:ind w:leftChars="0"/>
        <w:jc w:val="left"/>
        <w:rPr>
          <w:rStyle w:val="31"/>
          <w:rFonts w:hint="default" w:ascii="Times New Roman" w:hAnsi="Times New Roman" w:cs="Times New Roman"/>
          <w:color w:val="auto"/>
        </w:rPr>
      </w:pPr>
      <w:r>
        <w:rPr>
          <w:rStyle w:val="31"/>
          <w:rFonts w:hint="eastAsia" w:cs="Times New Roman"/>
          <w:color w:val="auto"/>
          <w:kern w:val="0"/>
          <w:sz w:val="24"/>
          <w:lang w:val="en-US" w:eastAsia="zh-CN"/>
        </w:rPr>
        <w:t>3）</w:t>
      </w:r>
      <w:r>
        <w:rPr>
          <w:rStyle w:val="31"/>
          <w:rFonts w:hint="default" w:ascii="Times New Roman" w:hAnsi="Times New Roman" w:cs="Times New Roman"/>
          <w:color w:val="auto"/>
          <w:kern w:val="0"/>
          <w:sz w:val="24"/>
        </w:rPr>
        <w:t>机组额定工况下，引风机出口汇合烟道处烟气速度场分布相对标准偏差小于25%（此为最低要求，实际指标根据投标方投标文件承诺修改），有效改善引风机出口烟道流场分布均匀性。</w:t>
      </w:r>
      <w:r>
        <w:rPr>
          <w:rStyle w:val="31"/>
          <w:rFonts w:hint="default" w:ascii="Times New Roman" w:hAnsi="Times New Roman" w:cs="Times New Roman"/>
          <w:color w:val="auto"/>
          <w:sz w:val="24"/>
        </w:rPr>
        <w:t>速度分布偏差每增加2个百分点，扣除总合同价的1%。</w:t>
      </w:r>
    </w:p>
    <w:p>
      <w:pPr>
        <w:pStyle w:val="4"/>
        <w:spacing w:line="360" w:lineRule="auto"/>
        <w:ind w:firstLine="480" w:firstLineChars="200"/>
        <w:rPr>
          <w:rStyle w:val="31"/>
          <w:rFonts w:hint="default" w:ascii="Times New Roman" w:hAnsi="Times New Roman" w:cs="Times New Roman"/>
          <w:color w:val="auto"/>
          <w:sz w:val="24"/>
        </w:rPr>
      </w:pPr>
      <w:r>
        <w:rPr>
          <w:rStyle w:val="31"/>
          <w:rFonts w:hint="default" w:ascii="Times New Roman" w:hAnsi="Times New Roman" w:cs="Times New Roman"/>
          <w:color w:val="auto"/>
          <w:sz w:val="24"/>
        </w:rPr>
        <w:t>承包方有义务采取各种措施以使设备达到各项经济技术指标。如承包方通过采取多种措施还是不能达到各项经济指标，且不能满足技术要求，发包方有权力终止合同。</w:t>
      </w:r>
    </w:p>
    <w:p>
      <w:pPr>
        <w:pStyle w:val="4"/>
        <w:spacing w:line="360" w:lineRule="auto"/>
        <w:ind w:firstLine="480" w:firstLineChars="200"/>
        <w:rPr>
          <w:rStyle w:val="31"/>
          <w:rFonts w:hint="default" w:ascii="Times New Roman" w:hAnsi="Times New Roman" w:cs="Times New Roman"/>
          <w:color w:val="auto"/>
          <w:sz w:val="24"/>
        </w:rPr>
      </w:pPr>
      <w:r>
        <w:rPr>
          <w:rStyle w:val="31"/>
          <w:rFonts w:hint="default" w:ascii="Times New Roman" w:hAnsi="Times New Roman" w:cs="Times New Roman"/>
          <w:color w:val="auto"/>
          <w:sz w:val="24"/>
        </w:rPr>
        <w:t>承包方应确保上述技术指标。当装置投运以后发现所供设备不能达到上述技术指标，承包方应免费进行修理或更换直至达到合同规定的要求。</w:t>
      </w:r>
    </w:p>
    <w:p>
      <w:pPr>
        <w:pStyle w:val="4"/>
        <w:spacing w:line="360" w:lineRule="auto"/>
        <w:ind w:firstLine="480" w:firstLineChars="200"/>
        <w:rPr>
          <w:rStyle w:val="31"/>
          <w:rFonts w:hint="default" w:ascii="Times New Roman" w:hAnsi="Times New Roman" w:cs="Times New Roman"/>
          <w:color w:val="auto"/>
          <w:sz w:val="24"/>
        </w:rPr>
      </w:pPr>
      <w:r>
        <w:rPr>
          <w:rStyle w:val="31"/>
          <w:rFonts w:hint="default" w:ascii="Times New Roman" w:hAnsi="Times New Roman" w:cs="Times New Roman"/>
          <w:color w:val="auto"/>
          <w:sz w:val="24"/>
        </w:rPr>
        <w:t>在完成修理、替换或者其它处理后，整个工艺过程应按合同重新进行试验，费用由承包方负责。</w:t>
      </w:r>
    </w:p>
    <w:p>
      <w:pPr>
        <w:spacing w:line="500" w:lineRule="exact"/>
        <w:ind w:firstLine="480" w:firstLineChars="200"/>
        <w:rPr>
          <w:rFonts w:hint="eastAsia" w:ascii="宋体" w:hAnsi="宋体"/>
        </w:rPr>
        <w:sectPr>
          <w:endnotePr>
            <w:numFmt w:val="decimal"/>
          </w:endnotePr>
          <w:pgSz w:w="11907" w:h="16840"/>
          <w:pgMar w:top="1418" w:right="1531" w:bottom="1418" w:left="1701" w:header="851" w:footer="1021" w:gutter="0"/>
          <w:cols w:space="720" w:num="1"/>
          <w:docGrid w:linePitch="326" w:charSpace="0"/>
        </w:sectPr>
      </w:pPr>
    </w:p>
    <w:p>
      <w:pPr>
        <w:pStyle w:val="5"/>
        <w:rPr>
          <w:sz w:val="30"/>
          <w:szCs w:val="30"/>
        </w:rPr>
      </w:pPr>
      <w:bookmarkStart w:id="143" w:name="_Toc153568478"/>
      <w:bookmarkStart w:id="144" w:name="_Toc346199018"/>
      <w:r>
        <w:rPr>
          <w:sz w:val="30"/>
          <w:szCs w:val="30"/>
        </w:rPr>
        <w:t>附件1</w:t>
      </w:r>
      <w:r>
        <w:rPr>
          <w:rFonts w:hint="eastAsia"/>
          <w:sz w:val="30"/>
          <w:szCs w:val="30"/>
        </w:rPr>
        <w:t>3 投标人需要说明的其他问题（技术特点、质保体系及售后服务承诺等）</w:t>
      </w:r>
      <w:bookmarkEnd w:id="143"/>
    </w:p>
    <w:p>
      <w:pPr>
        <w:spacing w:line="360" w:lineRule="auto"/>
        <w:ind w:firstLine="420"/>
        <w:rPr>
          <w:rFonts w:hint="eastAsia" w:hAnsi="宋体"/>
          <w:snapToGrid w:val="0"/>
        </w:rPr>
      </w:pPr>
      <w:r>
        <w:rPr>
          <w:rFonts w:hint="eastAsia" w:hAnsi="宋体"/>
          <w:snapToGrid w:val="0"/>
        </w:rPr>
        <w:t>投标人提供</w:t>
      </w:r>
      <w:r>
        <w:rPr>
          <w:rFonts w:hAnsi="宋体"/>
          <w:snapToGrid w:val="0"/>
        </w:rPr>
        <w:t>在专业技术、设备设施、人员组织、业绩经验等方面具有设计、制造、质量控制、经营管理的相应的资格和能力</w:t>
      </w:r>
      <w:r>
        <w:rPr>
          <w:rFonts w:hint="eastAsia" w:hAnsi="宋体"/>
          <w:snapToGrid w:val="0"/>
        </w:rPr>
        <w:t>的资料</w:t>
      </w:r>
      <w:r>
        <w:rPr>
          <w:rFonts w:hAnsi="宋体"/>
          <w:snapToGrid w:val="0"/>
        </w:rPr>
        <w:t>。</w:t>
      </w:r>
    </w:p>
    <w:p>
      <w:pPr>
        <w:spacing w:line="360" w:lineRule="auto"/>
        <w:ind w:firstLine="420"/>
        <w:rPr>
          <w:rFonts w:hint="eastAsia" w:hAnsi="宋体"/>
          <w:snapToGrid w:val="0"/>
        </w:rPr>
      </w:pPr>
    </w:p>
    <w:bookmarkEnd w:id="144"/>
    <w:p/>
    <w:sectPr>
      <w:endnotePr>
        <w:numFmt w:val="decimal"/>
      </w:endnotePr>
      <w:pgSz w:w="11907" w:h="16840"/>
      <w:pgMar w:top="1418" w:right="1531" w:bottom="1418" w:left="1701" w:header="851" w:footer="102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right" w:y="1"/>
      <w:spacing w:before="120" w:after="120"/>
      <w:rPr>
        <w:rStyle w:val="32"/>
      </w:rPr>
    </w:pPr>
    <w:r>
      <w:fldChar w:fldCharType="begin"/>
    </w:r>
    <w:r>
      <w:rPr>
        <w:rStyle w:val="32"/>
      </w:rPr>
      <w:instrText xml:space="preserve">PAGE  </w:instrText>
    </w:r>
    <w:r>
      <w:fldChar w:fldCharType="end"/>
    </w:r>
  </w:p>
  <w:p>
    <w:pPr>
      <w:pStyle w:val="21"/>
      <w:spacing w:before="120" w:after="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lang w:val="zh-CN"/>
      </w:rPr>
      <w:fldChar w:fldCharType="begin"/>
    </w:r>
    <w:r>
      <w:rPr>
        <w:lang w:val="zh-CN"/>
      </w:rPr>
      <w:instrText xml:space="preserve"> PAGE   \* MERGEFORMAT </w:instrText>
    </w:r>
    <w:r>
      <w:rPr>
        <w:lang w:val="zh-CN"/>
      </w:rPr>
      <w:fldChar w:fldCharType="separate"/>
    </w:r>
    <w:r>
      <w:rPr>
        <w:lang w:val="zh-CN"/>
      </w:rPr>
      <w:t>4</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single" w:color="auto" w:sz="4"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rFonts w:hint="eastAsia"/>
      </w:rPr>
      <w:t>9号炉空预器出口烟道优化技术规范书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1"/>
      <w:numFmt w:val="decimal"/>
      <w:lvlText w:val="%1)"/>
      <w:lvlJc w:val="left"/>
      <w:pPr>
        <w:ind w:left="425" w:hanging="425"/>
      </w:pPr>
      <w:rPr>
        <w:rFonts w:hint="default"/>
      </w:rPr>
    </w:lvl>
  </w:abstractNum>
  <w:abstractNum w:abstractNumId="1">
    <w:nsid w:val="00000001"/>
    <w:multiLevelType w:val="singleLevel"/>
    <w:tmpl w:val="00000001"/>
    <w:lvl w:ilvl="0" w:tentative="0">
      <w:start w:val="1"/>
      <w:numFmt w:val="decimal"/>
      <w:lvlText w:val="%1)"/>
      <w:lvlJc w:val="left"/>
      <w:pPr>
        <w:ind w:left="425" w:hanging="425"/>
      </w:pPr>
      <w:rPr>
        <w:rFonts w:hint="default"/>
      </w:rPr>
    </w:lvl>
  </w:abstractNum>
  <w:abstractNum w:abstractNumId="2">
    <w:nsid w:val="00000002"/>
    <w:multiLevelType w:val="multilevel"/>
    <w:tmpl w:val="00000002"/>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00000004"/>
    <w:multiLevelType w:val="singleLevel"/>
    <w:tmpl w:val="00000004"/>
    <w:lvl w:ilvl="0" w:tentative="0">
      <w:start w:val="1"/>
      <w:numFmt w:val="decimal"/>
      <w:lvlText w:val="%1)"/>
      <w:lvlJc w:val="left"/>
      <w:pPr>
        <w:ind w:left="425" w:hanging="425"/>
      </w:pPr>
      <w:rPr>
        <w:rFonts w:hint="default"/>
      </w:rPr>
    </w:lvl>
  </w:abstractNum>
  <w:abstractNum w:abstractNumId="4">
    <w:nsid w:val="00000007"/>
    <w:multiLevelType w:val="multilevel"/>
    <w:tmpl w:val="00000007"/>
    <w:lvl w:ilvl="0" w:tentative="0">
      <w:start w:val="1"/>
      <w:numFmt w:val="decimal"/>
      <w:lvlText w:val="%1"/>
      <w:lvlJc w:val="left"/>
      <w:pPr>
        <w:ind w:left="360" w:hanging="360"/>
      </w:pPr>
      <w:rPr>
        <w:rFonts w:hint="default"/>
      </w:rPr>
    </w:lvl>
    <w:lvl w:ilvl="1" w:tentative="0">
      <w:start w:val="3"/>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5">
    <w:nsid w:val="00000008"/>
    <w:multiLevelType w:val="singleLevel"/>
    <w:tmpl w:val="00000008"/>
    <w:lvl w:ilvl="0" w:tentative="0">
      <w:start w:val="1"/>
      <w:numFmt w:val="decimal"/>
      <w:suff w:val="nothing"/>
      <w:lvlText w:val="%1）"/>
      <w:lvlJc w:val="left"/>
    </w:lvl>
  </w:abstractNum>
  <w:abstractNum w:abstractNumId="6">
    <w:nsid w:val="0000000D"/>
    <w:multiLevelType w:val="multilevel"/>
    <w:tmpl w:val="0000000D"/>
    <w:lvl w:ilvl="0" w:tentative="0">
      <w:start w:val="1"/>
      <w:numFmt w:val="decimal"/>
      <w:suff w:val="nothing"/>
      <w:lvlText w:val="%1."/>
      <w:lvlJc w:val="left"/>
      <w:rPr>
        <w:rFonts w:hint="eastAsia"/>
      </w:rPr>
    </w:lvl>
    <w:lvl w:ilvl="1" w:tentative="0">
      <w:start w:val="1"/>
      <w:numFmt w:val="decimal"/>
      <w:suff w:val="nothing"/>
      <w:lvlText w:val="%1.%2"/>
      <w:lvlJc w:val="left"/>
      <w:rPr>
        <w:rFonts w:hint="eastAsia"/>
      </w:rPr>
    </w:lvl>
    <w:lvl w:ilvl="2" w:tentative="0">
      <w:start w:val="1"/>
      <w:numFmt w:val="chineseCountingThousand"/>
      <w:suff w:val="nothing"/>
      <w:lvlText w:val="附件%3："/>
      <w:lvlJc w:val="left"/>
      <w:rPr>
        <w:rFonts w:hint="eastAsia"/>
      </w:rPr>
    </w:lvl>
    <w:lvl w:ilvl="3" w:tentative="0">
      <w:start w:val="1"/>
      <w:numFmt w:val="decimal"/>
      <w:suff w:val="nothing"/>
      <w:lvlText w:val="%4."/>
      <w:lvlJc w:val="left"/>
      <w:rPr>
        <w:rFonts w:hint="eastAsia"/>
      </w:rPr>
    </w:lvl>
    <w:lvl w:ilvl="4" w:tentative="0">
      <w:start w:val="1"/>
      <w:numFmt w:val="decimal"/>
      <w:pStyle w:val="9"/>
      <w:suff w:val="nothing"/>
      <w:lvlText w:val="%4.%5"/>
      <w:lvlJc w:val="left"/>
      <w:rPr>
        <w:rFonts w:hint="eastAsia"/>
      </w:rPr>
    </w:lvl>
    <w:lvl w:ilvl="5" w:tentative="0">
      <w:start w:val="1"/>
      <w:numFmt w:val="none"/>
      <w:pStyle w:val="10"/>
      <w:suff w:val="nothing"/>
      <w:lvlText w:val=""/>
      <w:lvlJc w:val="left"/>
      <w:rPr>
        <w:rFonts w:hint="eastAsia"/>
      </w:rPr>
    </w:lvl>
    <w:lvl w:ilvl="6" w:tentative="0">
      <w:start w:val="1"/>
      <w:numFmt w:val="none"/>
      <w:pStyle w:val="11"/>
      <w:suff w:val="nothing"/>
      <w:lvlText w:val=""/>
      <w:lvlJc w:val="left"/>
      <w:rPr>
        <w:rFonts w:hint="eastAsia"/>
      </w:rPr>
    </w:lvl>
    <w:lvl w:ilvl="7" w:tentative="0">
      <w:start w:val="1"/>
      <w:numFmt w:val="none"/>
      <w:pStyle w:val="12"/>
      <w:suff w:val="nothing"/>
      <w:lvlText w:val=""/>
      <w:lvlJc w:val="left"/>
      <w:rPr>
        <w:rFonts w:hint="eastAsia"/>
      </w:rPr>
    </w:lvl>
    <w:lvl w:ilvl="8" w:tentative="0">
      <w:start w:val="1"/>
      <w:numFmt w:val="none"/>
      <w:pStyle w:val="13"/>
      <w:suff w:val="nothing"/>
      <w:lvlText w:val=""/>
      <w:lvlJc w:val="left"/>
      <w:rPr>
        <w:rFonts w:hint="eastAsia"/>
      </w:rPr>
    </w:lvl>
  </w:abstractNum>
  <w:abstractNum w:abstractNumId="7">
    <w:nsid w:val="00000011"/>
    <w:multiLevelType w:val="multilevel"/>
    <w:tmpl w:val="00000011"/>
    <w:lvl w:ilvl="0" w:tentative="0">
      <w:start w:val="1"/>
      <w:numFmt w:val="decimal"/>
      <w:pStyle w:val="7"/>
      <w:lvlText w:val=""/>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7"/>
  </w:num>
  <w:num w:numId="2">
    <w:abstractNumId w:val="6"/>
  </w:num>
  <w:num w:numId="3">
    <w:abstractNumId w:val="4"/>
  </w:num>
  <w:num w:numId="4">
    <w:abstractNumId w:val="0"/>
  </w:num>
  <w:num w:numId="5">
    <w:abstractNumId w:val="3"/>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CCE0BA8"/>
    <w:rsid w:val="1D3A2CC3"/>
    <w:rsid w:val="1E9F2C05"/>
    <w:rsid w:val="290B3941"/>
    <w:rsid w:val="30BB25FA"/>
    <w:rsid w:val="31244289"/>
    <w:rsid w:val="49181EA2"/>
    <w:rsid w:val="4B7711C5"/>
    <w:rsid w:val="4E9F4C94"/>
    <w:rsid w:val="544B674D"/>
    <w:rsid w:val="56325068"/>
    <w:rsid w:val="72743EB6"/>
    <w:rsid w:val="73634919"/>
    <w:rsid w:val="749F6530"/>
    <w:rsid w:val="7BDD1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5">
    <w:name w:val="heading 1"/>
    <w:basedOn w:val="1"/>
    <w:next w:val="1"/>
    <w:link w:val="37"/>
    <w:qFormat/>
    <w:uiPriority w:val="0"/>
    <w:pPr>
      <w:keepNext/>
      <w:keepLines/>
      <w:adjustRightInd w:val="0"/>
      <w:spacing w:line="360" w:lineRule="auto"/>
      <w:textAlignment w:val="baseline"/>
      <w:outlineLvl w:val="0"/>
    </w:pPr>
    <w:rPr>
      <w:rFonts w:ascii="宋体"/>
      <w:b/>
      <w:kern w:val="44"/>
      <w:sz w:val="32"/>
      <w:szCs w:val="20"/>
    </w:rPr>
  </w:style>
  <w:style w:type="paragraph" w:styleId="6">
    <w:name w:val="heading 2"/>
    <w:basedOn w:val="4"/>
    <w:next w:val="4"/>
    <w:link w:val="69"/>
    <w:qFormat/>
    <w:uiPriority w:val="0"/>
    <w:pPr>
      <w:keepNext/>
      <w:keepLines/>
      <w:adjustRightInd w:val="0"/>
      <w:spacing w:before="260" w:after="260" w:line="416" w:lineRule="atLeast"/>
      <w:textAlignment w:val="baseline"/>
      <w:outlineLvl w:val="1"/>
    </w:pPr>
    <w:rPr>
      <w:rFonts w:ascii="宋体"/>
      <w:b/>
      <w:kern w:val="44"/>
      <w:sz w:val="28"/>
      <w:szCs w:val="20"/>
    </w:rPr>
  </w:style>
  <w:style w:type="paragraph" w:styleId="7">
    <w:name w:val="heading 4"/>
    <w:basedOn w:val="1"/>
    <w:next w:val="8"/>
    <w:qFormat/>
    <w:uiPriority w:val="0"/>
    <w:pPr>
      <w:keepNext/>
      <w:numPr>
        <w:ilvl w:val="0"/>
        <w:numId w:val="1"/>
      </w:numPr>
      <w:adjustRightInd w:val="0"/>
      <w:spacing w:line="360" w:lineRule="auto"/>
      <w:ind w:left="454"/>
      <w:jc w:val="left"/>
      <w:textAlignment w:val="baseline"/>
      <w:outlineLvl w:val="3"/>
    </w:pPr>
    <w:rPr>
      <w:rFonts w:ascii="宋体"/>
      <w:i/>
      <w:kern w:val="0"/>
      <w:szCs w:val="20"/>
    </w:rPr>
  </w:style>
  <w:style w:type="paragraph" w:styleId="9">
    <w:name w:val="heading 5"/>
    <w:basedOn w:val="1"/>
    <w:next w:val="8"/>
    <w:qFormat/>
    <w:uiPriority w:val="0"/>
    <w:pPr>
      <w:keepNext/>
      <w:keepLines/>
      <w:numPr>
        <w:ilvl w:val="4"/>
        <w:numId w:val="2"/>
      </w:numPr>
      <w:spacing w:before="120" w:after="120"/>
      <w:outlineLvl w:val="4"/>
    </w:pPr>
    <w:rPr>
      <w:rFonts w:ascii="小标宋"/>
      <w:szCs w:val="20"/>
    </w:rPr>
  </w:style>
  <w:style w:type="paragraph" w:styleId="10">
    <w:name w:val="heading 6"/>
    <w:basedOn w:val="1"/>
    <w:next w:val="8"/>
    <w:qFormat/>
    <w:uiPriority w:val="0"/>
    <w:pPr>
      <w:keepNext/>
      <w:keepLines/>
      <w:numPr>
        <w:ilvl w:val="5"/>
        <w:numId w:val="2"/>
      </w:numPr>
      <w:spacing w:before="240" w:after="64" w:line="320" w:lineRule="auto"/>
      <w:outlineLvl w:val="5"/>
    </w:pPr>
    <w:rPr>
      <w:rFonts w:ascii="Arial" w:hAnsi="Arial" w:eastAsia="黑体"/>
      <w:szCs w:val="20"/>
    </w:rPr>
  </w:style>
  <w:style w:type="paragraph" w:styleId="11">
    <w:name w:val="heading 7"/>
    <w:basedOn w:val="1"/>
    <w:next w:val="8"/>
    <w:qFormat/>
    <w:uiPriority w:val="0"/>
    <w:pPr>
      <w:keepNext/>
      <w:keepLines/>
      <w:numPr>
        <w:ilvl w:val="6"/>
        <w:numId w:val="2"/>
      </w:numPr>
      <w:spacing w:before="240" w:after="64" w:line="320" w:lineRule="auto"/>
      <w:outlineLvl w:val="6"/>
    </w:pPr>
    <w:rPr>
      <w:rFonts w:ascii="宋体"/>
      <w:szCs w:val="20"/>
    </w:rPr>
  </w:style>
  <w:style w:type="paragraph" w:styleId="12">
    <w:name w:val="heading 8"/>
    <w:basedOn w:val="1"/>
    <w:next w:val="8"/>
    <w:qFormat/>
    <w:uiPriority w:val="0"/>
    <w:pPr>
      <w:keepNext/>
      <w:keepLines/>
      <w:numPr>
        <w:ilvl w:val="7"/>
        <w:numId w:val="2"/>
      </w:numPr>
      <w:spacing w:before="240" w:after="64" w:line="320" w:lineRule="auto"/>
      <w:outlineLvl w:val="7"/>
    </w:pPr>
    <w:rPr>
      <w:rFonts w:ascii="Arial" w:hAnsi="Arial" w:eastAsia="黑体"/>
      <w:b/>
      <w:szCs w:val="20"/>
    </w:rPr>
  </w:style>
  <w:style w:type="paragraph" w:styleId="13">
    <w:name w:val="heading 9"/>
    <w:basedOn w:val="1"/>
    <w:next w:val="8"/>
    <w:qFormat/>
    <w:uiPriority w:val="0"/>
    <w:pPr>
      <w:keepNext/>
      <w:keepLines/>
      <w:numPr>
        <w:ilvl w:val="8"/>
        <w:numId w:val="2"/>
      </w:numPr>
      <w:spacing w:before="240" w:after="64" w:line="320" w:lineRule="auto"/>
      <w:outlineLvl w:val="8"/>
    </w:pPr>
    <w:rPr>
      <w:rFonts w:ascii="Arial" w:hAnsi="Arial" w:eastAsia="黑体"/>
      <w:b/>
      <w:szCs w:val="20"/>
    </w:rPr>
  </w:style>
  <w:style w:type="character" w:default="1" w:styleId="31">
    <w:name w:val="Default Paragraph Font"/>
    <w:qFormat/>
    <w:uiPriority w:val="1"/>
  </w:style>
  <w:style w:type="table" w:default="1" w:styleId="29">
    <w:name w:val="Normal Table"/>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rPr>
      <w:rFonts w:ascii="Times New Roman" w:hAnsi="Times New Roman" w:eastAsia="宋体" w:cs="Times New Roman"/>
      <w:kern w:val="2"/>
      <w:sz w:val="21"/>
    </w:rPr>
  </w:style>
  <w:style w:type="paragraph" w:styleId="3">
    <w:name w:val="Body Text Indent"/>
    <w:basedOn w:val="4"/>
    <w:next w:val="4"/>
    <w:link w:val="70"/>
    <w:qFormat/>
    <w:uiPriority w:val="0"/>
    <w:pPr>
      <w:adjustRightInd w:val="0"/>
      <w:spacing w:line="360" w:lineRule="auto"/>
      <w:ind w:firstLine="480"/>
      <w:jc w:val="left"/>
      <w:textAlignment w:val="baseline"/>
    </w:pPr>
    <w:rPr>
      <w:rFonts w:ascii="宋体"/>
      <w:color w:val="0000FF"/>
      <w:kern w:val="0"/>
      <w:szCs w:val="20"/>
    </w:rPr>
  </w:style>
  <w:style w:type="paragraph" w:customStyle="1" w:styleId="4">
    <w:name w:val="正文_9"/>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8">
    <w:name w:val="Normal Indent"/>
    <w:basedOn w:val="1"/>
    <w:link w:val="67"/>
    <w:qFormat/>
    <w:uiPriority w:val="99"/>
    <w:pPr>
      <w:adjustRightInd w:val="0"/>
      <w:spacing w:line="360" w:lineRule="atLeast"/>
      <w:ind w:firstLine="420"/>
      <w:jc w:val="left"/>
      <w:textAlignment w:val="baseline"/>
    </w:pPr>
    <w:rPr>
      <w:kern w:val="0"/>
      <w:szCs w:val="20"/>
    </w:rPr>
  </w:style>
  <w:style w:type="paragraph" w:styleId="14">
    <w:name w:val="Document Map"/>
    <w:basedOn w:val="1"/>
    <w:qFormat/>
    <w:uiPriority w:val="0"/>
    <w:pPr>
      <w:shd w:val="clear" w:color="auto" w:fill="000080"/>
    </w:pPr>
  </w:style>
  <w:style w:type="paragraph" w:styleId="15">
    <w:name w:val="annotation text"/>
    <w:basedOn w:val="1"/>
    <w:qFormat/>
    <w:uiPriority w:val="0"/>
    <w:pPr>
      <w:jc w:val="left"/>
    </w:pPr>
  </w:style>
  <w:style w:type="paragraph" w:styleId="16">
    <w:name w:val="Body Text"/>
    <w:basedOn w:val="1"/>
    <w:qFormat/>
    <w:uiPriority w:val="0"/>
    <w:pPr>
      <w:spacing w:after="120"/>
    </w:pPr>
  </w:style>
  <w:style w:type="paragraph" w:styleId="17">
    <w:name w:val="Plain Text"/>
    <w:basedOn w:val="1"/>
    <w:link w:val="68"/>
    <w:qFormat/>
    <w:uiPriority w:val="0"/>
    <w:rPr>
      <w:rFonts w:ascii="宋体" w:hAnsi="Courier New"/>
      <w:szCs w:val="20"/>
    </w:rPr>
  </w:style>
  <w:style w:type="paragraph" w:styleId="18">
    <w:name w:val="Date"/>
    <w:basedOn w:val="1"/>
    <w:next w:val="1"/>
    <w:qFormat/>
    <w:uiPriority w:val="0"/>
    <w:pPr>
      <w:adjustRightInd w:val="0"/>
      <w:spacing w:line="360" w:lineRule="atLeast"/>
      <w:textAlignment w:val="baseline"/>
    </w:pPr>
    <w:rPr>
      <w:rFonts w:ascii="宋体"/>
      <w:kern w:val="0"/>
      <w:sz w:val="28"/>
      <w:szCs w:val="20"/>
    </w:rPr>
  </w:style>
  <w:style w:type="paragraph" w:styleId="19">
    <w:name w:val="Body Text Indent 2"/>
    <w:basedOn w:val="1"/>
    <w:qFormat/>
    <w:uiPriority w:val="0"/>
    <w:pPr>
      <w:adjustRightInd w:val="0"/>
      <w:spacing w:line="0" w:lineRule="atLeast"/>
      <w:ind w:right="202" w:firstLine="630" w:firstLineChars="225"/>
      <w:jc w:val="left"/>
      <w:textAlignment w:val="baseline"/>
    </w:pPr>
    <w:rPr>
      <w:rFonts w:ascii="宋体"/>
      <w:spacing w:val="20"/>
      <w:kern w:val="0"/>
      <w:position w:val="20"/>
      <w:szCs w:val="20"/>
    </w:rPr>
  </w:style>
  <w:style w:type="paragraph" w:styleId="20">
    <w:name w:val="Balloon Text"/>
    <w:basedOn w:val="1"/>
    <w:qFormat/>
    <w:uiPriority w:val="0"/>
    <w:rPr>
      <w:sz w:val="18"/>
      <w:szCs w:val="18"/>
    </w:rPr>
  </w:style>
  <w:style w:type="paragraph" w:styleId="21">
    <w:name w:val="footer"/>
    <w:basedOn w:val="1"/>
    <w:link w:val="36"/>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22">
    <w:name w:val="header"/>
    <w:basedOn w:val="1"/>
    <w:qFormat/>
    <w:uiPriority w:val="0"/>
    <w:pPr>
      <w:pBdr>
        <w:bottom w:val="single" w:color="auto" w:sz="6" w:space="1"/>
      </w:pBdr>
      <w:tabs>
        <w:tab w:val="center" w:pos="4153"/>
        <w:tab w:val="right" w:pos="8306"/>
      </w:tabs>
      <w:adjustRightInd w:val="0"/>
      <w:snapToGrid w:val="0"/>
      <w:spacing w:line="240" w:lineRule="atLeast"/>
      <w:jc w:val="center"/>
      <w:textAlignment w:val="baseline"/>
    </w:pPr>
    <w:rPr>
      <w:kern w:val="0"/>
      <w:sz w:val="18"/>
      <w:szCs w:val="20"/>
    </w:rPr>
  </w:style>
  <w:style w:type="paragraph" w:styleId="23">
    <w:name w:val="toc 1"/>
    <w:basedOn w:val="1"/>
    <w:next w:val="1"/>
    <w:qFormat/>
    <w:uiPriority w:val="39"/>
    <w:pPr>
      <w:tabs>
        <w:tab w:val="right" w:leader="dot" w:pos="8820"/>
      </w:tabs>
      <w:adjustRightInd w:val="0"/>
      <w:spacing w:line="360" w:lineRule="auto"/>
      <w:jc w:val="left"/>
      <w:textAlignment w:val="baseline"/>
    </w:pPr>
    <w:rPr>
      <w:rFonts w:ascii="宋体" w:hAnsi="宋体"/>
      <w:b/>
      <w:kern w:val="0"/>
      <w:sz w:val="30"/>
      <w:szCs w:val="30"/>
    </w:rPr>
  </w:style>
  <w:style w:type="paragraph" w:styleId="24">
    <w:name w:val="Body Text Indent 3"/>
    <w:basedOn w:val="1"/>
    <w:qFormat/>
    <w:uiPriority w:val="0"/>
    <w:pPr>
      <w:adjustRightInd w:val="0"/>
      <w:spacing w:line="360" w:lineRule="auto"/>
      <w:ind w:firstLine="780" w:firstLineChars="300"/>
      <w:jc w:val="left"/>
      <w:textAlignment w:val="baseline"/>
    </w:pPr>
    <w:rPr>
      <w:color w:val="FF0000"/>
      <w:spacing w:val="10"/>
      <w:kern w:val="0"/>
      <w:szCs w:val="20"/>
      <w:u w:val="single"/>
    </w:rPr>
  </w:style>
  <w:style w:type="paragraph" w:styleId="25">
    <w:name w:val="toc 2"/>
    <w:basedOn w:val="1"/>
    <w:next w:val="1"/>
    <w:qFormat/>
    <w:uiPriority w:val="0"/>
    <w:pPr>
      <w:tabs>
        <w:tab w:val="right" w:leader="dot" w:pos="9000"/>
      </w:tabs>
      <w:adjustRightInd w:val="0"/>
      <w:spacing w:line="360" w:lineRule="atLeast"/>
      <w:ind w:left="420"/>
      <w:jc w:val="left"/>
      <w:textAlignment w:val="baseline"/>
    </w:pPr>
    <w:rPr>
      <w:smallCaps/>
      <w:kern w:val="0"/>
      <w:sz w:val="20"/>
      <w:szCs w:val="20"/>
    </w:rPr>
  </w:style>
  <w:style w:type="paragraph" w:styleId="26">
    <w:name w:val="Normal (Web)"/>
    <w:basedOn w:val="1"/>
    <w:qFormat/>
    <w:uiPriority w:val="0"/>
    <w:pPr>
      <w:widowControl/>
      <w:spacing w:before="100" w:beforeAutospacing="1" w:after="100" w:afterAutospacing="1"/>
      <w:jc w:val="left"/>
    </w:pPr>
    <w:rPr>
      <w:rFonts w:ascii="宋体" w:hAnsi="宋体" w:cs="宋体"/>
      <w:kern w:val="0"/>
    </w:rPr>
  </w:style>
  <w:style w:type="paragraph" w:styleId="27">
    <w:name w:val="index 1"/>
    <w:basedOn w:val="1"/>
    <w:next w:val="1"/>
    <w:qFormat/>
    <w:uiPriority w:val="0"/>
    <w:pPr>
      <w:jc w:val="center"/>
    </w:pPr>
    <w:rPr>
      <w:sz w:val="21"/>
      <w:szCs w:val="20"/>
    </w:rPr>
  </w:style>
  <w:style w:type="paragraph" w:styleId="28">
    <w:name w:val="annotation subject"/>
    <w:basedOn w:val="15"/>
    <w:next w:val="15"/>
    <w:qFormat/>
    <w:uiPriority w:val="0"/>
    <w:rPr>
      <w:b/>
      <w:bCs/>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qFormat/>
    <w:uiPriority w:val="0"/>
  </w:style>
  <w:style w:type="character" w:styleId="33">
    <w:name w:val="FollowedHyperlink"/>
    <w:qFormat/>
    <w:uiPriority w:val="0"/>
    <w:rPr>
      <w:color w:val="800080"/>
      <w:u w:val="single"/>
    </w:rPr>
  </w:style>
  <w:style w:type="character" w:styleId="34">
    <w:name w:val="Hyperlink"/>
    <w:qFormat/>
    <w:uiPriority w:val="99"/>
    <w:rPr>
      <w:color w:val="0000FF"/>
      <w:u w:val="single"/>
    </w:rPr>
  </w:style>
  <w:style w:type="character" w:styleId="35">
    <w:name w:val="annotation reference"/>
    <w:qFormat/>
    <w:uiPriority w:val="0"/>
    <w:rPr>
      <w:sz w:val="21"/>
      <w:szCs w:val="21"/>
    </w:rPr>
  </w:style>
  <w:style w:type="character" w:customStyle="1" w:styleId="36">
    <w:name w:val="页脚 字符"/>
    <w:link w:val="21"/>
    <w:qFormat/>
    <w:uiPriority w:val="99"/>
    <w:rPr>
      <w:sz w:val="18"/>
    </w:rPr>
  </w:style>
  <w:style w:type="character" w:customStyle="1" w:styleId="37">
    <w:name w:val="标题 1 字符"/>
    <w:link w:val="5"/>
    <w:qFormat/>
    <w:uiPriority w:val="0"/>
    <w:rPr>
      <w:rFonts w:ascii="宋体" w:eastAsia="宋体"/>
      <w:b/>
      <w:kern w:val="44"/>
      <w:sz w:val="32"/>
      <w:lang w:val="en-US" w:eastAsia="zh-CN" w:bidi="ar-SA"/>
    </w:rPr>
  </w:style>
  <w:style w:type="paragraph" w:customStyle="1" w:styleId="3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9">
    <w:name w:val="Char Char Char Char"/>
    <w:basedOn w:val="1"/>
    <w:qFormat/>
    <w:uiPriority w:val="0"/>
    <w:rPr>
      <w:sz w:val="21"/>
    </w:rPr>
  </w:style>
  <w:style w:type="paragraph" w:customStyle="1" w:styleId="40">
    <w:name w:val="Char Char Char Char1"/>
    <w:basedOn w:val="1"/>
    <w:qFormat/>
    <w:uiPriority w:val="0"/>
    <w:pPr>
      <w:spacing w:line="360" w:lineRule="auto"/>
      <w:ind w:firstLine="200" w:firstLineChars="200"/>
    </w:pPr>
    <w:rPr>
      <w:rFonts w:ascii="宋体" w:hAnsi="宋体" w:cs="宋体"/>
    </w:rPr>
  </w:style>
  <w:style w:type="paragraph" w:customStyle="1" w:styleId="41">
    <w:name w:val="样式1"/>
    <w:basedOn w:val="1"/>
    <w:qFormat/>
    <w:uiPriority w:val="0"/>
    <w:pPr>
      <w:adjustRightInd w:val="0"/>
      <w:spacing w:line="420" w:lineRule="auto"/>
      <w:jc w:val="center"/>
      <w:textAlignment w:val="baseline"/>
    </w:pPr>
    <w:rPr>
      <w:rFonts w:ascii="宋体"/>
      <w:kern w:val="0"/>
      <w:szCs w:val="20"/>
    </w:rPr>
  </w:style>
  <w:style w:type="paragraph" w:customStyle="1" w:styleId="42">
    <w:name w:val="Char Char Char Char1 Char Char Char Char Char Char Char"/>
    <w:basedOn w:val="1"/>
    <w:qFormat/>
    <w:uiPriority w:val="0"/>
    <w:pPr>
      <w:spacing w:line="360" w:lineRule="auto"/>
      <w:ind w:firstLine="200" w:firstLineChars="200"/>
    </w:pPr>
    <w:rPr>
      <w:rFonts w:ascii="宋体" w:hAnsi="宋体" w:cs="宋体"/>
    </w:rPr>
  </w:style>
  <w:style w:type="paragraph" w:customStyle="1" w:styleId="43">
    <w:name w:val="Char Char Char Char1 Char Char Char"/>
    <w:basedOn w:val="1"/>
    <w:qFormat/>
    <w:uiPriority w:val="0"/>
    <w:pPr>
      <w:spacing w:line="360" w:lineRule="auto"/>
      <w:ind w:firstLine="200" w:firstLineChars="200"/>
    </w:pPr>
    <w:rPr>
      <w:rFonts w:ascii="宋体" w:hAnsi="宋体" w:cs="宋体"/>
    </w:rPr>
  </w:style>
  <w:style w:type="paragraph" w:customStyle="1" w:styleId="44">
    <w:name w:val="正文文本 31"/>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45">
    <w:name w:val="正文1"/>
    <w:basedOn w:val="1"/>
    <w:qFormat/>
    <w:uiPriority w:val="0"/>
    <w:pPr>
      <w:adjustRightInd w:val="0"/>
      <w:spacing w:line="360" w:lineRule="atLeast"/>
      <w:jc w:val="left"/>
      <w:textAlignment w:val="baseline"/>
    </w:pPr>
    <w:rPr>
      <w:rFonts w:ascii="宋体"/>
      <w:kern w:val="0"/>
      <w:szCs w:val="20"/>
    </w:rPr>
  </w:style>
  <w:style w:type="paragraph" w:customStyle="1" w:styleId="46">
    <w:name w:val="默认段落字体 Para Char Char Char Char"/>
    <w:basedOn w:val="1"/>
    <w:qFormat/>
    <w:uiPriority w:val="0"/>
    <w:rPr>
      <w:sz w:val="21"/>
    </w:rPr>
  </w:style>
  <w:style w:type="paragraph" w:customStyle="1" w:styleId="47">
    <w:name w:val="Char Char1"/>
    <w:basedOn w:val="1"/>
    <w:qFormat/>
    <w:uiPriority w:val="0"/>
    <w:pPr>
      <w:adjustRightInd w:val="0"/>
      <w:spacing w:line="360" w:lineRule="atLeast"/>
      <w:jc w:val="left"/>
      <w:textAlignment w:val="baseline"/>
    </w:pPr>
    <w:rPr>
      <w:kern w:val="0"/>
    </w:rPr>
  </w:style>
  <w:style w:type="paragraph" w:customStyle="1" w:styleId="48">
    <w:name w:val="样式2"/>
    <w:basedOn w:val="1"/>
    <w:qFormat/>
    <w:uiPriority w:val="0"/>
    <w:pPr>
      <w:spacing w:line="360" w:lineRule="auto"/>
    </w:pPr>
    <w:rPr>
      <w:kern w:val="0"/>
      <w:sz w:val="28"/>
      <w:szCs w:val="20"/>
    </w:rPr>
  </w:style>
  <w:style w:type="paragraph" w:customStyle="1" w:styleId="49">
    <w:name w:val="Char Char Char"/>
    <w:basedOn w:val="1"/>
    <w:qFormat/>
    <w:uiPriority w:val="0"/>
    <w:pPr>
      <w:spacing w:line="360" w:lineRule="auto"/>
      <w:ind w:firstLine="200" w:firstLineChars="200"/>
    </w:pPr>
    <w:rPr>
      <w:rFonts w:ascii="宋体" w:hAnsi="宋体" w:cs="宋体"/>
    </w:rPr>
  </w:style>
  <w:style w:type="paragraph" w:customStyle="1" w:styleId="50">
    <w:name w:val="Char1"/>
    <w:basedOn w:val="1"/>
    <w:qFormat/>
    <w:uiPriority w:val="0"/>
  </w:style>
  <w:style w:type="paragraph" w:customStyle="1" w:styleId="51">
    <w:name w:val="Char1 Char"/>
    <w:basedOn w:val="1"/>
    <w:qFormat/>
    <w:uiPriority w:val="0"/>
    <w:pPr>
      <w:adjustRightInd w:val="0"/>
      <w:spacing w:line="360" w:lineRule="atLeast"/>
      <w:jc w:val="left"/>
      <w:textAlignment w:val="baseline"/>
    </w:pPr>
    <w:rPr>
      <w:kern w:val="0"/>
    </w:rPr>
  </w:style>
  <w:style w:type="paragraph" w:customStyle="1" w:styleId="52">
    <w:name w:val="默认段落字体 Para Char Char Char Char Char Char Char Char Char Char"/>
    <w:basedOn w:val="1"/>
    <w:qFormat/>
    <w:uiPriority w:val="0"/>
    <w:rPr>
      <w:sz w:val="21"/>
    </w:rPr>
  </w:style>
  <w:style w:type="paragraph" w:customStyle="1" w:styleId="5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4">
    <w:name w:val="表名"/>
    <w:basedOn w:val="1"/>
    <w:qFormat/>
    <w:uiPriority w:val="0"/>
    <w:pPr>
      <w:overflowPunct w:val="0"/>
      <w:spacing w:before="120"/>
      <w:jc w:val="center"/>
      <w:textAlignment w:val="baseline"/>
    </w:pPr>
    <w:rPr>
      <w:rFonts w:ascii="Arial" w:hAnsi="Arial" w:eastAsia="黑体"/>
      <w:sz w:val="21"/>
      <w:szCs w:val="21"/>
    </w:rPr>
  </w:style>
  <w:style w:type="paragraph" w:customStyle="1" w:styleId="55">
    <w:name w:val="Char1 Char Char Char Char Char Char Char Char Char"/>
    <w:basedOn w:val="1"/>
    <w:qFormat/>
    <w:uiPriority w:val="0"/>
    <w:rPr>
      <w:sz w:val="21"/>
    </w:rPr>
  </w:style>
  <w:style w:type="paragraph" w:customStyle="1" w:styleId="56">
    <w:name w:val="Char Char1 Char Char Char"/>
    <w:basedOn w:val="1"/>
    <w:qFormat/>
    <w:uiPriority w:val="0"/>
    <w:rPr>
      <w:sz w:val="21"/>
    </w:rPr>
  </w:style>
  <w:style w:type="paragraph" w:customStyle="1" w:styleId="57">
    <w:name w:val="Char Char Char Char2"/>
    <w:basedOn w:val="1"/>
    <w:qFormat/>
    <w:uiPriority w:val="0"/>
    <w:pPr>
      <w:adjustRightInd w:val="0"/>
      <w:spacing w:line="360" w:lineRule="auto"/>
    </w:pPr>
    <w:rPr>
      <w:kern w:val="0"/>
      <w:szCs w:val="20"/>
    </w:rPr>
  </w:style>
  <w:style w:type="paragraph" w:customStyle="1" w:styleId="58">
    <w:name w:val="修订1"/>
    <w:qFormat/>
    <w:uiPriority w:val="99"/>
    <w:rPr>
      <w:rFonts w:ascii="Times New Roman" w:hAnsi="Times New Roman" w:eastAsia="宋体" w:cs="Times New Roman"/>
      <w:kern w:val="2"/>
      <w:sz w:val="24"/>
      <w:szCs w:val="24"/>
      <w:lang w:val="en-US" w:eastAsia="zh-CN" w:bidi="ar-SA"/>
    </w:rPr>
  </w:style>
  <w:style w:type="paragraph" w:customStyle="1" w:styleId="59">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60">
    <w:name w:val="Char"/>
    <w:basedOn w:val="1"/>
    <w:qFormat/>
    <w:uiPriority w:val="0"/>
    <w:pPr>
      <w:adjustRightInd w:val="0"/>
      <w:spacing w:line="360" w:lineRule="auto"/>
    </w:pPr>
    <w:rPr>
      <w:kern w:val="0"/>
    </w:rPr>
  </w:style>
  <w:style w:type="paragraph" w:customStyle="1" w:styleId="61">
    <w:name w:val="Char Char11"/>
    <w:basedOn w:val="1"/>
    <w:qFormat/>
    <w:uiPriority w:val="0"/>
    <w:rPr>
      <w:sz w:val="21"/>
    </w:rPr>
  </w:style>
  <w:style w:type="paragraph" w:customStyle="1" w:styleId="62">
    <w:name w:val="正文报告"/>
    <w:basedOn w:val="1"/>
    <w:qFormat/>
    <w:uiPriority w:val="0"/>
    <w:pPr>
      <w:tabs>
        <w:tab w:val="left" w:pos="510"/>
      </w:tabs>
      <w:adjustRightInd w:val="0"/>
      <w:spacing w:line="460" w:lineRule="exact"/>
      <w:ind w:firstLine="482"/>
      <w:textAlignment w:val="baseline"/>
    </w:pPr>
    <w:rPr>
      <w:kern w:val="0"/>
      <w:szCs w:val="20"/>
    </w:rPr>
  </w:style>
  <w:style w:type="paragraph" w:customStyle="1" w:styleId="63">
    <w:name w:val="Char Char1 Char Char Char Char Char Char Char Char Char"/>
    <w:basedOn w:val="1"/>
    <w:qFormat/>
    <w:uiPriority w:val="0"/>
    <w:rPr>
      <w:sz w:val="21"/>
    </w:rPr>
  </w:style>
  <w:style w:type="paragraph" w:customStyle="1" w:styleId="64">
    <w:name w:val="Char Char"/>
    <w:basedOn w:val="1"/>
    <w:qFormat/>
    <w:uiPriority w:val="0"/>
    <w:pPr>
      <w:adjustRightInd w:val="0"/>
      <w:spacing w:line="360" w:lineRule="atLeast"/>
      <w:jc w:val="left"/>
      <w:textAlignment w:val="baseline"/>
    </w:pPr>
    <w:rPr>
      <w:kern w:val="0"/>
    </w:rPr>
  </w:style>
  <w:style w:type="paragraph" w:customStyle="1" w:styleId="65">
    <w:name w:val="1"/>
    <w:basedOn w:val="1"/>
    <w:qFormat/>
    <w:uiPriority w:val="0"/>
    <w:pPr>
      <w:adjustRightInd w:val="0"/>
      <w:spacing w:line="360" w:lineRule="atLeast"/>
      <w:jc w:val="left"/>
      <w:textAlignment w:val="baseline"/>
    </w:pPr>
    <w:rPr>
      <w:kern w:val="0"/>
    </w:rPr>
  </w:style>
  <w:style w:type="paragraph" w:styleId="66">
    <w:name w:val="List Paragraph"/>
    <w:basedOn w:val="4"/>
    <w:qFormat/>
    <w:uiPriority w:val="99"/>
    <w:pPr>
      <w:ind w:firstLine="420" w:firstLineChars="200"/>
    </w:pPr>
    <w:rPr>
      <w:sz w:val="21"/>
    </w:rPr>
  </w:style>
  <w:style w:type="character" w:customStyle="1" w:styleId="67">
    <w:name w:val="正文缩进 字符"/>
    <w:link w:val="8"/>
    <w:qFormat/>
    <w:uiPriority w:val="99"/>
    <w:rPr>
      <w:sz w:val="24"/>
    </w:rPr>
  </w:style>
  <w:style w:type="character" w:customStyle="1" w:styleId="68">
    <w:name w:val="纯文本 字符"/>
    <w:basedOn w:val="31"/>
    <w:link w:val="17"/>
    <w:qFormat/>
    <w:uiPriority w:val="0"/>
    <w:rPr>
      <w:rFonts w:ascii="宋体" w:hAnsi="Courier New"/>
      <w:kern w:val="2"/>
      <w:sz w:val="24"/>
    </w:rPr>
  </w:style>
  <w:style w:type="character" w:customStyle="1" w:styleId="69">
    <w:name w:val="标题 2 字符"/>
    <w:basedOn w:val="31"/>
    <w:link w:val="6"/>
    <w:qFormat/>
    <w:uiPriority w:val="0"/>
    <w:rPr>
      <w:rFonts w:ascii="宋体"/>
      <w:b/>
      <w:kern w:val="44"/>
      <w:sz w:val="28"/>
    </w:rPr>
  </w:style>
  <w:style w:type="character" w:customStyle="1" w:styleId="70">
    <w:name w:val="正文文本缩进 字符"/>
    <w:basedOn w:val="31"/>
    <w:link w:val="3"/>
    <w:qFormat/>
    <w:uiPriority w:val="0"/>
    <w:rPr>
      <w:rFonts w:ascii="宋体"/>
      <w:color w:val="0000FF"/>
      <w:sz w:val="24"/>
    </w:rPr>
  </w:style>
  <w:style w:type="paragraph" w:customStyle="1" w:styleId="71">
    <w:name w:val="正文文本首行缩进 21"/>
    <w:basedOn w:val="3"/>
    <w:qFormat/>
    <w:uiPriority w:val="0"/>
    <w:pPr>
      <w:ind w:firstLine="420" w:firstLineChars="200"/>
    </w:pPr>
  </w:style>
  <w:style w:type="paragraph" w:customStyle="1" w:styleId="72">
    <w:name w:val="列出段落1"/>
    <w:basedOn w:val="1"/>
    <w:qFormat/>
    <w:uiPriority w:val="0"/>
    <w:pPr>
      <w:ind w:firstLine="420" w:firstLineChars="200"/>
    </w:pPr>
    <w:rPr>
      <w:rFonts w:ascii="Calibri" w:hAnsi="Calibri" w:cs="Calibri"/>
      <w:sz w:val="21"/>
      <w:szCs w:val="21"/>
    </w:rPr>
  </w:style>
  <w:style w:type="paragraph" w:customStyle="1" w:styleId="73">
    <w:name w:val="正文_9_0"/>
    <w:next w:val="1"/>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74">
    <w:name w:val="标题 1_4"/>
    <w:basedOn w:val="4"/>
    <w:next w:val="4"/>
    <w:qFormat/>
    <w:uiPriority w:val="0"/>
    <w:pPr>
      <w:keepNext/>
      <w:keepLines/>
      <w:adjustRightInd w:val="0"/>
      <w:spacing w:line="360" w:lineRule="auto"/>
      <w:textAlignment w:val="baseline"/>
      <w:outlineLvl w:val="0"/>
    </w:pPr>
    <w:rPr>
      <w:rFonts w:ascii="宋体"/>
      <w:b/>
      <w:kern w:val="44"/>
      <w:sz w:val="32"/>
      <w:szCs w:val="20"/>
    </w:rPr>
  </w:style>
  <w:style w:type="paragraph" w:customStyle="1" w:styleId="75">
    <w:name w:val="正文缩进_0"/>
    <w:basedOn w:val="4"/>
    <w:qFormat/>
    <w:uiPriority w:val="99"/>
    <w:pPr>
      <w:adjustRightInd w:val="0"/>
      <w:spacing w:line="360" w:lineRule="atLeast"/>
      <w:ind w:firstLine="420"/>
      <w:jc w:val="left"/>
      <w:textAlignment w:val="baseline"/>
    </w:pPr>
    <w:rPr>
      <w:kern w:val="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jpeg"/><Relationship Id="rId16" Type="http://schemas.openxmlformats.org/officeDocument/2006/relationships/image" Target="media/image3.jpeg"/><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79C636-C238-4DD5-B91E-C7D80A84CBB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9112</Words>
  <Characters>9597</Characters>
  <Paragraphs>875</Paragraphs>
  <TotalTime>4</TotalTime>
  <ScaleCrop>false</ScaleCrop>
  <LinksUpToDate>false</LinksUpToDate>
  <CharactersWithSpaces>9902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2023-12-15T12:45:00Z</dcterms:created>
  <dc:creator>鱼</dc:creator>
  <cp:lastModifiedBy>陈永平</cp:lastModifiedBy>
  <cp:lastPrinted>2012-03-08T00:30:00Z</cp:lastPrinted>
  <dcterms:modified xsi:type="dcterms:W3CDTF">2024-12-13T00:37:23Z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e5edeb64cf244ff8af6f9d1de55966ad_23</vt:lpwstr>
  </property>
</Properties>
</file>