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tbl>
      <w:tblPr>
        <w:tblStyle w:val="12"/>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40"/>
      </w:tblGrid>
      <w:tr w14:paraId="4BF1C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0" w:hRule="atLeast"/>
        </w:trPr>
        <w:tc>
          <w:tcPr>
            <w:tcW w:w="9540" w:type="dxa"/>
          </w:tcPr>
          <w:p w14:paraId="7EA4C9F3">
            <w:pPr>
              <w:adjustRightInd w:val="0"/>
              <w:snapToGrid w:val="0"/>
              <w:spacing w:line="440" w:lineRule="exact"/>
              <w:ind w:firstLine="420" w:firstLineChars="200"/>
              <w:rPr>
                <w:rFonts w:asciiTheme="minorEastAsia" w:hAnsiTheme="minorEastAsia" w:eastAsiaTheme="minorEastAsia"/>
                <w:b/>
                <w:szCs w:val="21"/>
              </w:rPr>
            </w:pPr>
            <w:r>
              <w:rPr>
                <w:rFonts w:asciiTheme="minorEastAsia" w:hAnsiTheme="minorEastAsia" w:eastAsiaTheme="minorEastAsia"/>
                <w:b/>
                <w:szCs w:val="21"/>
              </w:rPr>
              <w:t>一、工程概况：</w:t>
            </w:r>
          </w:p>
          <w:p w14:paraId="56C35AEB">
            <w:pPr>
              <w:numPr>
                <w:ilvl w:val="0"/>
                <w:numId w:val="1"/>
              </w:numPr>
              <w:adjustRightInd w:val="0"/>
              <w:snapToGrid w:val="0"/>
              <w:spacing w:line="440" w:lineRule="exact"/>
              <w:ind w:left="0" w:leftChars="0" w:firstLine="420" w:firstLineChars="200"/>
              <w:rPr>
                <w:rFonts w:hint="eastAsia" w:eastAsia="宋体" w:asciiTheme="minorEastAsia" w:hAnsiTheme="minorEastAsia"/>
                <w:szCs w:val="21"/>
                <w:lang w:eastAsia="zh-CN"/>
              </w:rPr>
            </w:pPr>
            <w:r>
              <w:rPr>
                <w:rFonts w:asciiTheme="minorEastAsia" w:hAnsiTheme="minorEastAsia" w:eastAsiaTheme="minorEastAsia"/>
                <w:szCs w:val="21"/>
              </w:rPr>
              <w:t>工程名称：</w:t>
            </w:r>
            <w:r>
              <w:rPr>
                <w:rFonts w:hint="eastAsia"/>
                <w:sz w:val="21"/>
                <w:szCs w:val="21"/>
              </w:rPr>
              <w:t>宁波石化开发区岚山动力中心项目</w:t>
            </w:r>
            <w:r>
              <w:rPr>
                <w:rFonts w:hint="eastAsia"/>
                <w:sz w:val="21"/>
                <w:szCs w:val="21"/>
                <w:highlight w:val="none"/>
              </w:rPr>
              <w:t>一期工程</w:t>
            </w:r>
            <w:r>
              <w:rPr>
                <w:rFonts w:hint="eastAsia" w:ascii="Times New Roman" w:hAnsi="Times New Roman" w:cs="Times New Roman"/>
                <w:sz w:val="21"/>
                <w:szCs w:val="21"/>
                <w:lang w:val="en-US" w:eastAsia="zh-CN"/>
              </w:rPr>
              <w:t>全厂安装工程施工</w:t>
            </w:r>
            <w:r>
              <w:rPr>
                <w:rFonts w:hint="eastAsia"/>
                <w:sz w:val="21"/>
                <w:szCs w:val="21"/>
                <w:lang w:eastAsia="zh-CN"/>
              </w:rPr>
              <w:t>。</w:t>
            </w:r>
          </w:p>
          <w:p w14:paraId="0F773BBF">
            <w:pPr>
              <w:numPr>
                <w:ilvl w:val="0"/>
                <w:numId w:val="1"/>
              </w:numPr>
              <w:adjustRightInd w:val="0"/>
              <w:snapToGrid w:val="0"/>
              <w:spacing w:line="440" w:lineRule="exact"/>
              <w:ind w:left="0" w:leftChars="0" w:firstLine="420" w:firstLineChars="200"/>
              <w:rPr>
                <w:rFonts w:hint="eastAsia" w:eastAsia="宋体"/>
                <w:sz w:val="21"/>
                <w:szCs w:val="21"/>
                <w:lang w:val="zh-CN"/>
              </w:rPr>
            </w:pPr>
            <w:r>
              <w:rPr>
                <w:rFonts w:asciiTheme="minorEastAsia" w:hAnsiTheme="minorEastAsia" w:eastAsiaTheme="minorEastAsia"/>
                <w:szCs w:val="21"/>
              </w:rPr>
              <w:t>工程</w:t>
            </w:r>
            <w:r>
              <w:rPr>
                <w:rFonts w:hint="eastAsia" w:eastAsia="宋体"/>
                <w:sz w:val="21"/>
                <w:szCs w:val="21"/>
              </w:rPr>
              <w:t>地点：</w:t>
            </w:r>
            <w:r>
              <w:rPr>
                <w:rFonts w:hint="eastAsia" w:ascii="Times New Roman" w:hAnsi="Times New Roman" w:eastAsia="宋体" w:cs="Times New Roman"/>
                <w:sz w:val="21"/>
                <w:szCs w:val="21"/>
                <w:lang w:val="zh-CN"/>
              </w:rPr>
              <w:t>宁波市镇海区泥螺山北侧区域（泥螺山围垦区内海创路东侧、海蓝路南侧、镇海电厂煤机搬迁项目西侧）</w:t>
            </w:r>
            <w:r>
              <w:rPr>
                <w:rFonts w:hint="eastAsia" w:eastAsia="宋体"/>
                <w:sz w:val="21"/>
                <w:szCs w:val="21"/>
                <w:lang w:val="zh-CN"/>
              </w:rPr>
              <w:t>。</w:t>
            </w:r>
          </w:p>
          <w:p w14:paraId="7B6DA446">
            <w:pPr>
              <w:numPr>
                <w:ilvl w:val="0"/>
                <w:numId w:val="1"/>
              </w:numPr>
              <w:adjustRightInd w:val="0"/>
              <w:snapToGrid w:val="0"/>
              <w:spacing w:line="440" w:lineRule="exact"/>
              <w:ind w:left="0" w:leftChars="0" w:firstLine="420" w:firstLineChars="200"/>
              <w:rPr>
                <w:rFonts w:hint="default" w:eastAsia="宋体"/>
                <w:sz w:val="21"/>
                <w:szCs w:val="21"/>
                <w:highlight w:val="none"/>
                <w:lang w:val="en-US" w:eastAsia="zh-CN"/>
              </w:rPr>
            </w:pPr>
            <w:r>
              <w:rPr>
                <w:rFonts w:hint="eastAsia" w:eastAsia="宋体"/>
                <w:sz w:val="21"/>
                <w:szCs w:val="21"/>
                <w:highlight w:val="none"/>
                <w:lang w:val="zh-CN"/>
              </w:rPr>
              <w:t>工程规模：</w:t>
            </w:r>
            <w:r>
              <w:rPr>
                <w:rFonts w:hint="eastAsia" w:ascii="Times New Roman" w:hAnsi="Times New Roman" w:eastAsia="宋体" w:cs="Times New Roman"/>
                <w:sz w:val="21"/>
                <w:szCs w:val="21"/>
                <w:lang w:val="zh-CN"/>
              </w:rPr>
              <w:t>建设规模及主要建设内容</w:t>
            </w:r>
            <w:r>
              <w:rPr>
                <w:rFonts w:hint="eastAsia" w:ascii="Times New Roman" w:hAnsi="Times New Roman" w:eastAsia="宋体" w:cs="Times New Roman"/>
                <w:sz w:val="21"/>
                <w:szCs w:val="21"/>
                <w:lang w:val="en-US" w:eastAsia="zh-CN"/>
              </w:rPr>
              <w:t>为</w:t>
            </w:r>
            <w:r>
              <w:rPr>
                <w:rFonts w:hint="eastAsia" w:ascii="Times New Roman" w:hAnsi="Times New Roman" w:eastAsia="宋体" w:cs="Times New Roman"/>
                <w:sz w:val="21"/>
                <w:szCs w:val="21"/>
                <w:lang w:val="zh-CN"/>
              </w:rPr>
              <w:t>项目新建2台1000t/h 级 高温超高压燃煤锅炉、</w:t>
            </w:r>
            <w:r>
              <w:rPr>
                <w:rFonts w:hint="eastAsia" w:cs="Times New Roman"/>
                <w:sz w:val="21"/>
                <w:szCs w:val="21"/>
                <w:lang w:val="en-US" w:eastAsia="zh-CN"/>
              </w:rPr>
              <w:t>2</w:t>
            </w:r>
            <w:r>
              <w:rPr>
                <w:rFonts w:hint="eastAsia" w:ascii="Times New Roman" w:hAnsi="Times New Roman" w:eastAsia="宋体" w:cs="Times New Roman"/>
                <w:sz w:val="21"/>
                <w:szCs w:val="21"/>
                <w:lang w:val="zh-CN"/>
              </w:rPr>
              <w:t>台 410t/h级高温超高压天然气锅炉、2台60MW 级抽汽背压式汽轮发电机组，配套建设厂外蒸汽、天然气、补给水管线和进厂道路</w:t>
            </w:r>
            <w:r>
              <w:rPr>
                <w:rFonts w:hint="eastAsia" w:eastAsia="宋体"/>
                <w:sz w:val="21"/>
                <w:szCs w:val="21"/>
                <w:highlight w:val="none"/>
                <w:lang w:val="en-US" w:eastAsia="zh-CN"/>
              </w:rPr>
              <w:t>。</w:t>
            </w:r>
          </w:p>
          <w:p w14:paraId="5F4003BC">
            <w:pPr>
              <w:autoSpaceDE w:val="0"/>
              <w:autoSpaceDN w:val="0"/>
              <w:adjustRightInd w:val="0"/>
              <w:snapToGrid w:val="0"/>
              <w:spacing w:line="440" w:lineRule="exact"/>
              <w:ind w:right="100" w:rightChars="48" w:firstLine="411" w:firstLineChars="196"/>
              <w:rPr>
                <w:rFonts w:asciiTheme="minorEastAsia" w:hAnsiTheme="minorEastAsia" w:eastAsiaTheme="minorEastAsia"/>
                <w:szCs w:val="21"/>
              </w:rPr>
            </w:pPr>
            <w:r>
              <w:rPr>
                <w:rFonts w:asciiTheme="minorEastAsia" w:hAnsiTheme="minorEastAsia" w:eastAsiaTheme="minorEastAsia"/>
                <w:b/>
                <w:szCs w:val="21"/>
              </w:rPr>
              <w:t>二</w:t>
            </w:r>
            <w:r>
              <w:rPr>
                <w:rFonts w:hint="eastAsia" w:asciiTheme="minorEastAsia" w:hAnsiTheme="minorEastAsia" w:eastAsiaTheme="minorEastAsia"/>
                <w:b/>
                <w:szCs w:val="21"/>
              </w:rPr>
              <w:t>、</w:t>
            </w:r>
            <w:r>
              <w:rPr>
                <w:rFonts w:asciiTheme="minorEastAsia" w:hAnsiTheme="minorEastAsia" w:eastAsiaTheme="minorEastAsia"/>
                <w:b/>
                <w:szCs w:val="21"/>
              </w:rPr>
              <w:t>编制范围</w:t>
            </w:r>
          </w:p>
          <w:p w14:paraId="1EF2640B">
            <w:pPr>
              <w:adjustRightInd w:val="0"/>
              <w:snapToGrid w:val="0"/>
              <w:spacing w:line="440" w:lineRule="exact"/>
              <w:ind w:firstLine="420" w:firstLineChars="200"/>
              <w:rPr>
                <w:rFonts w:hint="eastAsia" w:eastAsia="宋体"/>
                <w:sz w:val="21"/>
                <w:szCs w:val="21"/>
                <w:lang w:val="zh-CN"/>
              </w:rPr>
            </w:pPr>
            <w:r>
              <w:rPr>
                <w:rFonts w:hint="eastAsia" w:eastAsia="宋体"/>
                <w:sz w:val="21"/>
                <w:szCs w:val="21"/>
                <w:lang w:val="zh-CN"/>
              </w:rPr>
              <w:t>本次编制范围</w:t>
            </w:r>
            <w:r>
              <w:rPr>
                <w:rFonts w:hint="eastAsia" w:eastAsia="宋体"/>
                <w:sz w:val="21"/>
                <w:szCs w:val="21"/>
                <w:lang w:val="en-US" w:eastAsia="zh-CN"/>
              </w:rPr>
              <w:t>具</w:t>
            </w:r>
            <w:r>
              <w:rPr>
                <w:rFonts w:hint="eastAsia" w:eastAsia="宋体"/>
                <w:sz w:val="21"/>
                <w:szCs w:val="21"/>
                <w:lang w:val="zh-CN"/>
              </w:rPr>
              <w:t>体详见招标文件技术标准和要求、招标图纸及工程量清单。</w:t>
            </w:r>
          </w:p>
          <w:p w14:paraId="7C126B34">
            <w:pPr>
              <w:autoSpaceDE w:val="0"/>
              <w:autoSpaceDN w:val="0"/>
              <w:adjustRightInd w:val="0"/>
              <w:snapToGrid w:val="0"/>
              <w:spacing w:line="440" w:lineRule="exact"/>
              <w:ind w:right="100" w:rightChars="48" w:firstLine="411" w:firstLineChars="196"/>
              <w:rPr>
                <w:rFonts w:asciiTheme="minorEastAsia" w:hAnsiTheme="minorEastAsia" w:eastAsiaTheme="minorEastAsia"/>
                <w:b/>
                <w:szCs w:val="21"/>
              </w:rPr>
            </w:pPr>
            <w:r>
              <w:rPr>
                <w:rFonts w:asciiTheme="minorEastAsia" w:hAnsiTheme="minorEastAsia" w:eastAsiaTheme="minorEastAsia"/>
                <w:b/>
                <w:szCs w:val="21"/>
              </w:rPr>
              <w:t>三、编制依据</w:t>
            </w:r>
          </w:p>
          <w:p w14:paraId="342F3701">
            <w:pPr>
              <w:numPr>
                <w:ilvl w:val="0"/>
                <w:numId w:val="2"/>
              </w:numPr>
              <w:adjustRightInd w:val="0"/>
              <w:snapToGrid w:val="0"/>
              <w:spacing w:line="440" w:lineRule="exact"/>
              <w:ind w:left="0" w:leftChars="0" w:firstLine="420" w:firstLineChars="200"/>
              <w:rPr>
                <w:rFonts w:hint="eastAsia" w:asciiTheme="minorEastAsia" w:hAnsiTheme="minorEastAsia" w:eastAsiaTheme="minorEastAsia"/>
                <w:color w:val="000000" w:themeColor="text1"/>
                <w:szCs w:val="21"/>
                <w:highlight w:val="none"/>
                <w:lang w:eastAsia="zh-CN"/>
                <w14:textFill>
                  <w14:solidFill>
                    <w14:schemeClr w14:val="tx1"/>
                  </w14:solidFill>
                </w14:textFill>
              </w:rPr>
            </w:pPr>
            <w:r>
              <w:rPr>
                <w:rFonts w:hint="eastAsia"/>
                <w:szCs w:val="21"/>
              </w:rPr>
              <w:t>招标文件、招标图纸及技术标准和要求</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w:t>
            </w:r>
          </w:p>
          <w:p w14:paraId="5E8F4850">
            <w:pPr>
              <w:numPr>
                <w:ilvl w:val="0"/>
                <w:numId w:val="2"/>
              </w:numPr>
              <w:adjustRightInd w:val="0"/>
              <w:snapToGrid w:val="0"/>
              <w:spacing w:line="440" w:lineRule="exact"/>
              <w:ind w:left="0" w:leftChars="0" w:firstLine="420" w:firstLineChars="200"/>
              <w:rPr>
                <w:rFonts w:hint="eastAsia" w:asciiTheme="minorEastAsia" w:hAnsiTheme="minorEastAsia" w:eastAsiaTheme="minorEastAsia"/>
                <w:color w:val="000000" w:themeColor="text1"/>
                <w:szCs w:val="21"/>
                <w:highlight w:val="none"/>
                <w:lang w:eastAsia="zh-CN"/>
                <w14:textFill>
                  <w14:solidFill>
                    <w14:schemeClr w14:val="tx1"/>
                  </w14:solidFill>
                </w14:textFill>
              </w:rPr>
            </w:pP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中国能源建设集团浙江省电力设计院有限公司编制的宁波石化开发区岚山动力中心项目一期工程初步设计</w:t>
            </w:r>
            <w:r>
              <w:rPr>
                <w:rFonts w:hint="eastAsia" w:cs="Times New Roman" w:asciiTheme="minorEastAsia" w:hAnsiTheme="minorEastAsia" w:eastAsiaTheme="minorEastAsia"/>
                <w:color w:val="000000" w:themeColor="text1"/>
                <w:szCs w:val="21"/>
                <w:highlight w:val="none"/>
                <w:lang w:val="en-US" w:eastAsia="zh-CN"/>
                <w14:textFill>
                  <w14:solidFill>
                    <w14:schemeClr w14:val="tx1"/>
                  </w14:solidFill>
                </w14:textFill>
              </w:rPr>
              <w:t>文件</w:t>
            </w:r>
            <w:r>
              <w:rPr>
                <w:rFonts w:hint="eastAsia" w:asciiTheme="minorEastAsia" w:hAnsiTheme="minorEastAsia" w:eastAsiaTheme="minorEastAsia"/>
                <w:color w:val="000000" w:themeColor="text1"/>
                <w:szCs w:val="21"/>
                <w:highlight w:val="none"/>
                <w:lang w:val="en-US" w:eastAsia="zh-CN"/>
                <w14:textFill>
                  <w14:solidFill>
                    <w14:schemeClr w14:val="tx1"/>
                  </w14:solidFill>
                </w14:textFill>
              </w:rPr>
              <w:t>。</w:t>
            </w:r>
          </w:p>
          <w:p w14:paraId="619F687C">
            <w:pPr>
              <w:numPr>
                <w:ilvl w:val="0"/>
                <w:numId w:val="2"/>
              </w:numPr>
              <w:adjustRightInd w:val="0"/>
              <w:snapToGrid w:val="0"/>
              <w:spacing w:line="440" w:lineRule="exact"/>
              <w:ind w:left="0" w:leftChars="0" w:firstLine="420" w:firstLineChars="200"/>
              <w:rPr>
                <w:rFonts w:hint="eastAsia" w:asciiTheme="minorEastAsia" w:hAnsiTheme="minorEastAsia" w:eastAsiaTheme="minorEastAsia"/>
                <w:color w:val="000000" w:themeColor="text1"/>
                <w:szCs w:val="21"/>
                <w:highlight w:val="none"/>
                <w:lang w:eastAsia="zh-CN"/>
                <w14:textFill>
                  <w14:solidFill>
                    <w14:schemeClr w14:val="tx1"/>
                  </w14:solidFill>
                </w14:textFill>
              </w:rPr>
            </w:pPr>
            <w:r>
              <w:rPr>
                <w:rFonts w:hint="eastAsia"/>
                <w:szCs w:val="21"/>
              </w:rPr>
              <w:t>《电力建设安装工程（概）预算定额》（2018年版）及使用说明及相应取费标准</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w:t>
            </w:r>
          </w:p>
          <w:p w14:paraId="0716F2BE">
            <w:pPr>
              <w:numPr>
                <w:ilvl w:val="0"/>
                <w:numId w:val="2"/>
              </w:numPr>
              <w:adjustRightInd w:val="0"/>
              <w:snapToGrid w:val="0"/>
              <w:spacing w:line="440" w:lineRule="exact"/>
              <w:ind w:left="0" w:leftChars="0" w:firstLine="420" w:firstLineChars="200"/>
              <w:rPr>
                <w:rFonts w:hint="default" w:cs="Times New Roman" w:asciiTheme="minorEastAsia" w:hAnsiTheme="minorEastAsia" w:eastAsiaTheme="minorEastAsia"/>
                <w:color w:val="000000" w:themeColor="text1"/>
                <w:szCs w:val="21"/>
                <w:lang w:val="en-US" w:eastAsia="zh-CN"/>
                <w14:textFill>
                  <w14:solidFill>
                    <w14:schemeClr w14:val="tx1"/>
                  </w14:solidFill>
                </w14:textFill>
              </w:rPr>
            </w:pPr>
            <w:r>
              <w:rPr>
                <w:rFonts w:hint="eastAsia"/>
                <w:szCs w:val="21"/>
              </w:rPr>
              <w:t>《火力发电工程建设预算编制与计算规定》（2018版）及其使用指南。</w:t>
            </w:r>
          </w:p>
          <w:p w14:paraId="07EB10BB">
            <w:pPr>
              <w:numPr>
                <w:ilvl w:val="0"/>
                <w:numId w:val="2"/>
              </w:numPr>
              <w:tabs>
                <w:tab w:val="left" w:pos="540"/>
              </w:tabs>
              <w:autoSpaceDE w:val="0"/>
              <w:autoSpaceDN w:val="0"/>
              <w:adjustRightInd w:val="0"/>
              <w:snapToGrid w:val="0"/>
              <w:spacing w:line="440" w:lineRule="exact"/>
              <w:ind w:left="0" w:leftChars="0" w:right="101" w:firstLine="420" w:firstLineChars="200"/>
              <w:jc w:val="left"/>
              <w:rPr>
                <w:rFonts w:hint="eastAsia" w:ascii="Times New Roman" w:hAnsi="Times New Roman" w:cs="Times New Roman"/>
                <w:szCs w:val="21"/>
              </w:rPr>
            </w:pPr>
            <w:r>
              <w:rPr>
                <w:rFonts w:hint="eastAsia"/>
                <w:szCs w:val="21"/>
              </w:rPr>
              <w:t>《电力建设工程装置性材料(2018年版) 综合预算价格。</w:t>
            </w:r>
          </w:p>
          <w:p w14:paraId="488B0B1F">
            <w:pPr>
              <w:numPr>
                <w:ilvl w:val="0"/>
                <w:numId w:val="2"/>
              </w:numPr>
              <w:tabs>
                <w:tab w:val="left" w:pos="540"/>
              </w:tabs>
              <w:autoSpaceDE w:val="0"/>
              <w:autoSpaceDN w:val="0"/>
              <w:adjustRightInd w:val="0"/>
              <w:snapToGrid w:val="0"/>
              <w:spacing w:line="440" w:lineRule="exact"/>
              <w:ind w:left="0" w:leftChars="0" w:right="101" w:firstLine="420" w:firstLineChars="200"/>
              <w:jc w:val="left"/>
              <w:rPr>
                <w:rFonts w:hint="eastAsia" w:ascii="Times New Roman" w:hAnsi="Times New Roman" w:cs="Times New Roman"/>
                <w:szCs w:val="21"/>
                <w:lang w:val="en-US" w:eastAsia="zh-CN"/>
              </w:rPr>
            </w:pPr>
            <w:r>
              <w:rPr>
                <w:rFonts w:hint="eastAsia" w:ascii="Times New Roman" w:hAnsi="Times New Roman" w:cs="Times New Roman"/>
                <w:szCs w:val="21"/>
              </w:rPr>
              <w:t>定额〔202</w:t>
            </w:r>
            <w:r>
              <w:rPr>
                <w:rFonts w:hint="eastAsia" w:ascii="Times New Roman" w:hAnsi="Times New Roman" w:cs="Times New Roman"/>
                <w:szCs w:val="21"/>
                <w:lang w:val="en-US" w:eastAsia="zh-CN"/>
              </w:rPr>
              <w:t>4</w:t>
            </w:r>
            <w:r>
              <w:rPr>
                <w:rFonts w:hint="eastAsia" w:ascii="Times New Roman" w:hAnsi="Times New Roman" w:cs="Times New Roman"/>
                <w:szCs w:val="21"/>
              </w:rPr>
              <w:t>〕</w:t>
            </w:r>
            <w:r>
              <w:rPr>
                <w:rFonts w:hint="eastAsia" w:ascii="Times New Roman" w:hAnsi="Times New Roman" w:cs="Times New Roman"/>
                <w:szCs w:val="21"/>
                <w:lang w:val="en-US" w:eastAsia="zh-CN"/>
              </w:rPr>
              <w:t>19</w:t>
            </w:r>
            <w:r>
              <w:rPr>
                <w:rFonts w:hint="eastAsia" w:ascii="Times New Roman" w:hAnsi="Times New Roman" w:cs="Times New Roman"/>
                <w:szCs w:val="21"/>
              </w:rPr>
              <w:t>号《电力工程造价与定额管理总站关于发布202</w:t>
            </w:r>
            <w:r>
              <w:rPr>
                <w:rFonts w:hint="eastAsia" w:ascii="Times New Roman" w:hAnsi="Times New Roman" w:cs="Times New Roman"/>
                <w:szCs w:val="21"/>
                <w:lang w:val="en-US" w:eastAsia="zh-CN"/>
              </w:rPr>
              <w:t>3</w:t>
            </w:r>
            <w:r>
              <w:rPr>
                <w:rFonts w:hint="eastAsia" w:ascii="Times New Roman" w:hAnsi="Times New Roman" w:cs="Times New Roman"/>
                <w:szCs w:val="21"/>
              </w:rPr>
              <w:t>年电力建设工程装置性材料综合信息价的通知》。</w:t>
            </w:r>
          </w:p>
          <w:p w14:paraId="5E3CE166">
            <w:pPr>
              <w:numPr>
                <w:ilvl w:val="0"/>
                <w:numId w:val="2"/>
              </w:numPr>
              <w:tabs>
                <w:tab w:val="left" w:pos="540"/>
              </w:tabs>
              <w:autoSpaceDE w:val="0"/>
              <w:autoSpaceDN w:val="0"/>
              <w:adjustRightInd w:val="0"/>
              <w:snapToGrid w:val="0"/>
              <w:spacing w:line="440" w:lineRule="exact"/>
              <w:ind w:left="0" w:leftChars="0" w:right="101" w:firstLine="420" w:firstLineChars="200"/>
              <w:jc w:val="left"/>
              <w:rPr>
                <w:rFonts w:hint="eastAsia"/>
              </w:rPr>
            </w:pPr>
            <w:r>
              <w:rPr>
                <w:rFonts w:hint="eastAsia" w:ascii="Times New Roman" w:hAnsi="Times New Roman" w:cs="Times New Roman"/>
                <w:szCs w:val="21"/>
                <w:lang w:val="en-US" w:eastAsia="zh-CN"/>
              </w:rPr>
              <w:t>定额〔2024〕1号《关于发布2018版电力建设工程概预算定额2023年度价格水平调整的通知》。</w:t>
            </w:r>
          </w:p>
          <w:p w14:paraId="2EE865FF">
            <w:pPr>
              <w:adjustRightInd w:val="0"/>
              <w:snapToGrid w:val="0"/>
              <w:spacing w:line="440" w:lineRule="exact"/>
              <w:ind w:firstLine="411" w:firstLineChars="196"/>
              <w:rPr>
                <w:rFonts w:asciiTheme="minorEastAsia" w:hAnsiTheme="minorEastAsia" w:eastAsiaTheme="minorEastAsia"/>
                <w:b/>
                <w:szCs w:val="21"/>
              </w:rPr>
            </w:pPr>
            <w:r>
              <w:rPr>
                <w:rFonts w:asciiTheme="minorEastAsia" w:hAnsiTheme="minorEastAsia" w:eastAsiaTheme="minorEastAsia"/>
                <w:b/>
                <w:szCs w:val="21"/>
              </w:rPr>
              <w:t>四、工程质量、工期、材料、施工等要求</w:t>
            </w:r>
            <w:r>
              <w:rPr>
                <w:rFonts w:hint="eastAsia" w:asciiTheme="minorEastAsia" w:hAnsiTheme="minorEastAsia" w:eastAsiaTheme="minorEastAsia"/>
                <w:b/>
                <w:szCs w:val="21"/>
              </w:rPr>
              <w:t>：</w:t>
            </w:r>
          </w:p>
          <w:p w14:paraId="061029CF">
            <w:pPr>
              <w:numPr>
                <w:ilvl w:val="0"/>
                <w:numId w:val="3"/>
              </w:numPr>
              <w:adjustRightInd w:val="0"/>
              <w:snapToGrid w:val="0"/>
              <w:spacing w:line="440" w:lineRule="exact"/>
              <w:ind w:left="0" w:leftChars="0" w:firstLine="420" w:firstLineChars="200"/>
              <w:rPr>
                <w:rFonts w:asciiTheme="minorEastAsia" w:hAnsiTheme="minorEastAsia" w:eastAsiaTheme="minorEastAsia"/>
                <w:szCs w:val="21"/>
              </w:rPr>
            </w:pPr>
            <w:r>
              <w:rPr>
                <w:rFonts w:asciiTheme="minorEastAsia" w:hAnsiTheme="minorEastAsia" w:eastAsiaTheme="minorEastAsia"/>
                <w:szCs w:val="21"/>
              </w:rPr>
              <w:t>工程质量：</w:t>
            </w:r>
            <w:r>
              <w:rPr>
                <w:rFonts w:hint="eastAsia" w:asciiTheme="minorEastAsia" w:hAnsiTheme="minorEastAsia" w:eastAsiaTheme="minorEastAsia"/>
                <w:szCs w:val="21"/>
              </w:rPr>
              <w:t>根据招标文件要求；</w:t>
            </w:r>
          </w:p>
          <w:p w14:paraId="530EA3C9">
            <w:pPr>
              <w:numPr>
                <w:ilvl w:val="0"/>
                <w:numId w:val="3"/>
              </w:numPr>
              <w:adjustRightInd w:val="0"/>
              <w:snapToGrid w:val="0"/>
              <w:spacing w:line="440" w:lineRule="exact"/>
              <w:ind w:left="0" w:leftChars="0" w:firstLine="420" w:firstLineChars="200"/>
              <w:rPr>
                <w:rFonts w:asciiTheme="minorEastAsia" w:hAnsiTheme="minorEastAsia" w:eastAsiaTheme="minorEastAsia"/>
                <w:szCs w:val="21"/>
              </w:rPr>
            </w:pPr>
            <w:r>
              <w:rPr>
                <w:rFonts w:asciiTheme="minorEastAsia" w:hAnsiTheme="minorEastAsia" w:eastAsiaTheme="minorEastAsia"/>
                <w:szCs w:val="21"/>
              </w:rPr>
              <w:t>工期：详见招标文件要求</w:t>
            </w:r>
            <w:r>
              <w:rPr>
                <w:rFonts w:hint="eastAsia" w:asciiTheme="minorEastAsia" w:hAnsiTheme="minorEastAsia" w:eastAsiaTheme="minorEastAsia"/>
                <w:szCs w:val="21"/>
              </w:rPr>
              <w:t>；</w:t>
            </w:r>
          </w:p>
          <w:p w14:paraId="659EB88A">
            <w:pPr>
              <w:numPr>
                <w:ilvl w:val="0"/>
                <w:numId w:val="3"/>
              </w:numPr>
              <w:adjustRightInd w:val="0"/>
              <w:snapToGrid w:val="0"/>
              <w:spacing w:line="440" w:lineRule="exact"/>
              <w:ind w:left="0" w:leftChars="0" w:firstLine="420" w:firstLineChars="200"/>
              <w:rPr>
                <w:rFonts w:hint="eastAsia" w:asciiTheme="minorEastAsia" w:hAnsiTheme="minorEastAsia" w:eastAsiaTheme="minorEastAsia"/>
                <w:szCs w:val="21"/>
                <w:lang w:eastAsia="zh-CN"/>
              </w:rPr>
            </w:pPr>
            <w:r>
              <w:rPr>
                <w:rFonts w:asciiTheme="minorEastAsia" w:hAnsiTheme="minorEastAsia" w:eastAsiaTheme="minorEastAsia"/>
                <w:szCs w:val="21"/>
              </w:rPr>
              <w:t>具体材料、施工要求详见</w:t>
            </w:r>
            <w:r>
              <w:rPr>
                <w:rFonts w:hint="eastAsia" w:asciiTheme="minorEastAsia" w:hAnsiTheme="minorEastAsia" w:eastAsiaTheme="minorEastAsia"/>
                <w:szCs w:val="21"/>
                <w:lang w:val="en-US" w:eastAsia="zh-CN"/>
              </w:rPr>
              <w:t>图纸</w:t>
            </w:r>
            <w:r>
              <w:rPr>
                <w:rFonts w:asciiTheme="minorEastAsia" w:hAnsiTheme="minorEastAsia" w:eastAsiaTheme="minorEastAsia"/>
                <w:szCs w:val="21"/>
              </w:rPr>
              <w:t>及招标文件技术规范中具体要求</w:t>
            </w:r>
            <w:r>
              <w:rPr>
                <w:rFonts w:hint="eastAsia" w:asciiTheme="minorEastAsia" w:hAnsiTheme="minorEastAsia" w:eastAsiaTheme="minorEastAsia"/>
                <w:szCs w:val="21"/>
                <w:lang w:eastAsia="zh-CN"/>
              </w:rPr>
              <w:t>；</w:t>
            </w:r>
          </w:p>
          <w:p w14:paraId="2C96A6E5">
            <w:pPr>
              <w:autoSpaceDE w:val="0"/>
              <w:autoSpaceDN w:val="0"/>
              <w:adjustRightInd w:val="0"/>
              <w:snapToGrid w:val="0"/>
              <w:spacing w:line="440" w:lineRule="exact"/>
              <w:ind w:right="100" w:rightChars="48" w:firstLine="411" w:firstLineChars="196"/>
              <w:rPr>
                <w:rFonts w:asciiTheme="minorEastAsia" w:hAnsiTheme="minorEastAsia" w:eastAsiaTheme="minorEastAsia"/>
                <w:b/>
                <w:szCs w:val="21"/>
              </w:rPr>
            </w:pPr>
            <w:r>
              <w:rPr>
                <w:rFonts w:hint="eastAsia" w:asciiTheme="minorEastAsia" w:hAnsiTheme="minorEastAsia" w:eastAsiaTheme="minorEastAsia"/>
                <w:b/>
                <w:szCs w:val="21"/>
              </w:rPr>
              <w:t>五</w:t>
            </w:r>
            <w:r>
              <w:rPr>
                <w:rFonts w:asciiTheme="minorEastAsia" w:hAnsiTheme="minorEastAsia" w:eastAsiaTheme="minorEastAsia"/>
                <w:b/>
                <w:szCs w:val="21"/>
              </w:rPr>
              <w:t>、</w:t>
            </w:r>
            <w:r>
              <w:rPr>
                <w:rFonts w:asciiTheme="minorEastAsia" w:hAnsiTheme="minorEastAsia" w:eastAsiaTheme="minorEastAsia"/>
                <w:b/>
                <w:szCs w:val="21"/>
                <w:lang w:val="zh-CN"/>
              </w:rPr>
              <w:t>安全</w:t>
            </w:r>
            <w:r>
              <w:rPr>
                <w:rFonts w:hint="eastAsia" w:asciiTheme="minorEastAsia" w:hAnsiTheme="minorEastAsia" w:eastAsiaTheme="minorEastAsia"/>
                <w:b/>
                <w:szCs w:val="21"/>
                <w:lang w:val="zh-CN"/>
              </w:rPr>
              <w:t>防护、</w:t>
            </w:r>
            <w:r>
              <w:rPr>
                <w:rFonts w:asciiTheme="minorEastAsia" w:hAnsiTheme="minorEastAsia" w:eastAsiaTheme="minorEastAsia"/>
                <w:b/>
                <w:szCs w:val="21"/>
                <w:lang w:val="zh-CN"/>
              </w:rPr>
              <w:t>文明施工</w:t>
            </w:r>
            <w:r>
              <w:rPr>
                <w:rFonts w:hint="eastAsia" w:asciiTheme="minorEastAsia" w:hAnsiTheme="minorEastAsia" w:eastAsiaTheme="minorEastAsia"/>
                <w:b/>
                <w:szCs w:val="21"/>
                <w:lang w:val="zh-CN"/>
              </w:rPr>
              <w:t>措施费用的取费计算基数和最低费率标准</w:t>
            </w:r>
          </w:p>
          <w:p w14:paraId="6590BB29">
            <w:pPr>
              <w:autoSpaceDE w:val="0"/>
              <w:autoSpaceDN w:val="0"/>
              <w:adjustRightInd w:val="0"/>
              <w:snapToGrid w:val="0"/>
              <w:spacing w:line="440" w:lineRule="exact"/>
              <w:ind w:right="100" w:rightChars="48" w:firstLine="411" w:firstLineChars="196"/>
              <w:rPr>
                <w:szCs w:val="21"/>
              </w:rPr>
            </w:pPr>
            <w:r>
              <w:rPr>
                <w:rFonts w:hint="eastAsia"/>
                <w:szCs w:val="21"/>
              </w:rPr>
              <w:t>安全文明施工费符合《火力发电工程建设预算编制与计算规定》(2018年版)的编制规定</w:t>
            </w:r>
            <w:r>
              <w:rPr>
                <w:rFonts w:hint="eastAsia" w:ascii="Times New Roman" w:hAnsi="Times New Roman" w:cs="Times New Roman"/>
                <w:szCs w:val="21"/>
              </w:rPr>
              <w:t>并符合</w:t>
            </w:r>
            <w:r>
              <w:rPr>
                <w:rFonts w:hint="eastAsia" w:ascii="Times New Roman" w:hAnsi="Times New Roman" w:cs="Times New Roman"/>
                <w:szCs w:val="21"/>
              </w:rPr>
              <w:t>定额2023年9号文《电力工程造价与定额管理总站关于</w:t>
            </w:r>
            <w:r>
              <w:rPr>
                <w:rFonts w:hint="eastAsia" w:ascii="Times New Roman" w:hAnsi="Times New Roman" w:cs="Times New Roman"/>
                <w:szCs w:val="21"/>
                <w:lang w:val="en-US" w:eastAsia="zh-CN"/>
              </w:rPr>
              <w:t>调整安装文明施工费</w:t>
            </w:r>
            <w:r>
              <w:rPr>
                <w:rFonts w:hint="eastAsia"/>
                <w:szCs w:val="21"/>
              </w:rPr>
              <w:t>的通知》的要求。投标人应根据项目实际情况合理计列文明施工及环境保护费、安全施工费等费用，如中标后招标人认为部分费用计列不合理，有权要求进行调整，但不调整合同总价。</w:t>
            </w:r>
          </w:p>
          <w:p w14:paraId="5A5533B3">
            <w:pPr>
              <w:autoSpaceDE w:val="0"/>
              <w:autoSpaceDN w:val="0"/>
              <w:adjustRightInd w:val="0"/>
              <w:snapToGrid w:val="0"/>
              <w:spacing w:line="440" w:lineRule="exact"/>
              <w:ind w:right="100" w:rightChars="48" w:firstLine="411" w:firstLineChars="196"/>
              <w:rPr>
                <w:rFonts w:asciiTheme="minorEastAsia" w:hAnsiTheme="minorEastAsia" w:eastAsiaTheme="minorEastAsia"/>
                <w:b/>
                <w:szCs w:val="21"/>
              </w:rPr>
            </w:pPr>
            <w:r>
              <w:rPr>
                <w:rFonts w:hint="eastAsia" w:asciiTheme="minorEastAsia" w:hAnsiTheme="minorEastAsia" w:eastAsiaTheme="minorEastAsia"/>
                <w:b/>
                <w:szCs w:val="21"/>
              </w:rPr>
              <w:t>六、税金计取要求：</w:t>
            </w:r>
          </w:p>
          <w:p w14:paraId="7414D74A">
            <w:pPr>
              <w:autoSpaceDE w:val="0"/>
              <w:autoSpaceDN w:val="0"/>
              <w:adjustRightInd w:val="0"/>
              <w:snapToGrid w:val="0"/>
              <w:spacing w:line="440" w:lineRule="exact"/>
              <w:ind w:right="100" w:rightChars="48" w:firstLine="411" w:firstLineChars="196"/>
              <w:rPr>
                <w:szCs w:val="21"/>
              </w:rPr>
            </w:pPr>
            <w:r>
              <w:rPr>
                <w:rFonts w:hint="eastAsia"/>
                <w:szCs w:val="21"/>
              </w:rPr>
              <w:t>建筑安装工程（含装置性材料</w:t>
            </w:r>
            <w:r>
              <w:rPr>
                <w:rFonts w:hint="eastAsia"/>
                <w:szCs w:val="21"/>
                <w:lang w:val="en-US" w:eastAsia="zh-CN"/>
              </w:rPr>
              <w:t>及其他项目费</w:t>
            </w:r>
            <w:r>
              <w:rPr>
                <w:rFonts w:hint="eastAsia"/>
                <w:szCs w:val="21"/>
              </w:rPr>
              <w:t>）按增值税税率9%计取，设备按增值税税率13%计取。</w:t>
            </w:r>
          </w:p>
          <w:p w14:paraId="048F53A2">
            <w:pPr>
              <w:autoSpaceDE w:val="0"/>
              <w:autoSpaceDN w:val="0"/>
              <w:adjustRightInd w:val="0"/>
              <w:snapToGrid w:val="0"/>
              <w:spacing w:line="440" w:lineRule="exact"/>
              <w:ind w:right="100" w:rightChars="48" w:firstLine="411" w:firstLineChars="196"/>
              <w:rPr>
                <w:rFonts w:asciiTheme="minorEastAsia" w:hAnsiTheme="minorEastAsia" w:eastAsiaTheme="minorEastAsia"/>
                <w:b/>
                <w:szCs w:val="21"/>
              </w:rPr>
            </w:pPr>
            <w:r>
              <w:rPr>
                <w:rFonts w:hint="eastAsia" w:asciiTheme="minorEastAsia" w:hAnsiTheme="minorEastAsia" w:eastAsiaTheme="minorEastAsia"/>
                <w:b/>
                <w:szCs w:val="21"/>
              </w:rPr>
              <w:t>七、招标人对品牌的特殊要求</w:t>
            </w:r>
          </w:p>
          <w:p w14:paraId="0338264A">
            <w:pPr>
              <w:autoSpaceDE w:val="0"/>
              <w:autoSpaceDN w:val="0"/>
              <w:adjustRightInd w:val="0"/>
              <w:snapToGrid w:val="0"/>
              <w:spacing w:line="440" w:lineRule="exact"/>
              <w:ind w:right="100" w:rightChars="48" w:firstLine="411" w:firstLineChars="196"/>
              <w:rPr>
                <w:szCs w:val="21"/>
              </w:rPr>
            </w:pPr>
            <w:r>
              <w:rPr>
                <w:rFonts w:hint="eastAsia"/>
                <w:szCs w:val="21"/>
              </w:rPr>
              <w:t>详见招标文件。</w:t>
            </w:r>
          </w:p>
          <w:p w14:paraId="24869CD4">
            <w:pPr>
              <w:autoSpaceDE w:val="0"/>
              <w:autoSpaceDN w:val="0"/>
              <w:adjustRightInd w:val="0"/>
              <w:snapToGrid w:val="0"/>
              <w:spacing w:line="440" w:lineRule="exact"/>
              <w:ind w:right="100" w:rightChars="48" w:firstLine="411" w:firstLineChars="196"/>
              <w:rPr>
                <w:rFonts w:asciiTheme="minorEastAsia" w:hAnsiTheme="minorEastAsia" w:eastAsiaTheme="minorEastAsia"/>
                <w:b/>
                <w:szCs w:val="21"/>
              </w:rPr>
            </w:pPr>
            <w:r>
              <w:rPr>
                <w:rFonts w:hint="eastAsia" w:asciiTheme="minorEastAsia" w:hAnsiTheme="minorEastAsia" w:eastAsiaTheme="minorEastAsia"/>
                <w:b/>
                <w:szCs w:val="21"/>
              </w:rPr>
              <w:t>八、其他需要说明的问题</w:t>
            </w:r>
          </w:p>
          <w:p w14:paraId="5D20FDF9">
            <w:pPr>
              <w:spacing w:line="400" w:lineRule="exact"/>
              <w:ind w:right="16" w:rightChars="8" w:firstLine="420" w:firstLineChars="200"/>
              <w:rPr>
                <w:rFonts w:asciiTheme="minorEastAsia" w:hAnsiTheme="minorEastAsia" w:eastAsiaTheme="minorEastAsia"/>
                <w:sz w:val="24"/>
              </w:rPr>
            </w:pPr>
            <w:r>
              <w:rPr>
                <w:rFonts w:hint="eastAsia"/>
                <w:szCs w:val="21"/>
              </w:rPr>
              <w:t>1</w:t>
            </w:r>
            <w:r>
              <w:rPr>
                <w:rFonts w:hint="eastAsia"/>
                <w:szCs w:val="21"/>
                <w:lang w:val="en-US" w:eastAsia="zh-CN"/>
              </w:rPr>
              <w:t>.</w:t>
            </w:r>
            <w:r>
              <w:rPr>
                <w:rFonts w:hint="eastAsia"/>
                <w:szCs w:val="21"/>
              </w:rPr>
              <w:t>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14:paraId="40CEF4B8">
            <w:pPr>
              <w:spacing w:line="400" w:lineRule="exact"/>
              <w:ind w:right="16" w:rightChars="8" w:firstLine="420" w:firstLineChars="200"/>
              <w:rPr>
                <w:szCs w:val="21"/>
              </w:rPr>
            </w:pPr>
            <w:r>
              <w:rPr>
                <w:rFonts w:hint="eastAsia"/>
                <w:szCs w:val="21"/>
              </w:rPr>
              <w:t>2</w:t>
            </w:r>
            <w:r>
              <w:rPr>
                <w:rFonts w:hint="eastAsia"/>
                <w:szCs w:val="21"/>
                <w:lang w:eastAsia="zh-CN"/>
              </w:rPr>
              <w:t>.</w:t>
            </w:r>
            <w:r>
              <w:rPr>
                <w:rFonts w:hint="eastAsia"/>
                <w:szCs w:val="21"/>
              </w:rPr>
              <w:t>本工程量清单应与招标文件中的投标人须知、合同条款、技术标准和要求及图纸等一起阅读和理解。</w:t>
            </w:r>
          </w:p>
          <w:p w14:paraId="12F1911D">
            <w:pPr>
              <w:spacing w:line="400" w:lineRule="exact"/>
              <w:ind w:right="16" w:rightChars="8" w:firstLine="420" w:firstLineChars="200"/>
              <w:rPr>
                <w:szCs w:val="21"/>
              </w:rPr>
            </w:pPr>
            <w:r>
              <w:rPr>
                <w:rFonts w:hint="eastAsia"/>
                <w:szCs w:val="21"/>
              </w:rPr>
              <w:t>3</w:t>
            </w:r>
            <w:r>
              <w:rPr>
                <w:rFonts w:hint="eastAsia"/>
                <w:szCs w:val="21"/>
                <w:lang w:eastAsia="zh-CN"/>
              </w:rPr>
              <w:t>.</w:t>
            </w:r>
            <w:r>
              <w:rPr>
                <w:rFonts w:hint="eastAsia"/>
                <w:szCs w:val="21"/>
              </w:rPr>
              <w:t>本工程量清单仅是投标报价的共同基础，实际工程计量和工程价款的支付应遵循合同条款的约定和</w:t>
            </w:r>
            <w:r>
              <w:rPr>
                <w:rFonts w:hint="eastAsia"/>
                <w:szCs w:val="21"/>
                <w:lang w:val="en-US" w:eastAsia="zh-CN"/>
              </w:rPr>
              <w:t>招标文件</w:t>
            </w:r>
            <w:r>
              <w:rPr>
                <w:rFonts w:hint="eastAsia"/>
                <w:szCs w:val="21"/>
              </w:rPr>
              <w:t>“技术标准和要求”的有关规定。不论施工图设计实际工程量和本工程量清单的工程量存在任何出入，当且仅当施工图设计改变初步设计时才执行合同规定的单项变更条款，否则本工程量清单的工程量和施工图实际工程量之间的差异不视为工程变更，在合同履行期间不作调整。</w:t>
            </w:r>
          </w:p>
          <w:p w14:paraId="70109DC1">
            <w:pPr>
              <w:spacing w:line="400" w:lineRule="exact"/>
              <w:ind w:right="16" w:rightChars="8" w:firstLine="420" w:firstLineChars="200"/>
              <w:rPr>
                <w:rFonts w:hint="default" w:ascii="Times New Roman" w:hAnsi="Times New Roman" w:cs="Times New Roman"/>
                <w:szCs w:val="21"/>
                <w:lang w:val="en-US" w:eastAsia="zh-CN"/>
              </w:rPr>
            </w:pPr>
            <w:r>
              <w:rPr>
                <w:rFonts w:hint="eastAsia" w:ascii="Times New Roman" w:hAnsi="Times New Roman" w:cs="Times New Roman"/>
                <w:szCs w:val="21"/>
              </w:rPr>
              <w:t>4</w:t>
            </w:r>
            <w:r>
              <w:rPr>
                <w:rFonts w:hint="eastAsia" w:ascii="Times New Roman" w:hAnsi="Times New Roman" w:cs="Times New Roman"/>
                <w:szCs w:val="21"/>
                <w:lang w:eastAsia="zh-CN"/>
              </w:rPr>
              <w:t>.</w:t>
            </w:r>
            <w:r>
              <w:rPr>
                <w:rFonts w:hint="eastAsia" w:ascii="Times New Roman" w:hAnsi="Times New Roman" w:cs="Times New Roman"/>
                <w:szCs w:val="21"/>
                <w:lang w:val="en-US" w:eastAsia="zh-CN"/>
              </w:rPr>
              <w:t>凡</w:t>
            </w:r>
            <w:bookmarkStart w:id="0" w:name="_Toc75261193"/>
            <w:r>
              <w:rPr>
                <w:rFonts w:hint="eastAsia" w:ascii="Times New Roman" w:hAnsi="Times New Roman" w:cs="Times New Roman"/>
                <w:szCs w:val="21"/>
                <w:lang w:val="en-US" w:eastAsia="zh-CN"/>
              </w:rPr>
              <w:t>招标文件招标范围和接口</w:t>
            </w:r>
            <w:bookmarkEnd w:id="0"/>
            <w:r>
              <w:rPr>
                <w:rFonts w:hint="eastAsia" w:ascii="Times New Roman" w:hAnsi="Times New Roman" w:cs="Times New Roman"/>
                <w:szCs w:val="21"/>
                <w:lang w:val="en-US" w:eastAsia="zh-CN"/>
              </w:rPr>
              <w:t>内容内的项目均包含在本清单费用内，无论清单是否列明均不做调整。</w:t>
            </w:r>
          </w:p>
          <w:p w14:paraId="46040FDB">
            <w:pPr>
              <w:spacing w:line="400" w:lineRule="exact"/>
              <w:ind w:right="16" w:rightChars="8" w:firstLine="420" w:firstLineChars="200"/>
              <w:rPr>
                <w:rFonts w:hint="eastAsia" w:ascii="Times New Roman" w:hAnsi="Times New Roman" w:cs="Times New Roman"/>
                <w:szCs w:val="21"/>
              </w:rPr>
            </w:pPr>
            <w:r>
              <w:rPr>
                <w:rFonts w:hint="eastAsia" w:ascii="Times New Roman" w:hAnsi="Times New Roman" w:cs="Times New Roman"/>
                <w:szCs w:val="21"/>
                <w:lang w:val="en-US" w:eastAsia="zh-CN"/>
              </w:rPr>
              <w:t>5.</w:t>
            </w:r>
            <w:r>
              <w:rPr>
                <w:rFonts w:hint="eastAsia" w:ascii="Times New Roman" w:hAnsi="Times New Roman" w:cs="Times New Roman"/>
                <w:szCs w:val="21"/>
              </w:rPr>
              <w:t>本标段所有室外管道安装费包含土方挖填及配套阀门井制安等。</w:t>
            </w:r>
          </w:p>
          <w:p w14:paraId="46E8CB5F">
            <w:pPr>
              <w:spacing w:line="400" w:lineRule="exact"/>
              <w:ind w:right="16" w:rightChars="8" w:firstLine="420" w:firstLineChars="200"/>
              <w:rPr>
                <w:rFonts w:hint="eastAsia" w:ascii="Times New Roman" w:hAnsi="Times New Roman" w:cs="Times New Roman"/>
                <w:szCs w:val="21"/>
              </w:rPr>
            </w:pPr>
            <w:r>
              <w:rPr>
                <w:rFonts w:hint="eastAsia" w:ascii="Times New Roman" w:hAnsi="Times New Roman" w:cs="Times New Roman"/>
                <w:szCs w:val="21"/>
                <w:lang w:val="en-US" w:eastAsia="zh-CN"/>
              </w:rPr>
              <w:t>6.</w:t>
            </w:r>
            <w:r>
              <w:rPr>
                <w:rFonts w:hint="eastAsia" w:ascii="Times New Roman" w:hAnsi="Times New Roman" w:cs="Times New Roman"/>
                <w:szCs w:val="21"/>
              </w:rPr>
              <w:t>本标段所有电缆安装费已包含电缆头采购安装费。</w:t>
            </w:r>
          </w:p>
          <w:p w14:paraId="7D5C9F90">
            <w:pPr>
              <w:spacing w:line="400" w:lineRule="exact"/>
              <w:ind w:right="16" w:rightChars="8" w:firstLine="420" w:firstLineChars="200"/>
              <w:rPr>
                <w:rFonts w:hint="eastAsia" w:ascii="Times New Roman" w:hAnsi="Times New Roman" w:cs="Times New Roman"/>
                <w:szCs w:val="21"/>
              </w:rPr>
            </w:pPr>
            <w:r>
              <w:rPr>
                <w:rFonts w:hint="eastAsia" w:ascii="Times New Roman" w:hAnsi="Times New Roman" w:cs="Times New Roman"/>
                <w:szCs w:val="21"/>
                <w:lang w:val="en-US" w:eastAsia="zh-CN"/>
              </w:rPr>
              <w:t>7.</w:t>
            </w:r>
            <w:r>
              <w:rPr>
                <w:rFonts w:hint="eastAsia" w:ascii="Times New Roman" w:hAnsi="Times New Roman" w:cs="Times New Roman"/>
                <w:szCs w:val="21"/>
              </w:rPr>
              <w:t>工程量清单说明未详尽之处参照招标图纸、招标文件、标准图集、国家和行业技术规范要求。</w:t>
            </w:r>
          </w:p>
          <w:p w14:paraId="321EA143">
            <w:pPr>
              <w:spacing w:line="400" w:lineRule="exact"/>
              <w:ind w:right="16" w:rightChars="8" w:firstLine="420" w:firstLineChars="200"/>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8.</w:t>
            </w:r>
            <w:r>
              <w:rPr>
                <w:rFonts w:hint="eastAsia" w:ascii="Times New Roman" w:hAnsi="Times New Roman" w:cs="Times New Roman"/>
                <w:szCs w:val="21"/>
              </w:rPr>
              <w:t>尽管上述说明没有提及，但在合同履行中对工程量清单存在争议之处，以本工程的相关设计院提供的必要书面依据和解释为准。</w:t>
            </w:r>
            <w:bookmarkStart w:id="1" w:name="_GoBack"/>
            <w:bookmarkEnd w:id="1"/>
          </w:p>
          <w:p w14:paraId="20E92B0A">
            <w:pPr>
              <w:pStyle w:val="16"/>
              <w:rPr>
                <w:rFonts w:hint="eastAsia" w:asciiTheme="minorEastAsia" w:hAnsiTheme="minorEastAsia" w:eastAsiaTheme="minorEastAsia"/>
                <w:szCs w:val="21"/>
                <w:lang w:val="en-US" w:eastAsia="zh-CN"/>
              </w:rPr>
            </w:pPr>
          </w:p>
          <w:p w14:paraId="3118CE79">
            <w:pPr>
              <w:pStyle w:val="16"/>
              <w:rPr>
                <w:rFonts w:hint="eastAsia" w:asciiTheme="minorEastAsia" w:hAnsiTheme="minorEastAsia" w:eastAsiaTheme="minorEastAsia"/>
                <w:szCs w:val="21"/>
                <w:lang w:val="en-US" w:eastAsia="zh-CN"/>
              </w:rPr>
            </w:pPr>
          </w:p>
          <w:p w14:paraId="6F57976E">
            <w:pPr>
              <w:pStyle w:val="16"/>
              <w:rPr>
                <w:rFonts w:hint="eastAsia" w:asciiTheme="minorEastAsia" w:hAnsiTheme="minorEastAsia" w:eastAsiaTheme="minorEastAsia"/>
                <w:szCs w:val="21"/>
                <w:lang w:val="en-US" w:eastAsia="zh-CN"/>
              </w:rPr>
            </w:pPr>
          </w:p>
          <w:p w14:paraId="1BBFDFF3">
            <w:pPr>
              <w:pStyle w:val="16"/>
              <w:rPr>
                <w:rFonts w:hint="eastAsia" w:asciiTheme="minorEastAsia" w:hAnsiTheme="minorEastAsia" w:eastAsiaTheme="minorEastAsia"/>
                <w:szCs w:val="21"/>
                <w:lang w:val="en-US" w:eastAsia="zh-CN"/>
              </w:rPr>
            </w:pPr>
          </w:p>
          <w:p w14:paraId="70D07835">
            <w:pPr>
              <w:pStyle w:val="16"/>
              <w:rPr>
                <w:rFonts w:hint="eastAsia" w:asciiTheme="minorEastAsia" w:hAnsiTheme="minorEastAsia" w:eastAsiaTheme="minorEastAsia"/>
                <w:szCs w:val="21"/>
                <w:lang w:val="en-US" w:eastAsia="zh-CN"/>
              </w:rPr>
            </w:pPr>
          </w:p>
          <w:p w14:paraId="57F97522">
            <w:pPr>
              <w:pStyle w:val="16"/>
              <w:rPr>
                <w:rFonts w:hint="eastAsia" w:asciiTheme="minorEastAsia" w:hAnsiTheme="minorEastAsia" w:eastAsiaTheme="minorEastAsia"/>
                <w:szCs w:val="21"/>
                <w:lang w:val="en-US" w:eastAsia="zh-CN"/>
              </w:rPr>
            </w:pPr>
          </w:p>
          <w:p w14:paraId="2F15D814">
            <w:pPr>
              <w:pStyle w:val="16"/>
              <w:rPr>
                <w:rFonts w:hint="eastAsia" w:asciiTheme="minorEastAsia" w:hAnsiTheme="minorEastAsia" w:eastAsiaTheme="minorEastAsia"/>
                <w:szCs w:val="21"/>
                <w:lang w:val="en-US" w:eastAsia="zh-CN"/>
              </w:rPr>
            </w:pPr>
          </w:p>
          <w:p w14:paraId="0526641C">
            <w:pPr>
              <w:pStyle w:val="16"/>
              <w:ind w:left="0" w:leftChars="0" w:firstLine="0" w:firstLineChars="0"/>
              <w:rPr>
                <w:rFonts w:hint="eastAsia" w:asciiTheme="minorEastAsia" w:hAnsiTheme="minorEastAsia" w:eastAsiaTheme="minorEastAsia"/>
                <w:szCs w:val="21"/>
                <w:lang w:val="en-US" w:eastAsia="zh-CN"/>
              </w:rPr>
            </w:pPr>
          </w:p>
          <w:p w14:paraId="3D6D1A01">
            <w:pPr>
              <w:pStyle w:val="16"/>
              <w:ind w:left="0" w:leftChars="0" w:firstLine="0" w:firstLineChars="0"/>
              <w:rPr>
                <w:rFonts w:hint="eastAsia" w:asciiTheme="minorEastAsia" w:hAnsiTheme="minorEastAsia" w:eastAsiaTheme="minorEastAsia"/>
                <w:szCs w:val="21"/>
                <w:lang w:val="en-US" w:eastAsia="zh-CN"/>
              </w:rPr>
            </w:pPr>
          </w:p>
          <w:p w14:paraId="783CB3D4">
            <w:pPr>
              <w:pStyle w:val="16"/>
              <w:ind w:left="0" w:leftChars="0" w:firstLine="0" w:firstLineChars="0"/>
              <w:rPr>
                <w:rFonts w:hint="eastAsia" w:asciiTheme="minorEastAsia" w:hAnsiTheme="minorEastAsia" w:eastAsiaTheme="minorEastAsia"/>
                <w:szCs w:val="21"/>
                <w:lang w:val="en-US" w:eastAsia="zh-CN"/>
              </w:rPr>
            </w:pPr>
          </w:p>
          <w:p w14:paraId="0E43DDCB">
            <w:pPr>
              <w:pStyle w:val="16"/>
              <w:rPr>
                <w:rFonts w:hint="eastAsia" w:asciiTheme="minorEastAsia" w:hAnsiTheme="minorEastAsia" w:eastAsiaTheme="minorEastAsia"/>
                <w:szCs w:val="21"/>
                <w:lang w:val="en-US" w:eastAsia="zh-CN"/>
              </w:rPr>
            </w:pPr>
          </w:p>
        </w:tc>
      </w:tr>
    </w:tbl>
    <w:p w14:paraId="642F89E4">
      <w:pPr>
        <w:spacing w:line="400" w:lineRule="exact"/>
        <w:ind w:right="315"/>
        <w:jc w:val="right"/>
      </w:pPr>
    </w:p>
    <w:sectPr>
      <w:headerReference r:id="rId3" w:type="default"/>
      <w:footerReference r:id="rId4" w:type="default"/>
      <w:footerReference r:id="rId5" w:type="even"/>
      <w:pgSz w:w="11906" w:h="16838"/>
      <w:pgMar w:top="1418" w:right="1418" w:bottom="1418" w:left="1418"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24F5A7">
    <w:pPr>
      <w:pStyle w:val="8"/>
      <w:framePr w:wrap="around" w:vAnchor="text" w:hAnchor="page" w:x="5830" w:y="9"/>
      <w:rPr>
        <w:rStyle w:val="14"/>
        <w:sz w:val="21"/>
        <w:szCs w:val="21"/>
      </w:rPr>
    </w:pPr>
    <w:r>
      <w:rPr>
        <w:sz w:val="21"/>
        <w:szCs w:val="21"/>
      </w:rPr>
      <w:fldChar w:fldCharType="begin"/>
    </w:r>
    <w:r>
      <w:rPr>
        <w:rStyle w:val="14"/>
        <w:sz w:val="21"/>
        <w:szCs w:val="21"/>
      </w:rPr>
      <w:instrText xml:space="preserve">PAGE  </w:instrText>
    </w:r>
    <w:r>
      <w:rPr>
        <w:sz w:val="21"/>
        <w:szCs w:val="21"/>
      </w:rPr>
      <w:fldChar w:fldCharType="separate"/>
    </w:r>
    <w:r>
      <w:rPr>
        <w:rStyle w:val="14"/>
        <w:sz w:val="21"/>
        <w:szCs w:val="21"/>
      </w:rPr>
      <w:t>7</w:t>
    </w:r>
    <w:r>
      <w:rPr>
        <w:sz w:val="21"/>
        <w:szCs w:val="21"/>
      </w:rPr>
      <w:fldChar w:fldCharType="end"/>
    </w:r>
  </w:p>
  <w:p w14:paraId="1483ABAA">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EAD77">
    <w:pPr>
      <w:pStyle w:val="8"/>
      <w:framePr w:wrap="around" w:vAnchor="text" w:hAnchor="margin" w:xAlign="center" w:y="1"/>
      <w:rPr>
        <w:rStyle w:val="14"/>
      </w:rPr>
    </w:pPr>
    <w:r>
      <w:fldChar w:fldCharType="begin"/>
    </w:r>
    <w:r>
      <w:rPr>
        <w:rStyle w:val="14"/>
      </w:rPr>
      <w:instrText xml:space="preserve">PAGE  </w:instrText>
    </w:r>
    <w:r>
      <w:fldChar w:fldCharType="end"/>
    </w:r>
  </w:p>
  <w:p w14:paraId="14B65844">
    <w:pPr>
      <w:pStyle w:val="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506193">
    <w:pPr>
      <w:pStyle w:val="9"/>
      <w:pBdr>
        <w:bottom w:val="none" w:color="auto" w:sz="0" w:space="0"/>
      </w:pBdr>
      <w:jc w:val="both"/>
      <w:rPr>
        <w:sz w:val="36"/>
        <w:szCs w:val="36"/>
      </w:rPr>
    </w:pPr>
  </w:p>
  <w:p w14:paraId="1B1C9D29">
    <w:pPr>
      <w:pStyle w:val="9"/>
      <w:pBdr>
        <w:bottom w:val="none" w:color="auto" w:sz="0" w:space="0"/>
      </w:pBdr>
      <w:rPr>
        <w:rFonts w:ascii="黑体" w:eastAsia="黑体"/>
        <w:sz w:val="36"/>
        <w:szCs w:val="36"/>
      </w:rPr>
    </w:pPr>
    <w:r>
      <w:rPr>
        <w:rFonts w:hint="eastAsia" w:ascii="黑体" w:eastAsia="黑体"/>
        <w:sz w:val="36"/>
        <w:szCs w:val="36"/>
      </w:rPr>
      <w:t>工程量清单编制说明</w:t>
    </w:r>
  </w:p>
  <w:p w14:paraId="62A134B8">
    <w:pPr>
      <w:pStyle w:val="9"/>
      <w:pBdr>
        <w:bottom w:val="none" w:color="auto" w:sz="0" w:space="0"/>
      </w:pBdr>
      <w:jc w:val="left"/>
      <w:rPr>
        <w:sz w:val="21"/>
        <w:szCs w:val="21"/>
      </w:rPr>
    </w:pPr>
    <w:r>
      <w:rPr>
        <w:rFonts w:hint="eastAsia"/>
        <w:sz w:val="21"/>
        <w:szCs w:val="21"/>
      </w:rPr>
      <w:t>工程名称：宁波石化开发区岚山动力中心项目一期工程</w:t>
    </w:r>
    <w:r>
      <w:rPr>
        <w:rFonts w:hint="eastAsia" w:ascii="Times New Roman" w:hAnsi="Times New Roman" w:cs="Times New Roman"/>
        <w:sz w:val="21"/>
        <w:szCs w:val="21"/>
        <w:lang w:val="en-US" w:eastAsia="zh-CN"/>
      </w:rPr>
      <w:t>全厂安装工程施工</w:t>
    </w:r>
    <w:r>
      <w:rPr>
        <w:rFonts w:hint="eastAsia"/>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A15B7B"/>
    <w:multiLevelType w:val="singleLevel"/>
    <w:tmpl w:val="BAA15B7B"/>
    <w:lvl w:ilvl="0" w:tentative="0">
      <w:start w:val="1"/>
      <w:numFmt w:val="decimal"/>
      <w:suff w:val="nothing"/>
      <w:lvlText w:val="%1．"/>
      <w:lvlJc w:val="left"/>
      <w:pPr>
        <w:ind w:left="0" w:firstLine="400"/>
      </w:pPr>
      <w:rPr>
        <w:rFonts w:hint="default"/>
      </w:rPr>
    </w:lvl>
  </w:abstractNum>
  <w:abstractNum w:abstractNumId="1">
    <w:nsid w:val="19AAB7EC"/>
    <w:multiLevelType w:val="singleLevel"/>
    <w:tmpl w:val="19AAB7EC"/>
    <w:lvl w:ilvl="0" w:tentative="0">
      <w:start w:val="1"/>
      <w:numFmt w:val="decimal"/>
      <w:suff w:val="nothing"/>
      <w:lvlText w:val="%1．"/>
      <w:lvlJc w:val="left"/>
      <w:pPr>
        <w:ind w:left="0" w:firstLine="400"/>
      </w:pPr>
      <w:rPr>
        <w:rFonts w:hint="default"/>
      </w:rPr>
    </w:lvl>
  </w:abstractNum>
  <w:abstractNum w:abstractNumId="2">
    <w:nsid w:val="5C2B7E6C"/>
    <w:multiLevelType w:val="singleLevel"/>
    <w:tmpl w:val="5C2B7E6C"/>
    <w:lvl w:ilvl="0" w:tentative="0">
      <w:start w:val="1"/>
      <w:numFmt w:val="decimal"/>
      <w:suff w:val="nothing"/>
      <w:lvlText w:val="%1．"/>
      <w:lvlJc w:val="left"/>
      <w:pPr>
        <w:ind w:left="0" w:firstLine="4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iMmJjMGUyMDNhMGI0MjllZTc4OTE3ODRjOTBjMWQifQ=="/>
  </w:docVars>
  <w:rsids>
    <w:rsidRoot w:val="00172A27"/>
    <w:rsid w:val="00000F35"/>
    <w:rsid w:val="00001A82"/>
    <w:rsid w:val="00006299"/>
    <w:rsid w:val="00007700"/>
    <w:rsid w:val="00013B2E"/>
    <w:rsid w:val="00014201"/>
    <w:rsid w:val="00014661"/>
    <w:rsid w:val="00017101"/>
    <w:rsid w:val="00022709"/>
    <w:rsid w:val="0003126B"/>
    <w:rsid w:val="0003774F"/>
    <w:rsid w:val="0004260D"/>
    <w:rsid w:val="0006147E"/>
    <w:rsid w:val="00064A7E"/>
    <w:rsid w:val="00067EE2"/>
    <w:rsid w:val="00077C1C"/>
    <w:rsid w:val="00077D4A"/>
    <w:rsid w:val="00082030"/>
    <w:rsid w:val="0008314F"/>
    <w:rsid w:val="000845F0"/>
    <w:rsid w:val="000860FC"/>
    <w:rsid w:val="00091FD9"/>
    <w:rsid w:val="000943D8"/>
    <w:rsid w:val="0009441F"/>
    <w:rsid w:val="000948D1"/>
    <w:rsid w:val="000953BD"/>
    <w:rsid w:val="00096F67"/>
    <w:rsid w:val="000A26EE"/>
    <w:rsid w:val="000A3DE5"/>
    <w:rsid w:val="000A5991"/>
    <w:rsid w:val="000A7349"/>
    <w:rsid w:val="000B4A61"/>
    <w:rsid w:val="000B79DE"/>
    <w:rsid w:val="000C7BF9"/>
    <w:rsid w:val="000D2956"/>
    <w:rsid w:val="000D48EF"/>
    <w:rsid w:val="000D515E"/>
    <w:rsid w:val="000E6E22"/>
    <w:rsid w:val="000F3921"/>
    <w:rsid w:val="000F7AB8"/>
    <w:rsid w:val="00102C9D"/>
    <w:rsid w:val="001043F5"/>
    <w:rsid w:val="00106138"/>
    <w:rsid w:val="001103D6"/>
    <w:rsid w:val="00115C62"/>
    <w:rsid w:val="00115E43"/>
    <w:rsid w:val="00123764"/>
    <w:rsid w:val="001252EE"/>
    <w:rsid w:val="00126892"/>
    <w:rsid w:val="001326EA"/>
    <w:rsid w:val="00133766"/>
    <w:rsid w:val="00144413"/>
    <w:rsid w:val="0014495C"/>
    <w:rsid w:val="001449BD"/>
    <w:rsid w:val="001466C8"/>
    <w:rsid w:val="001510D3"/>
    <w:rsid w:val="00152BD9"/>
    <w:rsid w:val="00163E55"/>
    <w:rsid w:val="0016680D"/>
    <w:rsid w:val="00167D16"/>
    <w:rsid w:val="00170D2A"/>
    <w:rsid w:val="00172A27"/>
    <w:rsid w:val="00174379"/>
    <w:rsid w:val="00174597"/>
    <w:rsid w:val="001828FE"/>
    <w:rsid w:val="00195317"/>
    <w:rsid w:val="00195A59"/>
    <w:rsid w:val="00196A67"/>
    <w:rsid w:val="00197060"/>
    <w:rsid w:val="001A0383"/>
    <w:rsid w:val="001A4215"/>
    <w:rsid w:val="001A5E9D"/>
    <w:rsid w:val="001A6500"/>
    <w:rsid w:val="001B0EC0"/>
    <w:rsid w:val="001B3962"/>
    <w:rsid w:val="001B77F5"/>
    <w:rsid w:val="001C189A"/>
    <w:rsid w:val="001C2217"/>
    <w:rsid w:val="001D749F"/>
    <w:rsid w:val="001D75BD"/>
    <w:rsid w:val="001E16D1"/>
    <w:rsid w:val="001E199B"/>
    <w:rsid w:val="001E70C2"/>
    <w:rsid w:val="001F0AB1"/>
    <w:rsid w:val="001F386D"/>
    <w:rsid w:val="00205CFE"/>
    <w:rsid w:val="00207960"/>
    <w:rsid w:val="00212022"/>
    <w:rsid w:val="00213E07"/>
    <w:rsid w:val="0021539C"/>
    <w:rsid w:val="00216249"/>
    <w:rsid w:val="00221940"/>
    <w:rsid w:val="002226CD"/>
    <w:rsid w:val="002230A9"/>
    <w:rsid w:val="00223A70"/>
    <w:rsid w:val="00227558"/>
    <w:rsid w:val="00231BAF"/>
    <w:rsid w:val="00232429"/>
    <w:rsid w:val="002338B0"/>
    <w:rsid w:val="0023409A"/>
    <w:rsid w:val="00242552"/>
    <w:rsid w:val="002427D6"/>
    <w:rsid w:val="00245EE5"/>
    <w:rsid w:val="00252E4E"/>
    <w:rsid w:val="00257D32"/>
    <w:rsid w:val="002644D5"/>
    <w:rsid w:val="00271B7D"/>
    <w:rsid w:val="00275441"/>
    <w:rsid w:val="002863B1"/>
    <w:rsid w:val="00287925"/>
    <w:rsid w:val="002A301B"/>
    <w:rsid w:val="002A7651"/>
    <w:rsid w:val="002B4327"/>
    <w:rsid w:val="002B5B7F"/>
    <w:rsid w:val="002C03D3"/>
    <w:rsid w:val="002C53C5"/>
    <w:rsid w:val="002D01E6"/>
    <w:rsid w:val="002D5306"/>
    <w:rsid w:val="002E2486"/>
    <w:rsid w:val="002E3B20"/>
    <w:rsid w:val="002E5F4F"/>
    <w:rsid w:val="002F0431"/>
    <w:rsid w:val="002F0CD4"/>
    <w:rsid w:val="002F17C3"/>
    <w:rsid w:val="002F768E"/>
    <w:rsid w:val="003047FC"/>
    <w:rsid w:val="003068DE"/>
    <w:rsid w:val="00312E23"/>
    <w:rsid w:val="00316033"/>
    <w:rsid w:val="00321037"/>
    <w:rsid w:val="003221E9"/>
    <w:rsid w:val="00322E3B"/>
    <w:rsid w:val="0033069A"/>
    <w:rsid w:val="00331B3E"/>
    <w:rsid w:val="00332803"/>
    <w:rsid w:val="003400AB"/>
    <w:rsid w:val="003455E2"/>
    <w:rsid w:val="0035340D"/>
    <w:rsid w:val="003541EC"/>
    <w:rsid w:val="003653DD"/>
    <w:rsid w:val="00366238"/>
    <w:rsid w:val="003753F7"/>
    <w:rsid w:val="0037610E"/>
    <w:rsid w:val="00380269"/>
    <w:rsid w:val="00383E45"/>
    <w:rsid w:val="003842DE"/>
    <w:rsid w:val="00384BDE"/>
    <w:rsid w:val="00386E2A"/>
    <w:rsid w:val="00394D56"/>
    <w:rsid w:val="00395C89"/>
    <w:rsid w:val="003A0F1D"/>
    <w:rsid w:val="003A52BF"/>
    <w:rsid w:val="003B0671"/>
    <w:rsid w:val="003B3313"/>
    <w:rsid w:val="003B3BEA"/>
    <w:rsid w:val="003B7923"/>
    <w:rsid w:val="003C6AC1"/>
    <w:rsid w:val="003C73B0"/>
    <w:rsid w:val="003D2DD9"/>
    <w:rsid w:val="003D6DEF"/>
    <w:rsid w:val="003E2159"/>
    <w:rsid w:val="003E305D"/>
    <w:rsid w:val="003E32B3"/>
    <w:rsid w:val="003E55C6"/>
    <w:rsid w:val="003E58A6"/>
    <w:rsid w:val="003E76FA"/>
    <w:rsid w:val="003F0E52"/>
    <w:rsid w:val="003F1F3A"/>
    <w:rsid w:val="003F2569"/>
    <w:rsid w:val="003F5C12"/>
    <w:rsid w:val="004022FB"/>
    <w:rsid w:val="00402EBD"/>
    <w:rsid w:val="004042E6"/>
    <w:rsid w:val="00405DA9"/>
    <w:rsid w:val="004061FA"/>
    <w:rsid w:val="00406E2C"/>
    <w:rsid w:val="00410009"/>
    <w:rsid w:val="00416293"/>
    <w:rsid w:val="004168E0"/>
    <w:rsid w:val="004202B2"/>
    <w:rsid w:val="0042381B"/>
    <w:rsid w:val="004256D1"/>
    <w:rsid w:val="00426715"/>
    <w:rsid w:val="00431B4C"/>
    <w:rsid w:val="004346F4"/>
    <w:rsid w:val="004356F8"/>
    <w:rsid w:val="0043651A"/>
    <w:rsid w:val="00440EFB"/>
    <w:rsid w:val="00451FD8"/>
    <w:rsid w:val="00452D94"/>
    <w:rsid w:val="004544CB"/>
    <w:rsid w:val="0045450E"/>
    <w:rsid w:val="00464B08"/>
    <w:rsid w:val="00470B79"/>
    <w:rsid w:val="00476029"/>
    <w:rsid w:val="004829A7"/>
    <w:rsid w:val="00483EDB"/>
    <w:rsid w:val="00484125"/>
    <w:rsid w:val="00487FFE"/>
    <w:rsid w:val="004A1973"/>
    <w:rsid w:val="004B7F55"/>
    <w:rsid w:val="004C3D87"/>
    <w:rsid w:val="004C5940"/>
    <w:rsid w:val="004D0804"/>
    <w:rsid w:val="004D106C"/>
    <w:rsid w:val="004D3F2A"/>
    <w:rsid w:val="004D4F8E"/>
    <w:rsid w:val="004D6E6A"/>
    <w:rsid w:val="004E0B17"/>
    <w:rsid w:val="004E1199"/>
    <w:rsid w:val="004E466D"/>
    <w:rsid w:val="004E6F92"/>
    <w:rsid w:val="004F1180"/>
    <w:rsid w:val="004F27AD"/>
    <w:rsid w:val="00505C0A"/>
    <w:rsid w:val="00507E15"/>
    <w:rsid w:val="00512D6C"/>
    <w:rsid w:val="005207CC"/>
    <w:rsid w:val="00525CED"/>
    <w:rsid w:val="005321E1"/>
    <w:rsid w:val="00532890"/>
    <w:rsid w:val="00534F89"/>
    <w:rsid w:val="00537A5F"/>
    <w:rsid w:val="00552DE7"/>
    <w:rsid w:val="005550E1"/>
    <w:rsid w:val="00557654"/>
    <w:rsid w:val="0056008B"/>
    <w:rsid w:val="0056125C"/>
    <w:rsid w:val="0056214A"/>
    <w:rsid w:val="005623A2"/>
    <w:rsid w:val="00565A97"/>
    <w:rsid w:val="00571BFD"/>
    <w:rsid w:val="005742AD"/>
    <w:rsid w:val="00575A1A"/>
    <w:rsid w:val="00577EC4"/>
    <w:rsid w:val="00581BAA"/>
    <w:rsid w:val="00590669"/>
    <w:rsid w:val="005A2E8A"/>
    <w:rsid w:val="005A3DBC"/>
    <w:rsid w:val="005A57F3"/>
    <w:rsid w:val="005B058A"/>
    <w:rsid w:val="005B1098"/>
    <w:rsid w:val="005B2875"/>
    <w:rsid w:val="005B336A"/>
    <w:rsid w:val="005C15C2"/>
    <w:rsid w:val="005C34D3"/>
    <w:rsid w:val="005C3F3E"/>
    <w:rsid w:val="005C52CB"/>
    <w:rsid w:val="005C7E67"/>
    <w:rsid w:val="005D2477"/>
    <w:rsid w:val="005D2873"/>
    <w:rsid w:val="005D6753"/>
    <w:rsid w:val="005D7556"/>
    <w:rsid w:val="005E071A"/>
    <w:rsid w:val="005E6E74"/>
    <w:rsid w:val="005F34A6"/>
    <w:rsid w:val="005F6FAD"/>
    <w:rsid w:val="00600216"/>
    <w:rsid w:val="006017AE"/>
    <w:rsid w:val="00602D7C"/>
    <w:rsid w:val="00607442"/>
    <w:rsid w:val="0061532F"/>
    <w:rsid w:val="00615CD3"/>
    <w:rsid w:val="00616B6B"/>
    <w:rsid w:val="006265E0"/>
    <w:rsid w:val="00635211"/>
    <w:rsid w:val="0063726E"/>
    <w:rsid w:val="00646097"/>
    <w:rsid w:val="006473FE"/>
    <w:rsid w:val="00647A87"/>
    <w:rsid w:val="0065742C"/>
    <w:rsid w:val="00661596"/>
    <w:rsid w:val="006630C1"/>
    <w:rsid w:val="00664D69"/>
    <w:rsid w:val="00670F7D"/>
    <w:rsid w:val="00673A81"/>
    <w:rsid w:val="00674601"/>
    <w:rsid w:val="0068158D"/>
    <w:rsid w:val="00683552"/>
    <w:rsid w:val="00684A9C"/>
    <w:rsid w:val="00685D98"/>
    <w:rsid w:val="00687E42"/>
    <w:rsid w:val="00691BE6"/>
    <w:rsid w:val="0069415F"/>
    <w:rsid w:val="006A06AC"/>
    <w:rsid w:val="006A5278"/>
    <w:rsid w:val="006A560D"/>
    <w:rsid w:val="006A6169"/>
    <w:rsid w:val="006C3E55"/>
    <w:rsid w:val="006D11AE"/>
    <w:rsid w:val="006D1D50"/>
    <w:rsid w:val="006D6472"/>
    <w:rsid w:val="006D6528"/>
    <w:rsid w:val="006D6E0A"/>
    <w:rsid w:val="006E33B7"/>
    <w:rsid w:val="006E4639"/>
    <w:rsid w:val="0070065E"/>
    <w:rsid w:val="00702497"/>
    <w:rsid w:val="00702620"/>
    <w:rsid w:val="007032BD"/>
    <w:rsid w:val="0070777C"/>
    <w:rsid w:val="00715685"/>
    <w:rsid w:val="00715CB5"/>
    <w:rsid w:val="00727C22"/>
    <w:rsid w:val="00741A58"/>
    <w:rsid w:val="00743DDE"/>
    <w:rsid w:val="00746F3F"/>
    <w:rsid w:val="007476DD"/>
    <w:rsid w:val="00752917"/>
    <w:rsid w:val="007657FB"/>
    <w:rsid w:val="0077044A"/>
    <w:rsid w:val="00770D46"/>
    <w:rsid w:val="0077460F"/>
    <w:rsid w:val="00777E16"/>
    <w:rsid w:val="00781FB7"/>
    <w:rsid w:val="007827F0"/>
    <w:rsid w:val="00785B03"/>
    <w:rsid w:val="00786464"/>
    <w:rsid w:val="0079133D"/>
    <w:rsid w:val="00791E83"/>
    <w:rsid w:val="007920F2"/>
    <w:rsid w:val="00794317"/>
    <w:rsid w:val="00795110"/>
    <w:rsid w:val="007977A1"/>
    <w:rsid w:val="007A3D53"/>
    <w:rsid w:val="007A4EF7"/>
    <w:rsid w:val="007B434B"/>
    <w:rsid w:val="007B465E"/>
    <w:rsid w:val="007B5BD1"/>
    <w:rsid w:val="007C1611"/>
    <w:rsid w:val="007C1915"/>
    <w:rsid w:val="007C29E7"/>
    <w:rsid w:val="007C507B"/>
    <w:rsid w:val="007C7370"/>
    <w:rsid w:val="007C7967"/>
    <w:rsid w:val="007D1344"/>
    <w:rsid w:val="007D3C1D"/>
    <w:rsid w:val="007E6975"/>
    <w:rsid w:val="007F25A3"/>
    <w:rsid w:val="007F7187"/>
    <w:rsid w:val="00800242"/>
    <w:rsid w:val="008119C4"/>
    <w:rsid w:val="008125E2"/>
    <w:rsid w:val="008126EE"/>
    <w:rsid w:val="00813186"/>
    <w:rsid w:val="0082351B"/>
    <w:rsid w:val="00830515"/>
    <w:rsid w:val="00830DA6"/>
    <w:rsid w:val="00833454"/>
    <w:rsid w:val="0083586A"/>
    <w:rsid w:val="00835E82"/>
    <w:rsid w:val="0083724D"/>
    <w:rsid w:val="00843012"/>
    <w:rsid w:val="0084530A"/>
    <w:rsid w:val="00846494"/>
    <w:rsid w:val="00850737"/>
    <w:rsid w:val="00853A57"/>
    <w:rsid w:val="008637EF"/>
    <w:rsid w:val="00864F54"/>
    <w:rsid w:val="0086621A"/>
    <w:rsid w:val="00866B21"/>
    <w:rsid w:val="008678A9"/>
    <w:rsid w:val="0087250F"/>
    <w:rsid w:val="00876725"/>
    <w:rsid w:val="0088013F"/>
    <w:rsid w:val="00883F58"/>
    <w:rsid w:val="00884B7E"/>
    <w:rsid w:val="0088636E"/>
    <w:rsid w:val="0089109A"/>
    <w:rsid w:val="0089291A"/>
    <w:rsid w:val="008A5503"/>
    <w:rsid w:val="008B0125"/>
    <w:rsid w:val="008B0412"/>
    <w:rsid w:val="008B08A7"/>
    <w:rsid w:val="008B574C"/>
    <w:rsid w:val="008B69E6"/>
    <w:rsid w:val="008C0197"/>
    <w:rsid w:val="008C1AEA"/>
    <w:rsid w:val="008C205B"/>
    <w:rsid w:val="008C2736"/>
    <w:rsid w:val="008D24AF"/>
    <w:rsid w:val="008D48FC"/>
    <w:rsid w:val="008E134F"/>
    <w:rsid w:val="008E20C3"/>
    <w:rsid w:val="008E32E9"/>
    <w:rsid w:val="008E6FDC"/>
    <w:rsid w:val="008F529B"/>
    <w:rsid w:val="008F5E4B"/>
    <w:rsid w:val="008F7D28"/>
    <w:rsid w:val="00912106"/>
    <w:rsid w:val="00915905"/>
    <w:rsid w:val="00925622"/>
    <w:rsid w:val="0092728F"/>
    <w:rsid w:val="0092784D"/>
    <w:rsid w:val="009278D9"/>
    <w:rsid w:val="00931D9D"/>
    <w:rsid w:val="0093319A"/>
    <w:rsid w:val="0094220E"/>
    <w:rsid w:val="009570EF"/>
    <w:rsid w:val="009571D3"/>
    <w:rsid w:val="00961855"/>
    <w:rsid w:val="009672BD"/>
    <w:rsid w:val="00967FC2"/>
    <w:rsid w:val="00970E9C"/>
    <w:rsid w:val="009846E5"/>
    <w:rsid w:val="00987629"/>
    <w:rsid w:val="00991F19"/>
    <w:rsid w:val="0099489F"/>
    <w:rsid w:val="009A7BF4"/>
    <w:rsid w:val="009B0AF1"/>
    <w:rsid w:val="009B5AA6"/>
    <w:rsid w:val="009C14A2"/>
    <w:rsid w:val="009C283F"/>
    <w:rsid w:val="009C525C"/>
    <w:rsid w:val="009C6C40"/>
    <w:rsid w:val="009D030D"/>
    <w:rsid w:val="009D2E5C"/>
    <w:rsid w:val="009D5403"/>
    <w:rsid w:val="009D74BA"/>
    <w:rsid w:val="009E46C7"/>
    <w:rsid w:val="009E6AF0"/>
    <w:rsid w:val="009F42B0"/>
    <w:rsid w:val="009F4B90"/>
    <w:rsid w:val="00A02769"/>
    <w:rsid w:val="00A04BB4"/>
    <w:rsid w:val="00A1083E"/>
    <w:rsid w:val="00A12F67"/>
    <w:rsid w:val="00A15CFD"/>
    <w:rsid w:val="00A24390"/>
    <w:rsid w:val="00A32938"/>
    <w:rsid w:val="00A33723"/>
    <w:rsid w:val="00A34CC9"/>
    <w:rsid w:val="00A404A7"/>
    <w:rsid w:val="00A40553"/>
    <w:rsid w:val="00A4776B"/>
    <w:rsid w:val="00A5226B"/>
    <w:rsid w:val="00A534A7"/>
    <w:rsid w:val="00A53657"/>
    <w:rsid w:val="00A538FB"/>
    <w:rsid w:val="00A55C90"/>
    <w:rsid w:val="00A61A76"/>
    <w:rsid w:val="00A651D7"/>
    <w:rsid w:val="00A70915"/>
    <w:rsid w:val="00A71ECB"/>
    <w:rsid w:val="00A73126"/>
    <w:rsid w:val="00AA1502"/>
    <w:rsid w:val="00AA43B0"/>
    <w:rsid w:val="00AA4DD2"/>
    <w:rsid w:val="00AA5158"/>
    <w:rsid w:val="00AB1BEF"/>
    <w:rsid w:val="00AB3CE8"/>
    <w:rsid w:val="00AB3DE1"/>
    <w:rsid w:val="00AB7E8A"/>
    <w:rsid w:val="00AC450B"/>
    <w:rsid w:val="00AC6A45"/>
    <w:rsid w:val="00AD1B6C"/>
    <w:rsid w:val="00AE00D5"/>
    <w:rsid w:val="00AE27CA"/>
    <w:rsid w:val="00AF124A"/>
    <w:rsid w:val="00AF23C9"/>
    <w:rsid w:val="00AF26CA"/>
    <w:rsid w:val="00AF4229"/>
    <w:rsid w:val="00AF6418"/>
    <w:rsid w:val="00AF7CD6"/>
    <w:rsid w:val="00B013F9"/>
    <w:rsid w:val="00B0583F"/>
    <w:rsid w:val="00B15FB5"/>
    <w:rsid w:val="00B26EFD"/>
    <w:rsid w:val="00B414C0"/>
    <w:rsid w:val="00B445E0"/>
    <w:rsid w:val="00B512EF"/>
    <w:rsid w:val="00B51A58"/>
    <w:rsid w:val="00B60496"/>
    <w:rsid w:val="00B63A0A"/>
    <w:rsid w:val="00B64CDA"/>
    <w:rsid w:val="00B67603"/>
    <w:rsid w:val="00B7079D"/>
    <w:rsid w:val="00B72941"/>
    <w:rsid w:val="00B72FDE"/>
    <w:rsid w:val="00B74723"/>
    <w:rsid w:val="00B775A0"/>
    <w:rsid w:val="00B836CD"/>
    <w:rsid w:val="00B90177"/>
    <w:rsid w:val="00B90D5E"/>
    <w:rsid w:val="00B92E40"/>
    <w:rsid w:val="00BA431B"/>
    <w:rsid w:val="00BA53E4"/>
    <w:rsid w:val="00BA79AE"/>
    <w:rsid w:val="00BB0C81"/>
    <w:rsid w:val="00BB5BE5"/>
    <w:rsid w:val="00BB644E"/>
    <w:rsid w:val="00BB67C4"/>
    <w:rsid w:val="00BC07D8"/>
    <w:rsid w:val="00BC2E41"/>
    <w:rsid w:val="00BC46C9"/>
    <w:rsid w:val="00BC5FD2"/>
    <w:rsid w:val="00BC63FB"/>
    <w:rsid w:val="00BC6597"/>
    <w:rsid w:val="00BC6B38"/>
    <w:rsid w:val="00BD29B2"/>
    <w:rsid w:val="00BD69AA"/>
    <w:rsid w:val="00BD69BE"/>
    <w:rsid w:val="00BE05C5"/>
    <w:rsid w:val="00BE5B36"/>
    <w:rsid w:val="00BE69B4"/>
    <w:rsid w:val="00BE6D95"/>
    <w:rsid w:val="00BE732B"/>
    <w:rsid w:val="00BE7B7B"/>
    <w:rsid w:val="00BF1A53"/>
    <w:rsid w:val="00BF27A5"/>
    <w:rsid w:val="00C02A1C"/>
    <w:rsid w:val="00C110C9"/>
    <w:rsid w:val="00C22D06"/>
    <w:rsid w:val="00C25505"/>
    <w:rsid w:val="00C26A47"/>
    <w:rsid w:val="00C31E5C"/>
    <w:rsid w:val="00C32633"/>
    <w:rsid w:val="00C35BB3"/>
    <w:rsid w:val="00C37679"/>
    <w:rsid w:val="00C37760"/>
    <w:rsid w:val="00C46204"/>
    <w:rsid w:val="00C50FE7"/>
    <w:rsid w:val="00C5202B"/>
    <w:rsid w:val="00C53384"/>
    <w:rsid w:val="00C53533"/>
    <w:rsid w:val="00C564E5"/>
    <w:rsid w:val="00C63F49"/>
    <w:rsid w:val="00C70817"/>
    <w:rsid w:val="00C75D8B"/>
    <w:rsid w:val="00C75E70"/>
    <w:rsid w:val="00C80C1A"/>
    <w:rsid w:val="00C83961"/>
    <w:rsid w:val="00C84B2A"/>
    <w:rsid w:val="00C90D0F"/>
    <w:rsid w:val="00C92C87"/>
    <w:rsid w:val="00C93D48"/>
    <w:rsid w:val="00C95317"/>
    <w:rsid w:val="00C95627"/>
    <w:rsid w:val="00C9591B"/>
    <w:rsid w:val="00C97593"/>
    <w:rsid w:val="00CA45ED"/>
    <w:rsid w:val="00CA5AEB"/>
    <w:rsid w:val="00CA5BDA"/>
    <w:rsid w:val="00CB25E1"/>
    <w:rsid w:val="00CB5565"/>
    <w:rsid w:val="00CB6ECB"/>
    <w:rsid w:val="00CC2588"/>
    <w:rsid w:val="00CC2BAB"/>
    <w:rsid w:val="00CC4960"/>
    <w:rsid w:val="00CC65D6"/>
    <w:rsid w:val="00CC69E6"/>
    <w:rsid w:val="00CC6BB0"/>
    <w:rsid w:val="00CD3EDA"/>
    <w:rsid w:val="00CD40B7"/>
    <w:rsid w:val="00CD464D"/>
    <w:rsid w:val="00CD589B"/>
    <w:rsid w:val="00CD77A5"/>
    <w:rsid w:val="00CE2979"/>
    <w:rsid w:val="00CF030A"/>
    <w:rsid w:val="00CF296C"/>
    <w:rsid w:val="00CF3A8D"/>
    <w:rsid w:val="00CF4324"/>
    <w:rsid w:val="00D03535"/>
    <w:rsid w:val="00D06BFD"/>
    <w:rsid w:val="00D079F4"/>
    <w:rsid w:val="00D11CC2"/>
    <w:rsid w:val="00D13ECC"/>
    <w:rsid w:val="00D1511C"/>
    <w:rsid w:val="00D15443"/>
    <w:rsid w:val="00D16CAC"/>
    <w:rsid w:val="00D16E04"/>
    <w:rsid w:val="00D21903"/>
    <w:rsid w:val="00D21C0E"/>
    <w:rsid w:val="00D2330A"/>
    <w:rsid w:val="00D25F1C"/>
    <w:rsid w:val="00D33266"/>
    <w:rsid w:val="00D341DA"/>
    <w:rsid w:val="00D37499"/>
    <w:rsid w:val="00D419A5"/>
    <w:rsid w:val="00D4535A"/>
    <w:rsid w:val="00D51743"/>
    <w:rsid w:val="00D51DE3"/>
    <w:rsid w:val="00D654A9"/>
    <w:rsid w:val="00D70150"/>
    <w:rsid w:val="00D75184"/>
    <w:rsid w:val="00D753A7"/>
    <w:rsid w:val="00D82E47"/>
    <w:rsid w:val="00D84A2B"/>
    <w:rsid w:val="00D92482"/>
    <w:rsid w:val="00D93850"/>
    <w:rsid w:val="00D95160"/>
    <w:rsid w:val="00D970C0"/>
    <w:rsid w:val="00DA0230"/>
    <w:rsid w:val="00DA1848"/>
    <w:rsid w:val="00DA34B8"/>
    <w:rsid w:val="00DB21FD"/>
    <w:rsid w:val="00DB2F04"/>
    <w:rsid w:val="00DB77B0"/>
    <w:rsid w:val="00DC1EBC"/>
    <w:rsid w:val="00DC386B"/>
    <w:rsid w:val="00DC5B40"/>
    <w:rsid w:val="00DC603E"/>
    <w:rsid w:val="00DC6961"/>
    <w:rsid w:val="00DD7A0F"/>
    <w:rsid w:val="00DE3566"/>
    <w:rsid w:val="00DE364D"/>
    <w:rsid w:val="00DE4598"/>
    <w:rsid w:val="00DF06D6"/>
    <w:rsid w:val="00DF6A7A"/>
    <w:rsid w:val="00E00E9C"/>
    <w:rsid w:val="00E05674"/>
    <w:rsid w:val="00E0576E"/>
    <w:rsid w:val="00E312FD"/>
    <w:rsid w:val="00E31B03"/>
    <w:rsid w:val="00E33399"/>
    <w:rsid w:val="00E35EF8"/>
    <w:rsid w:val="00E41B7C"/>
    <w:rsid w:val="00E4241C"/>
    <w:rsid w:val="00E531F2"/>
    <w:rsid w:val="00E542C5"/>
    <w:rsid w:val="00E605EA"/>
    <w:rsid w:val="00E6489C"/>
    <w:rsid w:val="00E64F65"/>
    <w:rsid w:val="00E6629C"/>
    <w:rsid w:val="00E66F7F"/>
    <w:rsid w:val="00E6731A"/>
    <w:rsid w:val="00E71A49"/>
    <w:rsid w:val="00E7391B"/>
    <w:rsid w:val="00E74E20"/>
    <w:rsid w:val="00E80D08"/>
    <w:rsid w:val="00E81FCF"/>
    <w:rsid w:val="00E82174"/>
    <w:rsid w:val="00E844BE"/>
    <w:rsid w:val="00E85B0E"/>
    <w:rsid w:val="00E8741C"/>
    <w:rsid w:val="00E87CD4"/>
    <w:rsid w:val="00E90E6B"/>
    <w:rsid w:val="00E9114E"/>
    <w:rsid w:val="00E91E61"/>
    <w:rsid w:val="00E95299"/>
    <w:rsid w:val="00EA1462"/>
    <w:rsid w:val="00EA19B4"/>
    <w:rsid w:val="00EA77CD"/>
    <w:rsid w:val="00EB1908"/>
    <w:rsid w:val="00EB3EAA"/>
    <w:rsid w:val="00EB45B2"/>
    <w:rsid w:val="00EB735D"/>
    <w:rsid w:val="00EC094F"/>
    <w:rsid w:val="00EC0A60"/>
    <w:rsid w:val="00EC14B4"/>
    <w:rsid w:val="00EC7005"/>
    <w:rsid w:val="00ED1FDB"/>
    <w:rsid w:val="00ED306B"/>
    <w:rsid w:val="00ED45F1"/>
    <w:rsid w:val="00ED5D01"/>
    <w:rsid w:val="00ED70D2"/>
    <w:rsid w:val="00EE338C"/>
    <w:rsid w:val="00EE6D8E"/>
    <w:rsid w:val="00EE7316"/>
    <w:rsid w:val="00EF0F33"/>
    <w:rsid w:val="00EF2BB2"/>
    <w:rsid w:val="00F069AD"/>
    <w:rsid w:val="00F06ABC"/>
    <w:rsid w:val="00F07307"/>
    <w:rsid w:val="00F21049"/>
    <w:rsid w:val="00F21E40"/>
    <w:rsid w:val="00F24BE8"/>
    <w:rsid w:val="00F35747"/>
    <w:rsid w:val="00F415A2"/>
    <w:rsid w:val="00F4445C"/>
    <w:rsid w:val="00F51420"/>
    <w:rsid w:val="00F51F90"/>
    <w:rsid w:val="00F542E9"/>
    <w:rsid w:val="00F57D73"/>
    <w:rsid w:val="00F61C94"/>
    <w:rsid w:val="00F651C6"/>
    <w:rsid w:val="00F65F9D"/>
    <w:rsid w:val="00F701E2"/>
    <w:rsid w:val="00F714B1"/>
    <w:rsid w:val="00F730E8"/>
    <w:rsid w:val="00F76DC1"/>
    <w:rsid w:val="00F91B99"/>
    <w:rsid w:val="00F93183"/>
    <w:rsid w:val="00F93A07"/>
    <w:rsid w:val="00F959C4"/>
    <w:rsid w:val="00F95F2B"/>
    <w:rsid w:val="00F96BBB"/>
    <w:rsid w:val="00FA2795"/>
    <w:rsid w:val="00FA2B02"/>
    <w:rsid w:val="00FA3105"/>
    <w:rsid w:val="00FA334E"/>
    <w:rsid w:val="00FA35A8"/>
    <w:rsid w:val="00FA3B6D"/>
    <w:rsid w:val="00FB049E"/>
    <w:rsid w:val="00FB1D4F"/>
    <w:rsid w:val="00FB2003"/>
    <w:rsid w:val="00FC0CFF"/>
    <w:rsid w:val="00FC0E2F"/>
    <w:rsid w:val="00FC206B"/>
    <w:rsid w:val="00FC3CC1"/>
    <w:rsid w:val="00FC5555"/>
    <w:rsid w:val="00FE1C0C"/>
    <w:rsid w:val="00FE217F"/>
    <w:rsid w:val="00FE2D2F"/>
    <w:rsid w:val="00FE6D53"/>
    <w:rsid w:val="00FF0053"/>
    <w:rsid w:val="00FF165B"/>
    <w:rsid w:val="00FF6F30"/>
    <w:rsid w:val="032C7E7A"/>
    <w:rsid w:val="03BA5E7F"/>
    <w:rsid w:val="03D16135"/>
    <w:rsid w:val="0405748B"/>
    <w:rsid w:val="044D005B"/>
    <w:rsid w:val="055C3A53"/>
    <w:rsid w:val="05A806DC"/>
    <w:rsid w:val="05B279FD"/>
    <w:rsid w:val="06287461"/>
    <w:rsid w:val="067F02EE"/>
    <w:rsid w:val="06BF7651"/>
    <w:rsid w:val="06F31148"/>
    <w:rsid w:val="079C1EB4"/>
    <w:rsid w:val="0AC12061"/>
    <w:rsid w:val="0B883078"/>
    <w:rsid w:val="0BC67A9B"/>
    <w:rsid w:val="0C7E64B8"/>
    <w:rsid w:val="0CE37C1B"/>
    <w:rsid w:val="0D7B42A6"/>
    <w:rsid w:val="0D942010"/>
    <w:rsid w:val="0E77591A"/>
    <w:rsid w:val="101E7F5F"/>
    <w:rsid w:val="11B662AF"/>
    <w:rsid w:val="120E530E"/>
    <w:rsid w:val="12BF10B9"/>
    <w:rsid w:val="13511DA5"/>
    <w:rsid w:val="13787AE1"/>
    <w:rsid w:val="13885434"/>
    <w:rsid w:val="13E51431"/>
    <w:rsid w:val="147320BA"/>
    <w:rsid w:val="14F23FF4"/>
    <w:rsid w:val="15602773"/>
    <w:rsid w:val="158756CD"/>
    <w:rsid w:val="167935C7"/>
    <w:rsid w:val="167E122A"/>
    <w:rsid w:val="16D4448D"/>
    <w:rsid w:val="16E373DC"/>
    <w:rsid w:val="17905B43"/>
    <w:rsid w:val="17AA5B9E"/>
    <w:rsid w:val="18476DD4"/>
    <w:rsid w:val="18B72DA4"/>
    <w:rsid w:val="19A70BD7"/>
    <w:rsid w:val="1A134258"/>
    <w:rsid w:val="1A547EA2"/>
    <w:rsid w:val="1A840CB2"/>
    <w:rsid w:val="1B130DF0"/>
    <w:rsid w:val="1C73679C"/>
    <w:rsid w:val="1E29043F"/>
    <w:rsid w:val="1EA24F57"/>
    <w:rsid w:val="1F6E3CDF"/>
    <w:rsid w:val="1FAA2B73"/>
    <w:rsid w:val="202B3E5D"/>
    <w:rsid w:val="2044023D"/>
    <w:rsid w:val="20877F58"/>
    <w:rsid w:val="20C174F7"/>
    <w:rsid w:val="21A155FD"/>
    <w:rsid w:val="223611FA"/>
    <w:rsid w:val="227C64E1"/>
    <w:rsid w:val="23326FAC"/>
    <w:rsid w:val="241D683A"/>
    <w:rsid w:val="247176A7"/>
    <w:rsid w:val="251D7019"/>
    <w:rsid w:val="26617636"/>
    <w:rsid w:val="26C64244"/>
    <w:rsid w:val="27787DF0"/>
    <w:rsid w:val="27911EF8"/>
    <w:rsid w:val="28A91F9B"/>
    <w:rsid w:val="292871BF"/>
    <w:rsid w:val="292D69B8"/>
    <w:rsid w:val="2939535D"/>
    <w:rsid w:val="296C2C44"/>
    <w:rsid w:val="297C3A24"/>
    <w:rsid w:val="299A593A"/>
    <w:rsid w:val="2A346B62"/>
    <w:rsid w:val="2AB91E7C"/>
    <w:rsid w:val="2B4F6764"/>
    <w:rsid w:val="2C60493C"/>
    <w:rsid w:val="2CAE1BBE"/>
    <w:rsid w:val="2D5627F5"/>
    <w:rsid w:val="2D7159C5"/>
    <w:rsid w:val="2E2C6B5E"/>
    <w:rsid w:val="2E716D54"/>
    <w:rsid w:val="2EAF0FB9"/>
    <w:rsid w:val="2EC63424"/>
    <w:rsid w:val="2ED35EB4"/>
    <w:rsid w:val="2EDF3511"/>
    <w:rsid w:val="2FAD38B1"/>
    <w:rsid w:val="2FFD3AB7"/>
    <w:rsid w:val="305F1531"/>
    <w:rsid w:val="30D04950"/>
    <w:rsid w:val="30DA79D5"/>
    <w:rsid w:val="314F1BC2"/>
    <w:rsid w:val="31B934C9"/>
    <w:rsid w:val="32613D9B"/>
    <w:rsid w:val="332B431F"/>
    <w:rsid w:val="33400366"/>
    <w:rsid w:val="33943B57"/>
    <w:rsid w:val="348B0334"/>
    <w:rsid w:val="34AA3C4B"/>
    <w:rsid w:val="34B10636"/>
    <w:rsid w:val="34D11437"/>
    <w:rsid w:val="34E466C0"/>
    <w:rsid w:val="357C6CFE"/>
    <w:rsid w:val="3780481E"/>
    <w:rsid w:val="393861DD"/>
    <w:rsid w:val="39DE1454"/>
    <w:rsid w:val="3ACE5442"/>
    <w:rsid w:val="3B620744"/>
    <w:rsid w:val="3B695833"/>
    <w:rsid w:val="3BC07D92"/>
    <w:rsid w:val="3BD77B33"/>
    <w:rsid w:val="3C4A1EF3"/>
    <w:rsid w:val="3CC206F2"/>
    <w:rsid w:val="3D616DCC"/>
    <w:rsid w:val="3D6F0EF6"/>
    <w:rsid w:val="3D7A63D4"/>
    <w:rsid w:val="3E312248"/>
    <w:rsid w:val="3E412EAB"/>
    <w:rsid w:val="3E993586"/>
    <w:rsid w:val="400965A3"/>
    <w:rsid w:val="405D2EA9"/>
    <w:rsid w:val="40610214"/>
    <w:rsid w:val="40851129"/>
    <w:rsid w:val="40AB5DC1"/>
    <w:rsid w:val="40DA62B6"/>
    <w:rsid w:val="416E39A7"/>
    <w:rsid w:val="41F540C0"/>
    <w:rsid w:val="42042280"/>
    <w:rsid w:val="426B6130"/>
    <w:rsid w:val="42E2259D"/>
    <w:rsid w:val="43026B44"/>
    <w:rsid w:val="43BD7479"/>
    <w:rsid w:val="44817E8C"/>
    <w:rsid w:val="452E7CB3"/>
    <w:rsid w:val="453049F3"/>
    <w:rsid w:val="458F0220"/>
    <w:rsid w:val="46621A13"/>
    <w:rsid w:val="4669507C"/>
    <w:rsid w:val="466B1473"/>
    <w:rsid w:val="470C69EF"/>
    <w:rsid w:val="473811F9"/>
    <w:rsid w:val="47C21DC3"/>
    <w:rsid w:val="48486194"/>
    <w:rsid w:val="4AF1615A"/>
    <w:rsid w:val="4B29539B"/>
    <w:rsid w:val="4BCE5D3C"/>
    <w:rsid w:val="4C646B2B"/>
    <w:rsid w:val="4CB72594"/>
    <w:rsid w:val="4D774A87"/>
    <w:rsid w:val="4DA249DE"/>
    <w:rsid w:val="4E5C2728"/>
    <w:rsid w:val="4E686959"/>
    <w:rsid w:val="4EBE1CDD"/>
    <w:rsid w:val="5079623D"/>
    <w:rsid w:val="50796447"/>
    <w:rsid w:val="50950237"/>
    <w:rsid w:val="5100157F"/>
    <w:rsid w:val="5134057D"/>
    <w:rsid w:val="519D3E2C"/>
    <w:rsid w:val="521C02F9"/>
    <w:rsid w:val="52652A9F"/>
    <w:rsid w:val="52A51BF5"/>
    <w:rsid w:val="52C7652D"/>
    <w:rsid w:val="52DC1FC9"/>
    <w:rsid w:val="535B7777"/>
    <w:rsid w:val="53A56FC8"/>
    <w:rsid w:val="53DE7A18"/>
    <w:rsid w:val="54664607"/>
    <w:rsid w:val="55B962AA"/>
    <w:rsid w:val="560029BF"/>
    <w:rsid w:val="56975AD9"/>
    <w:rsid w:val="56C00BAE"/>
    <w:rsid w:val="57E8758D"/>
    <w:rsid w:val="580C7188"/>
    <w:rsid w:val="586212CD"/>
    <w:rsid w:val="589B1A4C"/>
    <w:rsid w:val="58A67759"/>
    <w:rsid w:val="58BF0B2C"/>
    <w:rsid w:val="592B7E1E"/>
    <w:rsid w:val="59777132"/>
    <w:rsid w:val="5988716F"/>
    <w:rsid w:val="599460F8"/>
    <w:rsid w:val="5A767B18"/>
    <w:rsid w:val="5BC246B9"/>
    <w:rsid w:val="5C2802CE"/>
    <w:rsid w:val="5C5E2128"/>
    <w:rsid w:val="5C9652C5"/>
    <w:rsid w:val="5CDB3E8C"/>
    <w:rsid w:val="5D385AF0"/>
    <w:rsid w:val="5E986FA3"/>
    <w:rsid w:val="5FA621C4"/>
    <w:rsid w:val="5FF55DBE"/>
    <w:rsid w:val="60432C6A"/>
    <w:rsid w:val="60B64F60"/>
    <w:rsid w:val="61F65390"/>
    <w:rsid w:val="61FF06CB"/>
    <w:rsid w:val="623B2254"/>
    <w:rsid w:val="623E4AD0"/>
    <w:rsid w:val="62592EEE"/>
    <w:rsid w:val="632F68AE"/>
    <w:rsid w:val="63665E9A"/>
    <w:rsid w:val="636B41A3"/>
    <w:rsid w:val="63CE60C7"/>
    <w:rsid w:val="63DE35C9"/>
    <w:rsid w:val="648B051A"/>
    <w:rsid w:val="659831F2"/>
    <w:rsid w:val="65C14F9A"/>
    <w:rsid w:val="66205D58"/>
    <w:rsid w:val="6625014D"/>
    <w:rsid w:val="66AE5763"/>
    <w:rsid w:val="67083DB5"/>
    <w:rsid w:val="672D47F6"/>
    <w:rsid w:val="67523745"/>
    <w:rsid w:val="67676E56"/>
    <w:rsid w:val="676D5891"/>
    <w:rsid w:val="67A07C7D"/>
    <w:rsid w:val="67DD2A4B"/>
    <w:rsid w:val="69102B27"/>
    <w:rsid w:val="694A2693"/>
    <w:rsid w:val="698B0CB7"/>
    <w:rsid w:val="6A5247FE"/>
    <w:rsid w:val="6AC12C7F"/>
    <w:rsid w:val="6B1C15B3"/>
    <w:rsid w:val="6C1F48FD"/>
    <w:rsid w:val="6C8055A9"/>
    <w:rsid w:val="6CA257B3"/>
    <w:rsid w:val="6DED54E0"/>
    <w:rsid w:val="6DF752B6"/>
    <w:rsid w:val="6E5A6B11"/>
    <w:rsid w:val="6E817321"/>
    <w:rsid w:val="6EC32924"/>
    <w:rsid w:val="6EE82732"/>
    <w:rsid w:val="6F5021BD"/>
    <w:rsid w:val="6F6E72B9"/>
    <w:rsid w:val="6F8B2B09"/>
    <w:rsid w:val="6FD67088"/>
    <w:rsid w:val="6FF21757"/>
    <w:rsid w:val="706368DC"/>
    <w:rsid w:val="70BA3C5B"/>
    <w:rsid w:val="711A1289"/>
    <w:rsid w:val="71353C29"/>
    <w:rsid w:val="71713E12"/>
    <w:rsid w:val="72234E23"/>
    <w:rsid w:val="724108DD"/>
    <w:rsid w:val="72AC6534"/>
    <w:rsid w:val="732B120B"/>
    <w:rsid w:val="735C36EF"/>
    <w:rsid w:val="73C22660"/>
    <w:rsid w:val="742F0E00"/>
    <w:rsid w:val="74D0113C"/>
    <w:rsid w:val="74E251C8"/>
    <w:rsid w:val="75952A7F"/>
    <w:rsid w:val="772947EB"/>
    <w:rsid w:val="772A22BC"/>
    <w:rsid w:val="77530B8C"/>
    <w:rsid w:val="77B812EB"/>
    <w:rsid w:val="789453B0"/>
    <w:rsid w:val="79910794"/>
    <w:rsid w:val="7A571B6D"/>
    <w:rsid w:val="7A7F3A56"/>
    <w:rsid w:val="7B181B8C"/>
    <w:rsid w:val="7B5353D8"/>
    <w:rsid w:val="7B757A83"/>
    <w:rsid w:val="7BEB373C"/>
    <w:rsid w:val="7C235D0F"/>
    <w:rsid w:val="7C4D15EC"/>
    <w:rsid w:val="7D09344F"/>
    <w:rsid w:val="7D6E1D76"/>
    <w:rsid w:val="7D6F6E6D"/>
    <w:rsid w:val="7D717479"/>
    <w:rsid w:val="7EB84A57"/>
    <w:rsid w:val="7F2A6A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qFormat="1"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9"/>
    <w:qFormat/>
    <w:uiPriority w:val="0"/>
    <w:pPr>
      <w:jc w:val="left"/>
    </w:pPr>
    <w:rPr>
      <w:rFonts w:eastAsia="仿宋_GB2312"/>
      <w:sz w:val="30"/>
      <w:szCs w:val="20"/>
    </w:rPr>
  </w:style>
  <w:style w:type="paragraph" w:styleId="3">
    <w:name w:val="Body Text"/>
    <w:basedOn w:val="1"/>
    <w:qFormat/>
    <w:uiPriority w:val="0"/>
    <w:pPr>
      <w:spacing w:after="120"/>
    </w:pPr>
    <w:rPr>
      <w:rFonts w:ascii="宋体"/>
      <w:sz w:val="28"/>
      <w:szCs w:val="20"/>
    </w:rPr>
  </w:style>
  <w:style w:type="paragraph" w:styleId="4">
    <w:name w:val="Body Text Indent"/>
    <w:basedOn w:val="1"/>
    <w:qFormat/>
    <w:uiPriority w:val="0"/>
    <w:pPr>
      <w:ind w:firstLine="430" w:firstLineChars="205"/>
    </w:pPr>
  </w:style>
  <w:style w:type="paragraph" w:styleId="5">
    <w:name w:val="Plain Text"/>
    <w:basedOn w:val="6"/>
    <w:unhideWhenUsed/>
    <w:qFormat/>
    <w:uiPriority w:val="0"/>
    <w:rPr>
      <w:rFonts w:ascii="宋体" w:hAnsi="Courier New"/>
      <w:kern w:val="0"/>
      <w:sz w:val="20"/>
    </w:rPr>
  </w:style>
  <w:style w:type="paragraph" w:customStyle="1" w:styleId="6">
    <w:name w:val="正文_2"/>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7">
    <w:name w:val="Balloon Text"/>
    <w:basedOn w:val="1"/>
    <w:link w:val="28"/>
    <w:semiHidden/>
    <w:qFormat/>
    <w:uiPriority w:val="0"/>
    <w:rPr>
      <w:sz w:val="18"/>
      <w:szCs w:val="18"/>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11">
    <w:name w:val="annotation subject"/>
    <w:basedOn w:val="2"/>
    <w:next w:val="2"/>
    <w:link w:val="30"/>
    <w:qFormat/>
    <w:uiPriority w:val="0"/>
    <w:rPr>
      <w:rFonts w:eastAsia="宋体"/>
      <w:b/>
      <w:bCs/>
      <w:sz w:val="21"/>
      <w:szCs w:val="24"/>
    </w:rPr>
  </w:style>
  <w:style w:type="character" w:styleId="14">
    <w:name w:val="page number"/>
    <w:basedOn w:val="13"/>
    <w:qFormat/>
    <w:uiPriority w:val="0"/>
  </w:style>
  <w:style w:type="character" w:styleId="15">
    <w:name w:val="annotation reference"/>
    <w:qFormat/>
    <w:uiPriority w:val="0"/>
    <w:rPr>
      <w:sz w:val="21"/>
      <w:szCs w:val="21"/>
    </w:rPr>
  </w:style>
  <w:style w:type="paragraph" w:styleId="16">
    <w:name w:val="List Paragraph"/>
    <w:basedOn w:val="1"/>
    <w:qFormat/>
    <w:uiPriority w:val="34"/>
    <w:pPr>
      <w:ind w:firstLine="420" w:firstLineChars="200"/>
    </w:pPr>
    <w:rPr>
      <w:rFonts w:asciiTheme="minorHAnsi" w:hAnsiTheme="minorHAnsi" w:eastAsiaTheme="minorEastAsia" w:cstheme="minorBidi"/>
      <w:szCs w:val="22"/>
    </w:rPr>
  </w:style>
  <w:style w:type="character" w:customStyle="1" w:styleId="17">
    <w:name w:val="bulletintext"/>
    <w:basedOn w:val="13"/>
    <w:qFormat/>
    <w:uiPriority w:val="0"/>
  </w:style>
  <w:style w:type="paragraph" w:customStyle="1" w:styleId="18">
    <w:name w:val="Char Char Char Char Char Char Char Char Char Char Char Char Char"/>
    <w:basedOn w:val="1"/>
    <w:qFormat/>
    <w:uiPriority w:val="0"/>
    <w:rPr>
      <w:rFonts w:ascii="仿宋_GB2312" w:eastAsia="仿宋_GB2312"/>
      <w:b/>
      <w:sz w:val="32"/>
      <w:szCs w:val="32"/>
    </w:rPr>
  </w:style>
  <w:style w:type="paragraph" w:customStyle="1" w:styleId="19">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0">
    <w:name w:val="Char Char Char Char"/>
    <w:basedOn w:val="1"/>
    <w:qFormat/>
    <w:uiPriority w:val="0"/>
    <w:rPr>
      <w:rFonts w:ascii="仿宋_GB2312" w:eastAsia="仿宋_GB2312"/>
      <w:b/>
      <w:sz w:val="32"/>
      <w:szCs w:val="32"/>
    </w:rPr>
  </w:style>
  <w:style w:type="paragraph" w:customStyle="1" w:styleId="21">
    <w:name w:val="列出段落1"/>
    <w:basedOn w:val="1"/>
    <w:qFormat/>
    <w:uiPriority w:val="0"/>
    <w:pPr>
      <w:ind w:firstLine="420" w:firstLineChars="200"/>
    </w:pPr>
    <w:rPr>
      <w:rFonts w:ascii="Calibri" w:hAnsi="Calibri"/>
      <w:szCs w:val="22"/>
    </w:rPr>
  </w:style>
  <w:style w:type="paragraph" w:customStyle="1" w:styleId="22">
    <w:name w:val="_Style 7"/>
    <w:basedOn w:val="1"/>
    <w:qFormat/>
    <w:uiPriority w:val="0"/>
    <w:rPr>
      <w:rFonts w:ascii="仿宋_GB2312" w:eastAsia="仿宋_GB2312"/>
      <w:b/>
      <w:sz w:val="32"/>
      <w:szCs w:val="32"/>
    </w:rPr>
  </w:style>
  <w:style w:type="paragraph" w:customStyle="1" w:styleId="23">
    <w:name w:val="Char Char Char Char Char Char Char Char Char Char Char Char Char Char Char Char Char Char Char Char Char Char Char Char Char Char Char Char Char Char Char Char 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24">
    <w:name w:val="默认段落字体 Para Char"/>
    <w:basedOn w:val="1"/>
    <w:qFormat/>
    <w:uiPriority w:val="0"/>
    <w:pPr>
      <w:tabs>
        <w:tab w:val="left" w:pos="1080"/>
      </w:tabs>
      <w:ind w:left="360" w:hanging="360"/>
    </w:pPr>
  </w:style>
  <w:style w:type="paragraph" w:customStyle="1" w:styleId="25">
    <w:name w:val="Char Char4 Char"/>
    <w:basedOn w:val="1"/>
    <w:qFormat/>
    <w:uiPriority w:val="0"/>
    <w:rPr>
      <w:szCs w:val="20"/>
    </w:rPr>
  </w:style>
  <w:style w:type="paragraph" w:customStyle="1" w:styleId="26">
    <w:name w:val="_Style 10"/>
    <w:basedOn w:val="1"/>
    <w:qFormat/>
    <w:uiPriority w:val="0"/>
    <w:rPr>
      <w:rFonts w:ascii="仿宋_GB2312" w:eastAsia="仿宋_GB2312"/>
      <w:b/>
      <w:sz w:val="32"/>
      <w:szCs w:val="32"/>
    </w:rPr>
  </w:style>
  <w:style w:type="paragraph" w:customStyle="1" w:styleId="27">
    <w:name w:val="Char Char"/>
    <w:basedOn w:val="1"/>
    <w:qFormat/>
    <w:uiPriority w:val="0"/>
    <w:rPr>
      <w:rFonts w:ascii="仿宋_GB2312" w:eastAsia="仿宋_GB2312"/>
      <w:b/>
      <w:sz w:val="32"/>
      <w:szCs w:val="32"/>
    </w:rPr>
  </w:style>
  <w:style w:type="character" w:customStyle="1" w:styleId="28">
    <w:name w:val="批注框文本 Char"/>
    <w:link w:val="7"/>
    <w:qFormat/>
    <w:uiPriority w:val="0"/>
    <w:rPr>
      <w:rFonts w:eastAsia="宋体"/>
      <w:kern w:val="2"/>
      <w:sz w:val="18"/>
      <w:szCs w:val="18"/>
      <w:lang w:val="en-US" w:eastAsia="zh-CN" w:bidi="ar-SA"/>
    </w:rPr>
  </w:style>
  <w:style w:type="character" w:customStyle="1" w:styleId="29">
    <w:name w:val="批注文字 Char1"/>
    <w:basedOn w:val="13"/>
    <w:link w:val="2"/>
    <w:semiHidden/>
    <w:qFormat/>
    <w:uiPriority w:val="0"/>
    <w:rPr>
      <w:rFonts w:eastAsia="仿宋_GB2312"/>
      <w:kern w:val="2"/>
      <w:sz w:val="30"/>
    </w:rPr>
  </w:style>
  <w:style w:type="character" w:customStyle="1" w:styleId="30">
    <w:name w:val="批注主题 Char"/>
    <w:basedOn w:val="29"/>
    <w:link w:val="11"/>
    <w:qFormat/>
    <w:uiPriority w:val="0"/>
    <w:rPr>
      <w:rFonts w:eastAsia="仿宋_GB2312"/>
      <w:kern w:val="2"/>
      <w:sz w:val="30"/>
    </w:rPr>
  </w:style>
  <w:style w:type="paragraph" w:customStyle="1" w:styleId="31">
    <w:name w:val="样式3"/>
    <w:basedOn w:val="1"/>
    <w:qFormat/>
    <w:uiPriority w:val="0"/>
    <w:pPr>
      <w:spacing w:line="360" w:lineRule="auto"/>
      <w:ind w:left="252" w:leftChars="120" w:firstLine="206" w:firstLineChars="98"/>
    </w:pPr>
    <w:rPr>
      <w:rFonts w:ascii="宋体" w:hAnsi="宋体"/>
      <w:szCs w:val="44"/>
    </w:rPr>
  </w:style>
  <w:style w:type="character" w:customStyle="1" w:styleId="32">
    <w:name w:val="批注文字 Char"/>
    <w:basedOn w:val="13"/>
    <w:qFormat/>
    <w:uiPriority w:val="0"/>
    <w:rPr>
      <w:rFonts w:ascii="仿宋_GB2312" w:eastAsia="仿宋_GB2312"/>
      <w:b/>
      <w:kern w:val="2"/>
      <w:sz w:val="21"/>
      <w:szCs w:val="24"/>
    </w:rPr>
  </w:style>
  <w:style w:type="paragraph" w:customStyle="1" w:styleId="33">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34">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4629</Words>
  <Characters>4993</Characters>
  <Lines>39</Lines>
  <Paragraphs>11</Paragraphs>
  <TotalTime>2</TotalTime>
  <ScaleCrop>false</ScaleCrop>
  <LinksUpToDate>false</LinksUpToDate>
  <CharactersWithSpaces>4997</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2016-05-26T04:05:00Z</dcterms:created>
  <dc:creator>36415</dc:creator>
  <cp:lastModifiedBy>ygx</cp:lastModifiedBy>
  <cp:lastPrinted>2019-05-15T03:40:00Z</cp:lastPrinted>
  <dcterms:modified xsi:type="dcterms:W3CDTF">2024-12-08T11:21:10Z</dcterms:modified>
  <dc:title>工程量清单编制说明</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3D7FF74B128749D6B07A4816AAB80993</vt:lpwstr>
  </property>
</Properties>
</file>