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BCF79">
      <w:pPr>
        <w:spacing w:before="156"/>
        <w:ind w:left="1289" w:leftChars="355" w:hanging="437" w:hangingChars="99"/>
        <w:rPr>
          <w:rFonts w:cs="宋体"/>
          <w:b/>
          <w:color w:val="auto"/>
          <w:sz w:val="32"/>
          <w:szCs w:val="32"/>
        </w:rPr>
      </w:pPr>
      <w:r>
        <w:rPr>
          <w:rFonts w:hint="eastAsia" w:cs="宋体"/>
          <w:b/>
          <w:color w:val="auto"/>
          <w:sz w:val="44"/>
          <w:szCs w:val="44"/>
        </w:rPr>
        <w:t xml:space="preserve"> </w:t>
      </w:r>
      <w:r>
        <w:rPr>
          <w:color w:val="auto"/>
        </w:rPr>
        <w:drawing>
          <wp:anchor distT="0" distB="0" distL="114300" distR="114300" simplePos="0" relativeHeight="251659264" behindDoc="0" locked="0" layoutInCell="1" allowOverlap="1">
            <wp:simplePos x="0" y="0"/>
            <wp:positionH relativeFrom="column">
              <wp:posOffset>-100965</wp:posOffset>
            </wp:positionH>
            <wp:positionV relativeFrom="paragraph">
              <wp:posOffset>39370</wp:posOffset>
            </wp:positionV>
            <wp:extent cx="582930" cy="483870"/>
            <wp:effectExtent l="0" t="0" r="7620" b="0"/>
            <wp:wrapNone/>
            <wp:docPr id="27" name="图片 27"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88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2930" cy="483870"/>
                    </a:xfrm>
                    <a:prstGeom prst="rect">
                      <a:avLst/>
                    </a:prstGeom>
                    <a:noFill/>
                    <a:ln>
                      <a:noFill/>
                    </a:ln>
                  </pic:spPr>
                </pic:pic>
              </a:graphicData>
            </a:graphic>
          </wp:anchor>
        </w:drawing>
      </w:r>
      <w:r>
        <w:rPr>
          <w:rFonts w:hint="eastAsia" w:cs="宋体"/>
          <w:b/>
          <w:color w:val="auto"/>
          <w:sz w:val="32"/>
          <w:szCs w:val="32"/>
        </w:rPr>
        <w:t>伊犁新天煤化工有限责任公司</w:t>
      </w:r>
    </w:p>
    <w:p w14:paraId="2CFE2B9C">
      <w:pPr>
        <w:spacing w:before="156"/>
        <w:ind w:left="1012" w:hanging="602"/>
        <w:jc w:val="center"/>
        <w:rPr>
          <w:b/>
          <w:color w:val="auto"/>
          <w:sz w:val="30"/>
          <w:szCs w:val="30"/>
        </w:rPr>
      </w:pPr>
      <w:r>
        <w:rPr>
          <w:rFonts w:hint="eastAsia"/>
          <w:b/>
          <w:color w:val="auto"/>
          <w:sz w:val="30"/>
          <w:szCs w:val="30"/>
        </w:rPr>
        <w:t xml:space="preserve">     </w:t>
      </w:r>
    </w:p>
    <w:p w14:paraId="3BB9490D">
      <w:pPr>
        <w:spacing w:before="156"/>
        <w:ind w:left="1293" w:hanging="883"/>
        <w:jc w:val="center"/>
        <w:outlineLvl w:val="0"/>
        <w:rPr>
          <w:rFonts w:cs="黑体"/>
          <w:b/>
          <w:color w:val="auto"/>
          <w:sz w:val="44"/>
          <w:szCs w:val="44"/>
        </w:rPr>
      </w:pPr>
      <w:r>
        <w:rPr>
          <w:rFonts w:hint="eastAsia" w:cs="黑体"/>
          <w:b/>
          <w:color w:val="auto"/>
          <w:sz w:val="44"/>
          <w:szCs w:val="44"/>
        </w:rPr>
        <w:t>热电锅炉高温高压电动闸阀</w:t>
      </w:r>
    </w:p>
    <w:p w14:paraId="437812A2">
      <w:pPr>
        <w:spacing w:before="156"/>
        <w:ind w:left="1293" w:hanging="883"/>
        <w:jc w:val="center"/>
        <w:outlineLvl w:val="0"/>
        <w:rPr>
          <w:rFonts w:cs="黑体"/>
          <w:b/>
          <w:color w:val="auto"/>
          <w:sz w:val="44"/>
          <w:szCs w:val="44"/>
        </w:rPr>
      </w:pPr>
      <w:r>
        <w:rPr>
          <w:rFonts w:hint="eastAsia" w:cs="黑体"/>
          <w:b/>
          <w:color w:val="auto"/>
          <w:sz w:val="44"/>
          <w:szCs w:val="44"/>
        </w:rPr>
        <w:t>技术规范书</w:t>
      </w:r>
    </w:p>
    <w:p w14:paraId="2ADE2BEC">
      <w:pPr>
        <w:spacing w:before="156"/>
        <w:ind w:left="1012" w:hanging="602"/>
        <w:jc w:val="center"/>
        <w:rPr>
          <w:rFonts w:cs="黑体"/>
          <w:b/>
          <w:color w:val="auto"/>
          <w:sz w:val="30"/>
          <w:szCs w:val="30"/>
        </w:rPr>
      </w:pPr>
    </w:p>
    <w:p w14:paraId="4CEF9DDC">
      <w:pPr>
        <w:spacing w:before="156" w:line="240" w:lineRule="atLeast"/>
        <w:ind w:left="569" w:leftChars="237" w:firstLine="1807" w:firstLineChars="600"/>
        <w:rPr>
          <w:b/>
          <w:bCs/>
          <w:color w:val="auto"/>
          <w:sz w:val="30"/>
          <w:szCs w:val="30"/>
        </w:rPr>
      </w:pPr>
    </w:p>
    <w:p w14:paraId="6FDCBB6C">
      <w:pPr>
        <w:spacing w:before="156" w:line="240" w:lineRule="atLeast"/>
        <w:ind w:left="569" w:leftChars="237" w:firstLine="1807" w:firstLineChars="600"/>
        <w:rPr>
          <w:b/>
          <w:bCs/>
          <w:color w:val="auto"/>
          <w:sz w:val="30"/>
          <w:szCs w:val="30"/>
        </w:rPr>
      </w:pPr>
    </w:p>
    <w:p w14:paraId="18824391">
      <w:pPr>
        <w:spacing w:before="156" w:line="240" w:lineRule="atLeast"/>
        <w:ind w:left="569" w:leftChars="237" w:firstLine="1807" w:firstLineChars="600"/>
        <w:rPr>
          <w:b/>
          <w:bCs/>
          <w:color w:val="auto"/>
          <w:sz w:val="30"/>
          <w:szCs w:val="30"/>
        </w:rPr>
      </w:pPr>
    </w:p>
    <w:p w14:paraId="5E45819C">
      <w:pPr>
        <w:spacing w:before="156" w:line="240" w:lineRule="atLeast"/>
        <w:ind w:left="569" w:leftChars="237" w:firstLine="1807" w:firstLineChars="600"/>
        <w:rPr>
          <w:b/>
          <w:bCs/>
          <w:color w:val="auto"/>
          <w:sz w:val="30"/>
          <w:szCs w:val="30"/>
        </w:rPr>
      </w:pPr>
    </w:p>
    <w:p w14:paraId="4C703142">
      <w:pPr>
        <w:spacing w:before="156" w:line="240" w:lineRule="atLeast"/>
        <w:ind w:left="569" w:leftChars="237" w:firstLine="1807" w:firstLineChars="600"/>
        <w:rPr>
          <w:b/>
          <w:bCs/>
          <w:color w:val="auto"/>
          <w:sz w:val="30"/>
          <w:szCs w:val="30"/>
        </w:rPr>
      </w:pPr>
    </w:p>
    <w:p w14:paraId="7858294F">
      <w:pPr>
        <w:spacing w:before="156" w:line="240" w:lineRule="atLeast"/>
        <w:ind w:left="569" w:leftChars="237" w:firstLine="1807" w:firstLineChars="600"/>
        <w:rPr>
          <w:b/>
          <w:bCs/>
          <w:color w:val="auto"/>
          <w:sz w:val="30"/>
          <w:szCs w:val="30"/>
        </w:rPr>
      </w:pPr>
    </w:p>
    <w:p w14:paraId="7B847E6E">
      <w:pPr>
        <w:spacing w:before="156" w:line="240" w:lineRule="atLeast"/>
        <w:ind w:left="569" w:leftChars="237" w:firstLine="1807" w:firstLineChars="600"/>
        <w:rPr>
          <w:b/>
          <w:bCs/>
          <w:color w:val="auto"/>
          <w:sz w:val="30"/>
          <w:szCs w:val="30"/>
        </w:rPr>
      </w:pPr>
    </w:p>
    <w:p w14:paraId="0FCE4D56">
      <w:pPr>
        <w:spacing w:before="156"/>
        <w:ind w:left="970" w:hanging="560"/>
        <w:rPr>
          <w:color w:val="auto"/>
          <w:sz w:val="28"/>
          <w:szCs w:val="28"/>
        </w:rPr>
      </w:pPr>
    </w:p>
    <w:p w14:paraId="775BF38A">
      <w:pPr>
        <w:spacing w:before="156"/>
        <w:ind w:left="1012" w:hanging="602"/>
        <w:jc w:val="center"/>
        <w:rPr>
          <w:b/>
          <w:bCs/>
          <w:color w:val="auto"/>
          <w:sz w:val="30"/>
          <w:szCs w:val="30"/>
        </w:rPr>
      </w:pPr>
      <w:r>
        <w:rPr>
          <w:rFonts w:hint="eastAsia"/>
          <w:b/>
          <w:bCs/>
          <w:color w:val="auto"/>
          <w:sz w:val="30"/>
          <w:szCs w:val="30"/>
        </w:rPr>
        <w:t>2024年</w:t>
      </w:r>
    </w:p>
    <w:p w14:paraId="15B08904">
      <w:pPr>
        <w:spacing w:beforeLines="0" w:line="240" w:lineRule="auto"/>
        <w:ind w:left="0" w:leftChars="0" w:firstLine="0" w:firstLineChars="0"/>
        <w:rPr>
          <w:rFonts w:ascii="Calibri" w:hAnsi="Calibri" w:cs="Times New Roman"/>
          <w:color w:val="auto"/>
          <w:kern w:val="2"/>
          <w:sz w:val="21"/>
        </w:rPr>
      </w:pPr>
      <w:r>
        <w:rPr>
          <w:color w:val="auto"/>
        </w:rPr>
        <w:br w:type="page"/>
      </w:r>
    </w:p>
    <w:p w14:paraId="105F1205">
      <w:pPr>
        <w:spacing w:before="156"/>
        <w:ind w:left="1053" w:hanging="643"/>
        <w:jc w:val="center"/>
        <w:rPr>
          <w:rFonts w:cs="宋体"/>
          <w:b/>
          <w:color w:val="auto"/>
          <w:sz w:val="32"/>
          <w:szCs w:val="32"/>
        </w:rPr>
      </w:pPr>
      <w:r>
        <w:rPr>
          <w:rFonts w:hint="eastAsia" w:cs="宋体"/>
          <w:b/>
          <w:color w:val="auto"/>
          <w:sz w:val="32"/>
          <w:szCs w:val="32"/>
        </w:rPr>
        <w:t>目录</w:t>
      </w:r>
    </w:p>
    <w:p w14:paraId="1639182B">
      <w:pPr>
        <w:pStyle w:val="22"/>
        <w:spacing w:before="156"/>
        <w:ind w:left="0" w:hanging="240"/>
        <w:rPr>
          <w:rFonts w:ascii="Calibri" w:hAnsi="Calibri"/>
          <w:b w:val="0"/>
          <w:color w:val="auto"/>
        </w:rPr>
      </w:pPr>
      <w:r>
        <w:rPr>
          <w:b w:val="0"/>
          <w:bCs/>
          <w:caps/>
          <w:color w:val="auto"/>
        </w:rPr>
        <w:fldChar w:fldCharType="begin"/>
      </w:r>
      <w:r>
        <w:rPr>
          <w:rStyle w:val="29"/>
          <w:b w:val="0"/>
          <w:bCs/>
          <w:caps/>
          <w:color w:val="auto"/>
        </w:rPr>
        <w:instrText xml:space="preserve"> TOC \o "1-1" \h \z \u </w:instrText>
      </w:r>
      <w:r>
        <w:rPr>
          <w:b w:val="0"/>
          <w:bCs/>
          <w:caps/>
          <w:color w:val="auto"/>
        </w:rPr>
        <w:fldChar w:fldCharType="separate"/>
      </w:r>
      <w:r>
        <w:rPr>
          <w:color w:val="auto"/>
        </w:rPr>
        <w:fldChar w:fldCharType="begin"/>
      </w:r>
      <w:r>
        <w:rPr>
          <w:color w:val="auto"/>
        </w:rPr>
        <w:instrText xml:space="preserve"> HYPERLINK \l "_Toc394471046" </w:instrText>
      </w:r>
      <w:r>
        <w:rPr>
          <w:color w:val="auto"/>
        </w:rPr>
        <w:fldChar w:fldCharType="separate"/>
      </w:r>
      <w:r>
        <w:rPr>
          <w:rStyle w:val="29"/>
          <w:rFonts w:hint="eastAsia"/>
          <w:b w:val="0"/>
          <w:color w:val="auto"/>
        </w:rPr>
        <w:t>附件</w:t>
      </w:r>
      <w:r>
        <w:rPr>
          <w:rStyle w:val="29"/>
          <w:b w:val="0"/>
          <w:color w:val="auto"/>
        </w:rPr>
        <w:t xml:space="preserve">1 </w:t>
      </w:r>
      <w:r>
        <w:rPr>
          <w:rStyle w:val="29"/>
          <w:rFonts w:hint="eastAsia"/>
          <w:b w:val="0"/>
          <w:color w:val="auto"/>
        </w:rPr>
        <w:t>技术规范</w:t>
      </w:r>
      <w:r>
        <w:rPr>
          <w:b w:val="0"/>
          <w:color w:val="auto"/>
        </w:rPr>
        <w:tab/>
      </w:r>
      <w:r>
        <w:rPr>
          <w:b w:val="0"/>
          <w:color w:val="auto"/>
        </w:rPr>
        <w:fldChar w:fldCharType="end"/>
      </w:r>
    </w:p>
    <w:p w14:paraId="515FA29A">
      <w:pPr>
        <w:pStyle w:val="22"/>
        <w:spacing w:before="156"/>
        <w:rPr>
          <w:rFonts w:ascii="Calibri" w:hAnsi="Calibri"/>
          <w:b w:val="0"/>
          <w:color w:val="auto"/>
        </w:rPr>
      </w:pPr>
      <w:r>
        <w:rPr>
          <w:color w:val="auto"/>
        </w:rPr>
        <w:fldChar w:fldCharType="begin"/>
      </w:r>
      <w:r>
        <w:rPr>
          <w:color w:val="auto"/>
        </w:rPr>
        <w:instrText xml:space="preserve"> HYPERLINK \l "_Toc394471047" </w:instrText>
      </w:r>
      <w:r>
        <w:rPr>
          <w:color w:val="auto"/>
        </w:rPr>
        <w:fldChar w:fldCharType="separate"/>
      </w:r>
      <w:r>
        <w:rPr>
          <w:rStyle w:val="29"/>
          <w:rFonts w:hint="eastAsia"/>
          <w:b w:val="0"/>
          <w:color w:val="auto"/>
        </w:rPr>
        <w:t>附件</w:t>
      </w:r>
      <w:r>
        <w:rPr>
          <w:rStyle w:val="29"/>
          <w:b w:val="0"/>
          <w:color w:val="auto"/>
        </w:rPr>
        <w:t xml:space="preserve">2 </w:t>
      </w:r>
      <w:r>
        <w:rPr>
          <w:rStyle w:val="29"/>
          <w:rFonts w:hint="eastAsia"/>
          <w:b w:val="0"/>
          <w:color w:val="auto"/>
        </w:rPr>
        <w:t>供货范围</w:t>
      </w:r>
      <w:r>
        <w:rPr>
          <w:b w:val="0"/>
          <w:color w:val="auto"/>
        </w:rPr>
        <w:tab/>
      </w:r>
      <w:r>
        <w:rPr>
          <w:b w:val="0"/>
          <w:color w:val="auto"/>
        </w:rPr>
        <w:fldChar w:fldCharType="end"/>
      </w:r>
    </w:p>
    <w:p w14:paraId="05AB00CE">
      <w:pPr>
        <w:pStyle w:val="22"/>
        <w:spacing w:before="156"/>
        <w:rPr>
          <w:rFonts w:ascii="Calibri" w:hAnsi="Calibri"/>
          <w:b w:val="0"/>
          <w:color w:val="auto"/>
        </w:rPr>
      </w:pPr>
      <w:r>
        <w:rPr>
          <w:color w:val="auto"/>
        </w:rPr>
        <w:fldChar w:fldCharType="begin"/>
      </w:r>
      <w:r>
        <w:rPr>
          <w:color w:val="auto"/>
        </w:rPr>
        <w:instrText xml:space="preserve"> HYPERLINK \l "_Toc394471048" </w:instrText>
      </w:r>
      <w:r>
        <w:rPr>
          <w:color w:val="auto"/>
        </w:rPr>
        <w:fldChar w:fldCharType="separate"/>
      </w:r>
      <w:r>
        <w:rPr>
          <w:rStyle w:val="29"/>
          <w:rFonts w:hint="eastAsia"/>
          <w:b w:val="0"/>
          <w:color w:val="auto"/>
        </w:rPr>
        <w:t>附件</w:t>
      </w:r>
      <w:r>
        <w:rPr>
          <w:rStyle w:val="29"/>
          <w:b w:val="0"/>
          <w:color w:val="auto"/>
        </w:rPr>
        <w:t xml:space="preserve">3 </w:t>
      </w:r>
      <w:r>
        <w:rPr>
          <w:rStyle w:val="29"/>
          <w:rFonts w:hint="eastAsia"/>
          <w:b w:val="0"/>
          <w:color w:val="auto"/>
        </w:rPr>
        <w:t>技术资料及交付进度</w:t>
      </w:r>
      <w:r>
        <w:rPr>
          <w:b w:val="0"/>
          <w:color w:val="auto"/>
        </w:rPr>
        <w:tab/>
      </w:r>
      <w:r>
        <w:rPr>
          <w:b w:val="0"/>
          <w:color w:val="auto"/>
        </w:rPr>
        <w:fldChar w:fldCharType="end"/>
      </w:r>
    </w:p>
    <w:p w14:paraId="3685D3A9">
      <w:pPr>
        <w:pStyle w:val="22"/>
        <w:spacing w:before="156"/>
        <w:rPr>
          <w:rFonts w:ascii="Calibri" w:hAnsi="Calibri"/>
          <w:b w:val="0"/>
          <w:color w:val="auto"/>
        </w:rPr>
      </w:pPr>
      <w:r>
        <w:rPr>
          <w:color w:val="auto"/>
        </w:rPr>
        <w:fldChar w:fldCharType="begin"/>
      </w:r>
      <w:r>
        <w:rPr>
          <w:color w:val="auto"/>
        </w:rPr>
        <w:instrText xml:space="preserve"> HYPERLINK \l "_Toc394471049" </w:instrText>
      </w:r>
      <w:r>
        <w:rPr>
          <w:color w:val="auto"/>
        </w:rPr>
        <w:fldChar w:fldCharType="separate"/>
      </w:r>
      <w:r>
        <w:rPr>
          <w:rStyle w:val="29"/>
          <w:rFonts w:hint="eastAsia"/>
          <w:b w:val="0"/>
          <w:color w:val="auto"/>
        </w:rPr>
        <w:t>附件</w:t>
      </w:r>
      <w:r>
        <w:rPr>
          <w:rStyle w:val="29"/>
          <w:b w:val="0"/>
          <w:color w:val="auto"/>
        </w:rPr>
        <w:t xml:space="preserve">4 </w:t>
      </w:r>
      <w:r>
        <w:rPr>
          <w:rStyle w:val="29"/>
          <w:rFonts w:hint="eastAsia"/>
          <w:b w:val="0"/>
          <w:color w:val="auto"/>
        </w:rPr>
        <w:t>设备交货进度</w:t>
      </w:r>
      <w:r>
        <w:rPr>
          <w:b w:val="0"/>
          <w:color w:val="auto"/>
        </w:rPr>
        <w:tab/>
      </w:r>
      <w:r>
        <w:rPr>
          <w:b w:val="0"/>
          <w:color w:val="auto"/>
        </w:rPr>
        <w:fldChar w:fldCharType="end"/>
      </w:r>
    </w:p>
    <w:p w14:paraId="4CBDA987">
      <w:pPr>
        <w:pStyle w:val="22"/>
        <w:spacing w:before="156"/>
        <w:rPr>
          <w:rFonts w:ascii="Calibri" w:hAnsi="Calibri"/>
          <w:b w:val="0"/>
          <w:color w:val="auto"/>
        </w:rPr>
      </w:pPr>
      <w:r>
        <w:rPr>
          <w:color w:val="auto"/>
        </w:rPr>
        <w:fldChar w:fldCharType="begin"/>
      </w:r>
      <w:r>
        <w:rPr>
          <w:color w:val="auto"/>
        </w:rPr>
        <w:instrText xml:space="preserve"> HYPERLINK \l "_Toc394471050" </w:instrText>
      </w:r>
      <w:r>
        <w:rPr>
          <w:color w:val="auto"/>
        </w:rPr>
        <w:fldChar w:fldCharType="separate"/>
      </w:r>
      <w:r>
        <w:rPr>
          <w:rStyle w:val="29"/>
          <w:rFonts w:hint="eastAsia"/>
          <w:b w:val="0"/>
          <w:color w:val="auto"/>
        </w:rPr>
        <w:t>附件</w:t>
      </w:r>
      <w:r>
        <w:rPr>
          <w:rStyle w:val="29"/>
          <w:b w:val="0"/>
          <w:color w:val="auto"/>
        </w:rPr>
        <w:t xml:space="preserve">5 </w:t>
      </w:r>
      <w:r>
        <w:rPr>
          <w:rStyle w:val="29"/>
          <w:rFonts w:hint="eastAsia"/>
          <w:b w:val="0"/>
          <w:color w:val="auto"/>
        </w:rPr>
        <w:t>设备监造、检验和性能验收试验</w:t>
      </w:r>
      <w:r>
        <w:rPr>
          <w:b w:val="0"/>
          <w:color w:val="auto"/>
        </w:rPr>
        <w:tab/>
      </w:r>
      <w:r>
        <w:rPr>
          <w:b w:val="0"/>
          <w:color w:val="auto"/>
        </w:rPr>
        <w:fldChar w:fldCharType="end"/>
      </w:r>
    </w:p>
    <w:p w14:paraId="4515BAD5">
      <w:pPr>
        <w:pStyle w:val="22"/>
        <w:spacing w:before="156"/>
        <w:rPr>
          <w:rFonts w:ascii="Calibri" w:hAnsi="Calibri"/>
          <w:b w:val="0"/>
          <w:color w:val="auto"/>
        </w:rPr>
      </w:pPr>
      <w:r>
        <w:rPr>
          <w:color w:val="auto"/>
        </w:rPr>
        <w:fldChar w:fldCharType="begin"/>
      </w:r>
      <w:r>
        <w:rPr>
          <w:color w:val="auto"/>
        </w:rPr>
        <w:instrText xml:space="preserve"> HYPERLINK \l "_Toc394471051" </w:instrText>
      </w:r>
      <w:r>
        <w:rPr>
          <w:color w:val="auto"/>
        </w:rPr>
        <w:fldChar w:fldCharType="separate"/>
      </w:r>
      <w:r>
        <w:rPr>
          <w:rStyle w:val="29"/>
          <w:rFonts w:hint="eastAsia"/>
          <w:b w:val="0"/>
          <w:color w:val="auto"/>
        </w:rPr>
        <w:t>附件</w:t>
      </w:r>
      <w:r>
        <w:rPr>
          <w:rStyle w:val="29"/>
          <w:b w:val="0"/>
          <w:color w:val="auto"/>
        </w:rPr>
        <w:t xml:space="preserve">6 </w:t>
      </w:r>
      <w:r>
        <w:rPr>
          <w:rStyle w:val="29"/>
          <w:rFonts w:hint="eastAsia"/>
          <w:b w:val="0"/>
          <w:color w:val="auto"/>
        </w:rPr>
        <w:t>技术服务和联络</w:t>
      </w:r>
      <w:r>
        <w:rPr>
          <w:b w:val="0"/>
          <w:color w:val="auto"/>
        </w:rPr>
        <w:tab/>
      </w:r>
      <w:r>
        <w:rPr>
          <w:b w:val="0"/>
          <w:color w:val="auto"/>
        </w:rPr>
        <w:fldChar w:fldCharType="end"/>
      </w:r>
    </w:p>
    <w:p w14:paraId="42048115">
      <w:pPr>
        <w:pStyle w:val="22"/>
        <w:spacing w:before="156"/>
        <w:rPr>
          <w:rFonts w:ascii="Calibri" w:hAnsi="Calibri"/>
          <w:b w:val="0"/>
          <w:color w:val="auto"/>
        </w:rPr>
      </w:pPr>
      <w:r>
        <w:rPr>
          <w:color w:val="auto"/>
        </w:rPr>
        <w:fldChar w:fldCharType="begin"/>
      </w:r>
      <w:r>
        <w:rPr>
          <w:color w:val="auto"/>
        </w:rPr>
        <w:instrText xml:space="preserve"> HYPERLINK \l "_Toc394471052" </w:instrText>
      </w:r>
      <w:r>
        <w:rPr>
          <w:color w:val="auto"/>
        </w:rPr>
        <w:fldChar w:fldCharType="separate"/>
      </w:r>
      <w:r>
        <w:rPr>
          <w:rStyle w:val="29"/>
          <w:rFonts w:hint="eastAsia"/>
          <w:b w:val="0"/>
          <w:color w:val="auto"/>
        </w:rPr>
        <w:t>附件</w:t>
      </w:r>
      <w:r>
        <w:rPr>
          <w:rStyle w:val="29"/>
          <w:b w:val="0"/>
          <w:color w:val="auto"/>
        </w:rPr>
        <w:t xml:space="preserve">7 </w:t>
      </w:r>
      <w:r>
        <w:rPr>
          <w:rStyle w:val="29"/>
          <w:rFonts w:hint="eastAsia"/>
          <w:b w:val="0"/>
          <w:color w:val="auto"/>
        </w:rPr>
        <w:t>分包与外购</w:t>
      </w:r>
      <w:r>
        <w:rPr>
          <w:b w:val="0"/>
          <w:color w:val="auto"/>
        </w:rPr>
        <w:tab/>
      </w:r>
      <w:r>
        <w:rPr>
          <w:b w:val="0"/>
          <w:color w:val="auto"/>
        </w:rPr>
        <w:fldChar w:fldCharType="end"/>
      </w:r>
    </w:p>
    <w:p w14:paraId="7ADDC077">
      <w:pPr>
        <w:pStyle w:val="22"/>
        <w:spacing w:before="156"/>
        <w:rPr>
          <w:rFonts w:ascii="Calibri" w:hAnsi="Calibri"/>
          <w:b w:val="0"/>
          <w:color w:val="auto"/>
        </w:rPr>
      </w:pPr>
      <w:r>
        <w:rPr>
          <w:color w:val="auto"/>
        </w:rPr>
        <w:fldChar w:fldCharType="begin"/>
      </w:r>
      <w:r>
        <w:rPr>
          <w:color w:val="auto"/>
        </w:rPr>
        <w:instrText xml:space="preserve"> HYPERLINK \l "_Toc394471054" </w:instrText>
      </w:r>
      <w:r>
        <w:rPr>
          <w:color w:val="auto"/>
        </w:rPr>
        <w:fldChar w:fldCharType="separate"/>
      </w:r>
      <w:r>
        <w:rPr>
          <w:rStyle w:val="29"/>
          <w:rFonts w:hint="eastAsia"/>
          <w:b w:val="0"/>
          <w:color w:val="auto"/>
        </w:rPr>
        <w:t>附件8</w:t>
      </w:r>
      <w:r>
        <w:rPr>
          <w:rStyle w:val="29"/>
          <w:b w:val="0"/>
          <w:color w:val="auto"/>
        </w:rPr>
        <w:t xml:space="preserve"> </w:t>
      </w:r>
      <w:r>
        <w:rPr>
          <w:rStyle w:val="29"/>
          <w:rFonts w:hint="eastAsia"/>
          <w:b w:val="0"/>
          <w:color w:val="auto"/>
        </w:rPr>
        <w:t>大（部）件情况</w:t>
      </w:r>
      <w:r>
        <w:rPr>
          <w:b w:val="0"/>
          <w:color w:val="auto"/>
        </w:rPr>
        <w:tab/>
      </w:r>
      <w:r>
        <w:rPr>
          <w:b w:val="0"/>
          <w:color w:val="auto"/>
        </w:rPr>
        <w:fldChar w:fldCharType="end"/>
      </w:r>
    </w:p>
    <w:p w14:paraId="0016EA78">
      <w:pPr>
        <w:pStyle w:val="22"/>
        <w:spacing w:before="156"/>
        <w:rPr>
          <w:rFonts w:ascii="Calibri" w:hAnsi="Calibri"/>
          <w:b w:val="0"/>
          <w:color w:val="auto"/>
        </w:rPr>
      </w:pPr>
      <w:r>
        <w:rPr>
          <w:color w:val="auto"/>
        </w:rPr>
        <w:fldChar w:fldCharType="begin"/>
      </w:r>
      <w:r>
        <w:rPr>
          <w:color w:val="auto"/>
        </w:rPr>
        <w:instrText xml:space="preserve"> HYPERLINK \l "_Toc394471055" </w:instrText>
      </w:r>
      <w:r>
        <w:rPr>
          <w:color w:val="auto"/>
        </w:rPr>
        <w:fldChar w:fldCharType="separate"/>
      </w:r>
      <w:r>
        <w:rPr>
          <w:rStyle w:val="29"/>
          <w:rFonts w:hint="eastAsia"/>
          <w:b w:val="0"/>
          <w:color w:val="auto"/>
        </w:rPr>
        <w:t>附件9</w:t>
      </w:r>
      <w:r>
        <w:rPr>
          <w:rStyle w:val="29"/>
          <w:b w:val="0"/>
          <w:color w:val="auto"/>
        </w:rPr>
        <w:t xml:space="preserve"> </w:t>
      </w:r>
      <w:r>
        <w:rPr>
          <w:rStyle w:val="29"/>
          <w:rFonts w:hint="eastAsia"/>
          <w:b w:val="0"/>
          <w:color w:val="auto"/>
        </w:rPr>
        <w:t>技术差异表</w:t>
      </w:r>
      <w:r>
        <w:rPr>
          <w:b w:val="0"/>
          <w:color w:val="auto"/>
        </w:rPr>
        <w:tab/>
      </w:r>
      <w:r>
        <w:rPr>
          <w:b w:val="0"/>
          <w:color w:val="auto"/>
        </w:rPr>
        <w:fldChar w:fldCharType="end"/>
      </w:r>
    </w:p>
    <w:p w14:paraId="723F3081">
      <w:pPr>
        <w:pStyle w:val="22"/>
        <w:spacing w:before="156"/>
        <w:rPr>
          <w:rFonts w:ascii="Calibri" w:hAnsi="Calibri"/>
          <w:b w:val="0"/>
          <w:color w:val="auto"/>
        </w:rPr>
      </w:pPr>
      <w:r>
        <w:rPr>
          <w:color w:val="auto"/>
        </w:rPr>
        <w:fldChar w:fldCharType="begin"/>
      </w:r>
      <w:r>
        <w:rPr>
          <w:color w:val="auto"/>
        </w:rPr>
        <w:instrText xml:space="preserve"> HYPERLINK \l "_Toc394471056" </w:instrText>
      </w:r>
      <w:r>
        <w:rPr>
          <w:color w:val="auto"/>
        </w:rPr>
        <w:fldChar w:fldCharType="separate"/>
      </w:r>
      <w:r>
        <w:rPr>
          <w:rStyle w:val="29"/>
          <w:rFonts w:hint="eastAsia"/>
          <w:b w:val="0"/>
          <w:color w:val="auto"/>
        </w:rPr>
        <w:t>附件</w:t>
      </w:r>
      <w:r>
        <w:rPr>
          <w:rStyle w:val="29"/>
          <w:b w:val="0"/>
          <w:color w:val="auto"/>
        </w:rPr>
        <w:t>1</w:t>
      </w:r>
      <w:r>
        <w:rPr>
          <w:rStyle w:val="29"/>
          <w:rFonts w:hint="eastAsia"/>
          <w:b w:val="0"/>
          <w:color w:val="auto"/>
        </w:rPr>
        <w:t>0</w:t>
      </w:r>
      <w:r>
        <w:rPr>
          <w:rStyle w:val="29"/>
          <w:b w:val="0"/>
          <w:color w:val="auto"/>
        </w:rPr>
        <w:t xml:space="preserve"> </w:t>
      </w:r>
      <w:r>
        <w:rPr>
          <w:rStyle w:val="29"/>
          <w:rFonts w:hint="eastAsia"/>
          <w:b w:val="0"/>
          <w:color w:val="auto"/>
        </w:rPr>
        <w:t>附图</w:t>
      </w:r>
      <w:r>
        <w:rPr>
          <w:b w:val="0"/>
          <w:color w:val="auto"/>
        </w:rPr>
        <w:tab/>
      </w:r>
      <w:r>
        <w:rPr>
          <w:b w:val="0"/>
          <w:color w:val="auto"/>
        </w:rPr>
        <w:fldChar w:fldCharType="end"/>
      </w:r>
    </w:p>
    <w:p w14:paraId="1783E69A">
      <w:pPr>
        <w:pStyle w:val="22"/>
        <w:spacing w:before="156"/>
        <w:rPr>
          <w:rFonts w:ascii="Calibri" w:hAnsi="Calibri"/>
          <w:b w:val="0"/>
          <w:color w:val="auto"/>
        </w:rPr>
      </w:pPr>
      <w:r>
        <w:rPr>
          <w:color w:val="auto"/>
        </w:rPr>
        <w:fldChar w:fldCharType="begin"/>
      </w:r>
      <w:r>
        <w:rPr>
          <w:color w:val="auto"/>
        </w:rPr>
        <w:instrText xml:space="preserve"> HYPERLINK \l "_Toc394471057" </w:instrText>
      </w:r>
      <w:r>
        <w:rPr>
          <w:color w:val="auto"/>
        </w:rPr>
        <w:fldChar w:fldCharType="separate"/>
      </w:r>
      <w:r>
        <w:rPr>
          <w:rStyle w:val="29"/>
          <w:rFonts w:hint="eastAsia"/>
          <w:b w:val="0"/>
          <w:color w:val="auto"/>
        </w:rPr>
        <w:t>附件</w:t>
      </w:r>
      <w:r>
        <w:rPr>
          <w:rStyle w:val="29"/>
          <w:b w:val="0"/>
          <w:color w:val="auto"/>
        </w:rPr>
        <w:t>1</w:t>
      </w:r>
      <w:r>
        <w:rPr>
          <w:rStyle w:val="29"/>
          <w:rFonts w:hint="eastAsia"/>
          <w:b w:val="0"/>
          <w:color w:val="auto"/>
        </w:rPr>
        <w:t>1</w:t>
      </w:r>
      <w:r>
        <w:rPr>
          <w:rStyle w:val="29"/>
          <w:b w:val="0"/>
          <w:color w:val="auto"/>
        </w:rPr>
        <w:t xml:space="preserve"> </w:t>
      </w:r>
      <w:r>
        <w:rPr>
          <w:rStyle w:val="29"/>
          <w:rFonts w:hint="eastAsia"/>
          <w:b w:val="0"/>
          <w:color w:val="auto"/>
        </w:rPr>
        <w:t>性能考核条款</w:t>
      </w:r>
      <w:r>
        <w:rPr>
          <w:b w:val="0"/>
          <w:color w:val="auto"/>
        </w:rPr>
        <w:tab/>
      </w:r>
      <w:r>
        <w:rPr>
          <w:b w:val="0"/>
          <w:color w:val="auto"/>
        </w:rPr>
        <w:fldChar w:fldCharType="end"/>
      </w:r>
    </w:p>
    <w:p w14:paraId="78D7F9D0">
      <w:pPr>
        <w:pStyle w:val="22"/>
        <w:spacing w:before="156"/>
        <w:rPr>
          <w:rFonts w:ascii="Calibri" w:hAnsi="Calibri"/>
          <w:b w:val="0"/>
          <w:color w:val="auto"/>
        </w:rPr>
      </w:pPr>
      <w:r>
        <w:rPr>
          <w:color w:val="auto"/>
        </w:rPr>
        <w:fldChar w:fldCharType="begin"/>
      </w:r>
      <w:r>
        <w:rPr>
          <w:color w:val="auto"/>
        </w:rPr>
        <w:instrText xml:space="preserve"> HYPERLINK \l "_Toc394471058" </w:instrText>
      </w:r>
      <w:r>
        <w:rPr>
          <w:color w:val="auto"/>
        </w:rPr>
        <w:fldChar w:fldCharType="separate"/>
      </w:r>
      <w:r>
        <w:rPr>
          <w:rStyle w:val="29"/>
          <w:rFonts w:hint="eastAsia"/>
          <w:b w:val="0"/>
          <w:color w:val="auto"/>
        </w:rPr>
        <w:t>附件</w:t>
      </w:r>
      <w:r>
        <w:rPr>
          <w:rStyle w:val="29"/>
          <w:b w:val="0"/>
          <w:color w:val="auto"/>
        </w:rPr>
        <w:t>1</w:t>
      </w:r>
      <w:r>
        <w:rPr>
          <w:rStyle w:val="29"/>
          <w:rFonts w:hint="eastAsia"/>
          <w:b w:val="0"/>
          <w:color w:val="auto"/>
        </w:rPr>
        <w:t>2</w:t>
      </w:r>
      <w:r>
        <w:rPr>
          <w:rStyle w:val="29"/>
          <w:b w:val="0"/>
          <w:color w:val="auto"/>
        </w:rPr>
        <w:t xml:space="preserve"> </w:t>
      </w:r>
      <w:r>
        <w:rPr>
          <w:rStyle w:val="29"/>
          <w:rFonts w:hint="eastAsia"/>
          <w:b w:val="0"/>
          <w:color w:val="auto"/>
        </w:rPr>
        <w:t>投标人需要说明的其他问题（技术特点、质保体系等）</w:t>
      </w:r>
      <w:r>
        <w:rPr>
          <w:b w:val="0"/>
          <w:color w:val="auto"/>
        </w:rPr>
        <w:tab/>
      </w:r>
      <w:r>
        <w:rPr>
          <w:b w:val="0"/>
          <w:color w:val="auto"/>
        </w:rPr>
        <w:fldChar w:fldCharType="end"/>
      </w:r>
    </w:p>
    <w:p w14:paraId="60B8A846">
      <w:pPr>
        <w:pStyle w:val="22"/>
        <w:spacing w:before="156"/>
        <w:rPr>
          <w:b w:val="0"/>
          <w:color w:val="auto"/>
        </w:rPr>
      </w:pPr>
      <w:r>
        <w:rPr>
          <w:color w:val="auto"/>
        </w:rPr>
        <w:fldChar w:fldCharType="begin"/>
      </w:r>
      <w:r>
        <w:rPr>
          <w:color w:val="auto"/>
        </w:rPr>
        <w:instrText xml:space="preserve"> HYPERLINK \l "_Toc394471059" </w:instrText>
      </w:r>
      <w:r>
        <w:rPr>
          <w:color w:val="auto"/>
        </w:rPr>
        <w:fldChar w:fldCharType="separate"/>
      </w:r>
      <w:r>
        <w:rPr>
          <w:rStyle w:val="29"/>
          <w:rFonts w:hint="eastAsia"/>
          <w:b w:val="0"/>
          <w:color w:val="auto"/>
        </w:rPr>
        <w:t>附件</w:t>
      </w:r>
      <w:r>
        <w:rPr>
          <w:rStyle w:val="29"/>
          <w:b w:val="0"/>
          <w:color w:val="auto"/>
        </w:rPr>
        <w:t>1</w:t>
      </w:r>
      <w:r>
        <w:rPr>
          <w:rStyle w:val="29"/>
          <w:rFonts w:hint="eastAsia"/>
          <w:b w:val="0"/>
          <w:color w:val="auto"/>
        </w:rPr>
        <w:t>3</w:t>
      </w:r>
      <w:r>
        <w:rPr>
          <w:rStyle w:val="29"/>
          <w:b w:val="0"/>
          <w:color w:val="auto"/>
        </w:rPr>
        <w:t xml:space="preserve"> </w:t>
      </w:r>
      <w:r>
        <w:rPr>
          <w:rStyle w:val="29"/>
          <w:rFonts w:hint="eastAsia"/>
          <w:b w:val="0"/>
          <w:color w:val="auto"/>
        </w:rPr>
        <w:t>业绩及用户评价</w:t>
      </w:r>
      <w:r>
        <w:rPr>
          <w:b w:val="0"/>
          <w:color w:val="auto"/>
        </w:rPr>
        <w:tab/>
      </w:r>
      <w:r>
        <w:rPr>
          <w:b w:val="0"/>
          <w:color w:val="auto"/>
        </w:rPr>
        <w:fldChar w:fldCharType="end"/>
      </w:r>
      <w:r>
        <w:rPr>
          <w:b w:val="0"/>
          <w:color w:val="auto"/>
        </w:rPr>
        <w:br w:type="page"/>
      </w:r>
    </w:p>
    <w:p w14:paraId="075E9CE1">
      <w:pPr>
        <w:spacing w:before="156"/>
        <w:ind w:left="368" w:leftChars="71" w:hanging="198" w:hangingChars="82"/>
        <w:rPr>
          <w:rFonts w:cs="宋体"/>
          <w:b/>
          <w:color w:val="auto"/>
          <w:szCs w:val="20"/>
        </w:rPr>
      </w:pPr>
      <w:r>
        <w:rPr>
          <w:b/>
          <w:bCs/>
          <w:caps/>
          <w:color w:val="auto"/>
        </w:rPr>
        <w:fldChar w:fldCharType="end"/>
      </w:r>
      <w:bookmarkStart w:id="0" w:name="_Toc118724525"/>
      <w:r>
        <w:rPr>
          <w:rFonts w:hint="eastAsia"/>
          <w:b/>
          <w:color w:val="auto"/>
        </w:rPr>
        <w:t>附件1、技术规范</w:t>
      </w:r>
      <w:bookmarkEnd w:id="0"/>
      <w:bookmarkStart w:id="1" w:name="_Hlt509462934"/>
      <w:bookmarkEnd w:id="1"/>
      <w:bookmarkStart w:id="2" w:name="_Toc54931164"/>
      <w:bookmarkStart w:id="3" w:name="_Toc35404854"/>
      <w:bookmarkStart w:id="4" w:name="_Toc195428956"/>
    </w:p>
    <w:p w14:paraId="34C56D21">
      <w:pPr>
        <w:spacing w:beforeLines="0"/>
        <w:ind w:left="482" w:leftChars="0" w:hanging="482"/>
        <w:outlineLvl w:val="0"/>
        <w:rPr>
          <w:b/>
          <w:color w:val="auto"/>
        </w:rPr>
      </w:pPr>
      <w:r>
        <w:rPr>
          <w:b/>
          <w:color w:val="auto"/>
        </w:rPr>
        <w:t>1</w:t>
      </w:r>
      <w:r>
        <w:rPr>
          <w:rFonts w:hint="eastAsia"/>
          <w:b/>
          <w:color w:val="auto"/>
        </w:rPr>
        <w:t>、总则</w:t>
      </w:r>
      <w:bookmarkEnd w:id="2"/>
      <w:bookmarkEnd w:id="3"/>
      <w:bookmarkEnd w:id="4"/>
    </w:p>
    <w:p w14:paraId="27E83A98">
      <w:pPr>
        <w:widowControl w:val="0"/>
        <w:tabs>
          <w:tab w:val="left" w:pos="340"/>
          <w:tab w:val="left" w:pos="3195"/>
        </w:tabs>
        <w:spacing w:beforeLines="0"/>
        <w:ind w:left="171" w:leftChars="0" w:firstLine="0" w:firstLineChars="0"/>
        <w:jc w:val="both"/>
        <w:rPr>
          <w:color w:val="auto"/>
        </w:rPr>
      </w:pPr>
      <w:bookmarkStart w:id="5" w:name="_Toc195428958"/>
      <w:bookmarkStart w:id="6" w:name="_Toc478440808"/>
      <w:bookmarkStart w:id="7" w:name="_Toc54931166"/>
      <w:bookmarkStart w:id="8" w:name="_Toc35404856"/>
      <w:r>
        <w:rPr>
          <w:rFonts w:hint="eastAsia"/>
          <w:color w:val="auto"/>
        </w:rPr>
        <w:t>1.1</w:t>
      </w:r>
      <w:r>
        <w:rPr>
          <w:color w:val="auto"/>
        </w:rPr>
        <w:t>本技术规范适用于浙江浙能</w:t>
      </w:r>
      <w:r>
        <w:rPr>
          <w:rFonts w:hint="eastAsia"/>
          <w:color w:val="auto"/>
        </w:rPr>
        <w:t>伊犁新天煤化工有限责任公司热电车间锅炉</w:t>
      </w:r>
      <w:r>
        <w:rPr>
          <w:color w:val="auto"/>
        </w:rPr>
        <w:t>高温高压闸阀的采购和供货。</w:t>
      </w:r>
    </w:p>
    <w:p w14:paraId="50A684CD">
      <w:pPr>
        <w:widowControl w:val="0"/>
        <w:tabs>
          <w:tab w:val="left" w:pos="340"/>
          <w:tab w:val="left" w:pos="3195"/>
        </w:tabs>
        <w:spacing w:beforeLines="0"/>
        <w:ind w:left="200" w:leftChars="0" w:firstLine="0" w:firstLineChars="0"/>
        <w:jc w:val="both"/>
        <w:rPr>
          <w:color w:val="auto"/>
        </w:rPr>
      </w:pPr>
      <w:r>
        <w:rPr>
          <w:rFonts w:hint="eastAsia"/>
          <w:color w:val="auto"/>
        </w:rPr>
        <w:t>1.2</w:t>
      </w:r>
      <w:r>
        <w:rPr>
          <w:color w:val="auto"/>
        </w:rPr>
        <w:t>本技术规范包括高温高压闸阀本体的功能设计、结构、性能、试验等方面的技术要求。</w:t>
      </w:r>
    </w:p>
    <w:p w14:paraId="597F4D95">
      <w:pPr>
        <w:widowControl w:val="0"/>
        <w:tabs>
          <w:tab w:val="left" w:pos="340"/>
          <w:tab w:val="left" w:pos="3195"/>
        </w:tabs>
        <w:spacing w:beforeLines="0"/>
        <w:ind w:left="200" w:leftChars="0" w:firstLine="0" w:firstLineChars="0"/>
        <w:jc w:val="both"/>
        <w:rPr>
          <w:color w:val="auto"/>
        </w:rPr>
      </w:pPr>
      <w:r>
        <w:rPr>
          <w:rFonts w:hint="eastAsia"/>
          <w:color w:val="auto"/>
        </w:rPr>
        <w:t>1.3</w:t>
      </w:r>
      <w:r>
        <w:rPr>
          <w:color w:val="auto"/>
        </w:rPr>
        <w:t>本技术规范所提出的是最低限度的技术要求，并未对一切技术细节作出规定，也未充分引述有关标准和规范的条文。投标人保证提供符合技术规范要求和现行中国或国际通用标准的优质产品。</w:t>
      </w:r>
    </w:p>
    <w:p w14:paraId="751CF056">
      <w:pPr>
        <w:widowControl w:val="0"/>
        <w:tabs>
          <w:tab w:val="left" w:pos="340"/>
          <w:tab w:val="left" w:pos="3195"/>
        </w:tabs>
        <w:spacing w:beforeLines="0"/>
        <w:ind w:left="200" w:leftChars="0" w:firstLine="0" w:firstLineChars="0"/>
        <w:jc w:val="both"/>
        <w:rPr>
          <w:color w:val="auto"/>
        </w:rPr>
      </w:pPr>
      <w:r>
        <w:rPr>
          <w:rFonts w:hint="eastAsia"/>
          <w:color w:val="auto"/>
        </w:rPr>
        <w:t>1.4</w:t>
      </w:r>
      <w:r>
        <w:rPr>
          <w:color w:val="auto"/>
        </w:rPr>
        <w:t>投标人提供的设备是全新的和先进的，并经过运行实践已证明是完全成熟可靠的产品。同时满足国家的有关安全、环保等强制性法规、标准的要求。</w:t>
      </w:r>
    </w:p>
    <w:p w14:paraId="2A93B996">
      <w:pPr>
        <w:widowControl w:val="0"/>
        <w:tabs>
          <w:tab w:val="left" w:pos="340"/>
          <w:tab w:val="left" w:pos="3195"/>
        </w:tabs>
        <w:spacing w:beforeLines="0"/>
        <w:ind w:left="200" w:leftChars="0" w:firstLine="0" w:firstLineChars="0"/>
        <w:jc w:val="both"/>
        <w:rPr>
          <w:color w:val="auto"/>
        </w:rPr>
      </w:pPr>
      <w:r>
        <w:rPr>
          <w:rFonts w:hint="eastAsia"/>
          <w:color w:val="auto"/>
        </w:rPr>
        <w:t>1.5</w:t>
      </w:r>
      <w:r>
        <w:rPr>
          <w:color w:val="auto"/>
        </w:rPr>
        <w:t>在签订合同之后，到投标人开始制造之日的这段时间内，招标人有权提出因参数、规范、标准和规程发生变化而产生的一些补充修改要求，投标人应遵守这个要求，具体款项内容由</w:t>
      </w:r>
      <w:r>
        <w:rPr>
          <w:rFonts w:hint="eastAsia"/>
          <w:color w:val="auto"/>
        </w:rPr>
        <w:t>招标人和投标人</w:t>
      </w:r>
      <w:r>
        <w:rPr>
          <w:color w:val="auto"/>
        </w:rPr>
        <w:t>共同商定，而投标人不提出商务修改要求。</w:t>
      </w:r>
    </w:p>
    <w:p w14:paraId="36823C29">
      <w:pPr>
        <w:widowControl w:val="0"/>
        <w:tabs>
          <w:tab w:val="left" w:pos="340"/>
          <w:tab w:val="left" w:pos="3195"/>
        </w:tabs>
        <w:spacing w:beforeLines="0"/>
        <w:ind w:left="200" w:leftChars="0" w:firstLine="0" w:firstLineChars="0"/>
        <w:jc w:val="both"/>
        <w:rPr>
          <w:color w:val="auto"/>
        </w:rPr>
      </w:pPr>
      <w:r>
        <w:rPr>
          <w:rFonts w:hint="eastAsia"/>
          <w:color w:val="auto"/>
        </w:rPr>
        <w:t>1.6</w:t>
      </w:r>
      <w:r>
        <w:rPr>
          <w:color w:val="auto"/>
        </w:rPr>
        <w:t>本技术规范所使用的标准，如遇到与投标人所执行的标准不一致时，按较高的标准执行，但不应低于最新中国国家标准。如果本技术规范与现行使用的有关中国标准以及中国部颁标准有明显抵触的条文，投标人应及时书面通知招标人进行解决。</w:t>
      </w:r>
    </w:p>
    <w:p w14:paraId="34DF1C60">
      <w:pPr>
        <w:widowControl w:val="0"/>
        <w:tabs>
          <w:tab w:val="left" w:pos="525"/>
        </w:tabs>
        <w:spacing w:beforeLines="0"/>
        <w:ind w:left="200" w:leftChars="0" w:firstLine="0" w:firstLineChars="0"/>
        <w:jc w:val="both"/>
        <w:outlineLvl w:val="1"/>
        <w:rPr>
          <w:color w:val="auto"/>
        </w:rPr>
      </w:pPr>
      <w:r>
        <w:rPr>
          <w:rFonts w:hint="eastAsia"/>
          <w:color w:val="auto"/>
        </w:rPr>
        <w:t>1.7</w:t>
      </w:r>
      <w:r>
        <w:rPr>
          <w:color w:val="auto"/>
        </w:rPr>
        <w:t>所有技术资料和文件中的单位采用国际单位制。</w:t>
      </w:r>
    </w:p>
    <w:p w14:paraId="038F7DF9">
      <w:pPr>
        <w:widowControl w:val="0"/>
        <w:tabs>
          <w:tab w:val="left" w:pos="525"/>
        </w:tabs>
        <w:spacing w:beforeLines="0"/>
        <w:ind w:left="200" w:leftChars="0" w:firstLine="0" w:firstLineChars="0"/>
        <w:jc w:val="both"/>
        <w:rPr>
          <w:color w:val="auto"/>
        </w:rPr>
      </w:pPr>
      <w:r>
        <w:rPr>
          <w:rFonts w:hint="eastAsia"/>
          <w:color w:val="auto"/>
        </w:rPr>
        <w:t>1.8</w:t>
      </w:r>
      <w:r>
        <w:rPr>
          <w:color w:val="auto"/>
        </w:rPr>
        <w:t>投标人合同执行过程中的一切图纸、技术文件、商务信函等提供中文，如果投标人提供的文件中使用另一种文字，则需有中文译本，在这种情况下，解释以中文为准。</w:t>
      </w:r>
    </w:p>
    <w:p w14:paraId="1C299105">
      <w:pPr>
        <w:widowControl w:val="0"/>
        <w:tabs>
          <w:tab w:val="left" w:pos="525"/>
        </w:tabs>
        <w:spacing w:beforeLines="0"/>
        <w:ind w:left="200" w:leftChars="0" w:firstLine="0" w:firstLineChars="0"/>
        <w:jc w:val="both"/>
        <w:rPr>
          <w:color w:val="auto"/>
        </w:rPr>
      </w:pPr>
      <w:r>
        <w:rPr>
          <w:rFonts w:hint="eastAsia"/>
          <w:color w:val="auto"/>
        </w:rPr>
        <w:t>1.9</w:t>
      </w:r>
      <w:r>
        <w:rPr>
          <w:color w:val="auto"/>
        </w:rPr>
        <w:t>投标人提供高质量的设备。这些设备是成熟可靠、技术先进的产品，且制造厂已有相同容量机组设备制造、运行的成功经验。</w:t>
      </w:r>
    </w:p>
    <w:p w14:paraId="4349FE01">
      <w:pPr>
        <w:widowControl w:val="0"/>
        <w:tabs>
          <w:tab w:val="left" w:pos="525"/>
        </w:tabs>
        <w:spacing w:beforeLines="0"/>
        <w:ind w:left="200" w:leftChars="0" w:firstLine="0" w:firstLineChars="0"/>
        <w:jc w:val="both"/>
        <w:rPr>
          <w:color w:val="auto"/>
        </w:rPr>
      </w:pPr>
      <w:r>
        <w:rPr>
          <w:rFonts w:hint="eastAsia"/>
          <w:color w:val="auto"/>
        </w:rPr>
        <w:t>1.10</w:t>
      </w:r>
      <w:r>
        <w:rPr>
          <w:color w:val="auto"/>
        </w:rPr>
        <w:t>合同中同一参数出现不一致时，将按照满足工程质量及有利于招标人要求的原则修改确定。</w:t>
      </w:r>
    </w:p>
    <w:p w14:paraId="3C91B35B">
      <w:pPr>
        <w:widowControl w:val="0"/>
        <w:tabs>
          <w:tab w:val="left" w:pos="340"/>
          <w:tab w:val="left" w:pos="540"/>
        </w:tabs>
        <w:spacing w:beforeLines="0"/>
        <w:ind w:left="200" w:leftChars="0" w:firstLine="0" w:firstLineChars="0"/>
        <w:jc w:val="both"/>
        <w:rPr>
          <w:color w:val="auto"/>
        </w:rPr>
      </w:pPr>
      <w:r>
        <w:rPr>
          <w:rFonts w:hint="eastAsia"/>
          <w:color w:val="auto"/>
        </w:rPr>
        <w:t>1.11</w:t>
      </w:r>
      <w:r>
        <w:rPr>
          <w:color w:val="auto"/>
        </w:rPr>
        <w:t>如未对招标文件提出差异，招标人可认为投标人提供的设备符合原招标文件和标准的要求。如与招标文件的要求有偏差（不管多么微小），都应清楚地表示在投标文件的“技术差异表”中。否则可认为投标人提供的设备完全符合招标文件和标准的要求。</w:t>
      </w:r>
    </w:p>
    <w:p w14:paraId="56AADA81">
      <w:pPr>
        <w:widowControl w:val="0"/>
        <w:tabs>
          <w:tab w:val="left" w:pos="525"/>
        </w:tabs>
        <w:spacing w:beforeLines="0"/>
        <w:ind w:left="200" w:leftChars="0" w:firstLine="0" w:firstLineChars="0"/>
        <w:jc w:val="both"/>
        <w:rPr>
          <w:color w:val="auto"/>
        </w:rPr>
      </w:pPr>
      <w:r>
        <w:rPr>
          <w:rFonts w:hint="eastAsia"/>
          <w:color w:val="auto"/>
        </w:rPr>
        <w:t>1.12</w:t>
      </w:r>
      <w:r>
        <w:rPr>
          <w:color w:val="auto"/>
        </w:rPr>
        <w:t>所有与本工程有关的技术资料仅用于投标人提供合同设备，未经招标人允许，投标人不得向第三方提供任何与本工程和本合同设备有关的资料或信息。</w:t>
      </w:r>
    </w:p>
    <w:p w14:paraId="137C76CB">
      <w:pPr>
        <w:spacing w:beforeLines="0"/>
        <w:ind w:left="482" w:leftChars="0" w:hanging="482"/>
        <w:outlineLvl w:val="0"/>
        <w:rPr>
          <w:b/>
          <w:color w:val="auto"/>
        </w:rPr>
      </w:pPr>
      <w:r>
        <w:rPr>
          <w:b/>
          <w:color w:val="auto"/>
        </w:rPr>
        <w:t>2</w:t>
      </w:r>
      <w:r>
        <w:rPr>
          <w:rFonts w:hint="eastAsia"/>
          <w:b/>
          <w:color w:val="auto"/>
        </w:rPr>
        <w:t>、工程概况</w:t>
      </w:r>
    </w:p>
    <w:p w14:paraId="5400A72E">
      <w:pPr>
        <w:spacing w:before="156"/>
        <w:ind w:left="369" w:leftChars="71" w:hanging="199" w:hangingChars="83"/>
        <w:outlineLvl w:val="1"/>
        <w:rPr>
          <w:color w:val="auto"/>
        </w:rPr>
      </w:pPr>
      <w:bookmarkStart w:id="9" w:name="_Toc399149765"/>
      <w:bookmarkStart w:id="10" w:name="_Toc191373535"/>
      <w:bookmarkStart w:id="11" w:name="_Toc216232459"/>
      <w:bookmarkStart w:id="12" w:name="_Toc527917811"/>
      <w:r>
        <w:rPr>
          <w:color w:val="auto"/>
        </w:rPr>
        <w:t>2.1</w:t>
      </w:r>
      <w:r>
        <w:rPr>
          <w:rFonts w:hint="eastAsia"/>
          <w:color w:val="auto"/>
        </w:rPr>
        <w:t>工程概况</w:t>
      </w:r>
      <w:bookmarkEnd w:id="9"/>
      <w:bookmarkEnd w:id="10"/>
      <w:bookmarkEnd w:id="11"/>
      <w:bookmarkEnd w:id="12"/>
    </w:p>
    <w:p w14:paraId="49C0112C">
      <w:pPr>
        <w:spacing w:beforeLines="0"/>
        <w:ind w:left="0" w:leftChars="0" w:firstLine="480" w:firstLineChars="200"/>
        <w:rPr>
          <w:color w:val="auto"/>
        </w:rPr>
      </w:pPr>
      <w:bookmarkStart w:id="13" w:name="_Toc527917812"/>
      <w:bookmarkStart w:id="14" w:name="_Toc399149766"/>
      <w:bookmarkStart w:id="15" w:name="_Toc191373536"/>
      <w:bookmarkStart w:id="16" w:name="_Toc216232460"/>
      <w:r>
        <w:rPr>
          <w:rFonts w:hint="eastAsia"/>
          <w:color w:val="auto"/>
        </w:rPr>
        <w:t>本工程热电站有3×50MW国产冷凝式汽轮机+4×480t/h国产、9.81MPa（g）、540℃、无中间再热煤粉锅炉，并预留扩建的可能性。本工程热电站主要为化工区提供蒸汽和电源，化工设备年利用小时数要求达到8000h以上，因此对热电站的设备可靠性要求也较高，设备年利用小时数8000h。锅炉、汽轮机和发电机分别由无锡华光锅炉厂、东方汽轮机厂和济南发电机厂设计、制造和供货。</w:t>
      </w:r>
    </w:p>
    <w:p w14:paraId="3BDD2DB6">
      <w:pPr>
        <w:spacing w:before="156"/>
        <w:ind w:left="369" w:leftChars="71" w:hanging="199" w:hangingChars="83"/>
        <w:outlineLvl w:val="1"/>
        <w:rPr>
          <w:color w:val="auto"/>
        </w:rPr>
      </w:pPr>
      <w:r>
        <w:rPr>
          <w:color w:val="auto"/>
        </w:rPr>
        <w:t>2.2</w:t>
      </w:r>
      <w:r>
        <w:rPr>
          <w:rFonts w:hint="eastAsia"/>
          <w:color w:val="auto"/>
        </w:rPr>
        <w:t>场地条件</w:t>
      </w:r>
      <w:bookmarkEnd w:id="13"/>
      <w:bookmarkEnd w:id="14"/>
      <w:bookmarkEnd w:id="15"/>
      <w:bookmarkEnd w:id="16"/>
    </w:p>
    <w:p w14:paraId="63F720A1">
      <w:pPr>
        <w:spacing w:beforeLines="0"/>
        <w:ind w:left="0" w:leftChars="0" w:firstLine="480" w:firstLineChars="200"/>
        <w:rPr>
          <w:color w:val="auto"/>
        </w:rPr>
      </w:pPr>
      <w:r>
        <w:rPr>
          <w:rFonts w:hint="eastAsia"/>
          <w:color w:val="auto"/>
        </w:rPr>
        <w:t>伊犁新天煤化工建于新疆维吾尔自治区伊宁市，一期工程项目用地选址在伊宁市巴彦岱镇火龙洞以北，规划面积为200 公顷。在新汶伊犁能源4 号矿东偏南（以下简称4号矿），距4号矿工业广场约3 公里（直线距离）。交通条件：伊宁市是新疆西部交通枢纽，被国家列为全国公路枢纽之一。现已形成铁路航空公路为主的立体交通网络。伊宁火车站是新疆第二大火车站，伊宁机场距公司25公里。</w:t>
      </w:r>
    </w:p>
    <w:p w14:paraId="7470DB33">
      <w:pPr>
        <w:spacing w:before="156"/>
        <w:ind w:left="369" w:leftChars="71" w:hanging="199" w:hangingChars="83"/>
        <w:outlineLvl w:val="1"/>
        <w:rPr>
          <w:color w:val="auto"/>
        </w:rPr>
      </w:pPr>
      <w:bookmarkStart w:id="17" w:name="_Toc527917813"/>
      <w:bookmarkStart w:id="18" w:name="_Toc216232461"/>
      <w:bookmarkStart w:id="19" w:name="_Toc191373537"/>
      <w:bookmarkStart w:id="20" w:name="_Toc399149767"/>
      <w:r>
        <w:rPr>
          <w:color w:val="auto"/>
        </w:rPr>
        <w:t>2.3</w:t>
      </w:r>
      <w:r>
        <w:rPr>
          <w:rFonts w:hint="eastAsia"/>
          <w:color w:val="auto"/>
        </w:rPr>
        <w:t>气象条件</w:t>
      </w:r>
      <w:bookmarkEnd w:id="17"/>
      <w:bookmarkEnd w:id="18"/>
      <w:bookmarkEnd w:id="19"/>
      <w:bookmarkEnd w:id="20"/>
    </w:p>
    <w:p w14:paraId="69779A3D">
      <w:pPr>
        <w:spacing w:beforeLines="0"/>
        <w:ind w:left="0" w:leftChars="0" w:firstLine="480" w:firstLineChars="200"/>
        <w:rPr>
          <w:color w:val="auto"/>
        </w:rPr>
      </w:pPr>
      <w:r>
        <w:rPr>
          <w:rFonts w:hint="eastAsia"/>
          <w:color w:val="auto"/>
        </w:rPr>
        <w:t>平均气温                 9.2℃</w:t>
      </w:r>
    </w:p>
    <w:p w14:paraId="16A21474">
      <w:pPr>
        <w:spacing w:beforeLines="0"/>
        <w:ind w:left="0" w:leftChars="0" w:firstLine="480" w:firstLineChars="200"/>
        <w:rPr>
          <w:color w:val="auto"/>
        </w:rPr>
      </w:pPr>
      <w:r>
        <w:rPr>
          <w:rFonts w:hint="eastAsia"/>
          <w:color w:val="auto"/>
        </w:rPr>
        <w:t>七月最高气温             38.7℃</w:t>
      </w:r>
    </w:p>
    <w:p w14:paraId="604AC1CA">
      <w:pPr>
        <w:spacing w:beforeLines="0"/>
        <w:ind w:left="0" w:leftChars="0" w:firstLine="480" w:firstLineChars="200"/>
        <w:rPr>
          <w:color w:val="auto"/>
        </w:rPr>
      </w:pPr>
      <w:r>
        <w:rPr>
          <w:rFonts w:hint="eastAsia"/>
          <w:color w:val="auto"/>
        </w:rPr>
        <w:t>一月最低气温             -40.4℃</w:t>
      </w:r>
    </w:p>
    <w:p w14:paraId="115394A2">
      <w:pPr>
        <w:spacing w:beforeLines="0"/>
        <w:ind w:left="0" w:leftChars="0" w:firstLine="480" w:firstLineChars="200"/>
        <w:rPr>
          <w:color w:val="auto"/>
        </w:rPr>
      </w:pPr>
      <w:r>
        <w:rPr>
          <w:rFonts w:hint="eastAsia"/>
          <w:color w:val="auto"/>
        </w:rPr>
        <w:t>年平均蒸发量             1631mm</w:t>
      </w:r>
    </w:p>
    <w:p w14:paraId="2F89A568">
      <w:pPr>
        <w:spacing w:beforeLines="0"/>
        <w:ind w:left="0" w:leftChars="0" w:firstLine="480" w:firstLineChars="200"/>
        <w:rPr>
          <w:color w:val="auto"/>
        </w:rPr>
      </w:pPr>
      <w:r>
        <w:rPr>
          <w:rFonts w:hint="eastAsia"/>
          <w:color w:val="auto"/>
        </w:rPr>
        <w:t>年平均降水量             264mm</w:t>
      </w:r>
    </w:p>
    <w:p w14:paraId="4807CF0E">
      <w:pPr>
        <w:spacing w:beforeLines="0"/>
        <w:ind w:left="0" w:leftChars="0" w:firstLine="480" w:firstLineChars="200"/>
        <w:rPr>
          <w:color w:val="auto"/>
        </w:rPr>
      </w:pPr>
      <w:r>
        <w:rPr>
          <w:rFonts w:hint="eastAsia"/>
          <w:color w:val="auto"/>
        </w:rPr>
        <w:t>最大年份                 470.5mm</w:t>
      </w:r>
    </w:p>
    <w:p w14:paraId="093C8350">
      <w:pPr>
        <w:spacing w:beforeLines="0"/>
        <w:ind w:left="0" w:leftChars="0" w:firstLine="480" w:firstLineChars="200"/>
        <w:rPr>
          <w:color w:val="auto"/>
        </w:rPr>
      </w:pPr>
      <w:r>
        <w:rPr>
          <w:rFonts w:hint="eastAsia"/>
          <w:color w:val="auto"/>
        </w:rPr>
        <w:t>最小年份                 137.6mm</w:t>
      </w:r>
    </w:p>
    <w:p w14:paraId="76EE08EC">
      <w:pPr>
        <w:spacing w:beforeLines="0"/>
        <w:ind w:left="0" w:leftChars="0" w:firstLine="480" w:firstLineChars="200"/>
        <w:outlineLvl w:val="0"/>
        <w:rPr>
          <w:color w:val="auto"/>
        </w:rPr>
      </w:pPr>
      <w:r>
        <w:rPr>
          <w:rFonts w:hint="eastAsia"/>
          <w:color w:val="auto"/>
        </w:rPr>
        <w:t>30年一遇最大日降水量     35.7mm</w:t>
      </w:r>
    </w:p>
    <w:p w14:paraId="1B2490DB">
      <w:pPr>
        <w:spacing w:beforeLines="0"/>
        <w:ind w:left="0" w:leftChars="0" w:firstLine="480" w:firstLineChars="200"/>
        <w:rPr>
          <w:color w:val="auto"/>
        </w:rPr>
      </w:pPr>
      <w:r>
        <w:rPr>
          <w:rFonts w:hint="eastAsia"/>
          <w:color w:val="auto"/>
        </w:rPr>
        <w:t>年平均日降水量大于        10mm日数为4天</w:t>
      </w:r>
    </w:p>
    <w:p w14:paraId="38F94B36">
      <w:pPr>
        <w:spacing w:beforeLines="0"/>
        <w:ind w:left="0" w:leftChars="0" w:firstLine="480" w:firstLineChars="200"/>
        <w:rPr>
          <w:color w:val="auto"/>
        </w:rPr>
      </w:pPr>
      <w:r>
        <w:rPr>
          <w:rFonts w:hint="eastAsia"/>
          <w:color w:val="auto"/>
        </w:rPr>
        <w:t>空气平均相对湿度为        65%</w:t>
      </w:r>
    </w:p>
    <w:p w14:paraId="7C3C4DDD">
      <w:pPr>
        <w:spacing w:beforeLines="0"/>
        <w:ind w:left="0" w:leftChars="0" w:firstLine="480" w:firstLineChars="200"/>
        <w:rPr>
          <w:color w:val="auto"/>
        </w:rPr>
      </w:pPr>
      <w:r>
        <w:rPr>
          <w:rFonts w:hint="eastAsia"/>
          <w:color w:val="auto"/>
        </w:rPr>
        <w:t>最大积雪厚度              89cm</w:t>
      </w:r>
    </w:p>
    <w:p w14:paraId="7EE4E84D">
      <w:pPr>
        <w:spacing w:beforeLines="0"/>
        <w:ind w:left="0" w:leftChars="0" w:firstLine="480" w:firstLineChars="200"/>
        <w:rPr>
          <w:color w:val="auto"/>
        </w:rPr>
      </w:pPr>
      <w:r>
        <w:rPr>
          <w:rFonts w:hint="eastAsia"/>
          <w:color w:val="auto"/>
        </w:rPr>
        <w:t>最大冻土层厚度            120cm</w:t>
      </w:r>
    </w:p>
    <w:p w14:paraId="10C34E24">
      <w:pPr>
        <w:spacing w:beforeLines="0"/>
        <w:ind w:left="0" w:leftChars="0" w:firstLine="480" w:firstLineChars="200"/>
        <w:rPr>
          <w:color w:val="auto"/>
        </w:rPr>
      </w:pPr>
      <w:r>
        <w:rPr>
          <w:rFonts w:hint="eastAsia"/>
          <w:color w:val="auto"/>
        </w:rPr>
        <w:t xml:space="preserve">基本雪压为                1.15kN/m </w:t>
      </w:r>
    </w:p>
    <w:p w14:paraId="0BB7E43E">
      <w:pPr>
        <w:spacing w:beforeLines="0"/>
        <w:ind w:left="0" w:leftChars="0" w:firstLine="480" w:firstLineChars="200"/>
        <w:rPr>
          <w:color w:val="auto"/>
        </w:rPr>
      </w:pPr>
      <w:r>
        <w:rPr>
          <w:rFonts w:hint="eastAsia"/>
          <w:color w:val="auto"/>
        </w:rPr>
        <w:t>常年主导风向              东风和偏西风</w:t>
      </w:r>
    </w:p>
    <w:p w14:paraId="24147B7E">
      <w:pPr>
        <w:spacing w:beforeLines="0"/>
        <w:ind w:left="0" w:leftChars="0" w:firstLine="480" w:firstLineChars="200"/>
        <w:rPr>
          <w:color w:val="auto"/>
        </w:rPr>
      </w:pPr>
      <w:r>
        <w:rPr>
          <w:rFonts w:hint="eastAsia"/>
          <w:color w:val="auto"/>
        </w:rPr>
        <w:t>极端最大风速              40m/s</w:t>
      </w:r>
    </w:p>
    <w:p w14:paraId="3461C987">
      <w:pPr>
        <w:spacing w:beforeLines="0"/>
        <w:ind w:left="0" w:leftChars="0" w:firstLine="480" w:firstLineChars="200"/>
        <w:rPr>
          <w:color w:val="auto"/>
        </w:rPr>
      </w:pPr>
      <w:r>
        <w:rPr>
          <w:rFonts w:hint="eastAsia"/>
          <w:color w:val="auto"/>
        </w:rPr>
        <w:t>基本风压                  0.7kN/m</w:t>
      </w:r>
    </w:p>
    <w:p w14:paraId="4FF71DB5">
      <w:pPr>
        <w:spacing w:beforeLines="0"/>
        <w:ind w:left="0" w:leftChars="0" w:firstLine="480" w:firstLineChars="200"/>
        <w:rPr>
          <w:color w:val="auto"/>
        </w:rPr>
      </w:pPr>
      <w:r>
        <w:rPr>
          <w:rFonts w:hint="eastAsia"/>
          <w:color w:val="auto"/>
        </w:rPr>
        <w:t>年平均温度： 9.0℃</w:t>
      </w:r>
    </w:p>
    <w:p w14:paraId="5082B8C8">
      <w:pPr>
        <w:spacing w:beforeLines="0"/>
        <w:ind w:left="0" w:leftChars="0" w:firstLine="480" w:firstLineChars="200"/>
        <w:rPr>
          <w:color w:val="auto"/>
        </w:rPr>
      </w:pPr>
      <w:r>
        <w:rPr>
          <w:rFonts w:hint="eastAsia"/>
          <w:color w:val="auto"/>
        </w:rPr>
        <w:t>极端最高温度： 39.2℃</w:t>
      </w:r>
    </w:p>
    <w:p w14:paraId="290F3B8A">
      <w:pPr>
        <w:spacing w:beforeLines="0"/>
        <w:ind w:left="0" w:leftChars="0" w:firstLine="480" w:firstLineChars="200"/>
        <w:rPr>
          <w:color w:val="auto"/>
        </w:rPr>
      </w:pPr>
      <w:r>
        <w:rPr>
          <w:rFonts w:hint="eastAsia"/>
          <w:color w:val="auto"/>
        </w:rPr>
        <w:t>极端最低温度： -36℃</w:t>
      </w:r>
    </w:p>
    <w:p w14:paraId="62BF7E6E">
      <w:pPr>
        <w:spacing w:beforeLines="0"/>
        <w:ind w:left="0" w:leftChars="0" w:firstLine="480" w:firstLineChars="200"/>
        <w:rPr>
          <w:color w:val="auto"/>
        </w:rPr>
      </w:pPr>
      <w:r>
        <w:rPr>
          <w:rFonts w:hint="eastAsia"/>
          <w:color w:val="auto"/>
        </w:rPr>
        <w:t>月平均最低气温最低值： -16.5℃</w:t>
      </w:r>
    </w:p>
    <w:p w14:paraId="30E3E3A9">
      <w:pPr>
        <w:spacing w:beforeLines="0"/>
        <w:ind w:left="0" w:leftChars="0" w:firstLine="480" w:firstLineChars="200"/>
        <w:rPr>
          <w:color w:val="auto"/>
        </w:rPr>
      </w:pPr>
      <w:r>
        <w:rPr>
          <w:rFonts w:hint="eastAsia"/>
          <w:color w:val="auto"/>
        </w:rPr>
        <w:t>最冷日的平均温度： -21.7℃</w:t>
      </w:r>
    </w:p>
    <w:p w14:paraId="02EFABF8">
      <w:pPr>
        <w:spacing w:beforeLines="0"/>
        <w:ind w:left="0" w:leftChars="0" w:firstLine="480" w:firstLineChars="200"/>
        <w:rPr>
          <w:color w:val="auto"/>
        </w:rPr>
      </w:pPr>
      <w:r>
        <w:rPr>
          <w:rFonts w:hint="eastAsia"/>
          <w:color w:val="auto"/>
        </w:rPr>
        <w:t>气压年平均： 941.7hPa</w:t>
      </w:r>
    </w:p>
    <w:p w14:paraId="360EA30B">
      <w:pPr>
        <w:spacing w:beforeLines="0"/>
        <w:ind w:left="0" w:leftChars="0" w:firstLine="480" w:firstLineChars="200"/>
        <w:rPr>
          <w:color w:val="auto"/>
        </w:rPr>
      </w:pPr>
      <w:r>
        <w:rPr>
          <w:rFonts w:hint="eastAsia"/>
          <w:color w:val="auto"/>
        </w:rPr>
        <w:t>雪压： 1.0kPa</w:t>
      </w:r>
    </w:p>
    <w:p w14:paraId="5EF1E09F">
      <w:pPr>
        <w:spacing w:beforeLines="0"/>
        <w:ind w:left="0" w:leftChars="0" w:firstLine="480" w:firstLineChars="200"/>
        <w:rPr>
          <w:color w:val="auto"/>
        </w:rPr>
      </w:pPr>
      <w:r>
        <w:rPr>
          <w:rFonts w:hint="eastAsia"/>
          <w:color w:val="auto"/>
        </w:rPr>
        <w:t>风： 0.6kPa</w:t>
      </w:r>
    </w:p>
    <w:p w14:paraId="54AC208A">
      <w:pPr>
        <w:spacing w:beforeLines="0"/>
        <w:ind w:left="0" w:leftChars="0" w:firstLine="480" w:firstLineChars="200"/>
        <w:rPr>
          <w:color w:val="auto"/>
        </w:rPr>
      </w:pPr>
      <w:r>
        <w:rPr>
          <w:rFonts w:hint="eastAsia"/>
          <w:color w:val="auto"/>
        </w:rPr>
        <w:t>地震裂度： 7 度（里氏）</w:t>
      </w:r>
    </w:p>
    <w:p w14:paraId="03DE4590">
      <w:pPr>
        <w:spacing w:beforeLines="0"/>
        <w:ind w:left="0" w:leftChars="0" w:firstLine="480" w:firstLineChars="200"/>
        <w:rPr>
          <w:color w:val="auto"/>
        </w:rPr>
      </w:pPr>
      <w:r>
        <w:rPr>
          <w:rFonts w:hint="eastAsia"/>
          <w:color w:val="auto"/>
        </w:rPr>
        <w:t>场地土类型： Ⅱ类（一区），Ⅲ类（二区）</w:t>
      </w:r>
    </w:p>
    <w:p w14:paraId="63087FE8">
      <w:pPr>
        <w:spacing w:beforeLines="0"/>
        <w:ind w:left="0" w:leftChars="0" w:firstLine="480" w:firstLineChars="200"/>
        <w:rPr>
          <w:color w:val="auto"/>
        </w:rPr>
      </w:pPr>
      <w:r>
        <w:rPr>
          <w:rFonts w:hint="eastAsia"/>
          <w:color w:val="auto"/>
        </w:rPr>
        <w:t>地震分组： 第三组</w:t>
      </w:r>
    </w:p>
    <w:p w14:paraId="6362A4A9">
      <w:pPr>
        <w:spacing w:beforeLines="0"/>
        <w:ind w:left="0" w:leftChars="0" w:firstLine="480" w:firstLineChars="200"/>
        <w:rPr>
          <w:color w:val="auto"/>
        </w:rPr>
      </w:pPr>
      <w:r>
        <w:rPr>
          <w:rFonts w:hint="eastAsia"/>
          <w:color w:val="auto"/>
        </w:rPr>
        <w:t>地震加速度： 0.15g</w:t>
      </w:r>
    </w:p>
    <w:p w14:paraId="7E354117">
      <w:pPr>
        <w:spacing w:beforeLines="0"/>
        <w:ind w:left="0" w:leftChars="0" w:firstLine="480" w:firstLineChars="200"/>
        <w:rPr>
          <w:color w:val="auto"/>
        </w:rPr>
      </w:pPr>
      <w:r>
        <w:rPr>
          <w:rFonts w:hint="eastAsia"/>
          <w:color w:val="auto"/>
        </w:rPr>
        <w:t>地面粗糙类别： B（待定）</w:t>
      </w:r>
    </w:p>
    <w:p w14:paraId="705105DE">
      <w:pPr>
        <w:spacing w:beforeLines="0"/>
        <w:ind w:left="482" w:leftChars="0" w:hanging="482"/>
        <w:outlineLvl w:val="0"/>
        <w:rPr>
          <w:b/>
          <w:color w:val="auto"/>
        </w:rPr>
      </w:pPr>
      <w:r>
        <w:rPr>
          <w:b/>
          <w:color w:val="auto"/>
        </w:rPr>
        <w:t>3</w:t>
      </w:r>
      <w:r>
        <w:rPr>
          <w:rFonts w:hint="eastAsia"/>
          <w:b/>
          <w:color w:val="auto"/>
        </w:rPr>
        <w:t>设计和运行条件</w:t>
      </w:r>
      <w:bookmarkEnd w:id="5"/>
      <w:bookmarkEnd w:id="6"/>
      <w:bookmarkEnd w:id="7"/>
      <w:bookmarkEnd w:id="8"/>
    </w:p>
    <w:p w14:paraId="6A3C724C">
      <w:pPr>
        <w:spacing w:beforeLines="0"/>
        <w:ind w:left="480" w:leftChars="0" w:hanging="480"/>
        <w:outlineLvl w:val="1"/>
        <w:rPr>
          <w:rFonts w:cs="宋体"/>
          <w:bCs/>
          <w:color w:val="auto"/>
        </w:rPr>
      </w:pPr>
      <w:r>
        <w:rPr>
          <w:rFonts w:hint="eastAsia" w:cs="宋体"/>
          <w:bCs/>
          <w:color w:val="auto"/>
        </w:rPr>
        <w:t>3.1工程主要原始资料</w:t>
      </w:r>
    </w:p>
    <w:p w14:paraId="7C7F31AB">
      <w:pPr>
        <w:spacing w:beforeLines="0"/>
        <w:ind w:left="480" w:leftChars="0" w:hanging="480"/>
        <w:outlineLvl w:val="2"/>
        <w:rPr>
          <w:rFonts w:cs="宋体"/>
          <w:bCs/>
          <w:color w:val="auto"/>
        </w:rPr>
      </w:pPr>
      <w:r>
        <w:rPr>
          <w:rFonts w:hint="eastAsia" w:cs="宋体"/>
          <w:bCs/>
          <w:color w:val="auto"/>
        </w:rPr>
        <w:t>3.1.1电源条件：</w:t>
      </w:r>
    </w:p>
    <w:p w14:paraId="3CDFC299">
      <w:pPr>
        <w:spacing w:beforeLines="0"/>
        <w:ind w:left="480" w:leftChars="0" w:hanging="480"/>
        <w:rPr>
          <w:rFonts w:cs="宋体"/>
          <w:bCs/>
          <w:color w:val="auto"/>
        </w:rPr>
      </w:pPr>
      <w:r>
        <w:rPr>
          <w:rFonts w:hint="eastAsia" w:cs="宋体"/>
          <w:bCs/>
          <w:color w:val="auto"/>
        </w:rPr>
        <w:t>3.1.1.1中压电源：中压系统为10kV、三相、50Hz；额定值200kW及以上电动机的额定电压为10kV。</w:t>
      </w:r>
    </w:p>
    <w:p w14:paraId="6F053768">
      <w:pPr>
        <w:spacing w:beforeLines="0"/>
        <w:ind w:left="480" w:leftChars="0" w:hanging="480"/>
        <w:rPr>
          <w:rFonts w:cs="宋体"/>
          <w:bCs/>
          <w:color w:val="auto"/>
        </w:rPr>
      </w:pPr>
      <w:r>
        <w:rPr>
          <w:rFonts w:hint="eastAsia" w:cs="宋体"/>
          <w:bCs/>
          <w:color w:val="auto"/>
        </w:rPr>
        <w:t>3.1.1.2低压电源：主厂房低压交流电压系统为380/220V、三相四线、50Hz；额定值200kW以下电动机的额定电压为380V；交流控制电压为单相220V。</w:t>
      </w:r>
    </w:p>
    <w:p w14:paraId="433F5173">
      <w:pPr>
        <w:spacing w:beforeLines="0"/>
        <w:ind w:left="199" w:leftChars="0" w:hanging="199" w:hangingChars="83"/>
        <w:rPr>
          <w:rFonts w:cs="宋体"/>
          <w:bCs/>
          <w:color w:val="auto"/>
        </w:rPr>
      </w:pPr>
      <w:r>
        <w:rPr>
          <w:rFonts w:hint="eastAsia" w:cs="宋体"/>
          <w:bCs/>
          <w:color w:val="auto"/>
        </w:rPr>
        <w:t>3.1.1.3设备照明和维修电源：设备照明由单独的380/220V照明变压器引出。</w:t>
      </w:r>
    </w:p>
    <w:p w14:paraId="70006F3B">
      <w:pPr>
        <w:spacing w:beforeLines="0"/>
        <w:ind w:left="199" w:leftChars="0" w:hanging="199" w:hangingChars="83"/>
        <w:rPr>
          <w:rFonts w:cs="宋体"/>
          <w:bCs/>
          <w:color w:val="auto"/>
        </w:rPr>
      </w:pPr>
      <w:r>
        <w:rPr>
          <w:rFonts w:hint="eastAsia" w:cs="宋体"/>
          <w:bCs/>
          <w:color w:val="auto"/>
        </w:rPr>
        <w:t>维修插座电源额定电压为380/220V、三相四线、50Hz。</w:t>
      </w:r>
    </w:p>
    <w:p w14:paraId="761AEC74">
      <w:pPr>
        <w:spacing w:beforeLines="0"/>
        <w:ind w:left="480" w:leftChars="0" w:hanging="480"/>
        <w:outlineLvl w:val="1"/>
        <w:rPr>
          <w:rFonts w:cs="宋体"/>
          <w:bCs/>
          <w:color w:val="auto"/>
        </w:rPr>
      </w:pPr>
      <w:r>
        <w:rPr>
          <w:rFonts w:cs="宋体"/>
          <w:bCs/>
          <w:color w:val="auto"/>
        </w:rPr>
        <w:t>3.2</w:t>
      </w:r>
      <w:r>
        <w:rPr>
          <w:rFonts w:hint="eastAsia" w:cs="宋体"/>
          <w:bCs/>
          <w:color w:val="auto"/>
        </w:rPr>
        <w:tab/>
      </w:r>
      <w:r>
        <w:rPr>
          <w:rFonts w:hint="eastAsia" w:cs="宋体"/>
          <w:bCs/>
          <w:color w:val="auto"/>
        </w:rPr>
        <w:t>系统概况和相关设备</w:t>
      </w:r>
    </w:p>
    <w:p w14:paraId="548DAD56">
      <w:pPr>
        <w:spacing w:beforeLines="0"/>
        <w:ind w:left="0" w:leftChars="0" w:firstLine="480" w:firstLineChars="200"/>
        <w:rPr>
          <w:rFonts w:cs="宋体"/>
          <w:bCs/>
          <w:color w:val="auto"/>
        </w:rPr>
      </w:pPr>
      <w:r>
        <w:rPr>
          <w:rFonts w:hint="eastAsia" w:cs="宋体"/>
          <w:bCs/>
          <w:color w:val="auto"/>
        </w:rPr>
        <w:t>本次采购的高温高压电动闸阀用于两台</w:t>
      </w:r>
      <w:r>
        <w:rPr>
          <w:rFonts w:cs="宋体"/>
          <w:bCs/>
          <w:color w:val="auto"/>
        </w:rPr>
        <w:t>锅炉</w:t>
      </w:r>
      <w:r>
        <w:rPr>
          <w:rFonts w:hint="eastAsia" w:cs="宋体"/>
          <w:bCs/>
          <w:color w:val="auto"/>
        </w:rPr>
        <w:t>主汽</w:t>
      </w:r>
      <w:r>
        <w:rPr>
          <w:rFonts w:cs="宋体"/>
          <w:bCs/>
          <w:color w:val="auto"/>
        </w:rPr>
        <w:t>电动阀的更换，主蒸汽管道规格</w:t>
      </w:r>
      <w:r>
        <w:rPr>
          <w:rFonts w:hint="eastAsia" w:cs="宋体"/>
          <w:bCs/>
          <w:color w:val="auto"/>
        </w:rPr>
        <w:t>￠426×36mm，材质12Cr1MoVG。</w:t>
      </w:r>
    </w:p>
    <w:p w14:paraId="11389706">
      <w:pPr>
        <w:spacing w:beforeLines="0"/>
        <w:ind w:left="480" w:leftChars="0" w:hanging="480"/>
        <w:outlineLvl w:val="1"/>
        <w:rPr>
          <w:color w:val="auto"/>
        </w:rPr>
      </w:pPr>
      <w:r>
        <w:rPr>
          <w:rFonts w:hint="eastAsia"/>
          <w:color w:val="auto"/>
        </w:rPr>
        <w:t>3.</w:t>
      </w:r>
      <w:r>
        <w:rPr>
          <w:color w:val="auto"/>
        </w:rPr>
        <w:t>3 介质参数</w:t>
      </w:r>
    </w:p>
    <w:tbl>
      <w:tblPr>
        <w:tblStyle w:val="2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969"/>
        <w:gridCol w:w="1756"/>
        <w:gridCol w:w="3252"/>
      </w:tblGrid>
      <w:tr w14:paraId="139236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pct"/>
            <w:vAlign w:val="center"/>
          </w:tcPr>
          <w:p w14:paraId="6AFC761C">
            <w:pPr>
              <w:spacing w:before="156"/>
              <w:ind w:left="368" w:leftChars="71" w:hanging="198" w:hangingChars="82"/>
              <w:jc w:val="center"/>
              <w:rPr>
                <w:b/>
                <w:color w:val="auto"/>
              </w:rPr>
            </w:pPr>
            <w:r>
              <w:rPr>
                <w:b/>
                <w:color w:val="auto"/>
              </w:rPr>
              <w:t>序号</w:t>
            </w:r>
          </w:p>
        </w:tc>
        <w:tc>
          <w:tcPr>
            <w:tcW w:w="1155" w:type="pct"/>
            <w:vAlign w:val="center"/>
          </w:tcPr>
          <w:p w14:paraId="2F6CBEF1">
            <w:pPr>
              <w:spacing w:before="156"/>
              <w:ind w:left="368" w:leftChars="71" w:hanging="198" w:hangingChars="82"/>
              <w:jc w:val="center"/>
              <w:rPr>
                <w:b/>
                <w:color w:val="auto"/>
              </w:rPr>
            </w:pPr>
            <w:r>
              <w:rPr>
                <w:b/>
                <w:color w:val="auto"/>
              </w:rPr>
              <w:t>名称</w:t>
            </w:r>
          </w:p>
        </w:tc>
        <w:tc>
          <w:tcPr>
            <w:tcW w:w="1030" w:type="pct"/>
            <w:vAlign w:val="center"/>
          </w:tcPr>
          <w:p w14:paraId="482B780D">
            <w:pPr>
              <w:spacing w:before="156"/>
              <w:ind w:left="368" w:leftChars="71" w:hanging="198" w:hangingChars="82"/>
              <w:jc w:val="center"/>
              <w:rPr>
                <w:b/>
                <w:color w:val="auto"/>
              </w:rPr>
            </w:pPr>
            <w:r>
              <w:rPr>
                <w:b/>
                <w:color w:val="auto"/>
              </w:rPr>
              <w:t>单位</w:t>
            </w:r>
          </w:p>
        </w:tc>
        <w:tc>
          <w:tcPr>
            <w:tcW w:w="1908" w:type="pct"/>
            <w:vAlign w:val="center"/>
          </w:tcPr>
          <w:p w14:paraId="2926589A">
            <w:pPr>
              <w:spacing w:before="156"/>
              <w:ind w:left="368" w:leftChars="71" w:hanging="198" w:hangingChars="82"/>
              <w:jc w:val="center"/>
              <w:rPr>
                <w:b/>
                <w:color w:val="auto"/>
              </w:rPr>
            </w:pPr>
            <w:r>
              <w:rPr>
                <w:b/>
                <w:color w:val="auto"/>
              </w:rPr>
              <w:t>数值</w:t>
            </w:r>
          </w:p>
        </w:tc>
      </w:tr>
      <w:tr w14:paraId="120C3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pct"/>
            <w:vAlign w:val="center"/>
          </w:tcPr>
          <w:p w14:paraId="4AA4A4C0">
            <w:pPr>
              <w:spacing w:before="156"/>
              <w:ind w:left="890" w:hanging="480"/>
              <w:rPr>
                <w:bCs/>
                <w:color w:val="auto"/>
              </w:rPr>
            </w:pPr>
            <w:r>
              <w:rPr>
                <w:bCs/>
                <w:color w:val="auto"/>
              </w:rPr>
              <w:t>1</w:t>
            </w:r>
          </w:p>
        </w:tc>
        <w:tc>
          <w:tcPr>
            <w:tcW w:w="1155" w:type="pct"/>
            <w:vAlign w:val="center"/>
          </w:tcPr>
          <w:p w14:paraId="2B84429A">
            <w:pPr>
              <w:spacing w:before="156"/>
              <w:ind w:left="890" w:hanging="480"/>
              <w:jc w:val="center"/>
              <w:rPr>
                <w:bCs/>
                <w:color w:val="auto"/>
              </w:rPr>
            </w:pPr>
            <w:r>
              <w:rPr>
                <w:rFonts w:hint="eastAsia"/>
                <w:bCs/>
                <w:color w:val="auto"/>
              </w:rPr>
              <w:t>介</w:t>
            </w:r>
            <w:r>
              <w:rPr>
                <w:color w:val="auto"/>
              </w:rPr>
              <w:t>质</w:t>
            </w:r>
          </w:p>
        </w:tc>
        <w:tc>
          <w:tcPr>
            <w:tcW w:w="1030" w:type="pct"/>
            <w:vAlign w:val="center"/>
          </w:tcPr>
          <w:p w14:paraId="5A426692">
            <w:pPr>
              <w:spacing w:before="156"/>
              <w:ind w:left="890" w:hanging="480"/>
              <w:jc w:val="center"/>
              <w:rPr>
                <w:bCs/>
                <w:color w:val="auto"/>
              </w:rPr>
            </w:pPr>
            <w:r>
              <w:rPr>
                <w:bCs/>
                <w:color w:val="auto"/>
              </w:rPr>
              <w:t>/</w:t>
            </w:r>
          </w:p>
        </w:tc>
        <w:tc>
          <w:tcPr>
            <w:tcW w:w="1908" w:type="pct"/>
            <w:vAlign w:val="center"/>
          </w:tcPr>
          <w:p w14:paraId="6C97AD93">
            <w:pPr>
              <w:spacing w:before="156"/>
              <w:ind w:left="369" w:leftChars="71" w:hanging="199" w:hangingChars="83"/>
              <w:jc w:val="center"/>
              <w:rPr>
                <w:bCs/>
                <w:color w:val="auto"/>
                <w:highlight w:val="yellow"/>
              </w:rPr>
            </w:pPr>
            <w:r>
              <w:rPr>
                <w:rFonts w:hint="eastAsia"/>
                <w:bCs/>
                <w:color w:val="auto"/>
              </w:rPr>
              <w:t>高温高压蒸汽</w:t>
            </w:r>
          </w:p>
        </w:tc>
      </w:tr>
      <w:tr w14:paraId="45DF57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pct"/>
            <w:vAlign w:val="center"/>
          </w:tcPr>
          <w:p w14:paraId="4650D109">
            <w:pPr>
              <w:spacing w:before="156"/>
              <w:ind w:left="890" w:hanging="480"/>
              <w:rPr>
                <w:bCs/>
                <w:color w:val="auto"/>
              </w:rPr>
            </w:pPr>
            <w:r>
              <w:rPr>
                <w:bCs/>
                <w:color w:val="auto"/>
              </w:rPr>
              <w:t>2</w:t>
            </w:r>
          </w:p>
        </w:tc>
        <w:tc>
          <w:tcPr>
            <w:tcW w:w="1155" w:type="pct"/>
            <w:vAlign w:val="center"/>
          </w:tcPr>
          <w:p w14:paraId="21D78B47">
            <w:pPr>
              <w:spacing w:before="156"/>
              <w:ind w:left="890" w:hanging="480"/>
              <w:jc w:val="center"/>
              <w:rPr>
                <w:bCs/>
                <w:color w:val="auto"/>
              </w:rPr>
            </w:pPr>
            <w:r>
              <w:rPr>
                <w:color w:val="auto"/>
              </w:rPr>
              <w:t>压力</w:t>
            </w:r>
          </w:p>
        </w:tc>
        <w:tc>
          <w:tcPr>
            <w:tcW w:w="1030" w:type="pct"/>
            <w:vAlign w:val="center"/>
          </w:tcPr>
          <w:p w14:paraId="781E32C7">
            <w:pPr>
              <w:spacing w:before="156"/>
              <w:ind w:left="890" w:hanging="480"/>
              <w:jc w:val="center"/>
              <w:rPr>
                <w:bCs/>
                <w:color w:val="auto"/>
              </w:rPr>
            </w:pPr>
            <w:r>
              <w:rPr>
                <w:bCs/>
                <w:color w:val="auto"/>
              </w:rPr>
              <w:t>MPa</w:t>
            </w:r>
          </w:p>
        </w:tc>
        <w:tc>
          <w:tcPr>
            <w:tcW w:w="1908" w:type="pct"/>
            <w:vAlign w:val="center"/>
          </w:tcPr>
          <w:p w14:paraId="5E291320">
            <w:pPr>
              <w:spacing w:before="156"/>
              <w:ind w:left="890" w:hanging="480"/>
              <w:jc w:val="center"/>
              <w:rPr>
                <w:bCs/>
                <w:color w:val="auto"/>
              </w:rPr>
            </w:pPr>
            <w:r>
              <w:rPr>
                <w:rFonts w:hint="eastAsia"/>
                <w:bCs/>
                <w:color w:val="auto"/>
              </w:rPr>
              <w:t>9.8</w:t>
            </w:r>
          </w:p>
        </w:tc>
      </w:tr>
      <w:tr w14:paraId="45D86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pct"/>
            <w:vAlign w:val="center"/>
          </w:tcPr>
          <w:p w14:paraId="78C8B615">
            <w:pPr>
              <w:spacing w:before="156"/>
              <w:ind w:left="890" w:hanging="480"/>
              <w:rPr>
                <w:bCs/>
                <w:color w:val="auto"/>
              </w:rPr>
            </w:pPr>
            <w:r>
              <w:rPr>
                <w:bCs/>
                <w:color w:val="auto"/>
              </w:rPr>
              <w:t>3</w:t>
            </w:r>
          </w:p>
        </w:tc>
        <w:tc>
          <w:tcPr>
            <w:tcW w:w="1155" w:type="pct"/>
            <w:vAlign w:val="center"/>
          </w:tcPr>
          <w:p w14:paraId="5831AD51">
            <w:pPr>
              <w:spacing w:before="156"/>
              <w:ind w:left="890" w:hanging="480"/>
              <w:jc w:val="center"/>
              <w:rPr>
                <w:bCs/>
                <w:color w:val="auto"/>
              </w:rPr>
            </w:pPr>
            <w:r>
              <w:rPr>
                <w:color w:val="auto"/>
              </w:rPr>
              <w:t>温度</w:t>
            </w:r>
          </w:p>
        </w:tc>
        <w:tc>
          <w:tcPr>
            <w:tcW w:w="1030" w:type="pct"/>
            <w:vAlign w:val="center"/>
          </w:tcPr>
          <w:p w14:paraId="10C6EFD7">
            <w:pPr>
              <w:spacing w:before="156"/>
              <w:ind w:left="890" w:hanging="480"/>
              <w:jc w:val="center"/>
              <w:rPr>
                <w:bCs/>
                <w:color w:val="auto"/>
              </w:rPr>
            </w:pPr>
            <w:r>
              <w:rPr>
                <w:bCs/>
                <w:color w:val="auto"/>
              </w:rPr>
              <w:t>℃</w:t>
            </w:r>
          </w:p>
        </w:tc>
        <w:tc>
          <w:tcPr>
            <w:tcW w:w="1908" w:type="pct"/>
            <w:vAlign w:val="center"/>
          </w:tcPr>
          <w:p w14:paraId="2CFEE7EA">
            <w:pPr>
              <w:spacing w:before="156"/>
              <w:ind w:left="890" w:hanging="480"/>
              <w:jc w:val="center"/>
              <w:rPr>
                <w:bCs/>
                <w:color w:val="auto"/>
              </w:rPr>
            </w:pPr>
            <w:r>
              <w:rPr>
                <w:rFonts w:hint="eastAsia"/>
                <w:bCs/>
                <w:color w:val="auto"/>
              </w:rPr>
              <w:t>545</w:t>
            </w:r>
          </w:p>
        </w:tc>
      </w:tr>
    </w:tbl>
    <w:p w14:paraId="7F0847E5">
      <w:pPr>
        <w:spacing w:beforeLines="0"/>
        <w:ind w:left="482" w:leftChars="0" w:hanging="482"/>
        <w:outlineLvl w:val="0"/>
        <w:rPr>
          <w:b/>
          <w:color w:val="auto"/>
        </w:rPr>
      </w:pPr>
      <w:r>
        <w:rPr>
          <w:b/>
          <w:color w:val="auto"/>
        </w:rPr>
        <w:t>4</w:t>
      </w:r>
      <w:r>
        <w:rPr>
          <w:rFonts w:hint="eastAsia"/>
          <w:b/>
          <w:color w:val="auto"/>
        </w:rPr>
        <w:t>、技术要求</w:t>
      </w:r>
    </w:p>
    <w:p w14:paraId="16DFB691">
      <w:pPr>
        <w:spacing w:beforeLines="0"/>
        <w:ind w:left="480" w:leftChars="0" w:hanging="480"/>
        <w:outlineLvl w:val="1"/>
        <w:rPr>
          <w:snapToGrid w:val="0"/>
          <w:color w:val="auto"/>
        </w:rPr>
      </w:pPr>
      <w:r>
        <w:rPr>
          <w:rFonts w:hint="eastAsia"/>
          <w:snapToGrid w:val="0"/>
          <w:color w:val="auto"/>
        </w:rPr>
        <w:t>4.1 基本要求</w:t>
      </w:r>
    </w:p>
    <w:p w14:paraId="47C70BAA">
      <w:pPr>
        <w:autoSpaceDE w:val="0"/>
        <w:autoSpaceDN w:val="0"/>
        <w:spacing w:beforeLines="0"/>
        <w:ind w:left="0" w:leftChars="0" w:firstLine="0" w:firstLineChars="0"/>
        <w:jc w:val="both"/>
        <w:rPr>
          <w:snapToGrid w:val="0"/>
          <w:color w:val="auto"/>
        </w:rPr>
      </w:pPr>
      <w:r>
        <w:rPr>
          <w:rFonts w:hint="eastAsia"/>
          <w:snapToGrid w:val="0"/>
          <w:color w:val="auto"/>
        </w:rPr>
        <w:t>4.1.1投标人应按照招标人提出的参数条件，选定满足要求的阀门，并提供阀门的规范。所有阀门的设计、选材、制造和试验必须按相关国家标准执行。阀门的设计应满足介质温度、压力、流向及严密性的要求，并满足系统开/关时间的要求。阀门必须具有可靠的密封性能，各密封部位结构设计应先进合理，泄漏等级按API标准执行。进口阀门必须按ANSI B16.34、B16.10</w:t>
      </w:r>
      <w:bookmarkStart w:id="84" w:name="_GoBack"/>
      <w:bookmarkEnd w:id="84"/>
      <w:r>
        <w:rPr>
          <w:rFonts w:hint="eastAsia"/>
          <w:snapToGrid w:val="0"/>
          <w:color w:val="auto"/>
        </w:rPr>
        <w:t xml:space="preserve"> 等相关标准设计、选材、制造、试验和验收。 </w:t>
      </w:r>
    </w:p>
    <w:p w14:paraId="29EED199">
      <w:pPr>
        <w:autoSpaceDE w:val="0"/>
        <w:autoSpaceDN w:val="0"/>
        <w:spacing w:beforeLines="0"/>
        <w:ind w:left="0" w:leftChars="0" w:firstLine="0" w:firstLineChars="0"/>
        <w:jc w:val="both"/>
        <w:rPr>
          <w:snapToGrid w:val="0"/>
          <w:color w:val="auto"/>
        </w:rPr>
      </w:pPr>
      <w:r>
        <w:rPr>
          <w:rFonts w:hint="eastAsia"/>
          <w:snapToGrid w:val="0"/>
          <w:color w:val="auto"/>
        </w:rPr>
        <w:t>4.1.2投标人依照运行条件及招标人提供的原则来决定阀门开/关设计。</w:t>
      </w:r>
    </w:p>
    <w:p w14:paraId="30C688D2">
      <w:pPr>
        <w:autoSpaceDE w:val="0"/>
        <w:autoSpaceDN w:val="0"/>
        <w:spacing w:beforeLines="0"/>
        <w:ind w:left="199" w:leftChars="0" w:hanging="199" w:hangingChars="83"/>
        <w:jc w:val="both"/>
        <w:rPr>
          <w:snapToGrid w:val="0"/>
          <w:color w:val="auto"/>
        </w:rPr>
      </w:pPr>
      <w:r>
        <w:rPr>
          <w:rFonts w:hint="eastAsia"/>
          <w:snapToGrid w:val="0"/>
          <w:color w:val="auto"/>
        </w:rPr>
        <w:t>4.1.3压力、温度额定值应是ANSI、MSS和AWWA适用规范和标准中的规定值。</w:t>
      </w:r>
    </w:p>
    <w:p w14:paraId="03C99816">
      <w:pPr>
        <w:autoSpaceDE w:val="0"/>
        <w:autoSpaceDN w:val="0"/>
        <w:spacing w:beforeLines="0"/>
        <w:ind w:left="0" w:leftChars="0" w:firstLine="0" w:firstLineChars="0"/>
        <w:jc w:val="both"/>
        <w:rPr>
          <w:snapToGrid w:val="0"/>
          <w:color w:val="auto"/>
        </w:rPr>
      </w:pPr>
      <w:r>
        <w:rPr>
          <w:rFonts w:hint="eastAsia"/>
          <w:snapToGrid w:val="0"/>
          <w:color w:val="auto"/>
        </w:rPr>
        <w:t>4.1.4阀门打开或关闭时阀座前后的最大不平衡压差应该是电动阀门设计压力的基准值。</w:t>
      </w:r>
    </w:p>
    <w:p w14:paraId="527E76AB">
      <w:pPr>
        <w:autoSpaceDE w:val="0"/>
        <w:autoSpaceDN w:val="0"/>
        <w:spacing w:beforeLines="0"/>
        <w:ind w:left="0" w:leftChars="0" w:firstLine="0" w:firstLineChars="0"/>
        <w:jc w:val="both"/>
        <w:rPr>
          <w:snapToGrid w:val="0"/>
          <w:color w:val="auto"/>
        </w:rPr>
      </w:pPr>
      <w:r>
        <w:rPr>
          <w:rFonts w:hint="eastAsia"/>
          <w:snapToGrid w:val="0"/>
          <w:color w:val="auto"/>
        </w:rPr>
        <w:t>4.1.5在本规范中规定的工作条件下所有阀门组件都应能双向平衡可靠地操作。构造、规格和型号相同的阀门应可以相互更换。</w:t>
      </w:r>
    </w:p>
    <w:p w14:paraId="3B68778B">
      <w:pPr>
        <w:autoSpaceDE w:val="0"/>
        <w:autoSpaceDN w:val="0"/>
        <w:spacing w:beforeLines="0"/>
        <w:ind w:left="0" w:leftChars="0" w:firstLine="0" w:firstLineChars="0"/>
        <w:jc w:val="both"/>
        <w:rPr>
          <w:snapToGrid w:val="0"/>
          <w:color w:val="auto"/>
        </w:rPr>
      </w:pPr>
      <w:r>
        <w:rPr>
          <w:rFonts w:hint="eastAsia"/>
          <w:snapToGrid w:val="0"/>
          <w:color w:val="auto"/>
        </w:rPr>
        <w:t>4.1.6</w:t>
      </w:r>
      <w:r>
        <w:rPr>
          <w:rFonts w:hint="eastAsia"/>
          <w:b/>
          <w:bCs/>
          <w:snapToGrid w:val="0"/>
          <w:color w:val="auto"/>
        </w:rPr>
        <w:t>阀门应选用合理的介质流速，且阀门内径设计要求与主蒸汽管道内径保持一致，即采用全通径，内径不得缩径。</w:t>
      </w:r>
    </w:p>
    <w:p w14:paraId="1C3A0702">
      <w:pPr>
        <w:autoSpaceDE w:val="0"/>
        <w:autoSpaceDN w:val="0"/>
        <w:spacing w:beforeLines="0"/>
        <w:ind w:left="0" w:leftChars="0" w:firstLine="0" w:firstLineChars="0"/>
        <w:jc w:val="both"/>
        <w:rPr>
          <w:snapToGrid w:val="0"/>
          <w:color w:val="auto"/>
        </w:rPr>
      </w:pPr>
      <w:r>
        <w:rPr>
          <w:rFonts w:hint="eastAsia"/>
          <w:snapToGrid w:val="0"/>
          <w:color w:val="auto"/>
        </w:rPr>
        <w:t>4.1.7阀门在设计和制造时应力求降低其启、闭力和启、闭力矩，对启闭速度有要求的阀门应满足其性能要求，并保证其动作的可靠性。电动阀使用寿命不小于30年。</w:t>
      </w:r>
    </w:p>
    <w:p w14:paraId="4BEA6457">
      <w:pPr>
        <w:autoSpaceDE w:val="0"/>
        <w:autoSpaceDN w:val="0"/>
        <w:spacing w:beforeLines="0"/>
        <w:ind w:left="0" w:leftChars="0" w:firstLine="0" w:firstLineChars="0"/>
        <w:rPr>
          <w:snapToGrid w:val="0"/>
          <w:color w:val="auto"/>
        </w:rPr>
      </w:pPr>
      <w:r>
        <w:rPr>
          <w:rFonts w:hint="eastAsia"/>
          <w:snapToGrid w:val="0"/>
          <w:color w:val="auto"/>
        </w:rPr>
        <w:t>4.1.8除有特殊说明外，所有阀门必须达到在施工现场安装前不需解体检查就可安装的要求，如因阀门质量原因需要在施工现场解体检修，投标人应承担一切费用。</w:t>
      </w:r>
    </w:p>
    <w:p w14:paraId="1F650AC7">
      <w:pPr>
        <w:adjustRightInd w:val="0"/>
        <w:spacing w:beforeLines="0"/>
        <w:ind w:left="0" w:leftChars="0" w:firstLine="0" w:firstLineChars="0"/>
        <w:textAlignment w:val="baseline"/>
        <w:outlineLvl w:val="2"/>
        <w:rPr>
          <w:color w:val="auto"/>
        </w:rPr>
      </w:pPr>
      <w:r>
        <w:rPr>
          <w:rFonts w:hint="eastAsia"/>
          <w:snapToGrid w:val="0"/>
          <w:color w:val="auto"/>
        </w:rPr>
        <w:t>4.1.9所有阀门均应进行噪声计算，并提供计算结果。</w:t>
      </w:r>
      <w:r>
        <w:rPr>
          <w:rFonts w:hint="eastAsia"/>
          <w:color w:val="auto"/>
        </w:rPr>
        <w:t>设备噪音控制标准：在距装置</w:t>
      </w:r>
      <w:r>
        <w:rPr>
          <w:color w:val="auto"/>
        </w:rPr>
        <w:t>1</w:t>
      </w:r>
      <w:r>
        <w:rPr>
          <w:rFonts w:hint="eastAsia"/>
          <w:color w:val="auto"/>
        </w:rPr>
        <w:t>米远处测得噪音在</w:t>
      </w:r>
      <w:r>
        <w:rPr>
          <w:color w:val="auto"/>
        </w:rPr>
        <w:t>85dB</w:t>
      </w:r>
      <w:r>
        <w:rPr>
          <w:rFonts w:hint="eastAsia"/>
          <w:color w:val="auto"/>
        </w:rPr>
        <w:t>(A)以下。</w:t>
      </w:r>
    </w:p>
    <w:p w14:paraId="68068A7D">
      <w:pPr>
        <w:autoSpaceDE w:val="0"/>
        <w:autoSpaceDN w:val="0"/>
        <w:spacing w:beforeLines="0"/>
        <w:ind w:left="0" w:leftChars="0" w:firstLine="0" w:firstLineChars="0"/>
        <w:jc w:val="both"/>
        <w:rPr>
          <w:snapToGrid w:val="0"/>
          <w:color w:val="auto"/>
        </w:rPr>
      </w:pPr>
      <w:r>
        <w:rPr>
          <w:rFonts w:hint="eastAsia"/>
          <w:snapToGrid w:val="0"/>
          <w:color w:val="auto"/>
        </w:rPr>
        <w:t>4.1.1</w:t>
      </w:r>
      <w:r>
        <w:rPr>
          <w:snapToGrid w:val="0"/>
          <w:color w:val="auto"/>
        </w:rPr>
        <w:t>0</w:t>
      </w:r>
      <w:r>
        <w:rPr>
          <w:rFonts w:hint="eastAsia"/>
          <w:snapToGrid w:val="0"/>
          <w:color w:val="auto"/>
        </w:rPr>
        <w:t>所有阀门须作水压试验，试验压力应为系统最大压力的1.5 倍，持续时间为不少于20分钟。</w:t>
      </w:r>
    </w:p>
    <w:p w14:paraId="3A531A7E">
      <w:pPr>
        <w:autoSpaceDE w:val="0"/>
        <w:autoSpaceDN w:val="0"/>
        <w:spacing w:beforeLines="0"/>
        <w:ind w:left="199" w:leftChars="0" w:hanging="199" w:hangingChars="83"/>
        <w:jc w:val="both"/>
        <w:rPr>
          <w:snapToGrid w:val="0"/>
          <w:color w:val="auto"/>
        </w:rPr>
      </w:pPr>
      <w:r>
        <w:rPr>
          <w:rFonts w:hint="eastAsia"/>
          <w:snapToGrid w:val="0"/>
          <w:color w:val="auto"/>
        </w:rPr>
        <w:t>4.1.1</w:t>
      </w:r>
      <w:r>
        <w:rPr>
          <w:snapToGrid w:val="0"/>
          <w:color w:val="auto"/>
        </w:rPr>
        <w:t>1</w:t>
      </w:r>
      <w:r>
        <w:rPr>
          <w:rFonts w:hint="eastAsia"/>
          <w:snapToGrid w:val="0"/>
          <w:color w:val="auto"/>
        </w:rPr>
        <w:t>投标人在投标文件中详细说明产品的以下几种情况 (但不限于此)：</w:t>
      </w:r>
    </w:p>
    <w:p w14:paraId="7858D8A5">
      <w:pPr>
        <w:autoSpaceDE w:val="0"/>
        <w:autoSpaceDN w:val="0"/>
        <w:spacing w:beforeLines="0"/>
        <w:ind w:left="480" w:leftChars="0" w:hanging="480"/>
        <w:jc w:val="both"/>
        <w:outlineLvl w:val="2"/>
        <w:rPr>
          <w:snapToGrid w:val="0"/>
          <w:color w:val="auto"/>
        </w:rPr>
      </w:pPr>
      <w:r>
        <w:rPr>
          <w:rFonts w:hint="eastAsia"/>
          <w:snapToGrid w:val="0"/>
          <w:color w:val="auto"/>
        </w:rPr>
        <w:t>1) 阀门的结构设计特点；</w:t>
      </w:r>
    </w:p>
    <w:p w14:paraId="2FA58159">
      <w:pPr>
        <w:autoSpaceDE w:val="0"/>
        <w:autoSpaceDN w:val="0"/>
        <w:spacing w:beforeLines="0"/>
        <w:ind w:left="0" w:leftChars="0" w:firstLine="0" w:firstLineChars="0"/>
        <w:jc w:val="both"/>
        <w:rPr>
          <w:snapToGrid w:val="0"/>
          <w:color w:val="auto"/>
        </w:rPr>
      </w:pPr>
      <w:r>
        <w:rPr>
          <w:rFonts w:hint="eastAsia"/>
          <w:snapToGrid w:val="0"/>
          <w:color w:val="auto"/>
        </w:rPr>
        <w:t>2) 阀体、阀盖、阀芯、阀杆、限位手轮及其支架(若需要)、限位阀杆(若需要)等零部件的材质、 硬度及各材质允许的温度范围；</w:t>
      </w:r>
    </w:p>
    <w:p w14:paraId="4BE012AA">
      <w:pPr>
        <w:autoSpaceDE w:val="0"/>
        <w:autoSpaceDN w:val="0"/>
        <w:spacing w:beforeLines="0"/>
        <w:ind w:left="480" w:leftChars="0" w:hanging="480"/>
        <w:jc w:val="both"/>
        <w:rPr>
          <w:snapToGrid w:val="0"/>
          <w:color w:val="auto"/>
        </w:rPr>
      </w:pPr>
      <w:r>
        <w:rPr>
          <w:rFonts w:hint="eastAsia"/>
          <w:snapToGrid w:val="0"/>
          <w:color w:val="auto"/>
        </w:rPr>
        <w:t>3) 阀门填料材质、特点及密封效果；</w:t>
      </w:r>
    </w:p>
    <w:p w14:paraId="2FB0F101">
      <w:pPr>
        <w:autoSpaceDE w:val="0"/>
        <w:autoSpaceDN w:val="0"/>
        <w:spacing w:beforeLines="0"/>
        <w:ind w:left="480" w:leftChars="0" w:hanging="480"/>
        <w:jc w:val="both"/>
        <w:rPr>
          <w:snapToGrid w:val="0"/>
          <w:color w:val="auto"/>
        </w:rPr>
      </w:pPr>
      <w:r>
        <w:rPr>
          <w:rFonts w:hint="eastAsia"/>
          <w:snapToGrid w:val="0"/>
          <w:color w:val="auto"/>
        </w:rPr>
        <w:t>4) 阀门抗冲刷性能及密封面的优良性能；</w:t>
      </w:r>
    </w:p>
    <w:p w14:paraId="0E1A90D9">
      <w:pPr>
        <w:autoSpaceDE w:val="0"/>
        <w:autoSpaceDN w:val="0"/>
        <w:spacing w:beforeLines="0"/>
        <w:ind w:left="480" w:leftChars="0" w:hanging="480"/>
        <w:jc w:val="both"/>
        <w:outlineLvl w:val="1"/>
        <w:rPr>
          <w:snapToGrid w:val="0"/>
          <w:color w:val="auto"/>
        </w:rPr>
      </w:pPr>
      <w:r>
        <w:rPr>
          <w:rFonts w:hint="eastAsia"/>
          <w:snapToGrid w:val="0"/>
          <w:color w:val="auto"/>
        </w:rPr>
        <w:t>4.2设备性能要求</w:t>
      </w:r>
    </w:p>
    <w:p w14:paraId="594551F9">
      <w:pPr>
        <w:autoSpaceDE w:val="0"/>
        <w:autoSpaceDN w:val="0"/>
        <w:spacing w:beforeLines="0"/>
        <w:ind w:left="480" w:leftChars="0" w:hanging="480"/>
        <w:jc w:val="both"/>
        <w:rPr>
          <w:snapToGrid w:val="0"/>
          <w:color w:val="auto"/>
        </w:rPr>
      </w:pPr>
      <w:r>
        <w:rPr>
          <w:rFonts w:hint="eastAsia"/>
          <w:snapToGrid w:val="0"/>
          <w:color w:val="auto"/>
        </w:rPr>
        <w:t>4.2.1阀门应满足所安装系统的功能要求。</w:t>
      </w:r>
    </w:p>
    <w:p w14:paraId="101B64EC">
      <w:pPr>
        <w:autoSpaceDE w:val="0"/>
        <w:autoSpaceDN w:val="0"/>
        <w:spacing w:beforeLines="0"/>
        <w:ind w:left="480" w:leftChars="0" w:hanging="480"/>
        <w:jc w:val="both"/>
        <w:rPr>
          <w:snapToGrid w:val="0"/>
          <w:color w:val="auto"/>
        </w:rPr>
      </w:pPr>
      <w:r>
        <w:rPr>
          <w:rFonts w:hint="eastAsia"/>
          <w:snapToGrid w:val="0"/>
          <w:color w:val="auto"/>
        </w:rPr>
        <w:t>4.2.2阀门应满足所安装系统的设计参数要求。</w:t>
      </w:r>
    </w:p>
    <w:p w14:paraId="7BB55BBA">
      <w:pPr>
        <w:autoSpaceDE w:val="0"/>
        <w:autoSpaceDN w:val="0"/>
        <w:spacing w:beforeLines="0"/>
        <w:ind w:left="480" w:leftChars="0" w:hanging="480"/>
        <w:jc w:val="both"/>
        <w:rPr>
          <w:snapToGrid w:val="0"/>
          <w:color w:val="auto"/>
        </w:rPr>
      </w:pPr>
      <w:r>
        <w:rPr>
          <w:rFonts w:hint="eastAsia"/>
          <w:snapToGrid w:val="0"/>
          <w:color w:val="auto"/>
        </w:rPr>
        <w:t>4.2.3阀门应能在冷热状态下灵活关闭，不得有卡涩现象。</w:t>
      </w:r>
    </w:p>
    <w:p w14:paraId="4BC516D5">
      <w:pPr>
        <w:autoSpaceDE w:val="0"/>
        <w:autoSpaceDN w:val="0"/>
        <w:spacing w:beforeLines="0"/>
        <w:ind w:left="480" w:leftChars="0" w:hanging="480"/>
        <w:outlineLvl w:val="1"/>
        <w:rPr>
          <w:rFonts w:cs="Arial"/>
          <w:color w:val="auto"/>
          <w:szCs w:val="20"/>
        </w:rPr>
      </w:pPr>
      <w:r>
        <w:rPr>
          <w:rFonts w:hint="eastAsia" w:cs="Arial"/>
          <w:color w:val="auto"/>
        </w:rPr>
        <w:t>4.3设备设计制造要求</w:t>
      </w:r>
    </w:p>
    <w:p w14:paraId="6E2B5EFA">
      <w:pPr>
        <w:autoSpaceDE w:val="0"/>
        <w:autoSpaceDN w:val="0"/>
        <w:spacing w:beforeLines="0"/>
        <w:ind w:left="199" w:leftChars="0" w:hanging="199" w:hangingChars="83"/>
        <w:jc w:val="both"/>
        <w:rPr>
          <w:snapToGrid w:val="0"/>
          <w:color w:val="auto"/>
        </w:rPr>
      </w:pPr>
      <w:r>
        <w:rPr>
          <w:rFonts w:hint="eastAsia"/>
          <w:snapToGrid w:val="0"/>
          <w:color w:val="auto"/>
        </w:rPr>
        <w:t>4.3.1阀门制造符合NB/T47044《电站阀门》、</w:t>
      </w:r>
      <w:r>
        <w:rPr>
          <w:rFonts w:hint="eastAsia"/>
          <w:snapToGrid w:val="0"/>
          <w:color w:val="auto"/>
        </w:rPr>
        <w:t>DL/T 531《电站高温高压截止阀闸阀技术条件》、</w:t>
      </w:r>
      <w:r>
        <w:rPr>
          <w:rFonts w:hint="eastAsia"/>
          <w:snapToGrid w:val="0"/>
          <w:color w:val="auto"/>
        </w:rPr>
        <w:t>GB/T10869《电站调节阀》或ANSI B16.34 (进口阀门)及相应国际标准的有关规定</w:t>
      </w:r>
      <w:r>
        <w:rPr>
          <w:rFonts w:hint="eastAsia"/>
          <w:snapToGrid w:val="0"/>
          <w:color w:val="auto"/>
        </w:rPr>
        <w:t>，且应符合下列要求：</w:t>
      </w:r>
    </w:p>
    <w:p w14:paraId="20A4C2E6">
      <w:pPr>
        <w:autoSpaceDE w:val="0"/>
        <w:autoSpaceDN w:val="0"/>
        <w:spacing w:beforeLines="0"/>
        <w:ind w:left="199" w:leftChars="0" w:hanging="199" w:hangingChars="83"/>
        <w:jc w:val="both"/>
        <w:rPr>
          <w:snapToGrid w:val="0"/>
          <w:color w:val="auto"/>
        </w:rPr>
      </w:pPr>
      <w:r>
        <w:rPr>
          <w:rFonts w:hint="eastAsia"/>
          <w:snapToGrid w:val="0"/>
          <w:color w:val="auto"/>
        </w:rPr>
        <w:t>(1)阀门本体、接管等主要部件须采用锻钢件，符合ANSI B16.34或NB/T47008《承压设备用碳素钢和合金钢锻件》的规定；</w:t>
      </w:r>
    </w:p>
    <w:p w14:paraId="79297B7F">
      <w:pPr>
        <w:autoSpaceDE w:val="0"/>
        <w:autoSpaceDN w:val="0"/>
        <w:spacing w:beforeLines="0"/>
        <w:ind w:left="0" w:leftChars="0" w:firstLine="0" w:firstLineChars="0"/>
        <w:jc w:val="both"/>
        <w:rPr>
          <w:snapToGrid w:val="0"/>
          <w:color w:val="auto"/>
        </w:rPr>
      </w:pPr>
      <w:r>
        <w:rPr>
          <w:rFonts w:hint="eastAsia"/>
          <w:snapToGrid w:val="0"/>
          <w:color w:val="auto"/>
        </w:rPr>
        <w:t>(2)阀门其他部件允许采用铸钢件，但应符合ANSI B16.34或NB/T11268《锅炉承压铸钢件技术条件》的规定；</w:t>
      </w:r>
    </w:p>
    <w:p w14:paraId="349FDA9F">
      <w:pPr>
        <w:autoSpaceDE w:val="0"/>
        <w:autoSpaceDN w:val="0"/>
        <w:spacing w:beforeLines="0"/>
        <w:ind w:left="0" w:leftChars="0" w:firstLine="0" w:firstLineChars="0"/>
        <w:jc w:val="both"/>
        <w:rPr>
          <w:snapToGrid w:val="0"/>
          <w:color w:val="auto"/>
        </w:rPr>
      </w:pPr>
      <w:r>
        <w:rPr>
          <w:rFonts w:hint="eastAsia"/>
          <w:snapToGrid w:val="0"/>
          <w:color w:val="auto"/>
        </w:rPr>
        <w:t>(3)阀门承压焊接件，符合ANSI B16.34或NB/T47015《压力容器焊接规程》的规定。</w:t>
      </w:r>
    </w:p>
    <w:p w14:paraId="622C8BB8">
      <w:pPr>
        <w:autoSpaceDE w:val="0"/>
        <w:autoSpaceDN w:val="0"/>
        <w:spacing w:beforeLines="0"/>
        <w:ind w:left="480" w:leftChars="0" w:hanging="480"/>
        <w:jc w:val="both"/>
        <w:outlineLvl w:val="2"/>
        <w:rPr>
          <w:snapToGrid w:val="0"/>
          <w:color w:val="auto"/>
        </w:rPr>
      </w:pPr>
      <w:r>
        <w:rPr>
          <w:rFonts w:hint="eastAsia"/>
          <w:snapToGrid w:val="0"/>
          <w:color w:val="auto"/>
        </w:rPr>
        <w:t>(4)阀门的结构长度应符合国家标准GB/T12221规定。</w:t>
      </w:r>
    </w:p>
    <w:p w14:paraId="4BAD959A">
      <w:pPr>
        <w:autoSpaceDE w:val="0"/>
        <w:autoSpaceDN w:val="0"/>
        <w:spacing w:beforeLines="0"/>
        <w:ind w:left="0" w:leftChars="0" w:firstLine="0" w:firstLineChars="0"/>
        <w:rPr>
          <w:snapToGrid w:val="0"/>
          <w:color w:val="auto"/>
          <w:szCs w:val="20"/>
        </w:rPr>
      </w:pPr>
      <w:r>
        <w:rPr>
          <w:rFonts w:hint="eastAsia"/>
          <w:snapToGrid w:val="0"/>
          <w:color w:val="auto"/>
        </w:rPr>
        <w:t>4.3.2阀体结构具有良好的</w:t>
      </w:r>
      <w:r>
        <w:rPr>
          <w:rFonts w:hint="eastAsia"/>
          <w:snapToGrid w:val="0"/>
          <w:color w:val="auto"/>
        </w:rPr>
        <w:t>抗热冲击能力。阀门的阀体和主要部件采用整体锻造结构。</w:t>
      </w:r>
    </w:p>
    <w:p w14:paraId="5B705BF6">
      <w:pPr>
        <w:autoSpaceDE w:val="0"/>
        <w:autoSpaceDN w:val="0"/>
        <w:spacing w:beforeLines="0"/>
        <w:ind w:left="0" w:leftChars="0" w:firstLine="0" w:firstLineChars="0"/>
        <w:rPr>
          <w:snapToGrid w:val="0"/>
          <w:color w:val="auto"/>
        </w:rPr>
      </w:pPr>
      <w:r>
        <w:rPr>
          <w:rFonts w:hint="eastAsia"/>
          <w:snapToGrid w:val="0"/>
          <w:color w:val="auto"/>
        </w:rPr>
        <w:t>4.3.3阀门结构设计具有易维护、噪音低、结构紧凑、动作灵活和重量轻等特点。</w:t>
      </w:r>
    </w:p>
    <w:p w14:paraId="7D7A2757">
      <w:pPr>
        <w:autoSpaceDE w:val="0"/>
        <w:autoSpaceDN w:val="0"/>
        <w:spacing w:beforeLines="0"/>
        <w:ind w:left="0" w:leftChars="0" w:firstLine="0" w:firstLineChars="0"/>
        <w:rPr>
          <w:snapToGrid w:val="0"/>
          <w:color w:val="auto"/>
        </w:rPr>
      </w:pPr>
      <w:r>
        <w:rPr>
          <w:rFonts w:hint="eastAsia"/>
          <w:snapToGrid w:val="0"/>
          <w:color w:val="auto"/>
        </w:rPr>
        <w:t>4.3.4阀门关闭严密而无泄漏 (在要求的检修期内，阀门检修周期不少于6年)，阀芯及阀座应耐磨、耐冲刷并便于拆装与研磨。其泄漏标准符合ANSI B16.104 的V级标准及以上的要求。</w:t>
      </w:r>
    </w:p>
    <w:p w14:paraId="43DE94A8">
      <w:pPr>
        <w:autoSpaceDE w:val="0"/>
        <w:autoSpaceDN w:val="0"/>
        <w:spacing w:beforeLines="0"/>
        <w:ind w:left="0" w:leftChars="0" w:firstLine="0" w:firstLineChars="0"/>
        <w:rPr>
          <w:snapToGrid w:val="0"/>
          <w:color w:val="auto"/>
        </w:rPr>
      </w:pPr>
      <w:r>
        <w:rPr>
          <w:rFonts w:hint="eastAsia"/>
          <w:snapToGrid w:val="0"/>
          <w:color w:val="auto"/>
        </w:rPr>
        <w:t>4.3.5</w:t>
      </w:r>
      <w:r>
        <w:rPr>
          <w:rFonts w:hint="eastAsia"/>
          <w:b/>
          <w:snapToGrid w:val="0"/>
          <w:color w:val="auto"/>
        </w:rPr>
        <w:t>阀门与管道采用对口焊接，</w:t>
      </w:r>
      <w:r>
        <w:rPr>
          <w:rFonts w:hint="eastAsia"/>
          <w:b/>
          <w:snapToGrid w:val="0"/>
          <w:color w:val="auto"/>
        </w:rPr>
        <w:t>投标人应按DL/T869《火力发电厂焊接技术规程》有关规定制作完成双V型焊接坡口。</w:t>
      </w:r>
      <w:r>
        <w:rPr>
          <w:rFonts w:hint="eastAsia"/>
          <w:snapToGrid w:val="0"/>
          <w:color w:val="auto"/>
        </w:rPr>
        <w:t>阀体进出口与接管口径应一致，对于阀门与管道接口无法满足焊接要求的，投标人应加过渡段，过渡段在工厂焊接好出厂，现场不允许出现异种钢焊接。</w:t>
      </w:r>
    </w:p>
    <w:p w14:paraId="3B127EDD">
      <w:pPr>
        <w:autoSpaceDE w:val="0"/>
        <w:autoSpaceDN w:val="0"/>
        <w:spacing w:beforeLines="0"/>
        <w:ind w:left="0" w:leftChars="0" w:firstLine="0" w:firstLineChars="0"/>
        <w:outlineLvl w:val="1"/>
        <w:rPr>
          <w:snapToGrid w:val="0"/>
          <w:color w:val="auto"/>
        </w:rPr>
      </w:pPr>
      <w:r>
        <w:rPr>
          <w:rFonts w:hint="eastAsia"/>
          <w:snapToGrid w:val="0"/>
          <w:color w:val="auto"/>
        </w:rPr>
        <w:t>4.4设备结构要求</w:t>
      </w:r>
    </w:p>
    <w:p w14:paraId="2C774222">
      <w:pPr>
        <w:autoSpaceDE w:val="0"/>
        <w:autoSpaceDN w:val="0"/>
        <w:spacing w:beforeLines="0"/>
        <w:ind w:left="0" w:leftChars="0" w:firstLine="0" w:firstLineChars="0"/>
        <w:outlineLvl w:val="2"/>
        <w:rPr>
          <w:snapToGrid w:val="0"/>
          <w:color w:val="auto"/>
        </w:rPr>
      </w:pPr>
      <w:r>
        <w:rPr>
          <w:rFonts w:hint="eastAsia"/>
          <w:snapToGrid w:val="0"/>
          <w:color w:val="auto"/>
        </w:rPr>
        <w:t>4.4.1阀门流向应清晰、永久性地标在阀门上。</w:t>
      </w:r>
    </w:p>
    <w:p w14:paraId="48388F58">
      <w:pPr>
        <w:autoSpaceDE w:val="0"/>
        <w:autoSpaceDN w:val="0"/>
        <w:spacing w:beforeLines="0"/>
        <w:ind w:left="0" w:leftChars="0" w:firstLine="0" w:firstLineChars="0"/>
        <w:rPr>
          <w:snapToGrid w:val="0"/>
          <w:color w:val="auto"/>
        </w:rPr>
      </w:pPr>
      <w:r>
        <w:rPr>
          <w:rFonts w:hint="eastAsia"/>
          <w:snapToGrid w:val="0"/>
          <w:color w:val="auto"/>
        </w:rPr>
        <w:t>4.4.2滑动部件间应有一定地硬度差别，以防止相互咬紧，并提供有利的磨损特性，如：阀杆与上密封衬套、阀芯与导向衬套、密封圈的支承面等。</w:t>
      </w:r>
    </w:p>
    <w:p w14:paraId="6E7C668C">
      <w:pPr>
        <w:autoSpaceDE w:val="0"/>
        <w:autoSpaceDN w:val="0"/>
        <w:spacing w:beforeLines="0"/>
        <w:ind w:left="0" w:leftChars="0" w:firstLine="0" w:firstLineChars="0"/>
        <w:rPr>
          <w:snapToGrid w:val="0"/>
          <w:color w:val="auto"/>
        </w:rPr>
      </w:pPr>
      <w:r>
        <w:rPr>
          <w:rFonts w:hint="eastAsia"/>
          <w:snapToGrid w:val="0"/>
          <w:color w:val="auto"/>
        </w:rPr>
        <w:t>4.4.3阀门都应配自润滑填料，其可滤氯化物含量不超过25mg/L，填料应具有降低不锈钢阀杆腐蚀的措施，并且不需要拆卸阀杆就可更换。</w:t>
      </w:r>
    </w:p>
    <w:p w14:paraId="3CB1ACF1">
      <w:pPr>
        <w:autoSpaceDE w:val="0"/>
        <w:autoSpaceDN w:val="0"/>
        <w:spacing w:beforeLines="0"/>
        <w:ind w:left="0" w:leftChars="0" w:firstLine="0" w:firstLineChars="0"/>
        <w:rPr>
          <w:snapToGrid w:val="0"/>
          <w:color w:val="auto"/>
        </w:rPr>
      </w:pPr>
      <w:r>
        <w:rPr>
          <w:rFonts w:hint="eastAsia"/>
          <w:snapToGrid w:val="0"/>
          <w:color w:val="auto"/>
        </w:rPr>
        <w:t>4.4.4阀门都应能在不拆卸执行器时更换填料，且不得接长阀杆来满足。</w:t>
      </w:r>
    </w:p>
    <w:p w14:paraId="306A593D">
      <w:pPr>
        <w:autoSpaceDE w:val="0"/>
        <w:autoSpaceDN w:val="0"/>
        <w:spacing w:beforeLines="0"/>
        <w:ind w:left="0" w:leftChars="0" w:firstLine="0" w:firstLineChars="0"/>
        <w:rPr>
          <w:snapToGrid w:val="0"/>
          <w:color w:val="auto"/>
        </w:rPr>
      </w:pPr>
      <w:r>
        <w:rPr>
          <w:rFonts w:hint="eastAsia"/>
          <w:snapToGrid w:val="0"/>
          <w:color w:val="auto"/>
        </w:rPr>
        <w:t>4.4.5阀门要求选</w:t>
      </w:r>
      <w:r>
        <w:rPr>
          <w:rFonts w:hint="eastAsia"/>
          <w:snapToGrid w:val="0"/>
          <w:color w:val="auto"/>
        </w:rPr>
        <w:t>用双闸板结构，为防止阀盖压力过大设置的疏水排气小孔应位于其上游。</w:t>
      </w:r>
    </w:p>
    <w:p w14:paraId="4D2CB00D">
      <w:pPr>
        <w:autoSpaceDE w:val="0"/>
        <w:autoSpaceDN w:val="0"/>
        <w:spacing w:beforeLines="0"/>
        <w:ind w:left="0" w:leftChars="0" w:firstLine="0" w:firstLineChars="0"/>
        <w:rPr>
          <w:snapToGrid w:val="0"/>
          <w:color w:val="auto"/>
        </w:rPr>
      </w:pPr>
      <w:r>
        <w:rPr>
          <w:rFonts w:hint="eastAsia"/>
          <w:snapToGrid w:val="0"/>
          <w:color w:val="auto"/>
        </w:rPr>
        <w:t>4.4.6阀盖要求选用自密封结构形式，自密封填料要求选用耐高温耐高压型。</w:t>
      </w:r>
    </w:p>
    <w:p w14:paraId="4BF0A275">
      <w:pPr>
        <w:autoSpaceDE w:val="0"/>
        <w:autoSpaceDN w:val="0"/>
        <w:spacing w:beforeLines="0"/>
        <w:ind w:left="0" w:leftChars="0" w:firstLine="0" w:firstLineChars="0"/>
        <w:outlineLvl w:val="2"/>
        <w:rPr>
          <w:snapToGrid w:val="0"/>
          <w:color w:val="auto"/>
        </w:rPr>
      </w:pPr>
      <w:r>
        <w:rPr>
          <w:rFonts w:hint="eastAsia"/>
          <w:snapToGrid w:val="0"/>
          <w:color w:val="auto"/>
        </w:rPr>
        <w:t>4.4.7阀门结构长度不得小于1350mm。</w:t>
      </w:r>
    </w:p>
    <w:p w14:paraId="7A126BB2">
      <w:pPr>
        <w:autoSpaceDE w:val="0"/>
        <w:autoSpaceDN w:val="0"/>
        <w:spacing w:beforeLines="0"/>
        <w:ind w:left="0" w:leftChars="0" w:firstLine="0" w:firstLineChars="0"/>
        <w:outlineLvl w:val="1"/>
        <w:rPr>
          <w:snapToGrid w:val="0"/>
          <w:color w:val="auto"/>
        </w:rPr>
      </w:pPr>
      <w:r>
        <w:rPr>
          <w:rFonts w:hint="eastAsia"/>
          <w:snapToGrid w:val="0"/>
          <w:color w:val="auto"/>
        </w:rPr>
        <w:t>4.5设备材质要求</w:t>
      </w:r>
    </w:p>
    <w:p w14:paraId="5C35E303">
      <w:pPr>
        <w:autoSpaceDE w:val="0"/>
        <w:autoSpaceDN w:val="0"/>
        <w:spacing w:beforeLines="0"/>
        <w:ind w:left="0" w:leftChars="0" w:firstLine="0" w:firstLineChars="0"/>
        <w:rPr>
          <w:snapToGrid w:val="0"/>
          <w:color w:val="auto"/>
        </w:rPr>
      </w:pPr>
      <w:r>
        <w:rPr>
          <w:rFonts w:hint="eastAsia"/>
          <w:snapToGrid w:val="0"/>
          <w:color w:val="auto"/>
        </w:rPr>
        <w:t>4.5.1阀门制造，按压力容器受压元件的条件选用钢材。钢材的质量及规格符合相应的国际标准、国家标准或有关技术条件，并附有钢厂的钢材质量证明书， 阀板应用WC9+司太利合金</w:t>
      </w:r>
    </w:p>
    <w:p w14:paraId="6A9C1B26">
      <w:pPr>
        <w:autoSpaceDE w:val="0"/>
        <w:autoSpaceDN w:val="0"/>
        <w:spacing w:beforeLines="0"/>
        <w:ind w:left="0" w:leftChars="0" w:firstLine="0" w:firstLineChars="0"/>
        <w:rPr>
          <w:snapToGrid w:val="0"/>
          <w:color w:val="auto"/>
        </w:rPr>
      </w:pPr>
      <w:r>
        <w:rPr>
          <w:rFonts w:hint="eastAsia"/>
          <w:snapToGrid w:val="0"/>
          <w:color w:val="auto"/>
        </w:rPr>
        <w:t>4.5.4阀门要求采用不锈钢阀杆和司太立合金(包括上密封)的密封面。闸阀的阀座和阀</w:t>
      </w:r>
      <w:r>
        <w:rPr>
          <w:rFonts w:hint="eastAsia"/>
          <w:snapToGrid w:val="0"/>
          <w:color w:val="auto"/>
        </w:rPr>
        <w:t>板应堆焊司太立合金。只采用司太立合金堆焊阀座时，阀板WC9+司太利合金6。</w:t>
      </w:r>
      <w:r>
        <w:rPr>
          <w:rFonts w:hint="eastAsia"/>
          <w:snapToGrid w:val="0"/>
          <w:color w:val="auto"/>
        </w:rPr>
        <w:t>应保证阀座和阀板之间有硬度差别，阀座硬度应高于阀板。</w:t>
      </w:r>
    </w:p>
    <w:p w14:paraId="636E842C">
      <w:pPr>
        <w:autoSpaceDE w:val="0"/>
        <w:autoSpaceDN w:val="0"/>
        <w:spacing w:beforeLines="0"/>
        <w:ind w:left="0" w:leftChars="0" w:firstLine="0" w:firstLineChars="0"/>
        <w:rPr>
          <w:snapToGrid w:val="0"/>
          <w:color w:val="auto"/>
        </w:rPr>
      </w:pPr>
      <w:r>
        <w:rPr>
          <w:rFonts w:hint="eastAsia"/>
          <w:snapToGrid w:val="0"/>
          <w:color w:val="auto"/>
        </w:rPr>
        <w:t xml:space="preserve">4.5.5所有密封件应严密无泄露，密封材料应采用性能可靠的产品。 </w:t>
      </w:r>
    </w:p>
    <w:p w14:paraId="5E0AE873">
      <w:pPr>
        <w:autoSpaceDE w:val="0"/>
        <w:autoSpaceDN w:val="0"/>
        <w:spacing w:beforeLines="0"/>
        <w:ind w:left="0" w:leftChars="0" w:firstLine="0" w:firstLineChars="0"/>
        <w:outlineLvl w:val="1"/>
        <w:rPr>
          <w:snapToGrid w:val="0"/>
          <w:color w:val="auto"/>
        </w:rPr>
      </w:pPr>
      <w:r>
        <w:rPr>
          <w:rFonts w:hint="eastAsia"/>
          <w:snapToGrid w:val="0"/>
          <w:color w:val="auto"/>
        </w:rPr>
        <w:t>4.6试验要求</w:t>
      </w:r>
    </w:p>
    <w:p w14:paraId="020C9C8D">
      <w:pPr>
        <w:autoSpaceDE w:val="0"/>
        <w:autoSpaceDN w:val="0"/>
        <w:spacing w:beforeLines="0"/>
        <w:ind w:left="0" w:leftChars="0" w:firstLine="0" w:firstLineChars="0"/>
        <w:outlineLvl w:val="2"/>
        <w:rPr>
          <w:snapToGrid w:val="0"/>
          <w:color w:val="auto"/>
        </w:rPr>
      </w:pPr>
      <w:r>
        <w:rPr>
          <w:rFonts w:hint="eastAsia"/>
          <w:snapToGrid w:val="0"/>
          <w:color w:val="auto"/>
        </w:rPr>
        <w:t>4.6.1材料试验要求</w:t>
      </w:r>
    </w:p>
    <w:p w14:paraId="47FC7CD1">
      <w:pPr>
        <w:autoSpaceDE w:val="0"/>
        <w:autoSpaceDN w:val="0"/>
        <w:spacing w:beforeLines="0"/>
        <w:ind w:left="0" w:leftChars="0" w:firstLine="0" w:firstLineChars="0"/>
        <w:outlineLvl w:val="3"/>
        <w:rPr>
          <w:snapToGrid w:val="0"/>
          <w:color w:val="auto"/>
        </w:rPr>
      </w:pPr>
      <w:r>
        <w:rPr>
          <w:rFonts w:hint="eastAsia"/>
          <w:snapToGrid w:val="0"/>
          <w:color w:val="auto"/>
        </w:rPr>
        <w:t>(1) 投标人应在投标文件中标明无损检测的范围。</w:t>
      </w:r>
    </w:p>
    <w:p w14:paraId="10D1B1F2">
      <w:pPr>
        <w:autoSpaceDE w:val="0"/>
        <w:autoSpaceDN w:val="0"/>
        <w:spacing w:beforeLines="0"/>
        <w:ind w:left="0" w:leftChars="0" w:firstLine="0" w:firstLineChars="0"/>
        <w:rPr>
          <w:snapToGrid w:val="0"/>
          <w:color w:val="auto"/>
        </w:rPr>
      </w:pPr>
      <w:r>
        <w:rPr>
          <w:rFonts w:hint="eastAsia"/>
          <w:snapToGrid w:val="0"/>
          <w:color w:val="auto"/>
        </w:rPr>
        <w:t>(2) 所有阀门材料将根据ASTM材料规范和国家相关标准要求进行检验。</w:t>
      </w:r>
    </w:p>
    <w:p w14:paraId="01A6B4BD">
      <w:pPr>
        <w:autoSpaceDE w:val="0"/>
        <w:autoSpaceDN w:val="0"/>
        <w:spacing w:beforeLines="0"/>
        <w:ind w:left="0" w:leftChars="0" w:firstLine="0" w:firstLineChars="0"/>
        <w:rPr>
          <w:snapToGrid w:val="0"/>
          <w:color w:val="auto"/>
        </w:rPr>
      </w:pPr>
      <w:r>
        <w:rPr>
          <w:rFonts w:hint="eastAsia"/>
          <w:snapToGrid w:val="0"/>
          <w:color w:val="auto"/>
        </w:rPr>
        <w:t>(3) 所有铸件的可见表面要进行外观检查，铸件的外观检查根据MSS-SP-55进行。</w:t>
      </w:r>
    </w:p>
    <w:p w14:paraId="5124EE48">
      <w:pPr>
        <w:autoSpaceDE w:val="0"/>
        <w:autoSpaceDN w:val="0"/>
        <w:spacing w:beforeLines="0"/>
        <w:ind w:left="0" w:leftChars="0" w:firstLine="0" w:firstLineChars="0"/>
        <w:rPr>
          <w:snapToGrid w:val="0"/>
          <w:color w:val="auto"/>
        </w:rPr>
      </w:pPr>
      <w:r>
        <w:rPr>
          <w:rFonts w:hint="eastAsia"/>
          <w:snapToGrid w:val="0"/>
          <w:color w:val="auto"/>
        </w:rPr>
        <w:t>(4) 铸件的修补焊采用同样的方法检验,其质量标准采用与铸件的标准相同。</w:t>
      </w:r>
    </w:p>
    <w:p w14:paraId="7DB4633A">
      <w:pPr>
        <w:autoSpaceDE w:val="0"/>
        <w:autoSpaceDN w:val="0"/>
        <w:spacing w:beforeLines="0"/>
        <w:ind w:left="0" w:leftChars="0" w:firstLine="0" w:firstLineChars="0"/>
        <w:rPr>
          <w:snapToGrid w:val="0"/>
          <w:color w:val="auto"/>
        </w:rPr>
      </w:pPr>
      <w:r>
        <w:rPr>
          <w:rFonts w:hint="eastAsia"/>
          <w:snapToGrid w:val="0"/>
          <w:color w:val="auto"/>
        </w:rPr>
        <w:t>(5) 锻件的修补焊进行无损检测,并达到ANSI/ASME B31.1的要求。</w:t>
      </w:r>
    </w:p>
    <w:p w14:paraId="33F40713">
      <w:pPr>
        <w:autoSpaceDE w:val="0"/>
        <w:autoSpaceDN w:val="0"/>
        <w:spacing w:beforeLines="0"/>
        <w:ind w:left="0" w:leftChars="0" w:firstLine="0" w:firstLineChars="0"/>
        <w:rPr>
          <w:snapToGrid w:val="0"/>
          <w:color w:val="auto"/>
        </w:rPr>
      </w:pPr>
      <w:r>
        <w:rPr>
          <w:rFonts w:hint="eastAsia"/>
          <w:snapToGrid w:val="0"/>
          <w:color w:val="auto"/>
        </w:rPr>
        <w:t>(6) 检验、评估或监督无损探伤的人员必须按API598或国家相关标准取得资格。</w:t>
      </w:r>
    </w:p>
    <w:p w14:paraId="34CF1CE2">
      <w:pPr>
        <w:autoSpaceDE w:val="0"/>
        <w:autoSpaceDN w:val="0"/>
        <w:spacing w:beforeLines="0"/>
        <w:ind w:left="0" w:leftChars="0" w:firstLine="0" w:firstLineChars="0"/>
        <w:outlineLvl w:val="2"/>
        <w:rPr>
          <w:snapToGrid w:val="0"/>
          <w:color w:val="auto"/>
        </w:rPr>
      </w:pPr>
      <w:r>
        <w:rPr>
          <w:rFonts w:hint="eastAsia"/>
          <w:snapToGrid w:val="0"/>
          <w:color w:val="auto"/>
        </w:rPr>
        <w:t>4.6.2工厂试验要求</w:t>
      </w:r>
    </w:p>
    <w:p w14:paraId="7DE9B29E">
      <w:pPr>
        <w:autoSpaceDE w:val="0"/>
        <w:autoSpaceDN w:val="0"/>
        <w:spacing w:beforeLines="0"/>
        <w:ind w:left="0" w:leftChars="0" w:firstLine="0" w:firstLineChars="0"/>
        <w:rPr>
          <w:snapToGrid w:val="0"/>
          <w:color w:val="auto"/>
        </w:rPr>
      </w:pPr>
      <w:r>
        <w:rPr>
          <w:rFonts w:hint="eastAsia"/>
          <w:snapToGrid w:val="0"/>
          <w:color w:val="auto"/>
        </w:rPr>
        <w:t>(1)阀门按照适用的规范和标准，进行耐压强度试验、密封性能试验、电信号控制行程试验等。 投标人需说明工厂试验所用的标准、试验项目、试验压力、试验方式、试验验收标准以及对可能出现的问题所采取的措施。</w:t>
      </w:r>
    </w:p>
    <w:p w14:paraId="5B4E04E5">
      <w:pPr>
        <w:autoSpaceDE w:val="0"/>
        <w:autoSpaceDN w:val="0"/>
        <w:spacing w:beforeLines="0"/>
        <w:ind w:left="0" w:leftChars="0" w:firstLine="0" w:firstLineChars="0"/>
        <w:rPr>
          <w:snapToGrid w:val="0"/>
          <w:color w:val="auto"/>
        </w:rPr>
      </w:pPr>
      <w:r>
        <w:rPr>
          <w:rFonts w:hint="eastAsia"/>
          <w:snapToGrid w:val="0"/>
          <w:color w:val="auto"/>
        </w:rPr>
        <w:t>(2)阀门应根据ANSI B16.37 进行水压试验，水压试验按ANSIB16.34执行，在水压试验前要进行三次达到试验压力的压力循环。</w:t>
      </w:r>
    </w:p>
    <w:p w14:paraId="432979B2">
      <w:pPr>
        <w:autoSpaceDE w:val="0"/>
        <w:autoSpaceDN w:val="0"/>
        <w:spacing w:beforeLines="0"/>
        <w:ind w:left="0" w:leftChars="0" w:firstLine="0" w:firstLineChars="0"/>
        <w:rPr>
          <w:snapToGrid w:val="0"/>
          <w:color w:val="auto"/>
        </w:rPr>
      </w:pPr>
      <w:r>
        <w:rPr>
          <w:rFonts w:hint="eastAsia"/>
          <w:snapToGrid w:val="0"/>
          <w:color w:val="auto"/>
        </w:rPr>
        <w:t>(3)</w:t>
      </w:r>
      <w:r>
        <w:rPr>
          <w:rFonts w:hint="eastAsia"/>
          <w:snapToGrid w:val="0"/>
          <w:color w:val="auto"/>
        </w:rPr>
        <w:t>阀门须做双向关闭严密性试验，按MSS-SP-61的要求执行。阀门泄漏率试验的时间要足够长以确定泄漏率,至少不少于5分钟。泄漏率要满足MSS-SP-61的要求。</w:t>
      </w:r>
    </w:p>
    <w:p w14:paraId="515390EC">
      <w:pPr>
        <w:autoSpaceDE w:val="0"/>
        <w:autoSpaceDN w:val="0"/>
        <w:spacing w:beforeLines="0"/>
        <w:ind w:left="0" w:leftChars="0" w:firstLine="0" w:firstLineChars="0"/>
        <w:rPr>
          <w:snapToGrid w:val="0"/>
          <w:color w:val="auto"/>
        </w:rPr>
      </w:pPr>
      <w:r>
        <w:rPr>
          <w:rFonts w:hint="eastAsia"/>
          <w:snapToGrid w:val="0"/>
          <w:color w:val="auto"/>
        </w:rPr>
        <w:t>(4)阀门的阀杆须做密</w:t>
      </w:r>
      <w:r>
        <w:rPr>
          <w:rFonts w:hint="eastAsia"/>
          <w:snapToGrid w:val="0"/>
          <w:color w:val="auto"/>
        </w:rPr>
        <w:t>封试验，阀杆的密封应保证每25mm阀杆直径不超过lcc/hr，投标人提供阀杆密封面的泄漏率数据。</w:t>
      </w:r>
    </w:p>
    <w:p w14:paraId="5B245CCD">
      <w:pPr>
        <w:autoSpaceDE w:val="0"/>
        <w:autoSpaceDN w:val="0"/>
        <w:spacing w:beforeLines="0"/>
        <w:ind w:left="0" w:leftChars="0" w:firstLine="0" w:firstLineChars="0"/>
        <w:rPr>
          <w:snapToGrid w:val="0"/>
          <w:color w:val="auto"/>
        </w:rPr>
      </w:pPr>
      <w:r>
        <w:rPr>
          <w:rFonts w:hint="eastAsia"/>
          <w:snapToGrid w:val="0"/>
          <w:color w:val="auto"/>
        </w:rPr>
        <w:t>(5)阀门在最大工作压力下循环试验以确保阀门在规定时间内能平稳可靠地操作。</w:t>
      </w:r>
    </w:p>
    <w:p w14:paraId="6E5FD1A7">
      <w:pPr>
        <w:autoSpaceDE w:val="0"/>
        <w:autoSpaceDN w:val="0"/>
        <w:spacing w:beforeLines="0"/>
        <w:ind w:left="0" w:leftChars="0" w:firstLine="0" w:firstLineChars="0"/>
        <w:rPr>
          <w:snapToGrid w:val="0"/>
          <w:color w:val="auto"/>
        </w:rPr>
      </w:pPr>
      <w:r>
        <w:rPr>
          <w:rFonts w:hint="eastAsia"/>
          <w:snapToGrid w:val="0"/>
          <w:color w:val="auto"/>
        </w:rPr>
        <w:t>(6)不锈钢零件(如果有)的水压试验，其使用水的氯化物含量不超过l00ppm。</w:t>
      </w:r>
    </w:p>
    <w:p w14:paraId="2E7736DA">
      <w:pPr>
        <w:autoSpaceDE w:val="0"/>
        <w:autoSpaceDN w:val="0"/>
        <w:spacing w:beforeLines="0"/>
        <w:ind w:left="0" w:leftChars="0" w:firstLine="0" w:firstLineChars="0"/>
        <w:outlineLvl w:val="1"/>
        <w:rPr>
          <w:snapToGrid w:val="0"/>
          <w:color w:val="auto"/>
        </w:rPr>
      </w:pPr>
      <w:r>
        <w:rPr>
          <w:rFonts w:hint="eastAsia"/>
          <w:snapToGrid w:val="0"/>
          <w:color w:val="auto"/>
        </w:rPr>
        <w:t>4.7其他要求</w:t>
      </w:r>
    </w:p>
    <w:p w14:paraId="7496D6EC">
      <w:pPr>
        <w:autoSpaceDE w:val="0"/>
        <w:autoSpaceDN w:val="0"/>
        <w:spacing w:beforeLines="0"/>
        <w:ind w:left="0" w:leftChars="0" w:firstLine="0" w:firstLineChars="0"/>
        <w:outlineLvl w:val="2"/>
        <w:rPr>
          <w:snapToGrid w:val="0"/>
          <w:color w:val="auto"/>
        </w:rPr>
      </w:pPr>
      <w:r>
        <w:rPr>
          <w:rFonts w:hint="eastAsia"/>
          <w:snapToGrid w:val="0"/>
          <w:color w:val="auto"/>
        </w:rPr>
        <w:t>4.7.1阀门出厂时应有金属铭牌， 铭牌上至少载明下列各项。</w:t>
      </w:r>
    </w:p>
    <w:p w14:paraId="2E151196">
      <w:pPr>
        <w:autoSpaceDE w:val="0"/>
        <w:autoSpaceDN w:val="0"/>
        <w:spacing w:beforeLines="0"/>
        <w:ind w:left="0" w:leftChars="0" w:firstLine="0" w:firstLineChars="0"/>
        <w:rPr>
          <w:snapToGrid w:val="0"/>
          <w:color w:val="auto"/>
        </w:rPr>
      </w:pPr>
      <w:r>
        <w:rPr>
          <w:rFonts w:hint="eastAsia"/>
          <w:snapToGrid w:val="0"/>
          <w:color w:val="auto"/>
        </w:rPr>
        <w:t>（1）阀门型式，规格。</w:t>
      </w:r>
    </w:p>
    <w:p w14:paraId="103384E3">
      <w:pPr>
        <w:autoSpaceDE w:val="0"/>
        <w:autoSpaceDN w:val="0"/>
        <w:spacing w:beforeLines="0"/>
        <w:ind w:left="0" w:leftChars="0" w:firstLine="0" w:firstLineChars="0"/>
        <w:rPr>
          <w:snapToGrid w:val="0"/>
          <w:color w:val="auto"/>
        </w:rPr>
      </w:pPr>
      <w:r>
        <w:rPr>
          <w:rFonts w:hint="eastAsia"/>
          <w:snapToGrid w:val="0"/>
          <w:color w:val="auto"/>
        </w:rPr>
        <w:t>（2）制造厂名，制造许可证编号。</w:t>
      </w:r>
    </w:p>
    <w:p w14:paraId="7918D8B6">
      <w:pPr>
        <w:autoSpaceDE w:val="0"/>
        <w:autoSpaceDN w:val="0"/>
        <w:spacing w:beforeLines="0"/>
        <w:ind w:left="0" w:leftChars="0" w:firstLine="0" w:firstLineChars="0"/>
        <w:rPr>
          <w:snapToGrid w:val="0"/>
          <w:color w:val="auto"/>
        </w:rPr>
      </w:pPr>
      <w:r>
        <w:rPr>
          <w:rFonts w:hint="eastAsia"/>
          <w:snapToGrid w:val="0"/>
          <w:color w:val="auto"/>
        </w:rPr>
        <w:t>（3）产品编号及KKS编码。</w:t>
      </w:r>
    </w:p>
    <w:p w14:paraId="7F158174">
      <w:pPr>
        <w:autoSpaceDE w:val="0"/>
        <w:autoSpaceDN w:val="0"/>
        <w:spacing w:beforeLines="0"/>
        <w:ind w:left="0" w:leftChars="0" w:firstLine="0" w:firstLineChars="0"/>
        <w:rPr>
          <w:snapToGrid w:val="0"/>
          <w:color w:val="auto"/>
        </w:rPr>
      </w:pPr>
      <w:r>
        <w:rPr>
          <w:rFonts w:hint="eastAsia"/>
          <w:snapToGrid w:val="0"/>
          <w:color w:val="auto"/>
        </w:rPr>
        <w:t>（4）出厂年月。</w:t>
      </w:r>
    </w:p>
    <w:p w14:paraId="029546D3">
      <w:pPr>
        <w:autoSpaceDE w:val="0"/>
        <w:autoSpaceDN w:val="0"/>
        <w:spacing w:beforeLines="0"/>
        <w:ind w:left="0" w:leftChars="0" w:firstLine="0" w:firstLineChars="0"/>
        <w:rPr>
          <w:snapToGrid w:val="0"/>
          <w:color w:val="auto"/>
        </w:rPr>
      </w:pPr>
      <w:r>
        <w:rPr>
          <w:rFonts w:hint="eastAsia"/>
          <w:snapToGrid w:val="0"/>
          <w:color w:val="auto"/>
        </w:rPr>
        <w:t>（5）设计压力 (MPa)</w:t>
      </w:r>
    </w:p>
    <w:p w14:paraId="798870B0">
      <w:pPr>
        <w:autoSpaceDE w:val="0"/>
        <w:autoSpaceDN w:val="0"/>
        <w:spacing w:beforeLines="0"/>
        <w:ind w:left="0" w:leftChars="0" w:firstLine="0" w:firstLineChars="0"/>
        <w:rPr>
          <w:snapToGrid w:val="0"/>
          <w:color w:val="auto"/>
        </w:rPr>
      </w:pPr>
      <w:r>
        <w:rPr>
          <w:rFonts w:hint="eastAsia"/>
          <w:snapToGrid w:val="0"/>
          <w:color w:val="auto"/>
        </w:rPr>
        <w:t>（6）设计温度 (C)</w:t>
      </w:r>
    </w:p>
    <w:p w14:paraId="248C5217">
      <w:pPr>
        <w:autoSpaceDE w:val="0"/>
        <w:autoSpaceDN w:val="0"/>
        <w:spacing w:beforeLines="0"/>
        <w:ind w:left="0" w:leftChars="0" w:firstLine="0" w:firstLineChars="0"/>
        <w:rPr>
          <w:snapToGrid w:val="0"/>
          <w:color w:val="auto"/>
        </w:rPr>
      </w:pPr>
      <w:r>
        <w:rPr>
          <w:rFonts w:hint="eastAsia"/>
          <w:snapToGrid w:val="0"/>
          <w:color w:val="auto"/>
        </w:rPr>
        <w:t>（7）工作介质</w:t>
      </w:r>
    </w:p>
    <w:p w14:paraId="758799A2">
      <w:pPr>
        <w:autoSpaceDE w:val="0"/>
        <w:autoSpaceDN w:val="0"/>
        <w:spacing w:beforeLines="0"/>
        <w:ind w:left="0" w:leftChars="0" w:firstLine="0" w:firstLineChars="0"/>
        <w:rPr>
          <w:snapToGrid w:val="0"/>
          <w:color w:val="auto"/>
        </w:rPr>
      </w:pPr>
      <w:r>
        <w:rPr>
          <w:rFonts w:hint="eastAsia"/>
          <w:snapToGrid w:val="0"/>
          <w:color w:val="auto"/>
        </w:rPr>
        <w:t>（8）阀门喉径 (mm)。</w:t>
      </w:r>
    </w:p>
    <w:p w14:paraId="1A31B3D6">
      <w:pPr>
        <w:autoSpaceDE w:val="0"/>
        <w:autoSpaceDN w:val="0"/>
        <w:spacing w:beforeLines="0"/>
        <w:ind w:left="0" w:leftChars="0" w:firstLine="0" w:firstLineChars="0"/>
        <w:rPr>
          <w:snapToGrid w:val="0"/>
          <w:color w:val="auto"/>
        </w:rPr>
      </w:pPr>
      <w:r>
        <w:rPr>
          <w:rFonts w:hint="eastAsia"/>
          <w:snapToGrid w:val="0"/>
          <w:color w:val="auto"/>
        </w:rPr>
        <w:t>（9）检验合格标记，监验标记</w:t>
      </w:r>
    </w:p>
    <w:p w14:paraId="18CA6F23">
      <w:pPr>
        <w:autoSpaceDE w:val="0"/>
        <w:autoSpaceDN w:val="0"/>
        <w:spacing w:beforeLines="0"/>
        <w:ind w:left="0" w:leftChars="0" w:firstLine="0" w:firstLineChars="0"/>
        <w:rPr>
          <w:snapToGrid w:val="0"/>
          <w:color w:val="auto"/>
        </w:rPr>
      </w:pPr>
      <w:r>
        <w:rPr>
          <w:rFonts w:hint="eastAsia"/>
          <w:snapToGrid w:val="0"/>
          <w:color w:val="auto"/>
        </w:rPr>
        <w:t>4.7.2投标人根据招标人要求在系统图、接线图、设备图和零部件图上标出供货范围内的阀门设备的KKS编码。</w:t>
      </w:r>
    </w:p>
    <w:p w14:paraId="60DF6F51">
      <w:pPr>
        <w:autoSpaceDE w:val="0"/>
        <w:autoSpaceDN w:val="0"/>
        <w:spacing w:beforeLines="0"/>
        <w:ind w:left="0" w:leftChars="0" w:firstLine="0" w:firstLineChars="0"/>
        <w:outlineLvl w:val="1"/>
        <w:rPr>
          <w:snapToGrid w:val="0"/>
          <w:color w:val="auto"/>
        </w:rPr>
      </w:pPr>
      <w:r>
        <w:rPr>
          <w:snapToGrid w:val="0"/>
          <w:color w:val="auto"/>
        </w:rPr>
        <w:t>4.</w:t>
      </w:r>
      <w:r>
        <w:rPr>
          <w:rFonts w:hint="eastAsia"/>
          <w:snapToGrid w:val="0"/>
          <w:color w:val="auto"/>
        </w:rPr>
        <w:t>8</w:t>
      </w:r>
      <w:r>
        <w:rPr>
          <w:snapToGrid w:val="0"/>
          <w:color w:val="auto"/>
        </w:rPr>
        <w:t xml:space="preserve"> 控制设备要求</w:t>
      </w:r>
    </w:p>
    <w:p w14:paraId="6F3DAAF1">
      <w:pPr>
        <w:autoSpaceDE w:val="0"/>
        <w:autoSpaceDN w:val="0"/>
        <w:spacing w:beforeLines="0"/>
        <w:ind w:left="0" w:leftChars="0" w:firstLine="0" w:firstLineChars="0"/>
        <w:outlineLvl w:val="2"/>
        <w:rPr>
          <w:snapToGrid w:val="0"/>
          <w:color w:val="auto"/>
        </w:rPr>
      </w:pPr>
      <w:r>
        <w:rPr>
          <w:rFonts w:hint="eastAsia"/>
          <w:color w:val="auto"/>
        </w:rPr>
        <w:t>4.8.1阀门电动执行机构的一般要求</w:t>
      </w:r>
    </w:p>
    <w:p w14:paraId="2C29D1F5">
      <w:pPr>
        <w:autoSpaceDE w:val="0"/>
        <w:autoSpaceDN w:val="0"/>
        <w:spacing w:beforeLines="0"/>
        <w:ind w:left="0" w:leftChars="0" w:firstLine="0" w:firstLineChars="0"/>
        <w:rPr>
          <w:snapToGrid w:val="0"/>
          <w:color w:val="auto"/>
        </w:rPr>
      </w:pPr>
      <w:r>
        <w:rPr>
          <w:rFonts w:hint="eastAsia"/>
          <w:snapToGrid w:val="0"/>
          <w:color w:val="auto"/>
        </w:rPr>
        <w:t>（</w:t>
      </w:r>
      <w:r>
        <w:rPr>
          <w:snapToGrid w:val="0"/>
          <w:color w:val="auto"/>
        </w:rPr>
        <w:t>1）电动阀门控制应有就地开度位置显示机构，可以集中控制，也可就地手动。</w:t>
      </w:r>
    </w:p>
    <w:p w14:paraId="62987DDC">
      <w:pPr>
        <w:autoSpaceDE w:val="0"/>
        <w:autoSpaceDN w:val="0"/>
        <w:spacing w:beforeLines="0"/>
        <w:ind w:left="0" w:leftChars="0" w:firstLine="0" w:firstLineChars="0"/>
        <w:rPr>
          <w:snapToGrid w:val="0"/>
          <w:color w:val="auto"/>
        </w:rPr>
      </w:pPr>
      <w:r>
        <w:rPr>
          <w:rFonts w:hint="eastAsia"/>
          <w:color w:val="auto"/>
        </w:rPr>
        <w:t>（2）阀门启、闭由驱动伺服机构完成。并应分别提供就地/远控转换开关、就地操作按钮及手轮一个。</w:t>
      </w:r>
    </w:p>
    <w:p w14:paraId="28084C53">
      <w:pPr>
        <w:autoSpaceDE w:val="0"/>
        <w:autoSpaceDN w:val="0"/>
        <w:spacing w:beforeLines="0"/>
        <w:ind w:left="0" w:leftChars="0" w:firstLine="0" w:firstLineChars="0"/>
        <w:rPr>
          <w:color w:val="auto"/>
        </w:rPr>
      </w:pPr>
      <w:r>
        <w:rPr>
          <w:rFonts w:hint="eastAsia"/>
          <w:color w:val="auto"/>
        </w:rPr>
        <w:t>（3）驱动伺服机构完成阀门的启、闭全过程时间应满足工艺设各的要求，且操作安全方便、灵活。</w:t>
      </w:r>
    </w:p>
    <w:p w14:paraId="7ED5B275">
      <w:pPr>
        <w:autoSpaceDE w:val="0"/>
        <w:autoSpaceDN w:val="0"/>
        <w:spacing w:beforeLines="0"/>
        <w:ind w:left="0" w:leftChars="0" w:firstLine="0" w:firstLineChars="0"/>
        <w:rPr>
          <w:color w:val="auto"/>
        </w:rPr>
      </w:pPr>
      <w:r>
        <w:rPr>
          <w:rFonts w:hint="eastAsia"/>
          <w:color w:val="auto"/>
        </w:rPr>
        <w:t>（4）过力矩开关应保证在过力矩发生时断开控制回路，并保持其开关断开，直到人工消除过力矩。</w:t>
      </w:r>
    </w:p>
    <w:p w14:paraId="351FE5CE">
      <w:pPr>
        <w:autoSpaceDE w:val="0"/>
        <w:autoSpaceDN w:val="0"/>
        <w:spacing w:beforeLines="0"/>
        <w:ind w:left="0" w:leftChars="0" w:firstLine="0" w:firstLineChars="0"/>
        <w:rPr>
          <w:color w:val="auto"/>
        </w:rPr>
      </w:pPr>
      <w:r>
        <w:rPr>
          <w:rFonts w:hint="eastAsia"/>
          <w:color w:val="auto"/>
        </w:rPr>
        <w:t>（5</w:t>
      </w:r>
      <w:r>
        <w:rPr>
          <w:color w:val="auto"/>
        </w:rPr>
        <w:t>）</w:t>
      </w:r>
      <w:r>
        <w:rPr>
          <w:rFonts w:hint="eastAsia"/>
          <w:color w:val="auto"/>
        </w:rPr>
        <w:t>电动执行机构适应的环境温度在-40℃～75℃。</w:t>
      </w:r>
    </w:p>
    <w:p w14:paraId="2C730734">
      <w:pPr>
        <w:autoSpaceDE w:val="0"/>
        <w:autoSpaceDN w:val="0"/>
        <w:spacing w:beforeLines="0"/>
        <w:ind w:left="0" w:leftChars="0" w:firstLine="0" w:firstLineChars="0"/>
        <w:rPr>
          <w:color w:val="auto"/>
        </w:rPr>
      </w:pPr>
      <w:r>
        <w:rPr>
          <w:rFonts w:hint="eastAsia"/>
          <w:color w:val="auto"/>
        </w:rPr>
        <w:t>（6）电动执行机构整体的防护等级不低于</w:t>
      </w:r>
      <w:r>
        <w:rPr>
          <w:color w:val="auto"/>
        </w:rPr>
        <w:t>IP67</w:t>
      </w:r>
      <w:r>
        <w:rPr>
          <w:rFonts w:hint="eastAsia"/>
          <w:color w:val="auto"/>
        </w:rPr>
        <w:t>。</w:t>
      </w:r>
    </w:p>
    <w:p w14:paraId="33614A6B">
      <w:pPr>
        <w:autoSpaceDE w:val="0"/>
        <w:autoSpaceDN w:val="0"/>
        <w:spacing w:beforeLines="0"/>
        <w:ind w:left="0" w:leftChars="0" w:firstLine="0" w:firstLineChars="0"/>
        <w:rPr>
          <w:color w:val="auto"/>
        </w:rPr>
      </w:pPr>
      <w:r>
        <w:rPr>
          <w:rFonts w:hint="eastAsia"/>
          <w:color w:val="auto"/>
        </w:rPr>
        <w:t>（7）投标人在所提供资料内必须正确提供每一个阀门执行机构的电压等级、电源容量、力矩值、阀门电动装置的型号及技术资料。</w:t>
      </w:r>
    </w:p>
    <w:p w14:paraId="14D3E314">
      <w:pPr>
        <w:autoSpaceDE w:val="0"/>
        <w:autoSpaceDN w:val="0"/>
        <w:spacing w:beforeLines="0"/>
        <w:ind w:left="0" w:leftChars="0" w:firstLine="0" w:firstLineChars="0"/>
        <w:rPr>
          <w:color w:val="auto"/>
        </w:rPr>
      </w:pPr>
      <w:r>
        <w:rPr>
          <w:rFonts w:hint="eastAsia"/>
          <w:color w:val="auto"/>
        </w:rPr>
        <w:t>（8）电动执行机构力矩值的选配必须足够能将阀门打开或关闭。若选型不当投标人应承担全部责任。</w:t>
      </w:r>
    </w:p>
    <w:p w14:paraId="349B34AE">
      <w:pPr>
        <w:autoSpaceDE w:val="0"/>
        <w:autoSpaceDN w:val="0"/>
        <w:spacing w:beforeLines="0"/>
        <w:ind w:left="0" w:leftChars="0" w:firstLine="0" w:firstLineChars="0"/>
        <w:rPr>
          <w:color w:val="auto"/>
        </w:rPr>
      </w:pPr>
      <w:r>
        <w:rPr>
          <w:rFonts w:hint="eastAsia"/>
          <w:color w:val="auto"/>
        </w:rPr>
        <w:t xml:space="preserve">（9）电动执行机构采用电压380VAC、3相4线制、50HZ。 </w:t>
      </w:r>
    </w:p>
    <w:p w14:paraId="7CF8844E">
      <w:pPr>
        <w:autoSpaceDE w:val="0"/>
        <w:autoSpaceDN w:val="0"/>
        <w:spacing w:beforeLines="0"/>
        <w:ind w:left="0" w:leftChars="0" w:firstLine="0" w:firstLineChars="0"/>
        <w:rPr>
          <w:color w:val="auto"/>
        </w:rPr>
      </w:pPr>
      <w:r>
        <w:rPr>
          <w:rFonts w:hint="eastAsia"/>
          <w:color w:val="auto"/>
        </w:rPr>
        <w:t>（10）电动执行机构的力矩、全行程时间、精度、回差等性能指标应能满足热态运行时工艺系统的要求和DL/T 641《电站阀门电动执行机构》要求。</w:t>
      </w:r>
    </w:p>
    <w:p w14:paraId="66A3EA2F">
      <w:pPr>
        <w:autoSpaceDE w:val="0"/>
        <w:autoSpaceDN w:val="0"/>
        <w:spacing w:beforeLines="0"/>
        <w:ind w:left="0" w:leftChars="0" w:firstLine="0" w:firstLineChars="0"/>
        <w:rPr>
          <w:color w:val="auto"/>
        </w:rPr>
      </w:pPr>
      <w:r>
        <w:rPr>
          <w:rFonts w:hint="eastAsia"/>
          <w:color w:val="auto"/>
        </w:rPr>
        <w:t>（11）电动执行机构的电动机额定持续工作负荷，至少比驱动阀门所要求的功率最大值高30%。执行机构的齿轮和驱动设备的设计安全系数至少为1.5。</w:t>
      </w:r>
    </w:p>
    <w:p w14:paraId="5B369AA6">
      <w:pPr>
        <w:autoSpaceDE w:val="0"/>
        <w:autoSpaceDN w:val="0"/>
        <w:spacing w:beforeLines="0"/>
        <w:ind w:left="0" w:leftChars="0" w:firstLine="0" w:firstLineChars="0"/>
        <w:rPr>
          <w:color w:val="auto"/>
        </w:rPr>
      </w:pPr>
      <w:r>
        <w:rPr>
          <w:rFonts w:hint="eastAsia"/>
          <w:color w:val="auto"/>
        </w:rPr>
        <w:t>（12）电动执行机构的机械部件与电子单元在设计原理、制造工艺、及整机性能上均应是先进的、安全的、可靠的、高质量的定型产品。电动执行机构产品质量保证由投标人承担。</w:t>
      </w:r>
    </w:p>
    <w:p w14:paraId="1678722C">
      <w:pPr>
        <w:autoSpaceDE w:val="0"/>
        <w:autoSpaceDN w:val="0"/>
        <w:spacing w:beforeLines="0"/>
        <w:ind w:left="0" w:leftChars="0" w:firstLine="0" w:firstLineChars="0"/>
        <w:rPr>
          <w:color w:val="auto"/>
        </w:rPr>
      </w:pPr>
      <w:r>
        <w:rPr>
          <w:rFonts w:hint="eastAsia"/>
          <w:color w:val="auto"/>
        </w:rPr>
        <w:t>（13）电动执行机构全开全关位置应至少配有两开两闭接点输出的行程开关。可输出4～20mA DC的位置反馈信号，具有断信号保持的功能，具有中停功能。电动执行机构应至少提供全开、全关、就地/远方切换、故障报警等信号输出，输出信号为无源接点，触点容量：220VAC 5A。</w:t>
      </w:r>
    </w:p>
    <w:p w14:paraId="6F01F623">
      <w:pPr>
        <w:autoSpaceDE w:val="0"/>
        <w:autoSpaceDN w:val="0"/>
        <w:spacing w:beforeLines="0"/>
        <w:ind w:left="0" w:leftChars="0" w:firstLine="0" w:firstLineChars="0"/>
        <w:rPr>
          <w:color w:val="auto"/>
        </w:rPr>
      </w:pPr>
      <w:r>
        <w:rPr>
          <w:rFonts w:hint="eastAsia"/>
          <w:color w:val="auto"/>
        </w:rPr>
        <w:t>（14）电动执行机构具有高精度、高可靠性，调试维护方便，并有成熟的运用经验。</w:t>
      </w:r>
    </w:p>
    <w:p w14:paraId="59B7FFD1">
      <w:pPr>
        <w:autoSpaceDE w:val="0"/>
        <w:autoSpaceDN w:val="0"/>
        <w:spacing w:beforeLines="0"/>
        <w:ind w:left="0" w:leftChars="0" w:firstLine="0" w:firstLineChars="0"/>
        <w:outlineLvl w:val="2"/>
        <w:rPr>
          <w:color w:val="auto"/>
        </w:rPr>
      </w:pPr>
      <w:r>
        <w:rPr>
          <w:rFonts w:hint="eastAsia"/>
          <w:color w:val="auto"/>
        </w:rPr>
        <w:t>4.8.2 电动执行机构智能化要求</w:t>
      </w:r>
    </w:p>
    <w:p w14:paraId="0E9F54C9">
      <w:pPr>
        <w:autoSpaceDE w:val="0"/>
        <w:autoSpaceDN w:val="0"/>
        <w:spacing w:beforeLines="0"/>
        <w:ind w:left="0" w:leftChars="0" w:firstLine="0" w:firstLineChars="0"/>
        <w:rPr>
          <w:color w:val="auto"/>
        </w:rPr>
      </w:pPr>
      <w:r>
        <w:rPr>
          <w:rFonts w:hint="eastAsia"/>
          <w:color w:val="auto"/>
        </w:rPr>
        <w:t>（1）电动执行机构采用一体化智能型控制单元，控制单元带CPU，主要参数可通过编程设定，具有故障自诊断功能，且操作调试简便。配置就地液晶屏幕显示操作面板，可就地遥控操作、调试查看故障信息。并提供保护措施防止就地误操作。</w:t>
      </w:r>
    </w:p>
    <w:p w14:paraId="5B2FF13F">
      <w:pPr>
        <w:autoSpaceDE w:val="0"/>
        <w:autoSpaceDN w:val="0"/>
        <w:spacing w:beforeLines="0"/>
        <w:ind w:left="0" w:leftChars="0" w:firstLine="0" w:firstLineChars="0"/>
        <w:rPr>
          <w:color w:val="auto"/>
        </w:rPr>
      </w:pPr>
      <w:r>
        <w:rPr>
          <w:rFonts w:hint="eastAsia"/>
          <w:color w:val="auto"/>
        </w:rPr>
        <w:t>（2）电动执行机构接受来自DCS系统的开、关、停2秒脉冲信号(无源干接点) 实现开、关、中停控制功能，能够显示精确的阀位信号(4～20mA输出)。</w:t>
      </w:r>
    </w:p>
    <w:p w14:paraId="3E1E9458">
      <w:pPr>
        <w:autoSpaceDE w:val="0"/>
        <w:autoSpaceDN w:val="0"/>
        <w:spacing w:beforeLines="0"/>
        <w:ind w:left="0" w:leftChars="0" w:firstLine="0" w:firstLineChars="0"/>
        <w:outlineLvl w:val="3"/>
        <w:rPr>
          <w:color w:val="auto"/>
        </w:rPr>
      </w:pPr>
      <w:r>
        <w:rPr>
          <w:rFonts w:hint="eastAsia"/>
          <w:color w:val="auto"/>
        </w:rPr>
        <w:t>（3）电动执行机构配备非侵入式红外遥控器。</w:t>
      </w:r>
    </w:p>
    <w:p w14:paraId="6DF7972E">
      <w:pPr>
        <w:autoSpaceDE w:val="0"/>
        <w:autoSpaceDN w:val="0"/>
        <w:spacing w:beforeLines="0"/>
        <w:ind w:left="0" w:leftChars="0" w:firstLine="0" w:firstLineChars="0"/>
        <w:rPr>
          <w:color w:val="auto"/>
        </w:rPr>
      </w:pPr>
      <w:r>
        <w:rPr>
          <w:rFonts w:hint="eastAsia"/>
          <w:color w:val="auto"/>
        </w:rPr>
        <w:t>（4）电动执行机构应具有开、关过力矩保护，开、关行程限位保护，执行机构电机堵转保护，执行机构电机过热保护，执行机构电机缺相保护，执行机构电机过流保护等功能，以上保护信号报警输出至DCS系统都是无源干接点信号。</w:t>
      </w:r>
    </w:p>
    <w:p w14:paraId="48D06C89">
      <w:pPr>
        <w:autoSpaceDE w:val="0"/>
        <w:autoSpaceDN w:val="0"/>
        <w:spacing w:beforeLines="0"/>
        <w:ind w:left="0" w:leftChars="0" w:firstLine="0" w:firstLineChars="0"/>
        <w:rPr>
          <w:color w:val="auto"/>
        </w:rPr>
      </w:pPr>
      <w:r>
        <w:rPr>
          <w:rFonts w:hint="eastAsia"/>
          <w:color w:val="auto"/>
        </w:rPr>
        <w:t>（5）电动执行机构智能型控制单元必须具备无触点电子式电机换向功能。自动相序纠正功能，维修人员无须担心接线的相序问题。</w:t>
      </w:r>
    </w:p>
    <w:p w14:paraId="31B563DA">
      <w:pPr>
        <w:autoSpaceDE w:val="0"/>
        <w:autoSpaceDN w:val="0"/>
        <w:spacing w:beforeLines="0"/>
        <w:ind w:left="0" w:leftChars="0" w:firstLine="0" w:firstLineChars="0"/>
        <w:outlineLvl w:val="2"/>
        <w:rPr>
          <w:snapToGrid w:val="0"/>
          <w:color w:val="auto"/>
        </w:rPr>
      </w:pPr>
      <w:r>
        <w:rPr>
          <w:b/>
          <w:color w:val="auto"/>
        </w:rPr>
        <w:t>4.8.3电动执行机构</w:t>
      </w:r>
      <w:r>
        <w:rPr>
          <w:rFonts w:hint="eastAsia"/>
          <w:b/>
          <w:color w:val="auto"/>
        </w:rPr>
        <w:t>品牌：</w:t>
      </w:r>
      <w:r>
        <w:rPr>
          <w:b/>
          <w:color w:val="auto"/>
        </w:rPr>
        <w:t>ROTORK，AUMA,SIPOS</w:t>
      </w:r>
      <w:r>
        <w:rPr>
          <w:rFonts w:hint="eastAsia"/>
          <w:b/>
          <w:color w:val="auto"/>
        </w:rPr>
        <w:t>或相当于</w:t>
      </w:r>
    </w:p>
    <w:p w14:paraId="3DCE40A4">
      <w:pPr>
        <w:spacing w:beforeLines="0"/>
        <w:ind w:left="482" w:leftChars="0" w:hanging="482"/>
        <w:outlineLvl w:val="0"/>
        <w:rPr>
          <w:b/>
          <w:color w:val="auto"/>
        </w:rPr>
      </w:pPr>
      <w:r>
        <w:rPr>
          <w:b/>
          <w:color w:val="auto"/>
        </w:rPr>
        <w:t>5</w:t>
      </w:r>
      <w:r>
        <w:rPr>
          <w:rFonts w:hint="eastAsia"/>
          <w:b/>
          <w:color w:val="auto"/>
        </w:rPr>
        <w:t>性能质量保证</w:t>
      </w:r>
    </w:p>
    <w:p w14:paraId="71BEC056">
      <w:pPr>
        <w:autoSpaceDE w:val="0"/>
        <w:autoSpaceDN w:val="0"/>
        <w:spacing w:beforeLines="0"/>
        <w:ind w:left="480" w:leftChars="0" w:hanging="480"/>
        <w:jc w:val="both"/>
        <w:outlineLvl w:val="1"/>
        <w:rPr>
          <w:snapToGrid w:val="0"/>
          <w:color w:val="auto"/>
        </w:rPr>
      </w:pPr>
      <w:r>
        <w:rPr>
          <w:rFonts w:hint="eastAsia"/>
          <w:snapToGrid w:val="0"/>
          <w:color w:val="auto"/>
        </w:rPr>
        <w:t>5.1设计制造标准</w:t>
      </w:r>
    </w:p>
    <w:p w14:paraId="53536E03">
      <w:pPr>
        <w:autoSpaceDE w:val="0"/>
        <w:autoSpaceDN w:val="0"/>
        <w:spacing w:beforeLines="0"/>
        <w:ind w:left="0" w:leftChars="0" w:firstLine="480" w:firstLineChars="200"/>
        <w:jc w:val="both"/>
        <w:rPr>
          <w:snapToGrid w:val="0"/>
          <w:color w:val="auto"/>
        </w:rPr>
      </w:pPr>
      <w:r>
        <w:rPr>
          <w:rFonts w:hint="eastAsia"/>
          <w:snapToGrid w:val="0"/>
          <w:color w:val="auto"/>
        </w:rPr>
        <w:t>阀门设计、制造、检验和试验应按照下列标准及规范执行，但不限于下列标准和规范，包括它们的附件。</w:t>
      </w:r>
    </w:p>
    <w:p w14:paraId="4B06881D">
      <w:pPr>
        <w:autoSpaceDE w:val="0"/>
        <w:autoSpaceDN w:val="0"/>
        <w:spacing w:beforeLines="0"/>
        <w:ind w:left="0" w:leftChars="0" w:firstLine="480" w:firstLineChars="200"/>
        <w:jc w:val="both"/>
        <w:rPr>
          <w:snapToGrid w:val="0"/>
          <w:color w:val="auto"/>
        </w:rPr>
      </w:pPr>
      <w:r>
        <w:rPr>
          <w:rFonts w:hint="eastAsia"/>
          <w:snapToGrid w:val="0"/>
          <w:color w:val="auto"/>
        </w:rPr>
        <w:t>JB/T6903   《阀门锻钢件超声波检查方法》</w:t>
      </w:r>
    </w:p>
    <w:p w14:paraId="22703407">
      <w:pPr>
        <w:autoSpaceDE w:val="0"/>
        <w:autoSpaceDN w:val="0"/>
        <w:spacing w:beforeLines="0"/>
        <w:ind w:left="0" w:leftChars="0" w:firstLine="480" w:firstLineChars="200"/>
        <w:jc w:val="both"/>
        <w:rPr>
          <w:snapToGrid w:val="0"/>
          <w:color w:val="auto"/>
        </w:rPr>
      </w:pPr>
      <w:r>
        <w:rPr>
          <w:rFonts w:hint="eastAsia"/>
          <w:snapToGrid w:val="0"/>
          <w:color w:val="auto"/>
        </w:rPr>
        <w:t>GB/T3323.1 《焊缝无损检测 射线检测 第1部分：X和伽玛射线的胶片技术》</w:t>
      </w:r>
    </w:p>
    <w:p w14:paraId="26A0744E">
      <w:pPr>
        <w:autoSpaceDE w:val="0"/>
        <w:autoSpaceDN w:val="0"/>
        <w:spacing w:beforeLines="0"/>
        <w:ind w:left="0" w:leftChars="0" w:firstLine="480" w:firstLineChars="200"/>
        <w:jc w:val="both"/>
        <w:rPr>
          <w:snapToGrid w:val="0"/>
          <w:color w:val="auto"/>
        </w:rPr>
      </w:pPr>
      <w:r>
        <w:rPr>
          <w:rFonts w:hint="eastAsia"/>
          <w:snapToGrid w:val="0"/>
          <w:color w:val="auto"/>
        </w:rPr>
        <w:t>JB/T6439   《阀门受压件磁粉探伤检验》</w:t>
      </w:r>
    </w:p>
    <w:p w14:paraId="76B41AF7">
      <w:pPr>
        <w:autoSpaceDE w:val="0"/>
        <w:autoSpaceDN w:val="0"/>
        <w:spacing w:beforeLines="0"/>
        <w:ind w:left="0" w:leftChars="0" w:firstLine="480" w:firstLineChars="200"/>
        <w:jc w:val="both"/>
        <w:rPr>
          <w:snapToGrid w:val="0"/>
          <w:color w:val="auto"/>
        </w:rPr>
      </w:pPr>
      <w:r>
        <w:rPr>
          <w:rFonts w:hint="eastAsia"/>
          <w:snapToGrid w:val="0"/>
          <w:color w:val="auto"/>
        </w:rPr>
        <w:t>GB/T1048   《管道元件公称压力的定义和选用》</w:t>
      </w:r>
    </w:p>
    <w:p w14:paraId="367C0416">
      <w:pPr>
        <w:autoSpaceDE w:val="0"/>
        <w:autoSpaceDN w:val="0"/>
        <w:spacing w:beforeLines="0"/>
        <w:ind w:left="0" w:leftChars="0" w:firstLine="480" w:firstLineChars="200"/>
        <w:jc w:val="both"/>
        <w:rPr>
          <w:snapToGrid w:val="0"/>
          <w:color w:val="auto"/>
        </w:rPr>
      </w:pPr>
      <w:r>
        <w:rPr>
          <w:rFonts w:hint="eastAsia"/>
          <w:snapToGrid w:val="0"/>
          <w:color w:val="auto"/>
        </w:rPr>
        <w:t>GB/T 10869 《电站调节阀》</w:t>
      </w:r>
    </w:p>
    <w:p w14:paraId="2E78F0C6">
      <w:pPr>
        <w:autoSpaceDE w:val="0"/>
        <w:autoSpaceDN w:val="0"/>
        <w:spacing w:beforeLines="0"/>
        <w:ind w:left="0" w:leftChars="0" w:firstLine="480" w:firstLineChars="200"/>
        <w:jc w:val="both"/>
        <w:rPr>
          <w:snapToGrid w:val="0"/>
          <w:color w:val="auto"/>
        </w:rPr>
      </w:pPr>
      <w:r>
        <w:rPr>
          <w:rFonts w:hint="eastAsia"/>
          <w:snapToGrid w:val="0"/>
          <w:color w:val="auto"/>
        </w:rPr>
        <w:t>NB/T47008  《承压设备用碳素钢和合金钢锻件》</w:t>
      </w:r>
    </w:p>
    <w:p w14:paraId="2F80F439">
      <w:pPr>
        <w:autoSpaceDE w:val="0"/>
        <w:autoSpaceDN w:val="0"/>
        <w:spacing w:beforeLines="0"/>
        <w:ind w:left="0" w:leftChars="0" w:firstLine="480" w:firstLineChars="200"/>
        <w:jc w:val="both"/>
        <w:rPr>
          <w:snapToGrid w:val="0"/>
          <w:color w:val="auto"/>
          <w:highlight w:val="yellow"/>
        </w:rPr>
      </w:pPr>
      <w:r>
        <w:rPr>
          <w:rFonts w:hint="eastAsia"/>
          <w:snapToGrid w:val="0"/>
          <w:color w:val="auto"/>
        </w:rPr>
        <w:t>NB/T11268  《锅炉承压铸钢件技术条件》</w:t>
      </w:r>
    </w:p>
    <w:p w14:paraId="310F6C7E">
      <w:pPr>
        <w:autoSpaceDE w:val="0"/>
        <w:autoSpaceDN w:val="0"/>
        <w:spacing w:beforeLines="0"/>
        <w:ind w:left="0" w:leftChars="0" w:firstLine="480" w:firstLineChars="200"/>
        <w:jc w:val="both"/>
        <w:rPr>
          <w:snapToGrid w:val="0"/>
          <w:color w:val="auto"/>
        </w:rPr>
      </w:pPr>
      <w:r>
        <w:rPr>
          <w:rFonts w:hint="eastAsia"/>
          <w:snapToGrid w:val="0"/>
          <w:color w:val="auto"/>
        </w:rPr>
        <w:t xml:space="preserve">GB/T13927  《工业阀门 压力试验》 </w:t>
      </w:r>
    </w:p>
    <w:p w14:paraId="0101E56D">
      <w:pPr>
        <w:autoSpaceDE w:val="0"/>
        <w:autoSpaceDN w:val="0"/>
        <w:spacing w:beforeLines="0"/>
        <w:ind w:left="0" w:leftChars="0" w:firstLine="480" w:firstLineChars="200"/>
        <w:jc w:val="both"/>
        <w:rPr>
          <w:snapToGrid w:val="0"/>
          <w:color w:val="auto"/>
        </w:rPr>
      </w:pPr>
      <w:r>
        <w:rPr>
          <w:rFonts w:hint="eastAsia"/>
          <w:snapToGrid w:val="0"/>
          <w:color w:val="auto"/>
        </w:rPr>
        <w:t xml:space="preserve">GB12221    《金属阀门 结构长度》 </w:t>
      </w:r>
    </w:p>
    <w:p w14:paraId="5922F1D7">
      <w:pPr>
        <w:autoSpaceDE w:val="0"/>
        <w:autoSpaceDN w:val="0"/>
        <w:spacing w:beforeLines="0"/>
        <w:ind w:left="0" w:leftChars="0" w:firstLine="480" w:firstLineChars="200"/>
        <w:jc w:val="both"/>
        <w:rPr>
          <w:snapToGrid w:val="0"/>
          <w:color w:val="auto"/>
        </w:rPr>
      </w:pPr>
      <w:r>
        <w:rPr>
          <w:rFonts w:hint="eastAsia"/>
          <w:snapToGrid w:val="0"/>
          <w:color w:val="auto"/>
        </w:rPr>
        <w:t xml:space="preserve">GB/T1184   《形状和位置公差 末注公差值》 </w:t>
      </w:r>
    </w:p>
    <w:p w14:paraId="4C1B0B4E">
      <w:pPr>
        <w:autoSpaceDE w:val="0"/>
        <w:autoSpaceDN w:val="0"/>
        <w:spacing w:beforeLines="0"/>
        <w:ind w:left="0" w:leftChars="0" w:firstLine="480" w:firstLineChars="200"/>
        <w:jc w:val="both"/>
        <w:rPr>
          <w:snapToGrid w:val="0"/>
          <w:color w:val="auto"/>
        </w:rPr>
      </w:pPr>
      <w:r>
        <w:rPr>
          <w:rFonts w:hint="eastAsia"/>
          <w:snapToGrid w:val="0"/>
          <w:color w:val="auto"/>
        </w:rPr>
        <w:t>GB/T 12220 《 工业阀门 标志》</w:t>
      </w:r>
    </w:p>
    <w:p w14:paraId="4026350E">
      <w:pPr>
        <w:autoSpaceDE w:val="0"/>
        <w:autoSpaceDN w:val="0"/>
        <w:spacing w:beforeLines="0"/>
        <w:ind w:left="480" w:leftChars="0" w:hanging="480"/>
        <w:jc w:val="both"/>
        <w:outlineLvl w:val="1"/>
        <w:rPr>
          <w:snapToGrid w:val="0"/>
          <w:color w:val="auto"/>
        </w:rPr>
      </w:pPr>
      <w:bookmarkStart w:id="21" w:name="_Toc501897508"/>
      <w:bookmarkStart w:id="22" w:name="_Toc478440142"/>
      <w:bookmarkStart w:id="23" w:name="_Toc62270200"/>
      <w:bookmarkStart w:id="24" w:name="_Toc519309264"/>
      <w:r>
        <w:rPr>
          <w:rFonts w:hint="eastAsia"/>
          <w:snapToGrid w:val="0"/>
          <w:color w:val="auto"/>
        </w:rPr>
        <w:t>5.2质量保证</w:t>
      </w:r>
    </w:p>
    <w:p w14:paraId="5997E81E">
      <w:pPr>
        <w:autoSpaceDE w:val="0"/>
        <w:autoSpaceDN w:val="0"/>
        <w:spacing w:beforeLines="0"/>
        <w:ind w:left="480" w:leftChars="0" w:hanging="480"/>
        <w:jc w:val="both"/>
        <w:rPr>
          <w:snapToGrid w:val="0"/>
          <w:color w:val="auto"/>
        </w:rPr>
      </w:pPr>
      <w:r>
        <w:rPr>
          <w:rFonts w:hint="eastAsia"/>
          <w:snapToGrid w:val="0"/>
          <w:color w:val="auto"/>
        </w:rPr>
        <w:t>5.2.1投标人应向招标人提供一份管理和质量保证文件，以及使用的有关标准和规定的目录清单，并提供一份制作加工进度表（包括检查和试验）。</w:t>
      </w:r>
    </w:p>
    <w:p w14:paraId="79D9892C">
      <w:pPr>
        <w:autoSpaceDE w:val="0"/>
        <w:autoSpaceDN w:val="0"/>
        <w:spacing w:beforeLines="0"/>
        <w:ind w:left="480" w:leftChars="0" w:hanging="480"/>
        <w:jc w:val="both"/>
        <w:rPr>
          <w:snapToGrid w:val="0"/>
          <w:color w:val="auto"/>
        </w:rPr>
      </w:pPr>
      <w:r>
        <w:rPr>
          <w:rFonts w:hint="eastAsia"/>
          <w:snapToGrid w:val="0"/>
          <w:color w:val="auto"/>
        </w:rPr>
        <w:t>5.2.2投标人保证提供的设备是全新的，采用最新设计和最佳材料制造的设备，并在各个方面符合招标文件规定的质量、规格和性能要求。</w:t>
      </w:r>
    </w:p>
    <w:p w14:paraId="2BBA51BC">
      <w:pPr>
        <w:autoSpaceDE w:val="0"/>
        <w:autoSpaceDN w:val="0"/>
        <w:spacing w:beforeLines="0"/>
        <w:ind w:left="480" w:leftChars="0" w:hanging="480"/>
        <w:jc w:val="both"/>
        <w:rPr>
          <w:snapToGrid w:val="0"/>
          <w:color w:val="auto"/>
        </w:rPr>
      </w:pPr>
      <w:r>
        <w:rPr>
          <w:rFonts w:hint="eastAsia"/>
          <w:snapToGrid w:val="0"/>
          <w:color w:val="auto"/>
        </w:rPr>
        <w:t>5.2.3投标人应保证所提供的设备满足电站安全可靠运行的要求，并对设备的设计、制造、供货、 试验、包装、发运、现场调试等过程全面负责。投标人应具备有效方法，控制所有外协、外购件的质量和服务，使其符合本技术规范的要求。投标人有责任让招标人进入该设备正在加工或正在试验中的所有生产工厂和外购制造厂。</w:t>
      </w:r>
    </w:p>
    <w:p w14:paraId="2B2E9DD9">
      <w:pPr>
        <w:autoSpaceDE w:val="0"/>
        <w:autoSpaceDN w:val="0"/>
        <w:spacing w:beforeLines="0"/>
        <w:ind w:left="480" w:leftChars="0" w:hanging="480"/>
        <w:jc w:val="both"/>
        <w:rPr>
          <w:snapToGrid w:val="0"/>
          <w:color w:val="auto"/>
        </w:rPr>
      </w:pPr>
      <w:r>
        <w:rPr>
          <w:rFonts w:hint="eastAsia"/>
          <w:snapToGrid w:val="0"/>
          <w:color w:val="auto"/>
        </w:rPr>
        <w:t>5.2.4产品的设计制造和验收试验应遵照有关规范和标准，并满足本技术规范的要求。投标人应保证规范书提出的性能要求，如不能达到要求，投标人有义务进行改进。除有特殊说明外，阀门必须达到在施工现场安装前不需解体检查就可安装的要求，如因阀门质量原因需要在施工现场解体检修，投标人承担一切费用。</w:t>
      </w:r>
    </w:p>
    <w:p w14:paraId="10B7349C">
      <w:pPr>
        <w:autoSpaceDE w:val="0"/>
        <w:autoSpaceDN w:val="0"/>
        <w:spacing w:beforeLines="0"/>
        <w:ind w:left="480" w:leftChars="0" w:hanging="480"/>
        <w:jc w:val="both"/>
        <w:rPr>
          <w:snapToGrid w:val="0"/>
          <w:color w:val="auto"/>
        </w:rPr>
      </w:pPr>
      <w:r>
        <w:rPr>
          <w:rFonts w:hint="eastAsia"/>
          <w:snapToGrid w:val="0"/>
          <w:color w:val="auto"/>
        </w:rPr>
        <w:t>5.2.5在安装和设备质保期间发现部件缺陷、损坏情况时，投标人应首先提供更换的零部件，在证明为设计和制造原因时，投标人免费更换，在确认为招标人责任时，招标人负责更换零部件的费用。设备的质量保证期期间，由于设备的设计、制造等原因发生的质量问题，投标人负有全部责任， 投标人应对保质期内因质量原因导致的产品损坏实行无偿的修复和零件配制，甚至产品更换。在设备质量保证期后，投标人仍有义务对设备的完好和正常运行提供技术支持，当设备出现故障时，投标人仍应积极配合招标人解决技术问题(无偿)及保证及时提供检修零部件(有偿)。</w:t>
      </w:r>
    </w:p>
    <w:p w14:paraId="786C6E44">
      <w:pPr>
        <w:autoSpaceDE w:val="0"/>
        <w:autoSpaceDN w:val="0"/>
        <w:spacing w:beforeLines="0"/>
        <w:ind w:left="480" w:leftChars="0" w:hanging="480"/>
        <w:jc w:val="both"/>
        <w:rPr>
          <w:snapToGrid w:val="0"/>
          <w:color w:val="auto"/>
        </w:rPr>
      </w:pPr>
      <w:r>
        <w:rPr>
          <w:rFonts w:hint="eastAsia"/>
          <w:snapToGrid w:val="0"/>
          <w:color w:val="auto"/>
        </w:rPr>
        <w:t>5.2.6为了减少招标人检查工作量，投标人有责任向招标人提供全部材料证明书和工厂试验数据。一些重要的检查与试验项目，招标人有权派代表参加。如需要，投标人应在试验前l0天通知招标人代表参加。</w:t>
      </w:r>
    </w:p>
    <w:p w14:paraId="727146C1">
      <w:pPr>
        <w:autoSpaceDE w:val="0"/>
        <w:autoSpaceDN w:val="0"/>
        <w:spacing w:beforeLines="0"/>
        <w:ind w:left="480" w:leftChars="0" w:hanging="480"/>
        <w:jc w:val="both"/>
        <w:rPr>
          <w:snapToGrid w:val="0"/>
          <w:color w:val="auto"/>
        </w:rPr>
      </w:pPr>
      <w:r>
        <w:rPr>
          <w:rFonts w:hint="eastAsia"/>
          <w:snapToGrid w:val="0"/>
          <w:color w:val="auto"/>
        </w:rPr>
        <w:t>5.2.7阀门在组装完毕后应按《电站阀门》等规定进行水压强度试验和严密性试验。</w:t>
      </w:r>
    </w:p>
    <w:p w14:paraId="0AA3A381">
      <w:pPr>
        <w:autoSpaceDE w:val="0"/>
        <w:autoSpaceDN w:val="0"/>
        <w:spacing w:beforeLines="0"/>
        <w:ind w:left="480" w:leftChars="0" w:hanging="480"/>
        <w:jc w:val="both"/>
        <w:rPr>
          <w:snapToGrid w:val="0"/>
          <w:color w:val="auto"/>
        </w:rPr>
      </w:pPr>
      <w:r>
        <w:rPr>
          <w:rFonts w:hint="eastAsia"/>
          <w:snapToGrid w:val="0"/>
          <w:color w:val="auto"/>
        </w:rPr>
        <w:t>5.2.8虽经工厂的试验验收，投标人</w:t>
      </w:r>
      <w:r>
        <w:rPr>
          <w:rFonts w:hint="eastAsia"/>
          <w:snapToGrid w:val="0"/>
          <w:color w:val="auto"/>
        </w:rPr>
        <w:t>还应保证现场试验达到要求的性能和可靠性。工厂的检查验收不应认为是解除投标人所负的责任。现场水压试验期间，阀门出现任何质量问题，保证七十二小时内</w:t>
      </w:r>
      <w:r>
        <w:rPr>
          <w:rFonts w:hint="eastAsia"/>
          <w:snapToGrid w:val="0"/>
          <w:color w:val="auto"/>
        </w:rPr>
        <w:t>响应。</w:t>
      </w:r>
    </w:p>
    <w:p w14:paraId="104482FC">
      <w:pPr>
        <w:autoSpaceDE w:val="0"/>
        <w:autoSpaceDN w:val="0"/>
        <w:spacing w:beforeLines="0"/>
        <w:ind w:left="480" w:leftChars="0" w:hanging="480"/>
        <w:jc w:val="both"/>
        <w:rPr>
          <w:snapToGrid w:val="0"/>
          <w:color w:val="auto"/>
        </w:rPr>
      </w:pPr>
      <w:r>
        <w:rPr>
          <w:rFonts w:hint="eastAsia"/>
          <w:snapToGrid w:val="0"/>
          <w:color w:val="auto"/>
        </w:rPr>
        <w:t>5.2.9如产品质量和性能与标准不符时，招标人有权拒绝验收，投标人应负责修理、更换或赔偿。</w:t>
      </w:r>
    </w:p>
    <w:p w14:paraId="7ED01A6C">
      <w:pPr>
        <w:autoSpaceDE w:val="0"/>
        <w:autoSpaceDN w:val="0"/>
        <w:spacing w:beforeLines="0"/>
        <w:ind w:left="480" w:leftChars="0" w:hanging="480"/>
        <w:jc w:val="both"/>
        <w:rPr>
          <w:snapToGrid w:val="0"/>
          <w:color w:val="auto"/>
        </w:rPr>
      </w:pPr>
      <w:r>
        <w:rPr>
          <w:rFonts w:hint="eastAsia"/>
          <w:snapToGrid w:val="0"/>
          <w:color w:val="auto"/>
        </w:rPr>
        <w:t>5.2.10质保期：货到安装验收后</w:t>
      </w:r>
      <w:r>
        <w:rPr>
          <w:snapToGrid w:val="0"/>
          <w:color w:val="auto"/>
        </w:rPr>
        <w:t>12个月或</w:t>
      </w:r>
      <w:r>
        <w:rPr>
          <w:rFonts w:hint="eastAsia"/>
          <w:snapToGrid w:val="0"/>
          <w:color w:val="auto"/>
        </w:rPr>
        <w:t>到货后</w:t>
      </w:r>
      <w:r>
        <w:rPr>
          <w:snapToGrid w:val="0"/>
          <w:color w:val="auto"/>
        </w:rPr>
        <w:t>18个月</w:t>
      </w:r>
      <w:r>
        <w:rPr>
          <w:rFonts w:hint="eastAsia"/>
          <w:snapToGrid w:val="0"/>
          <w:color w:val="auto"/>
        </w:rPr>
        <w:t>（两者以先到者为准），在质保期内因质量问题出现故障，投标人应无偿保修或更换，按照质保要求维修或更换的产品质保期将重新计算，一直到维修或更换产品质保期结束。</w:t>
      </w:r>
    </w:p>
    <w:bookmarkEnd w:id="21"/>
    <w:bookmarkEnd w:id="22"/>
    <w:bookmarkEnd w:id="23"/>
    <w:bookmarkEnd w:id="24"/>
    <w:p w14:paraId="0705955D">
      <w:pPr>
        <w:spacing w:beforeLines="0"/>
        <w:ind w:left="482" w:leftChars="0" w:hanging="482"/>
        <w:outlineLvl w:val="0"/>
        <w:rPr>
          <w:b/>
          <w:color w:val="auto"/>
        </w:rPr>
      </w:pPr>
      <w:r>
        <w:rPr>
          <w:b/>
          <w:color w:val="auto"/>
        </w:rPr>
        <w:t>6</w:t>
      </w:r>
      <w:r>
        <w:rPr>
          <w:rFonts w:hint="eastAsia"/>
          <w:b/>
          <w:color w:val="auto"/>
        </w:rPr>
        <w:t>清洁、油漆、包装、运输与储存</w:t>
      </w:r>
    </w:p>
    <w:p w14:paraId="7936C346">
      <w:pPr>
        <w:autoSpaceDE w:val="0"/>
        <w:autoSpaceDN w:val="0"/>
        <w:spacing w:beforeLines="0"/>
        <w:ind w:left="480" w:leftChars="0" w:hanging="480"/>
        <w:jc w:val="both"/>
        <w:outlineLvl w:val="1"/>
        <w:rPr>
          <w:snapToGrid w:val="0"/>
          <w:color w:val="auto"/>
        </w:rPr>
      </w:pPr>
      <w:bookmarkStart w:id="25" w:name="_Toc516451225"/>
      <w:bookmarkStart w:id="26" w:name="_Toc496515111"/>
      <w:bookmarkStart w:id="27" w:name="_Toc496518402"/>
      <w:bookmarkStart w:id="28" w:name="_Toc502462595"/>
      <w:bookmarkStart w:id="29" w:name="_Toc67217627"/>
      <w:bookmarkStart w:id="30" w:name="_Toc502462603"/>
      <w:bookmarkStart w:id="31" w:name="_Toc496518407"/>
      <w:bookmarkStart w:id="32" w:name="_Toc516451233"/>
      <w:bookmarkStart w:id="33" w:name="_Toc496515116"/>
      <w:r>
        <w:rPr>
          <w:rFonts w:hint="eastAsia"/>
          <w:snapToGrid w:val="0"/>
          <w:color w:val="auto"/>
        </w:rPr>
        <w:t>6.1</w:t>
      </w:r>
      <w:bookmarkEnd w:id="25"/>
      <w:bookmarkEnd w:id="26"/>
      <w:bookmarkEnd w:id="27"/>
      <w:bookmarkEnd w:id="28"/>
      <w:bookmarkEnd w:id="29"/>
      <w:r>
        <w:rPr>
          <w:rFonts w:hint="eastAsia"/>
          <w:snapToGrid w:val="0"/>
          <w:color w:val="auto"/>
        </w:rPr>
        <w:t>清理</w:t>
      </w:r>
    </w:p>
    <w:p w14:paraId="4051E8A8">
      <w:pPr>
        <w:autoSpaceDE w:val="0"/>
        <w:autoSpaceDN w:val="0"/>
        <w:spacing w:beforeLines="0"/>
        <w:ind w:left="0" w:leftChars="0" w:firstLine="0" w:firstLineChars="0"/>
        <w:jc w:val="both"/>
        <w:rPr>
          <w:snapToGrid w:val="0"/>
          <w:color w:val="auto"/>
        </w:rPr>
      </w:pPr>
      <w:r>
        <w:rPr>
          <w:rFonts w:hint="eastAsia"/>
          <w:snapToGrid w:val="0"/>
          <w:color w:val="auto"/>
        </w:rPr>
        <w:t>6.1.1所有杂物如金属屑、焊杂、乱布等应从每个部件的内部清除。所有磨碎物、锈斑、油脂、粉笔等有害物质应从阀门内、外表面清除。钢结构在第一次涂层前做机械除锈处理。出厂发运时， 设备内、外表面应清理干净。</w:t>
      </w:r>
    </w:p>
    <w:p w14:paraId="7CDFFC1B">
      <w:pPr>
        <w:autoSpaceDE w:val="0"/>
        <w:autoSpaceDN w:val="0"/>
        <w:spacing w:beforeLines="0"/>
        <w:ind w:left="0" w:leftChars="0" w:firstLine="0" w:firstLineChars="0"/>
        <w:jc w:val="both"/>
        <w:rPr>
          <w:snapToGrid w:val="0"/>
          <w:color w:val="auto"/>
        </w:rPr>
      </w:pPr>
      <w:r>
        <w:rPr>
          <w:rFonts w:hint="eastAsia"/>
          <w:snapToGrid w:val="0"/>
          <w:color w:val="auto"/>
        </w:rPr>
        <w:t>6.1.2不锈钢零部件表面的清理要符合ASTM A380, 即 “不锈钢零件、设备和系统除垢”的相关要求。</w:t>
      </w:r>
    </w:p>
    <w:p w14:paraId="54591987">
      <w:pPr>
        <w:autoSpaceDE w:val="0"/>
        <w:autoSpaceDN w:val="0"/>
        <w:spacing w:beforeLines="0"/>
        <w:ind w:left="480" w:leftChars="0" w:hanging="480"/>
        <w:jc w:val="both"/>
        <w:rPr>
          <w:snapToGrid w:val="0"/>
          <w:color w:val="auto"/>
        </w:rPr>
      </w:pPr>
      <w:r>
        <w:rPr>
          <w:rFonts w:hint="eastAsia"/>
          <w:snapToGrid w:val="0"/>
          <w:color w:val="auto"/>
        </w:rPr>
        <w:t>6.1.3当采用化学清洗时，要禁止阀体有任何凹坑、或其它过分损伤。</w:t>
      </w:r>
    </w:p>
    <w:p w14:paraId="34BA615E">
      <w:pPr>
        <w:autoSpaceDE w:val="0"/>
        <w:autoSpaceDN w:val="0"/>
        <w:spacing w:beforeLines="0"/>
        <w:ind w:left="480" w:leftChars="0" w:hanging="480"/>
        <w:jc w:val="both"/>
        <w:outlineLvl w:val="1"/>
        <w:rPr>
          <w:snapToGrid w:val="0"/>
          <w:color w:val="auto"/>
        </w:rPr>
      </w:pPr>
      <w:bookmarkStart w:id="34" w:name="_Toc67217628"/>
      <w:r>
        <w:rPr>
          <w:rFonts w:hint="eastAsia"/>
          <w:snapToGrid w:val="0"/>
          <w:color w:val="auto"/>
        </w:rPr>
        <w:t>6.2、</w:t>
      </w:r>
      <w:bookmarkEnd w:id="30"/>
      <w:bookmarkEnd w:id="31"/>
      <w:bookmarkEnd w:id="32"/>
      <w:bookmarkEnd w:id="34"/>
      <w:r>
        <w:rPr>
          <w:rFonts w:hint="eastAsia"/>
          <w:snapToGrid w:val="0"/>
          <w:color w:val="auto"/>
        </w:rPr>
        <w:t>表面处理和油漆</w:t>
      </w:r>
    </w:p>
    <w:p w14:paraId="13F5AF0D">
      <w:pPr>
        <w:autoSpaceDE w:val="0"/>
        <w:autoSpaceDN w:val="0"/>
        <w:spacing w:beforeLines="0"/>
        <w:ind w:left="0" w:leftChars="0" w:firstLine="0" w:firstLineChars="0"/>
        <w:jc w:val="both"/>
        <w:rPr>
          <w:snapToGrid w:val="0"/>
          <w:color w:val="auto"/>
        </w:rPr>
      </w:pPr>
      <w:r>
        <w:rPr>
          <w:rFonts w:hint="eastAsia"/>
          <w:snapToGrid w:val="0"/>
          <w:color w:val="auto"/>
        </w:rPr>
        <w:t>6.2.1应按相关标准选择油漆系统以防止在运输、保管和运行使用期间受到腐蚀。</w:t>
      </w:r>
    </w:p>
    <w:p w14:paraId="34D155D0">
      <w:pPr>
        <w:autoSpaceDE w:val="0"/>
        <w:autoSpaceDN w:val="0"/>
        <w:spacing w:beforeLines="0"/>
        <w:ind w:left="0" w:leftChars="0" w:firstLine="0" w:firstLineChars="0"/>
        <w:jc w:val="both"/>
        <w:rPr>
          <w:snapToGrid w:val="0"/>
          <w:color w:val="auto"/>
        </w:rPr>
      </w:pPr>
      <w:r>
        <w:rPr>
          <w:rFonts w:hint="eastAsia"/>
          <w:snapToGrid w:val="0"/>
          <w:color w:val="auto"/>
        </w:rPr>
        <w:t>6.2.2所有铸件、碳钢和低合金钢表面应根据SSPC-PA1规范要求，并按油漆制造商的推荐意见进行喷砂处理。所有铸件、碳钢和低合金钢表面最少应漆底漆和面漆保护，最终色彩由招标人确定</w:t>
      </w:r>
    </w:p>
    <w:p w14:paraId="4F757CF4">
      <w:pPr>
        <w:autoSpaceDE w:val="0"/>
        <w:autoSpaceDN w:val="0"/>
        <w:spacing w:beforeLines="0"/>
        <w:ind w:left="0" w:leftChars="0" w:firstLine="0" w:firstLineChars="0"/>
        <w:jc w:val="both"/>
        <w:rPr>
          <w:snapToGrid w:val="0"/>
          <w:color w:val="auto"/>
        </w:rPr>
      </w:pPr>
      <w:r>
        <w:rPr>
          <w:rFonts w:hint="eastAsia"/>
          <w:snapToGrid w:val="0"/>
          <w:color w:val="auto"/>
        </w:rPr>
        <w:t>6.2.3涂底漆必须在喷砂后8小时之内生锈之前进行，涂底漆要遵照SSPC-PA1和底漆制造商的要求进行。油漆选用质量优良的产品，并能适应当地环境条件，涂三层底漆二层面漆。</w:t>
      </w:r>
    </w:p>
    <w:p w14:paraId="3209199F">
      <w:pPr>
        <w:autoSpaceDE w:val="0"/>
        <w:autoSpaceDN w:val="0"/>
        <w:spacing w:beforeLines="0"/>
        <w:ind w:left="480" w:leftChars="0" w:hanging="480"/>
        <w:jc w:val="both"/>
        <w:outlineLvl w:val="2"/>
        <w:rPr>
          <w:snapToGrid w:val="0"/>
          <w:color w:val="auto"/>
        </w:rPr>
      </w:pPr>
      <w:r>
        <w:rPr>
          <w:rFonts w:hint="eastAsia"/>
          <w:snapToGrid w:val="0"/>
          <w:color w:val="auto"/>
        </w:rPr>
        <w:t>6.2.4不锈钢、镀锌钢和其它非铁材料不需要涂漆。</w:t>
      </w:r>
    </w:p>
    <w:p w14:paraId="6DC8195F">
      <w:pPr>
        <w:autoSpaceDE w:val="0"/>
        <w:autoSpaceDN w:val="0"/>
        <w:spacing w:beforeLines="0"/>
        <w:ind w:left="0" w:leftChars="0" w:firstLine="0" w:firstLineChars="0"/>
        <w:jc w:val="both"/>
        <w:rPr>
          <w:snapToGrid w:val="0"/>
          <w:color w:val="auto"/>
        </w:rPr>
      </w:pPr>
      <w:r>
        <w:rPr>
          <w:rFonts w:hint="eastAsia"/>
          <w:snapToGrid w:val="0"/>
          <w:color w:val="auto"/>
        </w:rPr>
        <w:t>6.2.5在焊口100mm之内的表面，采用证明可不影响焊接的底漆和可拆卸的保护面层或保护带保护。</w:t>
      </w:r>
    </w:p>
    <w:p w14:paraId="178445D2">
      <w:pPr>
        <w:autoSpaceDE w:val="0"/>
        <w:autoSpaceDN w:val="0"/>
        <w:spacing w:beforeLines="0"/>
        <w:ind w:left="0" w:leftChars="0" w:firstLine="0" w:firstLineChars="0"/>
        <w:jc w:val="both"/>
        <w:rPr>
          <w:snapToGrid w:val="0"/>
          <w:color w:val="auto"/>
        </w:rPr>
      </w:pPr>
      <w:r>
        <w:rPr>
          <w:rFonts w:hint="eastAsia"/>
          <w:snapToGrid w:val="0"/>
          <w:color w:val="auto"/>
        </w:rPr>
        <w:t>6.2.6所有机加工的碳钢和低合金钢的表面必须采用易清洗 (用碱溶液、蒸汽或热水) 的防腐蚀化合物，它满足MIC-C-16173-I级要求。投标人应以书面形式通知招标人将要使用的化合物名称、 制造厂、型号、特性和清除方法。</w:t>
      </w:r>
    </w:p>
    <w:bookmarkEnd w:id="33"/>
    <w:p w14:paraId="05BB5A81">
      <w:pPr>
        <w:autoSpaceDE w:val="0"/>
        <w:autoSpaceDN w:val="0"/>
        <w:spacing w:beforeLines="0"/>
        <w:ind w:left="480" w:leftChars="0" w:hanging="480"/>
        <w:jc w:val="both"/>
        <w:outlineLvl w:val="1"/>
        <w:rPr>
          <w:snapToGrid w:val="0"/>
          <w:color w:val="auto"/>
        </w:rPr>
      </w:pPr>
      <w:bookmarkStart w:id="35" w:name="_Toc67217629"/>
      <w:r>
        <w:rPr>
          <w:rFonts w:hint="eastAsia"/>
          <w:snapToGrid w:val="0"/>
          <w:color w:val="auto"/>
        </w:rPr>
        <w:t>6.3</w:t>
      </w:r>
      <w:bookmarkEnd w:id="35"/>
      <w:r>
        <w:rPr>
          <w:rFonts w:hint="eastAsia"/>
          <w:snapToGrid w:val="0"/>
          <w:color w:val="auto"/>
        </w:rPr>
        <w:t>设备包装</w:t>
      </w:r>
    </w:p>
    <w:p w14:paraId="0AB46BB7">
      <w:pPr>
        <w:autoSpaceDE w:val="0"/>
        <w:autoSpaceDN w:val="0"/>
        <w:spacing w:beforeLines="0"/>
        <w:ind w:left="0" w:leftChars="0" w:firstLine="480" w:firstLineChars="200"/>
        <w:jc w:val="both"/>
        <w:rPr>
          <w:snapToGrid w:val="0"/>
          <w:color w:val="auto"/>
        </w:rPr>
      </w:pPr>
      <w:r>
        <w:rPr>
          <w:rFonts w:hint="eastAsia"/>
          <w:snapToGrid w:val="0"/>
          <w:color w:val="auto"/>
        </w:rPr>
        <w:t>设备的包装符合GB/T13384标准的规定，并采取防雨、防潮、防锈、防震等措施，以免在运输过程中，由于振动和碰撞引起轴承等部件的损坏。设备出厂时，零部件的包装符合规定，分类木箱装箱，遵循适于运输、便于安装和查找的原则。</w:t>
      </w:r>
    </w:p>
    <w:p w14:paraId="473EB87F">
      <w:pPr>
        <w:autoSpaceDE w:val="0"/>
        <w:autoSpaceDN w:val="0"/>
        <w:spacing w:beforeLines="0"/>
        <w:ind w:left="480" w:leftChars="0" w:hanging="480"/>
        <w:jc w:val="both"/>
        <w:rPr>
          <w:snapToGrid w:val="0"/>
          <w:color w:val="auto"/>
        </w:rPr>
      </w:pPr>
      <w:r>
        <w:rPr>
          <w:rFonts w:hint="eastAsia"/>
          <w:snapToGrid w:val="0"/>
          <w:color w:val="auto"/>
        </w:rPr>
        <w:t>6.3.1每个设备箱内应包括两份详细的装箱单和一份质量检验证明。</w:t>
      </w:r>
    </w:p>
    <w:p w14:paraId="0655F59F">
      <w:pPr>
        <w:autoSpaceDE w:val="0"/>
        <w:autoSpaceDN w:val="0"/>
        <w:spacing w:beforeLines="0"/>
        <w:ind w:left="0" w:leftChars="0" w:firstLine="0" w:firstLineChars="0"/>
        <w:jc w:val="both"/>
        <w:rPr>
          <w:snapToGrid w:val="0"/>
          <w:color w:val="auto"/>
        </w:rPr>
      </w:pPr>
      <w:r>
        <w:rPr>
          <w:rFonts w:hint="eastAsia"/>
          <w:snapToGrid w:val="0"/>
          <w:color w:val="auto"/>
        </w:rPr>
        <w:t>6.3.2对装箱供给的设备，投标人应在每个箱子的四面清楚地标明订货号、运输识别号、发货及到货地点、发货人及收货人、设备名称、工程项目名称、箱号 (箱的序号/设备总件数)、 毛/净重、 外形尺寸 (长X宽X高)、设备运输及贮存保管要求的国际通用标记。对于2t或更重的包装箱，还应在两侧用箭头突出地标出重心和起吊点的位置，以便装卸和搬运。</w:t>
      </w:r>
    </w:p>
    <w:p w14:paraId="03C3A254">
      <w:pPr>
        <w:autoSpaceDE w:val="0"/>
        <w:autoSpaceDN w:val="0"/>
        <w:spacing w:beforeLines="0"/>
        <w:ind w:left="480" w:leftChars="0" w:hanging="480"/>
        <w:jc w:val="both"/>
        <w:outlineLvl w:val="1"/>
        <w:rPr>
          <w:snapToGrid w:val="0"/>
          <w:color w:val="auto"/>
        </w:rPr>
      </w:pPr>
      <w:bookmarkStart w:id="36" w:name="_Toc502462605"/>
      <w:bookmarkStart w:id="37" w:name="_Toc516451235"/>
      <w:bookmarkStart w:id="38" w:name="_Toc67217630"/>
      <w:r>
        <w:rPr>
          <w:rFonts w:hint="eastAsia"/>
          <w:snapToGrid w:val="0"/>
          <w:color w:val="auto"/>
        </w:rPr>
        <w:t>6.4</w:t>
      </w:r>
      <w:bookmarkEnd w:id="36"/>
      <w:bookmarkEnd w:id="37"/>
      <w:bookmarkEnd w:id="38"/>
      <w:r>
        <w:rPr>
          <w:rFonts w:hint="eastAsia"/>
          <w:snapToGrid w:val="0"/>
          <w:color w:val="auto"/>
        </w:rPr>
        <w:t>运输与储存</w:t>
      </w:r>
    </w:p>
    <w:p w14:paraId="5EEF35A2">
      <w:pPr>
        <w:autoSpaceDE w:val="0"/>
        <w:autoSpaceDN w:val="0"/>
        <w:spacing w:beforeLines="0"/>
        <w:ind w:left="0" w:leftChars="0" w:firstLine="0" w:firstLineChars="0"/>
        <w:jc w:val="both"/>
        <w:rPr>
          <w:snapToGrid w:val="0"/>
          <w:color w:val="auto"/>
        </w:rPr>
      </w:pPr>
      <w:r>
        <w:rPr>
          <w:rFonts w:hint="eastAsia"/>
          <w:snapToGrid w:val="0"/>
          <w:color w:val="auto"/>
        </w:rPr>
        <w:t>6.4.1发运前设备应完全疏水和干燥，当疏水需要打开疏水阀或移开塞子等时，投标人要确保这些阀门或塞子在发运前再次关闭或装上。</w:t>
      </w:r>
    </w:p>
    <w:p w14:paraId="7CEB4CC5">
      <w:pPr>
        <w:autoSpaceDE w:val="0"/>
        <w:autoSpaceDN w:val="0"/>
        <w:spacing w:beforeLines="0"/>
        <w:ind w:left="0" w:leftChars="0" w:firstLine="0" w:firstLineChars="0"/>
        <w:jc w:val="both"/>
        <w:rPr>
          <w:snapToGrid w:val="0"/>
          <w:color w:val="auto"/>
        </w:rPr>
      </w:pPr>
      <w:r>
        <w:rPr>
          <w:rFonts w:hint="eastAsia"/>
          <w:snapToGrid w:val="0"/>
          <w:color w:val="auto"/>
        </w:rPr>
        <w:t>6.4.2在运输和储存保管之前，要为所有孔洞、喷嘴、法兰、螺纹和焊接口提供保护，以防止损伤和进入杂物。</w:t>
      </w:r>
    </w:p>
    <w:p w14:paraId="4CABA027">
      <w:pPr>
        <w:autoSpaceDE w:val="0"/>
        <w:autoSpaceDN w:val="0"/>
        <w:spacing w:beforeLines="0"/>
        <w:ind w:left="0" w:leftChars="0" w:firstLine="0" w:firstLineChars="0"/>
        <w:jc w:val="both"/>
        <w:rPr>
          <w:snapToGrid w:val="0"/>
          <w:color w:val="auto"/>
        </w:rPr>
      </w:pPr>
      <w:r>
        <w:rPr>
          <w:rFonts w:hint="eastAsia"/>
          <w:snapToGrid w:val="0"/>
          <w:color w:val="auto"/>
        </w:rPr>
        <w:t>6.4.3螺纹和插入接口要用塑料帽拧紧或扣紧。对焊式接口要用衬木的金属板保护，并用金属箍扣紧。</w:t>
      </w:r>
    </w:p>
    <w:p w14:paraId="3D20A46D">
      <w:pPr>
        <w:autoSpaceDE w:val="0"/>
        <w:autoSpaceDN w:val="0"/>
        <w:spacing w:beforeLines="0"/>
        <w:ind w:left="480" w:leftChars="0" w:hanging="480"/>
        <w:jc w:val="both"/>
        <w:rPr>
          <w:snapToGrid w:val="0"/>
          <w:color w:val="auto"/>
        </w:rPr>
      </w:pPr>
      <w:r>
        <w:rPr>
          <w:rFonts w:hint="eastAsia"/>
          <w:snapToGrid w:val="0"/>
          <w:color w:val="auto"/>
        </w:rPr>
        <w:t>6.4.4保护帽、金属箍和紧固件不能用焊接焊到任何被加工件上。</w:t>
      </w:r>
    </w:p>
    <w:p w14:paraId="3EF93E26">
      <w:pPr>
        <w:autoSpaceDE w:val="0"/>
        <w:autoSpaceDN w:val="0"/>
        <w:spacing w:beforeLines="0"/>
        <w:ind w:left="480" w:leftChars="0" w:hanging="480"/>
        <w:jc w:val="both"/>
        <w:rPr>
          <w:snapToGrid w:val="0"/>
          <w:color w:val="auto"/>
        </w:rPr>
      </w:pPr>
      <w:r>
        <w:rPr>
          <w:rFonts w:hint="eastAsia"/>
          <w:snapToGrid w:val="0"/>
          <w:color w:val="auto"/>
        </w:rPr>
        <w:t>6.4.5设各运输时要有足够的支撑，所有散件要装箱，并有区分标志。</w:t>
      </w:r>
    </w:p>
    <w:p w14:paraId="1367C7A7">
      <w:pPr>
        <w:autoSpaceDE w:val="0"/>
        <w:autoSpaceDN w:val="0"/>
        <w:spacing w:beforeLines="0"/>
        <w:ind w:left="0" w:leftChars="0" w:firstLine="0" w:firstLineChars="0"/>
        <w:jc w:val="both"/>
        <w:rPr>
          <w:snapToGrid w:val="0"/>
          <w:color w:val="auto"/>
        </w:rPr>
      </w:pPr>
      <w:r>
        <w:rPr>
          <w:rFonts w:hint="eastAsia"/>
          <w:snapToGrid w:val="0"/>
          <w:color w:val="auto"/>
        </w:rPr>
        <w:t>6.4.6投标人应将提供储存保管和搬运说明，其中包括确认保管时没有损坏的定期检验和维护说明。在装运箱外应放置一套这种说明。</w:t>
      </w:r>
    </w:p>
    <w:p w14:paraId="3405A7A8">
      <w:pPr>
        <w:autoSpaceDE w:val="0"/>
        <w:autoSpaceDN w:val="0"/>
        <w:spacing w:beforeLines="0"/>
        <w:ind w:left="480" w:leftChars="0" w:hanging="480"/>
        <w:jc w:val="both"/>
        <w:outlineLvl w:val="2"/>
        <w:rPr>
          <w:snapToGrid w:val="0"/>
          <w:color w:val="auto"/>
        </w:rPr>
      </w:pPr>
      <w:r>
        <w:rPr>
          <w:rFonts w:hint="eastAsia"/>
          <w:snapToGrid w:val="0"/>
          <w:color w:val="auto"/>
        </w:rPr>
        <w:t>6.4.7备品备件和专用工具应单独包装，并应特别注明。</w:t>
      </w:r>
    </w:p>
    <w:p w14:paraId="13F4615B">
      <w:pPr>
        <w:autoSpaceDE w:val="0"/>
        <w:autoSpaceDN w:val="0"/>
        <w:spacing w:beforeLines="0"/>
        <w:ind w:left="0" w:leftChars="0" w:firstLine="0" w:firstLineChars="0"/>
        <w:jc w:val="both"/>
        <w:rPr>
          <w:snapToGrid w:val="0"/>
          <w:color w:val="auto"/>
        </w:rPr>
      </w:pPr>
      <w:r>
        <w:rPr>
          <w:rFonts w:hint="eastAsia"/>
          <w:snapToGrid w:val="0"/>
          <w:color w:val="auto"/>
        </w:rPr>
        <w:t>6.4.8设备运输由投标人负责，设备到现场后，由招标人通知投标人限期内到达施工现场，共同参加设备开箱验收，如不能按时到达，应与招标人协商。</w:t>
      </w:r>
    </w:p>
    <w:p w14:paraId="41839D0A">
      <w:pPr>
        <w:autoSpaceDE w:val="0"/>
        <w:autoSpaceDN w:val="0"/>
        <w:spacing w:beforeLines="0"/>
        <w:ind w:left="0" w:leftChars="0" w:firstLine="0" w:firstLineChars="0"/>
        <w:jc w:val="both"/>
        <w:rPr>
          <w:snapToGrid w:val="0"/>
          <w:color w:val="auto"/>
        </w:rPr>
      </w:pPr>
      <w:r>
        <w:rPr>
          <w:rFonts w:hint="eastAsia"/>
          <w:snapToGrid w:val="0"/>
          <w:color w:val="auto"/>
        </w:rPr>
        <w:t>6.4.9设备到现场后由招标人负责储存，投标人应提供设备储存的注意事项。</w:t>
      </w:r>
    </w:p>
    <w:p w14:paraId="420D4E1F">
      <w:pPr>
        <w:spacing w:beforeLines="0"/>
        <w:ind w:left="482" w:leftChars="0" w:hanging="482"/>
        <w:outlineLvl w:val="0"/>
        <w:rPr>
          <w:b/>
          <w:color w:val="auto"/>
        </w:rPr>
      </w:pPr>
      <w:r>
        <w:rPr>
          <w:b/>
          <w:color w:val="auto"/>
        </w:rPr>
        <w:t>7</w:t>
      </w:r>
      <w:r>
        <w:rPr>
          <w:rFonts w:hint="eastAsia"/>
          <w:b/>
          <w:color w:val="auto"/>
        </w:rPr>
        <w:t>技术数据表</w:t>
      </w:r>
      <w:r>
        <w:rPr>
          <w:rFonts w:hint="eastAsia"/>
          <w:b/>
          <w:color w:val="auto"/>
        </w:rPr>
        <w:t>（投标人填写内容不得空缺）</w:t>
      </w:r>
    </w:p>
    <w:tbl>
      <w:tblPr>
        <w:tblStyle w:val="27"/>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562"/>
        <w:gridCol w:w="1687"/>
        <w:gridCol w:w="980"/>
        <w:gridCol w:w="2079"/>
        <w:gridCol w:w="1535"/>
        <w:gridCol w:w="1519"/>
      </w:tblGrid>
      <w:tr w14:paraId="148791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264" w:hRule="atLeast"/>
          <w:tblHeader/>
        </w:trPr>
        <w:tc>
          <w:tcPr>
            <w:tcW w:w="336" w:type="pct"/>
            <w:vAlign w:val="center"/>
          </w:tcPr>
          <w:p w14:paraId="24EBCBFA">
            <w:pPr>
              <w:spacing w:beforeLines="0" w:line="240" w:lineRule="auto"/>
              <w:ind w:left="0" w:leftChars="0" w:firstLine="0" w:firstLineChars="0"/>
              <w:jc w:val="center"/>
              <w:rPr>
                <w:bCs/>
                <w:color w:val="auto"/>
                <w:sz w:val="21"/>
                <w:szCs w:val="21"/>
              </w:rPr>
            </w:pPr>
            <w:r>
              <w:rPr>
                <w:bCs/>
                <w:color w:val="auto"/>
                <w:sz w:val="21"/>
                <w:szCs w:val="21"/>
              </w:rPr>
              <w:t>序号</w:t>
            </w:r>
          </w:p>
        </w:tc>
        <w:tc>
          <w:tcPr>
            <w:tcW w:w="1009" w:type="pct"/>
            <w:vAlign w:val="center"/>
          </w:tcPr>
          <w:p w14:paraId="57E13C58">
            <w:pPr>
              <w:spacing w:beforeLines="0" w:line="240" w:lineRule="auto"/>
              <w:ind w:left="0" w:leftChars="0" w:firstLine="0" w:firstLineChars="0"/>
              <w:jc w:val="center"/>
              <w:rPr>
                <w:bCs/>
                <w:color w:val="auto"/>
                <w:sz w:val="21"/>
                <w:szCs w:val="21"/>
              </w:rPr>
            </w:pPr>
            <w:r>
              <w:rPr>
                <w:bCs/>
                <w:color w:val="auto"/>
                <w:sz w:val="21"/>
                <w:szCs w:val="21"/>
              </w:rPr>
              <w:t>技术参数名称</w:t>
            </w:r>
          </w:p>
        </w:tc>
        <w:tc>
          <w:tcPr>
            <w:tcW w:w="586" w:type="pct"/>
            <w:vAlign w:val="center"/>
          </w:tcPr>
          <w:p w14:paraId="0754663C">
            <w:pPr>
              <w:spacing w:beforeLines="0" w:line="240" w:lineRule="auto"/>
              <w:ind w:left="0" w:leftChars="0" w:firstLine="0" w:firstLineChars="0"/>
              <w:jc w:val="center"/>
              <w:rPr>
                <w:bCs/>
                <w:color w:val="auto"/>
                <w:sz w:val="21"/>
                <w:szCs w:val="21"/>
              </w:rPr>
            </w:pPr>
            <w:r>
              <w:rPr>
                <w:bCs/>
                <w:color w:val="auto"/>
                <w:sz w:val="21"/>
                <w:szCs w:val="21"/>
              </w:rPr>
              <w:t>单 位</w:t>
            </w:r>
          </w:p>
        </w:tc>
        <w:tc>
          <w:tcPr>
            <w:tcW w:w="1243" w:type="pct"/>
            <w:vAlign w:val="center"/>
          </w:tcPr>
          <w:p w14:paraId="1AC590D9">
            <w:pPr>
              <w:spacing w:beforeLines="0" w:line="240" w:lineRule="auto"/>
              <w:ind w:left="0" w:leftChars="0" w:firstLine="0" w:firstLineChars="0"/>
              <w:jc w:val="center"/>
              <w:rPr>
                <w:bCs/>
                <w:color w:val="auto"/>
                <w:sz w:val="21"/>
                <w:szCs w:val="21"/>
              </w:rPr>
            </w:pPr>
            <w:r>
              <w:rPr>
                <w:rFonts w:hint="eastAsia"/>
                <w:bCs/>
                <w:color w:val="auto"/>
                <w:sz w:val="21"/>
                <w:szCs w:val="21"/>
              </w:rPr>
              <w:t>招标人要求</w:t>
            </w:r>
          </w:p>
        </w:tc>
        <w:tc>
          <w:tcPr>
            <w:tcW w:w="918" w:type="pct"/>
            <w:vAlign w:val="center"/>
          </w:tcPr>
          <w:p w14:paraId="4C31B2AC">
            <w:pPr>
              <w:spacing w:beforeLines="0" w:line="240" w:lineRule="auto"/>
              <w:ind w:left="0" w:leftChars="0" w:firstLine="0" w:firstLineChars="0"/>
              <w:jc w:val="center"/>
              <w:rPr>
                <w:bCs/>
                <w:color w:val="auto"/>
                <w:sz w:val="21"/>
                <w:szCs w:val="21"/>
              </w:rPr>
            </w:pPr>
            <w:r>
              <w:rPr>
                <w:rFonts w:hint="eastAsia"/>
                <w:bCs/>
                <w:color w:val="auto"/>
                <w:sz w:val="21"/>
                <w:szCs w:val="21"/>
              </w:rPr>
              <w:t>投标人填写</w:t>
            </w:r>
          </w:p>
        </w:tc>
        <w:tc>
          <w:tcPr>
            <w:tcW w:w="908" w:type="pct"/>
            <w:vAlign w:val="center"/>
          </w:tcPr>
          <w:p w14:paraId="23897E3E">
            <w:pPr>
              <w:spacing w:beforeLines="0" w:line="240" w:lineRule="auto"/>
              <w:ind w:left="0" w:leftChars="0" w:firstLine="0" w:firstLineChars="0"/>
              <w:jc w:val="center"/>
              <w:rPr>
                <w:bCs/>
                <w:color w:val="auto"/>
                <w:sz w:val="21"/>
                <w:szCs w:val="21"/>
              </w:rPr>
            </w:pPr>
            <w:r>
              <w:rPr>
                <w:bCs/>
                <w:color w:val="auto"/>
                <w:sz w:val="21"/>
                <w:szCs w:val="21"/>
              </w:rPr>
              <w:t>备 注</w:t>
            </w:r>
          </w:p>
        </w:tc>
      </w:tr>
      <w:tr w14:paraId="0F2D98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4459127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1</w:t>
            </w:r>
          </w:p>
        </w:tc>
        <w:tc>
          <w:tcPr>
            <w:tcW w:w="1009" w:type="pct"/>
            <w:vAlign w:val="center"/>
          </w:tcPr>
          <w:p w14:paraId="534C0A8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型式</w:t>
            </w:r>
          </w:p>
        </w:tc>
        <w:tc>
          <w:tcPr>
            <w:tcW w:w="586" w:type="pct"/>
            <w:vAlign w:val="center"/>
          </w:tcPr>
          <w:p w14:paraId="6B846A1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6E83058E">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高温高压电动闸阀</w:t>
            </w:r>
          </w:p>
        </w:tc>
        <w:tc>
          <w:tcPr>
            <w:tcW w:w="918" w:type="pct"/>
          </w:tcPr>
          <w:p w14:paraId="464E7450">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56BB9249">
            <w:pPr>
              <w:spacing w:beforeLines="0" w:line="240" w:lineRule="auto"/>
              <w:ind w:left="0" w:leftChars="0" w:firstLine="0" w:firstLineChars="0"/>
              <w:rPr>
                <w:rFonts w:asciiTheme="minorEastAsia" w:hAnsiTheme="minorEastAsia" w:eastAsiaTheme="minorEastAsia"/>
                <w:bCs/>
                <w:color w:val="auto"/>
                <w:sz w:val="21"/>
                <w:szCs w:val="21"/>
              </w:rPr>
            </w:pPr>
          </w:p>
        </w:tc>
      </w:tr>
      <w:tr w14:paraId="5A1DCB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2F43B83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w:t>
            </w:r>
          </w:p>
        </w:tc>
        <w:tc>
          <w:tcPr>
            <w:tcW w:w="1009" w:type="pct"/>
            <w:vAlign w:val="center"/>
          </w:tcPr>
          <w:p w14:paraId="1DB7C42F">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品牌</w:t>
            </w:r>
          </w:p>
        </w:tc>
        <w:tc>
          <w:tcPr>
            <w:tcW w:w="586" w:type="pct"/>
            <w:vAlign w:val="center"/>
          </w:tcPr>
          <w:p w14:paraId="762CD58A">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1243" w:type="pct"/>
            <w:vAlign w:val="center"/>
          </w:tcPr>
          <w:p w14:paraId="7B4F962E">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tcPr>
          <w:p w14:paraId="19F7FB5C">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2D24F0D4">
            <w:pPr>
              <w:spacing w:beforeLines="0" w:line="240" w:lineRule="auto"/>
              <w:ind w:left="0" w:leftChars="0" w:firstLine="0" w:firstLineChars="0"/>
              <w:jc w:val="center"/>
              <w:rPr>
                <w:rFonts w:asciiTheme="minorEastAsia" w:hAnsiTheme="minorEastAsia"/>
                <w:bCs/>
                <w:color w:val="auto"/>
                <w:sz w:val="21"/>
                <w:szCs w:val="21"/>
              </w:rPr>
            </w:pPr>
          </w:p>
        </w:tc>
      </w:tr>
      <w:tr w14:paraId="395856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36" w:type="pct"/>
            <w:vAlign w:val="center"/>
          </w:tcPr>
          <w:p w14:paraId="28DA4334">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3</w:t>
            </w:r>
          </w:p>
        </w:tc>
        <w:tc>
          <w:tcPr>
            <w:tcW w:w="1009" w:type="pct"/>
            <w:vAlign w:val="center"/>
          </w:tcPr>
          <w:p w14:paraId="27A2C67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型号</w:t>
            </w:r>
            <w:r>
              <w:rPr>
                <w:rFonts w:hint="eastAsia" w:asciiTheme="minorEastAsia" w:hAnsiTheme="minorEastAsia" w:eastAsiaTheme="minorEastAsia"/>
                <w:bCs/>
                <w:color w:val="auto"/>
                <w:sz w:val="21"/>
                <w:szCs w:val="21"/>
              </w:rPr>
              <w:t>编码</w:t>
            </w:r>
          </w:p>
        </w:tc>
        <w:tc>
          <w:tcPr>
            <w:tcW w:w="586" w:type="pct"/>
            <w:vAlign w:val="center"/>
          </w:tcPr>
          <w:p w14:paraId="78660026">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46DA5325">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vAlign w:val="center"/>
          </w:tcPr>
          <w:p w14:paraId="61CF39A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440BEE1C">
            <w:pPr>
              <w:spacing w:beforeLines="0" w:line="240" w:lineRule="auto"/>
              <w:ind w:left="0" w:leftChars="0" w:firstLine="0" w:firstLineChars="0"/>
              <w:rPr>
                <w:rFonts w:asciiTheme="minorEastAsia" w:hAnsiTheme="minorEastAsia" w:eastAsiaTheme="minorEastAsia"/>
                <w:bCs/>
                <w:color w:val="auto"/>
                <w:sz w:val="21"/>
                <w:szCs w:val="21"/>
              </w:rPr>
            </w:pPr>
          </w:p>
        </w:tc>
      </w:tr>
      <w:tr w14:paraId="2B698C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639C5C23">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4</w:t>
            </w:r>
          </w:p>
        </w:tc>
        <w:tc>
          <w:tcPr>
            <w:tcW w:w="1009" w:type="pct"/>
            <w:vAlign w:val="center"/>
          </w:tcPr>
          <w:p w14:paraId="4CBF498B">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阀门特性</w:t>
            </w:r>
          </w:p>
        </w:tc>
        <w:tc>
          <w:tcPr>
            <w:tcW w:w="586" w:type="pct"/>
            <w:vAlign w:val="center"/>
          </w:tcPr>
          <w:p w14:paraId="6A60B226">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1243" w:type="pct"/>
            <w:vAlign w:val="center"/>
          </w:tcPr>
          <w:p w14:paraId="2DFD82E1">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vAlign w:val="center"/>
          </w:tcPr>
          <w:p w14:paraId="71B3ED89">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5BD29AEE">
            <w:pPr>
              <w:spacing w:beforeLines="0" w:line="240" w:lineRule="auto"/>
              <w:ind w:left="0" w:leftChars="0" w:firstLine="0" w:firstLineChars="0"/>
              <w:rPr>
                <w:rFonts w:asciiTheme="minorEastAsia" w:hAnsiTheme="minorEastAsia" w:eastAsiaTheme="minorEastAsia"/>
                <w:bCs/>
                <w:color w:val="auto"/>
                <w:sz w:val="21"/>
                <w:szCs w:val="21"/>
              </w:rPr>
            </w:pPr>
          </w:p>
        </w:tc>
      </w:tr>
      <w:tr w14:paraId="296C85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7E668AF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5</w:t>
            </w:r>
          </w:p>
        </w:tc>
        <w:tc>
          <w:tcPr>
            <w:tcW w:w="1009" w:type="pct"/>
            <w:vAlign w:val="center"/>
          </w:tcPr>
          <w:p w14:paraId="5B44693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重量</w:t>
            </w:r>
          </w:p>
        </w:tc>
        <w:tc>
          <w:tcPr>
            <w:tcW w:w="586" w:type="pct"/>
            <w:vAlign w:val="center"/>
          </w:tcPr>
          <w:p w14:paraId="2F8839A3">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K</w:t>
            </w:r>
            <w:r>
              <w:rPr>
                <w:rFonts w:hint="eastAsia" w:asciiTheme="minorEastAsia" w:hAnsiTheme="minorEastAsia" w:eastAsiaTheme="minorEastAsia"/>
                <w:bCs/>
                <w:color w:val="auto"/>
                <w:sz w:val="21"/>
                <w:szCs w:val="21"/>
              </w:rPr>
              <w:t>g</w:t>
            </w:r>
          </w:p>
        </w:tc>
        <w:tc>
          <w:tcPr>
            <w:tcW w:w="1243" w:type="pct"/>
            <w:vAlign w:val="center"/>
          </w:tcPr>
          <w:p w14:paraId="4DB586A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vAlign w:val="center"/>
          </w:tcPr>
          <w:p w14:paraId="64F84751">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6D0F9BE0">
            <w:pPr>
              <w:spacing w:beforeLines="0" w:line="240" w:lineRule="auto"/>
              <w:ind w:left="0" w:leftChars="0" w:firstLine="0" w:firstLineChars="0"/>
              <w:rPr>
                <w:rFonts w:asciiTheme="minorEastAsia" w:hAnsiTheme="minorEastAsia" w:eastAsiaTheme="minorEastAsia"/>
                <w:bCs/>
                <w:color w:val="auto"/>
                <w:sz w:val="21"/>
                <w:szCs w:val="21"/>
              </w:rPr>
            </w:pPr>
          </w:p>
        </w:tc>
      </w:tr>
      <w:tr w14:paraId="2D2903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144" w:hRule="atLeast"/>
        </w:trPr>
        <w:tc>
          <w:tcPr>
            <w:tcW w:w="336" w:type="pct"/>
            <w:vAlign w:val="center"/>
          </w:tcPr>
          <w:p w14:paraId="1E31AE3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6</w:t>
            </w:r>
          </w:p>
        </w:tc>
        <w:tc>
          <w:tcPr>
            <w:tcW w:w="1009" w:type="pct"/>
            <w:vAlign w:val="center"/>
          </w:tcPr>
          <w:p w14:paraId="31F610E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数量</w:t>
            </w:r>
          </w:p>
        </w:tc>
        <w:tc>
          <w:tcPr>
            <w:tcW w:w="586" w:type="pct"/>
            <w:vAlign w:val="center"/>
          </w:tcPr>
          <w:p w14:paraId="60A5DA7E">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台</w:t>
            </w:r>
          </w:p>
        </w:tc>
        <w:tc>
          <w:tcPr>
            <w:tcW w:w="1243" w:type="pct"/>
            <w:vAlign w:val="center"/>
          </w:tcPr>
          <w:p w14:paraId="4836CFDA">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w:t>
            </w:r>
          </w:p>
        </w:tc>
        <w:tc>
          <w:tcPr>
            <w:tcW w:w="918" w:type="pct"/>
            <w:vAlign w:val="center"/>
          </w:tcPr>
          <w:p w14:paraId="7BCF6E29">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389035E2">
            <w:pPr>
              <w:spacing w:beforeLines="0" w:line="240" w:lineRule="auto"/>
              <w:ind w:left="0" w:leftChars="0" w:firstLine="0" w:firstLineChars="0"/>
              <w:rPr>
                <w:rFonts w:asciiTheme="minorEastAsia" w:hAnsiTheme="minorEastAsia" w:eastAsiaTheme="minorEastAsia"/>
                <w:bCs/>
                <w:color w:val="auto"/>
                <w:sz w:val="21"/>
                <w:szCs w:val="21"/>
              </w:rPr>
            </w:pPr>
          </w:p>
        </w:tc>
      </w:tr>
      <w:tr w14:paraId="73BD8C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4030AE2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7</w:t>
            </w:r>
          </w:p>
        </w:tc>
        <w:tc>
          <w:tcPr>
            <w:tcW w:w="1009" w:type="pct"/>
            <w:vAlign w:val="center"/>
          </w:tcPr>
          <w:p w14:paraId="774369D2">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介质温度</w:t>
            </w:r>
          </w:p>
        </w:tc>
        <w:tc>
          <w:tcPr>
            <w:tcW w:w="586" w:type="pct"/>
            <w:vAlign w:val="center"/>
          </w:tcPr>
          <w:p w14:paraId="4C8339E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6A1977ED">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运行温度545℃</w:t>
            </w:r>
          </w:p>
        </w:tc>
        <w:tc>
          <w:tcPr>
            <w:tcW w:w="918" w:type="pct"/>
          </w:tcPr>
          <w:p w14:paraId="37B1790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2D035221">
            <w:pPr>
              <w:spacing w:beforeLines="0" w:line="240" w:lineRule="auto"/>
              <w:ind w:left="0" w:leftChars="0" w:firstLine="0" w:firstLineChars="0"/>
              <w:rPr>
                <w:rFonts w:asciiTheme="minorEastAsia" w:hAnsiTheme="minorEastAsia" w:eastAsiaTheme="minorEastAsia"/>
                <w:bCs/>
                <w:color w:val="auto"/>
                <w:sz w:val="21"/>
                <w:szCs w:val="21"/>
              </w:rPr>
            </w:pPr>
          </w:p>
        </w:tc>
      </w:tr>
      <w:tr w14:paraId="32D8BE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002B896C">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8</w:t>
            </w:r>
          </w:p>
        </w:tc>
        <w:tc>
          <w:tcPr>
            <w:tcW w:w="1009" w:type="pct"/>
            <w:vAlign w:val="center"/>
          </w:tcPr>
          <w:p w14:paraId="67E322F2">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介质压力</w:t>
            </w:r>
          </w:p>
        </w:tc>
        <w:tc>
          <w:tcPr>
            <w:tcW w:w="586" w:type="pct"/>
            <w:vAlign w:val="center"/>
          </w:tcPr>
          <w:p w14:paraId="1A152BD1">
            <w:pPr>
              <w:spacing w:beforeLines="0" w:line="240" w:lineRule="auto"/>
              <w:ind w:left="0" w:leftChars="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 xml:space="preserve">  </w:t>
            </w:r>
            <w:r>
              <w:rPr>
                <w:rFonts w:asciiTheme="minorEastAsia" w:hAnsiTheme="minorEastAsia" w:eastAsiaTheme="minorEastAsia"/>
                <w:bCs/>
                <w:color w:val="auto"/>
                <w:sz w:val="21"/>
                <w:szCs w:val="21"/>
              </w:rPr>
              <w:t>MPa</w:t>
            </w:r>
            <w:r>
              <w:rPr>
                <w:rFonts w:hint="eastAsia" w:asciiTheme="minorEastAsia" w:hAnsiTheme="minorEastAsia" w:eastAsiaTheme="minorEastAsia"/>
                <w:bCs/>
                <w:color w:val="auto"/>
                <w:sz w:val="21"/>
                <w:szCs w:val="21"/>
              </w:rPr>
              <w:t>(a)</w:t>
            </w:r>
          </w:p>
        </w:tc>
        <w:tc>
          <w:tcPr>
            <w:tcW w:w="1243" w:type="pct"/>
            <w:vAlign w:val="center"/>
          </w:tcPr>
          <w:p w14:paraId="6074A57B">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运行压力9.81 MPa</w:t>
            </w:r>
          </w:p>
        </w:tc>
        <w:tc>
          <w:tcPr>
            <w:tcW w:w="918" w:type="pct"/>
          </w:tcPr>
          <w:p w14:paraId="601BE9A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vAlign w:val="center"/>
          </w:tcPr>
          <w:p w14:paraId="78DC97F0">
            <w:pPr>
              <w:spacing w:beforeLines="0" w:line="240" w:lineRule="auto"/>
              <w:ind w:left="0" w:leftChars="0" w:firstLine="0" w:firstLineChars="0"/>
              <w:rPr>
                <w:rFonts w:asciiTheme="minorEastAsia" w:hAnsiTheme="minorEastAsia" w:eastAsiaTheme="minorEastAsia"/>
                <w:bCs/>
                <w:color w:val="auto"/>
                <w:sz w:val="21"/>
                <w:szCs w:val="21"/>
              </w:rPr>
            </w:pPr>
          </w:p>
        </w:tc>
      </w:tr>
      <w:tr w14:paraId="5C34C5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55D8BFA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9</w:t>
            </w:r>
          </w:p>
        </w:tc>
        <w:tc>
          <w:tcPr>
            <w:tcW w:w="1009" w:type="pct"/>
            <w:vAlign w:val="center"/>
          </w:tcPr>
          <w:p w14:paraId="05BA1B35">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阀体材料</w:t>
            </w:r>
          </w:p>
        </w:tc>
        <w:tc>
          <w:tcPr>
            <w:tcW w:w="586" w:type="pct"/>
            <w:vAlign w:val="center"/>
          </w:tcPr>
          <w:p w14:paraId="404A342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0871AD1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A217-WC9</w:t>
            </w:r>
          </w:p>
        </w:tc>
        <w:tc>
          <w:tcPr>
            <w:tcW w:w="918" w:type="pct"/>
            <w:vAlign w:val="center"/>
          </w:tcPr>
          <w:p w14:paraId="58046A9A">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64112D94">
            <w:pPr>
              <w:spacing w:beforeLines="0" w:line="240" w:lineRule="auto"/>
              <w:ind w:left="0" w:leftChars="0" w:firstLine="0" w:firstLineChars="0"/>
              <w:rPr>
                <w:rFonts w:asciiTheme="minorEastAsia" w:hAnsiTheme="minorEastAsia" w:eastAsiaTheme="minorEastAsia"/>
                <w:bCs/>
                <w:color w:val="auto"/>
                <w:sz w:val="21"/>
                <w:szCs w:val="21"/>
              </w:rPr>
            </w:pPr>
          </w:p>
        </w:tc>
      </w:tr>
      <w:tr w14:paraId="72A393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2BDCC61F">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10</w:t>
            </w:r>
          </w:p>
        </w:tc>
        <w:tc>
          <w:tcPr>
            <w:tcW w:w="1009" w:type="pct"/>
            <w:vAlign w:val="center"/>
          </w:tcPr>
          <w:p w14:paraId="11FDEC39">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阀盖</w:t>
            </w:r>
            <w:r>
              <w:rPr>
                <w:rFonts w:hint="eastAsia" w:asciiTheme="minorEastAsia" w:hAnsiTheme="minorEastAsia" w:eastAsiaTheme="minorEastAsia"/>
                <w:bCs/>
                <w:color w:val="auto"/>
                <w:sz w:val="21"/>
                <w:szCs w:val="21"/>
              </w:rPr>
              <w:t>材料</w:t>
            </w:r>
          </w:p>
        </w:tc>
        <w:tc>
          <w:tcPr>
            <w:tcW w:w="586" w:type="pct"/>
          </w:tcPr>
          <w:p w14:paraId="5D571862">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2A944462">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A217-WC9</w:t>
            </w:r>
          </w:p>
        </w:tc>
        <w:tc>
          <w:tcPr>
            <w:tcW w:w="918" w:type="pct"/>
          </w:tcPr>
          <w:p w14:paraId="62B44A0A">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5D94735B">
            <w:pPr>
              <w:spacing w:beforeLines="0" w:line="240" w:lineRule="auto"/>
              <w:ind w:left="0" w:leftChars="0" w:firstLine="0" w:firstLineChars="0"/>
              <w:rPr>
                <w:rFonts w:asciiTheme="minorEastAsia" w:hAnsiTheme="minorEastAsia" w:eastAsiaTheme="minorEastAsia"/>
                <w:bCs/>
                <w:color w:val="auto"/>
                <w:sz w:val="21"/>
                <w:szCs w:val="21"/>
              </w:rPr>
            </w:pPr>
          </w:p>
        </w:tc>
      </w:tr>
      <w:tr w14:paraId="0B3BB0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7E1FEFE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11</w:t>
            </w:r>
          </w:p>
        </w:tc>
        <w:tc>
          <w:tcPr>
            <w:tcW w:w="1009" w:type="pct"/>
            <w:vAlign w:val="center"/>
          </w:tcPr>
          <w:p w14:paraId="734FFD1B">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阀板</w:t>
            </w:r>
            <w:r>
              <w:rPr>
                <w:rFonts w:hint="eastAsia" w:asciiTheme="minorEastAsia" w:hAnsiTheme="minorEastAsia" w:eastAsiaTheme="minorEastAsia"/>
                <w:bCs/>
                <w:color w:val="auto"/>
                <w:sz w:val="21"/>
                <w:szCs w:val="21"/>
              </w:rPr>
              <w:t>材料</w:t>
            </w:r>
          </w:p>
        </w:tc>
        <w:tc>
          <w:tcPr>
            <w:tcW w:w="586" w:type="pct"/>
          </w:tcPr>
          <w:p w14:paraId="2A4F6AFE">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4FDF5113">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WC9+司太利合金6</w:t>
            </w:r>
          </w:p>
        </w:tc>
        <w:tc>
          <w:tcPr>
            <w:tcW w:w="918" w:type="pct"/>
          </w:tcPr>
          <w:p w14:paraId="02123EDA">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39E4704D">
            <w:pPr>
              <w:spacing w:beforeLines="0" w:line="240" w:lineRule="auto"/>
              <w:ind w:left="0" w:leftChars="0" w:firstLine="0" w:firstLineChars="0"/>
              <w:rPr>
                <w:rFonts w:asciiTheme="minorEastAsia" w:hAnsiTheme="minorEastAsia" w:eastAsiaTheme="minorEastAsia"/>
                <w:bCs/>
                <w:color w:val="auto"/>
                <w:sz w:val="21"/>
                <w:szCs w:val="21"/>
              </w:rPr>
            </w:pPr>
          </w:p>
        </w:tc>
      </w:tr>
      <w:tr w14:paraId="3AA6D6C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5981C9E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12</w:t>
            </w:r>
          </w:p>
        </w:tc>
        <w:tc>
          <w:tcPr>
            <w:tcW w:w="1009" w:type="pct"/>
            <w:vAlign w:val="center"/>
          </w:tcPr>
          <w:p w14:paraId="17FD7ADC">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阀板硬度</w:t>
            </w:r>
          </w:p>
        </w:tc>
        <w:tc>
          <w:tcPr>
            <w:tcW w:w="586" w:type="pct"/>
          </w:tcPr>
          <w:p w14:paraId="51B39FA2">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H</w:t>
            </w:r>
            <w:r>
              <w:rPr>
                <w:rFonts w:asciiTheme="minorEastAsia" w:hAnsiTheme="minorEastAsia" w:eastAsiaTheme="minorEastAsia"/>
                <w:bCs/>
                <w:color w:val="auto"/>
                <w:sz w:val="21"/>
                <w:szCs w:val="21"/>
              </w:rPr>
              <w:t>RC</w:t>
            </w:r>
          </w:p>
        </w:tc>
        <w:tc>
          <w:tcPr>
            <w:tcW w:w="1243" w:type="pct"/>
          </w:tcPr>
          <w:p w14:paraId="239496EA">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tcPr>
          <w:p w14:paraId="74BCDA66">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6A7BFA16">
            <w:pPr>
              <w:spacing w:beforeLines="0" w:line="240" w:lineRule="auto"/>
              <w:ind w:left="0" w:leftChars="0" w:firstLine="0" w:firstLineChars="0"/>
              <w:rPr>
                <w:rFonts w:asciiTheme="minorEastAsia" w:hAnsiTheme="minorEastAsia" w:eastAsiaTheme="minorEastAsia"/>
                <w:bCs/>
                <w:color w:val="auto"/>
                <w:sz w:val="21"/>
                <w:szCs w:val="21"/>
              </w:rPr>
            </w:pPr>
          </w:p>
        </w:tc>
      </w:tr>
      <w:tr w14:paraId="2842A7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57E19E7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13</w:t>
            </w:r>
          </w:p>
        </w:tc>
        <w:tc>
          <w:tcPr>
            <w:tcW w:w="1009" w:type="pct"/>
            <w:vAlign w:val="center"/>
          </w:tcPr>
          <w:p w14:paraId="1DC84190">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阀杆</w:t>
            </w:r>
            <w:r>
              <w:rPr>
                <w:rFonts w:hint="eastAsia" w:asciiTheme="minorEastAsia" w:hAnsiTheme="minorEastAsia" w:eastAsiaTheme="minorEastAsia"/>
                <w:bCs/>
                <w:color w:val="auto"/>
                <w:sz w:val="21"/>
                <w:szCs w:val="21"/>
              </w:rPr>
              <w:t>材料</w:t>
            </w:r>
          </w:p>
        </w:tc>
        <w:tc>
          <w:tcPr>
            <w:tcW w:w="586" w:type="pct"/>
          </w:tcPr>
          <w:p w14:paraId="770AF2FC">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7DBC5C0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不得低于</w:t>
            </w:r>
            <w:r>
              <w:rPr>
                <w:rFonts w:hint="eastAsia" w:asciiTheme="minorEastAsia" w:hAnsiTheme="minorEastAsia" w:eastAsiaTheme="minorEastAsia"/>
                <w:bCs/>
                <w:color w:val="auto"/>
                <w:sz w:val="21"/>
                <w:szCs w:val="21"/>
              </w:rPr>
              <w:t>A479-410-2</w:t>
            </w:r>
          </w:p>
        </w:tc>
        <w:tc>
          <w:tcPr>
            <w:tcW w:w="918" w:type="pct"/>
          </w:tcPr>
          <w:p w14:paraId="05F3D2C1">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31C0A47E">
            <w:pPr>
              <w:spacing w:beforeLines="0" w:line="240" w:lineRule="auto"/>
              <w:ind w:left="0" w:leftChars="0" w:firstLine="0" w:firstLineChars="0"/>
              <w:rPr>
                <w:rFonts w:asciiTheme="minorEastAsia" w:hAnsiTheme="minorEastAsia" w:eastAsiaTheme="minorEastAsia"/>
                <w:bCs/>
                <w:color w:val="auto"/>
                <w:sz w:val="21"/>
                <w:szCs w:val="21"/>
              </w:rPr>
            </w:pPr>
          </w:p>
        </w:tc>
      </w:tr>
      <w:tr w14:paraId="48CB4D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6AEA0E0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14</w:t>
            </w:r>
          </w:p>
        </w:tc>
        <w:tc>
          <w:tcPr>
            <w:tcW w:w="1009" w:type="pct"/>
            <w:vAlign w:val="center"/>
          </w:tcPr>
          <w:p w14:paraId="1737A571">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阀座</w:t>
            </w:r>
            <w:r>
              <w:rPr>
                <w:rFonts w:hint="eastAsia" w:asciiTheme="minorEastAsia" w:hAnsiTheme="minorEastAsia" w:eastAsiaTheme="minorEastAsia"/>
                <w:bCs/>
                <w:color w:val="auto"/>
                <w:sz w:val="21"/>
                <w:szCs w:val="21"/>
              </w:rPr>
              <w:t>材料</w:t>
            </w:r>
          </w:p>
        </w:tc>
        <w:tc>
          <w:tcPr>
            <w:tcW w:w="586" w:type="pct"/>
          </w:tcPr>
          <w:p w14:paraId="1F14425E">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258E93B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F22+司太利合金6</w:t>
            </w:r>
          </w:p>
        </w:tc>
        <w:tc>
          <w:tcPr>
            <w:tcW w:w="918" w:type="pct"/>
          </w:tcPr>
          <w:p w14:paraId="471980EC">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557B4F4C">
            <w:pPr>
              <w:spacing w:beforeLines="0" w:line="240" w:lineRule="auto"/>
              <w:ind w:left="0" w:leftChars="0" w:firstLine="0" w:firstLineChars="0"/>
              <w:rPr>
                <w:rFonts w:asciiTheme="minorEastAsia" w:hAnsiTheme="minorEastAsia" w:eastAsiaTheme="minorEastAsia"/>
                <w:bCs/>
                <w:color w:val="auto"/>
                <w:sz w:val="21"/>
                <w:szCs w:val="21"/>
              </w:rPr>
            </w:pPr>
          </w:p>
        </w:tc>
      </w:tr>
      <w:tr w14:paraId="7771F7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074DD44C">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15</w:t>
            </w:r>
          </w:p>
        </w:tc>
        <w:tc>
          <w:tcPr>
            <w:tcW w:w="1009" w:type="pct"/>
            <w:vAlign w:val="center"/>
          </w:tcPr>
          <w:p w14:paraId="670F8CCD">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阀座硬度</w:t>
            </w:r>
          </w:p>
        </w:tc>
        <w:tc>
          <w:tcPr>
            <w:tcW w:w="586" w:type="pct"/>
          </w:tcPr>
          <w:p w14:paraId="1CA4F9A6">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H</w:t>
            </w:r>
            <w:r>
              <w:rPr>
                <w:rFonts w:asciiTheme="minorEastAsia" w:hAnsiTheme="minorEastAsia" w:eastAsiaTheme="minorEastAsia"/>
                <w:bCs/>
                <w:color w:val="auto"/>
                <w:sz w:val="21"/>
                <w:szCs w:val="21"/>
              </w:rPr>
              <w:t>RC</w:t>
            </w:r>
          </w:p>
        </w:tc>
        <w:tc>
          <w:tcPr>
            <w:tcW w:w="1243" w:type="pct"/>
          </w:tcPr>
          <w:p w14:paraId="5C1300A3">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tcPr>
          <w:p w14:paraId="4C54852B">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0FF9FAB5">
            <w:pPr>
              <w:spacing w:beforeLines="0" w:line="240" w:lineRule="auto"/>
              <w:ind w:left="0" w:leftChars="0" w:firstLine="0" w:firstLineChars="0"/>
              <w:rPr>
                <w:rFonts w:asciiTheme="minorEastAsia" w:hAnsiTheme="minorEastAsia" w:eastAsiaTheme="minorEastAsia"/>
                <w:bCs/>
                <w:color w:val="auto"/>
                <w:sz w:val="21"/>
                <w:szCs w:val="21"/>
              </w:rPr>
            </w:pPr>
          </w:p>
        </w:tc>
      </w:tr>
      <w:tr w14:paraId="05247D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1B1A070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16</w:t>
            </w:r>
          </w:p>
        </w:tc>
        <w:tc>
          <w:tcPr>
            <w:tcW w:w="1009" w:type="pct"/>
            <w:vAlign w:val="center"/>
          </w:tcPr>
          <w:p w14:paraId="55C05B94">
            <w:pPr>
              <w:spacing w:beforeLines="0" w:line="240" w:lineRule="auto"/>
              <w:ind w:left="174" w:leftChars="0" w:hanging="174" w:hangingChars="83"/>
              <w:jc w:val="center"/>
              <w:rPr>
                <w:rFonts w:cs="Arial" w:asciiTheme="minorEastAsia" w:hAnsiTheme="minorEastAsia" w:eastAsiaTheme="minorEastAsia"/>
                <w:bCs/>
                <w:color w:val="auto"/>
                <w:sz w:val="21"/>
                <w:szCs w:val="21"/>
              </w:rPr>
            </w:pPr>
            <w:r>
              <w:rPr>
                <w:rFonts w:hint="eastAsia" w:cs="Arial" w:asciiTheme="minorEastAsia" w:hAnsiTheme="minorEastAsia" w:eastAsiaTheme="minorEastAsia"/>
                <w:bCs/>
                <w:color w:val="auto"/>
                <w:sz w:val="21"/>
                <w:szCs w:val="21"/>
              </w:rPr>
              <w:t>盘根</w:t>
            </w:r>
            <w:r>
              <w:rPr>
                <w:rFonts w:hint="eastAsia" w:asciiTheme="minorEastAsia" w:hAnsiTheme="minorEastAsia" w:eastAsiaTheme="minorEastAsia"/>
                <w:bCs/>
                <w:color w:val="auto"/>
                <w:sz w:val="21"/>
                <w:szCs w:val="21"/>
              </w:rPr>
              <w:t>材料</w:t>
            </w:r>
          </w:p>
        </w:tc>
        <w:tc>
          <w:tcPr>
            <w:tcW w:w="586" w:type="pct"/>
          </w:tcPr>
          <w:p w14:paraId="36F75954">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55B1520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规格尺寸</w:t>
            </w:r>
          </w:p>
        </w:tc>
        <w:tc>
          <w:tcPr>
            <w:tcW w:w="918" w:type="pct"/>
            <w:vAlign w:val="center"/>
          </w:tcPr>
          <w:p w14:paraId="00E17860">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7F1638A7">
            <w:pPr>
              <w:spacing w:beforeLines="0" w:line="240" w:lineRule="auto"/>
              <w:ind w:left="0" w:leftChars="0" w:firstLine="0" w:firstLineChars="0"/>
              <w:rPr>
                <w:rFonts w:asciiTheme="minorEastAsia" w:hAnsiTheme="minorEastAsia" w:eastAsiaTheme="minorEastAsia"/>
                <w:bCs/>
                <w:color w:val="auto"/>
                <w:sz w:val="21"/>
                <w:szCs w:val="21"/>
              </w:rPr>
            </w:pPr>
          </w:p>
        </w:tc>
      </w:tr>
      <w:tr w14:paraId="6C160B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14890354">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17</w:t>
            </w:r>
          </w:p>
        </w:tc>
        <w:tc>
          <w:tcPr>
            <w:tcW w:w="1009" w:type="pct"/>
            <w:vAlign w:val="center"/>
          </w:tcPr>
          <w:p w14:paraId="2F98DA1C">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自密封填料材料</w:t>
            </w:r>
          </w:p>
        </w:tc>
        <w:tc>
          <w:tcPr>
            <w:tcW w:w="586" w:type="pct"/>
          </w:tcPr>
          <w:p w14:paraId="1F4ED9FB">
            <w:pPr>
              <w:spacing w:beforeLines="0" w:line="240" w:lineRule="auto"/>
              <w:ind w:left="174" w:leftChars="0" w:hanging="174" w:hangingChars="83"/>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tcPr>
          <w:p w14:paraId="7CAB5E2B">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规格尺寸</w:t>
            </w:r>
          </w:p>
        </w:tc>
        <w:tc>
          <w:tcPr>
            <w:tcW w:w="918" w:type="pct"/>
            <w:vAlign w:val="center"/>
          </w:tcPr>
          <w:p w14:paraId="07D035D7">
            <w:pPr>
              <w:spacing w:beforeLines="0" w:line="240" w:lineRule="auto"/>
              <w:ind w:left="420" w:leftChars="0" w:hanging="420"/>
              <w:jc w:val="center"/>
              <w:rPr>
                <w:rFonts w:asciiTheme="minorEastAsia" w:hAnsiTheme="minorEastAsia" w:eastAsiaTheme="minorEastAsia"/>
                <w:bCs/>
                <w:color w:val="auto"/>
                <w:sz w:val="21"/>
                <w:szCs w:val="21"/>
              </w:rPr>
            </w:pPr>
          </w:p>
        </w:tc>
        <w:tc>
          <w:tcPr>
            <w:tcW w:w="908" w:type="pct"/>
          </w:tcPr>
          <w:p w14:paraId="0D0E14D6">
            <w:pPr>
              <w:spacing w:beforeLines="0" w:line="240" w:lineRule="auto"/>
              <w:ind w:left="0" w:leftChars="0" w:firstLine="0" w:firstLineChars="0"/>
              <w:rPr>
                <w:rFonts w:asciiTheme="minorEastAsia" w:hAnsiTheme="minorEastAsia" w:eastAsiaTheme="minorEastAsia"/>
                <w:bCs/>
                <w:color w:val="auto"/>
                <w:sz w:val="21"/>
                <w:szCs w:val="21"/>
              </w:rPr>
            </w:pPr>
          </w:p>
        </w:tc>
      </w:tr>
      <w:tr w14:paraId="6AAB10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529CF5DF">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18</w:t>
            </w:r>
          </w:p>
        </w:tc>
        <w:tc>
          <w:tcPr>
            <w:tcW w:w="1009" w:type="pct"/>
            <w:vAlign w:val="center"/>
          </w:tcPr>
          <w:p w14:paraId="7F8CCB44">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连接管道尺寸</w:t>
            </w:r>
          </w:p>
        </w:tc>
        <w:tc>
          <w:tcPr>
            <w:tcW w:w="586" w:type="pct"/>
            <w:vAlign w:val="center"/>
          </w:tcPr>
          <w:p w14:paraId="23419F5B">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mm</w:t>
            </w:r>
          </w:p>
        </w:tc>
        <w:tc>
          <w:tcPr>
            <w:tcW w:w="1243" w:type="pct"/>
            <w:vAlign w:val="center"/>
          </w:tcPr>
          <w:p w14:paraId="6AAE93C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φ426×36</w:t>
            </w:r>
          </w:p>
        </w:tc>
        <w:tc>
          <w:tcPr>
            <w:tcW w:w="918" w:type="pct"/>
            <w:vAlign w:val="center"/>
          </w:tcPr>
          <w:p w14:paraId="45A6CFA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075EFB98">
            <w:pPr>
              <w:spacing w:beforeLines="0" w:line="240" w:lineRule="auto"/>
              <w:ind w:left="0" w:leftChars="0" w:firstLine="0" w:firstLineChars="0"/>
              <w:rPr>
                <w:rFonts w:asciiTheme="minorEastAsia" w:hAnsiTheme="minorEastAsia" w:eastAsiaTheme="minorEastAsia"/>
                <w:bCs/>
                <w:color w:val="auto"/>
                <w:sz w:val="21"/>
                <w:szCs w:val="21"/>
              </w:rPr>
            </w:pPr>
          </w:p>
        </w:tc>
      </w:tr>
      <w:tr w14:paraId="081646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40B5D97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19</w:t>
            </w:r>
          </w:p>
        </w:tc>
        <w:tc>
          <w:tcPr>
            <w:tcW w:w="1009" w:type="pct"/>
            <w:vAlign w:val="center"/>
          </w:tcPr>
          <w:p w14:paraId="0B0006B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连接管道材质</w:t>
            </w:r>
          </w:p>
        </w:tc>
        <w:tc>
          <w:tcPr>
            <w:tcW w:w="586" w:type="pct"/>
            <w:vAlign w:val="center"/>
          </w:tcPr>
          <w:p w14:paraId="652FCF0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17180FE1">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12Cr1MoVG</w:t>
            </w:r>
          </w:p>
        </w:tc>
        <w:tc>
          <w:tcPr>
            <w:tcW w:w="918" w:type="pct"/>
            <w:vAlign w:val="center"/>
          </w:tcPr>
          <w:p w14:paraId="37C380CC">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2702DBB0">
            <w:pPr>
              <w:spacing w:beforeLines="0" w:line="240" w:lineRule="auto"/>
              <w:ind w:left="0" w:leftChars="0" w:firstLine="0" w:firstLineChars="0"/>
              <w:rPr>
                <w:rFonts w:asciiTheme="minorEastAsia" w:hAnsiTheme="minorEastAsia" w:eastAsiaTheme="minorEastAsia"/>
                <w:bCs/>
                <w:color w:val="auto"/>
                <w:sz w:val="21"/>
                <w:szCs w:val="21"/>
              </w:rPr>
            </w:pPr>
          </w:p>
        </w:tc>
      </w:tr>
      <w:tr w14:paraId="6ED612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314" w:hRule="atLeast"/>
        </w:trPr>
        <w:tc>
          <w:tcPr>
            <w:tcW w:w="336" w:type="pct"/>
            <w:vAlign w:val="center"/>
          </w:tcPr>
          <w:p w14:paraId="31C7272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20</w:t>
            </w:r>
          </w:p>
        </w:tc>
        <w:tc>
          <w:tcPr>
            <w:tcW w:w="1009" w:type="pct"/>
            <w:vAlign w:val="center"/>
          </w:tcPr>
          <w:p w14:paraId="3729BCD6">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设计流量</w:t>
            </w:r>
          </w:p>
          <w:p w14:paraId="7E24325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（最大、最小）</w:t>
            </w:r>
          </w:p>
        </w:tc>
        <w:tc>
          <w:tcPr>
            <w:tcW w:w="586" w:type="pct"/>
            <w:vAlign w:val="center"/>
          </w:tcPr>
          <w:p w14:paraId="29FCD2E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t/h</w:t>
            </w:r>
          </w:p>
        </w:tc>
        <w:tc>
          <w:tcPr>
            <w:tcW w:w="1243" w:type="pct"/>
            <w:vAlign w:val="center"/>
          </w:tcPr>
          <w:p w14:paraId="6E89EC91">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18" w:type="pct"/>
            <w:vAlign w:val="center"/>
          </w:tcPr>
          <w:p w14:paraId="55E133DC">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4EBA9AD7">
            <w:pPr>
              <w:spacing w:beforeLines="0" w:line="240" w:lineRule="auto"/>
              <w:ind w:left="0" w:leftChars="0" w:firstLine="0" w:firstLineChars="0"/>
              <w:rPr>
                <w:rFonts w:asciiTheme="minorEastAsia" w:hAnsiTheme="minorEastAsia" w:eastAsiaTheme="minorEastAsia"/>
                <w:bCs/>
                <w:color w:val="auto"/>
                <w:sz w:val="21"/>
                <w:szCs w:val="21"/>
              </w:rPr>
            </w:pPr>
          </w:p>
        </w:tc>
      </w:tr>
      <w:tr w14:paraId="28257B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0F56385A">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21</w:t>
            </w:r>
          </w:p>
        </w:tc>
        <w:tc>
          <w:tcPr>
            <w:tcW w:w="1009" w:type="pct"/>
            <w:vAlign w:val="center"/>
          </w:tcPr>
          <w:p w14:paraId="217866B9">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安装方式</w:t>
            </w:r>
          </w:p>
        </w:tc>
        <w:tc>
          <w:tcPr>
            <w:tcW w:w="586" w:type="pct"/>
            <w:vAlign w:val="center"/>
          </w:tcPr>
          <w:p w14:paraId="7F26B536">
            <w:pPr>
              <w:spacing w:beforeLines="0" w:line="240" w:lineRule="auto"/>
              <w:ind w:left="0" w:leftChars="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7F859718">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垂直</w:t>
            </w:r>
          </w:p>
        </w:tc>
        <w:tc>
          <w:tcPr>
            <w:tcW w:w="918" w:type="pct"/>
            <w:vAlign w:val="center"/>
          </w:tcPr>
          <w:p w14:paraId="59E16890">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7FFC1945">
            <w:pPr>
              <w:spacing w:beforeLines="0" w:line="240" w:lineRule="auto"/>
              <w:ind w:left="0" w:leftChars="0" w:firstLine="0" w:firstLineChars="0"/>
              <w:rPr>
                <w:rFonts w:asciiTheme="minorEastAsia" w:hAnsiTheme="minorEastAsia" w:eastAsiaTheme="minorEastAsia"/>
                <w:bCs/>
                <w:color w:val="auto"/>
                <w:sz w:val="21"/>
                <w:szCs w:val="21"/>
              </w:rPr>
            </w:pPr>
          </w:p>
        </w:tc>
      </w:tr>
      <w:tr w14:paraId="6C4CD9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0AEA39F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22</w:t>
            </w:r>
          </w:p>
        </w:tc>
        <w:tc>
          <w:tcPr>
            <w:tcW w:w="1009" w:type="pct"/>
            <w:vAlign w:val="center"/>
          </w:tcPr>
          <w:p w14:paraId="305CD4FC">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介质类型</w:t>
            </w:r>
          </w:p>
        </w:tc>
        <w:tc>
          <w:tcPr>
            <w:tcW w:w="586" w:type="pct"/>
            <w:vAlign w:val="center"/>
          </w:tcPr>
          <w:p w14:paraId="7C0BDDB7">
            <w:pPr>
              <w:spacing w:beforeLines="0" w:line="240" w:lineRule="auto"/>
              <w:ind w:left="0" w:leftChars="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296CEC83">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高温高压蒸汽</w:t>
            </w:r>
          </w:p>
        </w:tc>
        <w:tc>
          <w:tcPr>
            <w:tcW w:w="918" w:type="pct"/>
            <w:vAlign w:val="center"/>
          </w:tcPr>
          <w:p w14:paraId="3C546737">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5CC57795">
            <w:pPr>
              <w:spacing w:beforeLines="0" w:line="240" w:lineRule="auto"/>
              <w:ind w:left="0" w:leftChars="0" w:firstLine="0" w:firstLineChars="0"/>
              <w:rPr>
                <w:rFonts w:asciiTheme="minorEastAsia" w:hAnsiTheme="minorEastAsia" w:eastAsiaTheme="minorEastAsia"/>
                <w:bCs/>
                <w:color w:val="auto"/>
                <w:sz w:val="21"/>
                <w:szCs w:val="21"/>
              </w:rPr>
            </w:pPr>
          </w:p>
        </w:tc>
      </w:tr>
      <w:tr w14:paraId="6179D2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59284A52">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23</w:t>
            </w:r>
          </w:p>
        </w:tc>
        <w:tc>
          <w:tcPr>
            <w:tcW w:w="1009" w:type="pct"/>
            <w:vAlign w:val="center"/>
          </w:tcPr>
          <w:p w14:paraId="74BB58AE">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连接方式</w:t>
            </w:r>
          </w:p>
        </w:tc>
        <w:tc>
          <w:tcPr>
            <w:tcW w:w="586" w:type="pct"/>
            <w:vAlign w:val="center"/>
          </w:tcPr>
          <w:p w14:paraId="29D971CA">
            <w:pPr>
              <w:spacing w:beforeLines="0" w:line="240" w:lineRule="auto"/>
              <w:ind w:left="0" w:leftChars="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0EBDB3FB">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焊接</w:t>
            </w:r>
          </w:p>
        </w:tc>
        <w:tc>
          <w:tcPr>
            <w:tcW w:w="918" w:type="pct"/>
            <w:vAlign w:val="center"/>
          </w:tcPr>
          <w:p w14:paraId="0B17F9AA">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7F4A4925">
            <w:pPr>
              <w:spacing w:beforeLines="0" w:line="240" w:lineRule="auto"/>
              <w:ind w:left="0" w:leftChars="0" w:firstLine="0" w:firstLineChars="0"/>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双Ｖ 坡口</w:t>
            </w:r>
          </w:p>
        </w:tc>
      </w:tr>
      <w:tr w14:paraId="0B3C53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273D85A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24</w:t>
            </w:r>
          </w:p>
        </w:tc>
        <w:tc>
          <w:tcPr>
            <w:tcW w:w="1009" w:type="pct"/>
            <w:vAlign w:val="center"/>
          </w:tcPr>
          <w:p w14:paraId="018318FC">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制造方式</w:t>
            </w:r>
          </w:p>
        </w:tc>
        <w:tc>
          <w:tcPr>
            <w:tcW w:w="586" w:type="pct"/>
            <w:vAlign w:val="center"/>
          </w:tcPr>
          <w:p w14:paraId="5EA3C18C">
            <w:pPr>
              <w:spacing w:beforeLines="0" w:line="240" w:lineRule="auto"/>
              <w:ind w:left="0" w:leftChars="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715290DE">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整体锻造</w:t>
            </w:r>
          </w:p>
        </w:tc>
        <w:tc>
          <w:tcPr>
            <w:tcW w:w="918" w:type="pct"/>
            <w:vAlign w:val="center"/>
          </w:tcPr>
          <w:p w14:paraId="78C8C83A">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4CFAD363">
            <w:pPr>
              <w:spacing w:beforeLines="0" w:line="240" w:lineRule="auto"/>
              <w:ind w:left="0" w:leftChars="0" w:firstLine="0" w:firstLineChars="0"/>
              <w:rPr>
                <w:rFonts w:asciiTheme="minorEastAsia" w:hAnsiTheme="minorEastAsia" w:eastAsiaTheme="minorEastAsia"/>
                <w:bCs/>
                <w:color w:val="auto"/>
                <w:sz w:val="21"/>
                <w:szCs w:val="21"/>
              </w:rPr>
            </w:pPr>
          </w:p>
        </w:tc>
      </w:tr>
      <w:tr w14:paraId="003B44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vAlign w:val="center"/>
          </w:tcPr>
          <w:p w14:paraId="01C7D16E">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25</w:t>
            </w:r>
          </w:p>
        </w:tc>
        <w:tc>
          <w:tcPr>
            <w:tcW w:w="1009" w:type="pct"/>
            <w:vAlign w:val="center"/>
          </w:tcPr>
          <w:p w14:paraId="30C645B2">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泄漏等级</w:t>
            </w:r>
          </w:p>
        </w:tc>
        <w:tc>
          <w:tcPr>
            <w:tcW w:w="586" w:type="pct"/>
            <w:vAlign w:val="center"/>
          </w:tcPr>
          <w:p w14:paraId="174ECEA8">
            <w:pPr>
              <w:spacing w:beforeLines="0" w:line="240" w:lineRule="auto"/>
              <w:ind w:left="0" w:leftChars="0" w:firstLineChars="0"/>
              <w:jc w:val="center"/>
              <w:rPr>
                <w:rFonts w:asciiTheme="minorEastAsia" w:hAnsiTheme="minorEastAsia" w:eastAsiaTheme="minorEastAsia"/>
                <w:bCs/>
                <w:color w:val="auto"/>
                <w:sz w:val="21"/>
                <w:szCs w:val="21"/>
              </w:rPr>
            </w:pPr>
          </w:p>
        </w:tc>
        <w:tc>
          <w:tcPr>
            <w:tcW w:w="1243" w:type="pct"/>
            <w:vAlign w:val="center"/>
          </w:tcPr>
          <w:p w14:paraId="6EA03EED">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asciiTheme="minorEastAsia" w:hAnsiTheme="minorEastAsia" w:eastAsiaTheme="minorEastAsia"/>
                <w:bCs/>
                <w:color w:val="auto"/>
                <w:sz w:val="21"/>
                <w:szCs w:val="21"/>
              </w:rPr>
              <w:t>MSS-SP-61</w:t>
            </w:r>
            <w:r>
              <w:rPr>
                <w:rFonts w:hint="eastAsia" w:asciiTheme="minorEastAsia" w:hAnsiTheme="minorEastAsia" w:eastAsiaTheme="minorEastAsia"/>
                <w:bCs/>
                <w:color w:val="auto"/>
                <w:sz w:val="21"/>
                <w:szCs w:val="21"/>
              </w:rPr>
              <w:t>（零泄漏）</w:t>
            </w:r>
          </w:p>
        </w:tc>
        <w:tc>
          <w:tcPr>
            <w:tcW w:w="918" w:type="pct"/>
            <w:vAlign w:val="center"/>
          </w:tcPr>
          <w:p w14:paraId="2406D35B">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79868DB2">
            <w:pPr>
              <w:spacing w:beforeLines="0" w:line="240" w:lineRule="auto"/>
              <w:ind w:left="0" w:leftChars="0" w:firstLine="0" w:firstLineChars="0"/>
              <w:rPr>
                <w:rFonts w:asciiTheme="minorEastAsia" w:hAnsiTheme="minorEastAsia" w:eastAsiaTheme="minorEastAsia"/>
                <w:bCs/>
                <w:color w:val="auto"/>
                <w:sz w:val="21"/>
                <w:szCs w:val="21"/>
              </w:rPr>
            </w:pPr>
          </w:p>
        </w:tc>
      </w:tr>
      <w:tr w14:paraId="0C03D66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tcBorders>
              <w:right w:val="single" w:color="auto" w:sz="4" w:space="0"/>
            </w:tcBorders>
            <w:vAlign w:val="center"/>
          </w:tcPr>
          <w:p w14:paraId="43E4C197">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26</w:t>
            </w:r>
          </w:p>
        </w:tc>
        <w:tc>
          <w:tcPr>
            <w:tcW w:w="1009" w:type="pct"/>
            <w:tcBorders>
              <w:left w:val="single" w:color="auto" w:sz="4" w:space="0"/>
            </w:tcBorders>
            <w:vAlign w:val="center"/>
          </w:tcPr>
          <w:p w14:paraId="3D1044F3">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阀体总长</w:t>
            </w:r>
          </w:p>
        </w:tc>
        <w:tc>
          <w:tcPr>
            <w:tcW w:w="586" w:type="pct"/>
            <w:vAlign w:val="center"/>
          </w:tcPr>
          <w:p w14:paraId="3AE3E236">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mm</w:t>
            </w:r>
          </w:p>
        </w:tc>
        <w:tc>
          <w:tcPr>
            <w:tcW w:w="1243" w:type="pct"/>
            <w:vAlign w:val="center"/>
          </w:tcPr>
          <w:p w14:paraId="3D151580">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≥1350</w:t>
            </w:r>
          </w:p>
        </w:tc>
        <w:tc>
          <w:tcPr>
            <w:tcW w:w="918" w:type="pct"/>
            <w:vAlign w:val="center"/>
          </w:tcPr>
          <w:p w14:paraId="68E5E141">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145B6776">
            <w:pPr>
              <w:spacing w:beforeLines="0" w:line="240" w:lineRule="auto"/>
              <w:ind w:left="0" w:leftChars="0" w:firstLine="0" w:firstLineChars="0"/>
              <w:rPr>
                <w:rFonts w:asciiTheme="minorEastAsia" w:hAnsiTheme="minorEastAsia" w:eastAsiaTheme="minorEastAsia"/>
                <w:bCs/>
                <w:color w:val="auto"/>
                <w:sz w:val="21"/>
                <w:szCs w:val="21"/>
              </w:rPr>
            </w:pPr>
          </w:p>
        </w:tc>
      </w:tr>
      <w:tr w14:paraId="642CC3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tcBorders>
              <w:right w:val="single" w:color="auto" w:sz="4" w:space="0"/>
            </w:tcBorders>
            <w:vAlign w:val="center"/>
          </w:tcPr>
          <w:p w14:paraId="357A2216">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27</w:t>
            </w:r>
          </w:p>
        </w:tc>
        <w:tc>
          <w:tcPr>
            <w:tcW w:w="1009" w:type="pct"/>
            <w:tcBorders>
              <w:left w:val="single" w:color="auto" w:sz="4" w:space="0"/>
            </w:tcBorders>
            <w:vAlign w:val="center"/>
          </w:tcPr>
          <w:p w14:paraId="6D6AE59F">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执行机构形式</w:t>
            </w:r>
          </w:p>
        </w:tc>
        <w:tc>
          <w:tcPr>
            <w:tcW w:w="586" w:type="pct"/>
            <w:vAlign w:val="center"/>
          </w:tcPr>
          <w:p w14:paraId="593F8E2D">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w:t>
            </w:r>
          </w:p>
        </w:tc>
        <w:tc>
          <w:tcPr>
            <w:tcW w:w="1243" w:type="pct"/>
            <w:vAlign w:val="center"/>
          </w:tcPr>
          <w:p w14:paraId="1F8F7BB4">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电动</w:t>
            </w:r>
            <w:r>
              <w:rPr>
                <w:rFonts w:asciiTheme="minorEastAsia" w:hAnsiTheme="minorEastAsia" w:eastAsiaTheme="minorEastAsia"/>
                <w:bCs/>
                <w:color w:val="auto"/>
                <w:sz w:val="21"/>
                <w:szCs w:val="21"/>
              </w:rPr>
              <w:t>(带手轮)</w:t>
            </w:r>
          </w:p>
        </w:tc>
        <w:tc>
          <w:tcPr>
            <w:tcW w:w="918" w:type="pct"/>
            <w:vAlign w:val="center"/>
          </w:tcPr>
          <w:p w14:paraId="65DE7551">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Pr>
          <w:p w14:paraId="6D49BEB0">
            <w:pPr>
              <w:spacing w:beforeLines="0" w:line="240" w:lineRule="auto"/>
              <w:ind w:left="0" w:leftChars="0" w:firstLine="0" w:firstLineChars="0"/>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开关型（带中停）</w:t>
            </w:r>
          </w:p>
        </w:tc>
      </w:tr>
      <w:tr w14:paraId="57AD3E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5" w:hRule="atLeast"/>
        </w:trPr>
        <w:tc>
          <w:tcPr>
            <w:tcW w:w="336" w:type="pct"/>
            <w:tcBorders>
              <w:bottom w:val="single" w:color="auto" w:sz="4" w:space="0"/>
              <w:right w:val="single" w:color="auto" w:sz="4" w:space="0"/>
            </w:tcBorders>
            <w:vAlign w:val="center"/>
          </w:tcPr>
          <w:p w14:paraId="6FFC11B5">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28</w:t>
            </w:r>
          </w:p>
        </w:tc>
        <w:tc>
          <w:tcPr>
            <w:tcW w:w="1009" w:type="pct"/>
            <w:tcBorders>
              <w:left w:val="single" w:color="auto" w:sz="4" w:space="0"/>
              <w:bottom w:val="single" w:color="auto" w:sz="4" w:space="0"/>
            </w:tcBorders>
            <w:vAlign w:val="center"/>
          </w:tcPr>
          <w:p w14:paraId="164AAC0A">
            <w:pPr>
              <w:spacing w:beforeLines="0" w:line="240" w:lineRule="auto"/>
              <w:ind w:left="0" w:leftChars="0" w:firstLine="0" w:firstLineChars="0"/>
              <w:jc w:val="center"/>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执行机构品牌</w:t>
            </w:r>
          </w:p>
        </w:tc>
        <w:tc>
          <w:tcPr>
            <w:tcW w:w="586" w:type="pct"/>
            <w:tcBorders>
              <w:bottom w:val="single" w:color="auto" w:sz="4" w:space="0"/>
            </w:tcBorders>
            <w:vAlign w:val="center"/>
          </w:tcPr>
          <w:p w14:paraId="653E7F7C">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1243" w:type="pct"/>
            <w:tcBorders>
              <w:bottom w:val="single" w:color="auto" w:sz="4" w:space="0"/>
            </w:tcBorders>
            <w:vAlign w:val="center"/>
          </w:tcPr>
          <w:p w14:paraId="3E8F8C6D">
            <w:pPr>
              <w:spacing w:beforeLines="0" w:line="240" w:lineRule="auto"/>
              <w:ind w:left="0" w:leftChars="0" w:firstLine="0" w:firstLineChars="0"/>
              <w:jc w:val="center"/>
              <w:rPr>
                <w:rFonts w:asciiTheme="minorEastAsia" w:hAnsiTheme="minorEastAsia" w:eastAsiaTheme="minorEastAsia"/>
                <w:bCs/>
                <w:color w:val="auto"/>
                <w:sz w:val="21"/>
                <w:szCs w:val="21"/>
              </w:rPr>
            </w:pPr>
            <w:r>
              <w:rPr>
                <w:bCs/>
                <w:color w:val="auto"/>
                <w:sz w:val="21"/>
                <w:szCs w:val="21"/>
              </w:rPr>
              <w:t>ROTORK，AUMA,SIPOS</w:t>
            </w:r>
            <w:r>
              <w:rPr>
                <w:rFonts w:hint="eastAsia"/>
                <w:bCs/>
                <w:color w:val="auto"/>
                <w:sz w:val="21"/>
                <w:szCs w:val="21"/>
              </w:rPr>
              <w:t>或相当于</w:t>
            </w:r>
          </w:p>
        </w:tc>
        <w:tc>
          <w:tcPr>
            <w:tcW w:w="918" w:type="pct"/>
            <w:tcBorders>
              <w:bottom w:val="single" w:color="auto" w:sz="4" w:space="0"/>
            </w:tcBorders>
            <w:vAlign w:val="center"/>
          </w:tcPr>
          <w:p w14:paraId="1E3ED6DE">
            <w:pPr>
              <w:spacing w:beforeLines="0" w:line="240" w:lineRule="auto"/>
              <w:ind w:left="0" w:leftChars="0" w:firstLine="0" w:firstLineChars="0"/>
              <w:jc w:val="center"/>
              <w:rPr>
                <w:rFonts w:asciiTheme="minorEastAsia" w:hAnsiTheme="minorEastAsia" w:eastAsiaTheme="minorEastAsia"/>
                <w:bCs/>
                <w:color w:val="auto"/>
                <w:sz w:val="21"/>
                <w:szCs w:val="21"/>
              </w:rPr>
            </w:pPr>
          </w:p>
        </w:tc>
        <w:tc>
          <w:tcPr>
            <w:tcW w:w="908" w:type="pct"/>
            <w:tcBorders>
              <w:bottom w:val="single" w:color="auto" w:sz="4" w:space="0"/>
            </w:tcBorders>
          </w:tcPr>
          <w:p w14:paraId="55EB69E2">
            <w:pPr>
              <w:spacing w:beforeLines="0" w:line="240" w:lineRule="auto"/>
              <w:ind w:left="0" w:leftChars="0" w:firstLine="0" w:firstLineChars="0"/>
              <w:rPr>
                <w:rFonts w:asciiTheme="minorEastAsia" w:hAnsiTheme="minorEastAsia" w:eastAsiaTheme="minorEastAsia"/>
                <w:bCs/>
                <w:color w:val="auto"/>
                <w:sz w:val="21"/>
                <w:szCs w:val="21"/>
              </w:rPr>
            </w:pPr>
            <w:r>
              <w:rPr>
                <w:rFonts w:hint="eastAsia" w:asciiTheme="minorEastAsia" w:hAnsiTheme="minorEastAsia" w:eastAsiaTheme="minorEastAsia"/>
                <w:bCs/>
                <w:color w:val="auto"/>
                <w:sz w:val="21"/>
                <w:szCs w:val="21"/>
              </w:rPr>
              <w:t>配遥控器</w:t>
            </w:r>
          </w:p>
        </w:tc>
      </w:tr>
    </w:tbl>
    <w:p w14:paraId="4CF7F7EA">
      <w:pPr>
        <w:pStyle w:val="2"/>
        <w:rPr>
          <w:color w:val="auto"/>
        </w:rPr>
      </w:pPr>
      <w:bookmarkStart w:id="39" w:name="_Toc195428964"/>
      <w:bookmarkStart w:id="40" w:name="_Toc118724526"/>
      <w:r>
        <w:rPr>
          <w:color w:val="auto"/>
        </w:rPr>
        <w:br w:type="page"/>
      </w:r>
    </w:p>
    <w:p w14:paraId="6C7AA85F">
      <w:pPr>
        <w:pStyle w:val="2"/>
        <w:rPr>
          <w:color w:val="auto"/>
          <w:szCs w:val="20"/>
        </w:rPr>
      </w:pPr>
      <w:r>
        <w:rPr>
          <w:rFonts w:hint="eastAsia"/>
          <w:color w:val="auto"/>
        </w:rPr>
        <w:t>附件2、供货范围</w:t>
      </w:r>
      <w:bookmarkEnd w:id="39"/>
      <w:bookmarkEnd w:id="40"/>
    </w:p>
    <w:p w14:paraId="307D92B5">
      <w:pPr>
        <w:spacing w:beforeLines="0"/>
        <w:ind w:left="482" w:leftChars="0" w:hanging="482"/>
        <w:outlineLvl w:val="0"/>
        <w:rPr>
          <w:b/>
          <w:color w:val="auto"/>
        </w:rPr>
      </w:pPr>
      <w:bookmarkStart w:id="41" w:name="_Toc195428965"/>
      <w:r>
        <w:rPr>
          <w:b/>
          <w:color w:val="auto"/>
        </w:rPr>
        <w:t>1</w:t>
      </w:r>
      <w:r>
        <w:rPr>
          <w:rFonts w:hint="eastAsia"/>
          <w:b/>
          <w:color w:val="auto"/>
        </w:rPr>
        <w:t>、一般要求</w:t>
      </w:r>
      <w:bookmarkEnd w:id="41"/>
    </w:p>
    <w:p w14:paraId="6E2F3E56">
      <w:pPr>
        <w:spacing w:beforeLines="0"/>
        <w:ind w:left="0" w:leftChars="0" w:firstLine="0" w:firstLineChars="0"/>
        <w:rPr>
          <w:color w:val="auto"/>
        </w:rPr>
      </w:pPr>
      <w:r>
        <w:rPr>
          <w:rFonts w:hint="eastAsia"/>
          <w:color w:val="auto"/>
        </w:rPr>
        <w:t>1.1本附件规定了合同设备的供货范围。投标人保证提供设备为全新的、先进的、成熟的、完整的和安全可靠的，且设备的技术经济性能符合附件1的要求。</w:t>
      </w:r>
    </w:p>
    <w:p w14:paraId="007F5F35">
      <w:pPr>
        <w:spacing w:beforeLines="0"/>
        <w:ind w:left="0" w:leftChars="0" w:firstLine="0" w:firstLineChars="0"/>
        <w:rPr>
          <w:color w:val="auto"/>
        </w:rPr>
      </w:pPr>
      <w:r>
        <w:rPr>
          <w:rFonts w:hint="eastAsia"/>
          <w:color w:val="auto"/>
        </w:rPr>
        <w:t>1.2投标人应提供详细供货清单，清单中依次说明型号、数量、产地、生产厂家等内容。本附件未提及而在技术规范中明确的供货范围均为投标人的供货范围。对于属于整套设备运行和施工所必需的部件，即使本附件未列出和或数目不足，投标人仍须在执行合同时补足。</w:t>
      </w:r>
    </w:p>
    <w:p w14:paraId="65E1E128">
      <w:pPr>
        <w:spacing w:beforeLines="0"/>
        <w:ind w:left="0" w:leftChars="0" w:firstLine="0" w:firstLineChars="0"/>
        <w:rPr>
          <w:color w:val="auto"/>
        </w:rPr>
      </w:pPr>
      <w:r>
        <w:rPr>
          <w:rFonts w:hint="eastAsia"/>
          <w:color w:val="auto"/>
        </w:rPr>
        <w:t>1.3投标人应提供所有安装和检修所需专用工具和消耗材料等，并提供详细供货清单。</w:t>
      </w:r>
    </w:p>
    <w:p w14:paraId="0E4F55A6">
      <w:pPr>
        <w:spacing w:beforeLines="0"/>
        <w:ind w:left="0" w:leftChars="0" w:firstLine="0" w:firstLineChars="0"/>
        <w:rPr>
          <w:color w:val="auto"/>
        </w:rPr>
      </w:pPr>
      <w:r>
        <w:rPr>
          <w:rFonts w:hint="eastAsia"/>
          <w:color w:val="auto"/>
        </w:rPr>
        <w:t>1.4投标人提供随机备品备件(含安装及试运行备品备件)，并提供详细供货清单。</w:t>
      </w:r>
    </w:p>
    <w:p w14:paraId="626F3CE1">
      <w:pPr>
        <w:spacing w:beforeLines="0"/>
        <w:ind w:left="0" w:leftChars="0" w:firstLine="0" w:firstLineChars="0"/>
        <w:rPr>
          <w:color w:val="auto"/>
        </w:rPr>
      </w:pPr>
      <w:r>
        <w:rPr>
          <w:rFonts w:hint="eastAsia"/>
          <w:color w:val="auto"/>
        </w:rPr>
        <w:t>1.5投标人提供三年运行和第一次大修所需的备品备件，并在投标文件中给出具体清单。</w:t>
      </w:r>
    </w:p>
    <w:p w14:paraId="5144A41A">
      <w:pPr>
        <w:spacing w:beforeLines="0"/>
        <w:ind w:left="0" w:leftChars="0" w:firstLine="0" w:firstLineChars="0"/>
        <w:outlineLvl w:val="1"/>
        <w:rPr>
          <w:color w:val="auto"/>
        </w:rPr>
      </w:pPr>
      <w:r>
        <w:rPr>
          <w:rFonts w:hint="eastAsia"/>
          <w:color w:val="auto"/>
        </w:rPr>
        <w:t>1.6投标人提供所供设备中的进口件清单。</w:t>
      </w:r>
    </w:p>
    <w:p w14:paraId="6366C689">
      <w:pPr>
        <w:spacing w:beforeLines="0"/>
        <w:ind w:left="482" w:leftChars="0" w:hanging="482"/>
        <w:outlineLvl w:val="0"/>
        <w:rPr>
          <w:b/>
          <w:color w:val="auto"/>
        </w:rPr>
      </w:pPr>
      <w:bookmarkStart w:id="42" w:name="_Toc195428966"/>
      <w:r>
        <w:rPr>
          <w:b/>
          <w:color w:val="auto"/>
        </w:rPr>
        <w:t>2</w:t>
      </w:r>
      <w:r>
        <w:rPr>
          <w:rFonts w:hint="eastAsia"/>
          <w:b/>
          <w:color w:val="auto"/>
        </w:rPr>
        <w:t>、供货范围</w:t>
      </w:r>
      <w:bookmarkEnd w:id="42"/>
    </w:p>
    <w:p w14:paraId="495B16CD">
      <w:pPr>
        <w:spacing w:beforeLines="0"/>
        <w:ind w:left="0" w:leftChars="0" w:firstLine="480" w:firstLineChars="200"/>
        <w:rPr>
          <w:color w:val="auto"/>
        </w:rPr>
      </w:pPr>
      <w:r>
        <w:rPr>
          <w:rFonts w:hint="eastAsia"/>
          <w:color w:val="auto"/>
        </w:rPr>
        <w:t>投标人将确保供货范围完整，以能满足用户安装、运行要求为原则，若在安装、调试、运行中发现缺项(属投标人供货范围)由投标人补充。</w:t>
      </w:r>
    </w:p>
    <w:p w14:paraId="7778B836">
      <w:pPr>
        <w:spacing w:beforeLines="0"/>
        <w:ind w:left="0" w:leftChars="0" w:firstLine="0" w:firstLineChars="0"/>
        <w:rPr>
          <w:color w:val="auto"/>
        </w:rPr>
      </w:pPr>
      <w:r>
        <w:rPr>
          <w:rFonts w:hint="eastAsia"/>
          <w:color w:val="auto"/>
        </w:rPr>
        <w:t>2.1、范围应包括电动闸阀阀体、接口过渡段 (如与所连接管道不匹配时)等。</w:t>
      </w:r>
    </w:p>
    <w:p w14:paraId="1F336CC5">
      <w:pPr>
        <w:spacing w:beforeLines="0"/>
        <w:ind w:left="0" w:leftChars="0" w:firstLine="0" w:firstLineChars="0"/>
        <w:outlineLvl w:val="1"/>
        <w:rPr>
          <w:color w:val="auto"/>
        </w:rPr>
      </w:pPr>
      <w:r>
        <w:rPr>
          <w:rFonts w:hint="eastAsia"/>
          <w:color w:val="auto"/>
        </w:rPr>
        <w:t>2.2、供货清单：</w:t>
      </w:r>
    </w:p>
    <w:p w14:paraId="32096AC5">
      <w:pPr>
        <w:spacing w:beforeLines="0"/>
        <w:ind w:left="0" w:leftChars="0" w:firstLine="0" w:firstLineChars="0"/>
        <w:rPr>
          <w:color w:val="auto"/>
        </w:rPr>
      </w:pPr>
      <w:r>
        <w:rPr>
          <w:rFonts w:hint="eastAsia"/>
          <w:color w:val="auto"/>
        </w:rPr>
        <w:t>2.2.1、设备供货范围</w:t>
      </w:r>
      <w:r>
        <w:rPr>
          <w:rFonts w:hint="eastAsia"/>
          <w:b/>
          <w:color w:val="auto"/>
        </w:rPr>
        <w:t>（</w:t>
      </w:r>
      <w:r>
        <w:rPr>
          <w:b/>
          <w:color w:val="auto"/>
        </w:rPr>
        <w:t>投标人填写</w:t>
      </w:r>
      <w:r>
        <w:rPr>
          <w:rFonts w:hint="eastAsia"/>
          <w:b/>
          <w:color w:val="auto"/>
        </w:rPr>
        <w:t>）</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1144"/>
        <w:gridCol w:w="2543"/>
        <w:gridCol w:w="733"/>
        <w:gridCol w:w="827"/>
        <w:gridCol w:w="1028"/>
        <w:gridCol w:w="1587"/>
      </w:tblGrid>
      <w:tr w14:paraId="3D10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57CC1F89">
            <w:pPr>
              <w:spacing w:beforeLines="0" w:line="240" w:lineRule="auto"/>
              <w:ind w:left="0" w:leftChars="0" w:firstLine="0" w:firstLineChars="0"/>
              <w:jc w:val="center"/>
              <w:rPr>
                <w:b/>
                <w:color w:val="auto"/>
                <w:sz w:val="21"/>
                <w:szCs w:val="21"/>
              </w:rPr>
            </w:pPr>
            <w:r>
              <w:rPr>
                <w:rFonts w:hint="eastAsia"/>
                <w:b/>
                <w:color w:val="auto"/>
                <w:sz w:val="21"/>
                <w:szCs w:val="21"/>
              </w:rPr>
              <w:t>电动闸阀</w:t>
            </w:r>
          </w:p>
        </w:tc>
      </w:tr>
      <w:tr w14:paraId="2AD7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5EA0FADF">
            <w:pPr>
              <w:spacing w:beforeLines="0" w:line="240" w:lineRule="auto"/>
              <w:ind w:left="0" w:leftChars="0" w:firstLine="0" w:firstLineChars="0"/>
              <w:jc w:val="center"/>
              <w:rPr>
                <w:color w:val="auto"/>
                <w:sz w:val="21"/>
                <w:szCs w:val="21"/>
              </w:rPr>
            </w:pPr>
            <w:r>
              <w:rPr>
                <w:rFonts w:hint="eastAsia"/>
                <w:color w:val="auto"/>
                <w:sz w:val="21"/>
                <w:szCs w:val="21"/>
              </w:rPr>
              <w:t>序号</w:t>
            </w:r>
          </w:p>
        </w:tc>
        <w:tc>
          <w:tcPr>
            <w:tcW w:w="671" w:type="pct"/>
            <w:tcBorders>
              <w:top w:val="single" w:color="auto" w:sz="4" w:space="0"/>
              <w:left w:val="single" w:color="auto" w:sz="4" w:space="0"/>
              <w:bottom w:val="single" w:color="auto" w:sz="4" w:space="0"/>
              <w:right w:val="single" w:color="auto" w:sz="4" w:space="0"/>
            </w:tcBorders>
            <w:vAlign w:val="center"/>
          </w:tcPr>
          <w:p w14:paraId="25D150D4">
            <w:pPr>
              <w:spacing w:beforeLines="0" w:line="240" w:lineRule="auto"/>
              <w:ind w:left="0" w:leftChars="0" w:firstLine="0" w:firstLineChars="0"/>
              <w:jc w:val="center"/>
              <w:rPr>
                <w:color w:val="auto"/>
                <w:sz w:val="21"/>
                <w:szCs w:val="21"/>
              </w:rPr>
            </w:pPr>
            <w:r>
              <w:rPr>
                <w:rFonts w:hint="eastAsia"/>
                <w:color w:val="auto"/>
                <w:sz w:val="21"/>
                <w:szCs w:val="21"/>
              </w:rPr>
              <w:t>名称</w:t>
            </w:r>
          </w:p>
        </w:tc>
        <w:tc>
          <w:tcPr>
            <w:tcW w:w="1492" w:type="pct"/>
            <w:tcBorders>
              <w:top w:val="single" w:color="auto" w:sz="4" w:space="0"/>
              <w:left w:val="single" w:color="auto" w:sz="4" w:space="0"/>
              <w:bottom w:val="single" w:color="auto" w:sz="4" w:space="0"/>
              <w:right w:val="single" w:color="auto" w:sz="4" w:space="0"/>
            </w:tcBorders>
            <w:vAlign w:val="center"/>
          </w:tcPr>
          <w:p w14:paraId="1120B7C1">
            <w:pPr>
              <w:spacing w:beforeLines="0" w:line="240" w:lineRule="auto"/>
              <w:ind w:left="0" w:leftChars="0" w:firstLine="0" w:firstLineChars="0"/>
              <w:jc w:val="center"/>
              <w:rPr>
                <w:color w:val="auto"/>
                <w:sz w:val="21"/>
                <w:szCs w:val="21"/>
              </w:rPr>
            </w:pPr>
            <w:r>
              <w:rPr>
                <w:rFonts w:hint="eastAsia"/>
                <w:color w:val="auto"/>
                <w:sz w:val="21"/>
                <w:szCs w:val="21"/>
              </w:rPr>
              <w:t>规格型号</w:t>
            </w:r>
          </w:p>
        </w:tc>
        <w:tc>
          <w:tcPr>
            <w:tcW w:w="430" w:type="pct"/>
            <w:tcBorders>
              <w:top w:val="single" w:color="auto" w:sz="4" w:space="0"/>
              <w:left w:val="single" w:color="auto" w:sz="4" w:space="0"/>
              <w:bottom w:val="single" w:color="auto" w:sz="4" w:space="0"/>
              <w:right w:val="single" w:color="auto" w:sz="4" w:space="0"/>
            </w:tcBorders>
            <w:vAlign w:val="center"/>
          </w:tcPr>
          <w:p w14:paraId="2335094B">
            <w:pPr>
              <w:spacing w:beforeLines="0" w:line="240" w:lineRule="auto"/>
              <w:ind w:left="0" w:leftChars="0" w:firstLine="0" w:firstLineChars="0"/>
              <w:jc w:val="center"/>
              <w:rPr>
                <w:color w:val="auto"/>
                <w:sz w:val="21"/>
                <w:szCs w:val="21"/>
              </w:rPr>
            </w:pPr>
            <w:r>
              <w:rPr>
                <w:rFonts w:hint="eastAsia"/>
                <w:color w:val="auto"/>
                <w:sz w:val="21"/>
                <w:szCs w:val="21"/>
              </w:rPr>
              <w:t>单位</w:t>
            </w:r>
          </w:p>
        </w:tc>
        <w:tc>
          <w:tcPr>
            <w:tcW w:w="485" w:type="pct"/>
            <w:tcBorders>
              <w:top w:val="single" w:color="auto" w:sz="4" w:space="0"/>
              <w:left w:val="single" w:color="auto" w:sz="4" w:space="0"/>
              <w:bottom w:val="single" w:color="auto" w:sz="4" w:space="0"/>
              <w:right w:val="single" w:color="auto" w:sz="4" w:space="0"/>
            </w:tcBorders>
            <w:vAlign w:val="center"/>
          </w:tcPr>
          <w:p w14:paraId="757A1314">
            <w:pPr>
              <w:spacing w:beforeLines="0" w:line="240" w:lineRule="auto"/>
              <w:ind w:left="0" w:leftChars="0" w:firstLine="0" w:firstLineChars="0"/>
              <w:jc w:val="center"/>
              <w:rPr>
                <w:color w:val="auto"/>
                <w:sz w:val="21"/>
                <w:szCs w:val="21"/>
              </w:rPr>
            </w:pPr>
            <w:r>
              <w:rPr>
                <w:rFonts w:hint="eastAsia"/>
                <w:color w:val="auto"/>
                <w:sz w:val="21"/>
                <w:szCs w:val="21"/>
              </w:rPr>
              <w:t>数量</w:t>
            </w:r>
          </w:p>
        </w:tc>
        <w:tc>
          <w:tcPr>
            <w:tcW w:w="603" w:type="pct"/>
            <w:tcBorders>
              <w:top w:val="single" w:color="auto" w:sz="4" w:space="0"/>
              <w:left w:val="single" w:color="auto" w:sz="4" w:space="0"/>
              <w:bottom w:val="single" w:color="auto" w:sz="4" w:space="0"/>
              <w:right w:val="single" w:color="auto" w:sz="4" w:space="0"/>
            </w:tcBorders>
            <w:vAlign w:val="center"/>
          </w:tcPr>
          <w:p w14:paraId="4CC38DB7">
            <w:pPr>
              <w:spacing w:beforeLines="0" w:line="240" w:lineRule="auto"/>
              <w:ind w:left="0" w:leftChars="0" w:firstLine="0" w:firstLineChars="0"/>
              <w:jc w:val="center"/>
              <w:rPr>
                <w:color w:val="auto"/>
                <w:sz w:val="21"/>
                <w:szCs w:val="21"/>
              </w:rPr>
            </w:pPr>
            <w:r>
              <w:rPr>
                <w:rFonts w:hint="eastAsia"/>
                <w:color w:val="auto"/>
                <w:sz w:val="21"/>
                <w:szCs w:val="21"/>
              </w:rPr>
              <w:t>产地</w:t>
            </w:r>
          </w:p>
        </w:tc>
        <w:tc>
          <w:tcPr>
            <w:tcW w:w="929" w:type="pct"/>
            <w:tcBorders>
              <w:top w:val="single" w:color="auto" w:sz="4" w:space="0"/>
              <w:left w:val="single" w:color="auto" w:sz="4" w:space="0"/>
              <w:bottom w:val="single" w:color="auto" w:sz="4" w:space="0"/>
              <w:right w:val="single" w:color="auto" w:sz="4" w:space="0"/>
            </w:tcBorders>
            <w:vAlign w:val="center"/>
          </w:tcPr>
          <w:p w14:paraId="65AF82F1">
            <w:pPr>
              <w:spacing w:beforeLines="0" w:line="240" w:lineRule="auto"/>
              <w:ind w:left="0" w:leftChars="0" w:firstLine="0" w:firstLineChars="0"/>
              <w:jc w:val="center"/>
              <w:rPr>
                <w:color w:val="auto"/>
                <w:sz w:val="21"/>
                <w:szCs w:val="21"/>
              </w:rPr>
            </w:pPr>
            <w:r>
              <w:rPr>
                <w:rFonts w:hint="eastAsia"/>
                <w:color w:val="auto"/>
                <w:sz w:val="21"/>
                <w:szCs w:val="21"/>
              </w:rPr>
              <w:t>生产厂家</w:t>
            </w:r>
          </w:p>
        </w:tc>
      </w:tr>
      <w:tr w14:paraId="42DD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073E5586">
            <w:pPr>
              <w:spacing w:beforeLines="0" w:line="240" w:lineRule="auto"/>
              <w:ind w:left="0" w:leftChars="0" w:firstLine="0" w:firstLineChars="0"/>
              <w:jc w:val="center"/>
              <w:rPr>
                <w:color w:val="auto"/>
                <w:sz w:val="21"/>
                <w:szCs w:val="21"/>
              </w:rPr>
            </w:pPr>
            <w:r>
              <w:rPr>
                <w:rFonts w:hint="eastAsia"/>
                <w:color w:val="auto"/>
                <w:sz w:val="21"/>
                <w:szCs w:val="21"/>
              </w:rPr>
              <w:t>1</w:t>
            </w:r>
          </w:p>
        </w:tc>
        <w:tc>
          <w:tcPr>
            <w:tcW w:w="671" w:type="pct"/>
            <w:tcBorders>
              <w:top w:val="single" w:color="auto" w:sz="4" w:space="0"/>
              <w:left w:val="single" w:color="auto" w:sz="4" w:space="0"/>
              <w:bottom w:val="single" w:color="auto" w:sz="4" w:space="0"/>
              <w:right w:val="single" w:color="auto" w:sz="4" w:space="0"/>
            </w:tcBorders>
            <w:vAlign w:val="center"/>
          </w:tcPr>
          <w:p w14:paraId="66E165F6">
            <w:pPr>
              <w:spacing w:beforeLines="0" w:line="240" w:lineRule="auto"/>
              <w:ind w:left="0" w:leftChars="0" w:firstLine="0" w:firstLineChars="0"/>
              <w:jc w:val="center"/>
              <w:rPr>
                <w:color w:val="auto"/>
                <w:sz w:val="21"/>
                <w:szCs w:val="21"/>
              </w:rPr>
            </w:pPr>
            <w:r>
              <w:rPr>
                <w:rFonts w:hint="eastAsia"/>
                <w:color w:val="auto"/>
                <w:sz w:val="21"/>
                <w:szCs w:val="21"/>
              </w:rPr>
              <w:t>电动闸阀</w:t>
            </w:r>
          </w:p>
        </w:tc>
        <w:tc>
          <w:tcPr>
            <w:tcW w:w="1492" w:type="pct"/>
            <w:tcBorders>
              <w:top w:val="single" w:color="auto" w:sz="4" w:space="0"/>
              <w:left w:val="single" w:color="auto" w:sz="4" w:space="0"/>
              <w:bottom w:val="single" w:color="auto" w:sz="4" w:space="0"/>
              <w:right w:val="single" w:color="auto" w:sz="4" w:space="0"/>
            </w:tcBorders>
            <w:vAlign w:val="center"/>
          </w:tcPr>
          <w:p w14:paraId="0501B44E">
            <w:pPr>
              <w:tabs>
                <w:tab w:val="left" w:pos="473"/>
              </w:tabs>
              <w:spacing w:beforeLines="0" w:line="240" w:lineRule="auto"/>
              <w:ind w:left="0" w:leftChars="0" w:firstLine="0" w:firstLineChars="0"/>
              <w:jc w:val="left"/>
              <w:rPr>
                <w:rFonts w:hint="eastAsia" w:eastAsia="宋体"/>
                <w:color w:val="auto"/>
                <w:sz w:val="21"/>
                <w:szCs w:val="21"/>
                <w:lang w:eastAsia="zh-CN"/>
              </w:rPr>
            </w:pPr>
            <w:r>
              <w:rPr>
                <w:rFonts w:hint="eastAsia"/>
                <w:color w:val="auto"/>
                <w:sz w:val="21"/>
                <w:szCs w:val="21"/>
                <w:lang w:eastAsia="zh-CN"/>
              </w:rPr>
              <w:t>DN350\焊接\电动\Φ426×36\STL6\WC9\进口头</w:t>
            </w:r>
          </w:p>
        </w:tc>
        <w:tc>
          <w:tcPr>
            <w:tcW w:w="430" w:type="pct"/>
            <w:tcBorders>
              <w:top w:val="single" w:color="auto" w:sz="4" w:space="0"/>
              <w:left w:val="single" w:color="auto" w:sz="4" w:space="0"/>
              <w:bottom w:val="single" w:color="auto" w:sz="4" w:space="0"/>
              <w:right w:val="single" w:color="auto" w:sz="4" w:space="0"/>
            </w:tcBorders>
            <w:vAlign w:val="center"/>
          </w:tcPr>
          <w:p w14:paraId="65E4EF7B">
            <w:pPr>
              <w:spacing w:beforeLines="0" w:line="240" w:lineRule="auto"/>
              <w:ind w:left="0" w:leftChars="0" w:firstLine="0" w:firstLineChars="0"/>
              <w:jc w:val="center"/>
              <w:rPr>
                <w:color w:val="auto"/>
                <w:sz w:val="21"/>
                <w:szCs w:val="21"/>
              </w:rPr>
            </w:pPr>
            <w:r>
              <w:rPr>
                <w:rFonts w:hint="eastAsia"/>
                <w:color w:val="auto"/>
                <w:sz w:val="21"/>
                <w:szCs w:val="21"/>
              </w:rPr>
              <w:t>台</w:t>
            </w:r>
          </w:p>
        </w:tc>
        <w:tc>
          <w:tcPr>
            <w:tcW w:w="485" w:type="pct"/>
            <w:tcBorders>
              <w:top w:val="single" w:color="auto" w:sz="4" w:space="0"/>
              <w:left w:val="single" w:color="auto" w:sz="4" w:space="0"/>
              <w:bottom w:val="single" w:color="auto" w:sz="4" w:space="0"/>
              <w:right w:val="single" w:color="auto" w:sz="4" w:space="0"/>
            </w:tcBorders>
            <w:vAlign w:val="center"/>
          </w:tcPr>
          <w:p w14:paraId="6DF52225">
            <w:pPr>
              <w:spacing w:beforeLines="0" w:line="240" w:lineRule="auto"/>
              <w:ind w:left="0" w:leftChars="0" w:firstLine="0" w:firstLineChars="0"/>
              <w:jc w:val="center"/>
              <w:rPr>
                <w:color w:val="auto"/>
                <w:sz w:val="21"/>
                <w:szCs w:val="21"/>
              </w:rPr>
            </w:pPr>
            <w:r>
              <w:rPr>
                <w:rFonts w:hint="eastAsia"/>
                <w:color w:val="auto"/>
                <w:sz w:val="21"/>
                <w:szCs w:val="21"/>
              </w:rPr>
              <w:t>2</w:t>
            </w:r>
          </w:p>
        </w:tc>
        <w:tc>
          <w:tcPr>
            <w:tcW w:w="603" w:type="pct"/>
            <w:tcBorders>
              <w:top w:val="single" w:color="auto" w:sz="4" w:space="0"/>
              <w:left w:val="single" w:color="auto" w:sz="4" w:space="0"/>
              <w:bottom w:val="single" w:color="auto" w:sz="4" w:space="0"/>
              <w:right w:val="single" w:color="auto" w:sz="4" w:space="0"/>
            </w:tcBorders>
            <w:vAlign w:val="center"/>
          </w:tcPr>
          <w:p w14:paraId="103C49C7">
            <w:pPr>
              <w:spacing w:beforeLines="0" w:line="240" w:lineRule="auto"/>
              <w:ind w:left="174" w:leftChars="0" w:hanging="174" w:hangingChars="83"/>
              <w:jc w:val="center"/>
              <w:rPr>
                <w:color w:val="auto"/>
                <w:sz w:val="21"/>
                <w:szCs w:val="21"/>
              </w:rPr>
            </w:pPr>
          </w:p>
        </w:tc>
        <w:tc>
          <w:tcPr>
            <w:tcW w:w="929" w:type="pct"/>
            <w:tcBorders>
              <w:top w:val="single" w:color="auto" w:sz="4" w:space="0"/>
              <w:left w:val="single" w:color="auto" w:sz="4" w:space="0"/>
              <w:bottom w:val="single" w:color="auto" w:sz="4" w:space="0"/>
              <w:right w:val="single" w:color="auto" w:sz="4" w:space="0"/>
            </w:tcBorders>
            <w:vAlign w:val="center"/>
          </w:tcPr>
          <w:p w14:paraId="43174151">
            <w:pPr>
              <w:spacing w:beforeLines="0" w:line="240" w:lineRule="auto"/>
              <w:ind w:left="174" w:leftChars="0" w:hanging="174" w:hangingChars="83"/>
              <w:jc w:val="center"/>
              <w:rPr>
                <w:color w:val="auto"/>
                <w:sz w:val="21"/>
                <w:szCs w:val="21"/>
              </w:rPr>
            </w:pPr>
          </w:p>
        </w:tc>
      </w:tr>
    </w:tbl>
    <w:p w14:paraId="7A96C277">
      <w:pPr>
        <w:spacing w:beforeLines="0"/>
        <w:ind w:left="0" w:leftChars="0" w:firstLine="0" w:firstLineChars="0"/>
        <w:rPr>
          <w:color w:val="auto"/>
        </w:rPr>
      </w:pPr>
    </w:p>
    <w:p w14:paraId="20337C46">
      <w:pPr>
        <w:spacing w:beforeLines="0"/>
        <w:ind w:left="0" w:leftChars="0" w:firstLine="0" w:firstLineChars="0"/>
        <w:rPr>
          <w:color w:val="auto"/>
        </w:rPr>
      </w:pPr>
      <w:r>
        <w:rPr>
          <w:rFonts w:hint="eastAsia"/>
          <w:color w:val="auto"/>
        </w:rPr>
        <w:t>2.2.2、</w:t>
      </w:r>
      <w:bookmarkStart w:id="43" w:name="_Toc195428967"/>
      <w:bookmarkStart w:id="44" w:name="_Toc500144161"/>
      <w:bookmarkStart w:id="45" w:name="_Toc496269571"/>
      <w:bookmarkStart w:id="46" w:name="_Toc492697269"/>
      <w:r>
        <w:rPr>
          <w:rFonts w:hint="eastAsia"/>
          <w:color w:val="auto"/>
        </w:rPr>
        <w:t>随机备品备件</w:t>
      </w:r>
    </w:p>
    <w:tbl>
      <w:tblPr>
        <w:tblStyle w:val="27"/>
        <w:tblW w:w="50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84"/>
        <w:gridCol w:w="1286"/>
        <w:gridCol w:w="1674"/>
        <w:gridCol w:w="682"/>
        <w:gridCol w:w="667"/>
        <w:gridCol w:w="850"/>
        <w:gridCol w:w="1132"/>
        <w:gridCol w:w="1119"/>
      </w:tblGrid>
      <w:tr w14:paraId="2584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6" w:type="pct"/>
            <w:tcBorders>
              <w:top w:val="single" w:color="auto" w:sz="4" w:space="0"/>
              <w:left w:val="single" w:color="auto" w:sz="4" w:space="0"/>
              <w:bottom w:val="single" w:color="auto" w:sz="4" w:space="0"/>
              <w:right w:val="single" w:color="auto" w:sz="4" w:space="0"/>
            </w:tcBorders>
            <w:vAlign w:val="center"/>
          </w:tcPr>
          <w:p w14:paraId="651AEDFC">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序号</w:t>
            </w:r>
          </w:p>
        </w:tc>
        <w:tc>
          <w:tcPr>
            <w:tcW w:w="766" w:type="pct"/>
            <w:tcBorders>
              <w:top w:val="single" w:color="auto" w:sz="4" w:space="0"/>
              <w:left w:val="single" w:color="auto" w:sz="4" w:space="0"/>
              <w:bottom w:val="single" w:color="auto" w:sz="4" w:space="0"/>
              <w:right w:val="single" w:color="auto" w:sz="4" w:space="0"/>
            </w:tcBorders>
            <w:vAlign w:val="center"/>
          </w:tcPr>
          <w:p w14:paraId="6A47A3F4">
            <w:pPr>
              <w:widowControl w:val="0"/>
              <w:adjustRightInd w:val="0"/>
              <w:spacing w:beforeLines="0" w:line="240" w:lineRule="auto"/>
              <w:ind w:left="174" w:leftChars="0" w:hanging="174" w:hangingChars="83"/>
              <w:jc w:val="center"/>
              <w:rPr>
                <w:rFonts w:cs="宋体"/>
                <w:bCs/>
                <w:color w:val="auto"/>
                <w:sz w:val="21"/>
                <w:szCs w:val="21"/>
              </w:rPr>
            </w:pPr>
            <w:r>
              <w:rPr>
                <w:rFonts w:hint="eastAsia" w:cs="宋体"/>
                <w:bCs/>
                <w:color w:val="auto"/>
                <w:sz w:val="21"/>
                <w:szCs w:val="21"/>
              </w:rPr>
              <w:t>名称</w:t>
            </w:r>
          </w:p>
        </w:tc>
        <w:tc>
          <w:tcPr>
            <w:tcW w:w="997" w:type="pct"/>
            <w:tcBorders>
              <w:top w:val="single" w:color="auto" w:sz="4" w:space="0"/>
              <w:left w:val="single" w:color="auto" w:sz="4" w:space="0"/>
              <w:bottom w:val="single" w:color="auto" w:sz="4" w:space="0"/>
              <w:right w:val="single" w:color="auto" w:sz="4" w:space="0"/>
            </w:tcBorders>
            <w:vAlign w:val="center"/>
          </w:tcPr>
          <w:p w14:paraId="2B1780A2">
            <w:pPr>
              <w:widowControl w:val="0"/>
              <w:adjustRightInd w:val="0"/>
              <w:spacing w:beforeLines="0" w:line="240" w:lineRule="auto"/>
              <w:ind w:left="174" w:leftChars="0" w:hanging="174" w:hangingChars="83"/>
              <w:jc w:val="center"/>
              <w:rPr>
                <w:rFonts w:cs="宋体"/>
                <w:bCs/>
                <w:color w:val="auto"/>
                <w:sz w:val="21"/>
                <w:szCs w:val="21"/>
              </w:rPr>
            </w:pPr>
            <w:r>
              <w:rPr>
                <w:rFonts w:hint="eastAsia" w:cs="宋体"/>
                <w:bCs/>
                <w:color w:val="auto"/>
                <w:sz w:val="21"/>
                <w:szCs w:val="21"/>
              </w:rPr>
              <w:t>规格和型号</w:t>
            </w:r>
          </w:p>
        </w:tc>
        <w:tc>
          <w:tcPr>
            <w:tcW w:w="406" w:type="pct"/>
            <w:tcBorders>
              <w:top w:val="single" w:color="auto" w:sz="4" w:space="0"/>
              <w:left w:val="single" w:color="auto" w:sz="4" w:space="0"/>
              <w:bottom w:val="single" w:color="auto" w:sz="4" w:space="0"/>
              <w:right w:val="single" w:color="auto" w:sz="4" w:space="0"/>
            </w:tcBorders>
            <w:vAlign w:val="center"/>
          </w:tcPr>
          <w:p w14:paraId="796B84BE">
            <w:pPr>
              <w:widowControl w:val="0"/>
              <w:adjustRightInd w:val="0"/>
              <w:spacing w:beforeLines="0" w:line="240" w:lineRule="auto"/>
              <w:ind w:left="0" w:leftChars="0" w:firstLineChars="0"/>
              <w:jc w:val="center"/>
              <w:rPr>
                <w:rFonts w:cs="宋体"/>
                <w:bCs/>
                <w:color w:val="auto"/>
                <w:sz w:val="21"/>
                <w:szCs w:val="21"/>
              </w:rPr>
            </w:pPr>
            <w:r>
              <w:rPr>
                <w:rFonts w:hint="eastAsia" w:cs="宋体"/>
                <w:bCs/>
                <w:color w:val="auto"/>
                <w:sz w:val="21"/>
                <w:szCs w:val="21"/>
              </w:rPr>
              <w:t>单位</w:t>
            </w:r>
          </w:p>
        </w:tc>
        <w:tc>
          <w:tcPr>
            <w:tcW w:w="397" w:type="pct"/>
            <w:tcBorders>
              <w:top w:val="single" w:color="auto" w:sz="4" w:space="0"/>
              <w:left w:val="single" w:color="auto" w:sz="4" w:space="0"/>
              <w:bottom w:val="single" w:color="auto" w:sz="4" w:space="0"/>
              <w:right w:val="single" w:color="auto" w:sz="4" w:space="0"/>
            </w:tcBorders>
            <w:vAlign w:val="center"/>
          </w:tcPr>
          <w:p w14:paraId="24668EB1">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数量</w:t>
            </w:r>
          </w:p>
        </w:tc>
        <w:tc>
          <w:tcPr>
            <w:tcW w:w="506" w:type="pct"/>
            <w:tcBorders>
              <w:top w:val="single" w:color="auto" w:sz="4" w:space="0"/>
              <w:left w:val="single" w:color="auto" w:sz="4" w:space="0"/>
              <w:bottom w:val="single" w:color="auto" w:sz="4" w:space="0"/>
              <w:right w:val="single" w:color="auto" w:sz="4" w:space="0"/>
            </w:tcBorders>
            <w:vAlign w:val="center"/>
          </w:tcPr>
          <w:p w14:paraId="4F99785F">
            <w:pPr>
              <w:widowControl w:val="0"/>
              <w:adjustRightInd w:val="0"/>
              <w:spacing w:beforeLines="0" w:line="240" w:lineRule="auto"/>
              <w:ind w:left="174" w:leftChars="0" w:hanging="174" w:hangingChars="83"/>
              <w:jc w:val="center"/>
              <w:rPr>
                <w:rFonts w:cs="宋体"/>
                <w:bCs/>
                <w:color w:val="auto"/>
                <w:sz w:val="21"/>
                <w:szCs w:val="21"/>
              </w:rPr>
            </w:pPr>
            <w:r>
              <w:rPr>
                <w:rFonts w:hint="eastAsia" w:cs="宋体"/>
                <w:bCs/>
                <w:color w:val="auto"/>
                <w:sz w:val="21"/>
                <w:szCs w:val="21"/>
              </w:rPr>
              <w:t>产地</w:t>
            </w:r>
          </w:p>
        </w:tc>
        <w:tc>
          <w:tcPr>
            <w:tcW w:w="674" w:type="pct"/>
            <w:tcBorders>
              <w:top w:val="single" w:color="auto" w:sz="4" w:space="0"/>
              <w:left w:val="single" w:color="auto" w:sz="4" w:space="0"/>
              <w:bottom w:val="single" w:color="auto" w:sz="4" w:space="0"/>
              <w:right w:val="single" w:color="auto" w:sz="4" w:space="0"/>
            </w:tcBorders>
            <w:vAlign w:val="center"/>
          </w:tcPr>
          <w:p w14:paraId="63099939">
            <w:pPr>
              <w:widowControl w:val="0"/>
              <w:adjustRightInd w:val="0"/>
              <w:spacing w:beforeLines="0" w:line="240" w:lineRule="auto"/>
              <w:ind w:left="0" w:leftChars="0" w:firstLineChars="0"/>
              <w:jc w:val="center"/>
              <w:rPr>
                <w:rFonts w:cs="宋体"/>
                <w:bCs/>
                <w:color w:val="auto"/>
                <w:sz w:val="21"/>
                <w:szCs w:val="21"/>
              </w:rPr>
            </w:pPr>
            <w:r>
              <w:rPr>
                <w:rFonts w:hint="eastAsia" w:cs="宋体"/>
                <w:bCs/>
                <w:color w:val="auto"/>
                <w:sz w:val="21"/>
                <w:szCs w:val="21"/>
              </w:rPr>
              <w:t>生产厂家</w:t>
            </w:r>
          </w:p>
        </w:tc>
        <w:tc>
          <w:tcPr>
            <w:tcW w:w="666" w:type="pct"/>
            <w:tcBorders>
              <w:top w:val="single" w:color="auto" w:sz="4" w:space="0"/>
              <w:left w:val="single" w:color="auto" w:sz="4" w:space="0"/>
              <w:bottom w:val="single" w:color="auto" w:sz="4" w:space="0"/>
              <w:right w:val="single" w:color="auto" w:sz="4" w:space="0"/>
            </w:tcBorders>
            <w:vAlign w:val="center"/>
          </w:tcPr>
          <w:p w14:paraId="5C96AE89">
            <w:pPr>
              <w:widowControl w:val="0"/>
              <w:adjustRightInd w:val="0"/>
              <w:spacing w:beforeLines="0" w:line="240" w:lineRule="auto"/>
              <w:ind w:left="174" w:leftChars="0" w:hanging="174" w:hangingChars="83"/>
              <w:jc w:val="center"/>
              <w:rPr>
                <w:rFonts w:cs="宋体"/>
                <w:bCs/>
                <w:color w:val="auto"/>
                <w:sz w:val="21"/>
                <w:szCs w:val="21"/>
              </w:rPr>
            </w:pPr>
            <w:r>
              <w:rPr>
                <w:rFonts w:hint="eastAsia" w:cs="宋体"/>
                <w:bCs/>
                <w:color w:val="auto"/>
                <w:sz w:val="21"/>
                <w:szCs w:val="21"/>
              </w:rPr>
              <w:t>备注</w:t>
            </w:r>
          </w:p>
        </w:tc>
      </w:tr>
      <w:tr w14:paraId="3C19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6" w:type="pct"/>
            <w:tcBorders>
              <w:top w:val="single" w:color="auto" w:sz="4" w:space="0"/>
              <w:left w:val="single" w:color="auto" w:sz="4" w:space="0"/>
              <w:bottom w:val="single" w:color="auto" w:sz="4" w:space="0"/>
              <w:right w:val="single" w:color="auto" w:sz="4" w:space="0"/>
            </w:tcBorders>
            <w:vAlign w:val="center"/>
          </w:tcPr>
          <w:p w14:paraId="2BBFBC3B">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1</w:t>
            </w:r>
          </w:p>
        </w:tc>
        <w:tc>
          <w:tcPr>
            <w:tcW w:w="766" w:type="pct"/>
            <w:tcBorders>
              <w:top w:val="single" w:color="auto" w:sz="4" w:space="0"/>
              <w:left w:val="single" w:color="auto" w:sz="4" w:space="0"/>
              <w:bottom w:val="single" w:color="auto" w:sz="4" w:space="0"/>
              <w:right w:val="single" w:color="auto" w:sz="4" w:space="0"/>
            </w:tcBorders>
            <w:vAlign w:val="center"/>
          </w:tcPr>
          <w:p w14:paraId="096F11C0">
            <w:pPr>
              <w:widowControl w:val="0"/>
              <w:adjustRightInd w:val="0"/>
              <w:spacing w:beforeLines="0" w:line="240" w:lineRule="auto"/>
              <w:ind w:left="420" w:leftChars="0" w:hanging="420"/>
              <w:jc w:val="center"/>
              <w:rPr>
                <w:rFonts w:cs="宋体"/>
                <w:bCs/>
                <w:color w:val="auto"/>
                <w:sz w:val="21"/>
                <w:szCs w:val="21"/>
              </w:rPr>
            </w:pPr>
          </w:p>
        </w:tc>
        <w:tc>
          <w:tcPr>
            <w:tcW w:w="997" w:type="pct"/>
            <w:tcBorders>
              <w:top w:val="single" w:color="auto" w:sz="4" w:space="0"/>
              <w:left w:val="single" w:color="auto" w:sz="4" w:space="0"/>
              <w:bottom w:val="single" w:color="auto" w:sz="4" w:space="0"/>
              <w:right w:val="single" w:color="auto" w:sz="4" w:space="0"/>
            </w:tcBorders>
            <w:vAlign w:val="center"/>
          </w:tcPr>
          <w:p w14:paraId="28BD6AEC">
            <w:pPr>
              <w:widowControl w:val="0"/>
              <w:adjustRightInd w:val="0"/>
              <w:spacing w:beforeLines="0" w:line="240" w:lineRule="auto"/>
              <w:ind w:left="420" w:leftChars="0" w:hanging="420"/>
              <w:jc w:val="center"/>
              <w:rPr>
                <w:rFonts w:cs="宋体"/>
                <w:bCs/>
                <w:color w:val="auto"/>
                <w:sz w:val="21"/>
                <w:szCs w:val="21"/>
              </w:rPr>
            </w:pPr>
          </w:p>
        </w:tc>
        <w:tc>
          <w:tcPr>
            <w:tcW w:w="406" w:type="pct"/>
            <w:tcBorders>
              <w:top w:val="single" w:color="auto" w:sz="4" w:space="0"/>
              <w:left w:val="single" w:color="auto" w:sz="4" w:space="0"/>
              <w:bottom w:val="single" w:color="auto" w:sz="4" w:space="0"/>
              <w:right w:val="single" w:color="auto" w:sz="4" w:space="0"/>
            </w:tcBorders>
            <w:vAlign w:val="center"/>
          </w:tcPr>
          <w:p w14:paraId="773F1D67">
            <w:pPr>
              <w:widowControl w:val="0"/>
              <w:adjustRightInd w:val="0"/>
              <w:spacing w:beforeLines="0" w:line="240" w:lineRule="auto"/>
              <w:ind w:left="420" w:leftChars="0" w:hanging="420"/>
              <w:jc w:val="center"/>
              <w:rPr>
                <w:rFonts w:cs="宋体"/>
                <w:bCs/>
                <w:color w:val="auto"/>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6E411B6E">
            <w:pPr>
              <w:widowControl w:val="0"/>
              <w:adjustRightInd w:val="0"/>
              <w:spacing w:beforeLines="0" w:line="240" w:lineRule="auto"/>
              <w:ind w:left="420" w:leftChars="0" w:hanging="420"/>
              <w:jc w:val="center"/>
              <w:rPr>
                <w:rFonts w:cs="宋体"/>
                <w:bCs/>
                <w:color w:val="auto"/>
                <w:sz w:val="21"/>
                <w:szCs w:val="21"/>
              </w:rPr>
            </w:pPr>
          </w:p>
        </w:tc>
        <w:tc>
          <w:tcPr>
            <w:tcW w:w="506" w:type="pct"/>
            <w:tcBorders>
              <w:top w:val="single" w:color="auto" w:sz="4" w:space="0"/>
              <w:left w:val="single" w:color="auto" w:sz="4" w:space="0"/>
              <w:bottom w:val="single" w:color="auto" w:sz="4" w:space="0"/>
              <w:right w:val="single" w:color="auto" w:sz="4" w:space="0"/>
            </w:tcBorders>
            <w:vAlign w:val="center"/>
          </w:tcPr>
          <w:p w14:paraId="7FF0AE68">
            <w:pPr>
              <w:widowControl w:val="0"/>
              <w:adjustRightInd w:val="0"/>
              <w:spacing w:beforeLines="0" w:line="240" w:lineRule="auto"/>
              <w:ind w:left="420" w:leftChars="0" w:hanging="420"/>
              <w:jc w:val="center"/>
              <w:rPr>
                <w:rFonts w:cs="宋体"/>
                <w:bCs/>
                <w:color w:val="auto"/>
                <w:sz w:val="2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4406E79E">
            <w:pPr>
              <w:widowControl w:val="0"/>
              <w:adjustRightInd w:val="0"/>
              <w:spacing w:beforeLines="0" w:line="240" w:lineRule="auto"/>
              <w:ind w:left="420" w:leftChars="0" w:hanging="420"/>
              <w:jc w:val="center"/>
              <w:rPr>
                <w:rFonts w:cs="宋体"/>
                <w:bCs/>
                <w:color w:val="auto"/>
                <w:sz w:val="21"/>
                <w:szCs w:val="21"/>
              </w:rPr>
            </w:pPr>
          </w:p>
        </w:tc>
        <w:tc>
          <w:tcPr>
            <w:tcW w:w="666" w:type="pct"/>
            <w:tcBorders>
              <w:top w:val="single" w:color="auto" w:sz="4" w:space="0"/>
              <w:left w:val="single" w:color="auto" w:sz="4" w:space="0"/>
              <w:bottom w:val="single" w:color="auto" w:sz="4" w:space="0"/>
              <w:right w:val="single" w:color="auto" w:sz="4" w:space="0"/>
            </w:tcBorders>
            <w:vAlign w:val="center"/>
          </w:tcPr>
          <w:p w14:paraId="20F6F919">
            <w:pPr>
              <w:widowControl w:val="0"/>
              <w:adjustRightInd w:val="0"/>
              <w:spacing w:beforeLines="0" w:line="240" w:lineRule="auto"/>
              <w:ind w:left="420" w:leftChars="0" w:hanging="420"/>
              <w:jc w:val="center"/>
              <w:rPr>
                <w:rFonts w:cs="宋体"/>
                <w:bCs/>
                <w:color w:val="auto"/>
                <w:sz w:val="21"/>
                <w:szCs w:val="21"/>
              </w:rPr>
            </w:pPr>
          </w:p>
        </w:tc>
      </w:tr>
      <w:tr w14:paraId="6F4C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6" w:type="pct"/>
            <w:tcBorders>
              <w:top w:val="single" w:color="auto" w:sz="4" w:space="0"/>
              <w:left w:val="single" w:color="auto" w:sz="4" w:space="0"/>
              <w:bottom w:val="single" w:color="auto" w:sz="4" w:space="0"/>
              <w:right w:val="single" w:color="auto" w:sz="4" w:space="0"/>
            </w:tcBorders>
            <w:vAlign w:val="center"/>
          </w:tcPr>
          <w:p w14:paraId="18B2B8A5">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2</w:t>
            </w:r>
          </w:p>
        </w:tc>
        <w:tc>
          <w:tcPr>
            <w:tcW w:w="766" w:type="pct"/>
            <w:tcBorders>
              <w:top w:val="single" w:color="auto" w:sz="4" w:space="0"/>
              <w:left w:val="single" w:color="auto" w:sz="4" w:space="0"/>
              <w:bottom w:val="single" w:color="auto" w:sz="4" w:space="0"/>
              <w:right w:val="single" w:color="auto" w:sz="4" w:space="0"/>
            </w:tcBorders>
            <w:vAlign w:val="center"/>
          </w:tcPr>
          <w:p w14:paraId="7A66605E">
            <w:pPr>
              <w:widowControl w:val="0"/>
              <w:adjustRightInd w:val="0"/>
              <w:spacing w:beforeLines="0" w:line="240" w:lineRule="auto"/>
              <w:ind w:left="420" w:leftChars="0" w:hanging="420"/>
              <w:jc w:val="center"/>
              <w:rPr>
                <w:rFonts w:cs="宋体"/>
                <w:bCs/>
                <w:color w:val="auto"/>
                <w:sz w:val="21"/>
                <w:szCs w:val="21"/>
              </w:rPr>
            </w:pPr>
          </w:p>
        </w:tc>
        <w:tc>
          <w:tcPr>
            <w:tcW w:w="997" w:type="pct"/>
            <w:tcBorders>
              <w:top w:val="single" w:color="auto" w:sz="4" w:space="0"/>
              <w:left w:val="single" w:color="auto" w:sz="4" w:space="0"/>
              <w:bottom w:val="single" w:color="auto" w:sz="4" w:space="0"/>
              <w:right w:val="single" w:color="auto" w:sz="4" w:space="0"/>
            </w:tcBorders>
            <w:vAlign w:val="center"/>
          </w:tcPr>
          <w:p w14:paraId="6C7D2487">
            <w:pPr>
              <w:widowControl w:val="0"/>
              <w:adjustRightInd w:val="0"/>
              <w:spacing w:beforeLines="0" w:line="240" w:lineRule="auto"/>
              <w:ind w:left="420" w:leftChars="0" w:hanging="420"/>
              <w:jc w:val="center"/>
              <w:rPr>
                <w:rFonts w:cs="宋体"/>
                <w:bCs/>
                <w:color w:val="auto"/>
                <w:sz w:val="21"/>
                <w:szCs w:val="21"/>
              </w:rPr>
            </w:pPr>
          </w:p>
        </w:tc>
        <w:tc>
          <w:tcPr>
            <w:tcW w:w="406" w:type="pct"/>
            <w:tcBorders>
              <w:top w:val="single" w:color="auto" w:sz="4" w:space="0"/>
              <w:left w:val="single" w:color="auto" w:sz="4" w:space="0"/>
              <w:bottom w:val="single" w:color="auto" w:sz="4" w:space="0"/>
              <w:right w:val="single" w:color="auto" w:sz="4" w:space="0"/>
            </w:tcBorders>
            <w:vAlign w:val="center"/>
          </w:tcPr>
          <w:p w14:paraId="64CBD47A">
            <w:pPr>
              <w:widowControl w:val="0"/>
              <w:adjustRightInd w:val="0"/>
              <w:spacing w:beforeLines="0" w:line="240" w:lineRule="auto"/>
              <w:ind w:left="420" w:leftChars="0" w:hanging="420"/>
              <w:jc w:val="center"/>
              <w:rPr>
                <w:rFonts w:cs="宋体"/>
                <w:bCs/>
                <w:color w:val="auto"/>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17DEDF1A">
            <w:pPr>
              <w:widowControl w:val="0"/>
              <w:adjustRightInd w:val="0"/>
              <w:spacing w:beforeLines="0" w:line="240" w:lineRule="auto"/>
              <w:ind w:left="420" w:leftChars="0" w:hanging="420"/>
              <w:jc w:val="center"/>
              <w:rPr>
                <w:rFonts w:cs="宋体"/>
                <w:bCs/>
                <w:color w:val="auto"/>
                <w:sz w:val="21"/>
                <w:szCs w:val="21"/>
              </w:rPr>
            </w:pPr>
          </w:p>
        </w:tc>
        <w:tc>
          <w:tcPr>
            <w:tcW w:w="506" w:type="pct"/>
            <w:tcBorders>
              <w:top w:val="single" w:color="auto" w:sz="4" w:space="0"/>
              <w:left w:val="single" w:color="auto" w:sz="4" w:space="0"/>
              <w:bottom w:val="single" w:color="auto" w:sz="4" w:space="0"/>
              <w:right w:val="single" w:color="auto" w:sz="4" w:space="0"/>
            </w:tcBorders>
            <w:vAlign w:val="center"/>
          </w:tcPr>
          <w:p w14:paraId="1E684607">
            <w:pPr>
              <w:widowControl w:val="0"/>
              <w:adjustRightInd w:val="0"/>
              <w:spacing w:beforeLines="0" w:line="240" w:lineRule="auto"/>
              <w:ind w:left="420" w:leftChars="0" w:hanging="420"/>
              <w:jc w:val="center"/>
              <w:rPr>
                <w:rFonts w:cs="宋体"/>
                <w:bCs/>
                <w:color w:val="auto"/>
                <w:sz w:val="2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2A981D36">
            <w:pPr>
              <w:widowControl w:val="0"/>
              <w:adjustRightInd w:val="0"/>
              <w:spacing w:beforeLines="0" w:line="240" w:lineRule="auto"/>
              <w:ind w:left="420" w:leftChars="0" w:hanging="420"/>
              <w:jc w:val="center"/>
              <w:rPr>
                <w:rFonts w:cs="宋体"/>
                <w:bCs/>
                <w:color w:val="auto"/>
                <w:sz w:val="21"/>
                <w:szCs w:val="21"/>
              </w:rPr>
            </w:pPr>
          </w:p>
        </w:tc>
        <w:tc>
          <w:tcPr>
            <w:tcW w:w="666" w:type="pct"/>
            <w:tcBorders>
              <w:top w:val="single" w:color="auto" w:sz="4" w:space="0"/>
              <w:left w:val="single" w:color="auto" w:sz="4" w:space="0"/>
              <w:bottom w:val="single" w:color="auto" w:sz="4" w:space="0"/>
              <w:right w:val="single" w:color="auto" w:sz="4" w:space="0"/>
            </w:tcBorders>
            <w:vAlign w:val="center"/>
          </w:tcPr>
          <w:p w14:paraId="320882E3">
            <w:pPr>
              <w:widowControl w:val="0"/>
              <w:adjustRightInd w:val="0"/>
              <w:spacing w:beforeLines="0" w:line="240" w:lineRule="auto"/>
              <w:ind w:left="420" w:leftChars="0" w:hanging="420"/>
              <w:jc w:val="center"/>
              <w:rPr>
                <w:rFonts w:cs="宋体"/>
                <w:bCs/>
                <w:color w:val="auto"/>
                <w:sz w:val="21"/>
                <w:szCs w:val="21"/>
              </w:rPr>
            </w:pPr>
          </w:p>
        </w:tc>
      </w:tr>
    </w:tbl>
    <w:p w14:paraId="40A52548">
      <w:pPr>
        <w:pStyle w:val="2"/>
        <w:rPr>
          <w:color w:val="auto"/>
        </w:rPr>
      </w:pPr>
      <w:bookmarkStart w:id="47" w:name="_Toc118724527"/>
      <w:r>
        <w:rPr>
          <w:color w:val="auto"/>
        </w:rPr>
        <w:br w:type="page"/>
      </w:r>
    </w:p>
    <w:p w14:paraId="0D7C278F">
      <w:pPr>
        <w:pStyle w:val="2"/>
        <w:rPr>
          <w:rFonts w:cs="宋体"/>
          <w:color w:val="auto"/>
          <w:szCs w:val="20"/>
        </w:rPr>
      </w:pPr>
      <w:r>
        <w:rPr>
          <w:rFonts w:hint="eastAsia"/>
          <w:color w:val="auto"/>
        </w:rPr>
        <w:t>附件3、技术资料和交付进度</w:t>
      </w:r>
      <w:bookmarkEnd w:id="43"/>
      <w:bookmarkEnd w:id="44"/>
      <w:bookmarkEnd w:id="45"/>
      <w:bookmarkEnd w:id="46"/>
      <w:bookmarkEnd w:id="47"/>
    </w:p>
    <w:p w14:paraId="0A098AAF">
      <w:pPr>
        <w:spacing w:beforeLines="0"/>
        <w:ind w:left="482" w:leftChars="0" w:hanging="482"/>
        <w:outlineLvl w:val="0"/>
        <w:rPr>
          <w:b/>
          <w:color w:val="auto"/>
        </w:rPr>
      </w:pPr>
      <w:bookmarkStart w:id="48" w:name="_Toc195428968"/>
      <w:r>
        <w:rPr>
          <w:b/>
          <w:color w:val="auto"/>
        </w:rPr>
        <w:t>1</w:t>
      </w:r>
      <w:r>
        <w:rPr>
          <w:rFonts w:hint="eastAsia"/>
          <w:b/>
          <w:color w:val="auto"/>
        </w:rPr>
        <w:t>、资料提供总则</w:t>
      </w:r>
      <w:bookmarkEnd w:id="48"/>
    </w:p>
    <w:p w14:paraId="251E648E">
      <w:pPr>
        <w:spacing w:beforeLines="0"/>
        <w:ind w:left="0" w:leftChars="0" w:firstLine="0" w:firstLineChars="0"/>
        <w:rPr>
          <w:rFonts w:cs="宋体"/>
          <w:bCs/>
          <w:color w:val="auto"/>
        </w:rPr>
      </w:pPr>
      <w:r>
        <w:rPr>
          <w:rFonts w:hint="eastAsia" w:cs="宋体"/>
          <w:bCs/>
          <w:color w:val="auto"/>
        </w:rPr>
        <w:t>1.1投标人提供的资料应使用国家法定单位制即国际单位制，语言为中文，如为英文，应同时附有中文版，且以中文版为准。所有图纸、文件须同时提供电子文本。图纸应为AutoCAD格式，文本文件应为Word/Excel格式。</w:t>
      </w:r>
    </w:p>
    <w:p w14:paraId="381425ED">
      <w:pPr>
        <w:spacing w:beforeLines="0"/>
        <w:ind w:left="0" w:leftChars="0" w:firstLine="0" w:firstLineChars="0"/>
        <w:rPr>
          <w:rFonts w:cs="宋体"/>
          <w:bCs/>
          <w:color w:val="auto"/>
        </w:rPr>
      </w:pPr>
      <w:r>
        <w:rPr>
          <w:rFonts w:hint="eastAsia" w:cs="宋体"/>
          <w:bCs/>
          <w:color w:val="auto"/>
        </w:rPr>
        <w:t>1.2资料的组织结构清晰、逻辑性强。资料内容正确、准确、一致、清晰完整，满足工程要求。</w:t>
      </w:r>
    </w:p>
    <w:p w14:paraId="7B769C3E">
      <w:pPr>
        <w:spacing w:beforeLines="0"/>
        <w:ind w:left="0" w:leftChars="0" w:firstLine="0" w:firstLineChars="0"/>
        <w:rPr>
          <w:rFonts w:cs="宋体"/>
          <w:bCs/>
          <w:color w:val="auto"/>
        </w:rPr>
      </w:pPr>
      <w:r>
        <w:rPr>
          <w:rFonts w:hint="eastAsia" w:cs="宋体"/>
          <w:bCs/>
          <w:color w:val="auto"/>
        </w:rPr>
        <w:t>1.3投标人资料的提交及时、充分，满足工程进度要求。合同签订后15天内给出配合工程设计的全部技术资料和交付进度清单，并经招标人确认。</w:t>
      </w:r>
    </w:p>
    <w:p w14:paraId="452068B3">
      <w:pPr>
        <w:spacing w:beforeLines="0"/>
        <w:ind w:left="0" w:leftChars="0" w:firstLine="0" w:firstLineChars="0"/>
        <w:rPr>
          <w:rFonts w:cs="宋体"/>
          <w:bCs/>
          <w:color w:val="auto"/>
        </w:rPr>
      </w:pPr>
      <w:r>
        <w:rPr>
          <w:rFonts w:hint="eastAsia" w:cs="宋体"/>
          <w:bCs/>
          <w:color w:val="auto"/>
        </w:rPr>
        <w:t>1.4投标人提供的技术资料一般可分为投标阶段，配合设计阶段，设备监造检验、施工调试试运、性能试验验收和运行维护等阶段。投标人须满足以上各阶段的具体要求。</w:t>
      </w:r>
    </w:p>
    <w:p w14:paraId="7EFD02B1">
      <w:pPr>
        <w:spacing w:beforeLines="0"/>
        <w:ind w:left="0" w:leftChars="0" w:firstLine="0" w:firstLineChars="0"/>
        <w:rPr>
          <w:rFonts w:cs="宋体"/>
          <w:bCs/>
          <w:color w:val="auto"/>
        </w:rPr>
      </w:pPr>
      <w:r>
        <w:rPr>
          <w:rFonts w:hint="eastAsia" w:cs="宋体"/>
          <w:bCs/>
          <w:color w:val="auto"/>
        </w:rPr>
        <w:t>1.5对于其它没有列入合同技术资料清单，是工程所必需文件和资料，一经发现，投标人应及时免费提供。</w:t>
      </w:r>
    </w:p>
    <w:p w14:paraId="3EA88F17">
      <w:pPr>
        <w:spacing w:beforeLines="0"/>
        <w:ind w:left="480" w:leftChars="0" w:hanging="480"/>
        <w:outlineLvl w:val="1"/>
        <w:rPr>
          <w:rFonts w:cs="宋体"/>
          <w:bCs/>
          <w:color w:val="auto"/>
        </w:rPr>
      </w:pPr>
      <w:r>
        <w:rPr>
          <w:rFonts w:hint="eastAsia" w:cs="宋体"/>
          <w:bCs/>
          <w:color w:val="auto"/>
        </w:rPr>
        <w:t>1.6招标人要及时提供与合同设备设计制造有关的资料。</w:t>
      </w:r>
    </w:p>
    <w:p w14:paraId="5096D444">
      <w:pPr>
        <w:spacing w:beforeLines="0"/>
        <w:ind w:left="0" w:leftChars="0" w:firstLine="0" w:firstLineChars="0"/>
        <w:rPr>
          <w:rFonts w:cs="宋体"/>
          <w:bCs/>
          <w:color w:val="auto"/>
        </w:rPr>
      </w:pPr>
      <w:r>
        <w:rPr>
          <w:rFonts w:hint="eastAsia" w:cs="宋体"/>
          <w:bCs/>
          <w:color w:val="auto"/>
        </w:rPr>
        <w:t>1.7投标人提供的最终技术资料共2套，其中随机1套/机组，招标人1套。电子文本共2套。且在设备交货前10天提前供完。</w:t>
      </w:r>
    </w:p>
    <w:p w14:paraId="24601CA8">
      <w:pPr>
        <w:spacing w:beforeLines="0"/>
        <w:ind w:left="480" w:leftChars="0" w:hanging="480"/>
        <w:rPr>
          <w:rFonts w:cs="宋体"/>
          <w:bCs/>
          <w:color w:val="auto"/>
        </w:rPr>
      </w:pPr>
      <w:r>
        <w:rPr>
          <w:rFonts w:hint="eastAsia" w:cs="宋体"/>
          <w:bCs/>
          <w:color w:val="auto"/>
        </w:rPr>
        <w:t>1.8投标人提供的资料是否及时、完整，将做为对投标人设备的考核指标之一。</w:t>
      </w:r>
    </w:p>
    <w:p w14:paraId="0FF53B68">
      <w:pPr>
        <w:spacing w:beforeLines="0"/>
        <w:ind w:left="0" w:leftChars="0" w:firstLine="0" w:firstLineChars="0"/>
        <w:rPr>
          <w:rFonts w:cs="宋体"/>
          <w:bCs/>
          <w:color w:val="auto"/>
        </w:rPr>
      </w:pPr>
      <w:r>
        <w:rPr>
          <w:rFonts w:hint="eastAsia" w:cs="宋体"/>
          <w:bCs/>
          <w:color w:val="auto"/>
        </w:rPr>
        <w:t>1.9投标人在各阶段提供的所有设计资料及所提供的设备与附件均标注标识系统(即GB/T 50549《电厂标识系统编码标准》)。</w:t>
      </w:r>
    </w:p>
    <w:p w14:paraId="351E6D4D">
      <w:pPr>
        <w:spacing w:beforeLines="0"/>
        <w:ind w:left="482" w:leftChars="0" w:hanging="482"/>
        <w:outlineLvl w:val="0"/>
        <w:rPr>
          <w:rFonts w:ascii="Times New Roman" w:hAnsi="Times New Roman" w:cs="Times New Roman"/>
          <w:bCs/>
          <w:color w:val="auto"/>
        </w:rPr>
      </w:pPr>
      <w:bookmarkStart w:id="49" w:name="_Toc195428969"/>
      <w:r>
        <w:rPr>
          <w:b/>
          <w:color w:val="auto"/>
        </w:rPr>
        <w:t>2</w:t>
      </w:r>
      <w:r>
        <w:rPr>
          <w:rFonts w:hint="eastAsia"/>
          <w:b/>
          <w:color w:val="auto"/>
        </w:rPr>
        <w:t>、各阶段提供图纸资料的要求：</w:t>
      </w:r>
      <w:bookmarkEnd w:id="49"/>
    </w:p>
    <w:p w14:paraId="6DB6B8EA">
      <w:pPr>
        <w:spacing w:beforeLines="0"/>
        <w:ind w:left="480" w:leftChars="0" w:hanging="480"/>
        <w:outlineLvl w:val="1"/>
        <w:rPr>
          <w:rFonts w:cs="宋体"/>
          <w:bCs/>
          <w:color w:val="auto"/>
        </w:rPr>
      </w:pPr>
      <w:r>
        <w:rPr>
          <w:rFonts w:hint="eastAsia" w:cs="宋体"/>
          <w:bCs/>
          <w:color w:val="auto"/>
        </w:rPr>
        <w:t>2.1随投标文件提供的图纸，包括但不限于此：</w:t>
      </w:r>
    </w:p>
    <w:p w14:paraId="6AADD3DC">
      <w:pPr>
        <w:spacing w:beforeLines="0"/>
        <w:ind w:left="480" w:leftChars="0" w:hanging="480"/>
        <w:rPr>
          <w:rFonts w:cs="宋体"/>
          <w:bCs/>
          <w:color w:val="auto"/>
        </w:rPr>
      </w:pPr>
      <w:r>
        <w:rPr>
          <w:rFonts w:hint="eastAsia" w:cs="宋体"/>
          <w:bCs/>
          <w:color w:val="auto"/>
        </w:rPr>
        <w:t>（1）阀门有关说明；</w:t>
      </w:r>
    </w:p>
    <w:p w14:paraId="30A14F7A">
      <w:pPr>
        <w:spacing w:beforeLines="0"/>
        <w:ind w:left="480" w:leftChars="0" w:hanging="480"/>
        <w:rPr>
          <w:rFonts w:cs="宋体"/>
          <w:bCs/>
          <w:color w:val="auto"/>
        </w:rPr>
      </w:pPr>
      <w:r>
        <w:rPr>
          <w:rFonts w:hint="eastAsia" w:cs="宋体"/>
          <w:bCs/>
          <w:color w:val="auto"/>
        </w:rPr>
        <w:t>（2）所有阀门的技术数据表；</w:t>
      </w:r>
    </w:p>
    <w:p w14:paraId="4ACB1A0E">
      <w:pPr>
        <w:spacing w:beforeLines="0"/>
        <w:ind w:left="480" w:leftChars="0" w:hanging="480"/>
        <w:rPr>
          <w:rFonts w:cs="宋体"/>
          <w:bCs/>
          <w:color w:val="auto"/>
        </w:rPr>
      </w:pPr>
      <w:r>
        <w:rPr>
          <w:rFonts w:hint="eastAsia" w:cs="宋体"/>
          <w:bCs/>
          <w:color w:val="auto"/>
        </w:rPr>
        <w:t>（3）所有阀门的特性曲线(含设计参数、最大和最小流量曲线)；</w:t>
      </w:r>
    </w:p>
    <w:p w14:paraId="4183ADA0">
      <w:pPr>
        <w:spacing w:beforeLines="0"/>
        <w:ind w:left="480" w:leftChars="0" w:hanging="480"/>
        <w:rPr>
          <w:rFonts w:cs="宋体"/>
          <w:bCs/>
          <w:color w:val="auto"/>
        </w:rPr>
      </w:pPr>
      <w:r>
        <w:rPr>
          <w:rFonts w:hint="eastAsia" w:cs="宋体"/>
          <w:bCs/>
          <w:color w:val="auto"/>
        </w:rPr>
        <w:t>（4）阀门的布置要求；</w:t>
      </w:r>
    </w:p>
    <w:p w14:paraId="2EC0B4FE">
      <w:pPr>
        <w:spacing w:beforeLines="0"/>
        <w:ind w:left="480" w:leftChars="0" w:hanging="480"/>
        <w:rPr>
          <w:rFonts w:cs="宋体"/>
          <w:bCs/>
          <w:color w:val="auto"/>
        </w:rPr>
      </w:pPr>
      <w:r>
        <w:rPr>
          <w:rFonts w:hint="eastAsia" w:cs="宋体"/>
          <w:bCs/>
          <w:color w:val="auto"/>
        </w:rPr>
        <w:t>（5）阀门供设计布置用的外形尺寸及接口尺寸图、布置要求、纵剖面图和零件明细表。（如表中资料有变更，投标人应在签订技术协议后二周之内通知招标人）；</w:t>
      </w:r>
    </w:p>
    <w:p w14:paraId="381C9419">
      <w:pPr>
        <w:spacing w:beforeLines="0"/>
        <w:ind w:left="480" w:leftChars="0" w:hanging="480"/>
        <w:rPr>
          <w:rFonts w:cs="宋体"/>
          <w:bCs/>
          <w:color w:val="auto"/>
        </w:rPr>
      </w:pPr>
      <w:r>
        <w:rPr>
          <w:rFonts w:hint="eastAsia" w:cs="宋体"/>
          <w:bCs/>
          <w:color w:val="auto"/>
        </w:rPr>
        <w:t>（6）关于阀门强度试验的技术要求；</w:t>
      </w:r>
    </w:p>
    <w:p w14:paraId="6000154E">
      <w:pPr>
        <w:spacing w:beforeLines="0"/>
        <w:ind w:left="480" w:leftChars="0" w:hanging="480"/>
        <w:rPr>
          <w:rFonts w:cs="宋体"/>
          <w:bCs/>
          <w:color w:val="auto"/>
        </w:rPr>
      </w:pPr>
      <w:r>
        <w:rPr>
          <w:rFonts w:hint="eastAsia" w:cs="宋体"/>
          <w:bCs/>
          <w:color w:val="auto"/>
        </w:rPr>
        <w:t>（7）阀门检修所需空间及详细尺寸；</w:t>
      </w:r>
    </w:p>
    <w:p w14:paraId="6EC6ABFE">
      <w:pPr>
        <w:spacing w:beforeLines="0"/>
        <w:ind w:left="480" w:leftChars="0" w:hanging="480"/>
        <w:rPr>
          <w:rFonts w:cs="宋体"/>
          <w:bCs/>
          <w:color w:val="auto"/>
        </w:rPr>
      </w:pPr>
      <w:r>
        <w:rPr>
          <w:rFonts w:hint="eastAsia" w:cs="宋体"/>
          <w:bCs/>
          <w:color w:val="auto"/>
        </w:rPr>
        <w:t>（8）电动执行机构维护使用说明书；</w:t>
      </w:r>
    </w:p>
    <w:p w14:paraId="153CF4DB">
      <w:pPr>
        <w:spacing w:beforeLines="0"/>
        <w:ind w:left="0" w:leftChars="0" w:firstLine="0" w:firstLineChars="0"/>
        <w:rPr>
          <w:rFonts w:cs="宋体"/>
          <w:bCs/>
          <w:color w:val="auto"/>
        </w:rPr>
      </w:pPr>
      <w:r>
        <w:rPr>
          <w:rFonts w:hint="eastAsia" w:cs="宋体"/>
          <w:bCs/>
          <w:color w:val="auto"/>
        </w:rPr>
        <w:t>（9）备品备件清单。</w:t>
      </w:r>
    </w:p>
    <w:p w14:paraId="04D436FA">
      <w:pPr>
        <w:spacing w:beforeLines="0"/>
        <w:ind w:left="0" w:leftChars="0" w:firstLine="0" w:firstLineChars="0"/>
        <w:rPr>
          <w:rFonts w:cs="宋体"/>
          <w:bCs/>
          <w:color w:val="auto"/>
        </w:rPr>
      </w:pPr>
      <w:r>
        <w:rPr>
          <w:rFonts w:hint="eastAsia" w:cs="宋体"/>
          <w:bCs/>
          <w:color w:val="auto"/>
        </w:rPr>
        <w:t>2.2投标人在合同附件签订后，15日内提供正式图纸文件资料。以上所有正式资料上注明“伊犁新天煤化工有限责任公司项目专用”字样，并注明版次。投标人提供的以上技术资料每1台闸阀2套，其中设计院1套，招标人1套，电子文本2套。最终资料提交后不得任意修改，设备到货后与所提资料不符所造成的一切返工和损失由投标人负责赔偿。</w:t>
      </w:r>
    </w:p>
    <w:p w14:paraId="38922B29">
      <w:pPr>
        <w:spacing w:beforeLines="0"/>
        <w:ind w:left="480" w:leftChars="0" w:hanging="480"/>
        <w:rPr>
          <w:rFonts w:cs="宋体"/>
          <w:bCs/>
          <w:color w:val="auto"/>
        </w:rPr>
      </w:pPr>
      <w:r>
        <w:rPr>
          <w:rFonts w:hint="eastAsia" w:cs="宋体"/>
          <w:bCs/>
          <w:color w:val="auto"/>
        </w:rPr>
        <w:t>（1）阀门有关说明；</w:t>
      </w:r>
    </w:p>
    <w:p w14:paraId="1364E298">
      <w:pPr>
        <w:spacing w:beforeLines="0"/>
        <w:ind w:left="480" w:leftChars="0" w:hanging="480"/>
        <w:rPr>
          <w:rFonts w:cs="宋体"/>
          <w:bCs/>
          <w:color w:val="auto"/>
        </w:rPr>
      </w:pPr>
      <w:r>
        <w:rPr>
          <w:rFonts w:hint="eastAsia" w:cs="宋体"/>
          <w:bCs/>
          <w:color w:val="auto"/>
        </w:rPr>
        <w:t>（2）所有阀门的技术数据表；</w:t>
      </w:r>
    </w:p>
    <w:p w14:paraId="1D34BD8B">
      <w:pPr>
        <w:spacing w:beforeLines="0"/>
        <w:ind w:left="480" w:leftChars="0" w:hanging="480"/>
        <w:rPr>
          <w:rFonts w:cs="宋体"/>
          <w:bCs/>
          <w:color w:val="auto"/>
        </w:rPr>
      </w:pPr>
      <w:r>
        <w:rPr>
          <w:rFonts w:hint="eastAsia" w:cs="宋体"/>
          <w:bCs/>
          <w:color w:val="auto"/>
        </w:rPr>
        <w:t>（3）所有阀门的特性曲线(含设计参数、最大和最小流量曲线)；</w:t>
      </w:r>
    </w:p>
    <w:p w14:paraId="07911328">
      <w:pPr>
        <w:spacing w:beforeLines="0"/>
        <w:ind w:left="480" w:leftChars="0" w:hanging="480"/>
        <w:rPr>
          <w:rFonts w:cs="宋体"/>
          <w:bCs/>
          <w:color w:val="auto"/>
        </w:rPr>
      </w:pPr>
      <w:r>
        <w:rPr>
          <w:rFonts w:hint="eastAsia" w:cs="宋体"/>
          <w:bCs/>
          <w:color w:val="auto"/>
        </w:rPr>
        <w:t>（4）阀门的布置要求；</w:t>
      </w:r>
    </w:p>
    <w:p w14:paraId="72D39E46">
      <w:pPr>
        <w:spacing w:beforeLines="0"/>
        <w:ind w:left="480" w:leftChars="0" w:hanging="480"/>
        <w:rPr>
          <w:rFonts w:cs="宋体"/>
          <w:bCs/>
          <w:color w:val="auto"/>
        </w:rPr>
      </w:pPr>
      <w:r>
        <w:rPr>
          <w:rFonts w:hint="eastAsia" w:cs="宋体"/>
          <w:bCs/>
          <w:color w:val="auto"/>
        </w:rPr>
        <w:t>（5）阀门供设计布置用的外形尺寸及接口尺寸图、布置要求、纵剖面图和零件明细表。（如表中资料有变更， 投标人应在签订技术协议后二周之内通知招标人）；</w:t>
      </w:r>
    </w:p>
    <w:p w14:paraId="177F16CA">
      <w:pPr>
        <w:spacing w:beforeLines="0"/>
        <w:ind w:left="480" w:leftChars="0" w:hanging="480"/>
        <w:rPr>
          <w:rFonts w:cs="宋体"/>
          <w:bCs/>
          <w:color w:val="auto"/>
        </w:rPr>
      </w:pPr>
      <w:r>
        <w:rPr>
          <w:rFonts w:hint="eastAsia" w:cs="宋体"/>
          <w:bCs/>
          <w:color w:val="auto"/>
        </w:rPr>
        <w:t>（6）关于阀门强度试验的技术要求；</w:t>
      </w:r>
    </w:p>
    <w:p w14:paraId="2E97DFB5">
      <w:pPr>
        <w:spacing w:beforeLines="0"/>
        <w:ind w:left="480" w:leftChars="0" w:hanging="480"/>
        <w:rPr>
          <w:rFonts w:cs="宋体"/>
          <w:bCs/>
          <w:color w:val="auto"/>
        </w:rPr>
      </w:pPr>
      <w:r>
        <w:rPr>
          <w:rFonts w:hint="eastAsia" w:cs="宋体"/>
          <w:bCs/>
          <w:color w:val="auto"/>
        </w:rPr>
        <w:t>（7）阀门检修所需空间及详细尺寸；</w:t>
      </w:r>
    </w:p>
    <w:p w14:paraId="2F1D3DB3">
      <w:pPr>
        <w:spacing w:beforeLines="0"/>
        <w:ind w:left="480" w:leftChars="0" w:hanging="480"/>
        <w:rPr>
          <w:rFonts w:cs="宋体"/>
          <w:bCs/>
          <w:color w:val="auto"/>
        </w:rPr>
      </w:pPr>
      <w:r>
        <w:rPr>
          <w:rFonts w:hint="eastAsia" w:cs="宋体"/>
          <w:bCs/>
          <w:color w:val="auto"/>
        </w:rPr>
        <w:t>（8）备品备件清单。</w:t>
      </w:r>
    </w:p>
    <w:p w14:paraId="17F5D302">
      <w:pPr>
        <w:spacing w:beforeLines="0"/>
        <w:ind w:left="480" w:leftChars="0" w:hanging="480"/>
        <w:outlineLvl w:val="1"/>
        <w:rPr>
          <w:rFonts w:cs="宋体"/>
          <w:bCs/>
          <w:color w:val="auto"/>
        </w:rPr>
      </w:pPr>
      <w:r>
        <w:rPr>
          <w:rFonts w:hint="eastAsia" w:cs="宋体"/>
          <w:bCs/>
          <w:color w:val="auto"/>
        </w:rPr>
        <w:t>2.3设备监造检验所需要的技术资料</w:t>
      </w:r>
    </w:p>
    <w:p w14:paraId="29C19B9A">
      <w:pPr>
        <w:spacing w:beforeLines="0"/>
        <w:ind w:left="480" w:leftChars="0" w:hanging="480"/>
        <w:rPr>
          <w:rFonts w:cs="宋体"/>
          <w:bCs/>
          <w:color w:val="auto"/>
        </w:rPr>
      </w:pPr>
      <w:r>
        <w:rPr>
          <w:rFonts w:hint="eastAsia" w:cs="宋体"/>
          <w:bCs/>
          <w:color w:val="auto"/>
        </w:rPr>
        <w:t>投标人应提供满足合同设备监造检验/见证所需的全部技术资料。</w:t>
      </w:r>
    </w:p>
    <w:p w14:paraId="752DBD17">
      <w:pPr>
        <w:spacing w:beforeLines="0"/>
        <w:ind w:left="480" w:leftChars="0" w:hanging="480"/>
        <w:rPr>
          <w:rFonts w:cs="宋体"/>
          <w:bCs/>
          <w:color w:val="auto"/>
        </w:rPr>
      </w:pPr>
      <w:r>
        <w:rPr>
          <w:rFonts w:hint="eastAsia" w:cs="宋体"/>
          <w:bCs/>
          <w:color w:val="auto"/>
        </w:rPr>
        <w:t>（1）使用材料的物理和化学性能试验报告；</w:t>
      </w:r>
    </w:p>
    <w:p w14:paraId="26078C78">
      <w:pPr>
        <w:spacing w:beforeLines="0"/>
        <w:ind w:left="480" w:leftChars="0" w:hanging="480"/>
        <w:rPr>
          <w:rFonts w:cs="宋体"/>
          <w:bCs/>
          <w:color w:val="auto"/>
        </w:rPr>
      </w:pPr>
      <w:r>
        <w:rPr>
          <w:rFonts w:hint="eastAsia" w:cs="宋体"/>
          <w:bCs/>
          <w:color w:val="auto"/>
        </w:rPr>
        <w:t>（2）材料生产中的无破坏性试验报告；</w:t>
      </w:r>
    </w:p>
    <w:p w14:paraId="206D6851">
      <w:pPr>
        <w:spacing w:beforeLines="0"/>
        <w:ind w:left="480" w:leftChars="0" w:hanging="480"/>
        <w:rPr>
          <w:rFonts w:cs="宋体"/>
          <w:bCs/>
          <w:color w:val="auto"/>
        </w:rPr>
      </w:pPr>
      <w:r>
        <w:rPr>
          <w:rFonts w:hint="eastAsia" w:cs="宋体"/>
          <w:bCs/>
          <w:color w:val="auto"/>
        </w:rPr>
        <w:t>（3）焊后焊缝的热处理详细说明和检查报告；</w:t>
      </w:r>
    </w:p>
    <w:p w14:paraId="310412D7">
      <w:pPr>
        <w:spacing w:beforeLines="0"/>
        <w:ind w:left="480" w:leftChars="0" w:hanging="480"/>
        <w:rPr>
          <w:rFonts w:cs="宋体"/>
          <w:bCs/>
          <w:color w:val="auto"/>
        </w:rPr>
      </w:pPr>
      <w:r>
        <w:rPr>
          <w:rFonts w:hint="eastAsia" w:cs="宋体"/>
          <w:bCs/>
          <w:color w:val="auto"/>
        </w:rPr>
        <w:t>（4）阀门组装完成后压力试验和严密性试验报告；</w:t>
      </w:r>
    </w:p>
    <w:p w14:paraId="29FD59D0">
      <w:pPr>
        <w:spacing w:beforeLines="0"/>
        <w:ind w:left="480" w:leftChars="0" w:hanging="480"/>
        <w:rPr>
          <w:rFonts w:cs="宋体"/>
          <w:bCs/>
          <w:color w:val="auto"/>
        </w:rPr>
      </w:pPr>
      <w:r>
        <w:rPr>
          <w:rFonts w:hint="eastAsia" w:cs="宋体"/>
          <w:bCs/>
          <w:color w:val="auto"/>
        </w:rPr>
        <w:t>（5）阀门组装后的性能试验报告。</w:t>
      </w:r>
    </w:p>
    <w:p w14:paraId="2F00222B">
      <w:pPr>
        <w:spacing w:beforeLines="0"/>
        <w:ind w:left="0" w:leftChars="0" w:firstLine="0" w:firstLineChars="0"/>
        <w:rPr>
          <w:rFonts w:cs="宋体"/>
          <w:bCs/>
          <w:color w:val="auto"/>
        </w:rPr>
      </w:pPr>
      <w:r>
        <w:rPr>
          <w:rFonts w:hint="eastAsia" w:cs="宋体"/>
          <w:bCs/>
          <w:color w:val="auto"/>
        </w:rPr>
        <w:t>2.4施工、调试、试运、机组性能试验和运行维护所需的技术资料（招标人提出具体清单和要求，投标人细化，招标人确认）包括但不限于：</w:t>
      </w:r>
    </w:p>
    <w:p w14:paraId="08DCC120">
      <w:pPr>
        <w:spacing w:beforeLines="0"/>
        <w:ind w:left="0" w:leftChars="0" w:firstLine="0" w:firstLineChars="0"/>
        <w:rPr>
          <w:rFonts w:cs="宋体"/>
          <w:bCs/>
          <w:color w:val="auto"/>
        </w:rPr>
      </w:pPr>
      <w:r>
        <w:rPr>
          <w:rFonts w:hint="eastAsia" w:cs="宋体"/>
          <w:bCs/>
          <w:color w:val="auto"/>
        </w:rPr>
        <w:t>2.4.1提供设备安装、调试和试运说明书，以及组装、拆卸时所需用的技术资料。</w:t>
      </w:r>
    </w:p>
    <w:p w14:paraId="18CC4575">
      <w:pPr>
        <w:spacing w:beforeLines="0"/>
        <w:ind w:left="0" w:leftChars="0" w:firstLine="0" w:firstLineChars="0"/>
        <w:rPr>
          <w:rFonts w:cs="宋体"/>
          <w:bCs/>
          <w:color w:val="auto"/>
        </w:rPr>
      </w:pPr>
      <w:r>
        <w:rPr>
          <w:rFonts w:hint="eastAsia" w:cs="宋体"/>
          <w:bCs/>
          <w:color w:val="auto"/>
        </w:rPr>
        <w:t>2.4.2安装、运行、维护、检修所需的详尽图纸和技术文件,包括设备总图、部件总图、分图和必要的零件图、计算资料，控制系统逻辑图、调节原理图、设备安装接线图等。</w:t>
      </w:r>
    </w:p>
    <w:p w14:paraId="6471E7BE">
      <w:pPr>
        <w:spacing w:beforeLines="0"/>
        <w:ind w:left="0" w:leftChars="0" w:firstLine="0" w:firstLineChars="0"/>
        <w:rPr>
          <w:rFonts w:cs="宋体"/>
          <w:bCs/>
          <w:color w:val="auto"/>
        </w:rPr>
      </w:pPr>
      <w:r>
        <w:rPr>
          <w:rFonts w:hint="eastAsia" w:cs="宋体"/>
          <w:bCs/>
          <w:color w:val="auto"/>
        </w:rPr>
        <w:t>2.4.3设备的安装、运行、维护、检修说明书,包括设备结构特点、安装程序和工艺要求、起动调试要领。运行操作规定和控制数据、定期校验和维护说明等。</w:t>
      </w:r>
    </w:p>
    <w:p w14:paraId="3D1E4DDC">
      <w:pPr>
        <w:spacing w:beforeLines="0"/>
        <w:ind w:left="480" w:leftChars="0" w:hanging="480"/>
        <w:outlineLvl w:val="2"/>
        <w:rPr>
          <w:rFonts w:cs="宋体"/>
          <w:bCs/>
          <w:color w:val="auto"/>
        </w:rPr>
      </w:pPr>
      <w:r>
        <w:rPr>
          <w:rFonts w:hint="eastAsia" w:cs="宋体"/>
          <w:bCs/>
          <w:color w:val="auto"/>
        </w:rPr>
        <w:t>2.4.4投标人应提供备品、配件总清单和易损零件图。</w:t>
      </w:r>
    </w:p>
    <w:p w14:paraId="04F6ADB9">
      <w:pPr>
        <w:spacing w:beforeLines="0"/>
        <w:ind w:left="0" w:leftChars="0" w:firstLine="0" w:firstLineChars="0"/>
        <w:rPr>
          <w:rFonts w:cs="宋体"/>
          <w:bCs/>
          <w:color w:val="auto"/>
        </w:rPr>
      </w:pPr>
      <w:r>
        <w:rPr>
          <w:rFonts w:hint="eastAsia" w:cs="宋体"/>
          <w:bCs/>
          <w:color w:val="auto"/>
        </w:rPr>
        <w:t>2.5投标人须提供的其它技术资料（招标人提出具体清单，投标人细化，招标人确认）包括以下但不限于：</w:t>
      </w:r>
    </w:p>
    <w:p w14:paraId="13E72236">
      <w:pPr>
        <w:spacing w:beforeLines="0"/>
        <w:ind w:left="480" w:leftChars="0" w:hanging="480"/>
        <w:outlineLvl w:val="2"/>
        <w:rPr>
          <w:rFonts w:cs="宋体"/>
          <w:bCs/>
          <w:color w:val="auto"/>
        </w:rPr>
      </w:pPr>
      <w:r>
        <w:rPr>
          <w:rFonts w:hint="eastAsia" w:cs="宋体"/>
          <w:bCs/>
          <w:color w:val="auto"/>
        </w:rPr>
        <w:t>2.5.1检验记录、试验报告及质量合格证等出厂报告。</w:t>
      </w:r>
    </w:p>
    <w:p w14:paraId="6B3D99EB">
      <w:pPr>
        <w:spacing w:beforeLines="0"/>
        <w:ind w:left="480" w:leftChars="0" w:hanging="480"/>
        <w:rPr>
          <w:rFonts w:cs="宋体"/>
          <w:bCs/>
          <w:color w:val="auto"/>
        </w:rPr>
      </w:pPr>
      <w:r>
        <w:rPr>
          <w:rFonts w:hint="eastAsia" w:cs="宋体"/>
          <w:bCs/>
          <w:color w:val="auto"/>
        </w:rPr>
        <w:t>2.5.2投标人提供在设计、制造时所遵循的规范、标准和规定清单。</w:t>
      </w:r>
    </w:p>
    <w:p w14:paraId="68457780">
      <w:pPr>
        <w:spacing w:beforeLines="0"/>
        <w:ind w:left="0" w:leftChars="0" w:firstLine="0" w:firstLineChars="0"/>
        <w:rPr>
          <w:rFonts w:cs="宋体"/>
          <w:bCs/>
          <w:color w:val="auto"/>
        </w:rPr>
      </w:pPr>
      <w:r>
        <w:rPr>
          <w:rFonts w:hint="eastAsia" w:cs="宋体"/>
          <w:bCs/>
          <w:color w:val="auto"/>
        </w:rPr>
        <w:t>2.5.3设备和备品管理资料文件,包括设备和备品发运和装箱的详细资料(各种清单)，设备和备品存放与保管技术要求,运输超重和超大件的明细表和外形图。</w:t>
      </w:r>
    </w:p>
    <w:p w14:paraId="4F371589">
      <w:pPr>
        <w:spacing w:beforeLines="0"/>
        <w:ind w:left="0" w:leftChars="0" w:firstLine="0" w:firstLineChars="0"/>
        <w:rPr>
          <w:rFonts w:cs="宋体"/>
          <w:bCs/>
          <w:color w:val="auto"/>
        </w:rPr>
      </w:pPr>
      <w:r>
        <w:rPr>
          <w:rFonts w:hint="eastAsia" w:cs="宋体"/>
          <w:bCs/>
          <w:color w:val="auto"/>
        </w:rPr>
        <w:t>2.5.4详细的产品质量文件，包括材质、材质检验、焊接、热处理,加工质量,外形尺寸。水压试验和性能检验等的证明。</w:t>
      </w:r>
      <w:r>
        <w:rPr>
          <w:rFonts w:cs="宋体"/>
          <w:bCs/>
          <w:color w:val="auto"/>
        </w:rPr>
        <w:br w:type="page"/>
      </w:r>
    </w:p>
    <w:p w14:paraId="1D21B7ED">
      <w:pPr>
        <w:pStyle w:val="2"/>
        <w:spacing w:before="240" w:after="240"/>
        <w:rPr>
          <w:rFonts w:cs="宋体"/>
          <w:bCs w:val="0"/>
          <w:color w:val="auto"/>
          <w:szCs w:val="20"/>
        </w:rPr>
      </w:pPr>
      <w:bookmarkStart w:id="50" w:name="_Toc118724528"/>
      <w:bookmarkStart w:id="51" w:name="_Toc195428970"/>
      <w:bookmarkStart w:id="52" w:name="_Toc500144162"/>
      <w:bookmarkStart w:id="53" w:name="_Toc496269572"/>
      <w:bookmarkStart w:id="54" w:name="_Toc492697270"/>
      <w:r>
        <w:rPr>
          <w:rFonts w:hint="eastAsia"/>
          <w:color w:val="auto"/>
        </w:rPr>
        <w:t>附件4、设备交货进度</w:t>
      </w:r>
      <w:bookmarkEnd w:id="50"/>
      <w:bookmarkEnd w:id="51"/>
    </w:p>
    <w:p w14:paraId="5D3982E5">
      <w:pPr>
        <w:autoSpaceDE w:val="0"/>
        <w:autoSpaceDN w:val="0"/>
        <w:spacing w:before="156"/>
        <w:ind w:left="890" w:hanging="480"/>
        <w:jc w:val="both"/>
        <w:rPr>
          <w:snapToGrid w:val="0"/>
          <w:color w:val="auto"/>
        </w:rPr>
      </w:pPr>
      <w:r>
        <w:rPr>
          <w:rFonts w:hint="eastAsia"/>
          <w:snapToGrid w:val="0"/>
          <w:color w:val="auto"/>
        </w:rPr>
        <w:t>1、设备的交货顺序要满足工程进度的要求。</w:t>
      </w:r>
    </w:p>
    <w:p w14:paraId="5FC0DE49">
      <w:pPr>
        <w:autoSpaceDE w:val="0"/>
        <w:autoSpaceDN w:val="0"/>
        <w:spacing w:before="156"/>
        <w:ind w:left="890" w:hanging="480"/>
        <w:jc w:val="both"/>
        <w:rPr>
          <w:snapToGrid w:val="0"/>
          <w:color w:val="auto"/>
        </w:rPr>
      </w:pPr>
      <w:r>
        <w:rPr>
          <w:rFonts w:hint="eastAsia"/>
          <w:snapToGrid w:val="0"/>
          <w:color w:val="auto"/>
        </w:rPr>
        <w:t>2、交货进度表如下：</w:t>
      </w:r>
    </w:p>
    <w:p w14:paraId="149E2AA7">
      <w:pPr>
        <w:autoSpaceDE w:val="0"/>
        <w:autoSpaceDN w:val="0"/>
        <w:spacing w:before="156"/>
        <w:ind w:left="369" w:leftChars="71" w:hanging="199" w:hangingChars="83"/>
        <w:jc w:val="center"/>
        <w:rPr>
          <w:snapToGrid w:val="0"/>
          <w:color w:val="auto"/>
        </w:rPr>
      </w:pPr>
    </w:p>
    <w:p w14:paraId="1EA9FE54">
      <w:pPr>
        <w:autoSpaceDE w:val="0"/>
        <w:autoSpaceDN w:val="0"/>
        <w:spacing w:before="156"/>
        <w:ind w:left="369" w:leftChars="71" w:hanging="199" w:hangingChars="83"/>
        <w:jc w:val="center"/>
        <w:rPr>
          <w:snapToGrid w:val="0"/>
          <w:color w:val="auto"/>
        </w:rPr>
      </w:pPr>
      <w:r>
        <w:rPr>
          <w:rFonts w:hint="eastAsia"/>
          <w:snapToGrid w:val="0"/>
          <w:color w:val="auto"/>
        </w:rPr>
        <w:t>交货进度表</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45"/>
        <w:gridCol w:w="2236"/>
        <w:gridCol w:w="902"/>
        <w:gridCol w:w="1418"/>
        <w:gridCol w:w="1546"/>
      </w:tblGrid>
      <w:tr w14:paraId="3BCD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396" w:type="pct"/>
            <w:tcBorders>
              <w:top w:val="single" w:color="auto" w:sz="4" w:space="0"/>
              <w:left w:val="single" w:color="auto" w:sz="4" w:space="0"/>
              <w:bottom w:val="single" w:color="auto" w:sz="4" w:space="0"/>
              <w:right w:val="single" w:color="auto" w:sz="4" w:space="0"/>
            </w:tcBorders>
            <w:vAlign w:val="center"/>
          </w:tcPr>
          <w:p w14:paraId="4B56464B">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序号</w:t>
            </w:r>
          </w:p>
        </w:tc>
        <w:tc>
          <w:tcPr>
            <w:tcW w:w="1024" w:type="pct"/>
            <w:tcBorders>
              <w:top w:val="single" w:color="auto" w:sz="4" w:space="0"/>
              <w:left w:val="single" w:color="auto" w:sz="4" w:space="0"/>
              <w:bottom w:val="single" w:color="auto" w:sz="4" w:space="0"/>
              <w:right w:val="single" w:color="auto" w:sz="4" w:space="0"/>
            </w:tcBorders>
            <w:vAlign w:val="center"/>
          </w:tcPr>
          <w:p w14:paraId="35611A8E">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设备/部件名称</w:t>
            </w:r>
          </w:p>
        </w:tc>
        <w:tc>
          <w:tcPr>
            <w:tcW w:w="1312" w:type="pct"/>
            <w:tcBorders>
              <w:top w:val="single" w:color="auto" w:sz="4" w:space="0"/>
              <w:left w:val="single" w:color="auto" w:sz="4" w:space="0"/>
              <w:bottom w:val="single" w:color="auto" w:sz="4" w:space="0"/>
              <w:right w:val="single" w:color="auto" w:sz="4" w:space="0"/>
            </w:tcBorders>
            <w:vAlign w:val="center"/>
          </w:tcPr>
          <w:p w14:paraId="550889C1">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发运地点</w:t>
            </w:r>
          </w:p>
        </w:tc>
        <w:tc>
          <w:tcPr>
            <w:tcW w:w="529" w:type="pct"/>
            <w:tcBorders>
              <w:top w:val="single" w:color="auto" w:sz="4" w:space="0"/>
              <w:left w:val="single" w:color="auto" w:sz="4" w:space="0"/>
              <w:bottom w:val="single" w:color="auto" w:sz="4" w:space="0"/>
              <w:right w:val="single" w:color="auto" w:sz="4" w:space="0"/>
            </w:tcBorders>
            <w:vAlign w:val="center"/>
          </w:tcPr>
          <w:p w14:paraId="75A23E74">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数量</w:t>
            </w:r>
          </w:p>
        </w:tc>
        <w:tc>
          <w:tcPr>
            <w:tcW w:w="832" w:type="pct"/>
            <w:tcBorders>
              <w:top w:val="single" w:color="auto" w:sz="4" w:space="0"/>
              <w:left w:val="single" w:color="auto" w:sz="4" w:space="0"/>
              <w:bottom w:val="single" w:color="auto" w:sz="4" w:space="0"/>
              <w:right w:val="single" w:color="auto" w:sz="4" w:space="0"/>
            </w:tcBorders>
            <w:vAlign w:val="center"/>
          </w:tcPr>
          <w:p w14:paraId="7D720EC5">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交货时间</w:t>
            </w:r>
          </w:p>
        </w:tc>
        <w:tc>
          <w:tcPr>
            <w:tcW w:w="907" w:type="pct"/>
            <w:tcBorders>
              <w:top w:val="single" w:color="auto" w:sz="4" w:space="0"/>
              <w:left w:val="single" w:color="auto" w:sz="4" w:space="0"/>
              <w:bottom w:val="single" w:color="auto" w:sz="4" w:space="0"/>
              <w:right w:val="single" w:color="auto" w:sz="4" w:space="0"/>
            </w:tcBorders>
            <w:vAlign w:val="center"/>
          </w:tcPr>
          <w:p w14:paraId="34294F86">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单台设备重量</w:t>
            </w:r>
          </w:p>
        </w:tc>
      </w:tr>
      <w:tr w14:paraId="5BD4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6" w:type="pct"/>
            <w:tcBorders>
              <w:top w:val="single" w:color="auto" w:sz="4" w:space="0"/>
              <w:left w:val="single" w:color="auto" w:sz="4" w:space="0"/>
              <w:bottom w:val="single" w:color="auto" w:sz="4" w:space="0"/>
              <w:right w:val="single" w:color="auto" w:sz="4" w:space="0"/>
            </w:tcBorders>
            <w:vAlign w:val="center"/>
          </w:tcPr>
          <w:p w14:paraId="30CAC4FF">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1</w:t>
            </w:r>
          </w:p>
        </w:tc>
        <w:tc>
          <w:tcPr>
            <w:tcW w:w="1024" w:type="pct"/>
            <w:tcBorders>
              <w:top w:val="single" w:color="auto" w:sz="4" w:space="0"/>
              <w:left w:val="single" w:color="auto" w:sz="4" w:space="0"/>
              <w:bottom w:val="single" w:color="auto" w:sz="4" w:space="0"/>
              <w:right w:val="single" w:color="auto" w:sz="4" w:space="0"/>
            </w:tcBorders>
            <w:vAlign w:val="center"/>
          </w:tcPr>
          <w:p w14:paraId="71B60AA6">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电动闸阀</w:t>
            </w:r>
          </w:p>
        </w:tc>
        <w:tc>
          <w:tcPr>
            <w:tcW w:w="1312" w:type="pct"/>
            <w:tcBorders>
              <w:top w:val="single" w:color="auto" w:sz="4" w:space="0"/>
              <w:left w:val="single" w:color="auto" w:sz="4" w:space="0"/>
              <w:bottom w:val="single" w:color="auto" w:sz="4" w:space="0"/>
              <w:right w:val="single" w:color="auto" w:sz="4" w:space="0"/>
            </w:tcBorders>
            <w:vAlign w:val="center"/>
          </w:tcPr>
          <w:p w14:paraId="32064DAC">
            <w:pPr>
              <w:autoSpaceDE w:val="0"/>
              <w:autoSpaceDN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招标人指定地点</w:t>
            </w:r>
          </w:p>
        </w:tc>
        <w:tc>
          <w:tcPr>
            <w:tcW w:w="529" w:type="pct"/>
            <w:tcBorders>
              <w:top w:val="single" w:color="auto" w:sz="4" w:space="0"/>
              <w:left w:val="single" w:color="auto" w:sz="4" w:space="0"/>
              <w:bottom w:val="single" w:color="auto" w:sz="4" w:space="0"/>
              <w:right w:val="single" w:color="auto" w:sz="4" w:space="0"/>
            </w:tcBorders>
            <w:vAlign w:val="center"/>
          </w:tcPr>
          <w:p w14:paraId="4275AE21">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2台</w:t>
            </w:r>
          </w:p>
        </w:tc>
        <w:tc>
          <w:tcPr>
            <w:tcW w:w="832" w:type="pct"/>
            <w:tcBorders>
              <w:top w:val="single" w:color="auto" w:sz="4" w:space="0"/>
              <w:left w:val="single" w:color="auto" w:sz="4" w:space="0"/>
              <w:bottom w:val="single" w:color="auto" w:sz="4" w:space="0"/>
              <w:right w:val="single" w:color="auto" w:sz="4" w:space="0"/>
            </w:tcBorders>
            <w:vAlign w:val="center"/>
          </w:tcPr>
          <w:p w14:paraId="707D171E">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合同签订后4个月内</w:t>
            </w:r>
          </w:p>
        </w:tc>
        <w:tc>
          <w:tcPr>
            <w:tcW w:w="907" w:type="pct"/>
            <w:tcBorders>
              <w:top w:val="single" w:color="auto" w:sz="4" w:space="0"/>
              <w:left w:val="single" w:color="auto" w:sz="4" w:space="0"/>
              <w:bottom w:val="single" w:color="auto" w:sz="4" w:space="0"/>
              <w:right w:val="single" w:color="auto" w:sz="4" w:space="0"/>
            </w:tcBorders>
            <w:vAlign w:val="center"/>
          </w:tcPr>
          <w:p w14:paraId="52C48D7F">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snapToGrid w:val="0"/>
                <w:color w:val="auto"/>
                <w:sz w:val="21"/>
                <w:szCs w:val="21"/>
              </w:rPr>
              <w:t>投标人填写</w:t>
            </w:r>
          </w:p>
        </w:tc>
      </w:tr>
      <w:tr w14:paraId="4B03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6" w:type="pct"/>
            <w:tcBorders>
              <w:top w:val="single" w:color="auto" w:sz="4" w:space="0"/>
              <w:left w:val="single" w:color="auto" w:sz="4" w:space="0"/>
              <w:bottom w:val="single" w:color="auto" w:sz="4" w:space="0"/>
              <w:right w:val="single" w:color="auto" w:sz="4" w:space="0"/>
            </w:tcBorders>
            <w:vAlign w:val="center"/>
          </w:tcPr>
          <w:p w14:paraId="643A53DC">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2</w:t>
            </w:r>
          </w:p>
        </w:tc>
        <w:tc>
          <w:tcPr>
            <w:tcW w:w="1024" w:type="pct"/>
            <w:tcBorders>
              <w:top w:val="single" w:color="auto" w:sz="4" w:space="0"/>
              <w:left w:val="single" w:color="auto" w:sz="4" w:space="0"/>
              <w:bottom w:val="single" w:color="auto" w:sz="4" w:space="0"/>
              <w:right w:val="single" w:color="auto" w:sz="4" w:space="0"/>
            </w:tcBorders>
            <w:vAlign w:val="center"/>
          </w:tcPr>
          <w:p w14:paraId="7A9B87B8">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1312" w:type="pct"/>
            <w:tcBorders>
              <w:top w:val="single" w:color="auto" w:sz="4" w:space="0"/>
              <w:left w:val="single" w:color="auto" w:sz="4" w:space="0"/>
              <w:bottom w:val="single" w:color="auto" w:sz="4" w:space="0"/>
              <w:right w:val="single" w:color="auto" w:sz="4" w:space="0"/>
            </w:tcBorders>
            <w:vAlign w:val="center"/>
          </w:tcPr>
          <w:p w14:paraId="78D5D405">
            <w:pPr>
              <w:autoSpaceDE w:val="0"/>
              <w:autoSpaceDN w:val="0"/>
              <w:spacing w:beforeLines="0" w:line="240" w:lineRule="auto"/>
              <w:ind w:left="0" w:leftChars="0" w:firstLine="0" w:firstLineChars="0"/>
              <w:jc w:val="center"/>
              <w:rPr>
                <w:snapToGrid w:val="0"/>
                <w:color w:val="auto"/>
                <w:sz w:val="21"/>
                <w:szCs w:val="21"/>
              </w:rPr>
            </w:pPr>
          </w:p>
        </w:tc>
        <w:tc>
          <w:tcPr>
            <w:tcW w:w="529" w:type="pct"/>
            <w:tcBorders>
              <w:top w:val="single" w:color="auto" w:sz="4" w:space="0"/>
              <w:left w:val="single" w:color="auto" w:sz="4" w:space="0"/>
              <w:bottom w:val="single" w:color="auto" w:sz="4" w:space="0"/>
              <w:right w:val="single" w:color="auto" w:sz="4" w:space="0"/>
            </w:tcBorders>
            <w:vAlign w:val="center"/>
          </w:tcPr>
          <w:p w14:paraId="1F92C8EE">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832" w:type="pct"/>
            <w:tcBorders>
              <w:top w:val="single" w:color="auto" w:sz="4" w:space="0"/>
              <w:left w:val="single" w:color="auto" w:sz="4" w:space="0"/>
              <w:bottom w:val="single" w:color="auto" w:sz="4" w:space="0"/>
              <w:right w:val="single" w:color="auto" w:sz="4" w:space="0"/>
            </w:tcBorders>
            <w:vAlign w:val="center"/>
          </w:tcPr>
          <w:p w14:paraId="54140E89">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907" w:type="pct"/>
            <w:tcBorders>
              <w:top w:val="single" w:color="auto" w:sz="4" w:space="0"/>
              <w:left w:val="single" w:color="auto" w:sz="4" w:space="0"/>
              <w:bottom w:val="single" w:color="auto" w:sz="4" w:space="0"/>
              <w:right w:val="single" w:color="auto" w:sz="4" w:space="0"/>
            </w:tcBorders>
            <w:vAlign w:val="center"/>
          </w:tcPr>
          <w:p w14:paraId="097924A0">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r>
    </w:tbl>
    <w:p w14:paraId="2523AE17">
      <w:pPr>
        <w:autoSpaceDE w:val="0"/>
        <w:autoSpaceDN w:val="0"/>
        <w:spacing w:before="156"/>
        <w:ind w:left="369" w:leftChars="71" w:hanging="199" w:hangingChars="83"/>
        <w:jc w:val="center"/>
        <w:rPr>
          <w:snapToGrid w:val="0"/>
          <w:color w:val="auto"/>
        </w:rPr>
      </w:pPr>
    </w:p>
    <w:p w14:paraId="77ED04F9">
      <w:pPr>
        <w:autoSpaceDE w:val="0"/>
        <w:autoSpaceDN w:val="0"/>
        <w:spacing w:before="156"/>
        <w:ind w:left="369" w:leftChars="71" w:hanging="199" w:hangingChars="83"/>
        <w:jc w:val="center"/>
        <w:rPr>
          <w:rFonts w:cs="Times New Roman"/>
          <w:snapToGrid w:val="0"/>
          <w:color w:val="auto"/>
        </w:rPr>
      </w:pPr>
      <w:r>
        <w:rPr>
          <w:rFonts w:hint="eastAsia"/>
          <w:snapToGrid w:val="0"/>
          <w:color w:val="auto"/>
        </w:rPr>
        <w:t>备品备件交货进度表</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379"/>
        <w:gridCol w:w="1260"/>
        <w:gridCol w:w="661"/>
        <w:gridCol w:w="2529"/>
        <w:gridCol w:w="987"/>
      </w:tblGrid>
      <w:tr w14:paraId="76BF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14" w:type="pct"/>
            <w:tcBorders>
              <w:top w:val="single" w:color="auto" w:sz="4" w:space="0"/>
              <w:left w:val="single" w:color="auto" w:sz="4" w:space="0"/>
              <w:bottom w:val="single" w:color="auto" w:sz="4" w:space="0"/>
              <w:right w:val="single" w:color="auto" w:sz="4" w:space="0"/>
            </w:tcBorders>
            <w:vAlign w:val="center"/>
          </w:tcPr>
          <w:p w14:paraId="12EC2B0E">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序号</w:t>
            </w:r>
          </w:p>
        </w:tc>
        <w:tc>
          <w:tcPr>
            <w:tcW w:w="1396" w:type="pct"/>
            <w:tcBorders>
              <w:top w:val="single" w:color="auto" w:sz="4" w:space="0"/>
              <w:left w:val="single" w:color="auto" w:sz="4" w:space="0"/>
              <w:bottom w:val="single" w:color="auto" w:sz="4" w:space="0"/>
              <w:right w:val="single" w:color="auto" w:sz="4" w:space="0"/>
            </w:tcBorders>
            <w:vAlign w:val="center"/>
          </w:tcPr>
          <w:p w14:paraId="068C6C95">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设备/部件名称/型号</w:t>
            </w:r>
          </w:p>
        </w:tc>
        <w:tc>
          <w:tcPr>
            <w:tcW w:w="739" w:type="pct"/>
            <w:tcBorders>
              <w:top w:val="single" w:color="auto" w:sz="4" w:space="0"/>
              <w:left w:val="single" w:color="auto" w:sz="4" w:space="0"/>
              <w:bottom w:val="single" w:color="auto" w:sz="4" w:space="0"/>
              <w:right w:val="single" w:color="auto" w:sz="4" w:space="0"/>
            </w:tcBorders>
            <w:vAlign w:val="center"/>
          </w:tcPr>
          <w:p w14:paraId="71E3EE88">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发运地点</w:t>
            </w:r>
          </w:p>
        </w:tc>
        <w:tc>
          <w:tcPr>
            <w:tcW w:w="388" w:type="pct"/>
            <w:tcBorders>
              <w:top w:val="single" w:color="auto" w:sz="4" w:space="0"/>
              <w:left w:val="single" w:color="auto" w:sz="4" w:space="0"/>
              <w:bottom w:val="single" w:color="auto" w:sz="4" w:space="0"/>
              <w:right w:val="single" w:color="auto" w:sz="4" w:space="0"/>
            </w:tcBorders>
            <w:vAlign w:val="center"/>
          </w:tcPr>
          <w:p w14:paraId="46CED2F2">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数量</w:t>
            </w:r>
          </w:p>
        </w:tc>
        <w:tc>
          <w:tcPr>
            <w:tcW w:w="1484" w:type="pct"/>
            <w:tcBorders>
              <w:top w:val="single" w:color="auto" w:sz="4" w:space="0"/>
              <w:left w:val="single" w:color="auto" w:sz="4" w:space="0"/>
              <w:bottom w:val="single" w:color="auto" w:sz="4" w:space="0"/>
              <w:right w:val="single" w:color="auto" w:sz="4" w:space="0"/>
            </w:tcBorders>
            <w:vAlign w:val="center"/>
          </w:tcPr>
          <w:p w14:paraId="400C4AB8">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交货时间</w:t>
            </w:r>
          </w:p>
        </w:tc>
        <w:tc>
          <w:tcPr>
            <w:tcW w:w="579" w:type="pct"/>
            <w:tcBorders>
              <w:top w:val="single" w:color="auto" w:sz="4" w:space="0"/>
              <w:left w:val="single" w:color="auto" w:sz="4" w:space="0"/>
              <w:bottom w:val="single" w:color="auto" w:sz="4" w:space="0"/>
              <w:right w:val="single" w:color="auto" w:sz="4" w:space="0"/>
            </w:tcBorders>
            <w:vAlign w:val="center"/>
          </w:tcPr>
          <w:p w14:paraId="76B28429">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重量</w:t>
            </w:r>
          </w:p>
        </w:tc>
      </w:tr>
      <w:tr w14:paraId="64CE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4" w:type="pct"/>
            <w:tcBorders>
              <w:top w:val="single" w:color="auto" w:sz="4" w:space="0"/>
              <w:left w:val="single" w:color="auto" w:sz="4" w:space="0"/>
              <w:bottom w:val="single" w:color="auto" w:sz="4" w:space="0"/>
              <w:right w:val="single" w:color="auto" w:sz="4" w:space="0"/>
            </w:tcBorders>
          </w:tcPr>
          <w:p w14:paraId="6F62905A">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1</w:t>
            </w:r>
          </w:p>
        </w:tc>
        <w:tc>
          <w:tcPr>
            <w:tcW w:w="1396" w:type="pct"/>
            <w:tcBorders>
              <w:top w:val="single" w:color="auto" w:sz="4" w:space="0"/>
              <w:left w:val="single" w:color="auto" w:sz="4" w:space="0"/>
              <w:bottom w:val="single" w:color="auto" w:sz="4" w:space="0"/>
              <w:right w:val="single" w:color="auto" w:sz="4" w:space="0"/>
            </w:tcBorders>
          </w:tcPr>
          <w:p w14:paraId="3DD148A0">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739" w:type="pct"/>
            <w:tcBorders>
              <w:top w:val="single" w:color="auto" w:sz="4" w:space="0"/>
              <w:left w:val="single" w:color="auto" w:sz="4" w:space="0"/>
              <w:bottom w:val="single" w:color="auto" w:sz="4" w:space="0"/>
              <w:right w:val="single" w:color="auto" w:sz="4" w:space="0"/>
            </w:tcBorders>
          </w:tcPr>
          <w:p w14:paraId="4028C4FE">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388" w:type="pct"/>
            <w:tcBorders>
              <w:top w:val="single" w:color="auto" w:sz="4" w:space="0"/>
              <w:left w:val="single" w:color="auto" w:sz="4" w:space="0"/>
              <w:bottom w:val="single" w:color="auto" w:sz="4" w:space="0"/>
              <w:right w:val="single" w:color="auto" w:sz="4" w:space="0"/>
            </w:tcBorders>
          </w:tcPr>
          <w:p w14:paraId="7A47DF2B">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1484" w:type="pct"/>
            <w:vMerge w:val="restart"/>
            <w:tcBorders>
              <w:top w:val="single" w:color="auto" w:sz="4" w:space="0"/>
              <w:left w:val="single" w:color="auto" w:sz="4" w:space="0"/>
              <w:bottom w:val="single" w:color="auto" w:sz="4" w:space="0"/>
              <w:right w:val="single" w:color="auto" w:sz="4" w:space="0"/>
            </w:tcBorders>
          </w:tcPr>
          <w:p w14:paraId="45F03189">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579" w:type="pct"/>
            <w:tcBorders>
              <w:top w:val="single" w:color="auto" w:sz="4" w:space="0"/>
              <w:left w:val="single" w:color="auto" w:sz="4" w:space="0"/>
              <w:bottom w:val="single" w:color="auto" w:sz="4" w:space="0"/>
              <w:right w:val="single" w:color="auto" w:sz="4" w:space="0"/>
            </w:tcBorders>
          </w:tcPr>
          <w:p w14:paraId="74ED2ADC">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r>
      <w:tr w14:paraId="7DB9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4" w:type="pct"/>
            <w:tcBorders>
              <w:top w:val="single" w:color="auto" w:sz="4" w:space="0"/>
              <w:left w:val="single" w:color="auto" w:sz="4" w:space="0"/>
              <w:bottom w:val="single" w:color="auto" w:sz="4" w:space="0"/>
              <w:right w:val="single" w:color="auto" w:sz="4" w:space="0"/>
            </w:tcBorders>
          </w:tcPr>
          <w:p w14:paraId="21081E11">
            <w:pPr>
              <w:widowControl w:val="0"/>
              <w:autoSpaceDE w:val="0"/>
              <w:autoSpaceDN w:val="0"/>
              <w:adjustRightInd w:val="0"/>
              <w:spacing w:beforeLines="0" w:line="240" w:lineRule="auto"/>
              <w:ind w:left="0" w:leftChars="0" w:firstLine="0" w:firstLineChars="0"/>
              <w:jc w:val="center"/>
              <w:rPr>
                <w:snapToGrid w:val="0"/>
                <w:color w:val="auto"/>
                <w:sz w:val="21"/>
                <w:szCs w:val="21"/>
              </w:rPr>
            </w:pPr>
            <w:r>
              <w:rPr>
                <w:rFonts w:hint="eastAsia"/>
                <w:snapToGrid w:val="0"/>
                <w:color w:val="auto"/>
                <w:sz w:val="21"/>
                <w:szCs w:val="21"/>
              </w:rPr>
              <w:t>2</w:t>
            </w:r>
          </w:p>
        </w:tc>
        <w:tc>
          <w:tcPr>
            <w:tcW w:w="1396" w:type="pct"/>
            <w:tcBorders>
              <w:top w:val="single" w:color="auto" w:sz="4" w:space="0"/>
              <w:left w:val="single" w:color="auto" w:sz="4" w:space="0"/>
              <w:bottom w:val="single" w:color="auto" w:sz="4" w:space="0"/>
              <w:right w:val="single" w:color="auto" w:sz="4" w:space="0"/>
            </w:tcBorders>
          </w:tcPr>
          <w:p w14:paraId="17C1F74E">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739" w:type="pct"/>
            <w:tcBorders>
              <w:top w:val="single" w:color="auto" w:sz="4" w:space="0"/>
              <w:left w:val="single" w:color="auto" w:sz="4" w:space="0"/>
              <w:bottom w:val="single" w:color="auto" w:sz="4" w:space="0"/>
              <w:right w:val="single" w:color="auto" w:sz="4" w:space="0"/>
            </w:tcBorders>
          </w:tcPr>
          <w:p w14:paraId="0EF2734C">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388" w:type="pct"/>
            <w:tcBorders>
              <w:top w:val="single" w:color="auto" w:sz="4" w:space="0"/>
              <w:left w:val="single" w:color="auto" w:sz="4" w:space="0"/>
              <w:bottom w:val="single" w:color="auto" w:sz="4" w:space="0"/>
              <w:right w:val="single" w:color="auto" w:sz="4" w:space="0"/>
            </w:tcBorders>
          </w:tcPr>
          <w:p w14:paraId="2E60B239">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c>
          <w:tcPr>
            <w:tcW w:w="1484" w:type="pct"/>
            <w:vMerge w:val="continue"/>
            <w:tcBorders>
              <w:top w:val="single" w:color="auto" w:sz="4" w:space="0"/>
              <w:left w:val="single" w:color="auto" w:sz="4" w:space="0"/>
              <w:bottom w:val="single" w:color="auto" w:sz="4" w:space="0"/>
              <w:right w:val="single" w:color="auto" w:sz="4" w:space="0"/>
            </w:tcBorders>
            <w:vAlign w:val="center"/>
          </w:tcPr>
          <w:p w14:paraId="3ACB6098">
            <w:pPr>
              <w:spacing w:beforeLines="0" w:line="240" w:lineRule="auto"/>
              <w:ind w:left="0" w:leftChars="0" w:firstLine="0" w:firstLineChars="0"/>
              <w:rPr>
                <w:snapToGrid w:val="0"/>
                <w:color w:val="auto"/>
                <w:sz w:val="21"/>
                <w:szCs w:val="21"/>
              </w:rPr>
            </w:pPr>
          </w:p>
        </w:tc>
        <w:tc>
          <w:tcPr>
            <w:tcW w:w="579" w:type="pct"/>
            <w:tcBorders>
              <w:top w:val="single" w:color="auto" w:sz="4" w:space="0"/>
              <w:left w:val="single" w:color="auto" w:sz="4" w:space="0"/>
              <w:bottom w:val="single" w:color="auto" w:sz="4" w:space="0"/>
              <w:right w:val="single" w:color="auto" w:sz="4" w:space="0"/>
            </w:tcBorders>
          </w:tcPr>
          <w:p w14:paraId="1429EB09">
            <w:pPr>
              <w:widowControl w:val="0"/>
              <w:autoSpaceDE w:val="0"/>
              <w:autoSpaceDN w:val="0"/>
              <w:adjustRightInd w:val="0"/>
              <w:spacing w:beforeLines="0" w:line="240" w:lineRule="auto"/>
              <w:ind w:left="0" w:leftChars="0" w:firstLine="0" w:firstLineChars="0"/>
              <w:jc w:val="center"/>
              <w:rPr>
                <w:snapToGrid w:val="0"/>
                <w:color w:val="auto"/>
                <w:sz w:val="21"/>
                <w:szCs w:val="21"/>
              </w:rPr>
            </w:pPr>
          </w:p>
        </w:tc>
      </w:tr>
    </w:tbl>
    <w:p w14:paraId="2A78A418">
      <w:pPr>
        <w:spacing w:beforeLines="0"/>
        <w:ind w:left="0" w:leftChars="0" w:firstLine="0" w:firstLineChars="0"/>
        <w:rPr>
          <w:rFonts w:cs="宋体"/>
          <w:bCs/>
          <w:color w:val="auto"/>
        </w:rPr>
      </w:pPr>
      <w:r>
        <w:rPr>
          <w:rFonts w:hint="eastAsia" w:cs="宋体"/>
          <w:bCs/>
          <w:color w:val="auto"/>
        </w:rPr>
        <w:t>说明：</w:t>
      </w:r>
    </w:p>
    <w:p w14:paraId="79553A46">
      <w:pPr>
        <w:spacing w:beforeLines="0"/>
        <w:ind w:left="0" w:leftChars="0" w:firstLine="0" w:firstLineChars="0"/>
        <w:rPr>
          <w:rFonts w:cs="宋体"/>
          <w:bCs/>
          <w:color w:val="auto"/>
        </w:rPr>
      </w:pPr>
      <w:r>
        <w:rPr>
          <w:rFonts w:hint="eastAsia" w:cs="宋体"/>
          <w:bCs/>
          <w:color w:val="auto"/>
        </w:rPr>
        <w:t>1、交货日期指该批设备到现场的日期；（对于车运，交货地点为招标人指定现场。）</w:t>
      </w:r>
    </w:p>
    <w:p w14:paraId="03CC93E2">
      <w:pPr>
        <w:spacing w:beforeLines="0"/>
        <w:ind w:left="0" w:leftChars="0" w:firstLine="0" w:firstLineChars="0"/>
        <w:outlineLvl w:val="0"/>
        <w:rPr>
          <w:rFonts w:cs="宋体"/>
          <w:bCs/>
          <w:color w:val="auto"/>
        </w:rPr>
      </w:pPr>
      <w:r>
        <w:rPr>
          <w:rFonts w:hint="eastAsia" w:cs="宋体"/>
          <w:bCs/>
          <w:color w:val="auto"/>
        </w:rPr>
        <w:t>2、设备到达现场，投标人派人到现场办理交接；</w:t>
      </w:r>
    </w:p>
    <w:p w14:paraId="30BE3EBC">
      <w:pPr>
        <w:spacing w:beforeLines="0"/>
        <w:ind w:left="0" w:leftChars="0" w:firstLine="0" w:firstLineChars="0"/>
        <w:rPr>
          <w:rFonts w:cs="宋体"/>
          <w:bCs/>
          <w:color w:val="auto"/>
        </w:rPr>
      </w:pPr>
      <w:r>
        <w:rPr>
          <w:rFonts w:hint="eastAsia" w:cs="宋体"/>
          <w:bCs/>
          <w:color w:val="auto"/>
        </w:rPr>
        <w:t>3、备品备件及专用工具单独包装，注明“备品备件”标示，与主设备装在同一箱内，一起发货。</w:t>
      </w:r>
    </w:p>
    <w:p w14:paraId="470147CC">
      <w:pPr>
        <w:spacing w:beforeLines="0"/>
        <w:ind w:left="0" w:leftChars="0" w:firstLine="0" w:firstLineChars="0"/>
        <w:rPr>
          <w:rFonts w:cs="宋体"/>
          <w:bCs/>
          <w:color w:val="auto"/>
        </w:rPr>
      </w:pPr>
      <w:r>
        <w:rPr>
          <w:rFonts w:hint="eastAsia" w:cs="宋体"/>
          <w:bCs/>
          <w:color w:val="auto"/>
        </w:rPr>
        <w:t>4、本交货时间为暂定计划，具体交货时间待合同谈判时确定，投标人须满足工程进度的要求。如有变动，招标人将提前30天以书面形式通知投标人，投标人应按招标人要求供货，并不发生任何费用。</w:t>
      </w:r>
    </w:p>
    <w:p w14:paraId="79831E89">
      <w:pPr>
        <w:spacing w:beforeLines="0"/>
        <w:ind w:left="0" w:leftChars="0" w:firstLine="0" w:firstLineChars="0"/>
        <w:rPr>
          <w:rFonts w:cs="宋体"/>
          <w:bCs/>
          <w:color w:val="auto"/>
        </w:rPr>
      </w:pPr>
    </w:p>
    <w:p w14:paraId="453CCAC1">
      <w:pPr>
        <w:pStyle w:val="2"/>
        <w:spacing w:before="240" w:after="240"/>
        <w:rPr>
          <w:color w:val="auto"/>
        </w:rPr>
      </w:pPr>
      <w:bookmarkStart w:id="55" w:name="_Toc195428971"/>
      <w:bookmarkStart w:id="56" w:name="_Toc500238109"/>
      <w:bookmarkStart w:id="57" w:name="_Toc118724529"/>
    </w:p>
    <w:p w14:paraId="310C223F">
      <w:pPr>
        <w:pStyle w:val="2"/>
        <w:spacing w:before="240" w:after="240"/>
        <w:rPr>
          <w:color w:val="auto"/>
        </w:rPr>
      </w:pPr>
    </w:p>
    <w:p w14:paraId="32F931A3">
      <w:pPr>
        <w:pStyle w:val="2"/>
        <w:spacing w:before="240" w:after="240"/>
        <w:rPr>
          <w:color w:val="auto"/>
        </w:rPr>
      </w:pPr>
      <w:r>
        <w:rPr>
          <w:rFonts w:hint="eastAsia"/>
          <w:color w:val="auto"/>
        </w:rPr>
        <w:t>附件5、设备监造、检验和性能验收试验</w:t>
      </w:r>
      <w:bookmarkEnd w:id="55"/>
      <w:bookmarkEnd w:id="56"/>
      <w:bookmarkEnd w:id="57"/>
    </w:p>
    <w:p w14:paraId="047580EF">
      <w:pPr>
        <w:spacing w:beforeLines="0"/>
        <w:ind w:left="482" w:leftChars="0" w:hanging="482"/>
        <w:outlineLvl w:val="0"/>
        <w:rPr>
          <w:b/>
          <w:color w:val="auto"/>
        </w:rPr>
      </w:pPr>
      <w:bookmarkStart w:id="58" w:name="_Toc195428972"/>
      <w:r>
        <w:rPr>
          <w:b/>
          <w:color w:val="auto"/>
        </w:rPr>
        <w:t>1</w:t>
      </w:r>
      <w:r>
        <w:rPr>
          <w:rFonts w:hint="eastAsia"/>
          <w:b/>
          <w:color w:val="auto"/>
        </w:rPr>
        <w:t>、概述</w:t>
      </w:r>
      <w:bookmarkEnd w:id="58"/>
    </w:p>
    <w:p w14:paraId="2768BBC4">
      <w:pPr>
        <w:autoSpaceDE w:val="0"/>
        <w:autoSpaceDN w:val="0"/>
        <w:spacing w:beforeLines="0"/>
        <w:ind w:left="0" w:leftChars="0" w:firstLine="0" w:firstLineChars="0"/>
        <w:jc w:val="both"/>
        <w:rPr>
          <w:snapToGrid w:val="0"/>
          <w:color w:val="auto"/>
        </w:rPr>
      </w:pPr>
      <w:bookmarkStart w:id="59" w:name="_Toc67217654"/>
      <w:r>
        <w:rPr>
          <w:rFonts w:hint="eastAsia"/>
          <w:snapToGrid w:val="0"/>
          <w:color w:val="auto"/>
        </w:rPr>
        <w:t>1.1、本章用于合同执行期间对投标人所提供的设备（包括对分包外购设备）进行检验、监造和性能验收试验，确保投标人所提供的设备符合附件1规定的要求。</w:t>
      </w:r>
      <w:bookmarkEnd w:id="59"/>
    </w:p>
    <w:p w14:paraId="022B3E84">
      <w:pPr>
        <w:spacing w:beforeLines="0"/>
        <w:ind w:left="0" w:leftChars="0" w:firstLine="0" w:firstLineChars="0"/>
        <w:rPr>
          <w:rFonts w:cs="宋体"/>
          <w:bCs/>
          <w:color w:val="auto"/>
        </w:rPr>
      </w:pPr>
      <w:r>
        <w:rPr>
          <w:rFonts w:hint="eastAsia"/>
          <w:snapToGrid w:val="0"/>
          <w:color w:val="auto"/>
        </w:rPr>
        <w:t>1.2、投标人将在技术协议签订30日内，向招标人提供与本合同设备有关的监造、检验、性能验收试验标准。有关标准应符合第一章的规定</w:t>
      </w:r>
      <w:r>
        <w:rPr>
          <w:rFonts w:hint="eastAsia" w:cs="宋体"/>
          <w:bCs/>
          <w:color w:val="auto"/>
        </w:rPr>
        <w:t>。</w:t>
      </w:r>
    </w:p>
    <w:p w14:paraId="7BD38975">
      <w:pPr>
        <w:spacing w:beforeLines="0"/>
        <w:ind w:left="482" w:leftChars="0" w:hanging="482"/>
        <w:outlineLvl w:val="0"/>
        <w:rPr>
          <w:b/>
          <w:color w:val="auto"/>
        </w:rPr>
      </w:pPr>
      <w:bookmarkStart w:id="60" w:name="_Toc195428973"/>
      <w:r>
        <w:rPr>
          <w:b/>
          <w:color w:val="auto"/>
        </w:rPr>
        <w:t>2</w:t>
      </w:r>
      <w:r>
        <w:rPr>
          <w:rFonts w:hint="eastAsia"/>
          <w:b/>
          <w:color w:val="auto"/>
        </w:rPr>
        <w:t>、工厂检验</w:t>
      </w:r>
      <w:bookmarkEnd w:id="60"/>
    </w:p>
    <w:p w14:paraId="69F98919">
      <w:pPr>
        <w:autoSpaceDE w:val="0"/>
        <w:autoSpaceDN w:val="0"/>
        <w:spacing w:beforeLines="0"/>
        <w:ind w:left="0" w:leftChars="0" w:firstLine="0" w:firstLineChars="0"/>
        <w:jc w:val="both"/>
        <w:rPr>
          <w:snapToGrid w:val="0"/>
          <w:color w:val="auto"/>
        </w:rPr>
      </w:pPr>
      <w:bookmarkStart w:id="61" w:name="_Toc67217657"/>
      <w:r>
        <w:rPr>
          <w:rFonts w:hint="eastAsia"/>
          <w:snapToGrid w:val="0"/>
          <w:color w:val="auto"/>
        </w:rPr>
        <w:t>2.1、工厂检验是质量控制的一个重要组成部分。投标人须严格进行厂内各生产环节的检验和试验。投标人提供的合同设备须签发质量证明、检验记录和测试报告，并且作为交货时质量证明文件的组成部分。</w:t>
      </w:r>
      <w:bookmarkEnd w:id="61"/>
    </w:p>
    <w:p w14:paraId="531D817F">
      <w:pPr>
        <w:autoSpaceDE w:val="0"/>
        <w:autoSpaceDN w:val="0"/>
        <w:spacing w:beforeLines="0"/>
        <w:ind w:left="0" w:leftChars="0" w:firstLine="0" w:firstLineChars="0"/>
        <w:jc w:val="both"/>
        <w:rPr>
          <w:snapToGrid w:val="0"/>
          <w:color w:val="auto"/>
        </w:rPr>
      </w:pPr>
      <w:bookmarkStart w:id="62" w:name="_Toc67217658"/>
      <w:r>
        <w:rPr>
          <w:rFonts w:hint="eastAsia"/>
          <w:snapToGrid w:val="0"/>
          <w:color w:val="auto"/>
        </w:rPr>
        <w:t>2.2、检验的范围包括原材料和元器件的进厂，部件的加工、组装、试验至出厂试验。</w:t>
      </w:r>
      <w:bookmarkEnd w:id="62"/>
    </w:p>
    <w:p w14:paraId="466FAA04">
      <w:pPr>
        <w:autoSpaceDE w:val="0"/>
        <w:autoSpaceDN w:val="0"/>
        <w:spacing w:beforeLines="0"/>
        <w:ind w:left="0" w:leftChars="0" w:firstLine="0" w:firstLineChars="0"/>
        <w:jc w:val="both"/>
        <w:rPr>
          <w:snapToGrid w:val="0"/>
          <w:color w:val="auto"/>
        </w:rPr>
      </w:pPr>
      <w:bookmarkStart w:id="63" w:name="_Toc67217659"/>
      <w:r>
        <w:rPr>
          <w:rFonts w:hint="eastAsia"/>
          <w:snapToGrid w:val="0"/>
          <w:color w:val="auto"/>
        </w:rPr>
        <w:t>2.3、投标人检验的结果要满足附件1的要求，如有不符之处或达不到标准要求，投标人要采取措施处理直至满足要求，同时向招标人提交不一致性报告。投标人发生重大质量问题时应将情况及时通知招标人。</w:t>
      </w:r>
      <w:bookmarkEnd w:id="63"/>
      <w:r>
        <w:rPr>
          <w:rFonts w:hint="eastAsia"/>
          <w:snapToGrid w:val="0"/>
          <w:color w:val="auto"/>
        </w:rPr>
        <w:t xml:space="preserve">  </w:t>
      </w:r>
    </w:p>
    <w:p w14:paraId="19D4351C">
      <w:pPr>
        <w:autoSpaceDE w:val="0"/>
        <w:autoSpaceDN w:val="0"/>
        <w:spacing w:beforeLines="0"/>
        <w:ind w:left="199" w:leftChars="0" w:hanging="199" w:hangingChars="83"/>
        <w:jc w:val="both"/>
        <w:outlineLvl w:val="1"/>
        <w:rPr>
          <w:snapToGrid w:val="0"/>
          <w:color w:val="auto"/>
        </w:rPr>
      </w:pPr>
      <w:bookmarkStart w:id="64" w:name="_Toc67217660"/>
      <w:r>
        <w:rPr>
          <w:rFonts w:hint="eastAsia"/>
          <w:snapToGrid w:val="0"/>
          <w:color w:val="auto"/>
        </w:rPr>
        <w:t>2.4、工厂检验的所有费用包括在合同总价之中。</w:t>
      </w:r>
      <w:bookmarkEnd w:id="64"/>
    </w:p>
    <w:p w14:paraId="41BE7D73">
      <w:pPr>
        <w:spacing w:beforeLines="0"/>
        <w:ind w:left="0" w:leftChars="0" w:firstLine="0" w:firstLineChars="0"/>
        <w:rPr>
          <w:rFonts w:cs="宋体"/>
          <w:bCs/>
          <w:color w:val="auto"/>
        </w:rPr>
      </w:pPr>
      <w:r>
        <w:rPr>
          <w:rFonts w:hint="eastAsia"/>
          <w:snapToGrid w:val="0"/>
          <w:color w:val="auto"/>
        </w:rPr>
        <w:t>2.5、投标人将至少提前15天将制造、组装等重要阶段的日期和工厂试验的日期、地点通知招标人参加检验。投标人向招标人提供全部工程试验文件经认可的副本</w:t>
      </w:r>
      <w:r>
        <w:rPr>
          <w:rFonts w:hint="eastAsia" w:cs="宋体"/>
          <w:bCs/>
          <w:color w:val="auto"/>
        </w:rPr>
        <w:t>。</w:t>
      </w:r>
    </w:p>
    <w:p w14:paraId="286AB000">
      <w:pPr>
        <w:spacing w:beforeLines="0"/>
        <w:ind w:left="0" w:leftChars="0" w:firstLine="0" w:firstLineChars="0"/>
        <w:rPr>
          <w:rFonts w:cs="宋体"/>
          <w:bCs/>
          <w:color w:val="auto"/>
        </w:rPr>
      </w:pPr>
      <w:r>
        <w:rPr>
          <w:rFonts w:hint="eastAsia" w:cs="宋体"/>
          <w:bCs/>
          <w:color w:val="auto"/>
        </w:rPr>
        <w:t>2.6、所有阀门需根据相关标准进行水压试验。在水压试验之前，阀门按壳体水压试验压力作三个受压循环。如果阀门进行补焊修理，则需重作水压试验。</w:t>
      </w:r>
    </w:p>
    <w:p w14:paraId="30FA9611">
      <w:pPr>
        <w:spacing w:beforeLines="0"/>
        <w:ind w:left="199" w:leftChars="0" w:hanging="199" w:hangingChars="83"/>
        <w:rPr>
          <w:rFonts w:cs="宋体"/>
          <w:bCs/>
          <w:color w:val="auto"/>
        </w:rPr>
      </w:pPr>
      <w:r>
        <w:rPr>
          <w:rFonts w:hint="eastAsia" w:cs="宋体"/>
          <w:bCs/>
          <w:color w:val="auto"/>
        </w:rPr>
        <w:t>2.7、阀门要进行严密性试验，阀门按MSS-SP-61的要求执行。</w:t>
      </w:r>
    </w:p>
    <w:p w14:paraId="1F4D924F">
      <w:pPr>
        <w:spacing w:beforeLines="0"/>
        <w:ind w:left="0" w:leftChars="0" w:firstLine="0" w:firstLineChars="0"/>
        <w:rPr>
          <w:rFonts w:cs="宋体"/>
          <w:bCs/>
          <w:color w:val="auto"/>
        </w:rPr>
      </w:pPr>
      <w:r>
        <w:rPr>
          <w:rFonts w:hint="eastAsia" w:cs="宋体"/>
          <w:bCs/>
          <w:color w:val="auto"/>
        </w:rPr>
        <w:t>2.8、阀门泄漏率试验的时间要足够长以确定泄漏率，但至少不少于5分钟。泄漏率要满足MSS-SP-6l的要求。</w:t>
      </w:r>
    </w:p>
    <w:p w14:paraId="1F04751A">
      <w:pPr>
        <w:spacing w:beforeLines="0"/>
        <w:ind w:left="0" w:leftChars="0" w:firstLine="0" w:firstLineChars="0"/>
        <w:rPr>
          <w:rFonts w:cs="宋体"/>
          <w:bCs/>
          <w:color w:val="auto"/>
        </w:rPr>
      </w:pPr>
      <w:r>
        <w:rPr>
          <w:rFonts w:hint="eastAsia" w:cs="宋体"/>
          <w:bCs/>
          <w:color w:val="auto"/>
        </w:rPr>
        <w:t>2.9、每个阀门的阀杆要进行密封试验，阀杆的密封应保证每25mm阀杆直径不超过lcc/hr，投标人将提供阀杆的密封面的泄漏率数据。</w:t>
      </w:r>
    </w:p>
    <w:p w14:paraId="49ABE33F">
      <w:pPr>
        <w:spacing w:beforeLines="0"/>
        <w:ind w:left="0" w:leftChars="0" w:firstLine="0" w:firstLineChars="0"/>
        <w:rPr>
          <w:rFonts w:cs="宋体"/>
          <w:bCs/>
          <w:color w:val="auto"/>
        </w:rPr>
      </w:pPr>
      <w:r>
        <w:rPr>
          <w:rFonts w:hint="eastAsia" w:cs="宋体"/>
          <w:bCs/>
          <w:color w:val="auto"/>
        </w:rPr>
        <w:t>2.10、对不锈钢零件的水压试验，其使用介质水的氯化物含量不超过lOOppm， 对其它阀门的水压试验可用生活水。</w:t>
      </w:r>
    </w:p>
    <w:p w14:paraId="0F038D1E">
      <w:pPr>
        <w:spacing w:beforeLines="0"/>
        <w:ind w:left="199" w:leftChars="0" w:hanging="199" w:hangingChars="83"/>
        <w:rPr>
          <w:rFonts w:cs="宋体"/>
          <w:bCs/>
          <w:color w:val="auto"/>
        </w:rPr>
      </w:pPr>
      <w:r>
        <w:rPr>
          <w:rFonts w:hint="eastAsia" w:cs="宋体"/>
          <w:bCs/>
          <w:color w:val="auto"/>
        </w:rPr>
        <w:t>2.11、所有阀门在装运之前要再次包装，水压试验时的包装要拆除。</w:t>
      </w:r>
    </w:p>
    <w:p w14:paraId="75E40E2F">
      <w:pPr>
        <w:spacing w:beforeLines="0"/>
        <w:ind w:left="199" w:leftChars="0" w:hanging="199" w:hangingChars="83"/>
        <w:rPr>
          <w:rFonts w:cs="宋体"/>
          <w:bCs/>
          <w:color w:val="auto"/>
        </w:rPr>
      </w:pPr>
    </w:p>
    <w:p w14:paraId="23A2AB98">
      <w:pPr>
        <w:spacing w:beforeLines="0"/>
        <w:ind w:left="482" w:leftChars="0" w:hanging="482"/>
        <w:outlineLvl w:val="0"/>
        <w:rPr>
          <w:b/>
          <w:color w:val="auto"/>
        </w:rPr>
      </w:pPr>
      <w:bookmarkStart w:id="65" w:name="_Toc195428974"/>
      <w:r>
        <w:rPr>
          <w:b/>
          <w:color w:val="auto"/>
        </w:rPr>
        <w:t>3</w:t>
      </w:r>
      <w:r>
        <w:rPr>
          <w:rFonts w:hint="eastAsia"/>
          <w:b/>
          <w:color w:val="auto"/>
        </w:rPr>
        <w:t>、设备监造</w:t>
      </w:r>
      <w:bookmarkEnd w:id="65"/>
    </w:p>
    <w:p w14:paraId="7D00D41F">
      <w:pPr>
        <w:autoSpaceDE w:val="0"/>
        <w:autoSpaceDN w:val="0"/>
        <w:spacing w:beforeLines="0"/>
        <w:ind w:left="480" w:leftChars="0" w:hanging="480"/>
        <w:jc w:val="both"/>
        <w:outlineLvl w:val="1"/>
        <w:rPr>
          <w:snapToGrid w:val="0"/>
          <w:color w:val="auto"/>
        </w:rPr>
      </w:pPr>
      <w:r>
        <w:rPr>
          <w:rFonts w:hint="eastAsia"/>
          <w:snapToGrid w:val="0"/>
          <w:color w:val="auto"/>
        </w:rPr>
        <w:t>3.1、监造依据</w:t>
      </w:r>
    </w:p>
    <w:p w14:paraId="5B0D1F25">
      <w:pPr>
        <w:autoSpaceDE w:val="0"/>
        <w:autoSpaceDN w:val="0"/>
        <w:spacing w:beforeLines="0"/>
        <w:ind w:left="0" w:leftChars="0" w:firstLine="480" w:firstLineChars="200"/>
        <w:jc w:val="both"/>
        <w:rPr>
          <w:snapToGrid w:val="0"/>
          <w:color w:val="auto"/>
        </w:rPr>
      </w:pPr>
      <w:r>
        <w:rPr>
          <w:rFonts w:hint="eastAsia"/>
          <w:snapToGrid w:val="0"/>
          <w:color w:val="auto"/>
        </w:rPr>
        <w:t>根据本合同和电力工业部、机械工业部文件电办（1995）37号《大型电力设备质量监造暂行规定》和《驻大型电力设备制造厂总代表组工作条例》的规定，以及国家有关规定。</w:t>
      </w:r>
    </w:p>
    <w:p w14:paraId="19A38423">
      <w:pPr>
        <w:autoSpaceDE w:val="0"/>
        <w:autoSpaceDN w:val="0"/>
        <w:spacing w:beforeLines="0"/>
        <w:ind w:left="0" w:leftChars="0" w:firstLine="0" w:firstLineChars="0"/>
        <w:jc w:val="both"/>
        <w:rPr>
          <w:snapToGrid w:val="0"/>
          <w:color w:val="auto"/>
        </w:rPr>
      </w:pPr>
      <w:r>
        <w:rPr>
          <w:rFonts w:hint="eastAsia"/>
          <w:snapToGrid w:val="0"/>
          <w:color w:val="auto"/>
        </w:rPr>
        <w:t>3.2、监造方式：文件见证、现场见证和停工待检，即R点、W点、H点。每次监造内容完成后，投标人和监造代表均须在见证表上履行签字手续。投标人复印3份，交监造代表1份。</w:t>
      </w:r>
    </w:p>
    <w:p w14:paraId="6243BACF">
      <w:pPr>
        <w:spacing w:beforeLines="0"/>
        <w:ind w:left="480" w:leftChars="0" w:hanging="480"/>
        <w:outlineLvl w:val="1"/>
        <w:rPr>
          <w:snapToGrid w:val="0"/>
          <w:color w:val="auto"/>
        </w:rPr>
      </w:pPr>
      <w:r>
        <w:rPr>
          <w:rFonts w:hint="eastAsia"/>
          <w:snapToGrid w:val="0"/>
          <w:color w:val="auto"/>
        </w:rPr>
        <w:t>3.3、设备监造内容（下表由投标人填写，招标人确认）：</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882"/>
        <w:gridCol w:w="1379"/>
        <w:gridCol w:w="1069"/>
        <w:gridCol w:w="1069"/>
        <w:gridCol w:w="1069"/>
        <w:gridCol w:w="1070"/>
      </w:tblGrid>
      <w:tr w14:paraId="2A13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pct"/>
            <w:vMerge w:val="restart"/>
            <w:tcBorders>
              <w:top w:val="single" w:color="auto" w:sz="4" w:space="0"/>
              <w:left w:val="single" w:color="auto" w:sz="4" w:space="0"/>
              <w:bottom w:val="single" w:color="auto" w:sz="4" w:space="0"/>
              <w:right w:val="single" w:color="auto" w:sz="4" w:space="0"/>
            </w:tcBorders>
            <w:vAlign w:val="center"/>
          </w:tcPr>
          <w:p w14:paraId="2CE1BF1A">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序号</w:t>
            </w:r>
          </w:p>
        </w:tc>
        <w:tc>
          <w:tcPr>
            <w:tcW w:w="1104" w:type="pct"/>
            <w:vMerge w:val="restart"/>
            <w:tcBorders>
              <w:top w:val="single" w:color="auto" w:sz="4" w:space="0"/>
              <w:left w:val="single" w:color="auto" w:sz="4" w:space="0"/>
              <w:bottom w:val="single" w:color="auto" w:sz="4" w:space="0"/>
              <w:right w:val="single" w:color="auto" w:sz="4" w:space="0"/>
            </w:tcBorders>
            <w:vAlign w:val="center"/>
          </w:tcPr>
          <w:p w14:paraId="15CCDA75">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监造部件名称</w:t>
            </w:r>
          </w:p>
        </w:tc>
        <w:tc>
          <w:tcPr>
            <w:tcW w:w="809" w:type="pct"/>
            <w:vMerge w:val="restart"/>
            <w:tcBorders>
              <w:top w:val="single" w:color="auto" w:sz="4" w:space="0"/>
              <w:left w:val="single" w:color="auto" w:sz="4" w:space="0"/>
              <w:bottom w:val="single" w:color="auto" w:sz="4" w:space="0"/>
              <w:right w:val="single" w:color="auto" w:sz="4" w:space="0"/>
            </w:tcBorders>
            <w:vAlign w:val="center"/>
          </w:tcPr>
          <w:p w14:paraId="34580C05">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监造内容</w:t>
            </w:r>
          </w:p>
        </w:tc>
        <w:tc>
          <w:tcPr>
            <w:tcW w:w="2509" w:type="pct"/>
            <w:gridSpan w:val="4"/>
            <w:tcBorders>
              <w:top w:val="single" w:color="auto" w:sz="4" w:space="0"/>
              <w:left w:val="single" w:color="auto" w:sz="4" w:space="0"/>
              <w:bottom w:val="single" w:color="auto" w:sz="4" w:space="0"/>
              <w:right w:val="single" w:color="auto" w:sz="4" w:space="0"/>
            </w:tcBorders>
            <w:vAlign w:val="center"/>
          </w:tcPr>
          <w:p w14:paraId="4D63EE6A">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监造方式</w:t>
            </w:r>
          </w:p>
        </w:tc>
      </w:tr>
      <w:tr w14:paraId="1FE0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pct"/>
            <w:vMerge w:val="continue"/>
            <w:tcBorders>
              <w:top w:val="single" w:color="auto" w:sz="4" w:space="0"/>
              <w:left w:val="single" w:color="auto" w:sz="4" w:space="0"/>
              <w:bottom w:val="single" w:color="auto" w:sz="4" w:space="0"/>
              <w:right w:val="single" w:color="auto" w:sz="4" w:space="0"/>
            </w:tcBorders>
            <w:vAlign w:val="center"/>
          </w:tcPr>
          <w:p w14:paraId="4C0489C8">
            <w:pPr>
              <w:spacing w:beforeLines="0" w:line="240" w:lineRule="auto"/>
              <w:ind w:left="420" w:leftChars="0" w:hanging="420"/>
              <w:rPr>
                <w:snapToGrid w:val="0"/>
                <w:color w:val="auto"/>
                <w:sz w:val="21"/>
                <w:szCs w:val="21"/>
              </w:rPr>
            </w:pPr>
          </w:p>
        </w:tc>
        <w:tc>
          <w:tcPr>
            <w:tcW w:w="1104" w:type="pct"/>
            <w:vMerge w:val="continue"/>
            <w:tcBorders>
              <w:top w:val="single" w:color="auto" w:sz="4" w:space="0"/>
              <w:left w:val="single" w:color="auto" w:sz="4" w:space="0"/>
              <w:bottom w:val="single" w:color="auto" w:sz="4" w:space="0"/>
              <w:right w:val="single" w:color="auto" w:sz="4" w:space="0"/>
            </w:tcBorders>
            <w:vAlign w:val="center"/>
          </w:tcPr>
          <w:p w14:paraId="1D63703A">
            <w:pPr>
              <w:spacing w:beforeLines="0" w:line="240" w:lineRule="auto"/>
              <w:ind w:left="420" w:leftChars="0" w:hanging="420"/>
              <w:rPr>
                <w:snapToGrid w:val="0"/>
                <w:color w:val="auto"/>
                <w:sz w:val="21"/>
                <w:szCs w:val="21"/>
              </w:rPr>
            </w:pPr>
          </w:p>
        </w:tc>
        <w:tc>
          <w:tcPr>
            <w:tcW w:w="809" w:type="pct"/>
            <w:vMerge w:val="continue"/>
            <w:tcBorders>
              <w:top w:val="single" w:color="auto" w:sz="4" w:space="0"/>
              <w:left w:val="single" w:color="auto" w:sz="4" w:space="0"/>
              <w:bottom w:val="single" w:color="auto" w:sz="4" w:space="0"/>
              <w:right w:val="single" w:color="auto" w:sz="4" w:space="0"/>
            </w:tcBorders>
            <w:vAlign w:val="center"/>
          </w:tcPr>
          <w:p w14:paraId="366475EC">
            <w:pPr>
              <w:spacing w:beforeLines="0" w:line="240" w:lineRule="auto"/>
              <w:ind w:left="420" w:leftChars="0" w:hanging="420"/>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45318A63">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H</w:t>
            </w:r>
          </w:p>
        </w:tc>
        <w:tc>
          <w:tcPr>
            <w:tcW w:w="627" w:type="pct"/>
            <w:tcBorders>
              <w:top w:val="single" w:color="auto" w:sz="4" w:space="0"/>
              <w:left w:val="single" w:color="auto" w:sz="4" w:space="0"/>
              <w:bottom w:val="single" w:color="auto" w:sz="4" w:space="0"/>
              <w:right w:val="single" w:color="auto" w:sz="4" w:space="0"/>
            </w:tcBorders>
            <w:vAlign w:val="center"/>
          </w:tcPr>
          <w:p w14:paraId="0578AB68">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W</w:t>
            </w:r>
          </w:p>
        </w:tc>
        <w:tc>
          <w:tcPr>
            <w:tcW w:w="627" w:type="pct"/>
            <w:tcBorders>
              <w:top w:val="single" w:color="auto" w:sz="4" w:space="0"/>
              <w:left w:val="single" w:color="auto" w:sz="4" w:space="0"/>
              <w:bottom w:val="single" w:color="auto" w:sz="4" w:space="0"/>
              <w:right w:val="single" w:color="auto" w:sz="4" w:space="0"/>
            </w:tcBorders>
            <w:vAlign w:val="center"/>
          </w:tcPr>
          <w:p w14:paraId="1C087417">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R</w:t>
            </w:r>
          </w:p>
        </w:tc>
        <w:tc>
          <w:tcPr>
            <w:tcW w:w="627" w:type="pct"/>
            <w:tcBorders>
              <w:top w:val="single" w:color="auto" w:sz="4" w:space="0"/>
              <w:left w:val="single" w:color="auto" w:sz="4" w:space="0"/>
              <w:bottom w:val="single" w:color="auto" w:sz="4" w:space="0"/>
              <w:right w:val="single" w:color="auto" w:sz="4" w:space="0"/>
            </w:tcBorders>
            <w:vAlign w:val="center"/>
          </w:tcPr>
          <w:p w14:paraId="545F82E6">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数量</w:t>
            </w:r>
          </w:p>
        </w:tc>
      </w:tr>
      <w:tr w14:paraId="7DA7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0B560AEA">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1</w:t>
            </w:r>
          </w:p>
        </w:tc>
        <w:tc>
          <w:tcPr>
            <w:tcW w:w="1104" w:type="pct"/>
            <w:tcBorders>
              <w:top w:val="single" w:color="auto" w:sz="4" w:space="0"/>
              <w:left w:val="single" w:color="auto" w:sz="4" w:space="0"/>
              <w:bottom w:val="single" w:color="auto" w:sz="4" w:space="0"/>
              <w:right w:val="single" w:color="auto" w:sz="4" w:space="0"/>
            </w:tcBorders>
            <w:vAlign w:val="center"/>
          </w:tcPr>
          <w:p w14:paraId="5848548B">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809" w:type="pct"/>
            <w:tcBorders>
              <w:top w:val="single" w:color="auto" w:sz="4" w:space="0"/>
              <w:left w:val="single" w:color="auto" w:sz="4" w:space="0"/>
              <w:bottom w:val="single" w:color="auto" w:sz="4" w:space="0"/>
              <w:right w:val="single" w:color="auto" w:sz="4" w:space="0"/>
            </w:tcBorders>
            <w:vAlign w:val="center"/>
          </w:tcPr>
          <w:p w14:paraId="06900695">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4103BBE9">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w:t>
            </w:r>
          </w:p>
        </w:tc>
        <w:tc>
          <w:tcPr>
            <w:tcW w:w="627" w:type="pct"/>
            <w:tcBorders>
              <w:top w:val="single" w:color="auto" w:sz="4" w:space="0"/>
              <w:left w:val="single" w:color="auto" w:sz="4" w:space="0"/>
              <w:bottom w:val="single" w:color="auto" w:sz="4" w:space="0"/>
              <w:right w:val="single" w:color="auto" w:sz="4" w:space="0"/>
            </w:tcBorders>
            <w:vAlign w:val="center"/>
          </w:tcPr>
          <w:p w14:paraId="4A7D939D">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w:t>
            </w:r>
          </w:p>
        </w:tc>
        <w:tc>
          <w:tcPr>
            <w:tcW w:w="627" w:type="pct"/>
            <w:tcBorders>
              <w:top w:val="single" w:color="auto" w:sz="4" w:space="0"/>
              <w:left w:val="single" w:color="auto" w:sz="4" w:space="0"/>
              <w:bottom w:val="single" w:color="auto" w:sz="4" w:space="0"/>
              <w:right w:val="single" w:color="auto" w:sz="4" w:space="0"/>
            </w:tcBorders>
            <w:vAlign w:val="center"/>
          </w:tcPr>
          <w:p w14:paraId="28628AA0">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w:t>
            </w:r>
          </w:p>
        </w:tc>
        <w:tc>
          <w:tcPr>
            <w:tcW w:w="627" w:type="pct"/>
            <w:tcBorders>
              <w:top w:val="single" w:color="auto" w:sz="4" w:space="0"/>
              <w:left w:val="single" w:color="auto" w:sz="4" w:space="0"/>
              <w:bottom w:val="single" w:color="auto" w:sz="4" w:space="0"/>
              <w:right w:val="single" w:color="auto" w:sz="4" w:space="0"/>
            </w:tcBorders>
            <w:vAlign w:val="center"/>
          </w:tcPr>
          <w:p w14:paraId="5F0EA8DA">
            <w:pPr>
              <w:widowControl w:val="0"/>
              <w:autoSpaceDE w:val="0"/>
              <w:autoSpaceDN w:val="0"/>
              <w:adjustRightInd w:val="0"/>
              <w:spacing w:beforeLines="0" w:line="240" w:lineRule="auto"/>
              <w:ind w:left="420" w:leftChars="0" w:hanging="420"/>
              <w:jc w:val="center"/>
              <w:rPr>
                <w:snapToGrid w:val="0"/>
                <w:color w:val="auto"/>
                <w:sz w:val="21"/>
                <w:szCs w:val="21"/>
              </w:rPr>
            </w:pPr>
          </w:p>
        </w:tc>
      </w:tr>
      <w:tr w14:paraId="2EB4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68D71DBD">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2</w:t>
            </w:r>
          </w:p>
        </w:tc>
        <w:tc>
          <w:tcPr>
            <w:tcW w:w="1104" w:type="pct"/>
            <w:tcBorders>
              <w:top w:val="single" w:color="auto" w:sz="4" w:space="0"/>
              <w:left w:val="single" w:color="auto" w:sz="4" w:space="0"/>
              <w:bottom w:val="single" w:color="auto" w:sz="4" w:space="0"/>
              <w:right w:val="single" w:color="auto" w:sz="4" w:space="0"/>
            </w:tcBorders>
            <w:vAlign w:val="center"/>
          </w:tcPr>
          <w:p w14:paraId="61212552">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809" w:type="pct"/>
            <w:tcBorders>
              <w:top w:val="single" w:color="auto" w:sz="4" w:space="0"/>
              <w:left w:val="single" w:color="auto" w:sz="4" w:space="0"/>
              <w:bottom w:val="single" w:color="auto" w:sz="4" w:space="0"/>
              <w:right w:val="single" w:color="auto" w:sz="4" w:space="0"/>
            </w:tcBorders>
            <w:vAlign w:val="center"/>
          </w:tcPr>
          <w:p w14:paraId="57F27A5B">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799D804B">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5745B8AE">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7327CB11">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62039EB5">
            <w:pPr>
              <w:widowControl w:val="0"/>
              <w:autoSpaceDE w:val="0"/>
              <w:autoSpaceDN w:val="0"/>
              <w:adjustRightInd w:val="0"/>
              <w:spacing w:beforeLines="0" w:line="240" w:lineRule="auto"/>
              <w:ind w:left="420" w:leftChars="0" w:hanging="420"/>
              <w:jc w:val="center"/>
              <w:rPr>
                <w:snapToGrid w:val="0"/>
                <w:color w:val="auto"/>
                <w:sz w:val="21"/>
                <w:szCs w:val="21"/>
              </w:rPr>
            </w:pPr>
          </w:p>
        </w:tc>
      </w:tr>
      <w:tr w14:paraId="2EFF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14:paraId="0F6C6212">
            <w:pPr>
              <w:widowControl w:val="0"/>
              <w:autoSpaceDE w:val="0"/>
              <w:autoSpaceDN w:val="0"/>
              <w:adjustRightInd w:val="0"/>
              <w:spacing w:beforeLines="0" w:line="240" w:lineRule="auto"/>
              <w:ind w:left="420" w:leftChars="0" w:hanging="420"/>
              <w:jc w:val="center"/>
              <w:rPr>
                <w:snapToGrid w:val="0"/>
                <w:color w:val="auto"/>
                <w:sz w:val="21"/>
                <w:szCs w:val="21"/>
              </w:rPr>
            </w:pPr>
            <w:r>
              <w:rPr>
                <w:rFonts w:hint="eastAsia"/>
                <w:snapToGrid w:val="0"/>
                <w:color w:val="auto"/>
                <w:sz w:val="21"/>
                <w:szCs w:val="21"/>
              </w:rPr>
              <w:t>3</w:t>
            </w:r>
          </w:p>
        </w:tc>
        <w:tc>
          <w:tcPr>
            <w:tcW w:w="1104" w:type="pct"/>
            <w:tcBorders>
              <w:top w:val="single" w:color="auto" w:sz="4" w:space="0"/>
              <w:left w:val="single" w:color="auto" w:sz="4" w:space="0"/>
              <w:bottom w:val="single" w:color="auto" w:sz="4" w:space="0"/>
              <w:right w:val="single" w:color="auto" w:sz="4" w:space="0"/>
            </w:tcBorders>
            <w:vAlign w:val="center"/>
          </w:tcPr>
          <w:p w14:paraId="66F4010C">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809" w:type="pct"/>
            <w:tcBorders>
              <w:top w:val="single" w:color="auto" w:sz="4" w:space="0"/>
              <w:left w:val="single" w:color="auto" w:sz="4" w:space="0"/>
              <w:bottom w:val="single" w:color="auto" w:sz="4" w:space="0"/>
              <w:right w:val="single" w:color="auto" w:sz="4" w:space="0"/>
            </w:tcBorders>
            <w:vAlign w:val="center"/>
          </w:tcPr>
          <w:p w14:paraId="2F9C8E23">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2078B238">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6795EA23">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4A2E8C52">
            <w:pPr>
              <w:widowControl w:val="0"/>
              <w:autoSpaceDE w:val="0"/>
              <w:autoSpaceDN w:val="0"/>
              <w:adjustRightInd w:val="0"/>
              <w:spacing w:beforeLines="0" w:line="240" w:lineRule="auto"/>
              <w:ind w:left="420" w:leftChars="0" w:hanging="420"/>
              <w:jc w:val="center"/>
              <w:rPr>
                <w:snapToGrid w:val="0"/>
                <w:color w:val="auto"/>
                <w:sz w:val="21"/>
                <w:szCs w:val="21"/>
              </w:rPr>
            </w:pPr>
          </w:p>
        </w:tc>
        <w:tc>
          <w:tcPr>
            <w:tcW w:w="627" w:type="pct"/>
            <w:tcBorders>
              <w:top w:val="single" w:color="auto" w:sz="4" w:space="0"/>
              <w:left w:val="single" w:color="auto" w:sz="4" w:space="0"/>
              <w:bottom w:val="single" w:color="auto" w:sz="4" w:space="0"/>
              <w:right w:val="single" w:color="auto" w:sz="4" w:space="0"/>
            </w:tcBorders>
            <w:vAlign w:val="center"/>
          </w:tcPr>
          <w:p w14:paraId="42787985">
            <w:pPr>
              <w:widowControl w:val="0"/>
              <w:autoSpaceDE w:val="0"/>
              <w:autoSpaceDN w:val="0"/>
              <w:adjustRightInd w:val="0"/>
              <w:spacing w:beforeLines="0" w:line="240" w:lineRule="auto"/>
              <w:ind w:left="420" w:leftChars="0" w:hanging="420"/>
              <w:jc w:val="center"/>
              <w:rPr>
                <w:snapToGrid w:val="0"/>
                <w:color w:val="auto"/>
                <w:sz w:val="21"/>
                <w:szCs w:val="21"/>
              </w:rPr>
            </w:pPr>
          </w:p>
        </w:tc>
      </w:tr>
    </w:tbl>
    <w:p w14:paraId="577E0DBE">
      <w:pPr>
        <w:autoSpaceDE w:val="0"/>
        <w:autoSpaceDN w:val="0"/>
        <w:spacing w:beforeLines="0"/>
        <w:ind w:left="480" w:leftChars="0" w:hanging="480"/>
        <w:jc w:val="both"/>
        <w:rPr>
          <w:rFonts w:cs="Times New Roman"/>
          <w:snapToGrid w:val="0"/>
          <w:color w:val="auto"/>
        </w:rPr>
      </w:pPr>
      <w:r>
        <w:rPr>
          <w:rFonts w:hint="eastAsia"/>
          <w:snapToGrid w:val="0"/>
          <w:color w:val="auto"/>
        </w:rPr>
        <w:t>注：H～停工待检，w～现场见证，R～文件见证，数量～检验数量</w:t>
      </w:r>
    </w:p>
    <w:p w14:paraId="5CB8C26A">
      <w:pPr>
        <w:spacing w:beforeLines="0"/>
        <w:ind w:left="480" w:leftChars="0" w:hanging="480"/>
        <w:outlineLvl w:val="1"/>
        <w:rPr>
          <w:rFonts w:cs="宋体"/>
          <w:bCs/>
          <w:color w:val="auto"/>
        </w:rPr>
      </w:pPr>
      <w:r>
        <w:rPr>
          <w:rFonts w:hint="eastAsia" w:cs="宋体"/>
          <w:bCs/>
          <w:color w:val="auto"/>
        </w:rPr>
        <w:t>3.4、对投标人配合监造的要求：</w:t>
      </w:r>
    </w:p>
    <w:p w14:paraId="416505D7">
      <w:pPr>
        <w:autoSpaceDE w:val="0"/>
        <w:autoSpaceDN w:val="0"/>
        <w:spacing w:beforeLines="0"/>
        <w:ind w:left="0" w:leftChars="0" w:firstLine="0" w:firstLineChars="0"/>
        <w:jc w:val="both"/>
        <w:rPr>
          <w:rFonts w:cs="Times New Roman"/>
          <w:snapToGrid w:val="0"/>
          <w:color w:val="auto"/>
        </w:rPr>
      </w:pPr>
      <w:r>
        <w:rPr>
          <w:rFonts w:hint="eastAsia"/>
          <w:snapToGrid w:val="0"/>
          <w:color w:val="auto"/>
        </w:rPr>
        <w:t>3.4.1、监造代表有权亲自观察任何一项或全部试验，监造代表在场观察试验的进行并不免除投标人对本合同承担责任。</w:t>
      </w:r>
    </w:p>
    <w:p w14:paraId="48D3DB7F">
      <w:pPr>
        <w:autoSpaceDE w:val="0"/>
        <w:autoSpaceDN w:val="0"/>
        <w:spacing w:beforeLines="0"/>
        <w:ind w:left="480" w:leftChars="0" w:hanging="480"/>
        <w:jc w:val="both"/>
        <w:rPr>
          <w:snapToGrid w:val="0"/>
          <w:color w:val="auto"/>
        </w:rPr>
      </w:pPr>
      <w:r>
        <w:rPr>
          <w:rFonts w:hint="eastAsia"/>
          <w:snapToGrid w:val="0"/>
          <w:color w:val="auto"/>
        </w:rPr>
        <w:t>3.4.2、投标人将向监造代表提供详细的质量监控点和技术资料。</w:t>
      </w:r>
    </w:p>
    <w:p w14:paraId="011F5C60">
      <w:pPr>
        <w:spacing w:beforeLines="0"/>
        <w:ind w:left="0" w:leftChars="0" w:firstLine="0" w:firstLineChars="0"/>
        <w:rPr>
          <w:rFonts w:cs="宋体"/>
          <w:bCs/>
          <w:color w:val="auto"/>
        </w:rPr>
      </w:pPr>
      <w:r>
        <w:rPr>
          <w:rFonts w:hint="eastAsia"/>
          <w:snapToGrid w:val="0"/>
          <w:color w:val="auto"/>
        </w:rPr>
        <w:t>3.4.3、投标人将提供监造和检验所需的物资、设施及其它条件，并向监造代表提供在当地的食宿和交通等方便。</w:t>
      </w:r>
    </w:p>
    <w:p w14:paraId="72733BEF">
      <w:pPr>
        <w:spacing w:beforeLines="0"/>
        <w:ind w:left="482" w:leftChars="0" w:hanging="482"/>
        <w:outlineLvl w:val="0"/>
        <w:rPr>
          <w:b/>
          <w:color w:val="auto"/>
        </w:rPr>
      </w:pPr>
      <w:bookmarkStart w:id="66" w:name="_Toc195428975"/>
      <w:r>
        <w:rPr>
          <w:b/>
          <w:color w:val="auto"/>
        </w:rPr>
        <w:t>4</w:t>
      </w:r>
      <w:r>
        <w:rPr>
          <w:rFonts w:hint="eastAsia"/>
          <w:b/>
          <w:color w:val="auto"/>
        </w:rPr>
        <w:t>、验收试验</w:t>
      </w:r>
      <w:bookmarkEnd w:id="66"/>
    </w:p>
    <w:p w14:paraId="1D6D2760">
      <w:pPr>
        <w:autoSpaceDE w:val="0"/>
        <w:autoSpaceDN w:val="0"/>
        <w:spacing w:beforeLines="0"/>
        <w:ind w:left="480" w:leftChars="0" w:hanging="480"/>
        <w:jc w:val="both"/>
        <w:rPr>
          <w:snapToGrid w:val="0"/>
          <w:color w:val="auto"/>
        </w:rPr>
      </w:pPr>
      <w:r>
        <w:rPr>
          <w:rFonts w:hint="eastAsia"/>
          <w:snapToGrid w:val="0"/>
          <w:color w:val="auto"/>
        </w:rPr>
        <w:t>4.1、性能验收试验的目的是为了检验合同设备的所有性能是否符合附件1的要求。</w:t>
      </w:r>
    </w:p>
    <w:p w14:paraId="6DFE3EF8">
      <w:pPr>
        <w:autoSpaceDE w:val="0"/>
        <w:autoSpaceDN w:val="0"/>
        <w:spacing w:beforeLines="0"/>
        <w:ind w:left="480" w:leftChars="0" w:hanging="480"/>
        <w:jc w:val="both"/>
        <w:rPr>
          <w:snapToGrid w:val="0"/>
          <w:color w:val="auto"/>
        </w:rPr>
      </w:pPr>
      <w:r>
        <w:rPr>
          <w:rFonts w:hint="eastAsia"/>
          <w:snapToGrid w:val="0"/>
          <w:color w:val="auto"/>
        </w:rPr>
        <w:t>4.2、性能验收试验的地点由合同确定，一般为招标人现场。</w:t>
      </w:r>
    </w:p>
    <w:p w14:paraId="68FB53BD">
      <w:pPr>
        <w:autoSpaceDE w:val="0"/>
        <w:autoSpaceDN w:val="0"/>
        <w:spacing w:beforeLines="0"/>
        <w:ind w:left="480" w:leftChars="0" w:hanging="480"/>
        <w:jc w:val="both"/>
        <w:rPr>
          <w:snapToGrid w:val="0"/>
          <w:color w:val="auto"/>
        </w:rPr>
      </w:pPr>
      <w:r>
        <w:rPr>
          <w:rFonts w:hint="eastAsia"/>
          <w:snapToGrid w:val="0"/>
          <w:color w:val="auto"/>
        </w:rPr>
        <w:t>4.3、性能试验的时间由双方协商确定。</w:t>
      </w:r>
    </w:p>
    <w:p w14:paraId="6FA84D04">
      <w:pPr>
        <w:autoSpaceDE w:val="0"/>
        <w:autoSpaceDN w:val="0"/>
        <w:spacing w:beforeLines="0"/>
        <w:ind w:left="0" w:leftChars="0" w:firstLine="0" w:firstLineChars="0"/>
        <w:jc w:val="both"/>
        <w:rPr>
          <w:snapToGrid w:val="0"/>
          <w:color w:val="auto"/>
        </w:rPr>
      </w:pPr>
      <w:r>
        <w:rPr>
          <w:rFonts w:hint="eastAsia"/>
          <w:snapToGrid w:val="0"/>
          <w:color w:val="auto"/>
        </w:rPr>
        <w:t>4.4、性能验收试验由有招标人主持，招、投标人参加。试验大纲由投标人提供，与招标人讨论后确定。如试验在现场进行，投标人要按本项4.7款要求进行配合；如试验在工厂进行，试验所需的人力和物力等由投标人提供。</w:t>
      </w:r>
    </w:p>
    <w:p w14:paraId="6B38D140">
      <w:pPr>
        <w:autoSpaceDE w:val="0"/>
        <w:autoSpaceDN w:val="0"/>
        <w:spacing w:beforeLines="0"/>
        <w:ind w:left="480" w:leftChars="0" w:hanging="480"/>
        <w:jc w:val="both"/>
        <w:rPr>
          <w:snapToGrid w:val="0"/>
          <w:color w:val="auto"/>
        </w:rPr>
      </w:pPr>
      <w:r>
        <w:rPr>
          <w:rFonts w:hint="eastAsia"/>
          <w:snapToGrid w:val="0"/>
          <w:color w:val="auto"/>
        </w:rPr>
        <w:t>4.5、性能验收试验的标准和方法：由投标人提供详细资料清单，招标人确认。</w:t>
      </w:r>
    </w:p>
    <w:p w14:paraId="795D177B">
      <w:pPr>
        <w:autoSpaceDE w:val="0"/>
        <w:autoSpaceDN w:val="0"/>
        <w:spacing w:beforeLines="0"/>
        <w:ind w:left="0" w:leftChars="0" w:firstLine="0" w:firstLineChars="0"/>
        <w:jc w:val="both"/>
        <w:rPr>
          <w:snapToGrid w:val="0"/>
          <w:color w:val="auto"/>
        </w:rPr>
      </w:pPr>
      <w:r>
        <w:rPr>
          <w:rFonts w:hint="eastAsia"/>
          <w:snapToGrid w:val="0"/>
          <w:color w:val="auto"/>
        </w:rPr>
        <w:t>4.6、性能验收试验所需的仪器或器材及其装置应由招标人提供，投标人参加配合。投标人也要提供试验所需的技术配合和人员配合。</w:t>
      </w:r>
    </w:p>
    <w:p w14:paraId="7C0E5392">
      <w:pPr>
        <w:autoSpaceDE w:val="0"/>
        <w:autoSpaceDN w:val="0"/>
        <w:spacing w:beforeLines="0"/>
        <w:ind w:left="199" w:leftChars="0" w:hanging="199" w:hangingChars="83"/>
        <w:rPr>
          <w:snapToGrid w:val="0"/>
          <w:color w:val="auto"/>
        </w:rPr>
      </w:pPr>
      <w:r>
        <w:rPr>
          <w:rFonts w:hint="eastAsia"/>
          <w:snapToGrid w:val="0"/>
          <w:color w:val="auto"/>
        </w:rPr>
        <w:t>4.7、性能验收试验的费用：本节4.6和投标人试验的配合等费用已在合同总价内。</w:t>
      </w:r>
    </w:p>
    <w:p w14:paraId="17AD0A26">
      <w:pPr>
        <w:autoSpaceDE w:val="0"/>
        <w:autoSpaceDN w:val="0"/>
        <w:spacing w:beforeLines="0"/>
        <w:ind w:left="199" w:leftChars="0" w:hanging="199" w:hangingChars="83"/>
        <w:jc w:val="both"/>
        <w:outlineLvl w:val="1"/>
        <w:rPr>
          <w:snapToGrid w:val="0"/>
          <w:color w:val="auto"/>
        </w:rPr>
      </w:pPr>
      <w:r>
        <w:rPr>
          <w:rFonts w:hint="eastAsia"/>
          <w:snapToGrid w:val="0"/>
          <w:color w:val="auto"/>
        </w:rPr>
        <w:t>4.8、性能验收试验结果的确认</w:t>
      </w:r>
    </w:p>
    <w:p w14:paraId="0EE244B9">
      <w:pPr>
        <w:autoSpaceDE w:val="0"/>
        <w:autoSpaceDN w:val="0"/>
        <w:spacing w:beforeLines="0"/>
        <w:ind w:left="0" w:leftChars="0" w:firstLine="480" w:firstLineChars="200"/>
        <w:jc w:val="both"/>
        <w:rPr>
          <w:snapToGrid w:val="0"/>
          <w:color w:val="auto"/>
        </w:rPr>
      </w:pPr>
      <w:r>
        <w:rPr>
          <w:rFonts w:hint="eastAsia"/>
          <w:snapToGrid w:val="0"/>
          <w:color w:val="auto"/>
        </w:rPr>
        <w:t>性能验收试验报告以投标人为主编写，招、投标人共同签章确认结论。如双方对试验的结果有不一致意见，双方协商解决。进行性能验收试验时，一方接到另一方试验通知而不派人参加试验，则被视为对验收试验结果的同意，并进行确认签盖章。</w:t>
      </w:r>
    </w:p>
    <w:bookmarkEnd w:id="52"/>
    <w:bookmarkEnd w:id="53"/>
    <w:bookmarkEnd w:id="54"/>
    <w:p w14:paraId="2DBFF09F">
      <w:pPr>
        <w:pStyle w:val="2"/>
        <w:spacing w:before="240" w:after="240"/>
        <w:rPr>
          <w:color w:val="auto"/>
        </w:rPr>
      </w:pPr>
      <w:bookmarkStart w:id="67" w:name="_Toc381275634"/>
      <w:bookmarkStart w:id="68" w:name="_Toc118724530"/>
      <w:bookmarkStart w:id="69" w:name="_Toc70837315"/>
      <w:bookmarkStart w:id="70" w:name="_Toc58662528"/>
      <w:bookmarkStart w:id="71" w:name="_Toc58744268"/>
      <w:bookmarkStart w:id="72" w:name="_Toc65302154"/>
      <w:r>
        <w:rPr>
          <w:color w:val="auto"/>
        </w:rPr>
        <w:br w:type="page"/>
      </w:r>
    </w:p>
    <w:p w14:paraId="226C675A">
      <w:pPr>
        <w:pStyle w:val="2"/>
        <w:spacing w:before="240" w:after="240"/>
        <w:rPr>
          <w:color w:val="auto"/>
        </w:rPr>
      </w:pPr>
      <w:r>
        <w:rPr>
          <w:rFonts w:hint="eastAsia"/>
          <w:color w:val="auto"/>
        </w:rPr>
        <w:t>附件6、技术服务和联络</w:t>
      </w:r>
      <w:bookmarkEnd w:id="67"/>
      <w:bookmarkEnd w:id="68"/>
    </w:p>
    <w:p w14:paraId="0B62443E">
      <w:pPr>
        <w:spacing w:beforeLines="0"/>
        <w:ind w:left="482" w:leftChars="0" w:hanging="482"/>
        <w:outlineLvl w:val="0"/>
        <w:rPr>
          <w:b/>
          <w:color w:val="auto"/>
        </w:rPr>
      </w:pPr>
      <w:bookmarkStart w:id="73" w:name="_Toc381275635"/>
      <w:r>
        <w:rPr>
          <w:b/>
          <w:color w:val="auto"/>
        </w:rPr>
        <w:t>1</w:t>
      </w:r>
      <w:r>
        <w:rPr>
          <w:rFonts w:hint="eastAsia"/>
          <w:b/>
          <w:color w:val="auto"/>
        </w:rPr>
        <w:t>、投标人现场技术服务</w:t>
      </w:r>
      <w:bookmarkEnd w:id="73"/>
    </w:p>
    <w:p w14:paraId="7C8EF1CB">
      <w:pPr>
        <w:spacing w:beforeLines="0"/>
        <w:ind w:left="0" w:leftChars="0" w:firstLine="0" w:firstLineChars="0"/>
        <w:rPr>
          <w:rFonts w:cs="宋体"/>
          <w:bCs/>
          <w:color w:val="auto"/>
        </w:rPr>
      </w:pPr>
      <w:r>
        <w:rPr>
          <w:rFonts w:hint="eastAsia" w:cs="宋体"/>
          <w:bCs/>
          <w:color w:val="auto"/>
        </w:rPr>
        <w:t>1.1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5657189E">
      <w:pPr>
        <w:spacing w:before="156"/>
        <w:ind w:left="890" w:hanging="480"/>
        <w:jc w:val="center"/>
        <w:rPr>
          <w:rFonts w:cs="宋体"/>
          <w:bCs/>
          <w:color w:val="auto"/>
        </w:rPr>
      </w:pPr>
      <w:r>
        <w:rPr>
          <w:rFonts w:hint="eastAsia" w:cs="宋体"/>
          <w:bCs/>
          <w:color w:val="auto"/>
        </w:rPr>
        <w:t>现 场 服 务 计 划 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3"/>
        <w:gridCol w:w="1888"/>
        <w:gridCol w:w="1550"/>
        <w:gridCol w:w="1493"/>
        <w:gridCol w:w="1099"/>
        <w:gridCol w:w="1549"/>
      </w:tblGrid>
      <w:tr w14:paraId="3A80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trPr>
        <w:tc>
          <w:tcPr>
            <w:tcW w:w="468" w:type="pct"/>
            <w:vMerge w:val="restart"/>
            <w:tcBorders>
              <w:top w:val="single" w:color="auto" w:sz="4" w:space="0"/>
              <w:left w:val="single" w:color="auto" w:sz="4" w:space="0"/>
              <w:bottom w:val="single" w:color="auto" w:sz="4" w:space="0"/>
              <w:right w:val="single" w:color="auto" w:sz="4" w:space="0"/>
            </w:tcBorders>
            <w:vAlign w:val="center"/>
          </w:tcPr>
          <w:p w14:paraId="54324569">
            <w:pPr>
              <w:widowControl w:val="0"/>
              <w:adjustRightInd w:val="0"/>
              <w:spacing w:beforeLines="0"/>
              <w:ind w:left="0" w:leftChars="0" w:firstLine="0" w:firstLineChars="0"/>
              <w:jc w:val="center"/>
              <w:rPr>
                <w:rFonts w:cs="宋体"/>
                <w:bCs/>
                <w:color w:val="auto"/>
              </w:rPr>
            </w:pPr>
            <w:r>
              <w:rPr>
                <w:rFonts w:hint="eastAsia" w:cs="宋体"/>
                <w:bCs/>
                <w:color w:val="auto"/>
              </w:rPr>
              <w:t>序号</w:t>
            </w:r>
          </w:p>
        </w:tc>
        <w:tc>
          <w:tcPr>
            <w:tcW w:w="1129" w:type="pct"/>
            <w:vMerge w:val="restart"/>
            <w:tcBorders>
              <w:top w:val="single" w:color="auto" w:sz="4" w:space="0"/>
              <w:left w:val="single" w:color="auto" w:sz="4" w:space="0"/>
              <w:bottom w:val="single" w:color="auto" w:sz="4" w:space="0"/>
              <w:right w:val="single" w:color="auto" w:sz="4" w:space="0"/>
            </w:tcBorders>
            <w:vAlign w:val="center"/>
          </w:tcPr>
          <w:p w14:paraId="2529A7CD">
            <w:pPr>
              <w:widowControl w:val="0"/>
              <w:adjustRightInd w:val="0"/>
              <w:spacing w:beforeLines="0"/>
              <w:ind w:left="199" w:leftChars="0" w:hanging="199" w:hangingChars="83"/>
              <w:jc w:val="center"/>
              <w:rPr>
                <w:rFonts w:cs="宋体"/>
                <w:bCs/>
                <w:color w:val="auto"/>
              </w:rPr>
            </w:pPr>
            <w:r>
              <w:rPr>
                <w:rFonts w:hint="eastAsia" w:cs="宋体"/>
                <w:bCs/>
                <w:color w:val="auto"/>
              </w:rPr>
              <w:t>技术服务内容</w:t>
            </w:r>
          </w:p>
        </w:tc>
        <w:tc>
          <w:tcPr>
            <w:tcW w:w="927" w:type="pct"/>
            <w:vMerge w:val="restart"/>
            <w:tcBorders>
              <w:top w:val="single" w:color="auto" w:sz="4" w:space="0"/>
              <w:left w:val="single" w:color="auto" w:sz="4" w:space="0"/>
              <w:bottom w:val="single" w:color="auto" w:sz="4" w:space="0"/>
              <w:right w:val="single" w:color="auto" w:sz="4" w:space="0"/>
            </w:tcBorders>
            <w:vAlign w:val="center"/>
          </w:tcPr>
          <w:p w14:paraId="2CD36189">
            <w:pPr>
              <w:widowControl w:val="0"/>
              <w:adjustRightInd w:val="0"/>
              <w:spacing w:beforeLines="0"/>
              <w:ind w:left="0" w:leftChars="0" w:firstLineChars="0"/>
              <w:jc w:val="center"/>
              <w:rPr>
                <w:rFonts w:cs="宋体"/>
                <w:bCs/>
                <w:color w:val="auto"/>
              </w:rPr>
            </w:pPr>
            <w:r>
              <w:rPr>
                <w:rFonts w:hint="eastAsia" w:cs="宋体"/>
                <w:bCs/>
                <w:color w:val="auto"/>
              </w:rPr>
              <w:t>计划人天数</w:t>
            </w:r>
          </w:p>
        </w:tc>
        <w:tc>
          <w:tcPr>
            <w:tcW w:w="1550" w:type="pct"/>
            <w:gridSpan w:val="2"/>
            <w:tcBorders>
              <w:top w:val="single" w:color="auto" w:sz="4" w:space="0"/>
              <w:left w:val="single" w:color="auto" w:sz="4" w:space="0"/>
              <w:bottom w:val="single" w:color="auto" w:sz="4" w:space="0"/>
              <w:right w:val="single" w:color="auto" w:sz="4" w:space="0"/>
            </w:tcBorders>
          </w:tcPr>
          <w:p w14:paraId="0924373E">
            <w:pPr>
              <w:widowControl w:val="0"/>
              <w:adjustRightInd w:val="0"/>
              <w:spacing w:beforeLines="0"/>
              <w:ind w:left="199" w:leftChars="0" w:hanging="199" w:hangingChars="83"/>
              <w:jc w:val="center"/>
              <w:rPr>
                <w:rFonts w:cs="宋体"/>
                <w:bCs/>
                <w:color w:val="auto"/>
              </w:rPr>
            </w:pPr>
            <w:r>
              <w:rPr>
                <w:rFonts w:hint="eastAsia" w:cs="宋体"/>
                <w:bCs/>
                <w:color w:val="auto"/>
              </w:rPr>
              <w:t>派出人员构成</w:t>
            </w:r>
          </w:p>
        </w:tc>
        <w:tc>
          <w:tcPr>
            <w:tcW w:w="927" w:type="pct"/>
            <w:vMerge w:val="restart"/>
            <w:tcBorders>
              <w:top w:val="single" w:color="auto" w:sz="4" w:space="0"/>
              <w:left w:val="single" w:color="auto" w:sz="4" w:space="0"/>
              <w:bottom w:val="single" w:color="auto" w:sz="4" w:space="0"/>
              <w:right w:val="single" w:color="auto" w:sz="4" w:space="0"/>
            </w:tcBorders>
            <w:vAlign w:val="center"/>
          </w:tcPr>
          <w:p w14:paraId="05EFD5DB">
            <w:pPr>
              <w:widowControl w:val="0"/>
              <w:adjustRightInd w:val="0"/>
              <w:spacing w:beforeLines="0"/>
              <w:ind w:left="199" w:leftChars="0" w:hanging="199" w:hangingChars="83"/>
              <w:jc w:val="center"/>
              <w:rPr>
                <w:rFonts w:cs="宋体"/>
                <w:bCs/>
                <w:color w:val="auto"/>
              </w:rPr>
            </w:pPr>
            <w:r>
              <w:rPr>
                <w:rFonts w:hint="eastAsia" w:cs="宋体"/>
                <w:bCs/>
                <w:color w:val="auto"/>
              </w:rPr>
              <w:t>备注</w:t>
            </w:r>
          </w:p>
        </w:tc>
      </w:tr>
      <w:tr w14:paraId="3F98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468" w:type="pct"/>
            <w:vMerge w:val="continue"/>
            <w:tcBorders>
              <w:top w:val="single" w:color="auto" w:sz="4" w:space="0"/>
              <w:left w:val="single" w:color="auto" w:sz="4" w:space="0"/>
              <w:bottom w:val="single" w:color="auto" w:sz="4" w:space="0"/>
              <w:right w:val="single" w:color="auto" w:sz="4" w:space="0"/>
            </w:tcBorders>
            <w:vAlign w:val="center"/>
          </w:tcPr>
          <w:p w14:paraId="78C7893D">
            <w:pPr>
              <w:spacing w:beforeLines="0"/>
              <w:ind w:left="480" w:leftChars="0" w:hanging="480"/>
              <w:jc w:val="center"/>
              <w:rPr>
                <w:rFonts w:cs="宋体"/>
                <w:bCs/>
                <w:color w:val="auto"/>
              </w:rPr>
            </w:pPr>
          </w:p>
        </w:tc>
        <w:tc>
          <w:tcPr>
            <w:tcW w:w="1129" w:type="pct"/>
            <w:vMerge w:val="continue"/>
            <w:tcBorders>
              <w:top w:val="single" w:color="auto" w:sz="4" w:space="0"/>
              <w:left w:val="single" w:color="auto" w:sz="4" w:space="0"/>
              <w:bottom w:val="single" w:color="auto" w:sz="4" w:space="0"/>
              <w:right w:val="single" w:color="auto" w:sz="4" w:space="0"/>
            </w:tcBorders>
            <w:vAlign w:val="center"/>
          </w:tcPr>
          <w:p w14:paraId="224C6F29">
            <w:pPr>
              <w:spacing w:beforeLines="0"/>
              <w:ind w:left="480" w:leftChars="0" w:hanging="480"/>
              <w:jc w:val="center"/>
              <w:rPr>
                <w:rFonts w:cs="宋体"/>
                <w:bCs/>
                <w:color w:val="auto"/>
              </w:rPr>
            </w:pPr>
          </w:p>
        </w:tc>
        <w:tc>
          <w:tcPr>
            <w:tcW w:w="927" w:type="pct"/>
            <w:vMerge w:val="continue"/>
            <w:tcBorders>
              <w:top w:val="single" w:color="auto" w:sz="4" w:space="0"/>
              <w:left w:val="single" w:color="auto" w:sz="4" w:space="0"/>
              <w:bottom w:val="single" w:color="auto" w:sz="4" w:space="0"/>
              <w:right w:val="single" w:color="auto" w:sz="4" w:space="0"/>
            </w:tcBorders>
            <w:vAlign w:val="center"/>
          </w:tcPr>
          <w:p w14:paraId="19846FDF">
            <w:pPr>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7E10FB25">
            <w:pPr>
              <w:widowControl w:val="0"/>
              <w:adjustRightInd w:val="0"/>
              <w:spacing w:beforeLines="0"/>
              <w:ind w:left="199" w:leftChars="0" w:hanging="199" w:hangingChars="83"/>
              <w:jc w:val="center"/>
              <w:rPr>
                <w:rFonts w:cs="宋体"/>
                <w:bCs/>
                <w:color w:val="auto"/>
              </w:rPr>
            </w:pPr>
            <w:r>
              <w:rPr>
                <w:rFonts w:hint="eastAsia" w:cs="宋体"/>
                <w:bCs/>
                <w:color w:val="auto"/>
              </w:rPr>
              <w:t>职称</w:t>
            </w:r>
          </w:p>
        </w:tc>
        <w:tc>
          <w:tcPr>
            <w:tcW w:w="657" w:type="pct"/>
            <w:tcBorders>
              <w:top w:val="single" w:color="auto" w:sz="4" w:space="0"/>
              <w:left w:val="single" w:color="auto" w:sz="4" w:space="0"/>
              <w:bottom w:val="single" w:color="auto" w:sz="4" w:space="0"/>
              <w:right w:val="single" w:color="auto" w:sz="4" w:space="0"/>
            </w:tcBorders>
          </w:tcPr>
          <w:p w14:paraId="4EA0C9A1">
            <w:pPr>
              <w:widowControl w:val="0"/>
              <w:adjustRightInd w:val="0"/>
              <w:spacing w:beforeLines="0"/>
              <w:ind w:left="199" w:leftChars="0" w:hanging="199" w:hangingChars="83"/>
              <w:jc w:val="center"/>
              <w:rPr>
                <w:rFonts w:cs="宋体"/>
                <w:bCs/>
                <w:color w:val="auto"/>
              </w:rPr>
            </w:pPr>
            <w:r>
              <w:rPr>
                <w:rFonts w:hint="eastAsia" w:cs="宋体"/>
                <w:bCs/>
                <w:color w:val="auto"/>
              </w:rPr>
              <w:t>人数</w:t>
            </w:r>
          </w:p>
        </w:tc>
        <w:tc>
          <w:tcPr>
            <w:tcW w:w="927" w:type="pct"/>
            <w:vMerge w:val="continue"/>
            <w:tcBorders>
              <w:top w:val="single" w:color="auto" w:sz="4" w:space="0"/>
              <w:left w:val="single" w:color="auto" w:sz="4" w:space="0"/>
              <w:bottom w:val="single" w:color="auto" w:sz="4" w:space="0"/>
              <w:right w:val="single" w:color="auto" w:sz="4" w:space="0"/>
            </w:tcBorders>
            <w:vAlign w:val="center"/>
          </w:tcPr>
          <w:p w14:paraId="5B507DF0">
            <w:pPr>
              <w:spacing w:beforeLines="0"/>
              <w:ind w:left="480" w:leftChars="0" w:hanging="480"/>
              <w:jc w:val="center"/>
              <w:rPr>
                <w:rFonts w:cs="宋体"/>
                <w:bCs/>
                <w:color w:val="auto"/>
              </w:rPr>
            </w:pPr>
          </w:p>
        </w:tc>
      </w:tr>
      <w:tr w14:paraId="130B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54BCE992">
            <w:pPr>
              <w:widowControl w:val="0"/>
              <w:adjustRightInd w:val="0"/>
              <w:spacing w:beforeLines="0"/>
              <w:ind w:left="480" w:leftChars="0" w:hanging="480"/>
              <w:jc w:val="center"/>
              <w:rPr>
                <w:rFonts w:cs="宋体"/>
                <w:bCs/>
                <w:color w:val="auto"/>
              </w:rPr>
            </w:pPr>
            <w:r>
              <w:rPr>
                <w:rFonts w:hint="eastAsia" w:cs="宋体"/>
                <w:bCs/>
                <w:color w:val="auto"/>
              </w:rPr>
              <w:t>1</w:t>
            </w:r>
          </w:p>
        </w:tc>
        <w:tc>
          <w:tcPr>
            <w:tcW w:w="1129" w:type="pct"/>
            <w:tcBorders>
              <w:top w:val="single" w:color="auto" w:sz="4" w:space="0"/>
              <w:left w:val="single" w:color="auto" w:sz="4" w:space="0"/>
              <w:bottom w:val="single" w:color="auto" w:sz="4" w:space="0"/>
              <w:right w:val="single" w:color="auto" w:sz="4" w:space="0"/>
            </w:tcBorders>
            <w:vAlign w:val="center"/>
          </w:tcPr>
          <w:p w14:paraId="3D580CD6">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73B78ABF">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5DDE43EB">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0A6EDF39">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4D111783">
            <w:pPr>
              <w:widowControl w:val="0"/>
              <w:adjustRightInd w:val="0"/>
              <w:spacing w:beforeLines="0"/>
              <w:ind w:left="480" w:leftChars="0" w:hanging="480"/>
              <w:jc w:val="center"/>
              <w:rPr>
                <w:rFonts w:cs="宋体"/>
                <w:bCs/>
                <w:color w:val="auto"/>
              </w:rPr>
            </w:pPr>
          </w:p>
        </w:tc>
      </w:tr>
      <w:tr w14:paraId="0EF9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17C74392">
            <w:pPr>
              <w:widowControl w:val="0"/>
              <w:adjustRightInd w:val="0"/>
              <w:spacing w:beforeLines="0"/>
              <w:ind w:left="480" w:leftChars="0" w:hanging="480"/>
              <w:jc w:val="center"/>
              <w:rPr>
                <w:rFonts w:cs="宋体"/>
                <w:bCs/>
                <w:color w:val="auto"/>
              </w:rPr>
            </w:pPr>
            <w:r>
              <w:rPr>
                <w:rFonts w:hint="eastAsia" w:cs="宋体"/>
                <w:bCs/>
                <w:color w:val="auto"/>
              </w:rPr>
              <w:t>2</w:t>
            </w:r>
          </w:p>
        </w:tc>
        <w:tc>
          <w:tcPr>
            <w:tcW w:w="1129" w:type="pct"/>
            <w:tcBorders>
              <w:top w:val="single" w:color="auto" w:sz="4" w:space="0"/>
              <w:left w:val="single" w:color="auto" w:sz="4" w:space="0"/>
              <w:bottom w:val="single" w:color="auto" w:sz="4" w:space="0"/>
              <w:right w:val="single" w:color="auto" w:sz="4" w:space="0"/>
            </w:tcBorders>
            <w:vAlign w:val="center"/>
          </w:tcPr>
          <w:p w14:paraId="5AAA401F">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24275219">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2B68D3AE">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496A902F">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312795C3">
            <w:pPr>
              <w:widowControl w:val="0"/>
              <w:adjustRightInd w:val="0"/>
              <w:spacing w:beforeLines="0"/>
              <w:ind w:left="480" w:leftChars="0" w:hanging="480"/>
              <w:jc w:val="center"/>
              <w:rPr>
                <w:rFonts w:cs="宋体"/>
                <w:bCs/>
                <w:color w:val="auto"/>
              </w:rPr>
            </w:pPr>
          </w:p>
        </w:tc>
      </w:tr>
      <w:tr w14:paraId="676E9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68" w:type="pct"/>
            <w:tcBorders>
              <w:top w:val="single" w:color="auto" w:sz="4" w:space="0"/>
              <w:left w:val="single" w:color="auto" w:sz="4" w:space="0"/>
              <w:bottom w:val="single" w:color="auto" w:sz="4" w:space="0"/>
              <w:right w:val="single" w:color="auto" w:sz="4" w:space="0"/>
            </w:tcBorders>
            <w:vAlign w:val="center"/>
          </w:tcPr>
          <w:p w14:paraId="747C9204">
            <w:pPr>
              <w:widowControl w:val="0"/>
              <w:adjustRightInd w:val="0"/>
              <w:spacing w:beforeLines="0"/>
              <w:ind w:left="480" w:leftChars="0" w:hanging="480"/>
              <w:jc w:val="center"/>
              <w:rPr>
                <w:rFonts w:cs="宋体"/>
                <w:bCs/>
                <w:color w:val="auto"/>
              </w:rPr>
            </w:pPr>
            <w:r>
              <w:rPr>
                <w:rFonts w:hint="eastAsia" w:cs="宋体"/>
                <w:bCs/>
                <w:color w:val="auto"/>
              </w:rPr>
              <w:t>3</w:t>
            </w:r>
          </w:p>
        </w:tc>
        <w:tc>
          <w:tcPr>
            <w:tcW w:w="1129" w:type="pct"/>
            <w:tcBorders>
              <w:top w:val="single" w:color="auto" w:sz="4" w:space="0"/>
              <w:left w:val="single" w:color="auto" w:sz="4" w:space="0"/>
              <w:bottom w:val="single" w:color="auto" w:sz="4" w:space="0"/>
              <w:right w:val="single" w:color="auto" w:sz="4" w:space="0"/>
            </w:tcBorders>
            <w:vAlign w:val="center"/>
          </w:tcPr>
          <w:p w14:paraId="1F9B67B1">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7CC73BD3">
            <w:pPr>
              <w:widowControl w:val="0"/>
              <w:adjustRightInd w:val="0"/>
              <w:spacing w:beforeLines="0"/>
              <w:ind w:left="480" w:leftChars="0" w:hanging="480"/>
              <w:jc w:val="center"/>
              <w:rPr>
                <w:rFonts w:cs="宋体"/>
                <w:bCs/>
                <w:color w:val="auto"/>
              </w:rPr>
            </w:pPr>
          </w:p>
        </w:tc>
        <w:tc>
          <w:tcPr>
            <w:tcW w:w="893" w:type="pct"/>
            <w:tcBorders>
              <w:top w:val="single" w:color="auto" w:sz="4" w:space="0"/>
              <w:left w:val="single" w:color="auto" w:sz="4" w:space="0"/>
              <w:bottom w:val="single" w:color="auto" w:sz="4" w:space="0"/>
              <w:right w:val="single" w:color="auto" w:sz="4" w:space="0"/>
            </w:tcBorders>
            <w:vAlign w:val="center"/>
          </w:tcPr>
          <w:p w14:paraId="28D38233">
            <w:pPr>
              <w:widowControl w:val="0"/>
              <w:adjustRightInd w:val="0"/>
              <w:spacing w:beforeLines="0"/>
              <w:ind w:left="480" w:leftChars="0" w:hanging="480"/>
              <w:jc w:val="center"/>
              <w:rPr>
                <w:rFonts w:cs="宋体"/>
                <w:bCs/>
                <w:color w:val="auto"/>
              </w:rPr>
            </w:pPr>
          </w:p>
        </w:tc>
        <w:tc>
          <w:tcPr>
            <w:tcW w:w="657" w:type="pct"/>
            <w:tcBorders>
              <w:top w:val="single" w:color="auto" w:sz="4" w:space="0"/>
              <w:left w:val="single" w:color="auto" w:sz="4" w:space="0"/>
              <w:bottom w:val="single" w:color="auto" w:sz="4" w:space="0"/>
              <w:right w:val="single" w:color="auto" w:sz="4" w:space="0"/>
            </w:tcBorders>
            <w:vAlign w:val="center"/>
          </w:tcPr>
          <w:p w14:paraId="314B253C">
            <w:pPr>
              <w:widowControl w:val="0"/>
              <w:adjustRightInd w:val="0"/>
              <w:spacing w:beforeLines="0"/>
              <w:ind w:left="480" w:leftChars="0" w:hanging="480"/>
              <w:jc w:val="center"/>
              <w:rPr>
                <w:rFonts w:cs="宋体"/>
                <w:bCs/>
                <w:color w:val="auto"/>
              </w:rPr>
            </w:pPr>
          </w:p>
        </w:tc>
        <w:tc>
          <w:tcPr>
            <w:tcW w:w="927" w:type="pct"/>
            <w:tcBorders>
              <w:top w:val="single" w:color="auto" w:sz="4" w:space="0"/>
              <w:left w:val="single" w:color="auto" w:sz="4" w:space="0"/>
              <w:bottom w:val="single" w:color="auto" w:sz="4" w:space="0"/>
              <w:right w:val="single" w:color="auto" w:sz="4" w:space="0"/>
            </w:tcBorders>
            <w:vAlign w:val="center"/>
          </w:tcPr>
          <w:p w14:paraId="100EEE06">
            <w:pPr>
              <w:widowControl w:val="0"/>
              <w:adjustRightInd w:val="0"/>
              <w:spacing w:beforeLines="0"/>
              <w:ind w:left="480" w:leftChars="0" w:hanging="480"/>
              <w:jc w:val="center"/>
              <w:rPr>
                <w:rFonts w:cs="宋体"/>
                <w:bCs/>
                <w:color w:val="auto"/>
              </w:rPr>
            </w:pPr>
          </w:p>
        </w:tc>
      </w:tr>
    </w:tbl>
    <w:p w14:paraId="38546D76">
      <w:pPr>
        <w:spacing w:beforeLines="0"/>
        <w:ind w:left="480" w:leftChars="0" w:hanging="480"/>
        <w:outlineLvl w:val="1"/>
        <w:rPr>
          <w:rFonts w:cs="宋体"/>
          <w:bCs/>
          <w:color w:val="auto"/>
        </w:rPr>
      </w:pPr>
      <w:r>
        <w:rPr>
          <w:rFonts w:hint="eastAsia" w:cs="宋体"/>
          <w:bCs/>
          <w:color w:val="auto"/>
        </w:rPr>
        <w:t>1.2投标人现场服务人员应具有下列资格：</w:t>
      </w:r>
    </w:p>
    <w:p w14:paraId="38329458">
      <w:pPr>
        <w:spacing w:beforeLines="0"/>
        <w:ind w:left="480" w:leftChars="0" w:hanging="480"/>
        <w:rPr>
          <w:rFonts w:cs="宋体"/>
          <w:bCs/>
          <w:color w:val="auto"/>
        </w:rPr>
      </w:pPr>
      <w:r>
        <w:rPr>
          <w:rFonts w:hint="eastAsia" w:cs="宋体"/>
          <w:bCs/>
          <w:color w:val="auto"/>
        </w:rPr>
        <w:t>1.2.1遵守法纪，遵守现场的各项规章和制度；</w:t>
      </w:r>
    </w:p>
    <w:p w14:paraId="5870792F">
      <w:pPr>
        <w:spacing w:beforeLines="0"/>
        <w:ind w:left="480" w:leftChars="0" w:hanging="480"/>
        <w:rPr>
          <w:rFonts w:cs="宋体"/>
          <w:bCs/>
          <w:color w:val="auto"/>
        </w:rPr>
      </w:pPr>
      <w:r>
        <w:rPr>
          <w:rFonts w:hint="eastAsia" w:cs="宋体"/>
          <w:bCs/>
          <w:color w:val="auto"/>
        </w:rPr>
        <w:t>1.2.2有较强的责任感和事业心，按时到位；</w:t>
      </w:r>
    </w:p>
    <w:p w14:paraId="4F14A182">
      <w:pPr>
        <w:spacing w:beforeLines="0"/>
        <w:ind w:left="480" w:leftChars="0" w:hanging="480"/>
        <w:rPr>
          <w:rFonts w:cs="宋体"/>
          <w:bCs/>
          <w:color w:val="auto"/>
        </w:rPr>
      </w:pPr>
      <w:r>
        <w:rPr>
          <w:rFonts w:hint="eastAsia" w:cs="宋体"/>
          <w:bCs/>
          <w:color w:val="auto"/>
        </w:rPr>
        <w:t>1.2.3了解合同设备的设计，熟悉其结构，有相同或相近机组的现场工作经验，能够正确地进行现场指导；</w:t>
      </w:r>
    </w:p>
    <w:p w14:paraId="70DEEDE0">
      <w:pPr>
        <w:spacing w:beforeLines="0"/>
        <w:ind w:left="480" w:leftChars="0" w:hanging="480"/>
        <w:rPr>
          <w:rFonts w:cs="宋体"/>
          <w:bCs/>
          <w:color w:val="auto"/>
        </w:rPr>
      </w:pPr>
      <w:r>
        <w:rPr>
          <w:rFonts w:hint="eastAsia" w:cs="宋体"/>
          <w:bCs/>
          <w:color w:val="auto"/>
        </w:rPr>
        <w:t>1.2.4身体健康，适应现场工作的条件；</w:t>
      </w:r>
    </w:p>
    <w:p w14:paraId="50FCF658">
      <w:pPr>
        <w:spacing w:beforeLines="0"/>
        <w:ind w:left="480" w:leftChars="0" w:hanging="480"/>
        <w:rPr>
          <w:rFonts w:cs="宋体"/>
          <w:bCs/>
          <w:color w:val="auto"/>
        </w:rPr>
      </w:pPr>
      <w:r>
        <w:rPr>
          <w:rFonts w:hint="eastAsia" w:cs="宋体"/>
          <w:bCs/>
          <w:color w:val="auto"/>
        </w:rPr>
        <w:t>1.2.5投标人应更换招标人认为不合格的投标人现场服务人员。</w:t>
      </w:r>
    </w:p>
    <w:p w14:paraId="334D4981">
      <w:pPr>
        <w:spacing w:beforeLines="0"/>
        <w:ind w:left="480" w:leftChars="0" w:hanging="480"/>
        <w:outlineLvl w:val="1"/>
        <w:rPr>
          <w:rFonts w:cs="宋体"/>
          <w:bCs/>
          <w:color w:val="auto"/>
        </w:rPr>
      </w:pPr>
      <w:r>
        <w:rPr>
          <w:rFonts w:hint="eastAsia" w:cs="宋体"/>
          <w:bCs/>
          <w:color w:val="auto"/>
        </w:rPr>
        <w:t>1.3投标人现场服务人员的职责</w:t>
      </w:r>
    </w:p>
    <w:p w14:paraId="50B1B60F">
      <w:pPr>
        <w:spacing w:beforeLines="0"/>
        <w:ind w:left="0" w:leftChars="0" w:firstLine="0" w:firstLineChars="0"/>
        <w:rPr>
          <w:rFonts w:cs="宋体"/>
          <w:bCs/>
          <w:color w:val="auto"/>
        </w:rPr>
      </w:pPr>
      <w:r>
        <w:rPr>
          <w:rFonts w:hint="eastAsia" w:cs="宋体"/>
          <w:bCs/>
          <w:color w:val="auto"/>
        </w:rPr>
        <w:t>1.3.1投标人应对设备催交、货物的开箱检验、设备质量问题的处理、负全部责任。</w:t>
      </w:r>
    </w:p>
    <w:p w14:paraId="27D05C61">
      <w:pPr>
        <w:spacing w:before="156"/>
        <w:ind w:left="890" w:hanging="480"/>
        <w:jc w:val="center"/>
        <w:outlineLvl w:val="2"/>
        <w:rPr>
          <w:rFonts w:cs="宋体"/>
          <w:bCs/>
          <w:color w:val="auto"/>
        </w:rPr>
      </w:pPr>
      <w:r>
        <w:rPr>
          <w:rFonts w:hint="eastAsia" w:cs="宋体"/>
          <w:bCs/>
          <w:color w:val="auto"/>
        </w:rPr>
        <w:t>投标人提供的安装、调试监督的工序表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0"/>
        <w:gridCol w:w="3060"/>
        <w:gridCol w:w="2820"/>
        <w:gridCol w:w="1591"/>
      </w:tblGrid>
      <w:tr w14:paraId="496D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AB78E1D">
            <w:pPr>
              <w:widowControl w:val="0"/>
              <w:adjustRightInd w:val="0"/>
              <w:spacing w:beforeLines="0"/>
              <w:ind w:left="0" w:leftChars="0" w:firstLine="0" w:firstLineChars="0"/>
              <w:jc w:val="center"/>
              <w:rPr>
                <w:rFonts w:cs="宋体"/>
                <w:bCs/>
                <w:color w:val="auto"/>
              </w:rPr>
            </w:pPr>
            <w:r>
              <w:rPr>
                <w:rFonts w:hint="eastAsia" w:cs="宋体"/>
                <w:bCs/>
                <w:color w:val="auto"/>
              </w:rPr>
              <w:t>序号</w:t>
            </w:r>
          </w:p>
        </w:tc>
        <w:tc>
          <w:tcPr>
            <w:tcW w:w="3060" w:type="dxa"/>
            <w:tcBorders>
              <w:top w:val="single" w:color="auto" w:sz="4" w:space="0"/>
              <w:left w:val="single" w:color="auto" w:sz="4" w:space="0"/>
              <w:bottom w:val="single" w:color="auto" w:sz="4" w:space="0"/>
              <w:right w:val="single" w:color="auto" w:sz="4" w:space="0"/>
            </w:tcBorders>
            <w:vAlign w:val="center"/>
          </w:tcPr>
          <w:p w14:paraId="50433DE1">
            <w:pPr>
              <w:widowControl w:val="0"/>
              <w:adjustRightInd w:val="0"/>
              <w:spacing w:beforeLines="0"/>
              <w:ind w:left="480" w:leftChars="0" w:hanging="480"/>
              <w:jc w:val="center"/>
              <w:rPr>
                <w:rFonts w:cs="宋体"/>
                <w:bCs/>
                <w:color w:val="auto"/>
              </w:rPr>
            </w:pPr>
            <w:r>
              <w:rPr>
                <w:rFonts w:hint="eastAsia" w:cs="宋体"/>
                <w:bCs/>
                <w:color w:val="auto"/>
              </w:rPr>
              <w:t>工序名称</w:t>
            </w:r>
          </w:p>
        </w:tc>
        <w:tc>
          <w:tcPr>
            <w:tcW w:w="2820" w:type="dxa"/>
            <w:tcBorders>
              <w:top w:val="single" w:color="auto" w:sz="4" w:space="0"/>
              <w:left w:val="single" w:color="auto" w:sz="4" w:space="0"/>
              <w:bottom w:val="single" w:color="auto" w:sz="4" w:space="0"/>
              <w:right w:val="single" w:color="auto" w:sz="4" w:space="0"/>
            </w:tcBorders>
            <w:vAlign w:val="center"/>
          </w:tcPr>
          <w:p w14:paraId="2F54D034">
            <w:pPr>
              <w:widowControl w:val="0"/>
              <w:adjustRightInd w:val="0"/>
              <w:spacing w:beforeLines="0"/>
              <w:ind w:left="480" w:leftChars="0" w:hanging="480"/>
              <w:jc w:val="center"/>
              <w:rPr>
                <w:rFonts w:cs="宋体"/>
                <w:bCs/>
                <w:color w:val="auto"/>
              </w:rPr>
            </w:pPr>
            <w:r>
              <w:rPr>
                <w:rFonts w:hint="eastAsia" w:cs="宋体"/>
                <w:bCs/>
                <w:color w:val="auto"/>
              </w:rPr>
              <w:t>工序主要内容</w:t>
            </w:r>
          </w:p>
        </w:tc>
        <w:tc>
          <w:tcPr>
            <w:tcW w:w="1591" w:type="dxa"/>
            <w:tcBorders>
              <w:top w:val="single" w:color="auto" w:sz="4" w:space="0"/>
              <w:left w:val="single" w:color="auto" w:sz="4" w:space="0"/>
              <w:bottom w:val="single" w:color="auto" w:sz="4" w:space="0"/>
              <w:right w:val="single" w:color="auto" w:sz="4" w:space="0"/>
            </w:tcBorders>
            <w:vAlign w:val="center"/>
          </w:tcPr>
          <w:p w14:paraId="0ACC6497">
            <w:pPr>
              <w:widowControl w:val="0"/>
              <w:adjustRightInd w:val="0"/>
              <w:spacing w:beforeLines="0"/>
              <w:ind w:left="480" w:leftChars="0" w:hanging="480"/>
              <w:jc w:val="center"/>
              <w:rPr>
                <w:rFonts w:cs="宋体"/>
                <w:bCs/>
                <w:color w:val="auto"/>
              </w:rPr>
            </w:pPr>
            <w:r>
              <w:rPr>
                <w:rFonts w:hint="eastAsia" w:cs="宋体"/>
                <w:bCs/>
                <w:color w:val="auto"/>
              </w:rPr>
              <w:t>备注</w:t>
            </w:r>
          </w:p>
        </w:tc>
      </w:tr>
      <w:tr w14:paraId="10AA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7FCA0CF5">
            <w:pPr>
              <w:widowControl w:val="0"/>
              <w:adjustRightInd w:val="0"/>
              <w:spacing w:beforeLines="0"/>
              <w:ind w:left="480" w:leftChars="0" w:hanging="480"/>
              <w:jc w:val="center"/>
              <w:rPr>
                <w:rFonts w:cs="宋体"/>
                <w:bCs/>
                <w:color w:val="auto"/>
              </w:rPr>
            </w:pPr>
            <w:r>
              <w:rPr>
                <w:rFonts w:hint="eastAsia" w:cs="宋体"/>
                <w:bCs/>
                <w:color w:val="auto"/>
              </w:rPr>
              <w:t>1</w:t>
            </w:r>
          </w:p>
        </w:tc>
        <w:tc>
          <w:tcPr>
            <w:tcW w:w="3060" w:type="dxa"/>
            <w:tcBorders>
              <w:top w:val="single" w:color="auto" w:sz="4" w:space="0"/>
              <w:left w:val="single" w:color="auto" w:sz="4" w:space="0"/>
              <w:bottom w:val="single" w:color="auto" w:sz="4" w:space="0"/>
              <w:right w:val="single" w:color="auto" w:sz="4" w:space="0"/>
            </w:tcBorders>
          </w:tcPr>
          <w:p w14:paraId="28711F41">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562E781C">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44E0AD98">
            <w:pPr>
              <w:widowControl w:val="0"/>
              <w:adjustRightInd w:val="0"/>
              <w:spacing w:beforeLines="0"/>
              <w:ind w:left="480" w:leftChars="0" w:hanging="480"/>
              <w:jc w:val="center"/>
              <w:rPr>
                <w:rFonts w:cs="宋体"/>
                <w:bCs/>
                <w:color w:val="auto"/>
              </w:rPr>
            </w:pPr>
          </w:p>
        </w:tc>
      </w:tr>
      <w:tr w14:paraId="3DCB6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7095E270">
            <w:pPr>
              <w:widowControl w:val="0"/>
              <w:adjustRightInd w:val="0"/>
              <w:spacing w:beforeLines="0"/>
              <w:ind w:left="480" w:leftChars="0" w:hanging="480"/>
              <w:jc w:val="center"/>
              <w:rPr>
                <w:rFonts w:cs="宋体"/>
                <w:bCs/>
                <w:color w:val="auto"/>
              </w:rPr>
            </w:pPr>
            <w:r>
              <w:rPr>
                <w:rFonts w:hint="eastAsia" w:cs="宋体"/>
                <w:bCs/>
                <w:color w:val="auto"/>
              </w:rPr>
              <w:t>2</w:t>
            </w:r>
          </w:p>
        </w:tc>
        <w:tc>
          <w:tcPr>
            <w:tcW w:w="3060" w:type="dxa"/>
            <w:tcBorders>
              <w:top w:val="single" w:color="auto" w:sz="4" w:space="0"/>
              <w:left w:val="single" w:color="auto" w:sz="4" w:space="0"/>
              <w:bottom w:val="single" w:color="auto" w:sz="4" w:space="0"/>
              <w:right w:val="single" w:color="auto" w:sz="4" w:space="0"/>
            </w:tcBorders>
          </w:tcPr>
          <w:p w14:paraId="0D067145">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07E203E6">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6FA3926A">
            <w:pPr>
              <w:widowControl w:val="0"/>
              <w:adjustRightInd w:val="0"/>
              <w:spacing w:beforeLines="0"/>
              <w:ind w:left="480" w:leftChars="0" w:hanging="480"/>
              <w:jc w:val="center"/>
              <w:rPr>
                <w:rFonts w:cs="宋体"/>
                <w:bCs/>
                <w:color w:val="auto"/>
              </w:rPr>
            </w:pPr>
          </w:p>
        </w:tc>
      </w:tr>
      <w:tr w14:paraId="4F8A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40" w:type="dxa"/>
            <w:tcBorders>
              <w:top w:val="single" w:color="auto" w:sz="4" w:space="0"/>
              <w:left w:val="single" w:color="auto" w:sz="4" w:space="0"/>
              <w:bottom w:val="single" w:color="auto" w:sz="4" w:space="0"/>
              <w:right w:val="single" w:color="auto" w:sz="4" w:space="0"/>
            </w:tcBorders>
          </w:tcPr>
          <w:p w14:paraId="3A10AF71">
            <w:pPr>
              <w:widowControl w:val="0"/>
              <w:adjustRightInd w:val="0"/>
              <w:spacing w:beforeLines="0"/>
              <w:ind w:left="480" w:leftChars="0" w:hanging="480"/>
              <w:jc w:val="center"/>
              <w:rPr>
                <w:rFonts w:cs="宋体"/>
                <w:bCs/>
                <w:color w:val="auto"/>
              </w:rPr>
            </w:pPr>
            <w:r>
              <w:rPr>
                <w:rFonts w:hint="eastAsia" w:cs="宋体"/>
                <w:bCs/>
                <w:color w:val="auto"/>
              </w:rPr>
              <w:t>3</w:t>
            </w:r>
          </w:p>
        </w:tc>
        <w:tc>
          <w:tcPr>
            <w:tcW w:w="3060" w:type="dxa"/>
            <w:tcBorders>
              <w:top w:val="single" w:color="auto" w:sz="4" w:space="0"/>
              <w:left w:val="single" w:color="auto" w:sz="4" w:space="0"/>
              <w:bottom w:val="single" w:color="auto" w:sz="4" w:space="0"/>
              <w:right w:val="single" w:color="auto" w:sz="4" w:space="0"/>
            </w:tcBorders>
          </w:tcPr>
          <w:p w14:paraId="379F1A14">
            <w:pPr>
              <w:widowControl w:val="0"/>
              <w:adjustRightInd w:val="0"/>
              <w:spacing w:beforeLines="0"/>
              <w:ind w:left="480" w:leftChars="0" w:hanging="480"/>
              <w:jc w:val="center"/>
              <w:rPr>
                <w:rFonts w:cs="宋体"/>
                <w:bCs/>
                <w:color w:val="auto"/>
              </w:rPr>
            </w:pPr>
          </w:p>
        </w:tc>
        <w:tc>
          <w:tcPr>
            <w:tcW w:w="2820" w:type="dxa"/>
            <w:tcBorders>
              <w:top w:val="single" w:color="auto" w:sz="4" w:space="0"/>
              <w:left w:val="single" w:color="auto" w:sz="4" w:space="0"/>
              <w:bottom w:val="single" w:color="auto" w:sz="4" w:space="0"/>
              <w:right w:val="single" w:color="auto" w:sz="4" w:space="0"/>
            </w:tcBorders>
          </w:tcPr>
          <w:p w14:paraId="5045C081">
            <w:pPr>
              <w:widowControl w:val="0"/>
              <w:adjustRightInd w:val="0"/>
              <w:spacing w:beforeLines="0"/>
              <w:ind w:left="480" w:leftChars="0" w:hanging="480"/>
              <w:jc w:val="center"/>
              <w:rPr>
                <w:rFonts w:cs="宋体"/>
                <w:bCs/>
                <w:color w:val="auto"/>
              </w:rPr>
            </w:pPr>
          </w:p>
        </w:tc>
        <w:tc>
          <w:tcPr>
            <w:tcW w:w="1591" w:type="dxa"/>
            <w:tcBorders>
              <w:top w:val="single" w:color="auto" w:sz="4" w:space="0"/>
              <w:left w:val="single" w:color="auto" w:sz="4" w:space="0"/>
              <w:bottom w:val="single" w:color="auto" w:sz="4" w:space="0"/>
              <w:right w:val="single" w:color="auto" w:sz="4" w:space="0"/>
            </w:tcBorders>
          </w:tcPr>
          <w:p w14:paraId="133AE5C6">
            <w:pPr>
              <w:widowControl w:val="0"/>
              <w:adjustRightInd w:val="0"/>
              <w:spacing w:beforeLines="0"/>
              <w:ind w:left="480" w:leftChars="0" w:hanging="480"/>
              <w:jc w:val="center"/>
              <w:rPr>
                <w:rFonts w:cs="宋体"/>
                <w:bCs/>
                <w:color w:val="auto"/>
              </w:rPr>
            </w:pPr>
          </w:p>
        </w:tc>
      </w:tr>
    </w:tbl>
    <w:p w14:paraId="57251CE9">
      <w:pPr>
        <w:spacing w:beforeLines="0"/>
        <w:ind w:left="0" w:leftChars="0" w:firstLine="0" w:firstLineChars="0"/>
        <w:rPr>
          <w:rFonts w:cs="宋体"/>
          <w:bCs/>
          <w:color w:val="auto"/>
        </w:rPr>
      </w:pPr>
      <w:r>
        <w:rPr>
          <w:rFonts w:hint="eastAsia" w:cs="宋体"/>
          <w:bCs/>
          <w:color w:val="auto"/>
        </w:rPr>
        <w:t>1.3.3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经济责任。</w:t>
      </w:r>
    </w:p>
    <w:p w14:paraId="67E03598">
      <w:pPr>
        <w:spacing w:beforeLines="0"/>
        <w:ind w:left="480" w:leftChars="0" w:hanging="480"/>
        <w:outlineLvl w:val="2"/>
        <w:rPr>
          <w:rFonts w:cs="宋体"/>
          <w:bCs/>
          <w:color w:val="auto"/>
        </w:rPr>
      </w:pPr>
      <w:r>
        <w:rPr>
          <w:rFonts w:hint="eastAsia" w:cs="宋体"/>
          <w:bCs/>
          <w:color w:val="auto"/>
        </w:rPr>
        <w:t>1.3.4投标人对其现场服务人员的一切行为负全部责任。</w:t>
      </w:r>
    </w:p>
    <w:p w14:paraId="649974AF">
      <w:pPr>
        <w:spacing w:beforeLines="0"/>
        <w:ind w:left="480" w:leftChars="0" w:hanging="480"/>
        <w:rPr>
          <w:rFonts w:cs="宋体"/>
          <w:bCs/>
          <w:color w:val="auto"/>
        </w:rPr>
      </w:pPr>
      <w:r>
        <w:rPr>
          <w:rFonts w:hint="eastAsia" w:cs="宋体"/>
          <w:bCs/>
          <w:color w:val="auto"/>
        </w:rPr>
        <w:t>1.3.5投标人现场服务人员的正常来去和更换应事先与招标人协商。</w:t>
      </w:r>
    </w:p>
    <w:p w14:paraId="5314DA30">
      <w:pPr>
        <w:spacing w:beforeLines="0"/>
        <w:ind w:left="480" w:leftChars="0" w:hanging="480"/>
        <w:outlineLvl w:val="1"/>
        <w:rPr>
          <w:rFonts w:cs="宋体"/>
          <w:bCs/>
          <w:color w:val="auto"/>
        </w:rPr>
      </w:pPr>
      <w:r>
        <w:rPr>
          <w:rFonts w:hint="eastAsia" w:cs="宋体"/>
          <w:bCs/>
          <w:color w:val="auto"/>
        </w:rPr>
        <w:t>1.4招标人要配合投标人现场服务人员的工作。</w:t>
      </w:r>
    </w:p>
    <w:p w14:paraId="054FB209">
      <w:pPr>
        <w:spacing w:beforeLines="0"/>
        <w:ind w:left="482" w:leftChars="0" w:hanging="482"/>
        <w:outlineLvl w:val="0"/>
        <w:rPr>
          <w:b/>
          <w:color w:val="auto"/>
        </w:rPr>
      </w:pPr>
      <w:bookmarkStart w:id="74" w:name="_Toc381275636"/>
      <w:r>
        <w:rPr>
          <w:b/>
          <w:color w:val="auto"/>
        </w:rPr>
        <w:t>2</w:t>
      </w:r>
      <w:r>
        <w:rPr>
          <w:rFonts w:hint="eastAsia"/>
          <w:b/>
          <w:color w:val="auto"/>
        </w:rPr>
        <w:t>、培训</w:t>
      </w:r>
      <w:bookmarkEnd w:id="74"/>
    </w:p>
    <w:p w14:paraId="6611CE33">
      <w:pPr>
        <w:spacing w:beforeLines="0"/>
        <w:ind w:left="0" w:leftChars="0" w:firstLine="0" w:firstLineChars="0"/>
        <w:rPr>
          <w:rFonts w:cs="宋体"/>
          <w:bCs/>
          <w:color w:val="auto"/>
        </w:rPr>
      </w:pPr>
      <w:r>
        <w:rPr>
          <w:rFonts w:hint="eastAsia" w:cs="宋体"/>
          <w:bCs/>
          <w:color w:val="auto"/>
        </w:rPr>
        <w:t>2.1为使合同设备能正常安装、调试、运行、维护及检修，投标人有责任提供相应的技术培训。培训内容应与工程进度相一致。</w:t>
      </w:r>
    </w:p>
    <w:p w14:paraId="50AA694A">
      <w:pPr>
        <w:spacing w:beforeLines="0"/>
        <w:ind w:left="480" w:leftChars="0" w:hanging="480"/>
        <w:rPr>
          <w:rFonts w:cs="宋体"/>
          <w:bCs/>
          <w:color w:val="auto"/>
        </w:rPr>
      </w:pPr>
      <w:r>
        <w:rPr>
          <w:rFonts w:hint="eastAsia" w:cs="宋体"/>
          <w:bCs/>
          <w:color w:val="auto"/>
        </w:rPr>
        <w:t>2.2培训计划和内容由投标人在投标文件中列出。</w:t>
      </w:r>
    </w:p>
    <w:p w14:paraId="1662DBC9">
      <w:pPr>
        <w:spacing w:beforeLines="0"/>
        <w:ind w:left="480" w:leftChars="0" w:hanging="480"/>
        <w:rPr>
          <w:rFonts w:cs="宋体"/>
          <w:bCs/>
          <w:color w:val="auto"/>
        </w:rPr>
      </w:pPr>
      <w:r>
        <w:rPr>
          <w:rFonts w:hint="eastAsia" w:cs="宋体"/>
          <w:bCs/>
          <w:color w:val="auto"/>
        </w:rPr>
        <w:t>2.3培训的时间、人数、地点等具体内容由招投标双方商定。</w:t>
      </w:r>
    </w:p>
    <w:p w14:paraId="214E1B33">
      <w:pPr>
        <w:spacing w:beforeLines="0"/>
        <w:ind w:left="480" w:leftChars="0" w:hanging="480"/>
        <w:rPr>
          <w:rFonts w:cs="宋体"/>
          <w:bCs/>
          <w:color w:val="auto"/>
        </w:rPr>
      </w:pPr>
      <w:r>
        <w:rPr>
          <w:rFonts w:hint="eastAsia" w:cs="宋体"/>
          <w:bCs/>
          <w:color w:val="auto"/>
        </w:rPr>
        <w:t>2.4投标人为招标人培训人员提供设备、场地、资料等培训条件，并提供食宿和交通方便。</w:t>
      </w:r>
      <w:r>
        <w:rPr>
          <w:rFonts w:cs="宋体"/>
          <w:bCs/>
          <w:color w:val="auto"/>
        </w:rPr>
        <w:br w:type="page"/>
      </w:r>
    </w:p>
    <w:p w14:paraId="3CDA5DCC">
      <w:pPr>
        <w:pStyle w:val="2"/>
        <w:spacing w:before="240" w:after="240"/>
        <w:rPr>
          <w:rFonts w:cs="宋体"/>
          <w:bCs w:val="0"/>
          <w:color w:val="auto"/>
          <w:szCs w:val="20"/>
        </w:rPr>
      </w:pPr>
      <w:bookmarkStart w:id="75" w:name="_Toc118724532"/>
      <w:bookmarkStart w:id="76" w:name="_Toc381275638"/>
      <w:r>
        <w:rPr>
          <w:rFonts w:hint="eastAsia"/>
          <w:color w:val="auto"/>
        </w:rPr>
        <w:t>附件7、分包与外购</w:t>
      </w:r>
      <w:bookmarkEnd w:id="75"/>
      <w:bookmarkEnd w:id="76"/>
    </w:p>
    <w:p w14:paraId="0968EC49">
      <w:pPr>
        <w:spacing w:before="156"/>
        <w:ind w:left="890" w:hanging="480"/>
        <w:jc w:val="center"/>
        <w:rPr>
          <w:rFonts w:cs="宋体"/>
          <w:bCs/>
          <w:color w:val="auto"/>
        </w:rPr>
      </w:pPr>
      <w:r>
        <w:rPr>
          <w:rFonts w:hint="eastAsia" w:cs="宋体"/>
          <w:bCs/>
          <w:color w:val="auto"/>
        </w:rPr>
        <w:t>分包及外购情况表</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860"/>
        <w:gridCol w:w="1652"/>
        <w:gridCol w:w="1050"/>
        <w:gridCol w:w="908"/>
        <w:gridCol w:w="860"/>
        <w:gridCol w:w="860"/>
        <w:gridCol w:w="1426"/>
        <w:gridCol w:w="860"/>
      </w:tblGrid>
      <w:tr w14:paraId="5DC9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34E14D34">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序号</w:t>
            </w:r>
          </w:p>
        </w:tc>
        <w:tc>
          <w:tcPr>
            <w:tcW w:w="1024" w:type="pct"/>
            <w:tcBorders>
              <w:top w:val="single" w:color="auto" w:sz="4" w:space="0"/>
              <w:left w:val="single" w:color="auto" w:sz="4" w:space="0"/>
              <w:bottom w:val="single" w:color="auto" w:sz="4" w:space="0"/>
              <w:right w:val="single" w:color="auto" w:sz="4" w:space="0"/>
            </w:tcBorders>
            <w:vAlign w:val="center"/>
          </w:tcPr>
          <w:p w14:paraId="1D3E8B02">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设备/部件</w:t>
            </w:r>
          </w:p>
        </w:tc>
        <w:tc>
          <w:tcPr>
            <w:tcW w:w="669" w:type="pct"/>
            <w:tcBorders>
              <w:top w:val="single" w:color="auto" w:sz="4" w:space="0"/>
              <w:left w:val="single" w:color="auto" w:sz="4" w:space="0"/>
              <w:bottom w:val="single" w:color="auto" w:sz="4" w:space="0"/>
              <w:right w:val="single" w:color="auto" w:sz="4" w:space="0"/>
            </w:tcBorders>
            <w:vAlign w:val="center"/>
          </w:tcPr>
          <w:p w14:paraId="3FF30BE4">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型号</w:t>
            </w:r>
          </w:p>
        </w:tc>
        <w:tc>
          <w:tcPr>
            <w:tcW w:w="585" w:type="pct"/>
            <w:tcBorders>
              <w:top w:val="single" w:color="auto" w:sz="4" w:space="0"/>
              <w:left w:val="single" w:color="auto" w:sz="4" w:space="0"/>
              <w:bottom w:val="single" w:color="auto" w:sz="4" w:space="0"/>
              <w:right w:val="single" w:color="auto" w:sz="4" w:space="0"/>
            </w:tcBorders>
            <w:vAlign w:val="center"/>
          </w:tcPr>
          <w:p w14:paraId="5A472E92">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单位</w:t>
            </w:r>
          </w:p>
        </w:tc>
        <w:tc>
          <w:tcPr>
            <w:tcW w:w="418" w:type="pct"/>
            <w:tcBorders>
              <w:top w:val="single" w:color="auto" w:sz="4" w:space="0"/>
              <w:left w:val="single" w:color="auto" w:sz="4" w:space="0"/>
              <w:bottom w:val="single" w:color="auto" w:sz="4" w:space="0"/>
              <w:right w:val="single" w:color="auto" w:sz="4" w:space="0"/>
            </w:tcBorders>
            <w:vAlign w:val="center"/>
          </w:tcPr>
          <w:p w14:paraId="3958263A">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数量</w:t>
            </w:r>
          </w:p>
        </w:tc>
        <w:tc>
          <w:tcPr>
            <w:tcW w:w="502" w:type="pct"/>
            <w:tcBorders>
              <w:top w:val="single" w:color="auto" w:sz="4" w:space="0"/>
              <w:left w:val="single" w:color="auto" w:sz="4" w:space="0"/>
              <w:bottom w:val="single" w:color="auto" w:sz="4" w:space="0"/>
              <w:right w:val="single" w:color="auto" w:sz="4" w:space="0"/>
            </w:tcBorders>
            <w:vAlign w:val="center"/>
          </w:tcPr>
          <w:p w14:paraId="374B6E11">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产地</w:t>
            </w:r>
          </w:p>
        </w:tc>
        <w:tc>
          <w:tcPr>
            <w:tcW w:w="891" w:type="pct"/>
            <w:tcBorders>
              <w:top w:val="single" w:color="auto" w:sz="4" w:space="0"/>
              <w:left w:val="single" w:color="auto" w:sz="4" w:space="0"/>
              <w:bottom w:val="single" w:color="auto" w:sz="4" w:space="0"/>
              <w:right w:val="single" w:color="auto" w:sz="4" w:space="0"/>
            </w:tcBorders>
            <w:vAlign w:val="center"/>
          </w:tcPr>
          <w:p w14:paraId="6FBE7282">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制造厂商</w:t>
            </w:r>
          </w:p>
        </w:tc>
        <w:tc>
          <w:tcPr>
            <w:tcW w:w="463" w:type="pct"/>
            <w:tcBorders>
              <w:top w:val="single" w:color="auto" w:sz="4" w:space="0"/>
              <w:left w:val="single" w:color="auto" w:sz="4" w:space="0"/>
              <w:bottom w:val="single" w:color="auto" w:sz="4" w:space="0"/>
              <w:right w:val="single" w:color="auto" w:sz="4" w:space="0"/>
            </w:tcBorders>
            <w:vAlign w:val="center"/>
          </w:tcPr>
          <w:p w14:paraId="350061CD">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备注</w:t>
            </w:r>
          </w:p>
        </w:tc>
      </w:tr>
      <w:tr w14:paraId="7061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454" w:hRule="atLeast"/>
          <w:jc w:val="center"/>
        </w:trPr>
        <w:tc>
          <w:tcPr>
            <w:tcW w:w="448" w:type="pct"/>
            <w:vMerge w:val="restart"/>
            <w:tcBorders>
              <w:top w:val="single" w:color="auto" w:sz="4" w:space="0"/>
              <w:left w:val="single" w:color="auto" w:sz="4" w:space="0"/>
              <w:bottom w:val="single" w:color="auto" w:sz="4" w:space="0"/>
              <w:right w:val="single" w:color="auto" w:sz="4" w:space="0"/>
            </w:tcBorders>
          </w:tcPr>
          <w:p w14:paraId="4BD057AC">
            <w:pPr>
              <w:widowControl w:val="0"/>
              <w:adjustRightInd w:val="0"/>
              <w:spacing w:beforeLines="0" w:line="240" w:lineRule="auto"/>
              <w:ind w:left="420" w:leftChars="0" w:hanging="420"/>
              <w:jc w:val="center"/>
              <w:rPr>
                <w:rFonts w:cs="宋体"/>
                <w:bCs/>
                <w:color w:val="auto"/>
                <w:sz w:val="21"/>
                <w:szCs w:val="21"/>
              </w:rPr>
            </w:pPr>
          </w:p>
        </w:tc>
        <w:tc>
          <w:tcPr>
            <w:tcW w:w="1024" w:type="pct"/>
            <w:vMerge w:val="restart"/>
            <w:tcBorders>
              <w:top w:val="single" w:color="auto" w:sz="4" w:space="0"/>
              <w:left w:val="single" w:color="auto" w:sz="4" w:space="0"/>
              <w:bottom w:val="single" w:color="auto" w:sz="4" w:space="0"/>
              <w:right w:val="single" w:color="auto" w:sz="4" w:space="0"/>
            </w:tcBorders>
          </w:tcPr>
          <w:p w14:paraId="4A3E9736">
            <w:pPr>
              <w:widowControl w:val="0"/>
              <w:adjustRightInd w:val="0"/>
              <w:spacing w:beforeLines="0" w:line="240" w:lineRule="auto"/>
              <w:ind w:left="420" w:leftChars="0" w:hanging="420"/>
              <w:jc w:val="center"/>
              <w:rPr>
                <w:rFonts w:cs="宋体"/>
                <w:bCs/>
                <w:color w:val="auto"/>
                <w:sz w:val="21"/>
                <w:szCs w:val="21"/>
              </w:rPr>
            </w:pPr>
          </w:p>
        </w:tc>
        <w:tc>
          <w:tcPr>
            <w:tcW w:w="669" w:type="pct"/>
            <w:vMerge w:val="restart"/>
            <w:tcBorders>
              <w:top w:val="single" w:color="auto" w:sz="4" w:space="0"/>
              <w:left w:val="single" w:color="auto" w:sz="4" w:space="0"/>
              <w:bottom w:val="single" w:color="auto" w:sz="4" w:space="0"/>
              <w:right w:val="single" w:color="auto" w:sz="4" w:space="0"/>
            </w:tcBorders>
          </w:tcPr>
          <w:p w14:paraId="00321BC6">
            <w:pPr>
              <w:widowControl w:val="0"/>
              <w:adjustRightInd w:val="0"/>
              <w:spacing w:beforeLines="0" w:line="240" w:lineRule="auto"/>
              <w:ind w:left="420" w:leftChars="0" w:hanging="420"/>
              <w:jc w:val="center"/>
              <w:rPr>
                <w:rFonts w:cs="宋体"/>
                <w:bCs/>
                <w:color w:val="auto"/>
                <w:sz w:val="21"/>
                <w:szCs w:val="21"/>
              </w:rPr>
            </w:pPr>
          </w:p>
        </w:tc>
        <w:tc>
          <w:tcPr>
            <w:tcW w:w="585" w:type="pct"/>
            <w:vMerge w:val="restart"/>
            <w:tcBorders>
              <w:top w:val="single" w:color="auto" w:sz="4" w:space="0"/>
              <w:left w:val="single" w:color="auto" w:sz="4" w:space="0"/>
              <w:bottom w:val="single" w:color="auto" w:sz="4" w:space="0"/>
              <w:right w:val="single" w:color="auto" w:sz="4" w:space="0"/>
            </w:tcBorders>
          </w:tcPr>
          <w:p w14:paraId="611E73A4">
            <w:pPr>
              <w:widowControl w:val="0"/>
              <w:adjustRightInd w:val="0"/>
              <w:spacing w:beforeLines="0" w:line="240" w:lineRule="auto"/>
              <w:ind w:left="420" w:leftChars="0" w:hanging="420"/>
              <w:jc w:val="center"/>
              <w:rPr>
                <w:rFonts w:cs="宋体"/>
                <w:bCs/>
                <w:color w:val="auto"/>
                <w:sz w:val="21"/>
                <w:szCs w:val="21"/>
              </w:rPr>
            </w:pPr>
          </w:p>
        </w:tc>
        <w:tc>
          <w:tcPr>
            <w:tcW w:w="418" w:type="pct"/>
            <w:vMerge w:val="restart"/>
            <w:tcBorders>
              <w:top w:val="single" w:color="auto" w:sz="4" w:space="0"/>
              <w:left w:val="single" w:color="auto" w:sz="4" w:space="0"/>
              <w:bottom w:val="single" w:color="auto" w:sz="4" w:space="0"/>
              <w:right w:val="single" w:color="auto" w:sz="4" w:space="0"/>
            </w:tcBorders>
          </w:tcPr>
          <w:p w14:paraId="429272B6">
            <w:pPr>
              <w:widowControl w:val="0"/>
              <w:adjustRightInd w:val="0"/>
              <w:spacing w:beforeLines="0" w:line="240" w:lineRule="auto"/>
              <w:ind w:left="420" w:leftChars="0" w:hanging="420"/>
              <w:jc w:val="center"/>
              <w:rPr>
                <w:rFonts w:cs="宋体"/>
                <w:bCs/>
                <w:color w:val="auto"/>
                <w:sz w:val="21"/>
                <w:szCs w:val="21"/>
              </w:rPr>
            </w:pPr>
          </w:p>
        </w:tc>
        <w:tc>
          <w:tcPr>
            <w:tcW w:w="502" w:type="pct"/>
            <w:tcBorders>
              <w:top w:val="single" w:color="auto" w:sz="4" w:space="0"/>
              <w:left w:val="single" w:color="auto" w:sz="4" w:space="0"/>
              <w:bottom w:val="single" w:color="auto" w:sz="4" w:space="0"/>
              <w:right w:val="single" w:color="auto" w:sz="4" w:space="0"/>
            </w:tcBorders>
          </w:tcPr>
          <w:p w14:paraId="06336CCF">
            <w:pPr>
              <w:widowControl w:val="0"/>
              <w:adjustRightInd w:val="0"/>
              <w:spacing w:beforeLines="0" w:line="240" w:lineRule="auto"/>
              <w:ind w:left="420" w:leftChars="0" w:hanging="420"/>
              <w:jc w:val="center"/>
              <w:rPr>
                <w:rFonts w:cs="宋体"/>
                <w:bCs/>
                <w:color w:val="auto"/>
                <w:sz w:val="21"/>
                <w:szCs w:val="21"/>
              </w:rPr>
            </w:pPr>
          </w:p>
        </w:tc>
        <w:tc>
          <w:tcPr>
            <w:tcW w:w="891" w:type="pct"/>
            <w:tcBorders>
              <w:top w:val="single" w:color="auto" w:sz="4" w:space="0"/>
              <w:left w:val="single" w:color="auto" w:sz="4" w:space="0"/>
              <w:bottom w:val="single" w:color="auto" w:sz="4" w:space="0"/>
              <w:right w:val="single" w:color="auto" w:sz="4" w:space="0"/>
            </w:tcBorders>
          </w:tcPr>
          <w:p w14:paraId="59F0FDC9">
            <w:pPr>
              <w:widowControl w:val="0"/>
              <w:adjustRightInd w:val="0"/>
              <w:spacing w:beforeLines="0" w:line="240" w:lineRule="auto"/>
              <w:ind w:left="420" w:leftChars="0" w:hanging="420"/>
              <w:jc w:val="center"/>
              <w:rPr>
                <w:rFonts w:cs="宋体"/>
                <w:bCs/>
                <w:color w:val="auto"/>
                <w:sz w:val="21"/>
                <w:szCs w:val="21"/>
              </w:rPr>
            </w:pPr>
          </w:p>
        </w:tc>
        <w:tc>
          <w:tcPr>
            <w:tcW w:w="463" w:type="pct"/>
            <w:tcBorders>
              <w:top w:val="single" w:color="auto" w:sz="4" w:space="0"/>
              <w:left w:val="single" w:color="auto" w:sz="4" w:space="0"/>
              <w:bottom w:val="single" w:color="auto" w:sz="4" w:space="0"/>
              <w:right w:val="single" w:color="auto" w:sz="4" w:space="0"/>
            </w:tcBorders>
          </w:tcPr>
          <w:p w14:paraId="6940D677">
            <w:pPr>
              <w:widowControl w:val="0"/>
              <w:adjustRightInd w:val="0"/>
              <w:spacing w:beforeLines="0" w:line="240" w:lineRule="auto"/>
              <w:ind w:left="420" w:leftChars="0" w:hanging="420"/>
              <w:jc w:val="center"/>
              <w:rPr>
                <w:rFonts w:cs="宋体"/>
                <w:bCs/>
                <w:color w:val="auto"/>
                <w:sz w:val="21"/>
                <w:szCs w:val="21"/>
              </w:rPr>
            </w:pPr>
          </w:p>
        </w:tc>
      </w:tr>
      <w:tr w14:paraId="4433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454" w:hRule="atLeast"/>
          <w:jc w:val="center"/>
        </w:trPr>
        <w:tc>
          <w:tcPr>
            <w:tcW w:w="448" w:type="pct"/>
            <w:vMerge w:val="continue"/>
            <w:tcBorders>
              <w:top w:val="single" w:color="auto" w:sz="4" w:space="0"/>
              <w:left w:val="single" w:color="auto" w:sz="4" w:space="0"/>
              <w:bottom w:val="single" w:color="auto" w:sz="4" w:space="0"/>
              <w:right w:val="single" w:color="auto" w:sz="4" w:space="0"/>
            </w:tcBorders>
            <w:vAlign w:val="center"/>
          </w:tcPr>
          <w:p w14:paraId="39D996D2">
            <w:pPr>
              <w:spacing w:beforeLines="0" w:line="240" w:lineRule="auto"/>
              <w:ind w:left="420" w:leftChars="0" w:hanging="420"/>
              <w:rPr>
                <w:rFonts w:cs="宋体"/>
                <w:bCs/>
                <w:color w:val="auto"/>
                <w:sz w:val="21"/>
                <w:szCs w:val="21"/>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14:paraId="312BE105">
            <w:pPr>
              <w:spacing w:beforeLines="0" w:line="240" w:lineRule="auto"/>
              <w:ind w:left="420" w:leftChars="0" w:hanging="420"/>
              <w:rPr>
                <w:rFonts w:cs="宋体"/>
                <w:bCs/>
                <w:color w:val="auto"/>
                <w:sz w:val="21"/>
                <w:szCs w:val="21"/>
              </w:rPr>
            </w:pPr>
          </w:p>
        </w:tc>
        <w:tc>
          <w:tcPr>
            <w:tcW w:w="669" w:type="pct"/>
            <w:vMerge w:val="continue"/>
            <w:tcBorders>
              <w:top w:val="single" w:color="auto" w:sz="4" w:space="0"/>
              <w:left w:val="single" w:color="auto" w:sz="4" w:space="0"/>
              <w:bottom w:val="single" w:color="auto" w:sz="4" w:space="0"/>
              <w:right w:val="single" w:color="auto" w:sz="4" w:space="0"/>
            </w:tcBorders>
            <w:vAlign w:val="center"/>
          </w:tcPr>
          <w:p w14:paraId="6C5D3013">
            <w:pPr>
              <w:spacing w:beforeLines="0" w:line="240" w:lineRule="auto"/>
              <w:ind w:left="420" w:leftChars="0" w:hanging="420"/>
              <w:rPr>
                <w:rFonts w:cs="宋体"/>
                <w:bCs/>
                <w:color w:val="auto"/>
                <w:sz w:val="21"/>
                <w:szCs w:val="21"/>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14:paraId="0A77FF3D">
            <w:pPr>
              <w:spacing w:beforeLines="0" w:line="240" w:lineRule="auto"/>
              <w:ind w:left="420" w:leftChars="0" w:hanging="420"/>
              <w:rPr>
                <w:rFonts w:cs="宋体"/>
                <w:bCs/>
                <w:color w:val="auto"/>
                <w:sz w:val="21"/>
                <w:szCs w:val="21"/>
              </w:rPr>
            </w:pPr>
          </w:p>
        </w:tc>
        <w:tc>
          <w:tcPr>
            <w:tcW w:w="418" w:type="pct"/>
            <w:vMerge w:val="continue"/>
            <w:tcBorders>
              <w:top w:val="single" w:color="auto" w:sz="4" w:space="0"/>
              <w:left w:val="single" w:color="auto" w:sz="4" w:space="0"/>
              <w:bottom w:val="single" w:color="auto" w:sz="4" w:space="0"/>
              <w:right w:val="single" w:color="auto" w:sz="4" w:space="0"/>
            </w:tcBorders>
            <w:vAlign w:val="center"/>
          </w:tcPr>
          <w:p w14:paraId="66A6A527">
            <w:pPr>
              <w:spacing w:beforeLines="0" w:line="240" w:lineRule="auto"/>
              <w:ind w:left="420" w:leftChars="0" w:hanging="420"/>
              <w:rPr>
                <w:rFonts w:cs="宋体"/>
                <w:bCs/>
                <w:color w:val="auto"/>
                <w:sz w:val="21"/>
                <w:szCs w:val="21"/>
              </w:rPr>
            </w:pPr>
          </w:p>
        </w:tc>
        <w:tc>
          <w:tcPr>
            <w:tcW w:w="502" w:type="pct"/>
            <w:tcBorders>
              <w:top w:val="single" w:color="auto" w:sz="4" w:space="0"/>
              <w:left w:val="single" w:color="auto" w:sz="4" w:space="0"/>
              <w:bottom w:val="single" w:color="auto" w:sz="4" w:space="0"/>
              <w:right w:val="single" w:color="auto" w:sz="4" w:space="0"/>
            </w:tcBorders>
          </w:tcPr>
          <w:p w14:paraId="6D6F0D4F">
            <w:pPr>
              <w:widowControl w:val="0"/>
              <w:adjustRightInd w:val="0"/>
              <w:spacing w:beforeLines="0" w:line="240" w:lineRule="auto"/>
              <w:ind w:left="420" w:leftChars="0" w:hanging="420"/>
              <w:jc w:val="center"/>
              <w:rPr>
                <w:rFonts w:cs="宋体"/>
                <w:bCs/>
                <w:color w:val="auto"/>
                <w:sz w:val="21"/>
                <w:szCs w:val="21"/>
              </w:rPr>
            </w:pPr>
          </w:p>
        </w:tc>
        <w:tc>
          <w:tcPr>
            <w:tcW w:w="891" w:type="pct"/>
            <w:tcBorders>
              <w:top w:val="single" w:color="auto" w:sz="4" w:space="0"/>
              <w:left w:val="single" w:color="auto" w:sz="4" w:space="0"/>
              <w:bottom w:val="single" w:color="auto" w:sz="4" w:space="0"/>
              <w:right w:val="single" w:color="auto" w:sz="4" w:space="0"/>
            </w:tcBorders>
          </w:tcPr>
          <w:p w14:paraId="7C9801B7">
            <w:pPr>
              <w:widowControl w:val="0"/>
              <w:adjustRightInd w:val="0"/>
              <w:spacing w:beforeLines="0" w:line="240" w:lineRule="auto"/>
              <w:ind w:left="420" w:leftChars="0" w:hanging="420"/>
              <w:jc w:val="center"/>
              <w:rPr>
                <w:rFonts w:cs="宋体"/>
                <w:bCs/>
                <w:color w:val="auto"/>
                <w:sz w:val="21"/>
                <w:szCs w:val="21"/>
              </w:rPr>
            </w:pPr>
          </w:p>
        </w:tc>
        <w:tc>
          <w:tcPr>
            <w:tcW w:w="463" w:type="pct"/>
            <w:tcBorders>
              <w:top w:val="single" w:color="auto" w:sz="4" w:space="0"/>
              <w:left w:val="single" w:color="auto" w:sz="4" w:space="0"/>
              <w:bottom w:val="single" w:color="auto" w:sz="4" w:space="0"/>
              <w:right w:val="single" w:color="auto" w:sz="4" w:space="0"/>
            </w:tcBorders>
          </w:tcPr>
          <w:p w14:paraId="45D91145">
            <w:pPr>
              <w:widowControl w:val="0"/>
              <w:adjustRightInd w:val="0"/>
              <w:spacing w:beforeLines="0" w:line="240" w:lineRule="auto"/>
              <w:ind w:left="420" w:leftChars="0" w:hanging="420"/>
              <w:jc w:val="center"/>
              <w:rPr>
                <w:rFonts w:cs="宋体"/>
                <w:bCs/>
                <w:color w:val="auto"/>
                <w:sz w:val="21"/>
                <w:szCs w:val="21"/>
              </w:rPr>
            </w:pPr>
          </w:p>
        </w:tc>
      </w:tr>
    </w:tbl>
    <w:p w14:paraId="3B7C575A">
      <w:pPr>
        <w:spacing w:beforeLines="0"/>
        <w:ind w:left="199" w:leftChars="0" w:hanging="199" w:hangingChars="83"/>
        <w:rPr>
          <w:rFonts w:cs="宋体"/>
          <w:bCs/>
          <w:color w:val="auto"/>
        </w:rPr>
      </w:pPr>
      <w:r>
        <w:rPr>
          <w:rFonts w:cs="宋体"/>
          <w:bCs/>
          <w:color w:val="auto"/>
        </w:rPr>
        <w:br w:type="page"/>
      </w:r>
    </w:p>
    <w:p w14:paraId="0FC3C7D1">
      <w:pPr>
        <w:pStyle w:val="2"/>
        <w:spacing w:before="240" w:after="240"/>
        <w:rPr>
          <w:rFonts w:cs="宋体"/>
          <w:bCs w:val="0"/>
          <w:color w:val="auto"/>
          <w:szCs w:val="20"/>
        </w:rPr>
      </w:pPr>
      <w:bookmarkStart w:id="77" w:name="_Toc118724531"/>
      <w:r>
        <w:rPr>
          <w:rFonts w:hint="eastAsia"/>
          <w:color w:val="auto"/>
        </w:rPr>
        <w:t>附件8、大件部件情况</w:t>
      </w:r>
      <w:bookmarkEnd w:id="77"/>
    </w:p>
    <w:p w14:paraId="6F15AD49">
      <w:pPr>
        <w:spacing w:before="156"/>
        <w:ind w:left="890" w:hanging="480"/>
        <w:rPr>
          <w:rFonts w:cs="宋体"/>
          <w:bCs/>
          <w:color w:val="auto"/>
        </w:rPr>
      </w:pPr>
      <w:r>
        <w:rPr>
          <w:rFonts w:hint="eastAsia" w:cs="宋体"/>
          <w:bCs/>
          <w:color w:val="auto"/>
        </w:rPr>
        <w:t>投标人应把超重超限的情况详细予以说明。</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8"/>
        <w:gridCol w:w="804"/>
        <w:gridCol w:w="408"/>
        <w:gridCol w:w="594"/>
        <w:gridCol w:w="783"/>
        <w:gridCol w:w="567"/>
        <w:gridCol w:w="992"/>
        <w:gridCol w:w="851"/>
        <w:gridCol w:w="1134"/>
        <w:gridCol w:w="858"/>
        <w:gridCol w:w="813"/>
      </w:tblGrid>
      <w:tr w14:paraId="2A666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4" w:type="pct"/>
            <w:vMerge w:val="restart"/>
            <w:tcBorders>
              <w:top w:val="single" w:color="auto" w:sz="4" w:space="0"/>
              <w:left w:val="single" w:color="auto" w:sz="4" w:space="0"/>
              <w:bottom w:val="single" w:color="auto" w:sz="4" w:space="0"/>
              <w:right w:val="single" w:color="auto" w:sz="4" w:space="0"/>
            </w:tcBorders>
            <w:vAlign w:val="center"/>
          </w:tcPr>
          <w:p w14:paraId="77C82F8B">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序号</w:t>
            </w:r>
          </w:p>
        </w:tc>
        <w:tc>
          <w:tcPr>
            <w:tcW w:w="481" w:type="pct"/>
            <w:vMerge w:val="restart"/>
            <w:tcBorders>
              <w:top w:val="single" w:color="auto" w:sz="4" w:space="0"/>
              <w:left w:val="single" w:color="auto" w:sz="4" w:space="0"/>
              <w:bottom w:val="single" w:color="auto" w:sz="4" w:space="0"/>
              <w:right w:val="single" w:color="auto" w:sz="4" w:space="0"/>
            </w:tcBorders>
            <w:vAlign w:val="center"/>
          </w:tcPr>
          <w:p w14:paraId="761057FE">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部件</w:t>
            </w:r>
          </w:p>
          <w:p w14:paraId="377503E8">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名称</w:t>
            </w:r>
          </w:p>
        </w:tc>
        <w:tc>
          <w:tcPr>
            <w:tcW w:w="244" w:type="pct"/>
            <w:vMerge w:val="restart"/>
            <w:tcBorders>
              <w:top w:val="single" w:color="auto" w:sz="4" w:space="0"/>
              <w:left w:val="single" w:color="auto" w:sz="4" w:space="0"/>
              <w:bottom w:val="single" w:color="auto" w:sz="4" w:space="0"/>
              <w:right w:val="single" w:color="auto" w:sz="4" w:space="0"/>
            </w:tcBorders>
            <w:vAlign w:val="center"/>
          </w:tcPr>
          <w:p w14:paraId="2CCE7809">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数量</w:t>
            </w:r>
          </w:p>
        </w:tc>
        <w:tc>
          <w:tcPr>
            <w:tcW w:w="823" w:type="pct"/>
            <w:gridSpan w:val="2"/>
            <w:tcBorders>
              <w:top w:val="single" w:color="auto" w:sz="4" w:space="0"/>
              <w:left w:val="single" w:color="auto" w:sz="4" w:space="0"/>
              <w:bottom w:val="single" w:color="auto" w:sz="4" w:space="0"/>
              <w:right w:val="single" w:color="auto" w:sz="4" w:space="0"/>
            </w:tcBorders>
            <w:vAlign w:val="center"/>
          </w:tcPr>
          <w:p w14:paraId="32BB2098">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长×宽×高</w:t>
            </w:r>
          </w:p>
        </w:tc>
        <w:tc>
          <w:tcPr>
            <w:tcW w:w="932" w:type="pct"/>
            <w:gridSpan w:val="2"/>
            <w:tcBorders>
              <w:top w:val="single" w:color="auto" w:sz="4" w:space="0"/>
              <w:left w:val="single" w:color="auto" w:sz="4" w:space="0"/>
              <w:bottom w:val="single" w:color="auto" w:sz="4" w:space="0"/>
              <w:right w:val="single" w:color="auto" w:sz="4" w:space="0"/>
            </w:tcBorders>
            <w:vAlign w:val="center"/>
          </w:tcPr>
          <w:p w14:paraId="6D9432AB">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重量</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14:paraId="13882EDC">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厂家</w:t>
            </w:r>
          </w:p>
          <w:p w14:paraId="65680848">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名称</w:t>
            </w:r>
          </w:p>
        </w:tc>
        <w:tc>
          <w:tcPr>
            <w:tcW w:w="678" w:type="pct"/>
            <w:vMerge w:val="restart"/>
            <w:tcBorders>
              <w:top w:val="single" w:color="auto" w:sz="4" w:space="0"/>
              <w:left w:val="single" w:color="auto" w:sz="4" w:space="0"/>
              <w:bottom w:val="single" w:color="auto" w:sz="4" w:space="0"/>
              <w:right w:val="single" w:color="auto" w:sz="4" w:space="0"/>
            </w:tcBorders>
            <w:vAlign w:val="center"/>
          </w:tcPr>
          <w:p w14:paraId="3C18FB65">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货物</w:t>
            </w:r>
          </w:p>
          <w:p w14:paraId="1839AC2F">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发运地点</w:t>
            </w:r>
          </w:p>
        </w:tc>
        <w:tc>
          <w:tcPr>
            <w:tcW w:w="513" w:type="pct"/>
            <w:vMerge w:val="restart"/>
            <w:tcBorders>
              <w:top w:val="single" w:color="auto" w:sz="4" w:space="0"/>
              <w:left w:val="single" w:color="auto" w:sz="4" w:space="0"/>
              <w:bottom w:val="single" w:color="auto" w:sz="4" w:space="0"/>
              <w:right w:val="single" w:color="auto" w:sz="4" w:space="0"/>
            </w:tcBorders>
            <w:vAlign w:val="center"/>
          </w:tcPr>
          <w:p w14:paraId="08073839">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运输</w:t>
            </w:r>
          </w:p>
          <w:p w14:paraId="6212FA73">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方式</w:t>
            </w:r>
          </w:p>
        </w:tc>
        <w:tc>
          <w:tcPr>
            <w:tcW w:w="486" w:type="pct"/>
            <w:vMerge w:val="restart"/>
            <w:tcBorders>
              <w:top w:val="single" w:color="auto" w:sz="4" w:space="0"/>
              <w:left w:val="single" w:color="auto" w:sz="4" w:space="0"/>
              <w:bottom w:val="single" w:color="auto" w:sz="4" w:space="0"/>
              <w:right w:val="single" w:color="auto" w:sz="4" w:space="0"/>
            </w:tcBorders>
            <w:vAlign w:val="center"/>
          </w:tcPr>
          <w:p w14:paraId="41B8318C">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备注</w:t>
            </w:r>
          </w:p>
        </w:tc>
      </w:tr>
      <w:tr w14:paraId="09D8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4" w:type="pct"/>
            <w:vMerge w:val="continue"/>
            <w:tcBorders>
              <w:top w:val="single" w:color="auto" w:sz="4" w:space="0"/>
              <w:left w:val="single" w:color="auto" w:sz="4" w:space="0"/>
              <w:bottom w:val="single" w:color="auto" w:sz="4" w:space="0"/>
              <w:right w:val="single" w:color="auto" w:sz="4" w:space="0"/>
            </w:tcBorders>
            <w:vAlign w:val="center"/>
          </w:tcPr>
          <w:p w14:paraId="2C799948">
            <w:pPr>
              <w:spacing w:beforeLines="0" w:line="240" w:lineRule="auto"/>
              <w:ind w:left="420" w:leftChars="0" w:hanging="420"/>
              <w:rPr>
                <w:rFonts w:cs="宋体"/>
                <w:bCs/>
                <w:color w:val="auto"/>
                <w:sz w:val="21"/>
                <w:szCs w:val="21"/>
              </w:rPr>
            </w:pPr>
          </w:p>
        </w:tc>
        <w:tc>
          <w:tcPr>
            <w:tcW w:w="481" w:type="pct"/>
            <w:vMerge w:val="continue"/>
            <w:tcBorders>
              <w:top w:val="single" w:color="auto" w:sz="4" w:space="0"/>
              <w:left w:val="single" w:color="auto" w:sz="4" w:space="0"/>
              <w:bottom w:val="single" w:color="auto" w:sz="4" w:space="0"/>
              <w:right w:val="single" w:color="auto" w:sz="4" w:space="0"/>
            </w:tcBorders>
            <w:vAlign w:val="center"/>
          </w:tcPr>
          <w:p w14:paraId="0B6BCE20">
            <w:pPr>
              <w:spacing w:beforeLines="0" w:line="240" w:lineRule="auto"/>
              <w:ind w:left="420" w:leftChars="0" w:hanging="420"/>
              <w:rPr>
                <w:rFonts w:cs="宋体"/>
                <w:bCs/>
                <w:color w:val="auto"/>
                <w:sz w:val="21"/>
                <w:szCs w:val="21"/>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27726BB8">
            <w:pPr>
              <w:spacing w:beforeLines="0" w:line="240" w:lineRule="auto"/>
              <w:ind w:left="420" w:leftChars="0" w:hanging="420"/>
              <w:rPr>
                <w:rFonts w:cs="宋体"/>
                <w:bCs/>
                <w:color w:val="auto"/>
                <w:sz w:val="21"/>
                <w:szCs w:val="21"/>
              </w:rPr>
            </w:pPr>
          </w:p>
        </w:tc>
        <w:tc>
          <w:tcPr>
            <w:tcW w:w="355" w:type="pct"/>
            <w:tcBorders>
              <w:top w:val="single" w:color="auto" w:sz="4" w:space="0"/>
              <w:left w:val="single" w:color="auto" w:sz="4" w:space="0"/>
              <w:bottom w:val="single" w:color="auto" w:sz="4" w:space="0"/>
              <w:right w:val="single" w:color="auto" w:sz="4" w:space="0"/>
            </w:tcBorders>
          </w:tcPr>
          <w:p w14:paraId="5E0D7C33">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包装</w:t>
            </w:r>
          </w:p>
        </w:tc>
        <w:tc>
          <w:tcPr>
            <w:tcW w:w="468" w:type="pct"/>
            <w:tcBorders>
              <w:top w:val="single" w:color="auto" w:sz="4" w:space="0"/>
              <w:left w:val="single" w:color="auto" w:sz="4" w:space="0"/>
              <w:bottom w:val="single" w:color="auto" w:sz="4" w:space="0"/>
              <w:right w:val="single" w:color="auto" w:sz="4" w:space="0"/>
            </w:tcBorders>
          </w:tcPr>
          <w:p w14:paraId="16D34EFD">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未包装</w:t>
            </w:r>
          </w:p>
        </w:tc>
        <w:tc>
          <w:tcPr>
            <w:tcW w:w="339" w:type="pct"/>
            <w:tcBorders>
              <w:top w:val="single" w:color="auto" w:sz="4" w:space="0"/>
              <w:left w:val="single" w:color="auto" w:sz="4" w:space="0"/>
              <w:bottom w:val="single" w:color="auto" w:sz="4" w:space="0"/>
              <w:right w:val="single" w:color="auto" w:sz="4" w:space="0"/>
            </w:tcBorders>
          </w:tcPr>
          <w:p w14:paraId="3C42F9AF">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包装</w:t>
            </w:r>
          </w:p>
        </w:tc>
        <w:tc>
          <w:tcPr>
            <w:tcW w:w="593" w:type="pct"/>
            <w:tcBorders>
              <w:top w:val="single" w:color="auto" w:sz="4" w:space="0"/>
              <w:left w:val="single" w:color="auto" w:sz="4" w:space="0"/>
              <w:bottom w:val="single" w:color="auto" w:sz="4" w:space="0"/>
              <w:right w:val="single" w:color="auto" w:sz="4" w:space="0"/>
            </w:tcBorders>
          </w:tcPr>
          <w:p w14:paraId="5117EEA1">
            <w:pPr>
              <w:widowControl w:val="0"/>
              <w:adjustRightInd w:val="0"/>
              <w:spacing w:beforeLines="0" w:line="240" w:lineRule="auto"/>
              <w:ind w:left="420" w:leftChars="0" w:hanging="420"/>
              <w:jc w:val="center"/>
              <w:rPr>
                <w:rFonts w:cs="宋体"/>
                <w:bCs/>
                <w:color w:val="auto"/>
                <w:sz w:val="21"/>
                <w:szCs w:val="21"/>
              </w:rPr>
            </w:pPr>
            <w:r>
              <w:rPr>
                <w:rFonts w:hint="eastAsia" w:cs="宋体"/>
                <w:bCs/>
                <w:color w:val="auto"/>
                <w:sz w:val="21"/>
                <w:szCs w:val="21"/>
              </w:rPr>
              <w:t>未包装</w:t>
            </w:r>
          </w:p>
        </w:tc>
        <w:tc>
          <w:tcPr>
            <w:tcW w:w="509" w:type="pct"/>
            <w:vMerge w:val="continue"/>
            <w:tcBorders>
              <w:top w:val="single" w:color="auto" w:sz="4" w:space="0"/>
              <w:left w:val="single" w:color="auto" w:sz="4" w:space="0"/>
              <w:bottom w:val="single" w:color="auto" w:sz="4" w:space="0"/>
              <w:right w:val="single" w:color="auto" w:sz="4" w:space="0"/>
            </w:tcBorders>
            <w:vAlign w:val="center"/>
          </w:tcPr>
          <w:p w14:paraId="008E1702">
            <w:pPr>
              <w:spacing w:beforeLines="0" w:line="240" w:lineRule="auto"/>
              <w:ind w:left="420" w:leftChars="0" w:hanging="420"/>
              <w:rPr>
                <w:rFonts w:cs="宋体"/>
                <w:bCs/>
                <w:color w:val="auto"/>
                <w:sz w:val="21"/>
                <w:szCs w:val="21"/>
              </w:rPr>
            </w:pPr>
          </w:p>
        </w:tc>
        <w:tc>
          <w:tcPr>
            <w:tcW w:w="678" w:type="pct"/>
            <w:vMerge w:val="continue"/>
            <w:tcBorders>
              <w:top w:val="single" w:color="auto" w:sz="4" w:space="0"/>
              <w:left w:val="single" w:color="auto" w:sz="4" w:space="0"/>
              <w:bottom w:val="single" w:color="auto" w:sz="4" w:space="0"/>
              <w:right w:val="single" w:color="auto" w:sz="4" w:space="0"/>
            </w:tcBorders>
            <w:vAlign w:val="center"/>
          </w:tcPr>
          <w:p w14:paraId="37C3E344">
            <w:pPr>
              <w:spacing w:beforeLines="0" w:line="240" w:lineRule="auto"/>
              <w:ind w:left="420" w:leftChars="0" w:hanging="420"/>
              <w:rPr>
                <w:rFonts w:cs="宋体"/>
                <w:bCs/>
                <w:color w:val="auto"/>
                <w:sz w:val="21"/>
                <w:szCs w:val="21"/>
              </w:rPr>
            </w:pPr>
          </w:p>
        </w:tc>
        <w:tc>
          <w:tcPr>
            <w:tcW w:w="513" w:type="pct"/>
            <w:vMerge w:val="continue"/>
            <w:tcBorders>
              <w:top w:val="single" w:color="auto" w:sz="4" w:space="0"/>
              <w:left w:val="single" w:color="auto" w:sz="4" w:space="0"/>
              <w:bottom w:val="single" w:color="auto" w:sz="4" w:space="0"/>
              <w:right w:val="single" w:color="auto" w:sz="4" w:space="0"/>
            </w:tcBorders>
            <w:vAlign w:val="center"/>
          </w:tcPr>
          <w:p w14:paraId="65A6B598">
            <w:pPr>
              <w:spacing w:beforeLines="0" w:line="240" w:lineRule="auto"/>
              <w:ind w:left="420" w:leftChars="0" w:hanging="420"/>
              <w:rPr>
                <w:rFonts w:cs="宋体"/>
                <w:bCs/>
                <w:color w:val="auto"/>
                <w:sz w:val="21"/>
                <w:szCs w:val="21"/>
              </w:rPr>
            </w:pPr>
          </w:p>
        </w:tc>
        <w:tc>
          <w:tcPr>
            <w:tcW w:w="486" w:type="pct"/>
            <w:vMerge w:val="continue"/>
            <w:tcBorders>
              <w:top w:val="single" w:color="auto" w:sz="4" w:space="0"/>
              <w:left w:val="single" w:color="auto" w:sz="4" w:space="0"/>
              <w:bottom w:val="single" w:color="auto" w:sz="4" w:space="0"/>
              <w:right w:val="single" w:color="auto" w:sz="4" w:space="0"/>
            </w:tcBorders>
            <w:vAlign w:val="center"/>
          </w:tcPr>
          <w:p w14:paraId="320398E2">
            <w:pPr>
              <w:spacing w:beforeLines="0" w:line="240" w:lineRule="auto"/>
              <w:ind w:left="420" w:leftChars="0" w:hanging="420"/>
              <w:rPr>
                <w:rFonts w:cs="宋体"/>
                <w:bCs/>
                <w:color w:val="auto"/>
                <w:sz w:val="21"/>
                <w:szCs w:val="21"/>
              </w:rPr>
            </w:pPr>
          </w:p>
        </w:tc>
      </w:tr>
      <w:tr w14:paraId="6B7B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4" w:type="pct"/>
            <w:tcBorders>
              <w:top w:val="single" w:color="auto" w:sz="4" w:space="0"/>
              <w:left w:val="single" w:color="auto" w:sz="4" w:space="0"/>
              <w:bottom w:val="single" w:color="auto" w:sz="4" w:space="0"/>
              <w:right w:val="single" w:color="auto" w:sz="4" w:space="0"/>
            </w:tcBorders>
          </w:tcPr>
          <w:p w14:paraId="4B55806B">
            <w:pPr>
              <w:widowControl w:val="0"/>
              <w:adjustRightInd w:val="0"/>
              <w:spacing w:beforeLines="0" w:line="240" w:lineRule="auto"/>
              <w:ind w:left="420" w:leftChars="0" w:hanging="420"/>
              <w:jc w:val="center"/>
              <w:rPr>
                <w:rFonts w:cs="宋体"/>
                <w:bCs/>
                <w:color w:val="auto"/>
                <w:sz w:val="21"/>
                <w:szCs w:val="21"/>
              </w:rPr>
            </w:pPr>
          </w:p>
        </w:tc>
        <w:tc>
          <w:tcPr>
            <w:tcW w:w="481" w:type="pct"/>
            <w:tcBorders>
              <w:top w:val="single" w:color="auto" w:sz="4" w:space="0"/>
              <w:left w:val="single" w:color="auto" w:sz="4" w:space="0"/>
              <w:bottom w:val="single" w:color="auto" w:sz="4" w:space="0"/>
              <w:right w:val="single" w:color="auto" w:sz="4" w:space="0"/>
            </w:tcBorders>
          </w:tcPr>
          <w:p w14:paraId="0614D98E">
            <w:pPr>
              <w:widowControl w:val="0"/>
              <w:adjustRightInd w:val="0"/>
              <w:spacing w:beforeLines="0" w:line="240" w:lineRule="auto"/>
              <w:ind w:left="420" w:leftChars="0" w:hanging="420"/>
              <w:jc w:val="center"/>
              <w:rPr>
                <w:rFonts w:cs="宋体"/>
                <w:bCs/>
                <w:color w:val="auto"/>
                <w:sz w:val="21"/>
                <w:szCs w:val="21"/>
              </w:rPr>
            </w:pPr>
          </w:p>
        </w:tc>
        <w:tc>
          <w:tcPr>
            <w:tcW w:w="244" w:type="pct"/>
            <w:tcBorders>
              <w:top w:val="single" w:color="auto" w:sz="4" w:space="0"/>
              <w:left w:val="single" w:color="auto" w:sz="4" w:space="0"/>
              <w:bottom w:val="single" w:color="auto" w:sz="4" w:space="0"/>
              <w:right w:val="single" w:color="auto" w:sz="4" w:space="0"/>
            </w:tcBorders>
          </w:tcPr>
          <w:p w14:paraId="74671DF2">
            <w:pPr>
              <w:widowControl w:val="0"/>
              <w:adjustRightInd w:val="0"/>
              <w:spacing w:beforeLines="0" w:line="240" w:lineRule="auto"/>
              <w:ind w:left="420" w:leftChars="0" w:hanging="420"/>
              <w:jc w:val="center"/>
              <w:rPr>
                <w:rFonts w:cs="宋体"/>
                <w:bCs/>
                <w:color w:val="auto"/>
                <w:sz w:val="21"/>
                <w:szCs w:val="21"/>
              </w:rPr>
            </w:pPr>
          </w:p>
        </w:tc>
        <w:tc>
          <w:tcPr>
            <w:tcW w:w="355" w:type="pct"/>
            <w:tcBorders>
              <w:top w:val="single" w:color="auto" w:sz="4" w:space="0"/>
              <w:left w:val="single" w:color="auto" w:sz="4" w:space="0"/>
              <w:bottom w:val="single" w:color="auto" w:sz="4" w:space="0"/>
              <w:right w:val="single" w:color="auto" w:sz="4" w:space="0"/>
            </w:tcBorders>
          </w:tcPr>
          <w:p w14:paraId="06102237">
            <w:pPr>
              <w:widowControl w:val="0"/>
              <w:adjustRightInd w:val="0"/>
              <w:spacing w:beforeLines="0" w:line="240" w:lineRule="auto"/>
              <w:ind w:left="420" w:leftChars="0" w:hanging="420"/>
              <w:jc w:val="center"/>
              <w:rPr>
                <w:rFonts w:cs="宋体"/>
                <w:bCs/>
                <w:color w:val="auto"/>
                <w:sz w:val="21"/>
                <w:szCs w:val="21"/>
              </w:rPr>
            </w:pPr>
          </w:p>
        </w:tc>
        <w:tc>
          <w:tcPr>
            <w:tcW w:w="468" w:type="pct"/>
            <w:tcBorders>
              <w:top w:val="single" w:color="auto" w:sz="4" w:space="0"/>
              <w:left w:val="single" w:color="auto" w:sz="4" w:space="0"/>
              <w:bottom w:val="single" w:color="auto" w:sz="4" w:space="0"/>
              <w:right w:val="single" w:color="auto" w:sz="4" w:space="0"/>
            </w:tcBorders>
          </w:tcPr>
          <w:p w14:paraId="64679109">
            <w:pPr>
              <w:widowControl w:val="0"/>
              <w:adjustRightInd w:val="0"/>
              <w:spacing w:beforeLines="0" w:line="240" w:lineRule="auto"/>
              <w:ind w:left="420" w:leftChars="0" w:hanging="420"/>
              <w:jc w:val="center"/>
              <w:rPr>
                <w:rFonts w:cs="宋体"/>
                <w:bCs/>
                <w:color w:val="auto"/>
                <w:sz w:val="21"/>
                <w:szCs w:val="21"/>
              </w:rPr>
            </w:pPr>
          </w:p>
        </w:tc>
        <w:tc>
          <w:tcPr>
            <w:tcW w:w="339" w:type="pct"/>
            <w:tcBorders>
              <w:top w:val="single" w:color="auto" w:sz="4" w:space="0"/>
              <w:left w:val="single" w:color="auto" w:sz="4" w:space="0"/>
              <w:bottom w:val="single" w:color="auto" w:sz="4" w:space="0"/>
              <w:right w:val="single" w:color="auto" w:sz="4" w:space="0"/>
            </w:tcBorders>
          </w:tcPr>
          <w:p w14:paraId="7314E4FF">
            <w:pPr>
              <w:widowControl w:val="0"/>
              <w:adjustRightInd w:val="0"/>
              <w:spacing w:beforeLines="0" w:line="240" w:lineRule="auto"/>
              <w:ind w:left="420" w:leftChars="0" w:hanging="420"/>
              <w:jc w:val="center"/>
              <w:rPr>
                <w:rFonts w:cs="宋体"/>
                <w:bCs/>
                <w:color w:val="auto"/>
                <w:sz w:val="21"/>
                <w:szCs w:val="21"/>
              </w:rPr>
            </w:pPr>
          </w:p>
        </w:tc>
        <w:tc>
          <w:tcPr>
            <w:tcW w:w="593" w:type="pct"/>
            <w:tcBorders>
              <w:top w:val="single" w:color="auto" w:sz="4" w:space="0"/>
              <w:left w:val="single" w:color="auto" w:sz="4" w:space="0"/>
              <w:bottom w:val="single" w:color="auto" w:sz="4" w:space="0"/>
              <w:right w:val="single" w:color="auto" w:sz="4" w:space="0"/>
            </w:tcBorders>
          </w:tcPr>
          <w:p w14:paraId="7BFF05FB">
            <w:pPr>
              <w:widowControl w:val="0"/>
              <w:adjustRightInd w:val="0"/>
              <w:spacing w:beforeLines="0" w:line="240" w:lineRule="auto"/>
              <w:ind w:left="420" w:leftChars="0" w:hanging="420"/>
              <w:jc w:val="center"/>
              <w:rPr>
                <w:rFonts w:cs="宋体"/>
                <w:bCs/>
                <w:color w:val="auto"/>
                <w:sz w:val="21"/>
                <w:szCs w:val="21"/>
              </w:rPr>
            </w:pPr>
          </w:p>
        </w:tc>
        <w:tc>
          <w:tcPr>
            <w:tcW w:w="509" w:type="pct"/>
            <w:tcBorders>
              <w:top w:val="single" w:color="auto" w:sz="4" w:space="0"/>
              <w:left w:val="single" w:color="auto" w:sz="4" w:space="0"/>
              <w:bottom w:val="single" w:color="auto" w:sz="4" w:space="0"/>
              <w:right w:val="single" w:color="auto" w:sz="4" w:space="0"/>
            </w:tcBorders>
          </w:tcPr>
          <w:p w14:paraId="735E7F6C">
            <w:pPr>
              <w:widowControl w:val="0"/>
              <w:adjustRightInd w:val="0"/>
              <w:spacing w:beforeLines="0" w:line="240" w:lineRule="auto"/>
              <w:ind w:left="420" w:leftChars="0" w:hanging="420"/>
              <w:jc w:val="center"/>
              <w:rPr>
                <w:rFonts w:cs="宋体"/>
                <w:bCs/>
                <w:color w:val="auto"/>
                <w:sz w:val="21"/>
                <w:szCs w:val="21"/>
              </w:rPr>
            </w:pPr>
          </w:p>
        </w:tc>
        <w:tc>
          <w:tcPr>
            <w:tcW w:w="678" w:type="pct"/>
            <w:tcBorders>
              <w:top w:val="single" w:color="auto" w:sz="4" w:space="0"/>
              <w:left w:val="single" w:color="auto" w:sz="4" w:space="0"/>
              <w:bottom w:val="single" w:color="auto" w:sz="4" w:space="0"/>
              <w:right w:val="single" w:color="auto" w:sz="4" w:space="0"/>
            </w:tcBorders>
          </w:tcPr>
          <w:p w14:paraId="2EC2858C">
            <w:pPr>
              <w:widowControl w:val="0"/>
              <w:adjustRightInd w:val="0"/>
              <w:spacing w:beforeLines="0" w:line="240" w:lineRule="auto"/>
              <w:ind w:left="420" w:leftChars="0" w:hanging="420"/>
              <w:jc w:val="center"/>
              <w:rPr>
                <w:rFonts w:cs="宋体"/>
                <w:bCs/>
                <w:color w:val="auto"/>
                <w:sz w:val="21"/>
                <w:szCs w:val="21"/>
              </w:rPr>
            </w:pPr>
          </w:p>
        </w:tc>
        <w:tc>
          <w:tcPr>
            <w:tcW w:w="513" w:type="pct"/>
            <w:tcBorders>
              <w:top w:val="single" w:color="auto" w:sz="4" w:space="0"/>
              <w:left w:val="single" w:color="auto" w:sz="4" w:space="0"/>
              <w:bottom w:val="single" w:color="auto" w:sz="4" w:space="0"/>
              <w:right w:val="single" w:color="auto" w:sz="4" w:space="0"/>
            </w:tcBorders>
          </w:tcPr>
          <w:p w14:paraId="2482D49C">
            <w:pPr>
              <w:widowControl w:val="0"/>
              <w:adjustRightInd w:val="0"/>
              <w:spacing w:beforeLines="0" w:line="240" w:lineRule="auto"/>
              <w:ind w:left="420" w:leftChars="0" w:hanging="420"/>
              <w:jc w:val="center"/>
              <w:rPr>
                <w:rFonts w:cs="宋体"/>
                <w:bCs/>
                <w:color w:val="auto"/>
                <w:sz w:val="21"/>
                <w:szCs w:val="21"/>
              </w:rPr>
            </w:pPr>
          </w:p>
        </w:tc>
        <w:tc>
          <w:tcPr>
            <w:tcW w:w="486" w:type="pct"/>
            <w:tcBorders>
              <w:top w:val="single" w:color="auto" w:sz="4" w:space="0"/>
              <w:left w:val="single" w:color="auto" w:sz="4" w:space="0"/>
              <w:bottom w:val="single" w:color="auto" w:sz="4" w:space="0"/>
              <w:right w:val="single" w:color="auto" w:sz="4" w:space="0"/>
            </w:tcBorders>
          </w:tcPr>
          <w:p w14:paraId="438CAD14">
            <w:pPr>
              <w:widowControl w:val="0"/>
              <w:adjustRightInd w:val="0"/>
              <w:spacing w:beforeLines="0" w:line="240" w:lineRule="auto"/>
              <w:ind w:left="420" w:leftChars="0" w:hanging="420"/>
              <w:jc w:val="center"/>
              <w:rPr>
                <w:rFonts w:cs="宋体"/>
                <w:bCs/>
                <w:color w:val="auto"/>
                <w:sz w:val="21"/>
                <w:szCs w:val="21"/>
              </w:rPr>
            </w:pPr>
          </w:p>
        </w:tc>
      </w:tr>
      <w:tr w14:paraId="2EB9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34" w:type="pct"/>
            <w:tcBorders>
              <w:top w:val="single" w:color="auto" w:sz="4" w:space="0"/>
              <w:left w:val="single" w:color="auto" w:sz="4" w:space="0"/>
              <w:bottom w:val="single" w:color="auto" w:sz="4" w:space="0"/>
              <w:right w:val="single" w:color="auto" w:sz="4" w:space="0"/>
            </w:tcBorders>
          </w:tcPr>
          <w:p w14:paraId="0619D201">
            <w:pPr>
              <w:widowControl w:val="0"/>
              <w:adjustRightInd w:val="0"/>
              <w:spacing w:beforeLines="0" w:line="240" w:lineRule="auto"/>
              <w:ind w:left="420" w:leftChars="0" w:hanging="420"/>
              <w:jc w:val="center"/>
              <w:rPr>
                <w:rFonts w:cs="宋体"/>
                <w:bCs/>
                <w:color w:val="auto"/>
                <w:sz w:val="21"/>
                <w:szCs w:val="21"/>
              </w:rPr>
            </w:pPr>
          </w:p>
        </w:tc>
        <w:tc>
          <w:tcPr>
            <w:tcW w:w="481" w:type="pct"/>
            <w:tcBorders>
              <w:top w:val="single" w:color="auto" w:sz="4" w:space="0"/>
              <w:left w:val="single" w:color="auto" w:sz="4" w:space="0"/>
              <w:bottom w:val="single" w:color="auto" w:sz="4" w:space="0"/>
              <w:right w:val="single" w:color="auto" w:sz="4" w:space="0"/>
            </w:tcBorders>
          </w:tcPr>
          <w:p w14:paraId="7B399073">
            <w:pPr>
              <w:widowControl w:val="0"/>
              <w:adjustRightInd w:val="0"/>
              <w:spacing w:beforeLines="0" w:line="240" w:lineRule="auto"/>
              <w:ind w:left="420" w:leftChars="0" w:hanging="420"/>
              <w:jc w:val="center"/>
              <w:rPr>
                <w:rFonts w:cs="宋体"/>
                <w:bCs/>
                <w:color w:val="auto"/>
                <w:sz w:val="21"/>
                <w:szCs w:val="21"/>
              </w:rPr>
            </w:pPr>
          </w:p>
        </w:tc>
        <w:tc>
          <w:tcPr>
            <w:tcW w:w="244" w:type="pct"/>
            <w:tcBorders>
              <w:top w:val="single" w:color="auto" w:sz="4" w:space="0"/>
              <w:left w:val="single" w:color="auto" w:sz="4" w:space="0"/>
              <w:bottom w:val="single" w:color="auto" w:sz="4" w:space="0"/>
              <w:right w:val="single" w:color="auto" w:sz="4" w:space="0"/>
            </w:tcBorders>
          </w:tcPr>
          <w:p w14:paraId="14A4D195">
            <w:pPr>
              <w:widowControl w:val="0"/>
              <w:adjustRightInd w:val="0"/>
              <w:spacing w:beforeLines="0" w:line="240" w:lineRule="auto"/>
              <w:ind w:left="420" w:leftChars="0" w:hanging="420"/>
              <w:jc w:val="center"/>
              <w:rPr>
                <w:rFonts w:cs="宋体"/>
                <w:bCs/>
                <w:color w:val="auto"/>
                <w:sz w:val="21"/>
                <w:szCs w:val="21"/>
              </w:rPr>
            </w:pPr>
          </w:p>
        </w:tc>
        <w:tc>
          <w:tcPr>
            <w:tcW w:w="355" w:type="pct"/>
            <w:tcBorders>
              <w:top w:val="single" w:color="auto" w:sz="4" w:space="0"/>
              <w:left w:val="single" w:color="auto" w:sz="4" w:space="0"/>
              <w:bottom w:val="single" w:color="auto" w:sz="4" w:space="0"/>
              <w:right w:val="single" w:color="auto" w:sz="4" w:space="0"/>
            </w:tcBorders>
          </w:tcPr>
          <w:p w14:paraId="56DF2D0E">
            <w:pPr>
              <w:widowControl w:val="0"/>
              <w:adjustRightInd w:val="0"/>
              <w:spacing w:beforeLines="0" w:line="240" w:lineRule="auto"/>
              <w:ind w:left="420" w:leftChars="0" w:hanging="420"/>
              <w:jc w:val="center"/>
              <w:rPr>
                <w:rFonts w:cs="宋体"/>
                <w:bCs/>
                <w:color w:val="auto"/>
                <w:sz w:val="21"/>
                <w:szCs w:val="21"/>
              </w:rPr>
            </w:pPr>
          </w:p>
        </w:tc>
        <w:tc>
          <w:tcPr>
            <w:tcW w:w="468" w:type="pct"/>
            <w:tcBorders>
              <w:top w:val="single" w:color="auto" w:sz="4" w:space="0"/>
              <w:left w:val="single" w:color="auto" w:sz="4" w:space="0"/>
              <w:bottom w:val="single" w:color="auto" w:sz="4" w:space="0"/>
              <w:right w:val="single" w:color="auto" w:sz="4" w:space="0"/>
            </w:tcBorders>
          </w:tcPr>
          <w:p w14:paraId="6BECB398">
            <w:pPr>
              <w:widowControl w:val="0"/>
              <w:adjustRightInd w:val="0"/>
              <w:spacing w:beforeLines="0" w:line="240" w:lineRule="auto"/>
              <w:ind w:left="420" w:leftChars="0" w:hanging="420"/>
              <w:jc w:val="center"/>
              <w:rPr>
                <w:rFonts w:cs="宋体"/>
                <w:bCs/>
                <w:color w:val="auto"/>
                <w:sz w:val="21"/>
                <w:szCs w:val="21"/>
              </w:rPr>
            </w:pPr>
          </w:p>
        </w:tc>
        <w:tc>
          <w:tcPr>
            <w:tcW w:w="339" w:type="pct"/>
            <w:tcBorders>
              <w:top w:val="single" w:color="auto" w:sz="4" w:space="0"/>
              <w:left w:val="single" w:color="auto" w:sz="4" w:space="0"/>
              <w:bottom w:val="single" w:color="auto" w:sz="4" w:space="0"/>
              <w:right w:val="single" w:color="auto" w:sz="4" w:space="0"/>
            </w:tcBorders>
          </w:tcPr>
          <w:p w14:paraId="014CB194">
            <w:pPr>
              <w:widowControl w:val="0"/>
              <w:adjustRightInd w:val="0"/>
              <w:spacing w:beforeLines="0" w:line="240" w:lineRule="auto"/>
              <w:ind w:left="420" w:leftChars="0" w:hanging="420"/>
              <w:jc w:val="center"/>
              <w:rPr>
                <w:rFonts w:cs="宋体"/>
                <w:bCs/>
                <w:color w:val="auto"/>
                <w:sz w:val="21"/>
                <w:szCs w:val="21"/>
              </w:rPr>
            </w:pPr>
          </w:p>
        </w:tc>
        <w:tc>
          <w:tcPr>
            <w:tcW w:w="593" w:type="pct"/>
            <w:tcBorders>
              <w:top w:val="single" w:color="auto" w:sz="4" w:space="0"/>
              <w:left w:val="single" w:color="auto" w:sz="4" w:space="0"/>
              <w:bottom w:val="single" w:color="auto" w:sz="4" w:space="0"/>
              <w:right w:val="single" w:color="auto" w:sz="4" w:space="0"/>
            </w:tcBorders>
          </w:tcPr>
          <w:p w14:paraId="502AD9EF">
            <w:pPr>
              <w:widowControl w:val="0"/>
              <w:adjustRightInd w:val="0"/>
              <w:spacing w:beforeLines="0" w:line="240" w:lineRule="auto"/>
              <w:ind w:left="420" w:leftChars="0" w:hanging="420"/>
              <w:jc w:val="center"/>
              <w:rPr>
                <w:rFonts w:cs="宋体"/>
                <w:bCs/>
                <w:color w:val="auto"/>
                <w:sz w:val="21"/>
                <w:szCs w:val="21"/>
              </w:rPr>
            </w:pPr>
          </w:p>
        </w:tc>
        <w:tc>
          <w:tcPr>
            <w:tcW w:w="509" w:type="pct"/>
            <w:tcBorders>
              <w:top w:val="single" w:color="auto" w:sz="4" w:space="0"/>
              <w:left w:val="single" w:color="auto" w:sz="4" w:space="0"/>
              <w:bottom w:val="single" w:color="auto" w:sz="4" w:space="0"/>
              <w:right w:val="single" w:color="auto" w:sz="4" w:space="0"/>
            </w:tcBorders>
          </w:tcPr>
          <w:p w14:paraId="68B7D173">
            <w:pPr>
              <w:widowControl w:val="0"/>
              <w:adjustRightInd w:val="0"/>
              <w:spacing w:beforeLines="0" w:line="240" w:lineRule="auto"/>
              <w:ind w:left="420" w:leftChars="0" w:hanging="420"/>
              <w:jc w:val="center"/>
              <w:rPr>
                <w:rFonts w:cs="宋体"/>
                <w:bCs/>
                <w:color w:val="auto"/>
                <w:sz w:val="21"/>
                <w:szCs w:val="21"/>
              </w:rPr>
            </w:pPr>
          </w:p>
        </w:tc>
        <w:tc>
          <w:tcPr>
            <w:tcW w:w="678" w:type="pct"/>
            <w:tcBorders>
              <w:top w:val="single" w:color="auto" w:sz="4" w:space="0"/>
              <w:left w:val="single" w:color="auto" w:sz="4" w:space="0"/>
              <w:bottom w:val="single" w:color="auto" w:sz="4" w:space="0"/>
              <w:right w:val="single" w:color="auto" w:sz="4" w:space="0"/>
            </w:tcBorders>
          </w:tcPr>
          <w:p w14:paraId="705667A4">
            <w:pPr>
              <w:widowControl w:val="0"/>
              <w:adjustRightInd w:val="0"/>
              <w:spacing w:beforeLines="0" w:line="240" w:lineRule="auto"/>
              <w:ind w:left="420" w:leftChars="0" w:hanging="420"/>
              <w:jc w:val="center"/>
              <w:rPr>
                <w:rFonts w:cs="宋体"/>
                <w:bCs/>
                <w:color w:val="auto"/>
                <w:sz w:val="21"/>
                <w:szCs w:val="21"/>
              </w:rPr>
            </w:pPr>
          </w:p>
        </w:tc>
        <w:tc>
          <w:tcPr>
            <w:tcW w:w="513" w:type="pct"/>
            <w:tcBorders>
              <w:top w:val="single" w:color="auto" w:sz="4" w:space="0"/>
              <w:left w:val="single" w:color="auto" w:sz="4" w:space="0"/>
              <w:bottom w:val="single" w:color="auto" w:sz="4" w:space="0"/>
              <w:right w:val="single" w:color="auto" w:sz="4" w:space="0"/>
            </w:tcBorders>
          </w:tcPr>
          <w:p w14:paraId="1CEC5A0D">
            <w:pPr>
              <w:widowControl w:val="0"/>
              <w:adjustRightInd w:val="0"/>
              <w:spacing w:beforeLines="0" w:line="240" w:lineRule="auto"/>
              <w:ind w:left="420" w:leftChars="0" w:hanging="420"/>
              <w:jc w:val="center"/>
              <w:rPr>
                <w:rFonts w:cs="宋体"/>
                <w:bCs/>
                <w:color w:val="auto"/>
                <w:sz w:val="21"/>
                <w:szCs w:val="21"/>
              </w:rPr>
            </w:pPr>
          </w:p>
        </w:tc>
        <w:tc>
          <w:tcPr>
            <w:tcW w:w="486" w:type="pct"/>
            <w:tcBorders>
              <w:top w:val="single" w:color="auto" w:sz="4" w:space="0"/>
              <w:left w:val="single" w:color="auto" w:sz="4" w:space="0"/>
              <w:bottom w:val="single" w:color="auto" w:sz="4" w:space="0"/>
              <w:right w:val="single" w:color="auto" w:sz="4" w:space="0"/>
            </w:tcBorders>
          </w:tcPr>
          <w:p w14:paraId="1A5D73DF">
            <w:pPr>
              <w:widowControl w:val="0"/>
              <w:adjustRightInd w:val="0"/>
              <w:spacing w:beforeLines="0" w:line="240" w:lineRule="auto"/>
              <w:ind w:left="420" w:leftChars="0" w:hanging="420"/>
              <w:jc w:val="center"/>
              <w:rPr>
                <w:rFonts w:cs="宋体"/>
                <w:bCs/>
                <w:color w:val="auto"/>
                <w:sz w:val="21"/>
                <w:szCs w:val="21"/>
              </w:rPr>
            </w:pPr>
          </w:p>
        </w:tc>
      </w:tr>
    </w:tbl>
    <w:p w14:paraId="7DB59142">
      <w:pPr>
        <w:spacing w:beforeLines="0"/>
        <w:ind w:left="480" w:leftChars="0" w:hanging="480"/>
        <w:rPr>
          <w:rFonts w:cs="宋体"/>
          <w:bCs/>
          <w:color w:val="auto"/>
        </w:rPr>
      </w:pPr>
      <w:r>
        <w:rPr>
          <w:rFonts w:hint="eastAsia" w:cs="宋体"/>
          <w:bCs/>
          <w:color w:val="auto"/>
        </w:rPr>
        <w:t>说明：</w:t>
      </w:r>
    </w:p>
    <w:p w14:paraId="2E4FD3A5">
      <w:pPr>
        <w:spacing w:beforeLines="0"/>
        <w:ind w:left="480" w:leftChars="0" w:hanging="480"/>
        <w:rPr>
          <w:rFonts w:cs="宋体"/>
          <w:bCs/>
          <w:color w:val="auto"/>
        </w:rPr>
      </w:pPr>
      <w:r>
        <w:rPr>
          <w:rFonts w:hint="eastAsia" w:cs="宋体"/>
          <w:bCs/>
          <w:color w:val="auto"/>
        </w:rPr>
        <w:t>1、投标人应在投标文件中按附表要求提供设备各大件的运输尺寸（长×宽×高）、重量，并附运输外形尺寸图及其重心位置。</w:t>
      </w:r>
    </w:p>
    <w:p w14:paraId="2CC6B6FE">
      <w:pPr>
        <w:spacing w:beforeLines="0"/>
        <w:ind w:left="480" w:leftChars="0" w:hanging="480"/>
        <w:outlineLvl w:val="0"/>
        <w:rPr>
          <w:rFonts w:cs="宋体"/>
          <w:bCs/>
          <w:color w:val="auto"/>
        </w:rPr>
      </w:pPr>
      <w:r>
        <w:rPr>
          <w:rFonts w:hint="eastAsia" w:cs="宋体"/>
          <w:bCs/>
          <w:color w:val="auto"/>
        </w:rPr>
        <w:t>2、设备运输尺寸，指设备包装后的各部分尺寸。</w:t>
      </w:r>
    </w:p>
    <w:p w14:paraId="2324BD6D">
      <w:pPr>
        <w:spacing w:beforeLines="0"/>
        <w:ind w:left="480" w:leftChars="0" w:hanging="480"/>
        <w:rPr>
          <w:rFonts w:cs="宋体"/>
          <w:bCs/>
          <w:color w:val="auto"/>
        </w:rPr>
      </w:pPr>
      <w:r>
        <w:rPr>
          <w:rFonts w:hint="eastAsia" w:cs="宋体"/>
          <w:bCs/>
          <w:color w:val="auto"/>
        </w:rPr>
        <w:t>3、当采用铁路运输时，设备的运输外形尺寸，应考虑该设备拟采用的运输车辆装载面至轨面的高度要求。</w:t>
      </w:r>
    </w:p>
    <w:p w14:paraId="1FD5937D">
      <w:pPr>
        <w:spacing w:beforeLines="0"/>
        <w:ind w:left="480" w:leftChars="0" w:hanging="480"/>
        <w:rPr>
          <w:rFonts w:cs="宋体"/>
          <w:bCs/>
          <w:color w:val="auto"/>
        </w:rPr>
      </w:pPr>
      <w:r>
        <w:rPr>
          <w:rFonts w:hint="eastAsia" w:cs="宋体"/>
          <w:bCs/>
          <w:color w:val="auto"/>
        </w:rPr>
        <w:t>4、投标人应根据大件运输的线路及运输方式，对沿途中所经过的涵洞、桥梁等构、建筑物进行充分的调查和论证，在投标文件中提出大件运输的方案，确保设备大件安全运至现场。</w:t>
      </w:r>
    </w:p>
    <w:p w14:paraId="1ADE0FF9">
      <w:pPr>
        <w:spacing w:beforeLines="0"/>
        <w:ind w:left="480" w:leftChars="0" w:hanging="480"/>
        <w:rPr>
          <w:rFonts w:cs="宋体"/>
          <w:bCs/>
          <w:color w:val="auto"/>
        </w:rPr>
      </w:pPr>
      <w:r>
        <w:rPr>
          <w:rFonts w:hint="eastAsia" w:cs="宋体"/>
          <w:bCs/>
          <w:color w:val="auto"/>
        </w:rPr>
        <w:t>5、投标人还应在投标文件中说明所有其它设备的运输方案，包括车辆、船舶型号、数量、运输路线等。</w:t>
      </w:r>
    </w:p>
    <w:p w14:paraId="516888D6">
      <w:pPr>
        <w:spacing w:beforeLines="0"/>
        <w:ind w:left="480" w:leftChars="0" w:hanging="480"/>
        <w:rPr>
          <w:rFonts w:cs="宋体"/>
          <w:bCs/>
          <w:color w:val="auto"/>
        </w:rPr>
      </w:pPr>
      <w:r>
        <w:rPr>
          <w:rFonts w:hint="eastAsia" w:cs="宋体"/>
          <w:bCs/>
          <w:color w:val="auto"/>
        </w:rPr>
        <w:t>6、当投标人设备的运输尺寸超出上述给定的铁路运输界限规定的界限要求时，投标人应承担由于采取必要措施进行运输而发生的费用。</w:t>
      </w:r>
      <w:r>
        <w:rPr>
          <w:rFonts w:cs="宋体"/>
          <w:bCs/>
          <w:color w:val="auto"/>
        </w:rPr>
        <w:br w:type="page"/>
      </w:r>
    </w:p>
    <w:p w14:paraId="771B672B">
      <w:pPr>
        <w:pStyle w:val="2"/>
        <w:spacing w:before="240" w:after="240"/>
        <w:rPr>
          <w:rFonts w:cs="宋体"/>
          <w:bCs w:val="0"/>
          <w:color w:val="auto"/>
          <w:szCs w:val="20"/>
        </w:rPr>
      </w:pPr>
      <w:bookmarkStart w:id="78" w:name="_Toc118724533"/>
      <w:bookmarkStart w:id="79" w:name="_Toc399193091"/>
      <w:r>
        <w:rPr>
          <w:rFonts w:hint="eastAsia"/>
          <w:color w:val="auto"/>
        </w:rPr>
        <w:t>附件9、技术差异表</w:t>
      </w:r>
      <w:bookmarkEnd w:id="78"/>
      <w:bookmarkEnd w:id="79"/>
    </w:p>
    <w:p w14:paraId="67120614">
      <w:pPr>
        <w:spacing w:before="156"/>
        <w:ind w:left="890" w:hanging="480"/>
        <w:rPr>
          <w:rFonts w:cs="宋体"/>
          <w:bCs/>
          <w:color w:val="auto"/>
        </w:rPr>
      </w:pPr>
      <w:r>
        <w:rPr>
          <w:rFonts w:hint="eastAsia" w:cs="宋体"/>
          <w:bCs/>
          <w:color w:val="auto"/>
        </w:rPr>
        <w:t>投标人要将投标文件和招标文件的差异之处汇集成表。技术部分和商务部分要单独列表。</w:t>
      </w:r>
    </w:p>
    <w:p w14:paraId="2B85413D">
      <w:pPr>
        <w:spacing w:before="156"/>
        <w:ind w:left="890" w:hanging="480"/>
        <w:jc w:val="center"/>
        <w:rPr>
          <w:rFonts w:cs="宋体"/>
          <w:bCs/>
          <w:color w:val="auto"/>
        </w:rPr>
      </w:pPr>
      <w:r>
        <w:rPr>
          <w:rFonts w:hint="eastAsia" w:cs="宋体"/>
          <w:bCs/>
          <w:color w:val="auto"/>
        </w:rPr>
        <w:t>差  异  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41"/>
        <w:gridCol w:w="851"/>
        <w:gridCol w:w="3055"/>
        <w:gridCol w:w="768"/>
        <w:gridCol w:w="2947"/>
      </w:tblGrid>
      <w:tr w14:paraId="4B27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443" w:type="pct"/>
            <w:vMerge w:val="restart"/>
            <w:tcBorders>
              <w:top w:val="single" w:color="auto" w:sz="4" w:space="0"/>
              <w:left w:val="single" w:color="auto" w:sz="4" w:space="0"/>
              <w:bottom w:val="single" w:color="auto" w:sz="4" w:space="0"/>
              <w:right w:val="single" w:color="auto" w:sz="4" w:space="0"/>
            </w:tcBorders>
          </w:tcPr>
          <w:p w14:paraId="49D0B612">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序号</w:t>
            </w:r>
          </w:p>
        </w:tc>
        <w:tc>
          <w:tcPr>
            <w:tcW w:w="2336" w:type="pct"/>
            <w:gridSpan w:val="2"/>
            <w:tcBorders>
              <w:top w:val="single" w:color="auto" w:sz="4" w:space="0"/>
              <w:left w:val="single" w:color="auto" w:sz="4" w:space="0"/>
              <w:bottom w:val="single" w:color="auto" w:sz="4" w:space="0"/>
              <w:right w:val="single" w:color="auto" w:sz="4" w:space="0"/>
            </w:tcBorders>
          </w:tcPr>
          <w:p w14:paraId="751497D8">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招标文件</w:t>
            </w:r>
          </w:p>
        </w:tc>
        <w:tc>
          <w:tcPr>
            <w:tcW w:w="2221" w:type="pct"/>
            <w:gridSpan w:val="2"/>
            <w:tcBorders>
              <w:top w:val="single" w:color="auto" w:sz="4" w:space="0"/>
              <w:left w:val="single" w:color="auto" w:sz="4" w:space="0"/>
              <w:bottom w:val="single" w:color="auto" w:sz="4" w:space="0"/>
              <w:right w:val="single" w:color="auto" w:sz="4" w:space="0"/>
            </w:tcBorders>
          </w:tcPr>
          <w:p w14:paraId="3EB20D0B">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投标文件</w:t>
            </w:r>
          </w:p>
        </w:tc>
      </w:tr>
      <w:tr w14:paraId="689D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443" w:type="pct"/>
            <w:vMerge w:val="continue"/>
            <w:tcBorders>
              <w:top w:val="single" w:color="auto" w:sz="4" w:space="0"/>
              <w:left w:val="single" w:color="auto" w:sz="4" w:space="0"/>
              <w:bottom w:val="single" w:color="auto" w:sz="4" w:space="0"/>
              <w:right w:val="single" w:color="auto" w:sz="4" w:space="0"/>
            </w:tcBorders>
            <w:vAlign w:val="center"/>
          </w:tcPr>
          <w:p w14:paraId="6A7C5A38">
            <w:pPr>
              <w:spacing w:beforeLines="0" w:line="240" w:lineRule="auto"/>
              <w:ind w:left="0" w:leftChars="0" w:firstLine="0" w:firstLineChars="0"/>
              <w:rPr>
                <w:rFonts w:cs="宋体"/>
                <w:bCs/>
                <w:color w:val="auto"/>
                <w:sz w:val="21"/>
                <w:szCs w:val="21"/>
              </w:rPr>
            </w:pPr>
          </w:p>
        </w:tc>
        <w:tc>
          <w:tcPr>
            <w:tcW w:w="509" w:type="pct"/>
            <w:tcBorders>
              <w:top w:val="single" w:color="auto" w:sz="4" w:space="0"/>
              <w:left w:val="single" w:color="auto" w:sz="4" w:space="0"/>
              <w:bottom w:val="single" w:color="auto" w:sz="4" w:space="0"/>
              <w:right w:val="single" w:color="auto" w:sz="4" w:space="0"/>
            </w:tcBorders>
          </w:tcPr>
          <w:p w14:paraId="3FC90993">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条目</w:t>
            </w:r>
          </w:p>
        </w:tc>
        <w:tc>
          <w:tcPr>
            <w:tcW w:w="1827" w:type="pct"/>
            <w:tcBorders>
              <w:top w:val="single" w:color="auto" w:sz="4" w:space="0"/>
              <w:left w:val="single" w:color="auto" w:sz="4" w:space="0"/>
              <w:bottom w:val="single" w:color="auto" w:sz="4" w:space="0"/>
              <w:right w:val="single" w:color="auto" w:sz="4" w:space="0"/>
            </w:tcBorders>
          </w:tcPr>
          <w:p w14:paraId="31DD2A6D">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简要内容</w:t>
            </w:r>
          </w:p>
        </w:tc>
        <w:tc>
          <w:tcPr>
            <w:tcW w:w="459" w:type="pct"/>
            <w:tcBorders>
              <w:top w:val="single" w:color="auto" w:sz="4" w:space="0"/>
              <w:left w:val="single" w:color="auto" w:sz="4" w:space="0"/>
              <w:bottom w:val="single" w:color="auto" w:sz="4" w:space="0"/>
              <w:right w:val="single" w:color="auto" w:sz="4" w:space="0"/>
            </w:tcBorders>
          </w:tcPr>
          <w:p w14:paraId="34994139">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条目</w:t>
            </w:r>
          </w:p>
        </w:tc>
        <w:tc>
          <w:tcPr>
            <w:tcW w:w="1762" w:type="pct"/>
            <w:tcBorders>
              <w:top w:val="single" w:color="auto" w:sz="4" w:space="0"/>
              <w:left w:val="single" w:color="auto" w:sz="4" w:space="0"/>
              <w:bottom w:val="single" w:color="auto" w:sz="4" w:space="0"/>
              <w:right w:val="single" w:color="auto" w:sz="4" w:space="0"/>
            </w:tcBorders>
          </w:tcPr>
          <w:p w14:paraId="65A26FA3">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简要内容</w:t>
            </w:r>
          </w:p>
        </w:tc>
      </w:tr>
      <w:tr w14:paraId="27D6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443" w:type="pct"/>
            <w:tcBorders>
              <w:top w:val="single" w:color="auto" w:sz="4" w:space="0"/>
              <w:left w:val="single" w:color="auto" w:sz="4" w:space="0"/>
              <w:bottom w:val="single" w:color="auto" w:sz="4" w:space="0"/>
              <w:right w:val="single" w:color="auto" w:sz="4" w:space="0"/>
            </w:tcBorders>
          </w:tcPr>
          <w:p w14:paraId="17AB3BB2">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1</w:t>
            </w:r>
          </w:p>
        </w:tc>
        <w:tc>
          <w:tcPr>
            <w:tcW w:w="509" w:type="pct"/>
            <w:tcBorders>
              <w:top w:val="single" w:color="auto" w:sz="4" w:space="0"/>
              <w:left w:val="single" w:color="auto" w:sz="4" w:space="0"/>
              <w:bottom w:val="single" w:color="auto" w:sz="4" w:space="0"/>
              <w:right w:val="single" w:color="auto" w:sz="4" w:space="0"/>
            </w:tcBorders>
          </w:tcPr>
          <w:p w14:paraId="4F8A50B2">
            <w:pPr>
              <w:widowControl w:val="0"/>
              <w:adjustRightInd w:val="0"/>
              <w:spacing w:beforeLines="0" w:line="240" w:lineRule="auto"/>
              <w:ind w:left="0" w:leftChars="0" w:firstLine="0" w:firstLineChars="0"/>
              <w:jc w:val="center"/>
              <w:rPr>
                <w:rFonts w:cs="宋体"/>
                <w:bCs/>
                <w:color w:val="auto"/>
                <w:sz w:val="21"/>
                <w:szCs w:val="21"/>
              </w:rPr>
            </w:pPr>
          </w:p>
        </w:tc>
        <w:tc>
          <w:tcPr>
            <w:tcW w:w="1827" w:type="pct"/>
            <w:tcBorders>
              <w:top w:val="single" w:color="auto" w:sz="4" w:space="0"/>
              <w:left w:val="single" w:color="auto" w:sz="4" w:space="0"/>
              <w:bottom w:val="single" w:color="auto" w:sz="4" w:space="0"/>
              <w:right w:val="single" w:color="auto" w:sz="4" w:space="0"/>
            </w:tcBorders>
          </w:tcPr>
          <w:p w14:paraId="46A96DA4">
            <w:pPr>
              <w:widowControl w:val="0"/>
              <w:adjustRightInd w:val="0"/>
              <w:spacing w:beforeLines="0" w:line="240" w:lineRule="auto"/>
              <w:ind w:left="0" w:leftChars="0" w:firstLine="0" w:firstLineChars="0"/>
              <w:jc w:val="center"/>
              <w:rPr>
                <w:rFonts w:cs="宋体"/>
                <w:bCs/>
                <w:color w:val="auto"/>
                <w:sz w:val="21"/>
                <w:szCs w:val="21"/>
              </w:rPr>
            </w:pPr>
          </w:p>
        </w:tc>
        <w:tc>
          <w:tcPr>
            <w:tcW w:w="459" w:type="pct"/>
            <w:tcBorders>
              <w:top w:val="single" w:color="auto" w:sz="4" w:space="0"/>
              <w:left w:val="single" w:color="auto" w:sz="4" w:space="0"/>
              <w:bottom w:val="single" w:color="auto" w:sz="4" w:space="0"/>
              <w:right w:val="single" w:color="auto" w:sz="4" w:space="0"/>
            </w:tcBorders>
          </w:tcPr>
          <w:p w14:paraId="1EDC0153">
            <w:pPr>
              <w:widowControl w:val="0"/>
              <w:adjustRightInd w:val="0"/>
              <w:spacing w:beforeLines="0" w:line="240" w:lineRule="auto"/>
              <w:ind w:left="0" w:leftChars="0" w:firstLine="0" w:firstLineChars="0"/>
              <w:jc w:val="center"/>
              <w:rPr>
                <w:rFonts w:cs="宋体"/>
                <w:bCs/>
                <w:color w:val="auto"/>
                <w:sz w:val="21"/>
                <w:szCs w:val="21"/>
              </w:rPr>
            </w:pPr>
          </w:p>
        </w:tc>
        <w:tc>
          <w:tcPr>
            <w:tcW w:w="1762" w:type="pct"/>
            <w:tcBorders>
              <w:top w:val="single" w:color="auto" w:sz="4" w:space="0"/>
              <w:left w:val="single" w:color="auto" w:sz="4" w:space="0"/>
              <w:bottom w:val="single" w:color="auto" w:sz="4" w:space="0"/>
              <w:right w:val="single" w:color="auto" w:sz="4" w:space="0"/>
            </w:tcBorders>
          </w:tcPr>
          <w:p w14:paraId="631FA953">
            <w:pPr>
              <w:widowControl w:val="0"/>
              <w:adjustRightInd w:val="0"/>
              <w:spacing w:beforeLines="0" w:line="240" w:lineRule="auto"/>
              <w:ind w:left="0" w:leftChars="0" w:firstLine="0" w:firstLineChars="0"/>
              <w:jc w:val="center"/>
              <w:rPr>
                <w:rFonts w:cs="宋体"/>
                <w:bCs/>
                <w:color w:val="auto"/>
                <w:sz w:val="21"/>
                <w:szCs w:val="21"/>
              </w:rPr>
            </w:pPr>
          </w:p>
        </w:tc>
      </w:tr>
      <w:tr w14:paraId="4C37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443" w:type="pct"/>
            <w:tcBorders>
              <w:top w:val="single" w:color="auto" w:sz="4" w:space="0"/>
              <w:left w:val="single" w:color="auto" w:sz="4" w:space="0"/>
              <w:bottom w:val="single" w:color="auto" w:sz="4" w:space="0"/>
              <w:right w:val="single" w:color="auto" w:sz="4" w:space="0"/>
            </w:tcBorders>
          </w:tcPr>
          <w:p w14:paraId="07F37957">
            <w:pPr>
              <w:widowControl w:val="0"/>
              <w:adjustRightInd w:val="0"/>
              <w:spacing w:beforeLines="0" w:line="240" w:lineRule="auto"/>
              <w:ind w:left="0" w:leftChars="0" w:firstLine="0" w:firstLineChars="0"/>
              <w:jc w:val="center"/>
              <w:rPr>
                <w:rFonts w:cs="宋体"/>
                <w:bCs/>
                <w:color w:val="auto"/>
                <w:sz w:val="21"/>
                <w:szCs w:val="21"/>
              </w:rPr>
            </w:pPr>
            <w:r>
              <w:rPr>
                <w:rFonts w:hint="eastAsia" w:cs="宋体"/>
                <w:bCs/>
                <w:color w:val="auto"/>
                <w:sz w:val="21"/>
                <w:szCs w:val="21"/>
              </w:rPr>
              <w:t>2</w:t>
            </w:r>
          </w:p>
        </w:tc>
        <w:tc>
          <w:tcPr>
            <w:tcW w:w="509" w:type="pct"/>
            <w:tcBorders>
              <w:top w:val="single" w:color="auto" w:sz="4" w:space="0"/>
              <w:left w:val="single" w:color="auto" w:sz="4" w:space="0"/>
              <w:bottom w:val="single" w:color="auto" w:sz="4" w:space="0"/>
              <w:right w:val="single" w:color="auto" w:sz="4" w:space="0"/>
            </w:tcBorders>
          </w:tcPr>
          <w:p w14:paraId="5BED68C4">
            <w:pPr>
              <w:widowControl w:val="0"/>
              <w:adjustRightInd w:val="0"/>
              <w:spacing w:beforeLines="0" w:line="240" w:lineRule="auto"/>
              <w:ind w:left="0" w:leftChars="0" w:firstLine="0" w:firstLineChars="0"/>
              <w:jc w:val="center"/>
              <w:rPr>
                <w:rFonts w:cs="宋体"/>
                <w:bCs/>
                <w:color w:val="auto"/>
                <w:sz w:val="21"/>
                <w:szCs w:val="21"/>
              </w:rPr>
            </w:pPr>
          </w:p>
        </w:tc>
        <w:tc>
          <w:tcPr>
            <w:tcW w:w="1827" w:type="pct"/>
            <w:tcBorders>
              <w:top w:val="single" w:color="auto" w:sz="4" w:space="0"/>
              <w:left w:val="single" w:color="auto" w:sz="4" w:space="0"/>
              <w:bottom w:val="single" w:color="auto" w:sz="4" w:space="0"/>
              <w:right w:val="single" w:color="auto" w:sz="4" w:space="0"/>
            </w:tcBorders>
          </w:tcPr>
          <w:p w14:paraId="67380CFC">
            <w:pPr>
              <w:widowControl w:val="0"/>
              <w:adjustRightInd w:val="0"/>
              <w:spacing w:beforeLines="0" w:line="240" w:lineRule="auto"/>
              <w:ind w:left="0" w:leftChars="0" w:firstLine="0" w:firstLineChars="0"/>
              <w:jc w:val="center"/>
              <w:rPr>
                <w:rFonts w:cs="宋体"/>
                <w:bCs/>
                <w:color w:val="auto"/>
                <w:sz w:val="21"/>
                <w:szCs w:val="21"/>
              </w:rPr>
            </w:pPr>
          </w:p>
        </w:tc>
        <w:tc>
          <w:tcPr>
            <w:tcW w:w="459" w:type="pct"/>
            <w:tcBorders>
              <w:top w:val="single" w:color="auto" w:sz="4" w:space="0"/>
              <w:left w:val="single" w:color="auto" w:sz="4" w:space="0"/>
              <w:bottom w:val="single" w:color="auto" w:sz="4" w:space="0"/>
              <w:right w:val="single" w:color="auto" w:sz="4" w:space="0"/>
            </w:tcBorders>
          </w:tcPr>
          <w:p w14:paraId="5A80459D">
            <w:pPr>
              <w:widowControl w:val="0"/>
              <w:adjustRightInd w:val="0"/>
              <w:spacing w:beforeLines="0" w:line="240" w:lineRule="auto"/>
              <w:ind w:left="0" w:leftChars="0" w:firstLine="0" w:firstLineChars="0"/>
              <w:jc w:val="center"/>
              <w:rPr>
                <w:rFonts w:cs="宋体"/>
                <w:bCs/>
                <w:color w:val="auto"/>
                <w:sz w:val="21"/>
                <w:szCs w:val="21"/>
              </w:rPr>
            </w:pPr>
          </w:p>
        </w:tc>
        <w:tc>
          <w:tcPr>
            <w:tcW w:w="1762" w:type="pct"/>
            <w:tcBorders>
              <w:top w:val="single" w:color="auto" w:sz="4" w:space="0"/>
              <w:left w:val="single" w:color="auto" w:sz="4" w:space="0"/>
              <w:bottom w:val="single" w:color="auto" w:sz="4" w:space="0"/>
              <w:right w:val="single" w:color="auto" w:sz="4" w:space="0"/>
            </w:tcBorders>
          </w:tcPr>
          <w:p w14:paraId="7BE9999A">
            <w:pPr>
              <w:widowControl w:val="0"/>
              <w:adjustRightInd w:val="0"/>
              <w:spacing w:beforeLines="0" w:line="240" w:lineRule="auto"/>
              <w:ind w:left="0" w:leftChars="0" w:firstLine="0" w:firstLineChars="0"/>
              <w:jc w:val="center"/>
              <w:rPr>
                <w:rFonts w:cs="宋体"/>
                <w:bCs/>
                <w:color w:val="auto"/>
                <w:sz w:val="21"/>
                <w:szCs w:val="21"/>
              </w:rPr>
            </w:pPr>
          </w:p>
        </w:tc>
      </w:tr>
    </w:tbl>
    <w:p w14:paraId="44B22A0F">
      <w:pPr>
        <w:pStyle w:val="2"/>
        <w:spacing w:before="240" w:after="240"/>
        <w:rPr>
          <w:color w:val="auto"/>
        </w:rPr>
      </w:pPr>
      <w:bookmarkStart w:id="80" w:name="_Toc118724534"/>
      <w:bookmarkStart w:id="81" w:name="_Toc399193092"/>
      <w:r>
        <w:rPr>
          <w:color w:val="auto"/>
        </w:rPr>
        <w:br w:type="page"/>
      </w:r>
    </w:p>
    <w:p w14:paraId="320F4AA5">
      <w:pPr>
        <w:pStyle w:val="2"/>
        <w:spacing w:before="240" w:after="240"/>
        <w:rPr>
          <w:color w:val="auto"/>
        </w:rPr>
      </w:pPr>
      <w:r>
        <w:rPr>
          <w:rFonts w:hint="eastAsia"/>
          <w:color w:val="auto"/>
        </w:rPr>
        <w:t>附件10、附图</w:t>
      </w:r>
      <w:bookmarkEnd w:id="80"/>
      <w:bookmarkEnd w:id="81"/>
    </w:p>
    <w:p w14:paraId="6DC2BFC7">
      <w:pPr>
        <w:autoSpaceDE w:val="0"/>
        <w:autoSpaceDN w:val="0"/>
        <w:snapToGrid w:val="0"/>
        <w:spacing w:beforeLines="0"/>
        <w:ind w:left="0" w:leftChars="0" w:firstLine="480" w:firstLineChars="200"/>
        <w:rPr>
          <w:color w:val="auto"/>
        </w:rPr>
      </w:pPr>
      <w:r>
        <w:rPr>
          <w:rFonts w:hint="eastAsia"/>
          <w:color w:val="auto"/>
        </w:rPr>
        <w:t>投标人提供详细的投标设备图纸，并另行装订成册，图纸清册、数量和格式见招标文件附件3要求。</w:t>
      </w:r>
    </w:p>
    <w:p w14:paraId="546DAE0B">
      <w:pPr>
        <w:autoSpaceDE w:val="0"/>
        <w:autoSpaceDN w:val="0"/>
        <w:snapToGrid w:val="0"/>
        <w:spacing w:beforeLines="0"/>
        <w:ind w:left="199" w:leftChars="0" w:hanging="199" w:hangingChars="83"/>
        <w:rPr>
          <w:color w:val="auto"/>
        </w:rPr>
      </w:pPr>
      <w:r>
        <w:rPr>
          <w:color w:val="auto"/>
        </w:rPr>
        <w:br w:type="page"/>
      </w:r>
    </w:p>
    <w:p w14:paraId="2153CA8F">
      <w:pPr>
        <w:pStyle w:val="2"/>
        <w:spacing w:before="240" w:after="240"/>
        <w:rPr>
          <w:color w:val="auto"/>
        </w:rPr>
      </w:pPr>
      <w:r>
        <w:rPr>
          <w:rFonts w:hint="eastAsia"/>
          <w:color w:val="auto"/>
        </w:rPr>
        <w:t>附件</w:t>
      </w:r>
      <w:r>
        <w:rPr>
          <w:color w:val="auto"/>
        </w:rPr>
        <w:t>11、性能考核条款</w:t>
      </w:r>
    </w:p>
    <w:p w14:paraId="09304A42">
      <w:pPr>
        <w:spacing w:beforeLines="0"/>
        <w:ind w:left="0" w:leftChars="0" w:firstLine="480" w:firstLineChars="200"/>
        <w:jc w:val="both"/>
        <w:rPr>
          <w:color w:val="auto"/>
        </w:rPr>
      </w:pPr>
      <w:r>
        <w:rPr>
          <w:color w:val="auto"/>
        </w:rPr>
        <w:t>11.1</w:t>
      </w:r>
      <w:r>
        <w:rPr>
          <w:rFonts w:hint="eastAsia"/>
          <w:color w:val="auto"/>
        </w:rPr>
        <w:t>供货期不能按招标人要求的，按商务条款进行考核。</w:t>
      </w:r>
    </w:p>
    <w:p w14:paraId="1E6EC8D0">
      <w:pPr>
        <w:spacing w:beforeLines="0"/>
        <w:ind w:left="0" w:leftChars="0" w:firstLine="480" w:firstLineChars="200"/>
        <w:jc w:val="both"/>
        <w:rPr>
          <w:color w:val="auto"/>
        </w:rPr>
      </w:pPr>
      <w:r>
        <w:rPr>
          <w:color w:val="auto"/>
        </w:rPr>
        <w:t>11.2</w:t>
      </w:r>
      <w:r>
        <w:rPr>
          <w:rFonts w:hint="eastAsia"/>
          <w:color w:val="auto"/>
        </w:rPr>
        <w:t>阀体及其他重要部件</w:t>
      </w:r>
      <w:r>
        <w:rPr>
          <w:color w:val="auto"/>
        </w:rPr>
        <w:t>材质不满足技术要求的，招标人有权拒绝验收并退货处理。</w:t>
      </w:r>
    </w:p>
    <w:p w14:paraId="5A80E044">
      <w:pPr>
        <w:spacing w:beforeLines="0"/>
        <w:ind w:left="0" w:leftChars="0" w:firstLine="480" w:firstLineChars="200"/>
        <w:jc w:val="both"/>
        <w:rPr>
          <w:color w:val="auto"/>
        </w:rPr>
      </w:pPr>
      <w:r>
        <w:rPr>
          <w:color w:val="auto"/>
        </w:rPr>
        <w:t>11.3由于是阀门更换项目，故对本次采购阀门的结构长度与焊接坡口尺寸、型式有明确要求，如阀门到货验收时不满足技术要求的，招标人有权拒绝验收并退货处理。</w:t>
      </w:r>
      <w:r>
        <w:rPr>
          <w:color w:val="auto"/>
        </w:rPr>
        <w:br w:type="page"/>
      </w:r>
    </w:p>
    <w:p w14:paraId="72783CF2">
      <w:pPr>
        <w:pStyle w:val="2"/>
        <w:rPr>
          <w:color w:val="auto"/>
        </w:rPr>
      </w:pPr>
      <w:bookmarkStart w:id="82" w:name="_Toc399193094"/>
      <w:bookmarkStart w:id="83" w:name="_Toc118724535"/>
      <w:r>
        <w:rPr>
          <w:rFonts w:hint="eastAsia"/>
          <w:color w:val="auto"/>
        </w:rPr>
        <w:t>附件12、投标人需要说明的其他问题（技术特点、质保体系等）</w:t>
      </w:r>
      <w:bookmarkEnd w:id="82"/>
      <w:bookmarkEnd w:id="83"/>
    </w:p>
    <w:p w14:paraId="6D139D5C">
      <w:pPr>
        <w:spacing w:beforeLines="0"/>
        <w:ind w:left="0" w:leftChars="0" w:firstLine="480" w:firstLineChars="200"/>
        <w:rPr>
          <w:rFonts w:cs="宋体"/>
          <w:bCs/>
          <w:color w:val="auto"/>
        </w:rPr>
      </w:pPr>
      <w:r>
        <w:rPr>
          <w:rFonts w:hint="eastAsia" w:cs="宋体"/>
          <w:bCs/>
          <w:color w:val="auto"/>
        </w:rPr>
        <w:t>投标人提供在专业技术、设备设施、人员组织、业绩经验等方面具有设计、制造、质量控制、经营管理的相应的资格和能力的资料。</w:t>
      </w:r>
      <w:bookmarkEnd w:id="69"/>
      <w:bookmarkEnd w:id="70"/>
      <w:bookmarkEnd w:id="71"/>
      <w:bookmarkEnd w:id="72"/>
    </w:p>
    <w:p w14:paraId="52D61996">
      <w:pPr>
        <w:pStyle w:val="2"/>
        <w:rPr>
          <w:color w:val="auto"/>
        </w:rPr>
      </w:pPr>
      <w:r>
        <w:rPr>
          <w:color w:val="auto"/>
        </w:rPr>
        <w:br w:type="page"/>
      </w:r>
    </w:p>
    <w:p w14:paraId="50748859">
      <w:pPr>
        <w:pStyle w:val="2"/>
        <w:rPr>
          <w:color w:val="auto"/>
        </w:rPr>
      </w:pPr>
      <w:r>
        <w:rPr>
          <w:rFonts w:hint="eastAsia"/>
          <w:color w:val="auto"/>
        </w:rPr>
        <w:t>附件</w:t>
      </w:r>
      <w:r>
        <w:rPr>
          <w:color w:val="auto"/>
        </w:rPr>
        <w:t>13、 业绩及用户评价</w:t>
      </w:r>
      <w:r>
        <w:rPr>
          <w:color w:val="auto"/>
        </w:rPr>
        <w:tab/>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hanging="480"/>
      </w:pPr>
      <w:r>
        <w:separator/>
      </w:r>
    </w:p>
  </w:endnote>
  <w:endnote w:type="continuationSeparator" w:id="1">
    <w:p>
      <w:pPr>
        <w:spacing w:line="240" w:lineRule="auto"/>
        <w:ind w:left="41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5983389"/>
    </w:sdtPr>
    <w:sdtContent>
      <w:p w14:paraId="10C3DF39">
        <w:pPr>
          <w:pStyle w:val="20"/>
          <w:spacing w:before="120"/>
          <w:ind w:left="890" w:hanging="480"/>
          <w:jc w:val="center"/>
        </w:pPr>
        <w:r>
          <w:fldChar w:fldCharType="begin"/>
        </w:r>
        <w:r>
          <w:instrText xml:space="preserve">PAGE   \* MERGEFORMAT</w:instrText>
        </w:r>
        <w:r>
          <w:fldChar w:fldCharType="separate"/>
        </w:r>
        <w:r>
          <w:rPr>
            <w:lang w:val="zh-CN"/>
          </w:rPr>
          <w:t>14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F2386">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7FC34">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410" w:hanging="480"/>
      </w:pPr>
      <w:r>
        <w:separator/>
      </w:r>
    </w:p>
  </w:footnote>
  <w:footnote w:type="continuationSeparator" w:id="1">
    <w:p>
      <w:pPr>
        <w:spacing w:before="0" w:after="0" w:line="360" w:lineRule="auto"/>
        <w:ind w:left="410" w:hanging="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3A993">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2864">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764CA">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87B9C"/>
    <w:multiLevelType w:val="multilevel"/>
    <w:tmpl w:val="58A87B9C"/>
    <w:lvl w:ilvl="0" w:tentative="0">
      <w:start w:val="1"/>
      <w:numFmt w:val="decimal"/>
      <w:suff w:val="nothing"/>
      <w:lvlText w:val="%1."/>
      <w:lvlJc w:val="left"/>
      <w:pPr>
        <w:ind w:left="0" w:firstLine="0"/>
      </w:pPr>
    </w:lvl>
    <w:lvl w:ilvl="1" w:tentative="0">
      <w:start w:val="1"/>
      <w:numFmt w:val="decimal"/>
      <w:pStyle w:val="3"/>
      <w:suff w:val="nothing"/>
      <w:lvlText w:val="%1.%2"/>
      <w:lvlJc w:val="left"/>
      <w:pPr>
        <w:ind w:left="0" w:firstLine="0"/>
      </w:pPr>
    </w:lvl>
    <w:lvl w:ilvl="2" w:tentative="0">
      <w:start w:val="1"/>
      <w:numFmt w:val="chineseCountingThousand"/>
      <w:suff w:val="nothing"/>
      <w:lvlText w:val="附件%3："/>
      <w:lvlJc w:val="left"/>
      <w:pPr>
        <w:ind w:left="0" w:firstLine="0"/>
      </w:pPr>
    </w:lvl>
    <w:lvl w:ilvl="3" w:tentative="0">
      <w:start w:val="1"/>
      <w:numFmt w:val="decimal"/>
      <w:suff w:val="nothing"/>
      <w:lvlText w:val="%4."/>
      <w:lvlJc w:val="left"/>
      <w:pPr>
        <w:ind w:left="0" w:firstLine="0"/>
      </w:pPr>
    </w:lvl>
    <w:lvl w:ilvl="4" w:tentative="0">
      <w:start w:val="1"/>
      <w:numFmt w:val="decimal"/>
      <w:pStyle w:val="7"/>
      <w:suff w:val="nothing"/>
      <w:lvlText w:val="%4.%5"/>
      <w:lvlJc w:val="left"/>
      <w:pPr>
        <w:ind w:left="0" w:firstLine="0"/>
      </w:pPr>
    </w:lvl>
    <w:lvl w:ilvl="5" w:tentative="0">
      <w:start w:val="1"/>
      <w:numFmt w:val="none"/>
      <w:pStyle w:val="8"/>
      <w:suff w:val="nothing"/>
      <w:lvlText w:val=""/>
      <w:lvlJc w:val="left"/>
      <w:pPr>
        <w:ind w:left="0" w:firstLine="0"/>
      </w:pPr>
    </w:lvl>
    <w:lvl w:ilvl="6" w:tentative="0">
      <w:start w:val="1"/>
      <w:numFmt w:val="none"/>
      <w:pStyle w:val="9"/>
      <w:suff w:val="nothing"/>
      <w:lvlText w:val=""/>
      <w:lvlJc w:val="left"/>
      <w:pPr>
        <w:ind w:left="0" w:firstLine="0"/>
      </w:pPr>
    </w:lvl>
    <w:lvl w:ilvl="7" w:tentative="0">
      <w:start w:val="1"/>
      <w:numFmt w:val="none"/>
      <w:pStyle w:val="10"/>
      <w:suff w:val="nothing"/>
      <w:lvlText w:val=""/>
      <w:lvlJc w:val="left"/>
      <w:pPr>
        <w:ind w:left="0" w:firstLine="0"/>
      </w:pPr>
    </w:lvl>
    <w:lvl w:ilvl="8" w:tentative="0">
      <w:start w:val="1"/>
      <w:numFmt w:val="none"/>
      <w:pStyle w:val="11"/>
      <w:suff w:val="nothing"/>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NmZiNjY0ZGFkNWFlNDRkMWEzOWI2MDVjMjI2MDUifQ=="/>
  </w:docVars>
  <w:rsids>
    <w:rsidRoot w:val="00292C94"/>
    <w:rsid w:val="00017B3C"/>
    <w:rsid w:val="000B37B7"/>
    <w:rsid w:val="00185B08"/>
    <w:rsid w:val="00292C94"/>
    <w:rsid w:val="002968DC"/>
    <w:rsid w:val="002C373D"/>
    <w:rsid w:val="002E6E82"/>
    <w:rsid w:val="00316FE5"/>
    <w:rsid w:val="003E62BE"/>
    <w:rsid w:val="00430D81"/>
    <w:rsid w:val="004739C8"/>
    <w:rsid w:val="004D0F25"/>
    <w:rsid w:val="004F4D36"/>
    <w:rsid w:val="00535DB8"/>
    <w:rsid w:val="005465F4"/>
    <w:rsid w:val="005654B6"/>
    <w:rsid w:val="0057489B"/>
    <w:rsid w:val="005E48CA"/>
    <w:rsid w:val="006136C0"/>
    <w:rsid w:val="0062176B"/>
    <w:rsid w:val="006A30B9"/>
    <w:rsid w:val="006A4821"/>
    <w:rsid w:val="00724B66"/>
    <w:rsid w:val="0090349A"/>
    <w:rsid w:val="009825FF"/>
    <w:rsid w:val="009A2A65"/>
    <w:rsid w:val="009E3A9C"/>
    <w:rsid w:val="00A44E94"/>
    <w:rsid w:val="00AD4063"/>
    <w:rsid w:val="00B3113E"/>
    <w:rsid w:val="00B75CD6"/>
    <w:rsid w:val="00BB01C9"/>
    <w:rsid w:val="00BB6E14"/>
    <w:rsid w:val="00C03780"/>
    <w:rsid w:val="00CF2F1B"/>
    <w:rsid w:val="00D64261"/>
    <w:rsid w:val="00D94EAC"/>
    <w:rsid w:val="00DD7218"/>
    <w:rsid w:val="00E85866"/>
    <w:rsid w:val="00EE36E5"/>
    <w:rsid w:val="00F13E34"/>
    <w:rsid w:val="00FB3F02"/>
    <w:rsid w:val="00FC3951"/>
    <w:rsid w:val="00FE6D3C"/>
    <w:rsid w:val="0BC60E79"/>
    <w:rsid w:val="0EBB12A8"/>
    <w:rsid w:val="1AAA0439"/>
    <w:rsid w:val="1C8474D8"/>
    <w:rsid w:val="226513C9"/>
    <w:rsid w:val="31F709FD"/>
    <w:rsid w:val="35BF6BEA"/>
    <w:rsid w:val="3C313933"/>
    <w:rsid w:val="3F8C5D8F"/>
    <w:rsid w:val="415C44C9"/>
    <w:rsid w:val="42C60F07"/>
    <w:rsid w:val="47DB4C86"/>
    <w:rsid w:val="4FAB563A"/>
    <w:rsid w:val="5A46647A"/>
    <w:rsid w:val="70530512"/>
    <w:rsid w:val="72676064"/>
    <w:rsid w:val="73E90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qFormat="1" w:uiPriority="0" w:semiHidden="0" w:name="Body Text First Indent 2"/>
    <w:lsdException w:uiPriority="99" w:name="Note Heading"/>
    <w:lsdException w:qFormat="1" w:uiPriority="0" w:name="Body Text 2"/>
    <w:lsdException w:uiPriority="99" w:name="Body Text 3"/>
    <w:lsdException w:qFormat="1" w:uiPriority="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line="360" w:lineRule="auto"/>
      <w:ind w:left="371" w:leftChars="171" w:hanging="200" w:hangingChars="200"/>
    </w:pPr>
    <w:rPr>
      <w:rFonts w:ascii="宋体" w:hAnsi="宋体" w:eastAsia="宋体" w:cs="Calibri"/>
      <w:sz w:val="24"/>
      <w:szCs w:val="24"/>
      <w:lang w:val="en-US" w:eastAsia="zh-CN" w:bidi="ar-SA"/>
    </w:rPr>
  </w:style>
  <w:style w:type="paragraph" w:styleId="2">
    <w:name w:val="heading 1"/>
    <w:basedOn w:val="1"/>
    <w:next w:val="1"/>
    <w:link w:val="30"/>
    <w:qFormat/>
    <w:uiPriority w:val="0"/>
    <w:pPr>
      <w:widowControl w:val="0"/>
      <w:spacing w:beforeLines="0"/>
      <w:ind w:left="0" w:leftChars="0" w:firstLine="0" w:firstLineChars="0"/>
      <w:outlineLvl w:val="0"/>
    </w:pPr>
    <w:rPr>
      <w:b/>
      <w:bCs/>
      <w:kern w:val="44"/>
      <w:sz w:val="28"/>
      <w:szCs w:val="44"/>
    </w:rPr>
  </w:style>
  <w:style w:type="paragraph" w:styleId="3">
    <w:name w:val="heading 2"/>
    <w:basedOn w:val="1"/>
    <w:next w:val="1"/>
    <w:link w:val="31"/>
    <w:semiHidden/>
    <w:unhideWhenUsed/>
    <w:qFormat/>
    <w:uiPriority w:val="0"/>
    <w:pPr>
      <w:keepNext/>
      <w:keepLines/>
      <w:widowControl w:val="0"/>
      <w:numPr>
        <w:ilvl w:val="1"/>
        <w:numId w:val="1"/>
      </w:numPr>
      <w:spacing w:before="120" w:beforeLines="0" w:after="120" w:line="240" w:lineRule="auto"/>
      <w:ind w:leftChars="0" w:firstLineChars="0"/>
      <w:jc w:val="both"/>
      <w:outlineLvl w:val="1"/>
    </w:pPr>
    <w:rPr>
      <w:rFonts w:ascii="Arial" w:hAnsi="Arial" w:cs="Times New Roman"/>
      <w:kern w:val="2"/>
      <w:szCs w:val="20"/>
    </w:rPr>
  </w:style>
  <w:style w:type="paragraph" w:styleId="4">
    <w:name w:val="heading 3"/>
    <w:basedOn w:val="1"/>
    <w:next w:val="1"/>
    <w:link w:val="32"/>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6"/>
    <w:link w:val="33"/>
    <w:semiHidden/>
    <w:unhideWhenUsed/>
    <w:qFormat/>
    <w:uiPriority w:val="9"/>
    <w:pPr>
      <w:keepNext/>
      <w:keepLines/>
      <w:widowControl w:val="0"/>
      <w:spacing w:before="120" w:beforeLines="0" w:after="120" w:line="240" w:lineRule="auto"/>
      <w:ind w:left="0" w:leftChars="0" w:firstLine="0" w:firstLineChars="0"/>
      <w:jc w:val="both"/>
      <w:outlineLvl w:val="3"/>
    </w:pPr>
    <w:rPr>
      <w:rFonts w:ascii="Arial" w:hAnsi="Arial" w:cs="Times New Roman"/>
      <w:kern w:val="2"/>
      <w:sz w:val="30"/>
      <w:szCs w:val="20"/>
    </w:rPr>
  </w:style>
  <w:style w:type="paragraph" w:styleId="7">
    <w:name w:val="heading 5"/>
    <w:basedOn w:val="1"/>
    <w:next w:val="6"/>
    <w:link w:val="34"/>
    <w:semiHidden/>
    <w:unhideWhenUsed/>
    <w:qFormat/>
    <w:uiPriority w:val="0"/>
    <w:pPr>
      <w:keepNext/>
      <w:keepLines/>
      <w:widowControl w:val="0"/>
      <w:numPr>
        <w:ilvl w:val="4"/>
        <w:numId w:val="1"/>
      </w:numPr>
      <w:spacing w:before="120" w:beforeLines="0" w:after="120" w:line="240" w:lineRule="auto"/>
      <w:ind w:leftChars="0" w:firstLineChars="0"/>
      <w:jc w:val="both"/>
      <w:outlineLvl w:val="4"/>
    </w:pPr>
    <w:rPr>
      <w:rFonts w:ascii="小标宋" w:cs="宋体"/>
      <w:kern w:val="2"/>
      <w:szCs w:val="20"/>
    </w:rPr>
  </w:style>
  <w:style w:type="paragraph" w:styleId="8">
    <w:name w:val="heading 6"/>
    <w:basedOn w:val="1"/>
    <w:next w:val="6"/>
    <w:link w:val="35"/>
    <w:semiHidden/>
    <w:unhideWhenUsed/>
    <w:qFormat/>
    <w:uiPriority w:val="0"/>
    <w:pPr>
      <w:keepNext/>
      <w:keepLines/>
      <w:widowControl w:val="0"/>
      <w:numPr>
        <w:ilvl w:val="5"/>
        <w:numId w:val="1"/>
      </w:numPr>
      <w:spacing w:before="240" w:beforeLines="0" w:after="64" w:line="319" w:lineRule="auto"/>
      <w:ind w:leftChars="0" w:firstLineChars="0"/>
      <w:jc w:val="both"/>
      <w:outlineLvl w:val="5"/>
    </w:pPr>
    <w:rPr>
      <w:rFonts w:ascii="Arial" w:hAnsi="Arial" w:eastAsia="黑体" w:cs="Times New Roman"/>
      <w:kern w:val="2"/>
      <w:szCs w:val="20"/>
    </w:rPr>
  </w:style>
  <w:style w:type="paragraph" w:styleId="9">
    <w:name w:val="heading 7"/>
    <w:basedOn w:val="1"/>
    <w:next w:val="6"/>
    <w:link w:val="36"/>
    <w:semiHidden/>
    <w:unhideWhenUsed/>
    <w:qFormat/>
    <w:uiPriority w:val="0"/>
    <w:pPr>
      <w:keepNext/>
      <w:keepLines/>
      <w:widowControl w:val="0"/>
      <w:numPr>
        <w:ilvl w:val="6"/>
        <w:numId w:val="1"/>
      </w:numPr>
      <w:spacing w:before="240" w:beforeLines="0" w:after="64" w:line="319" w:lineRule="auto"/>
      <w:ind w:leftChars="0" w:firstLineChars="0"/>
      <w:jc w:val="both"/>
      <w:outlineLvl w:val="6"/>
    </w:pPr>
    <w:rPr>
      <w:rFonts w:hAnsi="Times New Roman" w:cs="Times New Roman"/>
      <w:kern w:val="2"/>
      <w:szCs w:val="20"/>
    </w:rPr>
  </w:style>
  <w:style w:type="paragraph" w:styleId="10">
    <w:name w:val="heading 8"/>
    <w:basedOn w:val="1"/>
    <w:next w:val="6"/>
    <w:link w:val="37"/>
    <w:semiHidden/>
    <w:unhideWhenUsed/>
    <w:qFormat/>
    <w:uiPriority w:val="0"/>
    <w:pPr>
      <w:keepNext/>
      <w:keepLines/>
      <w:widowControl w:val="0"/>
      <w:numPr>
        <w:ilvl w:val="7"/>
        <w:numId w:val="1"/>
      </w:numPr>
      <w:spacing w:before="240" w:beforeLines="0" w:after="64" w:line="319" w:lineRule="auto"/>
      <w:ind w:leftChars="0" w:firstLineChars="0"/>
      <w:jc w:val="both"/>
      <w:outlineLvl w:val="7"/>
    </w:pPr>
    <w:rPr>
      <w:rFonts w:ascii="Arial" w:hAnsi="Arial" w:eastAsia="黑体" w:cs="Times New Roman"/>
      <w:b/>
      <w:kern w:val="2"/>
      <w:szCs w:val="20"/>
    </w:rPr>
  </w:style>
  <w:style w:type="paragraph" w:styleId="11">
    <w:name w:val="heading 9"/>
    <w:basedOn w:val="1"/>
    <w:next w:val="6"/>
    <w:link w:val="38"/>
    <w:semiHidden/>
    <w:unhideWhenUsed/>
    <w:qFormat/>
    <w:uiPriority w:val="0"/>
    <w:pPr>
      <w:keepNext/>
      <w:keepLines/>
      <w:widowControl w:val="0"/>
      <w:numPr>
        <w:ilvl w:val="8"/>
        <w:numId w:val="1"/>
      </w:numPr>
      <w:spacing w:before="240" w:beforeLines="0" w:after="64" w:line="319" w:lineRule="auto"/>
      <w:ind w:leftChars="0" w:firstLineChars="0"/>
      <w:jc w:val="both"/>
      <w:outlineLvl w:val="8"/>
    </w:pPr>
    <w:rPr>
      <w:rFonts w:ascii="Arial" w:hAnsi="Arial" w:eastAsia="黑体" w:cs="Times New Roman"/>
      <w:b/>
      <w:kern w:val="2"/>
      <w:szCs w:val="20"/>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semiHidden/>
    <w:unhideWhenUsed/>
    <w:qFormat/>
    <w:uiPriority w:val="0"/>
    <w:pPr>
      <w:widowControl w:val="0"/>
      <w:adjustRightInd w:val="0"/>
      <w:spacing w:beforeLines="0" w:line="360" w:lineRule="atLeast"/>
      <w:ind w:left="0" w:leftChars="0" w:firstLine="420" w:firstLineChars="0"/>
    </w:pPr>
    <w:rPr>
      <w:rFonts w:ascii="Times New Roman" w:hAnsi="Times New Roman" w:cs="Times New Roman"/>
      <w:szCs w:val="20"/>
    </w:rPr>
  </w:style>
  <w:style w:type="paragraph" w:styleId="12">
    <w:name w:val="Document Map"/>
    <w:basedOn w:val="1"/>
    <w:link w:val="39"/>
    <w:semiHidden/>
    <w:unhideWhenUsed/>
    <w:qFormat/>
    <w:uiPriority w:val="0"/>
    <w:pPr>
      <w:widowControl w:val="0"/>
      <w:shd w:val="clear" w:color="auto" w:fill="000080"/>
      <w:adjustRightInd w:val="0"/>
      <w:spacing w:beforeLines="0" w:line="360" w:lineRule="atLeast"/>
      <w:ind w:left="0" w:leftChars="0" w:firstLine="0" w:firstLineChars="0"/>
    </w:pPr>
    <w:rPr>
      <w:rFonts w:ascii="Times New Roman" w:hAnsi="Times New Roman" w:cs="Times New Roman"/>
      <w:szCs w:val="20"/>
    </w:rPr>
  </w:style>
  <w:style w:type="paragraph" w:styleId="13">
    <w:name w:val="annotation text"/>
    <w:basedOn w:val="1"/>
    <w:link w:val="40"/>
    <w:semiHidden/>
    <w:unhideWhenUsed/>
    <w:qFormat/>
    <w:uiPriority w:val="0"/>
    <w:pPr>
      <w:widowControl w:val="0"/>
      <w:adjustRightInd w:val="0"/>
      <w:spacing w:beforeLines="0" w:line="360" w:lineRule="atLeast"/>
      <w:ind w:left="0" w:leftChars="0" w:firstLine="0" w:firstLineChars="0"/>
    </w:pPr>
    <w:rPr>
      <w:rFonts w:ascii="Times New Roman" w:hAnsi="Times New Roman" w:cs="Times New Roman"/>
      <w:szCs w:val="20"/>
    </w:rPr>
  </w:style>
  <w:style w:type="paragraph" w:styleId="14">
    <w:name w:val="Body Text"/>
    <w:basedOn w:val="1"/>
    <w:link w:val="41"/>
    <w:semiHidden/>
    <w:unhideWhenUsed/>
    <w:qFormat/>
    <w:uiPriority w:val="0"/>
    <w:pPr>
      <w:widowControl w:val="0"/>
      <w:spacing w:beforeLines="0"/>
      <w:ind w:left="0" w:leftChars="0" w:firstLine="0" w:firstLineChars="0"/>
      <w:jc w:val="both"/>
    </w:pPr>
    <w:rPr>
      <w:rFonts w:ascii="Times New Roman" w:hAnsi="Times New Roman" w:cs="Times New Roman"/>
      <w:kern w:val="2"/>
      <w:szCs w:val="20"/>
    </w:rPr>
  </w:style>
  <w:style w:type="paragraph" w:styleId="15">
    <w:name w:val="Body Text Indent"/>
    <w:basedOn w:val="1"/>
    <w:link w:val="42"/>
    <w:semiHidden/>
    <w:unhideWhenUsed/>
    <w:qFormat/>
    <w:uiPriority w:val="0"/>
    <w:pPr>
      <w:widowControl w:val="0"/>
      <w:adjustRightInd w:val="0"/>
      <w:spacing w:beforeLines="0" w:line="400" w:lineRule="atLeast"/>
      <w:ind w:left="0" w:leftChars="0" w:firstLine="510" w:firstLineChars="0"/>
    </w:pPr>
    <w:rPr>
      <w:rFonts w:ascii="Times New Roman" w:hAnsi="Times New Roman" w:cs="Times New Roman"/>
      <w:bCs/>
      <w:szCs w:val="20"/>
    </w:rPr>
  </w:style>
  <w:style w:type="paragraph" w:styleId="16">
    <w:name w:val="Plain Text"/>
    <w:basedOn w:val="1"/>
    <w:link w:val="43"/>
    <w:semiHidden/>
    <w:unhideWhenUsed/>
    <w:qFormat/>
    <w:uiPriority w:val="0"/>
    <w:pPr>
      <w:widowControl w:val="0"/>
      <w:spacing w:beforeLines="0" w:line="240" w:lineRule="auto"/>
      <w:ind w:left="0" w:leftChars="0" w:firstLine="0" w:firstLineChars="0"/>
      <w:jc w:val="both"/>
    </w:pPr>
    <w:rPr>
      <w:rFonts w:hAnsi="Courier New" w:cs="Times New Roman"/>
      <w:kern w:val="2"/>
      <w:sz w:val="21"/>
      <w:szCs w:val="20"/>
    </w:rPr>
  </w:style>
  <w:style w:type="paragraph" w:styleId="17">
    <w:name w:val="Date"/>
    <w:basedOn w:val="1"/>
    <w:next w:val="1"/>
    <w:link w:val="44"/>
    <w:semiHidden/>
    <w:unhideWhenUsed/>
    <w:qFormat/>
    <w:uiPriority w:val="0"/>
    <w:pPr>
      <w:widowControl w:val="0"/>
      <w:spacing w:beforeLines="0" w:line="240" w:lineRule="auto"/>
      <w:ind w:left="0" w:leftChars="0" w:firstLine="0" w:firstLineChars="0"/>
      <w:jc w:val="both"/>
    </w:pPr>
    <w:rPr>
      <w:rFonts w:ascii="Times New Roman" w:hAnsi="Times New Roman" w:cs="Times New Roman"/>
      <w:kern w:val="2"/>
      <w:szCs w:val="20"/>
    </w:rPr>
  </w:style>
  <w:style w:type="paragraph" w:styleId="18">
    <w:name w:val="Body Text Indent 2"/>
    <w:basedOn w:val="1"/>
    <w:link w:val="45"/>
    <w:semiHidden/>
    <w:unhideWhenUsed/>
    <w:qFormat/>
    <w:uiPriority w:val="0"/>
    <w:pPr>
      <w:widowControl w:val="0"/>
      <w:adjustRightInd w:val="0"/>
      <w:spacing w:beforeLines="0"/>
      <w:ind w:left="0" w:leftChars="0" w:firstLine="480" w:firstLineChars="200"/>
    </w:pPr>
    <w:rPr>
      <w:rFonts w:hAnsi="Times New Roman" w:cs="Times New Roman"/>
      <w:szCs w:val="20"/>
    </w:rPr>
  </w:style>
  <w:style w:type="paragraph" w:styleId="19">
    <w:name w:val="Balloon Text"/>
    <w:basedOn w:val="1"/>
    <w:link w:val="46"/>
    <w:semiHidden/>
    <w:unhideWhenUsed/>
    <w:qFormat/>
    <w:uiPriority w:val="0"/>
    <w:pPr>
      <w:widowControl w:val="0"/>
      <w:adjustRightInd w:val="0"/>
      <w:spacing w:beforeLines="0" w:line="360" w:lineRule="atLeast"/>
      <w:ind w:left="0" w:leftChars="0" w:firstLine="0" w:firstLineChars="0"/>
    </w:pPr>
    <w:rPr>
      <w:rFonts w:ascii="Times New Roman" w:hAnsi="Times New Roman" w:cs="Times New Roman"/>
      <w:sz w:val="18"/>
      <w:szCs w:val="18"/>
    </w:rPr>
  </w:style>
  <w:style w:type="paragraph" w:styleId="20">
    <w:name w:val="footer"/>
    <w:basedOn w:val="1"/>
    <w:link w:val="47"/>
    <w:unhideWhenUsed/>
    <w:qFormat/>
    <w:uiPriority w:val="99"/>
    <w:pPr>
      <w:widowControl w:val="0"/>
      <w:tabs>
        <w:tab w:val="center" w:pos="4153"/>
        <w:tab w:val="right" w:pos="8306"/>
      </w:tabs>
      <w:adjustRightInd w:val="0"/>
      <w:spacing w:beforeLines="0" w:line="240" w:lineRule="atLeast"/>
      <w:ind w:left="0" w:leftChars="0" w:firstLine="0" w:firstLineChars="0"/>
    </w:pPr>
    <w:rPr>
      <w:rFonts w:cs="宋体"/>
      <w:sz w:val="18"/>
      <w:szCs w:val="20"/>
    </w:rPr>
  </w:style>
  <w:style w:type="paragraph" w:styleId="21">
    <w:name w:val="header"/>
    <w:basedOn w:val="1"/>
    <w:link w:val="48"/>
    <w:unhideWhenUsed/>
    <w:qFormat/>
    <w:uiPriority w:val="99"/>
    <w:pPr>
      <w:widowControl w:val="0"/>
      <w:pBdr>
        <w:bottom w:val="single" w:color="auto" w:sz="6" w:space="1"/>
      </w:pBdr>
      <w:tabs>
        <w:tab w:val="center" w:pos="4153"/>
        <w:tab w:val="right" w:pos="8306"/>
      </w:tabs>
      <w:adjustRightInd w:val="0"/>
      <w:snapToGrid w:val="0"/>
      <w:spacing w:beforeLines="0" w:line="240" w:lineRule="atLeast"/>
      <w:ind w:left="0" w:leftChars="0" w:firstLine="0" w:firstLineChars="0"/>
      <w:jc w:val="center"/>
    </w:pPr>
    <w:rPr>
      <w:rFonts w:cs="宋体"/>
      <w:sz w:val="18"/>
      <w:szCs w:val="20"/>
    </w:rPr>
  </w:style>
  <w:style w:type="paragraph" w:styleId="22">
    <w:name w:val="toc 1"/>
    <w:basedOn w:val="1"/>
    <w:next w:val="1"/>
    <w:semiHidden/>
    <w:unhideWhenUsed/>
    <w:qFormat/>
    <w:uiPriority w:val="39"/>
    <w:pPr>
      <w:widowControl w:val="0"/>
      <w:tabs>
        <w:tab w:val="left" w:pos="780"/>
        <w:tab w:val="left" w:pos="7680"/>
        <w:tab w:val="right" w:leader="dot" w:pos="8040"/>
      </w:tabs>
      <w:adjustRightInd w:val="0"/>
      <w:spacing w:beforeLines="0"/>
      <w:ind w:left="1" w:leftChars="-100" w:hanging="241" w:hangingChars="100"/>
    </w:pPr>
    <w:rPr>
      <w:rFonts w:ascii="Times New Roman" w:hAnsi="Times New Roman" w:cs="Times New Roman"/>
      <w:b/>
      <w:kern w:val="2"/>
    </w:rPr>
  </w:style>
  <w:style w:type="paragraph" w:styleId="23">
    <w:name w:val="Body Text 2"/>
    <w:basedOn w:val="1"/>
    <w:link w:val="49"/>
    <w:semiHidden/>
    <w:unhideWhenUsed/>
    <w:qFormat/>
    <w:uiPriority w:val="0"/>
    <w:pPr>
      <w:widowControl w:val="0"/>
      <w:adjustRightInd w:val="0"/>
      <w:snapToGrid w:val="0"/>
      <w:spacing w:afterLines="50" w:line="240" w:lineRule="auto"/>
      <w:ind w:left="0" w:leftChars="0" w:firstLine="0" w:firstLineChars="0"/>
      <w:jc w:val="both"/>
    </w:pPr>
    <w:rPr>
      <w:rFonts w:ascii="Times New Roman" w:hAnsi="Times New Roman" w:cs="Times New Roman"/>
      <w:kern w:val="2"/>
    </w:rPr>
  </w:style>
  <w:style w:type="paragraph" w:styleId="24">
    <w:name w:val="Title"/>
    <w:basedOn w:val="1"/>
    <w:link w:val="50"/>
    <w:qFormat/>
    <w:uiPriority w:val="0"/>
    <w:pPr>
      <w:widowControl w:val="0"/>
      <w:spacing w:before="240" w:beforeLines="0" w:after="60" w:line="240" w:lineRule="auto"/>
      <w:ind w:left="0" w:leftChars="0" w:firstLine="0" w:firstLineChars="0"/>
      <w:jc w:val="center"/>
      <w:outlineLvl w:val="0"/>
    </w:pPr>
    <w:rPr>
      <w:rFonts w:ascii="Arial" w:hAnsi="Arial" w:cs="Times New Roman"/>
      <w:b/>
      <w:kern w:val="2"/>
      <w:sz w:val="32"/>
      <w:szCs w:val="20"/>
    </w:rPr>
  </w:style>
  <w:style w:type="paragraph" w:styleId="25">
    <w:name w:val="annotation subject"/>
    <w:basedOn w:val="13"/>
    <w:next w:val="13"/>
    <w:link w:val="51"/>
    <w:semiHidden/>
    <w:unhideWhenUsed/>
    <w:qFormat/>
    <w:uiPriority w:val="0"/>
    <w:rPr>
      <w:b/>
      <w:bCs/>
    </w:rPr>
  </w:style>
  <w:style w:type="paragraph" w:styleId="26">
    <w:name w:val="Body Text First Indent 2"/>
    <w:basedOn w:val="15"/>
    <w:link w:val="52"/>
    <w:unhideWhenUsed/>
    <w:qFormat/>
    <w:uiPriority w:val="0"/>
    <w:pPr>
      <w:adjustRightInd/>
      <w:spacing w:after="120" w:line="240" w:lineRule="auto"/>
      <w:ind w:left="420" w:leftChars="200" w:firstLine="420" w:firstLineChars="200"/>
      <w:jc w:val="both"/>
    </w:pPr>
    <w:rPr>
      <w:rFonts w:ascii="Calibri" w:hAnsi="Calibri"/>
      <w:bCs w:val="0"/>
      <w:kern w:val="2"/>
      <w:sz w:val="21"/>
      <w:szCs w:val="24"/>
    </w:rPr>
  </w:style>
  <w:style w:type="character" w:styleId="29">
    <w:name w:val="Hyperlink"/>
    <w:unhideWhenUsed/>
    <w:qFormat/>
    <w:uiPriority w:val="99"/>
    <w:rPr>
      <w:color w:val="0000FF"/>
      <w:u w:val="single"/>
    </w:rPr>
  </w:style>
  <w:style w:type="character" w:customStyle="1" w:styleId="30">
    <w:name w:val="标题 1 Char"/>
    <w:basedOn w:val="28"/>
    <w:link w:val="2"/>
    <w:qFormat/>
    <w:uiPriority w:val="0"/>
    <w:rPr>
      <w:rFonts w:ascii="宋体" w:hAnsi="宋体" w:eastAsia="宋体" w:cs="Calibri"/>
      <w:b/>
      <w:bCs/>
      <w:kern w:val="44"/>
      <w:sz w:val="28"/>
      <w:szCs w:val="44"/>
    </w:rPr>
  </w:style>
  <w:style w:type="character" w:customStyle="1" w:styleId="31">
    <w:name w:val="标题 2 Char"/>
    <w:basedOn w:val="28"/>
    <w:link w:val="3"/>
    <w:semiHidden/>
    <w:qFormat/>
    <w:uiPriority w:val="0"/>
    <w:rPr>
      <w:rFonts w:ascii="Arial" w:hAnsi="Arial" w:eastAsia="宋体" w:cs="Times New Roman"/>
      <w:sz w:val="24"/>
      <w:szCs w:val="20"/>
    </w:rPr>
  </w:style>
  <w:style w:type="character" w:customStyle="1" w:styleId="32">
    <w:name w:val="标题 3 Char"/>
    <w:basedOn w:val="28"/>
    <w:link w:val="4"/>
    <w:semiHidden/>
    <w:qFormat/>
    <w:uiPriority w:val="0"/>
    <w:rPr>
      <w:rFonts w:ascii="宋体" w:hAnsi="宋体" w:eastAsia="宋体" w:cs="Calibri"/>
      <w:b/>
      <w:bCs/>
      <w:kern w:val="0"/>
      <w:sz w:val="32"/>
      <w:szCs w:val="32"/>
    </w:rPr>
  </w:style>
  <w:style w:type="character" w:customStyle="1" w:styleId="33">
    <w:name w:val="标题 4 Char"/>
    <w:basedOn w:val="28"/>
    <w:link w:val="5"/>
    <w:semiHidden/>
    <w:qFormat/>
    <w:uiPriority w:val="9"/>
    <w:rPr>
      <w:rFonts w:ascii="Arial" w:hAnsi="Arial" w:eastAsia="宋体" w:cs="Times New Roman"/>
      <w:sz w:val="30"/>
      <w:szCs w:val="20"/>
    </w:rPr>
  </w:style>
  <w:style w:type="character" w:customStyle="1" w:styleId="34">
    <w:name w:val="标题 5 Char"/>
    <w:basedOn w:val="28"/>
    <w:link w:val="7"/>
    <w:semiHidden/>
    <w:qFormat/>
    <w:uiPriority w:val="0"/>
    <w:rPr>
      <w:rFonts w:ascii="小标宋" w:hAnsi="宋体" w:eastAsia="宋体" w:cs="宋体"/>
      <w:sz w:val="24"/>
      <w:szCs w:val="20"/>
    </w:rPr>
  </w:style>
  <w:style w:type="character" w:customStyle="1" w:styleId="35">
    <w:name w:val="标题 6 Char"/>
    <w:basedOn w:val="28"/>
    <w:link w:val="8"/>
    <w:semiHidden/>
    <w:qFormat/>
    <w:uiPriority w:val="0"/>
    <w:rPr>
      <w:rFonts w:ascii="Arial" w:hAnsi="Arial" w:eastAsia="黑体" w:cs="Times New Roman"/>
      <w:sz w:val="24"/>
      <w:szCs w:val="20"/>
    </w:rPr>
  </w:style>
  <w:style w:type="character" w:customStyle="1" w:styleId="36">
    <w:name w:val="标题 7 Char"/>
    <w:basedOn w:val="28"/>
    <w:link w:val="9"/>
    <w:semiHidden/>
    <w:qFormat/>
    <w:uiPriority w:val="0"/>
    <w:rPr>
      <w:rFonts w:ascii="宋体" w:hAnsi="Times New Roman" w:eastAsia="宋体" w:cs="Times New Roman"/>
      <w:sz w:val="24"/>
      <w:szCs w:val="20"/>
    </w:rPr>
  </w:style>
  <w:style w:type="character" w:customStyle="1" w:styleId="37">
    <w:name w:val="标题 8 Char"/>
    <w:basedOn w:val="28"/>
    <w:link w:val="10"/>
    <w:semiHidden/>
    <w:qFormat/>
    <w:uiPriority w:val="0"/>
    <w:rPr>
      <w:rFonts w:ascii="Arial" w:hAnsi="Arial" w:eastAsia="黑体" w:cs="Times New Roman"/>
      <w:b/>
      <w:sz w:val="24"/>
      <w:szCs w:val="20"/>
    </w:rPr>
  </w:style>
  <w:style w:type="character" w:customStyle="1" w:styleId="38">
    <w:name w:val="标题 9 Char"/>
    <w:basedOn w:val="28"/>
    <w:link w:val="11"/>
    <w:semiHidden/>
    <w:qFormat/>
    <w:uiPriority w:val="0"/>
    <w:rPr>
      <w:rFonts w:ascii="Arial" w:hAnsi="Arial" w:eastAsia="黑体" w:cs="Times New Roman"/>
      <w:b/>
      <w:sz w:val="24"/>
      <w:szCs w:val="20"/>
    </w:rPr>
  </w:style>
  <w:style w:type="character" w:customStyle="1" w:styleId="39">
    <w:name w:val="文档结构图 Char"/>
    <w:basedOn w:val="28"/>
    <w:link w:val="12"/>
    <w:semiHidden/>
    <w:qFormat/>
    <w:uiPriority w:val="0"/>
    <w:rPr>
      <w:rFonts w:ascii="Times New Roman" w:hAnsi="Times New Roman" w:eastAsia="宋体" w:cs="Times New Roman"/>
      <w:kern w:val="0"/>
      <w:sz w:val="24"/>
      <w:szCs w:val="20"/>
      <w:shd w:val="clear" w:color="auto" w:fill="000080"/>
    </w:rPr>
  </w:style>
  <w:style w:type="character" w:customStyle="1" w:styleId="40">
    <w:name w:val="批注文字 Char"/>
    <w:basedOn w:val="28"/>
    <w:link w:val="13"/>
    <w:semiHidden/>
    <w:qFormat/>
    <w:uiPriority w:val="0"/>
    <w:rPr>
      <w:rFonts w:ascii="Times New Roman" w:hAnsi="Times New Roman" w:eastAsia="宋体" w:cs="Times New Roman"/>
      <w:kern w:val="0"/>
      <w:sz w:val="24"/>
      <w:szCs w:val="20"/>
    </w:rPr>
  </w:style>
  <w:style w:type="character" w:customStyle="1" w:styleId="41">
    <w:name w:val="正文文本 Char"/>
    <w:basedOn w:val="28"/>
    <w:link w:val="14"/>
    <w:semiHidden/>
    <w:qFormat/>
    <w:uiPriority w:val="0"/>
    <w:rPr>
      <w:rFonts w:ascii="Times New Roman" w:hAnsi="Times New Roman" w:eastAsia="宋体" w:cs="Times New Roman"/>
      <w:sz w:val="24"/>
      <w:szCs w:val="20"/>
    </w:rPr>
  </w:style>
  <w:style w:type="character" w:customStyle="1" w:styleId="42">
    <w:name w:val="正文文本缩进 Char"/>
    <w:basedOn w:val="28"/>
    <w:link w:val="15"/>
    <w:semiHidden/>
    <w:qFormat/>
    <w:uiPriority w:val="0"/>
    <w:rPr>
      <w:rFonts w:ascii="Times New Roman" w:hAnsi="Times New Roman" w:eastAsia="宋体" w:cs="Times New Roman"/>
      <w:bCs/>
      <w:kern w:val="0"/>
      <w:sz w:val="24"/>
      <w:szCs w:val="20"/>
    </w:rPr>
  </w:style>
  <w:style w:type="character" w:customStyle="1" w:styleId="43">
    <w:name w:val="纯文本 Char"/>
    <w:basedOn w:val="28"/>
    <w:link w:val="16"/>
    <w:semiHidden/>
    <w:qFormat/>
    <w:uiPriority w:val="0"/>
    <w:rPr>
      <w:rFonts w:ascii="宋体" w:hAnsi="Courier New" w:eastAsia="宋体" w:cs="Times New Roman"/>
      <w:szCs w:val="20"/>
    </w:rPr>
  </w:style>
  <w:style w:type="character" w:customStyle="1" w:styleId="44">
    <w:name w:val="日期 Char"/>
    <w:basedOn w:val="28"/>
    <w:link w:val="17"/>
    <w:semiHidden/>
    <w:qFormat/>
    <w:uiPriority w:val="0"/>
    <w:rPr>
      <w:rFonts w:ascii="Times New Roman" w:hAnsi="Times New Roman" w:eastAsia="宋体" w:cs="Times New Roman"/>
      <w:sz w:val="24"/>
      <w:szCs w:val="20"/>
    </w:rPr>
  </w:style>
  <w:style w:type="character" w:customStyle="1" w:styleId="45">
    <w:name w:val="正文文本缩进 2 Char"/>
    <w:basedOn w:val="28"/>
    <w:link w:val="18"/>
    <w:semiHidden/>
    <w:qFormat/>
    <w:uiPriority w:val="0"/>
    <w:rPr>
      <w:rFonts w:ascii="宋体" w:hAnsi="Times New Roman" w:eastAsia="宋体" w:cs="Times New Roman"/>
      <w:kern w:val="0"/>
      <w:sz w:val="24"/>
      <w:szCs w:val="20"/>
    </w:rPr>
  </w:style>
  <w:style w:type="character" w:customStyle="1" w:styleId="46">
    <w:name w:val="批注框文本 Char"/>
    <w:basedOn w:val="28"/>
    <w:link w:val="19"/>
    <w:semiHidden/>
    <w:qFormat/>
    <w:uiPriority w:val="0"/>
    <w:rPr>
      <w:rFonts w:ascii="Times New Roman" w:hAnsi="Times New Roman" w:eastAsia="宋体" w:cs="Times New Roman"/>
      <w:kern w:val="0"/>
      <w:sz w:val="18"/>
      <w:szCs w:val="18"/>
    </w:rPr>
  </w:style>
  <w:style w:type="character" w:customStyle="1" w:styleId="47">
    <w:name w:val="页脚 Char"/>
    <w:basedOn w:val="28"/>
    <w:link w:val="20"/>
    <w:qFormat/>
    <w:uiPriority w:val="99"/>
    <w:rPr>
      <w:rFonts w:ascii="宋体" w:hAnsi="宋体" w:eastAsia="宋体" w:cs="宋体"/>
      <w:kern w:val="0"/>
      <w:sz w:val="18"/>
      <w:szCs w:val="20"/>
    </w:rPr>
  </w:style>
  <w:style w:type="character" w:customStyle="1" w:styleId="48">
    <w:name w:val="页眉 Char"/>
    <w:basedOn w:val="28"/>
    <w:link w:val="21"/>
    <w:qFormat/>
    <w:uiPriority w:val="99"/>
    <w:rPr>
      <w:rFonts w:ascii="宋体" w:hAnsi="宋体" w:eastAsia="宋体" w:cs="宋体"/>
      <w:kern w:val="0"/>
      <w:sz w:val="18"/>
      <w:szCs w:val="20"/>
    </w:rPr>
  </w:style>
  <w:style w:type="character" w:customStyle="1" w:styleId="49">
    <w:name w:val="正文文本 2 Char"/>
    <w:basedOn w:val="28"/>
    <w:link w:val="23"/>
    <w:semiHidden/>
    <w:qFormat/>
    <w:uiPriority w:val="0"/>
    <w:rPr>
      <w:rFonts w:ascii="Times New Roman" w:hAnsi="Times New Roman" w:eastAsia="宋体" w:cs="Times New Roman"/>
      <w:sz w:val="24"/>
      <w:szCs w:val="24"/>
    </w:rPr>
  </w:style>
  <w:style w:type="character" w:customStyle="1" w:styleId="50">
    <w:name w:val="标题 Char"/>
    <w:basedOn w:val="28"/>
    <w:link w:val="24"/>
    <w:qFormat/>
    <w:uiPriority w:val="0"/>
    <w:rPr>
      <w:rFonts w:ascii="Arial" w:hAnsi="Arial" w:eastAsia="宋体" w:cs="Times New Roman"/>
      <w:b/>
      <w:sz w:val="32"/>
      <w:szCs w:val="20"/>
    </w:rPr>
  </w:style>
  <w:style w:type="character" w:customStyle="1" w:styleId="51">
    <w:name w:val="批注主题 Char"/>
    <w:basedOn w:val="40"/>
    <w:link w:val="25"/>
    <w:semiHidden/>
    <w:qFormat/>
    <w:uiPriority w:val="0"/>
    <w:rPr>
      <w:rFonts w:ascii="Times New Roman" w:hAnsi="Times New Roman" w:eastAsia="宋体" w:cs="Times New Roman"/>
      <w:b/>
      <w:bCs/>
      <w:kern w:val="0"/>
      <w:sz w:val="24"/>
      <w:szCs w:val="20"/>
    </w:rPr>
  </w:style>
  <w:style w:type="character" w:customStyle="1" w:styleId="52">
    <w:name w:val="正文首行缩进 2 Char"/>
    <w:basedOn w:val="42"/>
    <w:link w:val="26"/>
    <w:qFormat/>
    <w:uiPriority w:val="0"/>
    <w:rPr>
      <w:rFonts w:ascii="Calibri" w:hAnsi="Calibri" w:eastAsia="宋体" w:cs="Times New Roman"/>
      <w:bCs w:val="0"/>
      <w:kern w:val="0"/>
      <w:sz w:val="24"/>
      <w:szCs w:val="24"/>
    </w:rPr>
  </w:style>
  <w:style w:type="paragraph" w:styleId="53">
    <w:name w:val="List Paragraph"/>
    <w:basedOn w:val="1"/>
    <w:qFormat/>
    <w:uiPriority w:val="0"/>
    <w:pPr>
      <w:widowControl w:val="0"/>
      <w:adjustRightInd w:val="0"/>
      <w:spacing w:beforeLines="0" w:line="360" w:lineRule="atLeast"/>
      <w:ind w:left="0" w:leftChars="0" w:firstLine="420" w:firstLineChars="200"/>
    </w:pPr>
    <w:rPr>
      <w:rFonts w:ascii="Times New Roman" w:hAnsi="Times New Roman" w:cs="Times New Roman"/>
      <w:szCs w:val="20"/>
    </w:rPr>
  </w:style>
  <w:style w:type="paragraph" w:customStyle="1" w:styleId="54">
    <w:name w:val="正文报告"/>
    <w:basedOn w:val="1"/>
    <w:qFormat/>
    <w:uiPriority w:val="0"/>
    <w:pPr>
      <w:widowControl w:val="0"/>
      <w:tabs>
        <w:tab w:val="left" w:pos="510"/>
      </w:tabs>
      <w:adjustRightInd w:val="0"/>
      <w:spacing w:beforeLines="0" w:line="460" w:lineRule="exact"/>
      <w:ind w:left="0" w:leftChars="0" w:firstLine="482" w:firstLineChars="0"/>
      <w:jc w:val="both"/>
    </w:pPr>
    <w:rPr>
      <w:rFonts w:ascii="Times New Roman" w:hAnsi="Times New Roman" w:cs="Times New Roman"/>
      <w:szCs w:val="20"/>
    </w:rPr>
  </w:style>
  <w:style w:type="paragraph" w:customStyle="1" w:styleId="55">
    <w:name w:val="正文1"/>
    <w:basedOn w:val="1"/>
    <w:qFormat/>
    <w:uiPriority w:val="0"/>
    <w:pPr>
      <w:widowControl w:val="0"/>
      <w:adjustRightInd w:val="0"/>
      <w:spacing w:beforeLines="0" w:line="360" w:lineRule="atLeast"/>
      <w:ind w:left="0" w:leftChars="0" w:firstLine="0" w:firstLineChars="0"/>
    </w:pPr>
    <w:rPr>
      <w:rFonts w:hAnsi="Times New Roman" w:cs="Times New Roman"/>
      <w:szCs w:val="20"/>
    </w:rPr>
  </w:style>
  <w:style w:type="paragraph" w:customStyle="1" w:styleId="56">
    <w:name w:val="默认段落字体 Para Char Char Char Char"/>
    <w:basedOn w:val="1"/>
    <w:qFormat/>
    <w:uiPriority w:val="0"/>
    <w:pPr>
      <w:widowControl w:val="0"/>
      <w:spacing w:beforeLines="0" w:line="240" w:lineRule="auto"/>
      <w:ind w:left="0" w:leftChars="0" w:firstLine="0" w:firstLineChars="0"/>
      <w:jc w:val="both"/>
    </w:pPr>
    <w:rPr>
      <w:rFonts w:ascii="Times New Roman" w:hAnsi="Times New Roman" w:cs="Times New Roman"/>
      <w:kern w:val="2"/>
      <w:sz w:val="21"/>
    </w:rPr>
  </w:style>
  <w:style w:type="paragraph" w:customStyle="1" w:styleId="57">
    <w:name w:val="默认段落字体 Para Char Char Char Char Char Char Char Char Char Char Char Char Char Char Char Char"/>
    <w:basedOn w:val="1"/>
    <w:qFormat/>
    <w:uiPriority w:val="0"/>
    <w:pPr>
      <w:widowControl w:val="0"/>
      <w:spacing w:beforeLines="0" w:line="240" w:lineRule="auto"/>
      <w:ind w:left="0" w:leftChars="0" w:firstLine="0" w:firstLineChars="0"/>
      <w:jc w:val="both"/>
    </w:pPr>
    <w:rPr>
      <w:rFonts w:ascii="Times New Roman" w:hAnsi="Times New Roman" w:cs="Times New Roman"/>
      <w:kern w:val="2"/>
      <w:sz w:val="21"/>
    </w:rPr>
  </w:style>
  <w:style w:type="paragraph" w:customStyle="1" w:styleId="58">
    <w:name w:val="样式1"/>
    <w:basedOn w:val="1"/>
    <w:qFormat/>
    <w:uiPriority w:val="0"/>
    <w:pPr>
      <w:widowControl w:val="0"/>
      <w:adjustRightInd w:val="0"/>
      <w:spacing w:beforeLines="0" w:line="420" w:lineRule="auto"/>
      <w:ind w:left="0" w:leftChars="0" w:firstLine="0" w:firstLineChars="0"/>
      <w:jc w:val="center"/>
    </w:pPr>
    <w:rPr>
      <w:rFonts w:hAnsi="Times New Roman" w:cs="Times New Roman"/>
      <w:szCs w:val="20"/>
    </w:rPr>
  </w:style>
  <w:style w:type="paragraph" w:customStyle="1" w:styleId="59">
    <w:name w:val="A"/>
    <w:basedOn w:val="1"/>
    <w:qFormat/>
    <w:uiPriority w:val="0"/>
    <w:pPr>
      <w:widowControl w:val="0"/>
      <w:adjustRightInd w:val="0"/>
      <w:spacing w:beforeLines="0" w:line="480" w:lineRule="atLeast"/>
      <w:ind w:left="0" w:leftChars="0" w:firstLine="0" w:firstLineChars="0"/>
      <w:jc w:val="center"/>
    </w:pPr>
    <w:rPr>
      <w:rFonts w:hAnsi="Times New Roman" w:cs="Times New Roman"/>
      <w:sz w:val="32"/>
      <w:szCs w:val="20"/>
    </w:rPr>
  </w:style>
  <w:style w:type="paragraph" w:customStyle="1" w:styleId="60">
    <w:name w:val="正文文本 31"/>
    <w:basedOn w:val="1"/>
    <w:qFormat/>
    <w:uiPriority w:val="0"/>
    <w:pPr>
      <w:widowControl w:val="0"/>
      <w:adjustRightInd w:val="0"/>
      <w:spacing w:beforeLines="0"/>
      <w:ind w:left="0" w:leftChars="0" w:firstLine="0" w:firstLineChars="0"/>
      <w:jc w:val="center"/>
    </w:pPr>
    <w:rPr>
      <w:rFonts w:cs="宋体"/>
      <w:b/>
      <w:bCs/>
      <w:color w:val="FF0000"/>
      <w:u w:val="single"/>
    </w:rPr>
  </w:style>
  <w:style w:type="paragraph" w:customStyle="1" w:styleId="61">
    <w:name w:val="样式2"/>
    <w:basedOn w:val="1"/>
    <w:qFormat/>
    <w:uiPriority w:val="0"/>
    <w:pPr>
      <w:widowControl w:val="0"/>
      <w:adjustRightInd w:val="0"/>
      <w:spacing w:beforeLines="0" w:line="410" w:lineRule="atLeast"/>
      <w:ind w:left="0" w:leftChars="0" w:firstLine="0" w:firstLineChars="0"/>
    </w:pPr>
    <w:rPr>
      <w:rFonts w:ascii="Times New Roman" w:hAnsi="Times New Roman" w:cs="Times New Roman"/>
      <w:szCs w:val="20"/>
    </w:rPr>
  </w:style>
  <w:style w:type="paragraph" w:customStyle="1" w:styleId="62">
    <w:name w:val="Char"/>
    <w:basedOn w:val="1"/>
    <w:qFormat/>
    <w:uiPriority w:val="0"/>
    <w:pPr>
      <w:widowControl w:val="0"/>
      <w:spacing w:beforeLines="0"/>
      <w:ind w:left="0" w:leftChars="0" w:firstLine="200" w:firstLineChars="200"/>
      <w:jc w:val="both"/>
    </w:pPr>
    <w:rPr>
      <w:rFonts w:cs="宋体"/>
      <w:kern w:val="2"/>
    </w:rPr>
  </w:style>
  <w:style w:type="paragraph" w:customStyle="1" w:styleId="63">
    <w:name w:val="段落"/>
    <w:basedOn w:val="1"/>
    <w:qFormat/>
    <w:uiPriority w:val="0"/>
    <w:pPr>
      <w:widowControl w:val="0"/>
      <w:adjustRightInd w:val="0"/>
      <w:spacing w:beforeLines="0" w:line="400" w:lineRule="atLeast"/>
      <w:ind w:left="0" w:leftChars="0" w:firstLine="482" w:firstLineChars="0"/>
      <w:jc w:val="both"/>
    </w:pPr>
    <w:rPr>
      <w:rFonts w:ascii="Times New Roman" w:hAnsi="Times New Roman" w:cs="Times New Roman"/>
      <w:szCs w:val="20"/>
    </w:rPr>
  </w:style>
  <w:style w:type="paragraph" w:customStyle="1" w:styleId="64">
    <w:name w:val="1级标题"/>
    <w:basedOn w:val="2"/>
    <w:next w:val="1"/>
    <w:qFormat/>
    <w:uiPriority w:val="0"/>
    <w:pPr>
      <w:widowControl/>
      <w:snapToGrid w:val="0"/>
      <w:spacing w:before="120" w:after="120" w:line="240" w:lineRule="auto"/>
      <w:ind w:left="425" w:hanging="425"/>
    </w:pPr>
    <w:rPr>
      <w:rFonts w:ascii="Arial" w:hAnsi="Arial" w:cs="Times New Roman"/>
      <w:sz w:val="30"/>
    </w:rPr>
  </w:style>
  <w:style w:type="paragraph" w:customStyle="1" w:styleId="65">
    <w:name w:val="2级标题"/>
    <w:basedOn w:val="3"/>
    <w:next w:val="1"/>
    <w:qFormat/>
    <w:uiPriority w:val="0"/>
    <w:pPr>
      <w:keepNext w:val="0"/>
      <w:keepLines w:val="0"/>
      <w:numPr>
        <w:ilvl w:val="0"/>
        <w:numId w:val="0"/>
      </w:numPr>
      <w:adjustRightInd w:val="0"/>
      <w:snapToGrid w:val="0"/>
      <w:spacing w:before="0" w:after="0" w:line="360" w:lineRule="auto"/>
    </w:pPr>
    <w:rPr>
      <w:rFonts w:cs="Arial"/>
      <w:b/>
      <w:bCs/>
      <w:szCs w:val="24"/>
    </w:rPr>
  </w:style>
  <w:style w:type="paragraph" w:customStyle="1" w:styleId="66">
    <w:name w:val="3级标题"/>
    <w:basedOn w:val="1"/>
    <w:qFormat/>
    <w:uiPriority w:val="0"/>
    <w:pPr>
      <w:widowControl w:val="0"/>
      <w:adjustRightInd w:val="0"/>
      <w:spacing w:beforeLines="0" w:line="360" w:lineRule="atLeast"/>
      <w:ind w:left="1418" w:leftChars="0" w:hanging="567" w:firstLineChars="0"/>
    </w:pPr>
    <w:rPr>
      <w:rFonts w:ascii="Times New Roman" w:hAnsi="Times New Roman" w:cs="Times New Roman"/>
      <w:szCs w:val="20"/>
    </w:rPr>
  </w:style>
  <w:style w:type="character" w:customStyle="1" w:styleId="67">
    <w:name w:val="show-img-bd"/>
    <w:qFormat/>
    <w:uiPriority w:val="0"/>
  </w:style>
  <w:style w:type="paragraph" w:customStyle="1" w:styleId="68">
    <w:name w:val="样式3"/>
    <w:basedOn w:val="1"/>
    <w:link w:val="69"/>
    <w:qFormat/>
    <w:uiPriority w:val="0"/>
    <w:pPr>
      <w:spacing w:before="156"/>
      <w:ind w:left="410" w:leftChars="0" w:firstLine="0" w:firstLineChars="0"/>
    </w:pPr>
  </w:style>
  <w:style w:type="character" w:customStyle="1" w:styleId="69">
    <w:name w:val="样式3 Char"/>
    <w:basedOn w:val="28"/>
    <w:link w:val="68"/>
    <w:qFormat/>
    <w:uiPriority w:val="0"/>
    <w:rPr>
      <w:rFonts w:ascii="宋体" w:hAnsi="宋体" w:eastAsia="宋体" w:cs="Calibri"/>
      <w:kern w:val="0"/>
      <w:sz w:val="24"/>
      <w:szCs w:val="24"/>
    </w:rPr>
  </w:style>
  <w:style w:type="paragraph" w:customStyle="1" w:styleId="70">
    <w:name w:val="表名"/>
    <w:basedOn w:val="1"/>
    <w:qFormat/>
    <w:uiPriority w:val="0"/>
    <w:pPr>
      <w:widowControl w:val="0"/>
      <w:overflowPunct w:val="0"/>
      <w:spacing w:before="120" w:beforeLines="0" w:line="240" w:lineRule="auto"/>
      <w:ind w:left="0" w:leftChars="0" w:firstLine="0" w:firstLineChars="0"/>
      <w:jc w:val="center"/>
      <w:textAlignment w:val="baseline"/>
    </w:pPr>
    <w:rPr>
      <w:rFonts w:ascii="Arial" w:hAnsi="Arial" w:eastAsia="黑体"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13779</Words>
  <Characters>15209</Characters>
  <Lines>120</Lines>
  <Paragraphs>33</Paragraphs>
  <TotalTime>8</TotalTime>
  <ScaleCrop>false</ScaleCrop>
  <LinksUpToDate>false</LinksUpToDate>
  <CharactersWithSpaces>15590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2024-11-30T03:09:00Z</dcterms:created>
  <cp:lastPrinted>2024-10-23T07:01:00Z</cp:lastPrinted>
  <dcterms:modified xsi:type="dcterms:W3CDTF">2024-12-16T07:17:03Z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805A6B797FC24F04B1D3D293871EF2FC_13</vt:lpwstr>
  </property>
</Properties>
</file>