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C0DF4">
      <w:pPr>
        <w:widowControl/>
        <w:ind w:left="-480" w:firstLine="200"/>
        <w:jc w:val="center"/>
        <w:rPr>
          <w:rFonts w:ascii="黑体" w:hAnsi="黑体" w:eastAsia="黑体" w:cs="宋体"/>
          <w:b/>
          <w:bCs/>
          <w:kern w:val="0"/>
          <w:sz w:val="32"/>
          <w:szCs w:val="32"/>
        </w:rPr>
      </w:pPr>
    </w:p>
    <w:p w14:paraId="160F241A">
      <w:pPr>
        <w:widowControl/>
        <w:ind w:left="-480" w:firstLine="200"/>
        <w:jc w:val="center"/>
        <w:rPr>
          <w:rFonts w:ascii="黑体" w:hAnsi="黑体" w:eastAsia="黑体" w:cs="宋体"/>
          <w:b/>
          <w:bCs/>
          <w:kern w:val="0"/>
          <w:sz w:val="32"/>
          <w:szCs w:val="32"/>
        </w:rPr>
      </w:pPr>
    </w:p>
    <w:p w14:paraId="01B37F1E">
      <w:pPr>
        <w:widowControl/>
        <w:ind w:left="-480" w:firstLine="200"/>
        <w:jc w:val="center"/>
        <w:rPr>
          <w:rFonts w:ascii="黑体" w:hAnsi="黑体" w:eastAsia="黑体" w:cs="宋体"/>
          <w:b/>
          <w:bCs/>
          <w:kern w:val="0"/>
          <w:sz w:val="32"/>
          <w:szCs w:val="32"/>
        </w:rPr>
      </w:pPr>
    </w:p>
    <w:p w14:paraId="1AC16686">
      <w:pPr>
        <w:widowControl/>
        <w:ind w:left="-480" w:firstLine="200"/>
        <w:jc w:val="center"/>
        <w:rPr>
          <w:rFonts w:ascii="黑体" w:hAnsi="黑体" w:eastAsia="黑体" w:cs="宋体"/>
          <w:b/>
          <w:bCs/>
          <w:kern w:val="0"/>
          <w:sz w:val="32"/>
          <w:szCs w:val="32"/>
        </w:rPr>
      </w:pPr>
    </w:p>
    <w:p w14:paraId="742AA824">
      <w:pPr>
        <w:jc w:val="center"/>
        <w:rPr>
          <w:rFonts w:ascii="Calibri" w:hAnsi="Calibri" w:eastAsia="宋体" w:cs="Times New Roman"/>
          <w:b/>
          <w:sz w:val="52"/>
          <w:szCs w:val="52"/>
        </w:rPr>
      </w:pPr>
      <w:bookmarkStart w:id="0" w:name="_Hlk4418024"/>
      <w:r>
        <w:rPr>
          <w:rFonts w:hint="eastAsia" w:ascii="Calibri" w:hAnsi="Calibri" w:eastAsia="宋体" w:cs="Times New Roman"/>
          <w:b/>
          <w:sz w:val="52"/>
          <w:szCs w:val="52"/>
        </w:rPr>
        <w:t>浙能嵊泗2号海上风电场</w:t>
      </w:r>
    </w:p>
    <w:p w14:paraId="35859866">
      <w:pPr>
        <w:rPr>
          <w:rFonts w:ascii="Calibri" w:hAnsi="Calibri" w:eastAsia="宋体" w:cs="Times New Roman"/>
          <w:b/>
          <w:sz w:val="52"/>
          <w:szCs w:val="52"/>
        </w:rPr>
      </w:pPr>
    </w:p>
    <w:p w14:paraId="5DCBDD85">
      <w:pPr>
        <w:jc w:val="center"/>
        <w:rPr>
          <w:rFonts w:ascii="宋体" w:cs="Times New Roman"/>
          <w:b/>
          <w:bCs/>
          <w:sz w:val="44"/>
          <w:szCs w:val="44"/>
        </w:rPr>
      </w:pPr>
      <w:r>
        <w:rPr>
          <w:rFonts w:ascii="宋体"/>
          <w:b/>
          <w:sz w:val="44"/>
          <w:szCs w:val="44"/>
        </w:rPr>
        <w:t>海上构建筑物基础防腐检测</w:t>
      </w:r>
      <w:r>
        <w:rPr>
          <w:rFonts w:hint="eastAsia" w:ascii="宋体"/>
          <w:b/>
          <w:sz w:val="44"/>
          <w:szCs w:val="44"/>
        </w:rPr>
        <w:t>服务</w:t>
      </w:r>
      <w:r>
        <w:rPr>
          <w:rFonts w:ascii="宋体"/>
          <w:b/>
          <w:sz w:val="44"/>
          <w:szCs w:val="44"/>
        </w:rPr>
        <w:t>项目</w:t>
      </w:r>
    </w:p>
    <w:bookmarkEnd w:id="0"/>
    <w:p w14:paraId="5A22BA9F">
      <w:pPr>
        <w:rPr>
          <w:rFonts w:ascii="Calibri" w:hAnsi="Calibri" w:eastAsia="宋体" w:cs="Times New Roman"/>
          <w:b/>
          <w:sz w:val="40"/>
          <w:szCs w:val="52"/>
        </w:rPr>
      </w:pPr>
    </w:p>
    <w:p w14:paraId="4260229C">
      <w:pPr>
        <w:rPr>
          <w:rFonts w:ascii="宋体" w:hAnsi="宋体" w:eastAsia="宋体" w:cs="Times New Roman"/>
          <w:sz w:val="28"/>
        </w:rPr>
      </w:pPr>
    </w:p>
    <w:p w14:paraId="2FF7409B">
      <w:pPr>
        <w:jc w:val="center"/>
        <w:rPr>
          <w:rFonts w:ascii="宋体" w:hAnsi="宋体" w:eastAsia="宋体" w:cs="Times New Roman"/>
          <w:sz w:val="28"/>
        </w:rPr>
      </w:pPr>
    </w:p>
    <w:p w14:paraId="4800F89B">
      <w:pPr>
        <w:jc w:val="center"/>
        <w:rPr>
          <w:rFonts w:ascii="宋体" w:hAnsi="宋体" w:eastAsia="宋体" w:cs="Times New Roman"/>
          <w:b/>
          <w:sz w:val="48"/>
          <w:szCs w:val="48"/>
        </w:rPr>
      </w:pPr>
      <w:bookmarkStart w:id="1" w:name="_Toc215298661"/>
      <w:bookmarkStart w:id="2" w:name="_Toc215298515"/>
      <w:bookmarkStart w:id="3" w:name="_Toc215298563"/>
      <w:bookmarkStart w:id="4" w:name="_Toc286153212"/>
      <w:r>
        <w:rPr>
          <w:rFonts w:hint="eastAsia" w:ascii="宋体" w:hAnsi="宋体" w:eastAsia="宋体" w:cs="Times New Roman"/>
          <w:b/>
          <w:sz w:val="48"/>
          <w:szCs w:val="48"/>
        </w:rPr>
        <w:t>技术规范</w:t>
      </w:r>
      <w:bookmarkEnd w:id="1"/>
      <w:bookmarkEnd w:id="2"/>
      <w:bookmarkEnd w:id="3"/>
      <w:bookmarkEnd w:id="4"/>
      <w:r>
        <w:rPr>
          <w:rFonts w:hint="eastAsia" w:ascii="宋体" w:hAnsi="宋体" w:eastAsia="宋体" w:cs="Times New Roman"/>
          <w:b/>
          <w:sz w:val="48"/>
          <w:szCs w:val="48"/>
        </w:rPr>
        <w:t>书</w:t>
      </w:r>
    </w:p>
    <w:p w14:paraId="09FF9D36">
      <w:pPr>
        <w:jc w:val="center"/>
        <w:rPr>
          <w:rFonts w:ascii="宋体" w:hAnsi="宋体" w:eastAsia="宋体" w:cs="Times New Roman"/>
          <w:b/>
          <w:sz w:val="48"/>
          <w:szCs w:val="48"/>
        </w:rPr>
      </w:pPr>
    </w:p>
    <w:p w14:paraId="3F57BCBB">
      <w:pPr>
        <w:widowControl/>
        <w:jc w:val="center"/>
        <w:rPr>
          <w:rStyle w:val="50"/>
          <w:rFonts w:ascii="黑体" w:hAnsi="黑体" w:cs="Times New Roman"/>
          <w:b w:val="0"/>
        </w:rPr>
      </w:pPr>
    </w:p>
    <w:p w14:paraId="7A28BE33">
      <w:pPr>
        <w:widowControl/>
        <w:jc w:val="center"/>
        <w:rPr>
          <w:rStyle w:val="50"/>
          <w:rFonts w:ascii="黑体" w:hAnsi="黑体" w:cs="Times New Roman"/>
          <w:b w:val="0"/>
        </w:rPr>
      </w:pPr>
    </w:p>
    <w:p w14:paraId="25DBF0DB">
      <w:pPr>
        <w:widowControl/>
        <w:jc w:val="center"/>
        <w:rPr>
          <w:rStyle w:val="50"/>
          <w:rFonts w:ascii="黑体" w:hAnsi="黑体" w:cs="Times New Roman"/>
          <w:b w:val="0"/>
        </w:rPr>
      </w:pPr>
    </w:p>
    <w:p w14:paraId="7B8E9511">
      <w:pPr>
        <w:widowControl/>
        <w:jc w:val="center"/>
        <w:rPr>
          <w:rStyle w:val="50"/>
          <w:rFonts w:ascii="黑体" w:hAnsi="黑体" w:cs="Times New Roman"/>
          <w:b w:val="0"/>
        </w:rPr>
      </w:pPr>
    </w:p>
    <w:p w14:paraId="61A1236D">
      <w:pPr>
        <w:widowControl/>
        <w:jc w:val="center"/>
        <w:rPr>
          <w:rStyle w:val="50"/>
          <w:rFonts w:ascii="黑体" w:hAnsi="黑体" w:cs="Times New Roman"/>
          <w:b w:val="0"/>
        </w:rPr>
      </w:pPr>
    </w:p>
    <w:p w14:paraId="345E294B">
      <w:pPr>
        <w:widowControl/>
        <w:jc w:val="center"/>
        <w:rPr>
          <w:rStyle w:val="50"/>
          <w:rFonts w:ascii="黑体" w:hAnsi="黑体" w:cs="Times New Roman"/>
          <w:b w:val="0"/>
        </w:rPr>
      </w:pPr>
      <w:r>
        <w:rPr>
          <w:rStyle w:val="50"/>
          <w:rFonts w:hint="eastAsia" w:ascii="黑体" w:hAnsi="黑体" w:cs="Times New Roman"/>
        </w:rPr>
        <w:t>浙江浙能国电投嵊泗海上风力发电有限公司</w:t>
      </w:r>
    </w:p>
    <w:p w14:paraId="5375721B">
      <w:pPr>
        <w:widowControl/>
        <w:jc w:val="center"/>
        <w:rPr>
          <w:rStyle w:val="50"/>
          <w:rFonts w:ascii="黑体" w:hAnsi="黑体" w:cs="Times New Roman"/>
          <w:b w:val="0"/>
        </w:rPr>
      </w:pPr>
      <w:r>
        <w:rPr>
          <w:rStyle w:val="50"/>
          <w:rFonts w:hint="eastAsia" w:ascii="黑体" w:hAnsi="黑体" w:cs="Times New Roman"/>
        </w:rPr>
        <w:t>二〇二</w:t>
      </w:r>
      <w:r>
        <w:rPr>
          <w:rStyle w:val="50"/>
          <w:rFonts w:ascii="黑体" w:hAnsi="黑体" w:cs="Times New Roman"/>
        </w:rPr>
        <w:t>四</w:t>
      </w:r>
      <w:r>
        <w:rPr>
          <w:rStyle w:val="50"/>
          <w:rFonts w:hint="eastAsia" w:ascii="黑体" w:hAnsi="黑体" w:cs="Times New Roman"/>
        </w:rPr>
        <w:t>年</w:t>
      </w:r>
      <w:r>
        <w:rPr>
          <w:rStyle w:val="50"/>
          <w:rFonts w:ascii="黑体" w:hAnsi="黑体" w:cs="Times New Roman"/>
        </w:rPr>
        <w:t>九</w:t>
      </w:r>
      <w:r>
        <w:rPr>
          <w:rStyle w:val="50"/>
          <w:rFonts w:hint="eastAsia" w:ascii="黑体" w:hAnsi="黑体" w:cs="Times New Roman"/>
        </w:rPr>
        <w:t>月</w:t>
      </w:r>
    </w:p>
    <w:p w14:paraId="36176508">
      <w:pPr>
        <w:jc w:val="center"/>
        <w:rPr>
          <w:b/>
          <w:sz w:val="30"/>
          <w:szCs w:val="30"/>
        </w:rPr>
      </w:pPr>
    </w:p>
    <w:p w14:paraId="46838DBA">
      <w:pPr>
        <w:widowControl/>
        <w:jc w:val="left"/>
        <w:rPr>
          <w:b/>
          <w:sz w:val="30"/>
          <w:szCs w:val="30"/>
        </w:rPr>
      </w:pPr>
      <w:r>
        <w:rPr>
          <w:b/>
          <w:sz w:val="30"/>
          <w:szCs w:val="30"/>
        </w:rPr>
        <w:br w:type="page"/>
      </w:r>
    </w:p>
    <w:p w14:paraId="4D082C14">
      <w:pPr>
        <w:widowControl/>
        <w:jc w:val="left"/>
        <w:rPr>
          <w:b/>
          <w:sz w:val="30"/>
          <w:szCs w:val="30"/>
        </w:rPr>
      </w:pPr>
    </w:p>
    <w:p w14:paraId="1164DC89">
      <w:pPr>
        <w:widowControl/>
        <w:jc w:val="left"/>
        <w:rPr>
          <w:b/>
          <w:sz w:val="30"/>
          <w:szCs w:val="30"/>
        </w:rPr>
      </w:pPr>
    </w:p>
    <w:p w14:paraId="3FFB812B">
      <w:pPr>
        <w:widowControl/>
        <w:jc w:val="center"/>
        <w:rPr>
          <w:b/>
          <w:sz w:val="44"/>
          <w:szCs w:val="44"/>
        </w:rPr>
      </w:pPr>
    </w:p>
    <w:p w14:paraId="207A6615">
      <w:pPr>
        <w:widowControl/>
        <w:jc w:val="center"/>
        <w:rPr>
          <w:b/>
          <w:sz w:val="44"/>
          <w:szCs w:val="44"/>
        </w:rPr>
      </w:pPr>
      <w:r>
        <w:rPr>
          <w:rFonts w:hint="eastAsia"/>
          <w:b/>
          <w:sz w:val="44"/>
          <w:szCs w:val="44"/>
        </w:rPr>
        <w:t>浙能嵊泗2号海上风电场</w:t>
      </w:r>
    </w:p>
    <w:p w14:paraId="45ADF1E9">
      <w:pPr>
        <w:widowControl/>
        <w:jc w:val="center"/>
        <w:rPr>
          <w:b/>
          <w:sz w:val="44"/>
          <w:szCs w:val="44"/>
        </w:rPr>
      </w:pPr>
    </w:p>
    <w:p w14:paraId="69D6FDB7">
      <w:pPr>
        <w:widowControl/>
        <w:jc w:val="center"/>
        <w:rPr>
          <w:rFonts w:ascii="宋体"/>
          <w:b/>
          <w:sz w:val="44"/>
          <w:szCs w:val="44"/>
        </w:rPr>
      </w:pPr>
      <w:r>
        <w:rPr>
          <w:rFonts w:ascii="宋体"/>
          <w:b/>
          <w:sz w:val="44"/>
          <w:szCs w:val="44"/>
        </w:rPr>
        <w:t>海上构建筑物基础防腐检测</w:t>
      </w:r>
      <w:r>
        <w:rPr>
          <w:rFonts w:hint="eastAsia" w:ascii="宋体"/>
          <w:b/>
          <w:sz w:val="44"/>
          <w:szCs w:val="44"/>
        </w:rPr>
        <w:t>服务</w:t>
      </w:r>
      <w:r>
        <w:rPr>
          <w:rFonts w:ascii="宋体"/>
          <w:b/>
          <w:sz w:val="44"/>
          <w:szCs w:val="44"/>
        </w:rPr>
        <w:t>项目</w:t>
      </w:r>
    </w:p>
    <w:p w14:paraId="0E95E4BC">
      <w:pPr>
        <w:widowControl/>
        <w:jc w:val="center"/>
        <w:rPr>
          <w:b/>
          <w:sz w:val="44"/>
          <w:szCs w:val="44"/>
        </w:rPr>
      </w:pPr>
      <w:r>
        <w:rPr>
          <w:rFonts w:hint="eastAsia"/>
          <w:b/>
          <w:sz w:val="44"/>
          <w:szCs w:val="44"/>
        </w:rPr>
        <w:t>技术规范书</w:t>
      </w:r>
    </w:p>
    <w:p w14:paraId="5B0E1A94">
      <w:pPr>
        <w:widowControl/>
        <w:jc w:val="left"/>
        <w:rPr>
          <w:b/>
          <w:sz w:val="30"/>
          <w:szCs w:val="30"/>
        </w:rPr>
      </w:pPr>
    </w:p>
    <w:p w14:paraId="40DD44BA">
      <w:pPr>
        <w:widowControl/>
        <w:jc w:val="left"/>
        <w:rPr>
          <w:b/>
          <w:sz w:val="30"/>
          <w:szCs w:val="30"/>
        </w:rPr>
      </w:pPr>
    </w:p>
    <w:p w14:paraId="79AA15EE">
      <w:pPr>
        <w:widowControl/>
        <w:jc w:val="left"/>
        <w:rPr>
          <w:b/>
          <w:sz w:val="30"/>
          <w:szCs w:val="30"/>
        </w:rPr>
      </w:pPr>
    </w:p>
    <w:p w14:paraId="05C03E7B">
      <w:pPr>
        <w:widowControl/>
        <w:ind w:firstLine="1419" w:firstLineChars="471"/>
        <w:jc w:val="left"/>
        <w:rPr>
          <w:b/>
          <w:sz w:val="30"/>
          <w:szCs w:val="30"/>
        </w:rPr>
      </w:pPr>
      <w:r>
        <w:rPr>
          <w:rFonts w:hint="eastAsia"/>
          <w:b/>
          <w:sz w:val="30"/>
          <w:szCs w:val="30"/>
        </w:rPr>
        <w:t>编制：</w:t>
      </w:r>
    </w:p>
    <w:p w14:paraId="66D312BD">
      <w:pPr>
        <w:widowControl/>
        <w:jc w:val="left"/>
        <w:rPr>
          <w:b/>
          <w:sz w:val="30"/>
          <w:szCs w:val="30"/>
        </w:rPr>
      </w:pPr>
    </w:p>
    <w:p w14:paraId="4E1560E2">
      <w:pPr>
        <w:widowControl/>
        <w:ind w:firstLine="1419" w:firstLineChars="471"/>
        <w:jc w:val="left"/>
        <w:rPr>
          <w:b/>
          <w:sz w:val="30"/>
          <w:szCs w:val="30"/>
        </w:rPr>
      </w:pPr>
      <w:r>
        <w:rPr>
          <w:b/>
          <w:sz w:val="30"/>
          <w:szCs w:val="30"/>
        </w:rPr>
        <w:t>会签：</w:t>
      </w:r>
    </w:p>
    <w:p w14:paraId="3311CFF8">
      <w:pPr>
        <w:widowControl/>
        <w:ind w:firstLine="1419" w:firstLineChars="471"/>
        <w:jc w:val="left"/>
        <w:rPr>
          <w:b/>
          <w:sz w:val="30"/>
          <w:szCs w:val="30"/>
        </w:rPr>
      </w:pPr>
    </w:p>
    <w:p w14:paraId="7783E782">
      <w:pPr>
        <w:widowControl/>
        <w:ind w:firstLine="1419" w:firstLineChars="471"/>
        <w:jc w:val="left"/>
        <w:rPr>
          <w:b/>
          <w:sz w:val="30"/>
          <w:szCs w:val="30"/>
        </w:rPr>
      </w:pPr>
      <w:r>
        <w:rPr>
          <w:rFonts w:hint="eastAsia"/>
          <w:b/>
          <w:sz w:val="30"/>
          <w:szCs w:val="30"/>
        </w:rPr>
        <w:t>审核：</w:t>
      </w:r>
    </w:p>
    <w:p w14:paraId="09191896">
      <w:pPr>
        <w:widowControl/>
        <w:ind w:firstLine="1419" w:firstLineChars="471"/>
        <w:jc w:val="left"/>
        <w:rPr>
          <w:b/>
          <w:sz w:val="30"/>
          <w:szCs w:val="30"/>
        </w:rPr>
      </w:pPr>
    </w:p>
    <w:p w14:paraId="70993112">
      <w:pPr>
        <w:widowControl/>
        <w:ind w:firstLine="1419" w:firstLineChars="471"/>
        <w:jc w:val="left"/>
        <w:rPr>
          <w:b/>
          <w:sz w:val="30"/>
          <w:szCs w:val="30"/>
        </w:rPr>
      </w:pPr>
      <w:r>
        <w:rPr>
          <w:rFonts w:hint="eastAsia"/>
          <w:b/>
          <w:sz w:val="30"/>
          <w:szCs w:val="30"/>
        </w:rPr>
        <w:t>审定：</w:t>
      </w:r>
    </w:p>
    <w:p w14:paraId="199AB1C3">
      <w:pPr>
        <w:widowControl/>
        <w:jc w:val="left"/>
        <w:rPr>
          <w:b/>
          <w:sz w:val="30"/>
          <w:szCs w:val="30"/>
        </w:rPr>
      </w:pPr>
    </w:p>
    <w:p w14:paraId="7A1AAC6E">
      <w:pPr>
        <w:widowControl/>
        <w:ind w:firstLine="1419" w:firstLineChars="471"/>
        <w:jc w:val="left"/>
        <w:rPr>
          <w:b/>
          <w:sz w:val="30"/>
          <w:szCs w:val="30"/>
        </w:rPr>
      </w:pPr>
      <w:r>
        <w:rPr>
          <w:rFonts w:hint="eastAsia"/>
          <w:b/>
          <w:sz w:val="30"/>
          <w:szCs w:val="30"/>
        </w:rPr>
        <w:t>批准：</w:t>
      </w:r>
    </w:p>
    <w:p w14:paraId="3B2C13D6">
      <w:pPr>
        <w:widowControl/>
        <w:ind w:firstLine="702" w:firstLineChars="233"/>
        <w:jc w:val="left"/>
        <w:rPr>
          <w:b/>
          <w:sz w:val="30"/>
          <w:szCs w:val="30"/>
        </w:rPr>
      </w:pPr>
    </w:p>
    <w:p w14:paraId="06053BEE">
      <w:pPr>
        <w:widowControl/>
        <w:ind w:firstLine="702" w:firstLineChars="233"/>
        <w:jc w:val="left"/>
        <w:rPr>
          <w:b/>
          <w:sz w:val="30"/>
          <w:szCs w:val="30"/>
        </w:rPr>
      </w:pPr>
    </w:p>
    <w:p w14:paraId="1CC439A0">
      <w:pPr>
        <w:widowControl/>
        <w:ind w:firstLine="702" w:firstLineChars="233"/>
        <w:jc w:val="left"/>
        <w:rPr>
          <w:b/>
          <w:sz w:val="30"/>
          <w:szCs w:val="30"/>
        </w:rPr>
      </w:pPr>
    </w:p>
    <w:p w14:paraId="6FB1C9D1">
      <w:pPr>
        <w:widowControl/>
        <w:jc w:val="left"/>
        <w:rPr>
          <w:b/>
          <w:sz w:val="30"/>
          <w:szCs w:val="30"/>
        </w:rPr>
      </w:pPr>
      <w:r>
        <w:rPr>
          <w:b/>
          <w:sz w:val="30"/>
          <w:szCs w:val="30"/>
        </w:rPr>
        <w:br w:type="page"/>
      </w:r>
    </w:p>
    <w:p w14:paraId="28783B00">
      <w:pPr>
        <w:jc w:val="center"/>
        <w:rPr>
          <w:rFonts w:ascii="仿宋" w:hAnsi="仿宋" w:eastAsia="仿宋"/>
          <w:b/>
          <w:sz w:val="30"/>
          <w:szCs w:val="30"/>
        </w:rPr>
      </w:pPr>
      <w:r>
        <w:rPr>
          <w:rFonts w:hint="eastAsia" w:ascii="仿宋" w:hAnsi="仿宋" w:eastAsia="仿宋"/>
          <w:b/>
          <w:sz w:val="30"/>
          <w:szCs w:val="30"/>
        </w:rPr>
        <w:t>浙能嵊泗2号海上风电场</w:t>
      </w:r>
    </w:p>
    <w:p w14:paraId="03FED05B">
      <w:pPr>
        <w:jc w:val="center"/>
        <w:rPr>
          <w:rFonts w:ascii="仿宋" w:hAnsi="仿宋" w:eastAsia="仿宋"/>
          <w:b/>
          <w:sz w:val="30"/>
          <w:szCs w:val="30"/>
        </w:rPr>
      </w:pPr>
      <w:r>
        <w:rPr>
          <w:rFonts w:ascii="仿宋" w:hAnsi="仿宋" w:eastAsia="仿宋"/>
          <w:b/>
          <w:sz w:val="30"/>
          <w:szCs w:val="30"/>
        </w:rPr>
        <w:t>海上构建筑物基础防腐检测</w:t>
      </w:r>
      <w:r>
        <w:rPr>
          <w:rFonts w:hint="eastAsia" w:ascii="仿宋" w:hAnsi="仿宋" w:eastAsia="仿宋"/>
          <w:b/>
          <w:sz w:val="30"/>
          <w:szCs w:val="30"/>
        </w:rPr>
        <w:t>服务</w:t>
      </w:r>
      <w:r>
        <w:rPr>
          <w:rFonts w:ascii="仿宋" w:hAnsi="仿宋" w:eastAsia="仿宋"/>
          <w:b/>
          <w:sz w:val="30"/>
          <w:szCs w:val="30"/>
        </w:rPr>
        <w:t>项目</w:t>
      </w:r>
      <w:r>
        <w:rPr>
          <w:rFonts w:hint="eastAsia" w:ascii="仿宋" w:hAnsi="仿宋" w:eastAsia="仿宋"/>
          <w:b/>
          <w:sz w:val="30"/>
          <w:szCs w:val="30"/>
        </w:rPr>
        <w:t>技术规范书</w:t>
      </w:r>
    </w:p>
    <w:p w14:paraId="755409ED">
      <w:pPr>
        <w:widowControl/>
        <w:ind w:firstLine="492" w:firstLineChars="175"/>
        <w:jc w:val="left"/>
        <w:outlineLvl w:val="0"/>
        <w:rPr>
          <w:rFonts w:hint="eastAsia" w:ascii="仿宋" w:hAnsi="仿宋" w:eastAsia="仿宋" w:cs="仿宋"/>
          <w:b/>
          <w:kern w:val="0"/>
          <w:sz w:val="28"/>
          <w:szCs w:val="28"/>
        </w:rPr>
      </w:pPr>
      <w:r>
        <w:rPr>
          <w:rFonts w:hint="eastAsia" w:ascii="仿宋" w:hAnsi="仿宋" w:eastAsia="仿宋" w:cs="仿宋"/>
          <w:b/>
          <w:kern w:val="0"/>
          <w:sz w:val="28"/>
          <w:szCs w:val="28"/>
        </w:rPr>
        <w:t>一、总则</w:t>
      </w:r>
    </w:p>
    <w:p w14:paraId="515A81B8">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1.1本技术规范书适用于</w:t>
      </w:r>
      <w:r>
        <w:rPr>
          <w:rFonts w:ascii="仿宋" w:hAnsi="仿宋" w:eastAsia="仿宋" w:cs="仿宋"/>
          <w:sz w:val="28"/>
          <w:szCs w:val="28"/>
        </w:rPr>
        <w:t>浙能嵊泗2号海上风电场海上构建筑物基础防腐检测服务</w:t>
      </w:r>
      <w:r>
        <w:rPr>
          <w:rFonts w:hint="eastAsia" w:ascii="仿宋" w:hAnsi="仿宋" w:eastAsia="仿宋" w:cs="仿宋"/>
          <w:sz w:val="28"/>
          <w:szCs w:val="28"/>
        </w:rPr>
        <w:t>项目的技术要求。通过</w:t>
      </w:r>
      <w:r>
        <w:rPr>
          <w:rFonts w:ascii="仿宋" w:hAnsi="仿宋" w:eastAsia="仿宋" w:cs="仿宋"/>
          <w:sz w:val="28"/>
          <w:szCs w:val="28"/>
        </w:rPr>
        <w:t>对海上升压站和风机钢结构的腐蚀量、牺牲阳极的消耗量以及高桩承台风机混凝土承台腐蚀情况进行检测来分析评估海上构建筑物基础腐蚀情况</w:t>
      </w:r>
      <w:r>
        <w:rPr>
          <w:rFonts w:hint="eastAsia" w:ascii="仿宋" w:hAnsi="仿宋" w:eastAsia="仿宋" w:cs="仿宋"/>
          <w:sz w:val="28"/>
          <w:szCs w:val="28"/>
        </w:rPr>
        <w:t>。</w:t>
      </w:r>
    </w:p>
    <w:p w14:paraId="130283D0">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1.2本技术规范书提出的是最低限度的要求，并未对一切细节作出规定，也并未规定所有的技术要求和适用的标准，投标人应保证按照本技术部分和相关规范的要求进行服务。对国家、地方及行业有关强制性标准，必须满足其要求。</w:t>
      </w:r>
    </w:p>
    <w:p w14:paraId="431B1167">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1.3本技术规范书使用的标准，如遇与投标人所执行的标准不一致时，按较高的标准执所行。在合同生效后，招标人有权提出因规范标准发生变化而产生的一些补充修改要求，投标人应遵守这个要求。</w:t>
      </w:r>
    </w:p>
    <w:p w14:paraId="367BC127">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1.4本技术规范书可能存在未能全面反映现场实际状况的微小偏差，投标人应根据规范要求、行业标准，结合自身经验和收集的相关信息综合考虑项目工作内容。投标人不得拒绝完成本项目任务所必须的工作，相关费用包含在报价中。</w:t>
      </w:r>
    </w:p>
    <w:p w14:paraId="5698952C">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1.5本项目涉及到的知识产权费用均已包含在报价中，因知识产权产生的纠纷由投标人自行承担或解决，招标人不承担相应责任。</w:t>
      </w:r>
    </w:p>
    <w:p w14:paraId="2F390A62">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1.6投标人可在报价文件中引用本技术规范书的相关标准或要求，但不得原封不动地复印或拷贝本技术规范书作为其报价文件的主要内容，否则其报价文件将被作为无效报价。</w:t>
      </w:r>
    </w:p>
    <w:p w14:paraId="54DC2433">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1.7除招标文件另有规定外，列入本技术部分的所有工作内容均应包含在本项目报价中。</w:t>
      </w:r>
    </w:p>
    <w:p w14:paraId="01D6E12D">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1.8本技术规范书为合同的附件，与合同正文具有同等效力。</w:t>
      </w:r>
    </w:p>
    <w:p w14:paraId="758701D1">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1.9本技术规范书中如若出现资质、业绩等方面要求，如与商务部分不一致，以商务部分为准。</w:t>
      </w:r>
    </w:p>
    <w:p w14:paraId="5AB96A75">
      <w:pPr>
        <w:widowControl/>
        <w:ind w:firstLine="490" w:firstLineChars="175"/>
        <w:jc w:val="left"/>
        <w:outlineLvl w:val="0"/>
        <w:rPr>
          <w:rFonts w:ascii="仿宋" w:hAnsi="仿宋" w:eastAsia="仿宋" w:cs="仿宋"/>
          <w:sz w:val="28"/>
          <w:szCs w:val="28"/>
        </w:rPr>
      </w:pPr>
      <w:r>
        <w:rPr>
          <w:rFonts w:hint="eastAsia" w:ascii="仿宋" w:hAnsi="仿宋" w:eastAsia="仿宋" w:cs="仿宋"/>
          <w:sz w:val="28"/>
          <w:szCs w:val="28"/>
        </w:rPr>
        <w:t>1.10在签订合同之后，招标人有权根据现代企业管理理念在具体管理上进行管理优化和提高对运输作业要求，投标人应积极响应并按要求严格执行。</w:t>
      </w:r>
    </w:p>
    <w:p w14:paraId="77ABE250">
      <w:pPr>
        <w:widowControl/>
        <w:ind w:firstLine="492" w:firstLineChars="175"/>
        <w:jc w:val="left"/>
        <w:outlineLvl w:val="0"/>
        <w:rPr>
          <w:rFonts w:ascii="仿宋" w:hAnsi="仿宋" w:eastAsia="仿宋" w:cs="宋体"/>
          <w:b/>
          <w:kern w:val="0"/>
          <w:sz w:val="28"/>
          <w:szCs w:val="28"/>
        </w:rPr>
      </w:pPr>
      <w:r>
        <w:rPr>
          <w:rFonts w:ascii="仿宋" w:hAnsi="仿宋" w:eastAsia="仿宋" w:cs="宋体"/>
          <w:b/>
          <w:kern w:val="0"/>
          <w:sz w:val="28"/>
          <w:szCs w:val="28"/>
        </w:rPr>
        <w:t>二</w:t>
      </w:r>
      <w:r>
        <w:rPr>
          <w:rFonts w:hint="eastAsia" w:ascii="仿宋" w:hAnsi="仿宋" w:eastAsia="仿宋" w:cs="宋体"/>
          <w:b/>
          <w:kern w:val="0"/>
          <w:sz w:val="28"/>
          <w:szCs w:val="28"/>
        </w:rPr>
        <w:t>、项目概况</w:t>
      </w:r>
    </w:p>
    <w:p w14:paraId="47B1612F">
      <w:pPr>
        <w:widowControl/>
        <w:ind w:firstLine="492" w:firstLineChars="175"/>
        <w:jc w:val="left"/>
        <w:rPr>
          <w:rFonts w:ascii="仿宋" w:hAnsi="仿宋" w:eastAsia="仿宋" w:cs="Times New Roman"/>
          <w:b/>
          <w:bCs/>
          <w:sz w:val="28"/>
          <w:szCs w:val="28"/>
        </w:rPr>
      </w:pPr>
      <w:bookmarkStart w:id="5" w:name="_Toc387591043"/>
      <w:bookmarkStart w:id="6" w:name="_Toc405392683"/>
      <w:r>
        <w:rPr>
          <w:rFonts w:ascii="仿宋" w:hAnsi="仿宋" w:eastAsia="仿宋" w:cs="仿宋"/>
          <w:b/>
          <w:bCs/>
          <w:sz w:val="28"/>
          <w:szCs w:val="28"/>
        </w:rPr>
        <w:t>2</w:t>
      </w:r>
      <w:r>
        <w:rPr>
          <w:rFonts w:hint="eastAsia" w:ascii="仿宋" w:hAnsi="仿宋" w:eastAsia="仿宋" w:cs="仿宋"/>
          <w:b/>
          <w:bCs/>
          <w:sz w:val="28"/>
          <w:szCs w:val="28"/>
        </w:rPr>
        <w:t>.1</w:t>
      </w:r>
      <w:r>
        <w:rPr>
          <w:rFonts w:ascii="仿宋" w:hAnsi="仿宋" w:eastAsia="仿宋" w:cs="仿宋"/>
          <w:b/>
          <w:bCs/>
          <w:sz w:val="28"/>
          <w:szCs w:val="28"/>
        </w:rPr>
        <w:t>嵊泗2</w:t>
      </w:r>
      <w:r>
        <w:rPr>
          <w:rFonts w:hint="eastAsia" w:ascii="仿宋" w:hAnsi="仿宋" w:eastAsia="仿宋" w:cs="仿宋"/>
          <w:b/>
          <w:bCs/>
          <w:sz w:val="28"/>
          <w:szCs w:val="28"/>
        </w:rPr>
        <w:t>号风电场概况及地理位置</w:t>
      </w:r>
    </w:p>
    <w:p w14:paraId="23B951FE">
      <w:pPr>
        <w:spacing w:line="360" w:lineRule="auto"/>
        <w:ind w:firstLine="560" w:firstLineChars="200"/>
        <w:rPr>
          <w:rFonts w:ascii="宋体" w:hAnsi="宋体" w:cs="宋体"/>
          <w:szCs w:val="21"/>
        </w:rPr>
      </w:pPr>
      <w:r>
        <w:rPr>
          <w:rFonts w:hint="eastAsia" w:ascii="仿宋" w:hAnsi="仿宋" w:eastAsia="仿宋" w:cs="Times New Roman"/>
          <w:sz w:val="28"/>
          <w:szCs w:val="28"/>
        </w:rPr>
        <w:t>浙能嵊泗2号海上风电场位于浙江省嵊泗县崎岖列岛西南侧王盘洋海域，</w:t>
      </w:r>
      <w:r>
        <w:rPr>
          <w:rFonts w:ascii="仿宋" w:hAnsi="仿宋" w:eastAsia="仿宋" w:cs="Times New Roman"/>
          <w:sz w:val="28"/>
          <w:szCs w:val="28"/>
        </w:rPr>
        <w:t>海底地形变化较小，泥面高程在-10～-14m之间，风电场工程</w:t>
      </w:r>
      <w:r>
        <w:rPr>
          <w:rFonts w:hint="eastAsia" w:ascii="仿宋" w:hAnsi="仿宋" w:eastAsia="仿宋" w:cs="Times New Roman"/>
          <w:sz w:val="28"/>
          <w:szCs w:val="28"/>
        </w:rPr>
        <w:t>于2018年12月21日通过舟山市发改委核准，总装机容量399.95MW。安装31台明阳智能6.45MW、32台上海电气6.25MW风电机组，建设一座220kV海上升压站和一座陆上计量站(与浙能嘉兴1号海上风电场共用)，通过2回220kV海底电缆将电能从海上升压站送至平湖浙能计量站，在嘉兴电网送出。</w:t>
      </w:r>
    </w:p>
    <w:p w14:paraId="2D5F79CD">
      <w:pPr>
        <w:pStyle w:val="51"/>
        <w:spacing w:line="560" w:lineRule="exact"/>
        <w:jc w:val="center"/>
        <w:rPr>
          <w:rFonts w:ascii="仿宋" w:hAnsi="仿宋" w:eastAsia="仿宋" w:cs="仿宋"/>
          <w:szCs w:val="21"/>
        </w:rPr>
      </w:pPr>
      <w:r>
        <w:drawing>
          <wp:anchor distT="0" distB="0" distL="114300" distR="114300" simplePos="0" relativeHeight="251659264" behindDoc="0" locked="0" layoutInCell="1" allowOverlap="1">
            <wp:simplePos x="0" y="0"/>
            <wp:positionH relativeFrom="column">
              <wp:posOffset>3810</wp:posOffset>
            </wp:positionH>
            <wp:positionV relativeFrom="paragraph">
              <wp:posOffset>635</wp:posOffset>
            </wp:positionV>
            <wp:extent cx="5348605" cy="3633470"/>
            <wp:effectExtent l="0" t="0" r="19" b="24"/>
            <wp:wrapSquare wrapText="bothSides"/>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4"/>
                    <a:stretch>
                      <a:fillRect/>
                    </a:stretch>
                  </pic:blipFill>
                  <pic:spPr>
                    <a:xfrm>
                      <a:off x="0" y="0"/>
                      <a:ext cx="5348605" cy="3633470"/>
                    </a:xfrm>
                    <a:prstGeom prst="rect">
                      <a:avLst/>
                    </a:prstGeom>
                    <a:noFill/>
                    <a:ln w="9525" cap="flat" cmpd="sng">
                      <a:noFill/>
                      <a:prstDash val="solid"/>
                      <a:miter/>
                    </a:ln>
                  </pic:spPr>
                </pic:pic>
              </a:graphicData>
            </a:graphic>
          </wp:anchor>
        </w:drawing>
      </w:r>
      <w:r>
        <w:rPr>
          <w:rFonts w:hint="eastAsia" w:ascii="仿宋" w:hAnsi="仿宋" w:eastAsia="仿宋" w:cs="仿宋"/>
          <w:szCs w:val="21"/>
        </w:rPr>
        <w:t>浙能嵊泗2号海上风电场地理位置图</w:t>
      </w:r>
    </w:p>
    <w:p w14:paraId="1F0FC927">
      <w:pPr>
        <w:pStyle w:val="55"/>
        <w:adjustRightInd w:val="0"/>
        <w:snapToGrid w:val="0"/>
        <w:spacing w:before="0" w:after="0" w:line="240" w:lineRule="auto"/>
        <w:ind w:firstLine="495" w:firstLineChars="176"/>
        <w:rPr>
          <w:rFonts w:ascii="仿宋" w:hAnsi="仿宋" w:eastAsia="仿宋" w:cs="宋体"/>
          <w:kern w:val="0"/>
          <w:sz w:val="28"/>
          <w:szCs w:val="28"/>
        </w:rPr>
      </w:pPr>
      <w:bookmarkStart w:id="7" w:name="_Toc141088057"/>
      <w:r>
        <w:rPr>
          <w:rFonts w:ascii="仿宋" w:hAnsi="仿宋" w:eastAsia="仿宋" w:cs="宋体"/>
          <w:sz w:val="28"/>
          <w:szCs w:val="28"/>
        </w:rPr>
        <w:t>2.2</w:t>
      </w:r>
      <w:r>
        <w:rPr>
          <w:rFonts w:hint="eastAsia" w:ascii="仿宋" w:hAnsi="仿宋" w:eastAsia="仿宋" w:cs="宋体"/>
          <w:sz w:val="28"/>
          <w:szCs w:val="28"/>
        </w:rPr>
        <w:t>风电场自然条件</w:t>
      </w:r>
      <w:bookmarkEnd w:id="7"/>
    </w:p>
    <w:p w14:paraId="17544DCC">
      <w:pPr>
        <w:widowControl/>
        <w:ind w:firstLine="490" w:firstLineChars="175"/>
        <w:jc w:val="left"/>
        <w:outlineLvl w:val="0"/>
        <w:rPr>
          <w:rFonts w:ascii="仿宋" w:hAnsi="仿宋" w:eastAsia="仿宋" w:cs="宋体"/>
          <w:kern w:val="0"/>
          <w:sz w:val="28"/>
          <w:szCs w:val="28"/>
        </w:rPr>
      </w:pPr>
      <w:r>
        <w:rPr>
          <w:rFonts w:ascii="仿宋" w:hAnsi="仿宋" w:eastAsia="仿宋" w:cs="宋体"/>
          <w:kern w:val="0"/>
          <w:sz w:val="28"/>
          <w:szCs w:val="28"/>
        </w:rPr>
        <w:t>1、风能资源概况</w:t>
      </w:r>
    </w:p>
    <w:p w14:paraId="1BAB35AC">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浙能嵊泗2号海上风电场</w:t>
      </w:r>
      <w:r>
        <w:rPr>
          <w:rFonts w:ascii="仿宋" w:hAnsi="仿宋" w:eastAsia="仿宋" w:cs="Times New Roman"/>
          <w:sz w:val="28"/>
          <w:szCs w:val="28"/>
        </w:rPr>
        <w:t>地处北亚热带季风气候区。受冷暖气团交替控制，气候温暖湿润，雨量充沛，四季分明；冬夏稍长，春秋略短；冬季盛行东北风，夏季盛行东南风,受冬夏季风影响，风能资源较丰富。</w:t>
      </w:r>
    </w:p>
    <w:p w14:paraId="6DEA69AB">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根据收集到的嵊泗气象站资料，气象站历年逐月平均风速统计成果见下表。从风速年际变化来看，1989</w:t>
      </w:r>
      <w:r>
        <w:rPr>
          <w:rFonts w:hint="eastAsia" w:ascii="仿宋" w:hAnsi="仿宋" w:eastAsia="仿宋" w:cs="Times New Roman"/>
          <w:sz w:val="28"/>
          <w:szCs w:val="28"/>
        </w:rPr>
        <w:t>～</w:t>
      </w:r>
      <w:r>
        <w:rPr>
          <w:rFonts w:ascii="仿宋" w:hAnsi="仿宋" w:eastAsia="仿宋" w:cs="Times New Roman"/>
          <w:sz w:val="28"/>
          <w:szCs w:val="28"/>
        </w:rPr>
        <w:t>2018年多年平均风速为6.47m/s，其中，最近一次更换测风仪器后的2005年11月</w:t>
      </w:r>
      <w:r>
        <w:rPr>
          <w:rFonts w:hint="eastAsia" w:ascii="仿宋" w:hAnsi="仿宋" w:eastAsia="仿宋" w:cs="Times New Roman"/>
          <w:sz w:val="28"/>
          <w:szCs w:val="28"/>
        </w:rPr>
        <w:t>～</w:t>
      </w:r>
      <w:r>
        <w:rPr>
          <w:rFonts w:ascii="仿宋" w:hAnsi="仿宋" w:eastAsia="仿宋" w:cs="Times New Roman"/>
          <w:sz w:val="28"/>
          <w:szCs w:val="28"/>
        </w:rPr>
        <w:t>2019年10月平均风速为6.28m/s。年平均风速最大值为6.97m/s（1987年），年平均风速最小值为5.82m/s（2015年）。从风速年内变化来看，各月平均风速在5.6m/s</w:t>
      </w:r>
      <w:r>
        <w:rPr>
          <w:rFonts w:hint="eastAsia" w:ascii="仿宋" w:hAnsi="仿宋" w:eastAsia="仿宋" w:cs="Times New Roman"/>
          <w:sz w:val="28"/>
          <w:szCs w:val="28"/>
        </w:rPr>
        <w:t>～</w:t>
      </w:r>
      <w:r>
        <w:rPr>
          <w:rFonts w:ascii="仿宋" w:hAnsi="仿宋" w:eastAsia="仿宋" w:cs="Times New Roman"/>
          <w:sz w:val="28"/>
          <w:szCs w:val="28"/>
        </w:rPr>
        <w:t>6.8m/s之间变化；秋季、冬季及初春风速较大，其中1月为大风月，月平均风速为6.8m/s；春末、夏季风速较小，其中6月为小风月，月平均风速为5.6m/s。从风向玫瑰图来看，本地区主要风向为NNW、S、N，相应频率分别为12.0%、11.0%、10.0%。</w:t>
      </w:r>
    </w:p>
    <w:p w14:paraId="2B73E233">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嵊泗气象站累年各月平均风速统计成果表表（单位：m/s）</w:t>
      </w:r>
    </w:p>
    <w:tbl>
      <w:tblPr>
        <w:tblStyle w:val="18"/>
        <w:tblpPr w:leftFromText="180" w:rightFromText="180" w:vertAnchor="text" w:horzAnchor="margin" w:tblpXSpec="left" w:tblpY="727"/>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75"/>
        <w:gridCol w:w="432"/>
        <w:gridCol w:w="495"/>
        <w:gridCol w:w="495"/>
        <w:gridCol w:w="495"/>
        <w:gridCol w:w="495"/>
        <w:gridCol w:w="495"/>
        <w:gridCol w:w="495"/>
        <w:gridCol w:w="495"/>
        <w:gridCol w:w="495"/>
        <w:gridCol w:w="495"/>
        <w:gridCol w:w="495"/>
        <w:gridCol w:w="495"/>
        <w:gridCol w:w="656"/>
      </w:tblGrid>
      <w:tr w14:paraId="4E7826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775" w:type="dxa"/>
            <w:tcBorders>
              <w:top w:val="single" w:color="auto" w:sz="4" w:space="0"/>
              <w:left w:val="single" w:color="auto" w:sz="4" w:space="0"/>
              <w:bottom w:val="single" w:color="auto" w:sz="4" w:space="0"/>
              <w:right w:val="single" w:color="auto" w:sz="4" w:space="0"/>
            </w:tcBorders>
            <w:vAlign w:val="center"/>
          </w:tcPr>
          <w:p w14:paraId="3E02281A">
            <w:pPr>
              <w:pStyle w:val="51"/>
              <w:widowControl/>
              <w:jc w:val="center"/>
              <w:rPr>
                <w:rFonts w:ascii="宋体" w:hAnsi="宋体" w:cs="宋体"/>
                <w:kern w:val="0"/>
                <w:sz w:val="24"/>
                <w:szCs w:val="24"/>
              </w:rPr>
            </w:pPr>
            <w:r>
              <w:rPr>
                <w:rFonts w:hint="eastAsia" w:ascii="宋体" w:hAnsi="宋体" w:cs="宋体"/>
                <w:color w:val="000000"/>
                <w:kern w:val="0"/>
                <w:sz w:val="22"/>
              </w:rPr>
              <w:t>时间</w:t>
            </w:r>
          </w:p>
        </w:tc>
        <w:tc>
          <w:tcPr>
            <w:tcW w:w="432" w:type="dxa"/>
            <w:tcBorders>
              <w:top w:val="single" w:color="auto" w:sz="4" w:space="0"/>
              <w:left w:val="single" w:color="auto" w:sz="4" w:space="0"/>
              <w:bottom w:val="single" w:color="auto" w:sz="4" w:space="0"/>
              <w:right w:val="single" w:color="auto" w:sz="4" w:space="0"/>
            </w:tcBorders>
            <w:vAlign w:val="center"/>
          </w:tcPr>
          <w:p w14:paraId="75803FD6">
            <w:pPr>
              <w:pStyle w:val="51"/>
              <w:widowControl/>
              <w:ind w:left="-63" w:leftChars="-30"/>
              <w:jc w:val="center"/>
              <w:rPr>
                <w:rFonts w:ascii="宋体" w:hAnsi="宋体" w:cs="宋体"/>
                <w:kern w:val="0"/>
                <w:sz w:val="24"/>
                <w:szCs w:val="24"/>
              </w:rPr>
            </w:pPr>
            <w:r>
              <w:rPr>
                <w:color w:val="000000"/>
                <w:kern w:val="0"/>
                <w:sz w:val="22"/>
              </w:rPr>
              <w:t>1</w:t>
            </w:r>
          </w:p>
        </w:tc>
        <w:tc>
          <w:tcPr>
            <w:tcW w:w="495" w:type="dxa"/>
            <w:tcBorders>
              <w:top w:val="single" w:color="auto" w:sz="4" w:space="0"/>
              <w:left w:val="single" w:color="auto" w:sz="4" w:space="0"/>
              <w:bottom w:val="single" w:color="auto" w:sz="4" w:space="0"/>
              <w:right w:val="single" w:color="auto" w:sz="4" w:space="0"/>
            </w:tcBorders>
            <w:vAlign w:val="center"/>
          </w:tcPr>
          <w:p w14:paraId="38254AFB">
            <w:pPr>
              <w:pStyle w:val="51"/>
              <w:widowControl/>
              <w:rPr>
                <w:rFonts w:ascii="宋体" w:hAnsi="宋体" w:cs="宋体"/>
                <w:kern w:val="0"/>
                <w:sz w:val="24"/>
                <w:szCs w:val="24"/>
              </w:rPr>
            </w:pPr>
            <w:r>
              <w:rPr>
                <w:color w:val="000000"/>
                <w:kern w:val="0"/>
                <w:sz w:val="22"/>
              </w:rPr>
              <w:t>2</w:t>
            </w:r>
          </w:p>
        </w:tc>
        <w:tc>
          <w:tcPr>
            <w:tcW w:w="495" w:type="dxa"/>
            <w:tcBorders>
              <w:top w:val="single" w:color="auto" w:sz="4" w:space="0"/>
              <w:left w:val="single" w:color="auto" w:sz="4" w:space="0"/>
              <w:bottom w:val="single" w:color="auto" w:sz="4" w:space="0"/>
              <w:right w:val="single" w:color="auto" w:sz="4" w:space="0"/>
            </w:tcBorders>
            <w:vAlign w:val="center"/>
          </w:tcPr>
          <w:p w14:paraId="5C3E19EB">
            <w:pPr>
              <w:pStyle w:val="51"/>
              <w:widowControl/>
              <w:rPr>
                <w:rFonts w:ascii="宋体" w:hAnsi="宋体" w:cs="宋体"/>
                <w:kern w:val="0"/>
                <w:sz w:val="24"/>
                <w:szCs w:val="24"/>
              </w:rPr>
            </w:pPr>
            <w:r>
              <w:rPr>
                <w:color w:val="000000"/>
                <w:kern w:val="0"/>
                <w:sz w:val="22"/>
              </w:rPr>
              <w:t>3</w:t>
            </w:r>
          </w:p>
        </w:tc>
        <w:tc>
          <w:tcPr>
            <w:tcW w:w="495" w:type="dxa"/>
            <w:tcBorders>
              <w:top w:val="single" w:color="auto" w:sz="4" w:space="0"/>
              <w:left w:val="single" w:color="auto" w:sz="4" w:space="0"/>
              <w:bottom w:val="single" w:color="auto" w:sz="4" w:space="0"/>
              <w:right w:val="single" w:color="auto" w:sz="4" w:space="0"/>
            </w:tcBorders>
            <w:vAlign w:val="center"/>
          </w:tcPr>
          <w:p w14:paraId="4CAC5D7D">
            <w:pPr>
              <w:pStyle w:val="51"/>
              <w:widowControl/>
              <w:rPr>
                <w:rFonts w:ascii="宋体" w:hAnsi="宋体" w:cs="宋体"/>
                <w:kern w:val="0"/>
                <w:sz w:val="24"/>
                <w:szCs w:val="24"/>
              </w:rPr>
            </w:pPr>
            <w:r>
              <w:rPr>
                <w:color w:val="000000"/>
                <w:kern w:val="0"/>
                <w:sz w:val="22"/>
              </w:rPr>
              <w:t>4</w:t>
            </w:r>
          </w:p>
        </w:tc>
        <w:tc>
          <w:tcPr>
            <w:tcW w:w="495" w:type="dxa"/>
            <w:tcBorders>
              <w:top w:val="single" w:color="auto" w:sz="4" w:space="0"/>
              <w:left w:val="single" w:color="auto" w:sz="4" w:space="0"/>
              <w:bottom w:val="single" w:color="auto" w:sz="4" w:space="0"/>
              <w:right w:val="single" w:color="auto" w:sz="4" w:space="0"/>
            </w:tcBorders>
            <w:vAlign w:val="center"/>
          </w:tcPr>
          <w:p w14:paraId="24EA8188">
            <w:pPr>
              <w:pStyle w:val="51"/>
              <w:widowControl/>
              <w:rPr>
                <w:rFonts w:ascii="宋体" w:hAnsi="宋体" w:cs="宋体"/>
                <w:kern w:val="0"/>
                <w:sz w:val="24"/>
                <w:szCs w:val="24"/>
              </w:rPr>
            </w:pPr>
            <w:r>
              <w:rPr>
                <w:color w:val="000000"/>
                <w:kern w:val="0"/>
                <w:sz w:val="22"/>
              </w:rPr>
              <w:t>5</w:t>
            </w:r>
          </w:p>
        </w:tc>
        <w:tc>
          <w:tcPr>
            <w:tcW w:w="495" w:type="dxa"/>
            <w:tcBorders>
              <w:top w:val="single" w:color="auto" w:sz="4" w:space="0"/>
              <w:left w:val="single" w:color="auto" w:sz="4" w:space="0"/>
              <w:bottom w:val="single" w:color="auto" w:sz="4" w:space="0"/>
              <w:right w:val="single" w:color="auto" w:sz="4" w:space="0"/>
            </w:tcBorders>
            <w:vAlign w:val="center"/>
          </w:tcPr>
          <w:p w14:paraId="7EAFE9BB">
            <w:pPr>
              <w:pStyle w:val="51"/>
              <w:widowControl/>
              <w:rPr>
                <w:rFonts w:ascii="宋体" w:hAnsi="宋体" w:cs="宋体"/>
                <w:kern w:val="0"/>
                <w:sz w:val="24"/>
                <w:szCs w:val="24"/>
              </w:rPr>
            </w:pPr>
            <w:r>
              <w:rPr>
                <w:color w:val="000000"/>
                <w:kern w:val="0"/>
                <w:sz w:val="22"/>
              </w:rPr>
              <w:t>6</w:t>
            </w:r>
          </w:p>
        </w:tc>
        <w:tc>
          <w:tcPr>
            <w:tcW w:w="495" w:type="dxa"/>
            <w:tcBorders>
              <w:top w:val="single" w:color="auto" w:sz="4" w:space="0"/>
              <w:left w:val="single" w:color="auto" w:sz="4" w:space="0"/>
              <w:bottom w:val="single" w:color="auto" w:sz="4" w:space="0"/>
              <w:right w:val="single" w:color="auto" w:sz="4" w:space="0"/>
            </w:tcBorders>
            <w:vAlign w:val="center"/>
          </w:tcPr>
          <w:p w14:paraId="47FD79E0">
            <w:pPr>
              <w:pStyle w:val="51"/>
              <w:widowControl/>
              <w:rPr>
                <w:rFonts w:ascii="宋体" w:hAnsi="宋体" w:cs="宋体"/>
                <w:kern w:val="0"/>
                <w:sz w:val="24"/>
                <w:szCs w:val="24"/>
              </w:rPr>
            </w:pPr>
            <w:r>
              <w:rPr>
                <w:color w:val="000000"/>
                <w:kern w:val="0"/>
                <w:sz w:val="22"/>
              </w:rPr>
              <w:t>7</w:t>
            </w:r>
          </w:p>
        </w:tc>
        <w:tc>
          <w:tcPr>
            <w:tcW w:w="495" w:type="dxa"/>
            <w:tcBorders>
              <w:top w:val="single" w:color="auto" w:sz="4" w:space="0"/>
              <w:left w:val="single" w:color="auto" w:sz="4" w:space="0"/>
              <w:bottom w:val="single" w:color="auto" w:sz="4" w:space="0"/>
              <w:right w:val="single" w:color="auto" w:sz="4" w:space="0"/>
            </w:tcBorders>
            <w:vAlign w:val="center"/>
          </w:tcPr>
          <w:p w14:paraId="7AB2F476">
            <w:pPr>
              <w:pStyle w:val="51"/>
              <w:widowControl/>
              <w:rPr>
                <w:rFonts w:ascii="宋体" w:hAnsi="宋体" w:cs="宋体"/>
                <w:kern w:val="0"/>
                <w:sz w:val="24"/>
                <w:szCs w:val="24"/>
              </w:rPr>
            </w:pPr>
            <w:r>
              <w:rPr>
                <w:color w:val="000000"/>
                <w:kern w:val="0"/>
                <w:sz w:val="22"/>
              </w:rPr>
              <w:t>8</w:t>
            </w:r>
          </w:p>
        </w:tc>
        <w:tc>
          <w:tcPr>
            <w:tcW w:w="495" w:type="dxa"/>
            <w:tcBorders>
              <w:top w:val="single" w:color="auto" w:sz="4" w:space="0"/>
              <w:left w:val="single" w:color="auto" w:sz="4" w:space="0"/>
              <w:bottom w:val="single" w:color="auto" w:sz="4" w:space="0"/>
              <w:right w:val="single" w:color="auto" w:sz="4" w:space="0"/>
            </w:tcBorders>
            <w:vAlign w:val="center"/>
          </w:tcPr>
          <w:p w14:paraId="17D0E773">
            <w:pPr>
              <w:pStyle w:val="51"/>
              <w:widowControl/>
              <w:rPr>
                <w:rFonts w:ascii="宋体" w:hAnsi="宋体" w:cs="宋体"/>
                <w:kern w:val="0"/>
                <w:sz w:val="24"/>
                <w:szCs w:val="24"/>
              </w:rPr>
            </w:pPr>
            <w:r>
              <w:rPr>
                <w:color w:val="000000"/>
                <w:kern w:val="0"/>
                <w:sz w:val="22"/>
              </w:rPr>
              <w:t>9</w:t>
            </w:r>
          </w:p>
        </w:tc>
        <w:tc>
          <w:tcPr>
            <w:tcW w:w="495" w:type="dxa"/>
            <w:tcBorders>
              <w:top w:val="single" w:color="auto" w:sz="4" w:space="0"/>
              <w:left w:val="single" w:color="auto" w:sz="4" w:space="0"/>
              <w:bottom w:val="single" w:color="auto" w:sz="4" w:space="0"/>
              <w:right w:val="single" w:color="auto" w:sz="4" w:space="0"/>
            </w:tcBorders>
            <w:vAlign w:val="center"/>
          </w:tcPr>
          <w:p w14:paraId="3D76DCEF">
            <w:pPr>
              <w:pStyle w:val="51"/>
              <w:widowControl/>
              <w:rPr>
                <w:rFonts w:ascii="宋体" w:hAnsi="宋体" w:cs="宋体"/>
                <w:kern w:val="0"/>
                <w:sz w:val="24"/>
                <w:szCs w:val="24"/>
              </w:rPr>
            </w:pPr>
            <w:r>
              <w:rPr>
                <w:color w:val="000000"/>
                <w:kern w:val="0"/>
                <w:sz w:val="22"/>
              </w:rPr>
              <w:t>10</w:t>
            </w:r>
          </w:p>
        </w:tc>
        <w:tc>
          <w:tcPr>
            <w:tcW w:w="495" w:type="dxa"/>
            <w:tcBorders>
              <w:top w:val="single" w:color="auto" w:sz="4" w:space="0"/>
              <w:left w:val="single" w:color="auto" w:sz="4" w:space="0"/>
              <w:bottom w:val="single" w:color="auto" w:sz="4" w:space="0"/>
              <w:right w:val="single" w:color="auto" w:sz="4" w:space="0"/>
            </w:tcBorders>
            <w:vAlign w:val="center"/>
          </w:tcPr>
          <w:p w14:paraId="657A60A4">
            <w:pPr>
              <w:pStyle w:val="51"/>
              <w:widowControl/>
              <w:rPr>
                <w:rFonts w:ascii="宋体" w:hAnsi="宋体" w:cs="宋体"/>
                <w:kern w:val="0"/>
                <w:sz w:val="24"/>
                <w:szCs w:val="24"/>
              </w:rPr>
            </w:pPr>
            <w:r>
              <w:rPr>
                <w:color w:val="000000"/>
                <w:kern w:val="0"/>
                <w:sz w:val="22"/>
              </w:rPr>
              <w:t>11</w:t>
            </w:r>
          </w:p>
        </w:tc>
        <w:tc>
          <w:tcPr>
            <w:tcW w:w="495" w:type="dxa"/>
            <w:tcBorders>
              <w:top w:val="single" w:color="auto" w:sz="4" w:space="0"/>
              <w:left w:val="single" w:color="auto" w:sz="4" w:space="0"/>
              <w:bottom w:val="single" w:color="auto" w:sz="4" w:space="0"/>
              <w:right w:val="single" w:color="auto" w:sz="4" w:space="0"/>
            </w:tcBorders>
            <w:vAlign w:val="center"/>
          </w:tcPr>
          <w:p w14:paraId="60820D35">
            <w:pPr>
              <w:pStyle w:val="51"/>
              <w:widowControl/>
              <w:rPr>
                <w:rFonts w:ascii="宋体" w:hAnsi="宋体" w:cs="宋体"/>
                <w:kern w:val="0"/>
                <w:sz w:val="24"/>
                <w:szCs w:val="24"/>
              </w:rPr>
            </w:pPr>
            <w:r>
              <w:rPr>
                <w:color w:val="000000"/>
                <w:kern w:val="0"/>
                <w:sz w:val="22"/>
              </w:rPr>
              <w:t>12</w:t>
            </w:r>
          </w:p>
        </w:tc>
        <w:tc>
          <w:tcPr>
            <w:tcW w:w="656" w:type="dxa"/>
            <w:tcBorders>
              <w:top w:val="single" w:color="auto" w:sz="4" w:space="0"/>
              <w:left w:val="single" w:color="auto" w:sz="4" w:space="0"/>
              <w:bottom w:val="single" w:color="auto" w:sz="4" w:space="0"/>
              <w:right w:val="single" w:color="auto" w:sz="4" w:space="0"/>
            </w:tcBorders>
            <w:vAlign w:val="center"/>
          </w:tcPr>
          <w:p w14:paraId="0D529DC6">
            <w:pPr>
              <w:pStyle w:val="51"/>
              <w:widowControl/>
              <w:rPr>
                <w:rFonts w:ascii="宋体" w:hAnsi="宋体" w:cs="宋体"/>
                <w:kern w:val="0"/>
                <w:sz w:val="24"/>
                <w:szCs w:val="24"/>
              </w:rPr>
            </w:pPr>
            <w:r>
              <w:rPr>
                <w:rFonts w:ascii="宋体" w:hAnsi="宋体" w:cs="宋体"/>
                <w:color w:val="000000"/>
                <w:kern w:val="0"/>
                <w:sz w:val="22"/>
              </w:rPr>
              <w:t>平均</w:t>
            </w:r>
          </w:p>
        </w:tc>
      </w:tr>
      <w:tr w14:paraId="3121D7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775" w:type="dxa"/>
            <w:tcBorders>
              <w:top w:val="single" w:color="auto" w:sz="4" w:space="0"/>
              <w:left w:val="single" w:color="auto" w:sz="4" w:space="0"/>
              <w:bottom w:val="single" w:color="auto" w:sz="4" w:space="0"/>
              <w:right w:val="single" w:color="auto" w:sz="4" w:space="0"/>
            </w:tcBorders>
            <w:vAlign w:val="center"/>
          </w:tcPr>
          <w:p w14:paraId="250BBBF9">
            <w:pPr>
              <w:pStyle w:val="51"/>
              <w:widowControl/>
              <w:jc w:val="center"/>
              <w:rPr>
                <w:rFonts w:ascii="宋体" w:hAnsi="宋体" w:cs="宋体"/>
                <w:kern w:val="0"/>
                <w:sz w:val="24"/>
                <w:szCs w:val="24"/>
              </w:rPr>
            </w:pPr>
            <w:r>
              <w:rPr>
                <w:color w:val="000000"/>
                <w:kern w:val="0"/>
                <w:sz w:val="22"/>
              </w:rPr>
              <w:t>1989~2018</w:t>
            </w:r>
          </w:p>
        </w:tc>
        <w:tc>
          <w:tcPr>
            <w:tcW w:w="432" w:type="dxa"/>
            <w:tcBorders>
              <w:top w:val="single" w:color="auto" w:sz="4" w:space="0"/>
              <w:left w:val="single" w:color="auto" w:sz="4" w:space="0"/>
              <w:bottom w:val="single" w:color="auto" w:sz="4" w:space="0"/>
              <w:right w:val="single" w:color="auto" w:sz="4" w:space="0"/>
            </w:tcBorders>
            <w:vAlign w:val="center"/>
          </w:tcPr>
          <w:p w14:paraId="016219F0">
            <w:pPr>
              <w:pStyle w:val="51"/>
              <w:widowControl/>
              <w:ind w:left="-63" w:leftChars="-30"/>
              <w:rPr>
                <w:rFonts w:ascii="宋体" w:hAnsi="宋体" w:cs="宋体"/>
                <w:kern w:val="0"/>
                <w:sz w:val="24"/>
                <w:szCs w:val="24"/>
              </w:rPr>
            </w:pPr>
            <w:r>
              <w:rPr>
                <w:color w:val="000000"/>
                <w:kern w:val="0"/>
                <w:sz w:val="22"/>
              </w:rPr>
              <w:t>6.8</w:t>
            </w:r>
          </w:p>
        </w:tc>
        <w:tc>
          <w:tcPr>
            <w:tcW w:w="495" w:type="dxa"/>
            <w:tcBorders>
              <w:top w:val="single" w:color="auto" w:sz="4" w:space="0"/>
              <w:left w:val="single" w:color="auto" w:sz="4" w:space="0"/>
              <w:bottom w:val="single" w:color="auto" w:sz="4" w:space="0"/>
              <w:right w:val="single" w:color="auto" w:sz="4" w:space="0"/>
            </w:tcBorders>
            <w:vAlign w:val="center"/>
          </w:tcPr>
          <w:p w14:paraId="3ABF856B">
            <w:pPr>
              <w:pStyle w:val="51"/>
              <w:widowControl/>
              <w:rPr>
                <w:rFonts w:ascii="宋体" w:hAnsi="宋体" w:cs="宋体"/>
                <w:kern w:val="0"/>
                <w:sz w:val="24"/>
                <w:szCs w:val="24"/>
              </w:rPr>
            </w:pPr>
            <w:r>
              <w:rPr>
                <w:color w:val="000000"/>
                <w:kern w:val="0"/>
                <w:sz w:val="22"/>
              </w:rPr>
              <w:t>6.7</w:t>
            </w:r>
          </w:p>
        </w:tc>
        <w:tc>
          <w:tcPr>
            <w:tcW w:w="495" w:type="dxa"/>
            <w:tcBorders>
              <w:top w:val="single" w:color="auto" w:sz="4" w:space="0"/>
              <w:left w:val="single" w:color="auto" w:sz="4" w:space="0"/>
              <w:bottom w:val="single" w:color="auto" w:sz="4" w:space="0"/>
              <w:right w:val="single" w:color="auto" w:sz="4" w:space="0"/>
            </w:tcBorders>
            <w:vAlign w:val="center"/>
          </w:tcPr>
          <w:p w14:paraId="4DD7616B">
            <w:pPr>
              <w:pStyle w:val="51"/>
              <w:widowControl/>
              <w:rPr>
                <w:rFonts w:ascii="宋体" w:hAnsi="宋体" w:cs="宋体"/>
                <w:kern w:val="0"/>
                <w:sz w:val="24"/>
                <w:szCs w:val="24"/>
              </w:rPr>
            </w:pPr>
            <w:r>
              <w:rPr>
                <w:color w:val="000000"/>
                <w:kern w:val="0"/>
                <w:sz w:val="22"/>
              </w:rPr>
              <w:t>6.7</w:t>
            </w:r>
          </w:p>
        </w:tc>
        <w:tc>
          <w:tcPr>
            <w:tcW w:w="495" w:type="dxa"/>
            <w:tcBorders>
              <w:top w:val="single" w:color="auto" w:sz="4" w:space="0"/>
              <w:left w:val="single" w:color="auto" w:sz="4" w:space="0"/>
              <w:bottom w:val="single" w:color="auto" w:sz="4" w:space="0"/>
              <w:right w:val="single" w:color="auto" w:sz="4" w:space="0"/>
            </w:tcBorders>
            <w:vAlign w:val="center"/>
          </w:tcPr>
          <w:p w14:paraId="68732E42">
            <w:pPr>
              <w:pStyle w:val="51"/>
              <w:widowControl/>
              <w:rPr>
                <w:rFonts w:ascii="宋体" w:hAnsi="宋体" w:cs="宋体"/>
                <w:kern w:val="0"/>
                <w:sz w:val="24"/>
                <w:szCs w:val="24"/>
              </w:rPr>
            </w:pPr>
            <w:r>
              <w:rPr>
                <w:color w:val="000000"/>
                <w:kern w:val="0"/>
                <w:sz w:val="22"/>
              </w:rPr>
              <w:t>6.5</w:t>
            </w:r>
          </w:p>
        </w:tc>
        <w:tc>
          <w:tcPr>
            <w:tcW w:w="495" w:type="dxa"/>
            <w:tcBorders>
              <w:top w:val="single" w:color="auto" w:sz="4" w:space="0"/>
              <w:left w:val="single" w:color="auto" w:sz="4" w:space="0"/>
              <w:bottom w:val="single" w:color="auto" w:sz="4" w:space="0"/>
              <w:right w:val="single" w:color="auto" w:sz="4" w:space="0"/>
            </w:tcBorders>
            <w:vAlign w:val="center"/>
          </w:tcPr>
          <w:p w14:paraId="1B6F945F">
            <w:pPr>
              <w:pStyle w:val="51"/>
              <w:widowControl/>
              <w:rPr>
                <w:rFonts w:ascii="宋体" w:hAnsi="宋体" w:cs="宋体"/>
                <w:kern w:val="0"/>
                <w:sz w:val="24"/>
                <w:szCs w:val="24"/>
              </w:rPr>
            </w:pPr>
            <w:r>
              <w:rPr>
                <w:color w:val="000000"/>
                <w:kern w:val="0"/>
                <w:sz w:val="22"/>
              </w:rPr>
              <w:t>6.0</w:t>
            </w:r>
          </w:p>
        </w:tc>
        <w:tc>
          <w:tcPr>
            <w:tcW w:w="495" w:type="dxa"/>
            <w:tcBorders>
              <w:top w:val="single" w:color="auto" w:sz="4" w:space="0"/>
              <w:left w:val="single" w:color="auto" w:sz="4" w:space="0"/>
              <w:bottom w:val="single" w:color="auto" w:sz="4" w:space="0"/>
              <w:right w:val="single" w:color="auto" w:sz="4" w:space="0"/>
            </w:tcBorders>
            <w:vAlign w:val="center"/>
          </w:tcPr>
          <w:p w14:paraId="3FAA8100">
            <w:pPr>
              <w:pStyle w:val="51"/>
              <w:widowControl/>
              <w:rPr>
                <w:rFonts w:ascii="宋体" w:hAnsi="宋体" w:cs="宋体"/>
                <w:kern w:val="0"/>
                <w:sz w:val="24"/>
                <w:szCs w:val="24"/>
              </w:rPr>
            </w:pPr>
            <w:r>
              <w:rPr>
                <w:color w:val="000000"/>
                <w:kern w:val="0"/>
                <w:sz w:val="22"/>
              </w:rPr>
              <w:t>5.6</w:t>
            </w:r>
          </w:p>
        </w:tc>
        <w:tc>
          <w:tcPr>
            <w:tcW w:w="495" w:type="dxa"/>
            <w:tcBorders>
              <w:top w:val="single" w:color="auto" w:sz="4" w:space="0"/>
              <w:left w:val="single" w:color="auto" w:sz="4" w:space="0"/>
              <w:bottom w:val="single" w:color="auto" w:sz="4" w:space="0"/>
              <w:right w:val="single" w:color="auto" w:sz="4" w:space="0"/>
            </w:tcBorders>
            <w:vAlign w:val="center"/>
          </w:tcPr>
          <w:p w14:paraId="4D3B9807">
            <w:pPr>
              <w:pStyle w:val="51"/>
              <w:widowControl/>
              <w:rPr>
                <w:rFonts w:ascii="宋体" w:hAnsi="宋体" w:cs="宋体"/>
                <w:kern w:val="0"/>
                <w:sz w:val="24"/>
                <w:szCs w:val="24"/>
              </w:rPr>
            </w:pPr>
            <w:r>
              <w:rPr>
                <w:color w:val="000000"/>
                <w:kern w:val="0"/>
                <w:sz w:val="22"/>
              </w:rPr>
              <w:t>6.4</w:t>
            </w:r>
          </w:p>
        </w:tc>
        <w:tc>
          <w:tcPr>
            <w:tcW w:w="495" w:type="dxa"/>
            <w:tcBorders>
              <w:top w:val="single" w:color="auto" w:sz="4" w:space="0"/>
              <w:left w:val="single" w:color="auto" w:sz="4" w:space="0"/>
              <w:bottom w:val="single" w:color="auto" w:sz="4" w:space="0"/>
              <w:right w:val="single" w:color="auto" w:sz="4" w:space="0"/>
            </w:tcBorders>
            <w:vAlign w:val="center"/>
          </w:tcPr>
          <w:p w14:paraId="552FC3E1">
            <w:pPr>
              <w:pStyle w:val="51"/>
              <w:widowControl/>
              <w:rPr>
                <w:rFonts w:ascii="宋体" w:hAnsi="宋体" w:cs="宋体"/>
                <w:kern w:val="0"/>
                <w:sz w:val="24"/>
                <w:szCs w:val="24"/>
              </w:rPr>
            </w:pPr>
            <w:r>
              <w:rPr>
                <w:color w:val="000000"/>
                <w:kern w:val="0"/>
                <w:sz w:val="22"/>
              </w:rPr>
              <w:t>6.2</w:t>
            </w:r>
          </w:p>
        </w:tc>
        <w:tc>
          <w:tcPr>
            <w:tcW w:w="495" w:type="dxa"/>
            <w:tcBorders>
              <w:top w:val="single" w:color="auto" w:sz="4" w:space="0"/>
              <w:left w:val="single" w:color="auto" w:sz="4" w:space="0"/>
              <w:bottom w:val="single" w:color="auto" w:sz="4" w:space="0"/>
              <w:right w:val="single" w:color="auto" w:sz="4" w:space="0"/>
            </w:tcBorders>
            <w:vAlign w:val="center"/>
          </w:tcPr>
          <w:p w14:paraId="7F587CD0">
            <w:pPr>
              <w:pStyle w:val="51"/>
              <w:widowControl/>
              <w:rPr>
                <w:rFonts w:ascii="宋体" w:hAnsi="宋体" w:cs="宋体"/>
                <w:kern w:val="0"/>
                <w:sz w:val="24"/>
                <w:szCs w:val="24"/>
              </w:rPr>
            </w:pPr>
            <w:r>
              <w:rPr>
                <w:color w:val="000000"/>
                <w:kern w:val="0"/>
                <w:sz w:val="22"/>
              </w:rPr>
              <w:t>6.7</w:t>
            </w:r>
          </w:p>
        </w:tc>
        <w:tc>
          <w:tcPr>
            <w:tcW w:w="495" w:type="dxa"/>
            <w:tcBorders>
              <w:top w:val="single" w:color="auto" w:sz="4" w:space="0"/>
              <w:left w:val="single" w:color="auto" w:sz="4" w:space="0"/>
              <w:bottom w:val="single" w:color="auto" w:sz="4" w:space="0"/>
              <w:right w:val="single" w:color="auto" w:sz="4" w:space="0"/>
            </w:tcBorders>
            <w:vAlign w:val="center"/>
          </w:tcPr>
          <w:p w14:paraId="6CC39C99">
            <w:pPr>
              <w:pStyle w:val="51"/>
              <w:widowControl/>
              <w:rPr>
                <w:rFonts w:ascii="宋体" w:hAnsi="宋体" w:cs="宋体"/>
                <w:kern w:val="0"/>
                <w:sz w:val="24"/>
                <w:szCs w:val="24"/>
              </w:rPr>
            </w:pPr>
            <w:r>
              <w:rPr>
                <w:color w:val="000000"/>
                <w:kern w:val="0"/>
                <w:sz w:val="22"/>
              </w:rPr>
              <w:t>6.7</w:t>
            </w:r>
          </w:p>
        </w:tc>
        <w:tc>
          <w:tcPr>
            <w:tcW w:w="495" w:type="dxa"/>
            <w:tcBorders>
              <w:top w:val="single" w:color="auto" w:sz="4" w:space="0"/>
              <w:left w:val="single" w:color="auto" w:sz="4" w:space="0"/>
              <w:bottom w:val="single" w:color="auto" w:sz="4" w:space="0"/>
              <w:right w:val="single" w:color="auto" w:sz="4" w:space="0"/>
            </w:tcBorders>
            <w:vAlign w:val="center"/>
          </w:tcPr>
          <w:p w14:paraId="6EE5BE01">
            <w:pPr>
              <w:pStyle w:val="51"/>
              <w:widowControl/>
              <w:rPr>
                <w:rFonts w:ascii="宋体" w:hAnsi="宋体" w:cs="宋体"/>
                <w:kern w:val="0"/>
                <w:sz w:val="24"/>
                <w:szCs w:val="24"/>
              </w:rPr>
            </w:pPr>
            <w:r>
              <w:rPr>
                <w:color w:val="000000"/>
                <w:kern w:val="0"/>
                <w:sz w:val="22"/>
              </w:rPr>
              <w:t>6.5</w:t>
            </w:r>
          </w:p>
        </w:tc>
        <w:tc>
          <w:tcPr>
            <w:tcW w:w="495" w:type="dxa"/>
            <w:tcBorders>
              <w:top w:val="single" w:color="auto" w:sz="4" w:space="0"/>
              <w:left w:val="single" w:color="auto" w:sz="4" w:space="0"/>
              <w:bottom w:val="single" w:color="auto" w:sz="4" w:space="0"/>
              <w:right w:val="single" w:color="auto" w:sz="4" w:space="0"/>
            </w:tcBorders>
            <w:vAlign w:val="center"/>
          </w:tcPr>
          <w:p w14:paraId="06E3C8C0">
            <w:pPr>
              <w:pStyle w:val="51"/>
              <w:widowControl/>
              <w:rPr>
                <w:rFonts w:ascii="宋体" w:hAnsi="宋体" w:cs="宋体"/>
                <w:kern w:val="0"/>
                <w:sz w:val="24"/>
                <w:szCs w:val="24"/>
              </w:rPr>
            </w:pPr>
            <w:r>
              <w:rPr>
                <w:color w:val="000000"/>
                <w:kern w:val="0"/>
                <w:sz w:val="22"/>
              </w:rPr>
              <w:t>6.7</w:t>
            </w:r>
          </w:p>
        </w:tc>
        <w:tc>
          <w:tcPr>
            <w:tcW w:w="656" w:type="dxa"/>
            <w:tcBorders>
              <w:top w:val="single" w:color="auto" w:sz="4" w:space="0"/>
              <w:left w:val="single" w:color="auto" w:sz="4" w:space="0"/>
              <w:bottom w:val="single" w:color="auto" w:sz="4" w:space="0"/>
              <w:right w:val="single" w:color="auto" w:sz="4" w:space="0"/>
            </w:tcBorders>
            <w:vAlign w:val="center"/>
          </w:tcPr>
          <w:p w14:paraId="456F47A2">
            <w:pPr>
              <w:pStyle w:val="51"/>
              <w:widowControl/>
              <w:rPr>
                <w:rFonts w:ascii="宋体" w:hAnsi="宋体" w:cs="宋体"/>
                <w:kern w:val="0"/>
                <w:sz w:val="24"/>
                <w:szCs w:val="24"/>
              </w:rPr>
            </w:pPr>
            <w:r>
              <w:rPr>
                <w:color w:val="000000"/>
                <w:kern w:val="0"/>
                <w:sz w:val="22"/>
              </w:rPr>
              <w:t>6.47</w:t>
            </w:r>
          </w:p>
        </w:tc>
      </w:tr>
      <w:tr w14:paraId="49F36E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775" w:type="dxa"/>
            <w:tcBorders>
              <w:top w:val="single" w:color="auto" w:sz="4" w:space="0"/>
              <w:left w:val="single" w:color="auto" w:sz="4" w:space="0"/>
              <w:bottom w:val="single" w:color="auto" w:sz="4" w:space="0"/>
              <w:right w:val="single" w:color="auto" w:sz="4" w:space="0"/>
            </w:tcBorders>
            <w:vAlign w:val="center"/>
          </w:tcPr>
          <w:p w14:paraId="2072432A">
            <w:pPr>
              <w:pStyle w:val="51"/>
              <w:widowControl/>
              <w:rPr>
                <w:rFonts w:ascii="宋体" w:hAnsi="宋体" w:cs="宋体"/>
                <w:kern w:val="0"/>
                <w:sz w:val="24"/>
                <w:szCs w:val="24"/>
              </w:rPr>
            </w:pPr>
            <w:r>
              <w:rPr>
                <w:color w:val="000000"/>
                <w:kern w:val="0"/>
                <w:sz w:val="22"/>
              </w:rPr>
              <w:t>2005.11~2019.10</w:t>
            </w:r>
          </w:p>
        </w:tc>
        <w:tc>
          <w:tcPr>
            <w:tcW w:w="432" w:type="dxa"/>
            <w:tcBorders>
              <w:top w:val="single" w:color="auto" w:sz="4" w:space="0"/>
              <w:left w:val="single" w:color="auto" w:sz="4" w:space="0"/>
              <w:bottom w:val="single" w:color="auto" w:sz="4" w:space="0"/>
              <w:right w:val="single" w:color="auto" w:sz="4" w:space="0"/>
            </w:tcBorders>
            <w:vAlign w:val="center"/>
          </w:tcPr>
          <w:p w14:paraId="5E9C029C">
            <w:pPr>
              <w:pStyle w:val="51"/>
              <w:widowControl/>
              <w:ind w:left="-63" w:leftChars="-30"/>
              <w:rPr>
                <w:rFonts w:ascii="宋体" w:hAnsi="宋体" w:cs="宋体"/>
                <w:kern w:val="0"/>
                <w:sz w:val="24"/>
                <w:szCs w:val="24"/>
              </w:rPr>
            </w:pPr>
            <w:r>
              <w:rPr>
                <w:color w:val="000000"/>
                <w:kern w:val="0"/>
                <w:sz w:val="22"/>
              </w:rPr>
              <w:t>6.9</w:t>
            </w:r>
          </w:p>
        </w:tc>
        <w:tc>
          <w:tcPr>
            <w:tcW w:w="495" w:type="dxa"/>
            <w:tcBorders>
              <w:top w:val="single" w:color="auto" w:sz="4" w:space="0"/>
              <w:left w:val="single" w:color="auto" w:sz="4" w:space="0"/>
              <w:bottom w:val="single" w:color="auto" w:sz="4" w:space="0"/>
              <w:right w:val="single" w:color="auto" w:sz="4" w:space="0"/>
            </w:tcBorders>
            <w:vAlign w:val="center"/>
          </w:tcPr>
          <w:p w14:paraId="6EA4F2D4">
            <w:pPr>
              <w:pStyle w:val="51"/>
              <w:widowControl/>
              <w:rPr>
                <w:rFonts w:ascii="宋体" w:hAnsi="宋体" w:cs="宋体"/>
                <w:kern w:val="0"/>
                <w:sz w:val="24"/>
                <w:szCs w:val="24"/>
              </w:rPr>
            </w:pPr>
            <w:r>
              <w:rPr>
                <w:color w:val="000000"/>
                <w:kern w:val="0"/>
                <w:sz w:val="22"/>
              </w:rPr>
              <w:t>6.7</w:t>
            </w:r>
          </w:p>
        </w:tc>
        <w:tc>
          <w:tcPr>
            <w:tcW w:w="495" w:type="dxa"/>
            <w:tcBorders>
              <w:top w:val="single" w:color="auto" w:sz="4" w:space="0"/>
              <w:left w:val="single" w:color="auto" w:sz="4" w:space="0"/>
              <w:bottom w:val="single" w:color="auto" w:sz="4" w:space="0"/>
              <w:right w:val="single" w:color="auto" w:sz="4" w:space="0"/>
            </w:tcBorders>
            <w:vAlign w:val="center"/>
          </w:tcPr>
          <w:p w14:paraId="696C3C45">
            <w:pPr>
              <w:pStyle w:val="51"/>
              <w:widowControl/>
              <w:rPr>
                <w:rFonts w:ascii="宋体" w:hAnsi="宋体" w:cs="宋体"/>
                <w:kern w:val="0"/>
                <w:sz w:val="24"/>
                <w:szCs w:val="24"/>
              </w:rPr>
            </w:pPr>
            <w:r>
              <w:rPr>
                <w:color w:val="000000"/>
                <w:kern w:val="0"/>
                <w:sz w:val="22"/>
              </w:rPr>
              <w:t>6.6</w:t>
            </w:r>
          </w:p>
        </w:tc>
        <w:tc>
          <w:tcPr>
            <w:tcW w:w="495" w:type="dxa"/>
            <w:tcBorders>
              <w:top w:val="single" w:color="auto" w:sz="4" w:space="0"/>
              <w:left w:val="single" w:color="auto" w:sz="4" w:space="0"/>
              <w:bottom w:val="single" w:color="auto" w:sz="4" w:space="0"/>
              <w:right w:val="single" w:color="auto" w:sz="4" w:space="0"/>
            </w:tcBorders>
            <w:vAlign w:val="center"/>
          </w:tcPr>
          <w:p w14:paraId="2693371A">
            <w:pPr>
              <w:pStyle w:val="51"/>
              <w:widowControl/>
              <w:rPr>
                <w:rFonts w:ascii="宋体" w:hAnsi="宋体" w:cs="宋体"/>
                <w:kern w:val="0"/>
                <w:sz w:val="24"/>
                <w:szCs w:val="24"/>
              </w:rPr>
            </w:pPr>
            <w:r>
              <w:rPr>
                <w:color w:val="000000"/>
                <w:kern w:val="0"/>
                <w:sz w:val="22"/>
              </w:rPr>
              <w:t>6.4</w:t>
            </w:r>
          </w:p>
        </w:tc>
        <w:tc>
          <w:tcPr>
            <w:tcW w:w="495" w:type="dxa"/>
            <w:tcBorders>
              <w:top w:val="single" w:color="auto" w:sz="4" w:space="0"/>
              <w:left w:val="single" w:color="auto" w:sz="4" w:space="0"/>
              <w:bottom w:val="single" w:color="auto" w:sz="4" w:space="0"/>
              <w:right w:val="single" w:color="auto" w:sz="4" w:space="0"/>
            </w:tcBorders>
            <w:vAlign w:val="center"/>
          </w:tcPr>
          <w:p w14:paraId="7CB902D4">
            <w:pPr>
              <w:pStyle w:val="51"/>
              <w:widowControl/>
              <w:rPr>
                <w:rFonts w:ascii="宋体" w:hAnsi="宋体" w:cs="宋体"/>
                <w:kern w:val="0"/>
                <w:sz w:val="24"/>
                <w:szCs w:val="24"/>
              </w:rPr>
            </w:pPr>
            <w:r>
              <w:rPr>
                <w:color w:val="000000"/>
                <w:kern w:val="0"/>
                <w:sz w:val="22"/>
              </w:rPr>
              <w:t>6.1</w:t>
            </w:r>
          </w:p>
        </w:tc>
        <w:tc>
          <w:tcPr>
            <w:tcW w:w="495" w:type="dxa"/>
            <w:tcBorders>
              <w:top w:val="single" w:color="auto" w:sz="4" w:space="0"/>
              <w:left w:val="single" w:color="auto" w:sz="4" w:space="0"/>
              <w:bottom w:val="single" w:color="auto" w:sz="4" w:space="0"/>
              <w:right w:val="single" w:color="auto" w:sz="4" w:space="0"/>
            </w:tcBorders>
            <w:vAlign w:val="center"/>
          </w:tcPr>
          <w:p w14:paraId="476DF273">
            <w:pPr>
              <w:pStyle w:val="51"/>
              <w:widowControl/>
              <w:rPr>
                <w:rFonts w:ascii="宋体" w:hAnsi="宋体" w:cs="宋体"/>
                <w:kern w:val="0"/>
                <w:sz w:val="24"/>
                <w:szCs w:val="24"/>
              </w:rPr>
            </w:pPr>
            <w:r>
              <w:rPr>
                <w:color w:val="000000"/>
                <w:kern w:val="0"/>
                <w:sz w:val="22"/>
              </w:rPr>
              <w:t>5.1</w:t>
            </w:r>
          </w:p>
        </w:tc>
        <w:tc>
          <w:tcPr>
            <w:tcW w:w="495" w:type="dxa"/>
            <w:tcBorders>
              <w:top w:val="single" w:color="auto" w:sz="4" w:space="0"/>
              <w:left w:val="single" w:color="auto" w:sz="4" w:space="0"/>
              <w:bottom w:val="single" w:color="auto" w:sz="4" w:space="0"/>
              <w:right w:val="single" w:color="auto" w:sz="4" w:space="0"/>
            </w:tcBorders>
            <w:vAlign w:val="center"/>
          </w:tcPr>
          <w:p w14:paraId="6CCB274C">
            <w:pPr>
              <w:pStyle w:val="51"/>
              <w:widowControl/>
              <w:rPr>
                <w:rFonts w:ascii="宋体" w:hAnsi="宋体" w:cs="宋体"/>
                <w:kern w:val="0"/>
                <w:sz w:val="24"/>
                <w:szCs w:val="24"/>
              </w:rPr>
            </w:pPr>
            <w:r>
              <w:rPr>
                <w:color w:val="000000"/>
                <w:kern w:val="0"/>
                <w:sz w:val="22"/>
              </w:rPr>
              <w:t>6.2</w:t>
            </w:r>
          </w:p>
        </w:tc>
        <w:tc>
          <w:tcPr>
            <w:tcW w:w="495" w:type="dxa"/>
            <w:tcBorders>
              <w:top w:val="single" w:color="auto" w:sz="4" w:space="0"/>
              <w:left w:val="single" w:color="auto" w:sz="4" w:space="0"/>
              <w:bottom w:val="single" w:color="auto" w:sz="4" w:space="0"/>
              <w:right w:val="single" w:color="auto" w:sz="4" w:space="0"/>
            </w:tcBorders>
            <w:vAlign w:val="center"/>
          </w:tcPr>
          <w:p w14:paraId="555DF598">
            <w:pPr>
              <w:pStyle w:val="51"/>
              <w:widowControl/>
              <w:rPr>
                <w:rFonts w:ascii="宋体" w:hAnsi="宋体" w:cs="宋体"/>
                <w:kern w:val="0"/>
                <w:sz w:val="24"/>
                <w:szCs w:val="24"/>
              </w:rPr>
            </w:pPr>
            <w:r>
              <w:rPr>
                <w:color w:val="000000"/>
                <w:kern w:val="0"/>
                <w:sz w:val="22"/>
              </w:rPr>
              <w:t>5.8</w:t>
            </w:r>
          </w:p>
        </w:tc>
        <w:tc>
          <w:tcPr>
            <w:tcW w:w="495" w:type="dxa"/>
            <w:tcBorders>
              <w:top w:val="single" w:color="auto" w:sz="4" w:space="0"/>
              <w:left w:val="single" w:color="auto" w:sz="4" w:space="0"/>
              <w:bottom w:val="single" w:color="auto" w:sz="4" w:space="0"/>
              <w:right w:val="single" w:color="auto" w:sz="4" w:space="0"/>
            </w:tcBorders>
            <w:vAlign w:val="center"/>
          </w:tcPr>
          <w:p w14:paraId="671C0AAF">
            <w:pPr>
              <w:pStyle w:val="51"/>
              <w:widowControl/>
              <w:rPr>
                <w:rFonts w:ascii="宋体" w:hAnsi="宋体" w:cs="宋体"/>
                <w:kern w:val="0"/>
                <w:sz w:val="24"/>
                <w:szCs w:val="24"/>
              </w:rPr>
            </w:pPr>
            <w:r>
              <w:rPr>
                <w:color w:val="000000"/>
                <w:kern w:val="0"/>
                <w:sz w:val="22"/>
              </w:rPr>
              <w:t>6.0</w:t>
            </w:r>
          </w:p>
        </w:tc>
        <w:tc>
          <w:tcPr>
            <w:tcW w:w="495" w:type="dxa"/>
            <w:tcBorders>
              <w:top w:val="single" w:color="auto" w:sz="4" w:space="0"/>
              <w:left w:val="single" w:color="auto" w:sz="4" w:space="0"/>
              <w:bottom w:val="single" w:color="auto" w:sz="4" w:space="0"/>
              <w:right w:val="single" w:color="auto" w:sz="4" w:space="0"/>
            </w:tcBorders>
            <w:vAlign w:val="center"/>
          </w:tcPr>
          <w:p w14:paraId="4CA2212B">
            <w:pPr>
              <w:pStyle w:val="51"/>
              <w:widowControl/>
              <w:rPr>
                <w:rFonts w:ascii="宋体" w:hAnsi="宋体" w:cs="宋体"/>
                <w:kern w:val="0"/>
                <w:sz w:val="24"/>
                <w:szCs w:val="24"/>
              </w:rPr>
            </w:pPr>
            <w:r>
              <w:rPr>
                <w:color w:val="000000"/>
                <w:kern w:val="0"/>
                <w:sz w:val="22"/>
              </w:rPr>
              <w:t>6.5</w:t>
            </w:r>
          </w:p>
        </w:tc>
        <w:tc>
          <w:tcPr>
            <w:tcW w:w="495" w:type="dxa"/>
            <w:tcBorders>
              <w:top w:val="single" w:color="auto" w:sz="4" w:space="0"/>
              <w:left w:val="single" w:color="auto" w:sz="4" w:space="0"/>
              <w:bottom w:val="single" w:color="auto" w:sz="4" w:space="0"/>
              <w:right w:val="single" w:color="auto" w:sz="4" w:space="0"/>
            </w:tcBorders>
            <w:vAlign w:val="center"/>
          </w:tcPr>
          <w:p w14:paraId="579C756E">
            <w:pPr>
              <w:pStyle w:val="51"/>
              <w:widowControl/>
              <w:rPr>
                <w:rFonts w:ascii="宋体" w:hAnsi="宋体" w:cs="宋体"/>
                <w:kern w:val="0"/>
                <w:sz w:val="24"/>
                <w:szCs w:val="24"/>
              </w:rPr>
            </w:pPr>
            <w:r>
              <w:rPr>
                <w:color w:val="000000"/>
                <w:kern w:val="0"/>
                <w:sz w:val="22"/>
              </w:rPr>
              <w:t>6.3</w:t>
            </w:r>
          </w:p>
        </w:tc>
        <w:tc>
          <w:tcPr>
            <w:tcW w:w="495" w:type="dxa"/>
            <w:tcBorders>
              <w:top w:val="single" w:color="auto" w:sz="4" w:space="0"/>
              <w:left w:val="single" w:color="auto" w:sz="4" w:space="0"/>
              <w:bottom w:val="single" w:color="auto" w:sz="4" w:space="0"/>
              <w:right w:val="single" w:color="auto" w:sz="4" w:space="0"/>
            </w:tcBorders>
            <w:vAlign w:val="center"/>
          </w:tcPr>
          <w:p w14:paraId="3D1A846F">
            <w:pPr>
              <w:pStyle w:val="51"/>
              <w:widowControl/>
              <w:rPr>
                <w:rFonts w:ascii="宋体" w:hAnsi="宋体" w:cs="宋体"/>
                <w:kern w:val="0"/>
                <w:sz w:val="24"/>
                <w:szCs w:val="24"/>
              </w:rPr>
            </w:pPr>
            <w:r>
              <w:rPr>
                <w:color w:val="000000"/>
                <w:kern w:val="0"/>
                <w:sz w:val="22"/>
              </w:rPr>
              <w:t>6.9</w:t>
            </w:r>
          </w:p>
        </w:tc>
        <w:tc>
          <w:tcPr>
            <w:tcW w:w="656" w:type="dxa"/>
            <w:tcBorders>
              <w:top w:val="single" w:color="auto" w:sz="4" w:space="0"/>
              <w:left w:val="single" w:color="auto" w:sz="4" w:space="0"/>
              <w:bottom w:val="single" w:color="auto" w:sz="4" w:space="0"/>
              <w:right w:val="single" w:color="auto" w:sz="4" w:space="0"/>
            </w:tcBorders>
            <w:vAlign w:val="center"/>
          </w:tcPr>
          <w:p w14:paraId="339F5779">
            <w:pPr>
              <w:pStyle w:val="51"/>
              <w:widowControl/>
              <w:rPr>
                <w:rFonts w:ascii="宋体" w:hAnsi="宋体" w:cs="宋体"/>
                <w:kern w:val="0"/>
                <w:sz w:val="24"/>
                <w:szCs w:val="24"/>
              </w:rPr>
            </w:pPr>
            <w:r>
              <w:rPr>
                <w:color w:val="000000"/>
                <w:kern w:val="0"/>
                <w:sz w:val="22"/>
              </w:rPr>
              <w:t>6.28</w:t>
            </w:r>
          </w:p>
        </w:tc>
      </w:tr>
      <w:tr w14:paraId="06C20E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775" w:type="dxa"/>
            <w:tcBorders>
              <w:top w:val="single" w:color="auto" w:sz="4" w:space="0"/>
              <w:left w:val="single" w:color="auto" w:sz="4" w:space="0"/>
              <w:bottom w:val="single" w:color="auto" w:sz="4" w:space="0"/>
              <w:right w:val="single" w:color="auto" w:sz="4" w:space="0"/>
            </w:tcBorders>
            <w:vAlign w:val="center"/>
          </w:tcPr>
          <w:p w14:paraId="3FC05B94">
            <w:pPr>
              <w:pStyle w:val="51"/>
              <w:widowControl/>
              <w:rPr>
                <w:rFonts w:ascii="宋体" w:hAnsi="宋体" w:cs="宋体"/>
                <w:kern w:val="0"/>
                <w:sz w:val="24"/>
                <w:szCs w:val="24"/>
              </w:rPr>
            </w:pPr>
            <w:r>
              <w:rPr>
                <w:color w:val="000000"/>
                <w:kern w:val="0"/>
                <w:sz w:val="22"/>
              </w:rPr>
              <w:t>2013.11~2016.10</w:t>
            </w:r>
            <w:r>
              <w:rPr>
                <w:color w:val="000000"/>
                <w:kern w:val="0"/>
                <w:sz w:val="22"/>
              </w:rPr>
              <w:br w:type="textWrapping"/>
            </w:r>
            <w:r>
              <w:rPr>
                <w:rFonts w:ascii="仿宋" w:hAnsi="仿宋" w:eastAsia="仿宋" w:cs="宋体"/>
                <w:color w:val="000000"/>
                <w:kern w:val="0"/>
                <w:sz w:val="22"/>
              </w:rPr>
              <w:t>（测风年）</w:t>
            </w:r>
            <w:r>
              <w:rPr>
                <w:rFonts w:ascii="宋体" w:hAnsi="宋体" w:cs="宋体"/>
                <w:color w:val="000000"/>
                <w:kern w:val="0"/>
                <w:sz w:val="22"/>
              </w:rPr>
              <w:t xml:space="preserve"> </w:t>
            </w:r>
          </w:p>
        </w:tc>
        <w:tc>
          <w:tcPr>
            <w:tcW w:w="432" w:type="dxa"/>
            <w:tcBorders>
              <w:top w:val="single" w:color="auto" w:sz="4" w:space="0"/>
              <w:left w:val="single" w:color="auto" w:sz="4" w:space="0"/>
              <w:bottom w:val="single" w:color="auto" w:sz="4" w:space="0"/>
              <w:right w:val="single" w:color="auto" w:sz="4" w:space="0"/>
            </w:tcBorders>
            <w:vAlign w:val="center"/>
          </w:tcPr>
          <w:p w14:paraId="776E3A1C">
            <w:pPr>
              <w:pStyle w:val="51"/>
              <w:widowControl/>
              <w:ind w:left="-63" w:leftChars="-30"/>
              <w:rPr>
                <w:rFonts w:ascii="宋体" w:hAnsi="宋体" w:cs="宋体"/>
                <w:kern w:val="0"/>
                <w:sz w:val="24"/>
                <w:szCs w:val="24"/>
              </w:rPr>
            </w:pPr>
            <w:r>
              <w:rPr>
                <w:color w:val="000000"/>
                <w:kern w:val="0"/>
                <w:sz w:val="22"/>
              </w:rPr>
              <w:t>6.6</w:t>
            </w:r>
          </w:p>
        </w:tc>
        <w:tc>
          <w:tcPr>
            <w:tcW w:w="495" w:type="dxa"/>
            <w:tcBorders>
              <w:top w:val="single" w:color="auto" w:sz="4" w:space="0"/>
              <w:left w:val="single" w:color="auto" w:sz="4" w:space="0"/>
              <w:bottom w:val="single" w:color="auto" w:sz="4" w:space="0"/>
              <w:right w:val="single" w:color="auto" w:sz="4" w:space="0"/>
            </w:tcBorders>
            <w:vAlign w:val="center"/>
          </w:tcPr>
          <w:p w14:paraId="6B4657B4">
            <w:pPr>
              <w:pStyle w:val="51"/>
              <w:widowControl/>
              <w:rPr>
                <w:rFonts w:ascii="宋体" w:hAnsi="宋体" w:cs="宋体"/>
                <w:kern w:val="0"/>
                <w:sz w:val="24"/>
                <w:szCs w:val="24"/>
              </w:rPr>
            </w:pPr>
            <w:r>
              <w:rPr>
                <w:color w:val="000000"/>
                <w:kern w:val="0"/>
                <w:sz w:val="22"/>
              </w:rPr>
              <w:t>6.8</w:t>
            </w:r>
          </w:p>
        </w:tc>
        <w:tc>
          <w:tcPr>
            <w:tcW w:w="495" w:type="dxa"/>
            <w:tcBorders>
              <w:top w:val="single" w:color="auto" w:sz="4" w:space="0"/>
              <w:left w:val="single" w:color="auto" w:sz="4" w:space="0"/>
              <w:bottom w:val="single" w:color="auto" w:sz="4" w:space="0"/>
              <w:right w:val="single" w:color="auto" w:sz="4" w:space="0"/>
            </w:tcBorders>
            <w:vAlign w:val="center"/>
          </w:tcPr>
          <w:p w14:paraId="2DDE245F">
            <w:pPr>
              <w:pStyle w:val="51"/>
              <w:widowControl/>
              <w:rPr>
                <w:rFonts w:ascii="宋体" w:hAnsi="宋体" w:cs="宋体"/>
                <w:kern w:val="0"/>
                <w:sz w:val="24"/>
                <w:szCs w:val="24"/>
              </w:rPr>
            </w:pPr>
            <w:r>
              <w:rPr>
                <w:color w:val="000000"/>
                <w:kern w:val="0"/>
                <w:sz w:val="22"/>
              </w:rPr>
              <w:t>6.3</w:t>
            </w:r>
          </w:p>
        </w:tc>
        <w:tc>
          <w:tcPr>
            <w:tcW w:w="495" w:type="dxa"/>
            <w:tcBorders>
              <w:top w:val="single" w:color="auto" w:sz="4" w:space="0"/>
              <w:left w:val="single" w:color="auto" w:sz="4" w:space="0"/>
              <w:bottom w:val="single" w:color="auto" w:sz="4" w:space="0"/>
              <w:right w:val="single" w:color="auto" w:sz="4" w:space="0"/>
            </w:tcBorders>
            <w:vAlign w:val="center"/>
          </w:tcPr>
          <w:p w14:paraId="1D40B914">
            <w:pPr>
              <w:pStyle w:val="51"/>
              <w:widowControl/>
              <w:rPr>
                <w:rFonts w:ascii="宋体" w:hAnsi="宋体" w:cs="宋体"/>
                <w:kern w:val="0"/>
                <w:sz w:val="24"/>
                <w:szCs w:val="24"/>
              </w:rPr>
            </w:pPr>
            <w:r>
              <w:rPr>
                <w:color w:val="000000"/>
                <w:kern w:val="0"/>
                <w:sz w:val="22"/>
              </w:rPr>
              <w:t>6.0</w:t>
            </w:r>
          </w:p>
        </w:tc>
        <w:tc>
          <w:tcPr>
            <w:tcW w:w="495" w:type="dxa"/>
            <w:tcBorders>
              <w:top w:val="single" w:color="auto" w:sz="4" w:space="0"/>
              <w:left w:val="single" w:color="auto" w:sz="4" w:space="0"/>
              <w:bottom w:val="single" w:color="auto" w:sz="4" w:space="0"/>
              <w:right w:val="single" w:color="auto" w:sz="4" w:space="0"/>
            </w:tcBorders>
            <w:vAlign w:val="center"/>
          </w:tcPr>
          <w:p w14:paraId="574B9A37">
            <w:pPr>
              <w:pStyle w:val="51"/>
              <w:widowControl/>
              <w:rPr>
                <w:rFonts w:ascii="宋体" w:hAnsi="宋体" w:cs="宋体"/>
                <w:kern w:val="0"/>
                <w:sz w:val="24"/>
                <w:szCs w:val="24"/>
              </w:rPr>
            </w:pPr>
            <w:r>
              <w:rPr>
                <w:color w:val="000000"/>
                <w:kern w:val="0"/>
                <w:sz w:val="22"/>
              </w:rPr>
              <w:t>5.6</w:t>
            </w:r>
          </w:p>
        </w:tc>
        <w:tc>
          <w:tcPr>
            <w:tcW w:w="495" w:type="dxa"/>
            <w:tcBorders>
              <w:top w:val="single" w:color="auto" w:sz="4" w:space="0"/>
              <w:left w:val="single" w:color="auto" w:sz="4" w:space="0"/>
              <w:bottom w:val="single" w:color="auto" w:sz="4" w:space="0"/>
              <w:right w:val="single" w:color="auto" w:sz="4" w:space="0"/>
            </w:tcBorders>
            <w:vAlign w:val="center"/>
          </w:tcPr>
          <w:p w14:paraId="2250F689">
            <w:pPr>
              <w:pStyle w:val="51"/>
              <w:widowControl/>
              <w:rPr>
                <w:rFonts w:ascii="宋体" w:hAnsi="宋体" w:cs="宋体"/>
                <w:kern w:val="0"/>
                <w:sz w:val="24"/>
                <w:szCs w:val="24"/>
              </w:rPr>
            </w:pPr>
            <w:r>
              <w:rPr>
                <w:color w:val="000000"/>
                <w:kern w:val="0"/>
                <w:sz w:val="22"/>
              </w:rPr>
              <w:t>5.1</w:t>
            </w:r>
          </w:p>
        </w:tc>
        <w:tc>
          <w:tcPr>
            <w:tcW w:w="495" w:type="dxa"/>
            <w:tcBorders>
              <w:top w:val="single" w:color="auto" w:sz="4" w:space="0"/>
              <w:left w:val="single" w:color="auto" w:sz="4" w:space="0"/>
              <w:bottom w:val="single" w:color="auto" w:sz="4" w:space="0"/>
              <w:right w:val="single" w:color="auto" w:sz="4" w:space="0"/>
            </w:tcBorders>
            <w:vAlign w:val="center"/>
          </w:tcPr>
          <w:p w14:paraId="08F5B276">
            <w:pPr>
              <w:pStyle w:val="51"/>
              <w:widowControl/>
              <w:rPr>
                <w:rFonts w:ascii="宋体" w:hAnsi="宋体" w:cs="宋体"/>
                <w:kern w:val="0"/>
                <w:sz w:val="24"/>
                <w:szCs w:val="24"/>
              </w:rPr>
            </w:pPr>
            <w:r>
              <w:rPr>
                <w:color w:val="000000"/>
                <w:kern w:val="0"/>
                <w:sz w:val="22"/>
              </w:rPr>
              <w:t>5.8</w:t>
            </w:r>
          </w:p>
        </w:tc>
        <w:tc>
          <w:tcPr>
            <w:tcW w:w="495" w:type="dxa"/>
            <w:tcBorders>
              <w:top w:val="single" w:color="auto" w:sz="4" w:space="0"/>
              <w:left w:val="single" w:color="auto" w:sz="4" w:space="0"/>
              <w:bottom w:val="single" w:color="auto" w:sz="4" w:space="0"/>
              <w:right w:val="single" w:color="auto" w:sz="4" w:space="0"/>
            </w:tcBorders>
            <w:vAlign w:val="center"/>
          </w:tcPr>
          <w:p w14:paraId="71F5ABD9">
            <w:pPr>
              <w:pStyle w:val="51"/>
              <w:widowControl/>
              <w:rPr>
                <w:rFonts w:ascii="宋体" w:hAnsi="宋体" w:cs="宋体"/>
                <w:kern w:val="0"/>
                <w:sz w:val="24"/>
                <w:szCs w:val="24"/>
              </w:rPr>
            </w:pPr>
            <w:r>
              <w:rPr>
                <w:color w:val="000000"/>
                <w:kern w:val="0"/>
                <w:sz w:val="22"/>
              </w:rPr>
              <w:t>5.0</w:t>
            </w:r>
          </w:p>
        </w:tc>
        <w:tc>
          <w:tcPr>
            <w:tcW w:w="495" w:type="dxa"/>
            <w:tcBorders>
              <w:top w:val="single" w:color="auto" w:sz="4" w:space="0"/>
              <w:left w:val="single" w:color="auto" w:sz="4" w:space="0"/>
              <w:bottom w:val="single" w:color="auto" w:sz="4" w:space="0"/>
              <w:right w:val="single" w:color="auto" w:sz="4" w:space="0"/>
            </w:tcBorders>
            <w:vAlign w:val="center"/>
          </w:tcPr>
          <w:p w14:paraId="14AB68C5">
            <w:pPr>
              <w:pStyle w:val="51"/>
              <w:widowControl/>
              <w:rPr>
                <w:rFonts w:ascii="宋体" w:hAnsi="宋体" w:cs="宋体"/>
                <w:kern w:val="0"/>
                <w:sz w:val="24"/>
                <w:szCs w:val="24"/>
              </w:rPr>
            </w:pPr>
            <w:r>
              <w:rPr>
                <w:color w:val="000000"/>
                <w:kern w:val="0"/>
                <w:sz w:val="22"/>
              </w:rPr>
              <w:t>5.5</w:t>
            </w:r>
          </w:p>
        </w:tc>
        <w:tc>
          <w:tcPr>
            <w:tcW w:w="495" w:type="dxa"/>
            <w:tcBorders>
              <w:top w:val="single" w:color="auto" w:sz="4" w:space="0"/>
              <w:left w:val="single" w:color="auto" w:sz="4" w:space="0"/>
              <w:bottom w:val="single" w:color="auto" w:sz="4" w:space="0"/>
              <w:right w:val="single" w:color="auto" w:sz="4" w:space="0"/>
            </w:tcBorders>
            <w:vAlign w:val="center"/>
          </w:tcPr>
          <w:p w14:paraId="1EB45BC5">
            <w:pPr>
              <w:pStyle w:val="51"/>
              <w:widowControl/>
              <w:rPr>
                <w:rFonts w:ascii="宋体" w:hAnsi="宋体" w:cs="宋体"/>
                <w:kern w:val="0"/>
                <w:sz w:val="24"/>
                <w:szCs w:val="24"/>
              </w:rPr>
            </w:pPr>
            <w:r>
              <w:rPr>
                <w:color w:val="000000"/>
                <w:kern w:val="0"/>
                <w:sz w:val="22"/>
              </w:rPr>
              <w:t>6.4</w:t>
            </w:r>
          </w:p>
        </w:tc>
        <w:tc>
          <w:tcPr>
            <w:tcW w:w="495" w:type="dxa"/>
            <w:tcBorders>
              <w:top w:val="single" w:color="auto" w:sz="4" w:space="0"/>
              <w:left w:val="single" w:color="auto" w:sz="4" w:space="0"/>
              <w:bottom w:val="single" w:color="auto" w:sz="4" w:space="0"/>
              <w:right w:val="single" w:color="auto" w:sz="4" w:space="0"/>
            </w:tcBorders>
            <w:vAlign w:val="center"/>
          </w:tcPr>
          <w:p w14:paraId="5D4E1883">
            <w:pPr>
              <w:pStyle w:val="51"/>
              <w:widowControl/>
              <w:rPr>
                <w:rFonts w:ascii="宋体" w:hAnsi="宋体" w:cs="宋体"/>
                <w:kern w:val="0"/>
                <w:sz w:val="24"/>
                <w:szCs w:val="24"/>
              </w:rPr>
            </w:pPr>
            <w:r>
              <w:rPr>
                <w:color w:val="000000"/>
                <w:kern w:val="0"/>
                <w:sz w:val="22"/>
              </w:rPr>
              <w:t>6.1</w:t>
            </w:r>
          </w:p>
        </w:tc>
        <w:tc>
          <w:tcPr>
            <w:tcW w:w="495" w:type="dxa"/>
            <w:tcBorders>
              <w:top w:val="single" w:color="auto" w:sz="4" w:space="0"/>
              <w:left w:val="single" w:color="auto" w:sz="4" w:space="0"/>
              <w:bottom w:val="single" w:color="auto" w:sz="4" w:space="0"/>
              <w:right w:val="single" w:color="auto" w:sz="4" w:space="0"/>
            </w:tcBorders>
            <w:vAlign w:val="center"/>
          </w:tcPr>
          <w:p w14:paraId="78D0AD97">
            <w:pPr>
              <w:pStyle w:val="51"/>
              <w:widowControl/>
              <w:rPr>
                <w:rFonts w:ascii="宋体" w:hAnsi="宋体" w:cs="宋体"/>
                <w:kern w:val="0"/>
                <w:sz w:val="24"/>
                <w:szCs w:val="24"/>
              </w:rPr>
            </w:pPr>
            <w:r>
              <w:rPr>
                <w:color w:val="000000"/>
                <w:kern w:val="0"/>
                <w:sz w:val="22"/>
              </w:rPr>
              <w:t>6.6</w:t>
            </w:r>
          </w:p>
        </w:tc>
        <w:tc>
          <w:tcPr>
            <w:tcW w:w="656" w:type="dxa"/>
            <w:tcBorders>
              <w:top w:val="single" w:color="auto" w:sz="4" w:space="0"/>
              <w:left w:val="single" w:color="auto" w:sz="4" w:space="0"/>
              <w:bottom w:val="single" w:color="auto" w:sz="4" w:space="0"/>
              <w:right w:val="single" w:color="auto" w:sz="4" w:space="0"/>
            </w:tcBorders>
            <w:vAlign w:val="center"/>
          </w:tcPr>
          <w:p w14:paraId="786ECB1F">
            <w:pPr>
              <w:pStyle w:val="51"/>
              <w:widowControl/>
              <w:rPr>
                <w:rFonts w:ascii="宋体" w:hAnsi="宋体" w:cs="宋体"/>
                <w:kern w:val="0"/>
                <w:sz w:val="24"/>
                <w:szCs w:val="24"/>
              </w:rPr>
            </w:pPr>
            <w:r>
              <w:rPr>
                <w:color w:val="000000"/>
                <w:kern w:val="0"/>
                <w:sz w:val="22"/>
              </w:rPr>
              <w:t>5.98</w:t>
            </w:r>
          </w:p>
        </w:tc>
      </w:tr>
    </w:tbl>
    <w:p w14:paraId="3F453689">
      <w:pPr>
        <w:pStyle w:val="51"/>
        <w:spacing w:line="560" w:lineRule="exact"/>
        <w:ind w:firstLine="567"/>
        <w:rPr>
          <w:rFonts w:ascii="宋体" w:hAnsi="宋体" w:cs="仿宋"/>
          <w:b/>
          <w:szCs w:val="21"/>
        </w:rPr>
      </w:pPr>
    </w:p>
    <w:p w14:paraId="1458060E">
      <w:pPr>
        <w:widowControl/>
        <w:ind w:firstLine="490" w:firstLineChars="175"/>
        <w:jc w:val="left"/>
        <w:outlineLvl w:val="0"/>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气象</w:t>
      </w:r>
      <w:r>
        <w:rPr>
          <w:rFonts w:ascii="仿宋" w:hAnsi="仿宋" w:eastAsia="仿宋" w:cs="宋体"/>
          <w:kern w:val="0"/>
          <w:sz w:val="28"/>
          <w:szCs w:val="28"/>
        </w:rPr>
        <w:t>概况</w:t>
      </w:r>
    </w:p>
    <w:p w14:paraId="690C6D19">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根据嵊泗气象站多年长期观测资料统计，平均气温为16.1℃，极端最高气温为36.4℃，极端最低气温为-5.7℃；多年平均大气压为1009.2hPa；多年平均湿度为79%；多年平均降水量1092.1mm，多年平均蒸发量为1327.2mm；多年平均风速为6.7m/s，多年最大风速为44.7m/s；多年平均雷暴日数为19.9天；多年平均大雾日数为53.2天。</w:t>
      </w:r>
    </w:p>
    <w:p w14:paraId="1278CEC9">
      <w:pPr>
        <w:pStyle w:val="51"/>
        <w:spacing w:line="560" w:lineRule="exact"/>
        <w:ind w:firstLine="567"/>
        <w:jc w:val="center"/>
        <w:rPr>
          <w:rFonts w:ascii="宋体" w:hAnsi="宋体" w:cs="仿宋"/>
          <w:b/>
          <w:szCs w:val="21"/>
        </w:rPr>
      </w:pPr>
      <w:r>
        <w:rPr>
          <w:rFonts w:ascii="仿宋" w:hAnsi="仿宋" w:eastAsia="仿宋"/>
          <w:color w:val="000000"/>
          <w:sz w:val="24"/>
        </w:rPr>
        <w:drawing>
          <wp:anchor distT="0" distB="0" distL="114300" distR="114300" simplePos="0" relativeHeight="251659264" behindDoc="0" locked="0" layoutInCell="1" allowOverlap="1">
            <wp:simplePos x="0" y="0"/>
            <wp:positionH relativeFrom="column">
              <wp:posOffset>132080</wp:posOffset>
            </wp:positionH>
            <wp:positionV relativeFrom="paragraph">
              <wp:posOffset>30480</wp:posOffset>
            </wp:positionV>
            <wp:extent cx="5222240" cy="3348990"/>
            <wp:effectExtent l="0" t="0" r="48" b="44"/>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222240" cy="3348990"/>
                    </a:xfrm>
                    <a:prstGeom prst="rect">
                      <a:avLst/>
                    </a:prstGeom>
                    <a:noFill/>
                    <a:ln w="9525" cap="flat" cmpd="sng">
                      <a:noFill/>
                      <a:prstDash val="solid"/>
                      <a:miter/>
                    </a:ln>
                  </pic:spPr>
                </pic:pic>
              </a:graphicData>
            </a:graphic>
          </wp:anchor>
        </w:drawing>
      </w:r>
      <w:r>
        <w:rPr>
          <w:rFonts w:ascii="仿宋" w:hAnsi="仿宋" w:eastAsia="仿宋"/>
          <w:color w:val="000000"/>
          <w:sz w:val="24"/>
        </w:rPr>
        <w:t>嵊泗气象站风向玫瑰图（C=1.0%）</w:t>
      </w:r>
    </w:p>
    <w:p w14:paraId="77E281C9">
      <w:pPr>
        <w:pStyle w:val="51"/>
        <w:ind w:firstLine="420"/>
        <w:rPr>
          <w:rFonts w:ascii="宋体" w:hAnsi="宋体" w:cs="宋体"/>
          <w:szCs w:val="21"/>
        </w:rPr>
      </w:pPr>
    </w:p>
    <w:p w14:paraId="5AF0BAA3">
      <w:pPr>
        <w:pStyle w:val="51"/>
        <w:jc w:val="center"/>
        <w:rPr>
          <w:rFonts w:ascii="宋体" w:hAnsi="宋体" w:cs="宋体"/>
          <w:szCs w:val="21"/>
        </w:rPr>
      </w:pPr>
      <w:r>
        <w:rPr>
          <w:rFonts w:ascii="宋体" w:hAnsi="宋体" w:cs="宋体"/>
          <w:szCs w:val="21"/>
        </w:rPr>
        <w:t>嵊泗气象站多年气象要素统计表</w:t>
      </w:r>
    </w:p>
    <w:tbl>
      <w:tblPr>
        <w:tblStyle w:val="1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384"/>
        <w:gridCol w:w="2552"/>
        <w:gridCol w:w="992"/>
        <w:gridCol w:w="1056"/>
        <w:gridCol w:w="2488"/>
      </w:tblGrid>
      <w:tr w14:paraId="096BEB13">
        <w:tblPrEx>
          <w:tblCellMar>
            <w:top w:w="0" w:type="dxa"/>
            <w:left w:w="108" w:type="dxa"/>
            <w:bottom w:w="0" w:type="dxa"/>
            <w:right w:w="108" w:type="dxa"/>
          </w:tblCellMar>
        </w:tblPrEx>
        <w:tc>
          <w:tcPr>
            <w:tcW w:w="3936" w:type="dxa"/>
            <w:gridSpan w:val="2"/>
            <w:tcBorders>
              <w:top w:val="single" w:color="auto" w:sz="4" w:space="0"/>
              <w:left w:val="single" w:color="auto" w:sz="4" w:space="0"/>
              <w:bottom w:val="single" w:color="auto" w:sz="4" w:space="0"/>
              <w:right w:val="single" w:color="auto" w:sz="4" w:space="0"/>
            </w:tcBorders>
            <w:vAlign w:val="center"/>
          </w:tcPr>
          <w:p w14:paraId="75B86754">
            <w:pPr>
              <w:pStyle w:val="51"/>
              <w:spacing w:line="560" w:lineRule="exact"/>
              <w:jc w:val="center"/>
              <w:rPr>
                <w:rFonts w:ascii="宋体" w:hAnsi="宋体" w:cs="仿宋"/>
                <w:szCs w:val="21"/>
              </w:rPr>
            </w:pPr>
            <w:r>
              <w:rPr>
                <w:rFonts w:ascii="宋体" w:hAnsi="宋体" w:cs="仿宋"/>
                <w:szCs w:val="21"/>
              </w:rPr>
              <w:t>项目</w:t>
            </w:r>
          </w:p>
        </w:tc>
        <w:tc>
          <w:tcPr>
            <w:tcW w:w="992" w:type="dxa"/>
            <w:tcBorders>
              <w:top w:val="single" w:color="auto" w:sz="4" w:space="0"/>
              <w:left w:val="single" w:color="auto" w:sz="4" w:space="0"/>
              <w:bottom w:val="single" w:color="auto" w:sz="4" w:space="0"/>
              <w:right w:val="single" w:color="auto" w:sz="4" w:space="0"/>
            </w:tcBorders>
            <w:vAlign w:val="center"/>
          </w:tcPr>
          <w:p w14:paraId="74D65DC3">
            <w:pPr>
              <w:pStyle w:val="51"/>
              <w:spacing w:line="560" w:lineRule="exact"/>
              <w:jc w:val="center"/>
              <w:rPr>
                <w:rFonts w:ascii="宋体" w:hAnsi="宋体" w:cs="仿宋"/>
                <w:szCs w:val="21"/>
              </w:rPr>
            </w:pPr>
            <w:r>
              <w:rPr>
                <w:rFonts w:ascii="宋体" w:hAnsi="宋体" w:cs="仿宋"/>
                <w:szCs w:val="21"/>
              </w:rPr>
              <w:t>单位</w:t>
            </w:r>
          </w:p>
        </w:tc>
        <w:tc>
          <w:tcPr>
            <w:tcW w:w="1056" w:type="dxa"/>
            <w:tcBorders>
              <w:top w:val="single" w:color="auto" w:sz="4" w:space="0"/>
              <w:left w:val="single" w:color="auto" w:sz="4" w:space="0"/>
              <w:bottom w:val="single" w:color="auto" w:sz="4" w:space="0"/>
              <w:right w:val="single" w:color="auto" w:sz="4" w:space="0"/>
            </w:tcBorders>
            <w:vAlign w:val="center"/>
          </w:tcPr>
          <w:p w14:paraId="131613E6">
            <w:pPr>
              <w:pStyle w:val="51"/>
              <w:spacing w:line="560" w:lineRule="exact"/>
              <w:jc w:val="center"/>
              <w:rPr>
                <w:rFonts w:ascii="宋体" w:hAnsi="宋体" w:cs="仿宋"/>
                <w:szCs w:val="21"/>
              </w:rPr>
            </w:pPr>
            <w:r>
              <w:rPr>
                <w:rFonts w:ascii="宋体" w:hAnsi="宋体" w:cs="仿宋"/>
                <w:szCs w:val="21"/>
              </w:rPr>
              <w:t>指标</w:t>
            </w:r>
          </w:p>
        </w:tc>
        <w:tc>
          <w:tcPr>
            <w:tcW w:w="2488" w:type="dxa"/>
            <w:tcBorders>
              <w:top w:val="single" w:color="auto" w:sz="4" w:space="0"/>
              <w:left w:val="single" w:color="auto" w:sz="4" w:space="0"/>
              <w:bottom w:val="single" w:color="auto" w:sz="4" w:space="0"/>
              <w:right w:val="single" w:color="auto" w:sz="4" w:space="0"/>
            </w:tcBorders>
            <w:vAlign w:val="center"/>
          </w:tcPr>
          <w:p w14:paraId="597BD59F">
            <w:pPr>
              <w:pStyle w:val="51"/>
              <w:spacing w:line="560" w:lineRule="exact"/>
              <w:jc w:val="center"/>
              <w:rPr>
                <w:rFonts w:ascii="宋体" w:hAnsi="宋体" w:cs="仿宋"/>
                <w:szCs w:val="21"/>
              </w:rPr>
            </w:pPr>
            <w:r>
              <w:rPr>
                <w:rFonts w:ascii="宋体" w:hAnsi="宋体" w:cs="仿宋"/>
                <w:szCs w:val="21"/>
              </w:rPr>
              <w:t>发生时间</w:t>
            </w:r>
          </w:p>
        </w:tc>
      </w:tr>
      <w:tr w14:paraId="28FA42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restart"/>
            <w:tcBorders>
              <w:top w:val="single" w:color="auto" w:sz="4" w:space="0"/>
              <w:left w:val="single" w:color="auto" w:sz="4" w:space="0"/>
              <w:right w:val="single" w:color="auto" w:sz="4" w:space="0"/>
            </w:tcBorders>
            <w:vAlign w:val="center"/>
          </w:tcPr>
          <w:p w14:paraId="2DB8F821">
            <w:pPr>
              <w:pStyle w:val="51"/>
              <w:spacing w:line="560" w:lineRule="exact"/>
              <w:jc w:val="center"/>
              <w:rPr>
                <w:rFonts w:ascii="宋体" w:hAnsi="宋体" w:cs="仿宋"/>
                <w:szCs w:val="21"/>
              </w:rPr>
            </w:pPr>
            <w:r>
              <w:rPr>
                <w:rFonts w:ascii="宋体" w:hAnsi="宋体" w:cs="仿宋"/>
                <w:szCs w:val="21"/>
              </w:rPr>
              <w:t>气温</w:t>
            </w:r>
          </w:p>
        </w:tc>
        <w:tc>
          <w:tcPr>
            <w:tcW w:w="2552" w:type="dxa"/>
            <w:tcBorders>
              <w:top w:val="single" w:color="auto" w:sz="4" w:space="0"/>
              <w:left w:val="single" w:color="auto" w:sz="4" w:space="0"/>
              <w:bottom w:val="single" w:color="auto" w:sz="4" w:space="0"/>
              <w:right w:val="single" w:color="auto" w:sz="4" w:space="0"/>
            </w:tcBorders>
          </w:tcPr>
          <w:p w14:paraId="363EF02A">
            <w:pPr>
              <w:pStyle w:val="51"/>
              <w:spacing w:line="560" w:lineRule="exact"/>
              <w:rPr>
                <w:rFonts w:ascii="宋体" w:hAnsi="宋体" w:cs="仿宋"/>
                <w:szCs w:val="21"/>
              </w:rPr>
            </w:pPr>
            <w:r>
              <w:rPr>
                <w:rFonts w:ascii="宋体" w:hAnsi="宋体" w:cs="仿宋"/>
                <w:szCs w:val="21"/>
              </w:rPr>
              <w:t>多年平均</w:t>
            </w:r>
          </w:p>
        </w:tc>
        <w:tc>
          <w:tcPr>
            <w:tcW w:w="992" w:type="dxa"/>
            <w:tcBorders>
              <w:top w:val="single" w:color="auto" w:sz="4" w:space="0"/>
              <w:left w:val="single" w:color="auto" w:sz="4" w:space="0"/>
              <w:bottom w:val="single" w:color="auto" w:sz="4" w:space="0"/>
              <w:right w:val="single" w:color="auto" w:sz="4" w:space="0"/>
            </w:tcBorders>
            <w:vAlign w:val="center"/>
          </w:tcPr>
          <w:p w14:paraId="7E29FCC7">
            <w:pPr>
              <w:pStyle w:val="51"/>
              <w:spacing w:line="560" w:lineRule="exact"/>
              <w:jc w:val="center"/>
              <w:rPr>
                <w:rFonts w:ascii="宋体" w:hAnsi="宋体" w:cs="仿宋"/>
                <w:szCs w:val="21"/>
              </w:rPr>
            </w:pPr>
            <w:r>
              <w:rPr>
                <w:rFonts w:ascii="宋体" w:hAnsi="宋体" w:cs="仿宋"/>
                <w:szCs w:val="21"/>
              </w:rPr>
              <w:t>℃</w:t>
            </w:r>
          </w:p>
        </w:tc>
        <w:tc>
          <w:tcPr>
            <w:tcW w:w="1056" w:type="dxa"/>
            <w:tcBorders>
              <w:top w:val="single" w:color="auto" w:sz="4" w:space="0"/>
              <w:left w:val="single" w:color="auto" w:sz="4" w:space="0"/>
              <w:bottom w:val="single" w:color="auto" w:sz="4" w:space="0"/>
              <w:right w:val="single" w:color="auto" w:sz="4" w:space="0"/>
            </w:tcBorders>
            <w:vAlign w:val="center"/>
          </w:tcPr>
          <w:p w14:paraId="2DB0CF51">
            <w:pPr>
              <w:pStyle w:val="51"/>
              <w:spacing w:line="560" w:lineRule="exact"/>
              <w:jc w:val="center"/>
              <w:rPr>
                <w:rFonts w:ascii="宋体" w:hAnsi="宋体" w:cs="仿宋"/>
                <w:szCs w:val="21"/>
              </w:rPr>
            </w:pPr>
            <w:r>
              <w:rPr>
                <w:rFonts w:ascii="宋体" w:hAnsi="宋体" w:cs="仿宋"/>
                <w:szCs w:val="21"/>
              </w:rPr>
              <w:t>16.1</w:t>
            </w:r>
          </w:p>
        </w:tc>
        <w:tc>
          <w:tcPr>
            <w:tcW w:w="2488" w:type="dxa"/>
            <w:tcBorders>
              <w:top w:val="single" w:color="auto" w:sz="4" w:space="0"/>
              <w:left w:val="single" w:color="auto" w:sz="4" w:space="0"/>
              <w:bottom w:val="single" w:color="auto" w:sz="4" w:space="0"/>
              <w:right w:val="single" w:color="auto" w:sz="4" w:space="0"/>
            </w:tcBorders>
            <w:vAlign w:val="center"/>
          </w:tcPr>
          <w:p w14:paraId="542405A5">
            <w:pPr>
              <w:pStyle w:val="51"/>
              <w:spacing w:line="560" w:lineRule="exact"/>
              <w:rPr>
                <w:rFonts w:ascii="宋体" w:hAnsi="宋体" w:cs="仿宋"/>
                <w:szCs w:val="21"/>
              </w:rPr>
            </w:pPr>
          </w:p>
        </w:tc>
      </w:tr>
      <w:tr w14:paraId="70A1E6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right w:val="single" w:color="auto" w:sz="4" w:space="0"/>
            </w:tcBorders>
            <w:vAlign w:val="center"/>
          </w:tcPr>
          <w:p w14:paraId="51A0CB06"/>
        </w:tc>
        <w:tc>
          <w:tcPr>
            <w:tcW w:w="2552" w:type="dxa"/>
            <w:tcBorders>
              <w:top w:val="single" w:color="auto" w:sz="4" w:space="0"/>
              <w:left w:val="single" w:color="auto" w:sz="4" w:space="0"/>
              <w:bottom w:val="single" w:color="auto" w:sz="4" w:space="0"/>
              <w:right w:val="single" w:color="auto" w:sz="4" w:space="0"/>
            </w:tcBorders>
          </w:tcPr>
          <w:p w14:paraId="60E83AA8">
            <w:pPr>
              <w:pStyle w:val="51"/>
              <w:spacing w:line="560" w:lineRule="exact"/>
              <w:rPr>
                <w:rFonts w:ascii="宋体" w:hAnsi="宋体" w:cs="仿宋"/>
                <w:szCs w:val="21"/>
              </w:rPr>
            </w:pPr>
            <w:r>
              <w:rPr>
                <w:rFonts w:ascii="宋体" w:hAnsi="宋体" w:cs="仿宋"/>
                <w:szCs w:val="21"/>
              </w:rPr>
              <w:t>多年极端最高气温</w:t>
            </w:r>
          </w:p>
        </w:tc>
        <w:tc>
          <w:tcPr>
            <w:tcW w:w="992" w:type="dxa"/>
            <w:tcBorders>
              <w:top w:val="single" w:color="auto" w:sz="4" w:space="0"/>
              <w:left w:val="single" w:color="auto" w:sz="4" w:space="0"/>
              <w:bottom w:val="single" w:color="auto" w:sz="4" w:space="0"/>
              <w:right w:val="single" w:color="auto" w:sz="4" w:space="0"/>
            </w:tcBorders>
            <w:vAlign w:val="center"/>
          </w:tcPr>
          <w:p w14:paraId="1DFCCD57">
            <w:pPr>
              <w:pStyle w:val="51"/>
              <w:spacing w:line="560" w:lineRule="exact"/>
              <w:jc w:val="center"/>
              <w:rPr>
                <w:rFonts w:ascii="宋体" w:hAnsi="宋体" w:cs="仿宋"/>
                <w:szCs w:val="21"/>
              </w:rPr>
            </w:pPr>
            <w:r>
              <w:rPr>
                <w:rFonts w:ascii="宋体" w:hAnsi="宋体" w:cs="仿宋"/>
                <w:szCs w:val="21"/>
              </w:rPr>
              <w:t>℃</w:t>
            </w:r>
          </w:p>
        </w:tc>
        <w:tc>
          <w:tcPr>
            <w:tcW w:w="1056" w:type="dxa"/>
            <w:tcBorders>
              <w:top w:val="single" w:color="auto" w:sz="4" w:space="0"/>
              <w:left w:val="single" w:color="auto" w:sz="4" w:space="0"/>
              <w:bottom w:val="single" w:color="auto" w:sz="4" w:space="0"/>
              <w:right w:val="single" w:color="auto" w:sz="4" w:space="0"/>
            </w:tcBorders>
            <w:vAlign w:val="center"/>
          </w:tcPr>
          <w:p w14:paraId="42258C9B">
            <w:pPr>
              <w:pStyle w:val="51"/>
              <w:spacing w:line="560" w:lineRule="exact"/>
              <w:jc w:val="center"/>
              <w:rPr>
                <w:rFonts w:ascii="宋体" w:hAnsi="宋体" w:cs="仿宋"/>
                <w:szCs w:val="21"/>
              </w:rPr>
            </w:pPr>
            <w:r>
              <w:rPr>
                <w:rFonts w:ascii="宋体" w:hAnsi="宋体" w:cs="仿宋"/>
                <w:szCs w:val="21"/>
              </w:rPr>
              <w:t>36.4</w:t>
            </w:r>
          </w:p>
        </w:tc>
        <w:tc>
          <w:tcPr>
            <w:tcW w:w="2488" w:type="dxa"/>
            <w:tcBorders>
              <w:top w:val="single" w:color="auto" w:sz="4" w:space="0"/>
              <w:left w:val="single" w:color="auto" w:sz="4" w:space="0"/>
              <w:bottom w:val="single" w:color="auto" w:sz="4" w:space="0"/>
              <w:right w:val="single" w:color="auto" w:sz="4" w:space="0"/>
            </w:tcBorders>
            <w:vAlign w:val="center"/>
          </w:tcPr>
          <w:p w14:paraId="17A4EB8B">
            <w:pPr>
              <w:pStyle w:val="51"/>
              <w:spacing w:line="560" w:lineRule="exact"/>
              <w:rPr>
                <w:rFonts w:ascii="宋体" w:hAnsi="宋体" w:cs="仿宋"/>
                <w:szCs w:val="21"/>
              </w:rPr>
            </w:pPr>
            <w:r>
              <w:rPr>
                <w:rFonts w:ascii="宋体" w:hAnsi="宋体" w:cs="仿宋"/>
                <w:szCs w:val="21"/>
              </w:rPr>
              <w:t>1998年8月15日</w:t>
            </w:r>
          </w:p>
        </w:tc>
      </w:tr>
      <w:tr w14:paraId="14694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bottom w:val="single" w:color="auto" w:sz="4" w:space="0"/>
              <w:right w:val="single" w:color="auto" w:sz="4" w:space="0"/>
            </w:tcBorders>
            <w:vAlign w:val="center"/>
          </w:tcPr>
          <w:p w14:paraId="6230158B"/>
        </w:tc>
        <w:tc>
          <w:tcPr>
            <w:tcW w:w="2552" w:type="dxa"/>
            <w:tcBorders>
              <w:top w:val="single" w:color="auto" w:sz="4" w:space="0"/>
              <w:left w:val="single" w:color="auto" w:sz="4" w:space="0"/>
              <w:bottom w:val="single" w:color="auto" w:sz="4" w:space="0"/>
              <w:right w:val="single" w:color="auto" w:sz="4" w:space="0"/>
            </w:tcBorders>
          </w:tcPr>
          <w:p w14:paraId="0D2F7BCA">
            <w:pPr>
              <w:pStyle w:val="51"/>
              <w:spacing w:line="560" w:lineRule="exact"/>
              <w:rPr>
                <w:rFonts w:ascii="宋体" w:hAnsi="宋体" w:cs="仿宋"/>
                <w:szCs w:val="21"/>
              </w:rPr>
            </w:pPr>
            <w:r>
              <w:rPr>
                <w:rFonts w:ascii="宋体" w:hAnsi="宋体" w:cs="仿宋"/>
                <w:szCs w:val="21"/>
              </w:rPr>
              <w:t>多年极端最</w:t>
            </w:r>
            <w:r>
              <w:rPr>
                <w:rFonts w:hint="eastAsia" w:ascii="宋体" w:hAnsi="宋体" w:cs="仿宋"/>
                <w:szCs w:val="21"/>
              </w:rPr>
              <w:t>低</w:t>
            </w:r>
            <w:r>
              <w:rPr>
                <w:rFonts w:ascii="宋体" w:hAnsi="宋体" w:cs="仿宋"/>
                <w:szCs w:val="21"/>
              </w:rPr>
              <w:t>气温</w:t>
            </w:r>
          </w:p>
        </w:tc>
        <w:tc>
          <w:tcPr>
            <w:tcW w:w="992" w:type="dxa"/>
            <w:tcBorders>
              <w:top w:val="single" w:color="auto" w:sz="4" w:space="0"/>
              <w:left w:val="single" w:color="auto" w:sz="4" w:space="0"/>
              <w:bottom w:val="single" w:color="auto" w:sz="4" w:space="0"/>
              <w:right w:val="single" w:color="auto" w:sz="4" w:space="0"/>
            </w:tcBorders>
            <w:vAlign w:val="center"/>
          </w:tcPr>
          <w:p w14:paraId="061328CC">
            <w:pPr>
              <w:pStyle w:val="51"/>
              <w:spacing w:line="560" w:lineRule="exact"/>
              <w:jc w:val="center"/>
              <w:rPr>
                <w:rFonts w:ascii="宋体" w:hAnsi="宋体" w:cs="仿宋"/>
                <w:szCs w:val="21"/>
              </w:rPr>
            </w:pPr>
            <w:r>
              <w:rPr>
                <w:rFonts w:ascii="宋体" w:hAnsi="宋体" w:cs="仿宋"/>
                <w:szCs w:val="21"/>
              </w:rPr>
              <w:t>℃</w:t>
            </w:r>
          </w:p>
        </w:tc>
        <w:tc>
          <w:tcPr>
            <w:tcW w:w="1056" w:type="dxa"/>
            <w:tcBorders>
              <w:top w:val="single" w:color="auto" w:sz="4" w:space="0"/>
              <w:left w:val="single" w:color="auto" w:sz="4" w:space="0"/>
              <w:bottom w:val="single" w:color="auto" w:sz="4" w:space="0"/>
              <w:right w:val="single" w:color="auto" w:sz="4" w:space="0"/>
            </w:tcBorders>
            <w:vAlign w:val="center"/>
          </w:tcPr>
          <w:p w14:paraId="626D75FE">
            <w:pPr>
              <w:pStyle w:val="51"/>
              <w:spacing w:line="560" w:lineRule="exact"/>
              <w:jc w:val="center"/>
              <w:rPr>
                <w:rFonts w:ascii="宋体" w:hAnsi="宋体" w:cs="仿宋"/>
                <w:szCs w:val="21"/>
              </w:rPr>
            </w:pPr>
            <w:r>
              <w:rPr>
                <w:rFonts w:ascii="宋体" w:hAnsi="宋体" w:cs="仿宋"/>
                <w:szCs w:val="21"/>
              </w:rPr>
              <w:t>-5.7</w:t>
            </w:r>
          </w:p>
        </w:tc>
        <w:tc>
          <w:tcPr>
            <w:tcW w:w="2488" w:type="dxa"/>
            <w:tcBorders>
              <w:top w:val="single" w:color="auto" w:sz="4" w:space="0"/>
              <w:left w:val="single" w:color="auto" w:sz="4" w:space="0"/>
              <w:bottom w:val="single" w:color="auto" w:sz="4" w:space="0"/>
              <w:right w:val="single" w:color="auto" w:sz="4" w:space="0"/>
            </w:tcBorders>
            <w:vAlign w:val="center"/>
          </w:tcPr>
          <w:p w14:paraId="2EFD3558">
            <w:pPr>
              <w:pStyle w:val="51"/>
              <w:spacing w:line="560" w:lineRule="exact"/>
              <w:rPr>
                <w:rFonts w:ascii="宋体" w:hAnsi="宋体" w:cs="仿宋"/>
                <w:szCs w:val="21"/>
              </w:rPr>
            </w:pPr>
            <w:r>
              <w:rPr>
                <w:rFonts w:ascii="宋体" w:hAnsi="宋体" w:cs="仿宋"/>
                <w:szCs w:val="21"/>
              </w:rPr>
              <w:t>1991年12月28日</w:t>
            </w:r>
          </w:p>
        </w:tc>
      </w:tr>
      <w:tr w14:paraId="2ED76F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vAlign w:val="center"/>
          </w:tcPr>
          <w:p w14:paraId="7EA1EF9D">
            <w:pPr>
              <w:pStyle w:val="51"/>
              <w:spacing w:line="560" w:lineRule="exact"/>
              <w:jc w:val="center"/>
              <w:rPr>
                <w:rFonts w:ascii="宋体" w:hAnsi="宋体" w:cs="仿宋"/>
                <w:szCs w:val="21"/>
              </w:rPr>
            </w:pPr>
            <w:r>
              <w:rPr>
                <w:rFonts w:ascii="宋体" w:hAnsi="宋体" w:cs="仿宋"/>
                <w:szCs w:val="21"/>
              </w:rPr>
              <w:t>气压</w:t>
            </w:r>
          </w:p>
        </w:tc>
        <w:tc>
          <w:tcPr>
            <w:tcW w:w="2552" w:type="dxa"/>
            <w:tcBorders>
              <w:top w:val="single" w:color="auto" w:sz="4" w:space="0"/>
              <w:left w:val="single" w:color="auto" w:sz="4" w:space="0"/>
              <w:bottom w:val="single" w:color="auto" w:sz="4" w:space="0"/>
              <w:right w:val="single" w:color="auto" w:sz="4" w:space="0"/>
            </w:tcBorders>
          </w:tcPr>
          <w:p w14:paraId="6EA29A3C">
            <w:pPr>
              <w:pStyle w:val="51"/>
              <w:spacing w:line="560" w:lineRule="exact"/>
              <w:rPr>
                <w:rFonts w:ascii="宋体" w:hAnsi="宋体" w:cs="仿宋"/>
                <w:szCs w:val="21"/>
              </w:rPr>
            </w:pPr>
            <w:r>
              <w:rPr>
                <w:rFonts w:ascii="宋体" w:hAnsi="宋体" w:cs="仿宋"/>
                <w:szCs w:val="21"/>
              </w:rPr>
              <w:t>多年平均大气压</w:t>
            </w:r>
          </w:p>
        </w:tc>
        <w:tc>
          <w:tcPr>
            <w:tcW w:w="992" w:type="dxa"/>
            <w:tcBorders>
              <w:top w:val="single" w:color="auto" w:sz="4" w:space="0"/>
              <w:left w:val="single" w:color="auto" w:sz="4" w:space="0"/>
              <w:bottom w:val="single" w:color="auto" w:sz="4" w:space="0"/>
              <w:right w:val="single" w:color="auto" w:sz="4" w:space="0"/>
            </w:tcBorders>
            <w:vAlign w:val="center"/>
          </w:tcPr>
          <w:p w14:paraId="202C79CC">
            <w:pPr>
              <w:pStyle w:val="51"/>
              <w:spacing w:line="560" w:lineRule="exact"/>
              <w:jc w:val="center"/>
              <w:rPr>
                <w:rFonts w:ascii="宋体" w:hAnsi="宋体" w:cs="仿宋"/>
                <w:szCs w:val="21"/>
              </w:rPr>
            </w:pPr>
            <w:r>
              <w:rPr>
                <w:rFonts w:ascii="宋体" w:hAnsi="宋体" w:cs="仿宋"/>
                <w:szCs w:val="21"/>
              </w:rPr>
              <w:t>hPa</w:t>
            </w:r>
          </w:p>
        </w:tc>
        <w:tc>
          <w:tcPr>
            <w:tcW w:w="1056" w:type="dxa"/>
            <w:tcBorders>
              <w:top w:val="single" w:color="auto" w:sz="4" w:space="0"/>
              <w:left w:val="single" w:color="auto" w:sz="4" w:space="0"/>
              <w:bottom w:val="single" w:color="auto" w:sz="4" w:space="0"/>
              <w:right w:val="single" w:color="auto" w:sz="4" w:space="0"/>
            </w:tcBorders>
            <w:vAlign w:val="center"/>
          </w:tcPr>
          <w:p w14:paraId="1EFF11FA">
            <w:pPr>
              <w:pStyle w:val="51"/>
              <w:spacing w:line="560" w:lineRule="exact"/>
              <w:jc w:val="center"/>
              <w:rPr>
                <w:rFonts w:ascii="宋体" w:hAnsi="宋体" w:cs="仿宋"/>
                <w:szCs w:val="21"/>
              </w:rPr>
            </w:pPr>
            <w:r>
              <w:rPr>
                <w:rFonts w:ascii="宋体" w:hAnsi="宋体" w:cs="仿宋"/>
                <w:szCs w:val="21"/>
              </w:rPr>
              <w:t>1009.2</w:t>
            </w:r>
          </w:p>
        </w:tc>
        <w:tc>
          <w:tcPr>
            <w:tcW w:w="2488" w:type="dxa"/>
            <w:tcBorders>
              <w:top w:val="single" w:color="auto" w:sz="4" w:space="0"/>
              <w:left w:val="single" w:color="auto" w:sz="4" w:space="0"/>
              <w:bottom w:val="single" w:color="auto" w:sz="4" w:space="0"/>
              <w:right w:val="single" w:color="auto" w:sz="4" w:space="0"/>
            </w:tcBorders>
            <w:vAlign w:val="center"/>
          </w:tcPr>
          <w:p w14:paraId="461EE096">
            <w:pPr>
              <w:pStyle w:val="51"/>
              <w:spacing w:line="560" w:lineRule="exact"/>
              <w:rPr>
                <w:rFonts w:ascii="宋体" w:hAnsi="宋体" w:cs="仿宋"/>
                <w:szCs w:val="21"/>
              </w:rPr>
            </w:pPr>
          </w:p>
        </w:tc>
      </w:tr>
      <w:tr w14:paraId="5FB1BC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restart"/>
            <w:tcBorders>
              <w:top w:val="single" w:color="auto" w:sz="4" w:space="0"/>
              <w:left w:val="single" w:color="auto" w:sz="4" w:space="0"/>
              <w:right w:val="single" w:color="auto" w:sz="4" w:space="0"/>
            </w:tcBorders>
            <w:vAlign w:val="center"/>
          </w:tcPr>
          <w:p w14:paraId="6A78CBD7">
            <w:pPr>
              <w:pStyle w:val="51"/>
              <w:spacing w:line="560" w:lineRule="exact"/>
              <w:jc w:val="center"/>
              <w:rPr>
                <w:rFonts w:ascii="宋体" w:hAnsi="宋体" w:cs="仿宋"/>
                <w:szCs w:val="21"/>
              </w:rPr>
            </w:pPr>
            <w:r>
              <w:rPr>
                <w:rFonts w:ascii="宋体" w:hAnsi="宋体" w:cs="仿宋"/>
                <w:szCs w:val="21"/>
              </w:rPr>
              <w:t>湿度</w:t>
            </w:r>
          </w:p>
        </w:tc>
        <w:tc>
          <w:tcPr>
            <w:tcW w:w="2552" w:type="dxa"/>
            <w:tcBorders>
              <w:top w:val="single" w:color="auto" w:sz="4" w:space="0"/>
              <w:left w:val="single" w:color="auto" w:sz="4" w:space="0"/>
              <w:bottom w:val="single" w:color="auto" w:sz="4" w:space="0"/>
              <w:right w:val="single" w:color="auto" w:sz="4" w:space="0"/>
            </w:tcBorders>
          </w:tcPr>
          <w:p w14:paraId="13C450A2">
            <w:pPr>
              <w:pStyle w:val="51"/>
              <w:spacing w:line="560" w:lineRule="exact"/>
              <w:rPr>
                <w:rFonts w:ascii="宋体" w:hAnsi="宋体" w:cs="仿宋"/>
                <w:szCs w:val="21"/>
              </w:rPr>
            </w:pPr>
            <w:r>
              <w:rPr>
                <w:rFonts w:ascii="宋体" w:hAnsi="宋体" w:cs="仿宋"/>
                <w:szCs w:val="21"/>
              </w:rPr>
              <w:t>年平均相对湿度</w:t>
            </w:r>
          </w:p>
        </w:tc>
        <w:tc>
          <w:tcPr>
            <w:tcW w:w="992" w:type="dxa"/>
            <w:tcBorders>
              <w:top w:val="single" w:color="auto" w:sz="4" w:space="0"/>
              <w:left w:val="single" w:color="auto" w:sz="4" w:space="0"/>
              <w:bottom w:val="single" w:color="auto" w:sz="4" w:space="0"/>
              <w:right w:val="single" w:color="auto" w:sz="4" w:space="0"/>
            </w:tcBorders>
            <w:vAlign w:val="center"/>
          </w:tcPr>
          <w:p w14:paraId="0E3E7694">
            <w:pPr>
              <w:pStyle w:val="51"/>
              <w:spacing w:line="560" w:lineRule="exact"/>
              <w:jc w:val="center"/>
              <w:rPr>
                <w:rFonts w:ascii="宋体" w:hAnsi="宋体" w:cs="仿宋"/>
                <w:szCs w:val="21"/>
              </w:rPr>
            </w:pPr>
            <w:r>
              <w:rPr>
                <w:rFonts w:ascii="宋体" w:hAnsi="宋体" w:cs="仿宋"/>
                <w:szCs w:val="21"/>
              </w:rPr>
              <w:t>%</w:t>
            </w:r>
          </w:p>
        </w:tc>
        <w:tc>
          <w:tcPr>
            <w:tcW w:w="1056" w:type="dxa"/>
            <w:tcBorders>
              <w:top w:val="single" w:color="auto" w:sz="4" w:space="0"/>
              <w:left w:val="single" w:color="auto" w:sz="4" w:space="0"/>
              <w:bottom w:val="single" w:color="auto" w:sz="4" w:space="0"/>
              <w:right w:val="single" w:color="auto" w:sz="4" w:space="0"/>
            </w:tcBorders>
            <w:vAlign w:val="center"/>
          </w:tcPr>
          <w:p w14:paraId="180D88AF">
            <w:pPr>
              <w:pStyle w:val="51"/>
              <w:spacing w:line="560" w:lineRule="exact"/>
              <w:jc w:val="center"/>
              <w:rPr>
                <w:rFonts w:ascii="宋体" w:hAnsi="宋体" w:cs="仿宋"/>
                <w:szCs w:val="21"/>
              </w:rPr>
            </w:pPr>
            <w:r>
              <w:rPr>
                <w:rFonts w:ascii="宋体" w:hAnsi="宋体" w:cs="仿宋"/>
                <w:szCs w:val="21"/>
              </w:rPr>
              <w:t>79</w:t>
            </w:r>
          </w:p>
        </w:tc>
        <w:tc>
          <w:tcPr>
            <w:tcW w:w="2488" w:type="dxa"/>
            <w:tcBorders>
              <w:top w:val="single" w:color="auto" w:sz="4" w:space="0"/>
              <w:left w:val="single" w:color="auto" w:sz="4" w:space="0"/>
              <w:bottom w:val="single" w:color="auto" w:sz="4" w:space="0"/>
              <w:right w:val="single" w:color="auto" w:sz="4" w:space="0"/>
            </w:tcBorders>
            <w:vAlign w:val="center"/>
          </w:tcPr>
          <w:p w14:paraId="1B05A638">
            <w:pPr>
              <w:pStyle w:val="51"/>
              <w:spacing w:line="560" w:lineRule="exact"/>
              <w:rPr>
                <w:rFonts w:ascii="宋体" w:hAnsi="宋体" w:cs="仿宋"/>
                <w:szCs w:val="21"/>
              </w:rPr>
            </w:pPr>
          </w:p>
        </w:tc>
      </w:tr>
      <w:tr w14:paraId="08DD95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bottom w:val="single" w:color="auto" w:sz="4" w:space="0"/>
              <w:right w:val="single" w:color="auto" w:sz="4" w:space="0"/>
            </w:tcBorders>
            <w:vAlign w:val="center"/>
          </w:tcPr>
          <w:p w14:paraId="66F49707"/>
        </w:tc>
        <w:tc>
          <w:tcPr>
            <w:tcW w:w="2552" w:type="dxa"/>
            <w:tcBorders>
              <w:top w:val="single" w:color="auto" w:sz="4" w:space="0"/>
              <w:left w:val="single" w:color="auto" w:sz="4" w:space="0"/>
              <w:bottom w:val="single" w:color="auto" w:sz="4" w:space="0"/>
              <w:right w:val="single" w:color="auto" w:sz="4" w:space="0"/>
            </w:tcBorders>
          </w:tcPr>
          <w:p w14:paraId="34F53D4F">
            <w:pPr>
              <w:pStyle w:val="51"/>
              <w:spacing w:line="560" w:lineRule="exact"/>
              <w:rPr>
                <w:rFonts w:ascii="宋体" w:hAnsi="宋体" w:cs="仿宋"/>
                <w:szCs w:val="21"/>
              </w:rPr>
            </w:pPr>
            <w:r>
              <w:rPr>
                <w:rFonts w:ascii="宋体" w:hAnsi="宋体" w:cs="仿宋"/>
                <w:szCs w:val="21"/>
              </w:rPr>
              <w:t>极端最小相对湿度</w:t>
            </w:r>
          </w:p>
        </w:tc>
        <w:tc>
          <w:tcPr>
            <w:tcW w:w="992" w:type="dxa"/>
            <w:tcBorders>
              <w:top w:val="single" w:color="auto" w:sz="4" w:space="0"/>
              <w:left w:val="single" w:color="auto" w:sz="4" w:space="0"/>
              <w:bottom w:val="single" w:color="auto" w:sz="4" w:space="0"/>
              <w:right w:val="single" w:color="auto" w:sz="4" w:space="0"/>
            </w:tcBorders>
            <w:vAlign w:val="center"/>
          </w:tcPr>
          <w:p w14:paraId="0D2F4599">
            <w:pPr>
              <w:pStyle w:val="51"/>
              <w:spacing w:line="560" w:lineRule="exact"/>
              <w:jc w:val="center"/>
              <w:rPr>
                <w:rFonts w:ascii="宋体" w:hAnsi="宋体" w:cs="仿宋"/>
                <w:szCs w:val="21"/>
              </w:rPr>
            </w:pPr>
            <w:r>
              <w:rPr>
                <w:rFonts w:ascii="宋体" w:hAnsi="宋体" w:cs="仿宋"/>
                <w:szCs w:val="21"/>
              </w:rPr>
              <w:t>%</w:t>
            </w:r>
          </w:p>
        </w:tc>
        <w:tc>
          <w:tcPr>
            <w:tcW w:w="1056" w:type="dxa"/>
            <w:tcBorders>
              <w:top w:val="single" w:color="auto" w:sz="4" w:space="0"/>
              <w:left w:val="single" w:color="auto" w:sz="4" w:space="0"/>
              <w:bottom w:val="single" w:color="auto" w:sz="4" w:space="0"/>
              <w:right w:val="single" w:color="auto" w:sz="4" w:space="0"/>
            </w:tcBorders>
            <w:vAlign w:val="center"/>
          </w:tcPr>
          <w:p w14:paraId="4AA6E130">
            <w:pPr>
              <w:pStyle w:val="51"/>
              <w:spacing w:line="560" w:lineRule="exact"/>
              <w:jc w:val="center"/>
              <w:rPr>
                <w:rFonts w:ascii="宋体" w:hAnsi="宋体" w:cs="仿宋"/>
                <w:szCs w:val="21"/>
              </w:rPr>
            </w:pPr>
            <w:r>
              <w:rPr>
                <w:rFonts w:ascii="宋体" w:hAnsi="宋体" w:cs="仿宋"/>
                <w:szCs w:val="21"/>
              </w:rPr>
              <w:t>13</w:t>
            </w:r>
          </w:p>
        </w:tc>
        <w:tc>
          <w:tcPr>
            <w:tcW w:w="2488" w:type="dxa"/>
            <w:tcBorders>
              <w:top w:val="single" w:color="auto" w:sz="4" w:space="0"/>
              <w:left w:val="single" w:color="auto" w:sz="4" w:space="0"/>
              <w:bottom w:val="single" w:color="auto" w:sz="4" w:space="0"/>
              <w:right w:val="single" w:color="auto" w:sz="4" w:space="0"/>
            </w:tcBorders>
            <w:vAlign w:val="center"/>
          </w:tcPr>
          <w:p w14:paraId="3F9A04E8">
            <w:pPr>
              <w:pStyle w:val="51"/>
              <w:spacing w:line="560" w:lineRule="exact"/>
              <w:rPr>
                <w:rFonts w:ascii="宋体" w:hAnsi="宋体" w:cs="仿宋"/>
                <w:szCs w:val="21"/>
              </w:rPr>
            </w:pPr>
            <w:r>
              <w:rPr>
                <w:rFonts w:ascii="宋体" w:hAnsi="宋体" w:cs="仿宋"/>
                <w:szCs w:val="21"/>
              </w:rPr>
              <w:t>1997年5月17日</w:t>
            </w:r>
          </w:p>
        </w:tc>
      </w:tr>
      <w:tr w14:paraId="00B32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vAlign w:val="center"/>
          </w:tcPr>
          <w:p w14:paraId="112D5216">
            <w:pPr>
              <w:pStyle w:val="51"/>
              <w:spacing w:line="560" w:lineRule="exact"/>
              <w:jc w:val="center"/>
              <w:rPr>
                <w:rFonts w:ascii="宋体" w:hAnsi="宋体" w:cs="仿宋"/>
                <w:szCs w:val="21"/>
              </w:rPr>
            </w:pPr>
            <w:r>
              <w:rPr>
                <w:rFonts w:ascii="宋体" w:hAnsi="宋体" w:cs="仿宋"/>
                <w:szCs w:val="21"/>
              </w:rPr>
              <w:t>水汽压</w:t>
            </w:r>
          </w:p>
        </w:tc>
        <w:tc>
          <w:tcPr>
            <w:tcW w:w="2552" w:type="dxa"/>
            <w:tcBorders>
              <w:top w:val="single" w:color="auto" w:sz="4" w:space="0"/>
              <w:left w:val="single" w:color="auto" w:sz="4" w:space="0"/>
              <w:bottom w:val="single" w:color="auto" w:sz="4" w:space="0"/>
              <w:right w:val="single" w:color="auto" w:sz="4" w:space="0"/>
            </w:tcBorders>
          </w:tcPr>
          <w:p w14:paraId="4F42554D">
            <w:pPr>
              <w:pStyle w:val="51"/>
              <w:spacing w:line="560" w:lineRule="exact"/>
              <w:rPr>
                <w:rFonts w:ascii="宋体" w:hAnsi="宋体" w:cs="仿宋"/>
                <w:szCs w:val="21"/>
              </w:rPr>
            </w:pPr>
            <w:r>
              <w:rPr>
                <w:rFonts w:ascii="宋体" w:hAnsi="宋体" w:cs="仿宋"/>
                <w:szCs w:val="21"/>
              </w:rPr>
              <w:t>多年平均水汽压</w:t>
            </w:r>
          </w:p>
        </w:tc>
        <w:tc>
          <w:tcPr>
            <w:tcW w:w="992" w:type="dxa"/>
            <w:tcBorders>
              <w:top w:val="single" w:color="auto" w:sz="4" w:space="0"/>
              <w:left w:val="single" w:color="auto" w:sz="4" w:space="0"/>
              <w:bottom w:val="single" w:color="auto" w:sz="4" w:space="0"/>
              <w:right w:val="single" w:color="auto" w:sz="4" w:space="0"/>
            </w:tcBorders>
            <w:vAlign w:val="center"/>
          </w:tcPr>
          <w:p w14:paraId="201F5311">
            <w:pPr>
              <w:pStyle w:val="51"/>
              <w:spacing w:line="560" w:lineRule="exact"/>
              <w:jc w:val="center"/>
              <w:rPr>
                <w:rFonts w:ascii="宋体" w:hAnsi="宋体" w:cs="仿宋"/>
                <w:szCs w:val="21"/>
              </w:rPr>
            </w:pPr>
            <w:r>
              <w:rPr>
                <w:rFonts w:ascii="宋体" w:hAnsi="宋体" w:cs="仿宋"/>
                <w:szCs w:val="21"/>
              </w:rPr>
              <w:t>hPa</w:t>
            </w:r>
          </w:p>
        </w:tc>
        <w:tc>
          <w:tcPr>
            <w:tcW w:w="1056" w:type="dxa"/>
            <w:tcBorders>
              <w:top w:val="single" w:color="auto" w:sz="4" w:space="0"/>
              <w:left w:val="single" w:color="auto" w:sz="4" w:space="0"/>
              <w:bottom w:val="single" w:color="auto" w:sz="4" w:space="0"/>
              <w:right w:val="single" w:color="auto" w:sz="4" w:space="0"/>
            </w:tcBorders>
            <w:vAlign w:val="center"/>
          </w:tcPr>
          <w:p w14:paraId="29B70DBF">
            <w:pPr>
              <w:pStyle w:val="51"/>
              <w:spacing w:line="560" w:lineRule="exact"/>
              <w:jc w:val="center"/>
              <w:rPr>
                <w:rFonts w:ascii="宋体" w:hAnsi="宋体" w:cs="仿宋"/>
                <w:szCs w:val="21"/>
              </w:rPr>
            </w:pPr>
            <w:r>
              <w:rPr>
                <w:rFonts w:ascii="宋体" w:hAnsi="宋体" w:cs="仿宋"/>
                <w:szCs w:val="21"/>
              </w:rPr>
              <w:t>16.5</w:t>
            </w:r>
          </w:p>
        </w:tc>
        <w:tc>
          <w:tcPr>
            <w:tcW w:w="2488" w:type="dxa"/>
            <w:tcBorders>
              <w:top w:val="single" w:color="auto" w:sz="4" w:space="0"/>
              <w:left w:val="single" w:color="auto" w:sz="4" w:space="0"/>
              <w:bottom w:val="single" w:color="auto" w:sz="4" w:space="0"/>
              <w:right w:val="single" w:color="auto" w:sz="4" w:space="0"/>
            </w:tcBorders>
            <w:vAlign w:val="center"/>
          </w:tcPr>
          <w:p w14:paraId="79FE4168">
            <w:pPr>
              <w:pStyle w:val="51"/>
              <w:spacing w:line="560" w:lineRule="exact"/>
              <w:rPr>
                <w:rFonts w:ascii="宋体" w:hAnsi="宋体" w:cs="仿宋"/>
                <w:szCs w:val="21"/>
              </w:rPr>
            </w:pPr>
          </w:p>
        </w:tc>
      </w:tr>
      <w:tr w14:paraId="554E79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restart"/>
            <w:tcBorders>
              <w:top w:val="single" w:color="auto" w:sz="4" w:space="0"/>
              <w:left w:val="single" w:color="auto" w:sz="4" w:space="0"/>
              <w:right w:val="single" w:color="auto" w:sz="4" w:space="0"/>
            </w:tcBorders>
            <w:vAlign w:val="center"/>
          </w:tcPr>
          <w:p w14:paraId="165944C4">
            <w:pPr>
              <w:pStyle w:val="51"/>
              <w:spacing w:line="560" w:lineRule="exact"/>
              <w:jc w:val="center"/>
              <w:rPr>
                <w:rFonts w:ascii="宋体" w:hAnsi="宋体" w:cs="仿宋"/>
                <w:szCs w:val="21"/>
              </w:rPr>
            </w:pPr>
            <w:r>
              <w:rPr>
                <w:rFonts w:ascii="宋体" w:hAnsi="宋体" w:cs="仿宋"/>
                <w:szCs w:val="21"/>
              </w:rPr>
              <w:t>降蒸量</w:t>
            </w:r>
          </w:p>
        </w:tc>
        <w:tc>
          <w:tcPr>
            <w:tcW w:w="2552" w:type="dxa"/>
            <w:tcBorders>
              <w:top w:val="single" w:color="auto" w:sz="4" w:space="0"/>
              <w:left w:val="single" w:color="auto" w:sz="4" w:space="0"/>
              <w:bottom w:val="single" w:color="auto" w:sz="4" w:space="0"/>
              <w:right w:val="single" w:color="auto" w:sz="4" w:space="0"/>
            </w:tcBorders>
          </w:tcPr>
          <w:p w14:paraId="795DADCB">
            <w:pPr>
              <w:pStyle w:val="51"/>
              <w:spacing w:line="560" w:lineRule="exact"/>
              <w:rPr>
                <w:rFonts w:ascii="宋体" w:hAnsi="宋体" w:cs="仿宋"/>
                <w:szCs w:val="21"/>
              </w:rPr>
            </w:pPr>
            <w:r>
              <w:rPr>
                <w:rFonts w:ascii="宋体" w:hAnsi="宋体" w:cs="仿宋"/>
                <w:szCs w:val="21"/>
              </w:rPr>
              <w:t>多年平均</w:t>
            </w:r>
            <w:r>
              <w:rPr>
                <w:rFonts w:hint="eastAsia" w:ascii="宋体" w:hAnsi="宋体" w:cs="仿宋"/>
                <w:szCs w:val="21"/>
              </w:rPr>
              <w:t>降雨</w:t>
            </w:r>
            <w:r>
              <w:rPr>
                <w:rFonts w:ascii="宋体" w:hAnsi="宋体" w:cs="仿宋"/>
                <w:szCs w:val="21"/>
              </w:rPr>
              <w:t>量</w:t>
            </w:r>
          </w:p>
        </w:tc>
        <w:tc>
          <w:tcPr>
            <w:tcW w:w="992" w:type="dxa"/>
            <w:tcBorders>
              <w:top w:val="single" w:color="auto" w:sz="4" w:space="0"/>
              <w:left w:val="single" w:color="auto" w:sz="4" w:space="0"/>
              <w:bottom w:val="single" w:color="auto" w:sz="4" w:space="0"/>
              <w:right w:val="single" w:color="auto" w:sz="4" w:space="0"/>
            </w:tcBorders>
            <w:vAlign w:val="center"/>
          </w:tcPr>
          <w:p w14:paraId="1103D765">
            <w:pPr>
              <w:pStyle w:val="51"/>
              <w:spacing w:line="560" w:lineRule="exact"/>
              <w:jc w:val="center"/>
              <w:rPr>
                <w:rFonts w:ascii="宋体" w:hAnsi="宋体" w:cs="仿宋"/>
                <w:szCs w:val="21"/>
              </w:rPr>
            </w:pPr>
            <w:r>
              <w:rPr>
                <w:rFonts w:ascii="宋体" w:hAnsi="宋体" w:cs="仿宋"/>
                <w:szCs w:val="21"/>
              </w:rPr>
              <w:t>mm</w:t>
            </w:r>
          </w:p>
        </w:tc>
        <w:tc>
          <w:tcPr>
            <w:tcW w:w="1056" w:type="dxa"/>
            <w:tcBorders>
              <w:top w:val="single" w:color="auto" w:sz="4" w:space="0"/>
              <w:left w:val="single" w:color="auto" w:sz="4" w:space="0"/>
              <w:bottom w:val="single" w:color="auto" w:sz="4" w:space="0"/>
              <w:right w:val="single" w:color="auto" w:sz="4" w:space="0"/>
            </w:tcBorders>
            <w:vAlign w:val="center"/>
          </w:tcPr>
          <w:p w14:paraId="4B1F3B70">
            <w:pPr>
              <w:pStyle w:val="51"/>
              <w:spacing w:line="560" w:lineRule="exact"/>
              <w:jc w:val="center"/>
              <w:rPr>
                <w:rFonts w:ascii="宋体" w:hAnsi="宋体" w:cs="仿宋"/>
                <w:szCs w:val="21"/>
              </w:rPr>
            </w:pPr>
            <w:r>
              <w:rPr>
                <w:rFonts w:ascii="宋体" w:hAnsi="宋体" w:cs="仿宋"/>
                <w:szCs w:val="21"/>
              </w:rPr>
              <w:t>1092.1</w:t>
            </w:r>
          </w:p>
        </w:tc>
        <w:tc>
          <w:tcPr>
            <w:tcW w:w="2488" w:type="dxa"/>
            <w:tcBorders>
              <w:top w:val="single" w:color="auto" w:sz="4" w:space="0"/>
              <w:left w:val="single" w:color="auto" w:sz="4" w:space="0"/>
              <w:bottom w:val="single" w:color="auto" w:sz="4" w:space="0"/>
              <w:right w:val="single" w:color="auto" w:sz="4" w:space="0"/>
            </w:tcBorders>
            <w:vAlign w:val="center"/>
          </w:tcPr>
          <w:p w14:paraId="35D8C405">
            <w:pPr>
              <w:pStyle w:val="51"/>
              <w:spacing w:line="560" w:lineRule="exact"/>
              <w:rPr>
                <w:rFonts w:ascii="宋体" w:hAnsi="宋体" w:cs="仿宋"/>
                <w:szCs w:val="21"/>
              </w:rPr>
            </w:pPr>
          </w:p>
        </w:tc>
      </w:tr>
      <w:tr w14:paraId="7CD9B9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bottom w:val="single" w:color="auto" w:sz="4" w:space="0"/>
              <w:right w:val="single" w:color="auto" w:sz="4" w:space="0"/>
            </w:tcBorders>
            <w:vAlign w:val="center"/>
          </w:tcPr>
          <w:p w14:paraId="45C555B8"/>
        </w:tc>
        <w:tc>
          <w:tcPr>
            <w:tcW w:w="2552" w:type="dxa"/>
            <w:tcBorders>
              <w:top w:val="single" w:color="auto" w:sz="4" w:space="0"/>
              <w:left w:val="single" w:color="auto" w:sz="4" w:space="0"/>
              <w:bottom w:val="single" w:color="auto" w:sz="4" w:space="0"/>
              <w:right w:val="single" w:color="auto" w:sz="4" w:space="0"/>
            </w:tcBorders>
          </w:tcPr>
          <w:p w14:paraId="16BAAC66">
            <w:pPr>
              <w:pStyle w:val="51"/>
              <w:spacing w:line="560" w:lineRule="exact"/>
              <w:rPr>
                <w:rFonts w:ascii="宋体" w:hAnsi="宋体" w:cs="仿宋"/>
                <w:szCs w:val="21"/>
              </w:rPr>
            </w:pPr>
            <w:r>
              <w:rPr>
                <w:rFonts w:ascii="宋体" w:hAnsi="宋体" w:cs="仿宋"/>
                <w:szCs w:val="21"/>
              </w:rPr>
              <w:t>多年平均蒸发量</w:t>
            </w:r>
          </w:p>
        </w:tc>
        <w:tc>
          <w:tcPr>
            <w:tcW w:w="992" w:type="dxa"/>
            <w:tcBorders>
              <w:top w:val="single" w:color="auto" w:sz="4" w:space="0"/>
              <w:left w:val="single" w:color="auto" w:sz="4" w:space="0"/>
              <w:bottom w:val="single" w:color="auto" w:sz="4" w:space="0"/>
              <w:right w:val="single" w:color="auto" w:sz="4" w:space="0"/>
            </w:tcBorders>
            <w:vAlign w:val="center"/>
          </w:tcPr>
          <w:p w14:paraId="23D074FA">
            <w:pPr>
              <w:pStyle w:val="51"/>
              <w:spacing w:line="560" w:lineRule="exact"/>
              <w:jc w:val="center"/>
              <w:rPr>
                <w:rFonts w:ascii="宋体" w:hAnsi="宋体" w:cs="仿宋"/>
                <w:szCs w:val="21"/>
              </w:rPr>
            </w:pPr>
            <w:r>
              <w:rPr>
                <w:rFonts w:ascii="宋体" w:hAnsi="宋体" w:cs="仿宋"/>
                <w:szCs w:val="21"/>
              </w:rPr>
              <w:t>mm</w:t>
            </w:r>
          </w:p>
        </w:tc>
        <w:tc>
          <w:tcPr>
            <w:tcW w:w="1056" w:type="dxa"/>
            <w:tcBorders>
              <w:top w:val="single" w:color="auto" w:sz="4" w:space="0"/>
              <w:left w:val="single" w:color="auto" w:sz="4" w:space="0"/>
              <w:bottom w:val="single" w:color="auto" w:sz="4" w:space="0"/>
              <w:right w:val="single" w:color="auto" w:sz="4" w:space="0"/>
            </w:tcBorders>
            <w:vAlign w:val="center"/>
          </w:tcPr>
          <w:p w14:paraId="00FD7567">
            <w:pPr>
              <w:pStyle w:val="51"/>
              <w:spacing w:line="560" w:lineRule="exact"/>
              <w:jc w:val="center"/>
              <w:rPr>
                <w:rFonts w:ascii="宋体" w:hAnsi="宋体" w:cs="仿宋"/>
                <w:szCs w:val="21"/>
              </w:rPr>
            </w:pPr>
            <w:r>
              <w:rPr>
                <w:rFonts w:ascii="宋体" w:hAnsi="宋体" w:cs="仿宋"/>
                <w:szCs w:val="21"/>
              </w:rPr>
              <w:t>1327.2</w:t>
            </w:r>
          </w:p>
        </w:tc>
        <w:tc>
          <w:tcPr>
            <w:tcW w:w="2488" w:type="dxa"/>
            <w:tcBorders>
              <w:top w:val="single" w:color="auto" w:sz="6" w:space="0"/>
              <w:left w:val="single" w:color="auto" w:sz="6" w:space="0"/>
              <w:right w:val="single" w:color="auto" w:sz="6" w:space="0"/>
            </w:tcBorders>
            <w:vAlign w:val="center"/>
          </w:tcPr>
          <w:p w14:paraId="39A9E6DA">
            <w:pPr>
              <w:pStyle w:val="51"/>
              <w:spacing w:line="560" w:lineRule="exact"/>
              <w:rPr>
                <w:rFonts w:ascii="宋体" w:hAnsi="宋体" w:cs="仿宋"/>
                <w:szCs w:val="21"/>
              </w:rPr>
            </w:pPr>
          </w:p>
        </w:tc>
      </w:tr>
      <w:tr w14:paraId="40F44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restart"/>
            <w:tcBorders>
              <w:top w:val="single" w:color="auto" w:sz="4" w:space="0"/>
              <w:left w:val="single" w:color="auto" w:sz="4" w:space="0"/>
              <w:right w:val="single" w:color="auto" w:sz="4" w:space="0"/>
            </w:tcBorders>
            <w:vAlign w:val="center"/>
          </w:tcPr>
          <w:p w14:paraId="1B2F06DA">
            <w:pPr>
              <w:pStyle w:val="51"/>
              <w:spacing w:line="560" w:lineRule="exact"/>
              <w:jc w:val="center"/>
              <w:rPr>
                <w:rFonts w:ascii="宋体" w:hAnsi="宋体" w:cs="仿宋"/>
                <w:szCs w:val="21"/>
              </w:rPr>
            </w:pPr>
            <w:r>
              <w:rPr>
                <w:rFonts w:ascii="宋体" w:hAnsi="宋体" w:cs="仿宋"/>
                <w:szCs w:val="21"/>
              </w:rPr>
              <w:t>风速风向</w:t>
            </w:r>
          </w:p>
        </w:tc>
        <w:tc>
          <w:tcPr>
            <w:tcW w:w="2552" w:type="dxa"/>
            <w:tcBorders>
              <w:top w:val="single" w:color="auto" w:sz="4" w:space="0"/>
              <w:left w:val="single" w:color="auto" w:sz="4" w:space="0"/>
              <w:bottom w:val="single" w:color="auto" w:sz="4" w:space="0"/>
              <w:right w:val="single" w:color="auto" w:sz="4" w:space="0"/>
            </w:tcBorders>
          </w:tcPr>
          <w:p w14:paraId="6354B1DE">
            <w:pPr>
              <w:pStyle w:val="51"/>
              <w:spacing w:line="560" w:lineRule="exact"/>
              <w:rPr>
                <w:rFonts w:ascii="宋体" w:hAnsi="宋体" w:cs="仿宋"/>
                <w:szCs w:val="21"/>
              </w:rPr>
            </w:pPr>
            <w:r>
              <w:rPr>
                <w:rFonts w:ascii="宋体" w:hAnsi="宋体" w:cs="仿宋"/>
                <w:szCs w:val="21"/>
              </w:rPr>
              <w:t>多年平均风速</w:t>
            </w:r>
          </w:p>
        </w:tc>
        <w:tc>
          <w:tcPr>
            <w:tcW w:w="992" w:type="dxa"/>
            <w:tcBorders>
              <w:top w:val="single" w:color="auto" w:sz="4" w:space="0"/>
              <w:left w:val="single" w:color="auto" w:sz="4" w:space="0"/>
              <w:bottom w:val="single" w:color="auto" w:sz="4" w:space="0"/>
              <w:right w:val="single" w:color="auto" w:sz="4" w:space="0"/>
            </w:tcBorders>
            <w:vAlign w:val="center"/>
          </w:tcPr>
          <w:p w14:paraId="0B3FD378">
            <w:pPr>
              <w:pStyle w:val="51"/>
              <w:spacing w:line="560" w:lineRule="exact"/>
              <w:jc w:val="center"/>
              <w:rPr>
                <w:rFonts w:ascii="宋体" w:hAnsi="宋体" w:cs="仿宋"/>
                <w:szCs w:val="21"/>
              </w:rPr>
            </w:pPr>
            <w:r>
              <w:rPr>
                <w:rFonts w:ascii="宋体" w:hAnsi="宋体" w:cs="仿宋"/>
                <w:szCs w:val="21"/>
              </w:rPr>
              <w:t>m/s</w:t>
            </w:r>
          </w:p>
        </w:tc>
        <w:tc>
          <w:tcPr>
            <w:tcW w:w="1056" w:type="dxa"/>
            <w:tcBorders>
              <w:top w:val="single" w:color="auto" w:sz="4" w:space="0"/>
              <w:left w:val="single" w:color="auto" w:sz="4" w:space="0"/>
              <w:bottom w:val="single" w:color="auto" w:sz="4" w:space="0"/>
              <w:right w:val="single" w:color="auto" w:sz="4" w:space="0"/>
            </w:tcBorders>
            <w:vAlign w:val="center"/>
          </w:tcPr>
          <w:p w14:paraId="38935DC8">
            <w:pPr>
              <w:pStyle w:val="51"/>
              <w:spacing w:line="560" w:lineRule="exact"/>
              <w:jc w:val="center"/>
              <w:rPr>
                <w:rFonts w:ascii="宋体" w:hAnsi="宋体" w:cs="仿宋"/>
                <w:szCs w:val="21"/>
              </w:rPr>
            </w:pPr>
            <w:r>
              <w:rPr>
                <w:rFonts w:ascii="宋体" w:hAnsi="宋体" w:cs="仿宋"/>
                <w:szCs w:val="21"/>
              </w:rPr>
              <w:t>6.7</w:t>
            </w:r>
          </w:p>
        </w:tc>
        <w:tc>
          <w:tcPr>
            <w:tcW w:w="2488" w:type="dxa"/>
            <w:tcBorders>
              <w:top w:val="single" w:color="auto" w:sz="4" w:space="0"/>
              <w:left w:val="single" w:color="auto" w:sz="4" w:space="0"/>
              <w:bottom w:val="single" w:color="auto" w:sz="4" w:space="0"/>
              <w:right w:val="single" w:color="auto" w:sz="4" w:space="0"/>
            </w:tcBorders>
            <w:vAlign w:val="center"/>
          </w:tcPr>
          <w:p w14:paraId="78404B14">
            <w:pPr>
              <w:pStyle w:val="51"/>
              <w:spacing w:line="560" w:lineRule="exact"/>
              <w:rPr>
                <w:rFonts w:ascii="宋体" w:hAnsi="宋体" w:cs="仿宋"/>
                <w:szCs w:val="21"/>
              </w:rPr>
            </w:pPr>
          </w:p>
        </w:tc>
      </w:tr>
      <w:tr w14:paraId="2B36B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right w:val="single" w:color="auto" w:sz="4" w:space="0"/>
            </w:tcBorders>
            <w:vAlign w:val="center"/>
          </w:tcPr>
          <w:p w14:paraId="1A77360E"/>
        </w:tc>
        <w:tc>
          <w:tcPr>
            <w:tcW w:w="2552" w:type="dxa"/>
            <w:tcBorders>
              <w:top w:val="single" w:color="auto" w:sz="4" w:space="0"/>
              <w:left w:val="single" w:color="auto" w:sz="4" w:space="0"/>
              <w:bottom w:val="single" w:color="auto" w:sz="4" w:space="0"/>
              <w:right w:val="single" w:color="auto" w:sz="4" w:space="0"/>
            </w:tcBorders>
          </w:tcPr>
          <w:p w14:paraId="016B5857">
            <w:pPr>
              <w:pStyle w:val="51"/>
              <w:spacing w:line="560" w:lineRule="exact"/>
              <w:rPr>
                <w:rFonts w:ascii="宋体" w:hAnsi="宋体" w:cs="仿宋"/>
                <w:szCs w:val="21"/>
              </w:rPr>
            </w:pPr>
            <w:r>
              <w:rPr>
                <w:rFonts w:ascii="宋体" w:hAnsi="宋体" w:cs="仿宋"/>
                <w:szCs w:val="21"/>
              </w:rPr>
              <w:t>多年主导风向</w:t>
            </w:r>
          </w:p>
        </w:tc>
        <w:tc>
          <w:tcPr>
            <w:tcW w:w="992" w:type="dxa"/>
            <w:tcBorders>
              <w:top w:val="single" w:color="auto" w:sz="4" w:space="0"/>
              <w:left w:val="single" w:color="auto" w:sz="4" w:space="0"/>
              <w:bottom w:val="single" w:color="auto" w:sz="4" w:space="0"/>
              <w:right w:val="single" w:color="auto" w:sz="4" w:space="0"/>
            </w:tcBorders>
            <w:vAlign w:val="center"/>
          </w:tcPr>
          <w:p w14:paraId="6BEF2CA8">
            <w:pPr>
              <w:pStyle w:val="51"/>
              <w:spacing w:line="560" w:lineRule="exact"/>
              <w:jc w:val="center"/>
              <w:rPr>
                <w:rFonts w:ascii="宋体" w:hAnsi="宋体" w:cs="仿宋"/>
                <w:szCs w:val="21"/>
              </w:rPr>
            </w:pPr>
          </w:p>
        </w:tc>
        <w:tc>
          <w:tcPr>
            <w:tcW w:w="1056" w:type="dxa"/>
            <w:tcBorders>
              <w:top w:val="single" w:color="auto" w:sz="6" w:space="0"/>
              <w:left w:val="single" w:color="auto" w:sz="6" w:space="0"/>
              <w:bottom w:val="single" w:color="auto" w:sz="6" w:space="0"/>
              <w:right w:val="single" w:color="auto" w:sz="6" w:space="0"/>
            </w:tcBorders>
            <w:vAlign w:val="center"/>
          </w:tcPr>
          <w:p w14:paraId="7AF5C013">
            <w:pPr>
              <w:pStyle w:val="51"/>
              <w:spacing w:line="560" w:lineRule="exact"/>
              <w:jc w:val="center"/>
              <w:rPr>
                <w:rFonts w:ascii="宋体" w:hAnsi="宋体" w:cs="仿宋"/>
                <w:szCs w:val="21"/>
              </w:rPr>
            </w:pPr>
            <w:r>
              <w:rPr>
                <w:rFonts w:ascii="宋体" w:hAnsi="宋体" w:cs="仿宋"/>
                <w:szCs w:val="21"/>
              </w:rPr>
              <w:t>NNW</w:t>
            </w:r>
          </w:p>
        </w:tc>
        <w:tc>
          <w:tcPr>
            <w:tcW w:w="2488" w:type="dxa"/>
            <w:tcBorders>
              <w:top w:val="single" w:color="auto" w:sz="6" w:space="0"/>
              <w:left w:val="single" w:color="auto" w:sz="6" w:space="0"/>
              <w:right w:val="single" w:color="auto" w:sz="6" w:space="0"/>
            </w:tcBorders>
            <w:vAlign w:val="center"/>
          </w:tcPr>
          <w:p w14:paraId="42DC070C">
            <w:pPr>
              <w:pStyle w:val="51"/>
              <w:spacing w:line="560" w:lineRule="exact"/>
              <w:rPr>
                <w:rFonts w:ascii="宋体" w:hAnsi="宋体" w:cs="仿宋"/>
                <w:szCs w:val="21"/>
              </w:rPr>
            </w:pPr>
          </w:p>
        </w:tc>
      </w:tr>
      <w:tr w14:paraId="6C8A20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right w:val="single" w:color="auto" w:sz="4" w:space="0"/>
            </w:tcBorders>
            <w:vAlign w:val="center"/>
          </w:tcPr>
          <w:p w14:paraId="01F89717"/>
        </w:tc>
        <w:tc>
          <w:tcPr>
            <w:tcW w:w="2552" w:type="dxa"/>
            <w:tcBorders>
              <w:top w:val="single" w:color="auto" w:sz="4" w:space="0"/>
              <w:left w:val="single" w:color="auto" w:sz="4" w:space="0"/>
              <w:bottom w:val="single" w:color="auto" w:sz="4" w:space="0"/>
              <w:right w:val="single" w:color="auto" w:sz="4" w:space="0"/>
            </w:tcBorders>
          </w:tcPr>
          <w:p w14:paraId="70785E53">
            <w:pPr>
              <w:pStyle w:val="51"/>
              <w:spacing w:line="560" w:lineRule="exact"/>
              <w:rPr>
                <w:rFonts w:ascii="宋体" w:hAnsi="宋体" w:cs="仿宋"/>
                <w:szCs w:val="21"/>
              </w:rPr>
            </w:pPr>
            <w:r>
              <w:rPr>
                <w:rFonts w:ascii="宋体" w:hAnsi="宋体" w:cs="仿宋"/>
                <w:szCs w:val="21"/>
              </w:rPr>
              <w:t>最大风速</w:t>
            </w:r>
          </w:p>
        </w:tc>
        <w:tc>
          <w:tcPr>
            <w:tcW w:w="992" w:type="dxa"/>
            <w:tcBorders>
              <w:top w:val="single" w:color="auto" w:sz="4" w:space="0"/>
              <w:left w:val="single" w:color="auto" w:sz="4" w:space="0"/>
              <w:bottom w:val="single" w:color="auto" w:sz="4" w:space="0"/>
              <w:right w:val="single" w:color="auto" w:sz="4" w:space="0"/>
            </w:tcBorders>
            <w:vAlign w:val="center"/>
          </w:tcPr>
          <w:p w14:paraId="6E7228C4">
            <w:pPr>
              <w:pStyle w:val="51"/>
              <w:spacing w:line="560" w:lineRule="exact"/>
              <w:jc w:val="center"/>
              <w:rPr>
                <w:rFonts w:ascii="宋体" w:hAnsi="宋体" w:cs="仿宋"/>
                <w:szCs w:val="21"/>
              </w:rPr>
            </w:pPr>
            <w:r>
              <w:rPr>
                <w:rFonts w:ascii="宋体" w:hAnsi="宋体" w:cs="仿宋"/>
                <w:szCs w:val="21"/>
              </w:rPr>
              <w:t>m/s</w:t>
            </w:r>
          </w:p>
        </w:tc>
        <w:tc>
          <w:tcPr>
            <w:tcW w:w="1056" w:type="dxa"/>
            <w:tcBorders>
              <w:top w:val="single" w:color="auto" w:sz="4" w:space="0"/>
              <w:left w:val="single" w:color="auto" w:sz="4" w:space="0"/>
              <w:bottom w:val="single" w:color="auto" w:sz="4" w:space="0"/>
              <w:right w:val="single" w:color="auto" w:sz="4" w:space="0"/>
            </w:tcBorders>
            <w:vAlign w:val="center"/>
          </w:tcPr>
          <w:p w14:paraId="00E5B8B4">
            <w:pPr>
              <w:pStyle w:val="51"/>
              <w:spacing w:line="560" w:lineRule="exact"/>
              <w:jc w:val="center"/>
              <w:rPr>
                <w:rFonts w:ascii="宋体" w:hAnsi="宋体" w:cs="仿宋"/>
                <w:szCs w:val="21"/>
              </w:rPr>
            </w:pPr>
            <w:r>
              <w:rPr>
                <w:rFonts w:ascii="宋体" w:hAnsi="宋体" w:cs="仿宋"/>
                <w:szCs w:val="21"/>
              </w:rPr>
              <w:t>44.7</w:t>
            </w:r>
          </w:p>
        </w:tc>
        <w:tc>
          <w:tcPr>
            <w:tcW w:w="2488" w:type="dxa"/>
            <w:tcBorders>
              <w:top w:val="single" w:color="auto" w:sz="4" w:space="0"/>
              <w:left w:val="single" w:color="auto" w:sz="4" w:space="0"/>
              <w:bottom w:val="single" w:color="auto" w:sz="4" w:space="0"/>
              <w:right w:val="single" w:color="auto" w:sz="4" w:space="0"/>
            </w:tcBorders>
            <w:vAlign w:val="center"/>
          </w:tcPr>
          <w:p w14:paraId="79E08604">
            <w:pPr>
              <w:pStyle w:val="51"/>
              <w:spacing w:line="560" w:lineRule="exact"/>
              <w:rPr>
                <w:rFonts w:ascii="宋体" w:hAnsi="宋体" w:cs="仿宋"/>
                <w:szCs w:val="21"/>
              </w:rPr>
            </w:pPr>
            <w:r>
              <w:rPr>
                <w:rFonts w:ascii="宋体" w:hAnsi="宋体" w:cs="仿宋"/>
                <w:szCs w:val="21"/>
              </w:rPr>
              <w:t>1986年8月27日</w:t>
            </w:r>
          </w:p>
        </w:tc>
      </w:tr>
      <w:tr w14:paraId="53E49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bottom w:val="single" w:color="auto" w:sz="4" w:space="0"/>
              <w:right w:val="single" w:color="auto" w:sz="4" w:space="0"/>
            </w:tcBorders>
            <w:vAlign w:val="center"/>
          </w:tcPr>
          <w:p w14:paraId="74EBB6AF"/>
        </w:tc>
        <w:tc>
          <w:tcPr>
            <w:tcW w:w="2552" w:type="dxa"/>
            <w:tcBorders>
              <w:top w:val="single" w:color="auto" w:sz="4" w:space="0"/>
              <w:left w:val="single" w:color="auto" w:sz="4" w:space="0"/>
              <w:bottom w:val="single" w:color="auto" w:sz="4" w:space="0"/>
              <w:right w:val="single" w:color="auto" w:sz="4" w:space="0"/>
            </w:tcBorders>
          </w:tcPr>
          <w:p w14:paraId="5F05AD60">
            <w:pPr>
              <w:pStyle w:val="51"/>
              <w:spacing w:line="560" w:lineRule="exact"/>
              <w:rPr>
                <w:rFonts w:ascii="宋体" w:hAnsi="宋体" w:cs="仿宋"/>
                <w:szCs w:val="21"/>
              </w:rPr>
            </w:pPr>
            <w:r>
              <w:rPr>
                <w:rFonts w:ascii="宋体" w:hAnsi="宋体" w:cs="仿宋"/>
                <w:szCs w:val="21"/>
              </w:rPr>
              <w:t>相应风向</w:t>
            </w:r>
          </w:p>
        </w:tc>
        <w:tc>
          <w:tcPr>
            <w:tcW w:w="992" w:type="dxa"/>
            <w:tcBorders>
              <w:top w:val="single" w:color="auto" w:sz="4" w:space="0"/>
              <w:left w:val="single" w:color="auto" w:sz="4" w:space="0"/>
              <w:bottom w:val="single" w:color="auto" w:sz="4" w:space="0"/>
              <w:right w:val="single" w:color="auto" w:sz="4" w:space="0"/>
            </w:tcBorders>
            <w:vAlign w:val="center"/>
          </w:tcPr>
          <w:p w14:paraId="1F3C210B">
            <w:pPr>
              <w:pStyle w:val="51"/>
              <w:spacing w:line="560" w:lineRule="exact"/>
              <w:jc w:val="center"/>
              <w:rPr>
                <w:rFonts w:ascii="宋体" w:hAnsi="宋体" w:cs="仿宋"/>
                <w:szCs w:val="21"/>
              </w:rPr>
            </w:pPr>
          </w:p>
        </w:tc>
        <w:tc>
          <w:tcPr>
            <w:tcW w:w="1056" w:type="dxa"/>
            <w:tcBorders>
              <w:top w:val="single" w:color="auto" w:sz="6" w:space="0"/>
              <w:left w:val="single" w:color="auto" w:sz="6" w:space="0"/>
              <w:bottom w:val="single" w:color="auto" w:sz="6" w:space="0"/>
              <w:right w:val="single" w:color="auto" w:sz="6" w:space="0"/>
            </w:tcBorders>
            <w:vAlign w:val="center"/>
          </w:tcPr>
          <w:p w14:paraId="79D3D70C">
            <w:pPr>
              <w:pStyle w:val="51"/>
              <w:spacing w:line="560" w:lineRule="exact"/>
              <w:jc w:val="center"/>
              <w:rPr>
                <w:rFonts w:ascii="宋体" w:hAnsi="宋体" w:cs="仿宋"/>
                <w:szCs w:val="21"/>
              </w:rPr>
            </w:pPr>
            <w:r>
              <w:rPr>
                <w:rFonts w:ascii="宋体" w:hAnsi="宋体" w:cs="仿宋"/>
                <w:szCs w:val="21"/>
              </w:rPr>
              <w:t>NNE</w:t>
            </w:r>
          </w:p>
        </w:tc>
        <w:tc>
          <w:tcPr>
            <w:tcW w:w="2488" w:type="dxa"/>
            <w:tcBorders>
              <w:top w:val="single" w:color="auto" w:sz="6" w:space="0"/>
              <w:left w:val="single" w:color="auto" w:sz="6" w:space="0"/>
              <w:right w:val="single" w:color="auto" w:sz="6" w:space="0"/>
            </w:tcBorders>
            <w:vAlign w:val="center"/>
          </w:tcPr>
          <w:p w14:paraId="6F1AA720">
            <w:pPr>
              <w:pStyle w:val="51"/>
              <w:spacing w:line="560" w:lineRule="exact"/>
              <w:rPr>
                <w:rFonts w:ascii="宋体" w:hAnsi="宋体" w:cs="仿宋"/>
                <w:szCs w:val="21"/>
              </w:rPr>
            </w:pPr>
          </w:p>
        </w:tc>
      </w:tr>
      <w:tr w14:paraId="6CC020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restart"/>
            <w:tcBorders>
              <w:top w:val="single" w:color="auto" w:sz="4" w:space="0"/>
              <w:left w:val="single" w:color="auto" w:sz="4" w:space="0"/>
              <w:right w:val="single" w:color="auto" w:sz="4" w:space="0"/>
            </w:tcBorders>
            <w:vAlign w:val="center"/>
          </w:tcPr>
          <w:p w14:paraId="2ACF9D7B">
            <w:pPr>
              <w:pStyle w:val="51"/>
              <w:spacing w:line="560" w:lineRule="exact"/>
              <w:jc w:val="center"/>
              <w:rPr>
                <w:rFonts w:ascii="宋体" w:hAnsi="宋体" w:cs="仿宋"/>
                <w:szCs w:val="21"/>
              </w:rPr>
            </w:pPr>
            <w:r>
              <w:rPr>
                <w:rFonts w:ascii="宋体" w:hAnsi="宋体" w:cs="仿宋"/>
                <w:szCs w:val="21"/>
              </w:rPr>
              <w:t>特殊性</w:t>
            </w:r>
          </w:p>
          <w:p w14:paraId="0F79D4D2">
            <w:pPr>
              <w:pStyle w:val="51"/>
              <w:spacing w:line="560" w:lineRule="exact"/>
              <w:jc w:val="center"/>
              <w:rPr>
                <w:rFonts w:ascii="宋体" w:hAnsi="宋体" w:cs="仿宋"/>
                <w:szCs w:val="21"/>
              </w:rPr>
            </w:pPr>
            <w:r>
              <w:rPr>
                <w:rFonts w:ascii="宋体" w:hAnsi="宋体" w:cs="仿宋"/>
                <w:szCs w:val="21"/>
              </w:rPr>
              <w:t>天气</w:t>
            </w:r>
          </w:p>
        </w:tc>
        <w:tc>
          <w:tcPr>
            <w:tcW w:w="2552" w:type="dxa"/>
            <w:tcBorders>
              <w:top w:val="single" w:color="auto" w:sz="4" w:space="0"/>
              <w:left w:val="single" w:color="auto" w:sz="4" w:space="0"/>
              <w:bottom w:val="single" w:color="auto" w:sz="4" w:space="0"/>
              <w:right w:val="single" w:color="auto" w:sz="4" w:space="0"/>
            </w:tcBorders>
          </w:tcPr>
          <w:p w14:paraId="321E2815">
            <w:pPr>
              <w:pStyle w:val="51"/>
              <w:spacing w:line="560" w:lineRule="exact"/>
              <w:rPr>
                <w:rFonts w:ascii="宋体" w:hAnsi="宋体" w:cs="仿宋"/>
                <w:szCs w:val="21"/>
              </w:rPr>
            </w:pPr>
            <w:r>
              <w:rPr>
                <w:rFonts w:ascii="宋体" w:hAnsi="宋体" w:cs="仿宋"/>
                <w:szCs w:val="21"/>
              </w:rPr>
              <w:t>年平均雷暴日数</w:t>
            </w:r>
          </w:p>
        </w:tc>
        <w:tc>
          <w:tcPr>
            <w:tcW w:w="992" w:type="dxa"/>
            <w:tcBorders>
              <w:top w:val="single" w:color="auto" w:sz="4" w:space="0"/>
              <w:left w:val="single" w:color="auto" w:sz="4" w:space="0"/>
              <w:bottom w:val="single" w:color="auto" w:sz="4" w:space="0"/>
              <w:right w:val="single" w:color="auto" w:sz="4" w:space="0"/>
            </w:tcBorders>
            <w:vAlign w:val="center"/>
          </w:tcPr>
          <w:p w14:paraId="4B9E20C5">
            <w:pPr>
              <w:pStyle w:val="51"/>
              <w:spacing w:line="560" w:lineRule="exact"/>
              <w:jc w:val="center"/>
              <w:rPr>
                <w:rFonts w:ascii="宋体" w:hAnsi="宋体" w:cs="仿宋"/>
                <w:szCs w:val="21"/>
              </w:rPr>
            </w:pPr>
            <w:r>
              <w:rPr>
                <w:rFonts w:ascii="宋体" w:hAnsi="宋体" w:cs="仿宋"/>
                <w:szCs w:val="21"/>
              </w:rPr>
              <w:t>d</w:t>
            </w:r>
          </w:p>
        </w:tc>
        <w:tc>
          <w:tcPr>
            <w:tcW w:w="1056" w:type="dxa"/>
            <w:tcBorders>
              <w:top w:val="single" w:color="auto" w:sz="4" w:space="0"/>
              <w:left w:val="single" w:color="auto" w:sz="4" w:space="0"/>
              <w:bottom w:val="single" w:color="auto" w:sz="4" w:space="0"/>
              <w:right w:val="single" w:color="auto" w:sz="4" w:space="0"/>
            </w:tcBorders>
            <w:vAlign w:val="center"/>
          </w:tcPr>
          <w:p w14:paraId="662D8B80">
            <w:pPr>
              <w:pStyle w:val="51"/>
              <w:spacing w:line="560" w:lineRule="exact"/>
              <w:jc w:val="center"/>
              <w:rPr>
                <w:rFonts w:ascii="宋体" w:hAnsi="宋体" w:cs="仿宋"/>
                <w:szCs w:val="21"/>
              </w:rPr>
            </w:pPr>
            <w:r>
              <w:rPr>
                <w:rFonts w:ascii="宋体" w:hAnsi="宋体" w:cs="仿宋"/>
                <w:szCs w:val="21"/>
              </w:rPr>
              <w:t>19.9</w:t>
            </w:r>
          </w:p>
        </w:tc>
        <w:tc>
          <w:tcPr>
            <w:tcW w:w="2488" w:type="dxa"/>
            <w:tcBorders>
              <w:top w:val="single" w:color="auto" w:sz="4" w:space="0"/>
              <w:left w:val="single" w:color="auto" w:sz="4" w:space="0"/>
              <w:bottom w:val="single" w:color="auto" w:sz="4" w:space="0"/>
              <w:right w:val="single" w:color="auto" w:sz="4" w:space="0"/>
            </w:tcBorders>
            <w:vAlign w:val="center"/>
          </w:tcPr>
          <w:p w14:paraId="00828CDC">
            <w:pPr>
              <w:pStyle w:val="51"/>
              <w:spacing w:line="560" w:lineRule="exact"/>
              <w:rPr>
                <w:rFonts w:ascii="宋体" w:hAnsi="宋体" w:cs="仿宋"/>
                <w:szCs w:val="21"/>
              </w:rPr>
            </w:pPr>
          </w:p>
        </w:tc>
      </w:tr>
      <w:tr w14:paraId="0A83F4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right w:val="single" w:color="auto" w:sz="4" w:space="0"/>
            </w:tcBorders>
            <w:vAlign w:val="center"/>
          </w:tcPr>
          <w:p w14:paraId="668F98E7"/>
        </w:tc>
        <w:tc>
          <w:tcPr>
            <w:tcW w:w="2552" w:type="dxa"/>
            <w:tcBorders>
              <w:top w:val="single" w:color="auto" w:sz="4" w:space="0"/>
              <w:left w:val="single" w:color="auto" w:sz="4" w:space="0"/>
              <w:bottom w:val="single" w:color="auto" w:sz="4" w:space="0"/>
              <w:right w:val="single" w:color="auto" w:sz="4" w:space="0"/>
            </w:tcBorders>
          </w:tcPr>
          <w:p w14:paraId="06C7FF50">
            <w:pPr>
              <w:pStyle w:val="51"/>
              <w:spacing w:line="560" w:lineRule="exact"/>
              <w:rPr>
                <w:rFonts w:ascii="宋体" w:hAnsi="宋体" w:cs="仿宋"/>
                <w:szCs w:val="21"/>
              </w:rPr>
            </w:pPr>
            <w:r>
              <w:rPr>
                <w:rFonts w:ascii="宋体" w:hAnsi="宋体" w:cs="仿宋"/>
                <w:szCs w:val="21"/>
              </w:rPr>
              <w:t>最多雷暴日数</w:t>
            </w:r>
          </w:p>
        </w:tc>
        <w:tc>
          <w:tcPr>
            <w:tcW w:w="992" w:type="dxa"/>
            <w:tcBorders>
              <w:top w:val="single" w:color="auto" w:sz="4" w:space="0"/>
              <w:left w:val="single" w:color="auto" w:sz="4" w:space="0"/>
              <w:bottom w:val="single" w:color="auto" w:sz="4" w:space="0"/>
              <w:right w:val="single" w:color="auto" w:sz="4" w:space="0"/>
            </w:tcBorders>
            <w:vAlign w:val="center"/>
          </w:tcPr>
          <w:p w14:paraId="67B978B4">
            <w:pPr>
              <w:pStyle w:val="51"/>
              <w:spacing w:line="560" w:lineRule="exact"/>
              <w:jc w:val="center"/>
              <w:rPr>
                <w:rFonts w:ascii="宋体" w:hAnsi="宋体" w:cs="仿宋"/>
                <w:szCs w:val="21"/>
              </w:rPr>
            </w:pPr>
            <w:r>
              <w:rPr>
                <w:rFonts w:ascii="宋体" w:hAnsi="宋体" w:cs="仿宋"/>
                <w:szCs w:val="21"/>
              </w:rPr>
              <w:t>d</w:t>
            </w:r>
          </w:p>
        </w:tc>
        <w:tc>
          <w:tcPr>
            <w:tcW w:w="1056" w:type="dxa"/>
            <w:tcBorders>
              <w:top w:val="single" w:color="auto" w:sz="4" w:space="0"/>
              <w:left w:val="single" w:color="auto" w:sz="4" w:space="0"/>
              <w:bottom w:val="single" w:color="auto" w:sz="4" w:space="0"/>
              <w:right w:val="single" w:color="auto" w:sz="4" w:space="0"/>
            </w:tcBorders>
            <w:vAlign w:val="center"/>
          </w:tcPr>
          <w:p w14:paraId="0B887EED">
            <w:pPr>
              <w:pStyle w:val="51"/>
              <w:spacing w:line="560" w:lineRule="exact"/>
              <w:jc w:val="center"/>
              <w:rPr>
                <w:rFonts w:ascii="宋体" w:hAnsi="宋体" w:cs="仿宋"/>
                <w:szCs w:val="21"/>
              </w:rPr>
            </w:pPr>
            <w:r>
              <w:rPr>
                <w:rFonts w:ascii="宋体" w:hAnsi="宋体" w:cs="仿宋"/>
                <w:szCs w:val="21"/>
              </w:rPr>
              <w:t>32</w:t>
            </w:r>
          </w:p>
        </w:tc>
        <w:tc>
          <w:tcPr>
            <w:tcW w:w="2488" w:type="dxa"/>
            <w:tcBorders>
              <w:top w:val="single" w:color="auto" w:sz="6" w:space="0"/>
              <w:left w:val="single" w:color="auto" w:sz="6" w:space="0"/>
              <w:right w:val="single" w:color="auto" w:sz="6" w:space="0"/>
            </w:tcBorders>
            <w:vAlign w:val="center"/>
          </w:tcPr>
          <w:p w14:paraId="52347E48">
            <w:pPr>
              <w:pStyle w:val="51"/>
              <w:spacing w:line="560" w:lineRule="exact"/>
              <w:rPr>
                <w:rFonts w:ascii="宋体" w:hAnsi="宋体" w:cs="仿宋"/>
                <w:szCs w:val="21"/>
              </w:rPr>
            </w:pPr>
          </w:p>
        </w:tc>
      </w:tr>
      <w:tr w14:paraId="038B9A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right w:val="single" w:color="auto" w:sz="4" w:space="0"/>
            </w:tcBorders>
            <w:vAlign w:val="center"/>
          </w:tcPr>
          <w:p w14:paraId="04D64196"/>
        </w:tc>
        <w:tc>
          <w:tcPr>
            <w:tcW w:w="2552" w:type="dxa"/>
            <w:tcBorders>
              <w:top w:val="single" w:color="auto" w:sz="4" w:space="0"/>
              <w:left w:val="single" w:color="auto" w:sz="4" w:space="0"/>
              <w:bottom w:val="single" w:color="auto" w:sz="4" w:space="0"/>
              <w:right w:val="single" w:color="auto" w:sz="4" w:space="0"/>
            </w:tcBorders>
          </w:tcPr>
          <w:p w14:paraId="7F0B687F">
            <w:pPr>
              <w:pStyle w:val="51"/>
              <w:spacing w:line="560" w:lineRule="exact"/>
              <w:rPr>
                <w:rFonts w:ascii="宋体" w:hAnsi="宋体" w:cs="仿宋"/>
                <w:szCs w:val="21"/>
              </w:rPr>
            </w:pPr>
            <w:r>
              <w:rPr>
                <w:rFonts w:ascii="宋体" w:hAnsi="宋体" w:cs="仿宋"/>
                <w:szCs w:val="21"/>
              </w:rPr>
              <w:t>年平均大雾日数</w:t>
            </w:r>
          </w:p>
        </w:tc>
        <w:tc>
          <w:tcPr>
            <w:tcW w:w="992" w:type="dxa"/>
            <w:tcBorders>
              <w:top w:val="single" w:color="auto" w:sz="4" w:space="0"/>
              <w:left w:val="single" w:color="auto" w:sz="4" w:space="0"/>
              <w:bottom w:val="single" w:color="auto" w:sz="4" w:space="0"/>
              <w:right w:val="single" w:color="auto" w:sz="4" w:space="0"/>
            </w:tcBorders>
            <w:vAlign w:val="center"/>
          </w:tcPr>
          <w:p w14:paraId="0F3DC246">
            <w:pPr>
              <w:pStyle w:val="51"/>
              <w:spacing w:line="560" w:lineRule="exact"/>
              <w:jc w:val="center"/>
              <w:rPr>
                <w:rFonts w:ascii="宋体" w:hAnsi="宋体" w:cs="仿宋"/>
                <w:szCs w:val="21"/>
              </w:rPr>
            </w:pPr>
            <w:r>
              <w:rPr>
                <w:rFonts w:ascii="宋体" w:hAnsi="宋体" w:cs="仿宋"/>
                <w:szCs w:val="21"/>
              </w:rPr>
              <w:t>d</w:t>
            </w:r>
          </w:p>
        </w:tc>
        <w:tc>
          <w:tcPr>
            <w:tcW w:w="1056" w:type="dxa"/>
            <w:tcBorders>
              <w:top w:val="single" w:color="auto" w:sz="4" w:space="0"/>
              <w:left w:val="single" w:color="auto" w:sz="4" w:space="0"/>
              <w:bottom w:val="single" w:color="auto" w:sz="4" w:space="0"/>
              <w:right w:val="single" w:color="auto" w:sz="4" w:space="0"/>
            </w:tcBorders>
            <w:vAlign w:val="center"/>
          </w:tcPr>
          <w:p w14:paraId="5386A3E5">
            <w:pPr>
              <w:pStyle w:val="51"/>
              <w:spacing w:line="560" w:lineRule="exact"/>
              <w:jc w:val="center"/>
              <w:rPr>
                <w:rFonts w:ascii="宋体" w:hAnsi="宋体" w:cs="仿宋"/>
                <w:szCs w:val="21"/>
              </w:rPr>
            </w:pPr>
            <w:r>
              <w:rPr>
                <w:rFonts w:ascii="宋体" w:hAnsi="宋体" w:cs="仿宋"/>
                <w:szCs w:val="21"/>
              </w:rPr>
              <w:t>53.2</w:t>
            </w:r>
          </w:p>
        </w:tc>
        <w:tc>
          <w:tcPr>
            <w:tcW w:w="2488" w:type="dxa"/>
            <w:tcBorders>
              <w:top w:val="single" w:color="auto" w:sz="6" w:space="0"/>
              <w:left w:val="single" w:color="auto" w:sz="6" w:space="0"/>
              <w:right w:val="single" w:color="auto" w:sz="6" w:space="0"/>
            </w:tcBorders>
            <w:vAlign w:val="center"/>
          </w:tcPr>
          <w:p w14:paraId="44E77D0D">
            <w:pPr>
              <w:pStyle w:val="51"/>
              <w:spacing w:line="560" w:lineRule="exact"/>
              <w:rPr>
                <w:rFonts w:ascii="宋体" w:hAnsi="宋体" w:cs="仿宋"/>
                <w:szCs w:val="21"/>
              </w:rPr>
            </w:pPr>
          </w:p>
        </w:tc>
      </w:tr>
      <w:tr w14:paraId="57B046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384" w:type="dxa"/>
            <w:vMerge w:val="continue"/>
            <w:tcBorders>
              <w:left w:val="single" w:color="auto" w:sz="4" w:space="0"/>
              <w:bottom w:val="single" w:color="auto" w:sz="4" w:space="0"/>
              <w:right w:val="single" w:color="auto" w:sz="4" w:space="0"/>
            </w:tcBorders>
            <w:vAlign w:val="center"/>
          </w:tcPr>
          <w:p w14:paraId="71EE9A9B"/>
        </w:tc>
        <w:tc>
          <w:tcPr>
            <w:tcW w:w="2552" w:type="dxa"/>
            <w:tcBorders>
              <w:top w:val="single" w:color="auto" w:sz="4" w:space="0"/>
              <w:left w:val="single" w:color="auto" w:sz="4" w:space="0"/>
              <w:bottom w:val="single" w:color="auto" w:sz="4" w:space="0"/>
              <w:right w:val="single" w:color="auto" w:sz="4" w:space="0"/>
            </w:tcBorders>
          </w:tcPr>
          <w:p w14:paraId="5D61B279">
            <w:pPr>
              <w:pStyle w:val="51"/>
              <w:spacing w:line="560" w:lineRule="exact"/>
              <w:rPr>
                <w:rFonts w:ascii="宋体" w:hAnsi="宋体" w:cs="仿宋"/>
                <w:szCs w:val="21"/>
              </w:rPr>
            </w:pPr>
            <w:r>
              <w:rPr>
                <w:rFonts w:ascii="宋体" w:hAnsi="宋体" w:cs="仿宋"/>
                <w:szCs w:val="21"/>
              </w:rPr>
              <w:t>最多大雾日数</w:t>
            </w:r>
          </w:p>
        </w:tc>
        <w:tc>
          <w:tcPr>
            <w:tcW w:w="992" w:type="dxa"/>
            <w:tcBorders>
              <w:top w:val="single" w:color="auto" w:sz="4" w:space="0"/>
              <w:left w:val="single" w:color="auto" w:sz="4" w:space="0"/>
              <w:bottom w:val="single" w:color="auto" w:sz="4" w:space="0"/>
              <w:right w:val="single" w:color="auto" w:sz="4" w:space="0"/>
            </w:tcBorders>
            <w:vAlign w:val="center"/>
          </w:tcPr>
          <w:p w14:paraId="090A6989">
            <w:pPr>
              <w:pStyle w:val="51"/>
              <w:spacing w:line="560" w:lineRule="exact"/>
              <w:jc w:val="center"/>
              <w:rPr>
                <w:rFonts w:ascii="宋体" w:hAnsi="宋体" w:cs="仿宋"/>
                <w:szCs w:val="21"/>
              </w:rPr>
            </w:pPr>
            <w:r>
              <w:rPr>
                <w:rFonts w:ascii="宋体" w:hAnsi="宋体" w:cs="仿宋"/>
                <w:szCs w:val="21"/>
              </w:rPr>
              <w:t>d</w:t>
            </w:r>
          </w:p>
        </w:tc>
        <w:tc>
          <w:tcPr>
            <w:tcW w:w="1056" w:type="dxa"/>
            <w:tcBorders>
              <w:top w:val="single" w:color="auto" w:sz="4" w:space="0"/>
              <w:left w:val="single" w:color="auto" w:sz="4" w:space="0"/>
              <w:bottom w:val="single" w:color="auto" w:sz="4" w:space="0"/>
              <w:right w:val="single" w:color="auto" w:sz="4" w:space="0"/>
            </w:tcBorders>
            <w:vAlign w:val="center"/>
          </w:tcPr>
          <w:p w14:paraId="7DAC1323">
            <w:pPr>
              <w:pStyle w:val="51"/>
              <w:spacing w:line="560" w:lineRule="exact"/>
              <w:jc w:val="center"/>
              <w:rPr>
                <w:rFonts w:ascii="宋体" w:hAnsi="宋体" w:cs="仿宋"/>
                <w:szCs w:val="21"/>
              </w:rPr>
            </w:pPr>
            <w:r>
              <w:rPr>
                <w:rFonts w:ascii="宋体" w:hAnsi="宋体" w:cs="仿宋"/>
                <w:szCs w:val="21"/>
              </w:rPr>
              <w:t>73</w:t>
            </w:r>
          </w:p>
        </w:tc>
        <w:tc>
          <w:tcPr>
            <w:tcW w:w="2488" w:type="dxa"/>
            <w:tcBorders>
              <w:top w:val="single" w:color="auto" w:sz="6" w:space="0"/>
              <w:left w:val="single" w:color="auto" w:sz="6" w:space="0"/>
              <w:right w:val="single" w:color="auto" w:sz="6" w:space="0"/>
            </w:tcBorders>
            <w:vAlign w:val="center"/>
          </w:tcPr>
          <w:p w14:paraId="02505015">
            <w:pPr>
              <w:pStyle w:val="51"/>
              <w:spacing w:line="560" w:lineRule="exact"/>
              <w:rPr>
                <w:rFonts w:ascii="宋体" w:hAnsi="宋体" w:cs="仿宋"/>
                <w:szCs w:val="21"/>
              </w:rPr>
            </w:pPr>
          </w:p>
        </w:tc>
      </w:tr>
    </w:tbl>
    <w:p w14:paraId="7206DABA">
      <w:pPr>
        <w:widowControl/>
        <w:ind w:firstLine="490" w:firstLineChars="175"/>
        <w:jc w:val="left"/>
        <w:outlineLvl w:val="0"/>
        <w:rPr>
          <w:rFonts w:ascii="仿宋" w:hAnsi="仿宋" w:eastAsia="仿宋" w:cs="宋体"/>
          <w:kern w:val="0"/>
          <w:sz w:val="28"/>
          <w:szCs w:val="28"/>
        </w:rPr>
      </w:pPr>
      <w:r>
        <w:rPr>
          <w:rFonts w:ascii="仿宋" w:hAnsi="仿宋" w:eastAsia="仿宋" w:cs="宋体"/>
          <w:kern w:val="0"/>
          <w:sz w:val="28"/>
          <w:szCs w:val="28"/>
        </w:rPr>
        <w:t>3、潮汐</w:t>
      </w:r>
    </w:p>
    <w:p w14:paraId="6273A6F2">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浙能嵊泗2号风电场</w:t>
      </w:r>
      <w:r>
        <w:rPr>
          <w:rFonts w:ascii="仿宋" w:hAnsi="仿宋" w:eastAsia="仿宋" w:cs="Times New Roman"/>
          <w:sz w:val="28"/>
          <w:szCs w:val="28"/>
        </w:rPr>
        <w:t>海域潮汐属正规半日潮类型，潮汐日不等现象较为明显，涨落潮历时存在一定差异，存在一定的浅海效应。</w:t>
      </w:r>
      <w:r>
        <w:rPr>
          <w:rFonts w:hint="eastAsia" w:ascii="仿宋" w:hAnsi="仿宋" w:eastAsia="仿宋" w:cs="Times New Roman"/>
          <w:sz w:val="28"/>
          <w:szCs w:val="28"/>
        </w:rPr>
        <w:t>风电场</w:t>
      </w:r>
      <w:r>
        <w:rPr>
          <w:rFonts w:ascii="仿宋" w:hAnsi="仿宋" w:eastAsia="仿宋" w:cs="Times New Roman"/>
          <w:sz w:val="28"/>
          <w:szCs w:val="28"/>
        </w:rPr>
        <w:t>年最高潮位为3.44m，年最低潮位为-2.59m，年平均高潮位为2.18m，年平均低潮位为-1.59m，最大潮位为5.59m，最小潮位为1.23m，年平均潮差为3.78m，平均落潮历时比平均涨潮历时长约25min。</w:t>
      </w:r>
    </w:p>
    <w:p w14:paraId="2B42C9B2">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设计水位和极端水位成果表（1985国家高程基准，m）</w:t>
      </w:r>
    </w:p>
    <w:tbl>
      <w:tblPr>
        <w:tblStyle w:val="1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077"/>
        <w:gridCol w:w="4253"/>
      </w:tblGrid>
      <w:tr w14:paraId="7B9A80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077" w:type="dxa"/>
            <w:tcBorders>
              <w:top w:val="single" w:color="auto" w:sz="4" w:space="0"/>
              <w:left w:val="single" w:color="auto" w:sz="4" w:space="0"/>
              <w:bottom w:val="single" w:color="auto" w:sz="4" w:space="0"/>
              <w:right w:val="single" w:color="auto" w:sz="4" w:space="0"/>
            </w:tcBorders>
            <w:vAlign w:val="center"/>
          </w:tcPr>
          <w:p w14:paraId="2CB6016F">
            <w:pPr>
              <w:pStyle w:val="51"/>
              <w:spacing w:line="560" w:lineRule="exact"/>
              <w:jc w:val="center"/>
              <w:rPr>
                <w:rFonts w:ascii="宋体" w:hAnsi="宋体" w:cs="仿宋"/>
                <w:szCs w:val="21"/>
              </w:rPr>
            </w:pPr>
            <w:r>
              <w:rPr>
                <w:rFonts w:ascii="宋体" w:hAnsi="宋体" w:cs="仿宋"/>
                <w:szCs w:val="21"/>
              </w:rPr>
              <w:t>特征水位</w:t>
            </w:r>
          </w:p>
        </w:tc>
        <w:tc>
          <w:tcPr>
            <w:tcW w:w="4253" w:type="dxa"/>
            <w:tcBorders>
              <w:top w:val="single" w:color="auto" w:sz="4" w:space="0"/>
              <w:left w:val="single" w:color="auto" w:sz="4" w:space="0"/>
              <w:bottom w:val="single" w:color="auto" w:sz="4" w:space="0"/>
              <w:right w:val="single" w:color="auto" w:sz="4" w:space="0"/>
            </w:tcBorders>
            <w:vAlign w:val="center"/>
          </w:tcPr>
          <w:p w14:paraId="11F350BA">
            <w:pPr>
              <w:pStyle w:val="51"/>
              <w:spacing w:line="560" w:lineRule="exact"/>
              <w:jc w:val="center"/>
              <w:rPr>
                <w:rFonts w:ascii="宋体" w:hAnsi="宋体" w:cs="仿宋"/>
                <w:szCs w:val="21"/>
              </w:rPr>
            </w:pPr>
            <w:r>
              <w:rPr>
                <w:rFonts w:ascii="宋体" w:hAnsi="宋体" w:cs="仿宋"/>
                <w:szCs w:val="21"/>
              </w:rPr>
              <w:t>高程（m）</w:t>
            </w:r>
          </w:p>
        </w:tc>
      </w:tr>
      <w:tr w14:paraId="56E0E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077" w:type="dxa"/>
            <w:tcBorders>
              <w:top w:val="single" w:color="auto" w:sz="4" w:space="0"/>
              <w:left w:val="single" w:color="auto" w:sz="4" w:space="0"/>
              <w:bottom w:val="single" w:color="auto" w:sz="4" w:space="0"/>
              <w:right w:val="single" w:color="auto" w:sz="4" w:space="0"/>
            </w:tcBorders>
            <w:vAlign w:val="center"/>
          </w:tcPr>
          <w:p w14:paraId="04D330AF">
            <w:pPr>
              <w:pStyle w:val="51"/>
              <w:spacing w:line="560" w:lineRule="exact"/>
              <w:jc w:val="center"/>
              <w:rPr>
                <w:rFonts w:ascii="宋体" w:hAnsi="宋体" w:cs="仿宋"/>
                <w:szCs w:val="21"/>
              </w:rPr>
            </w:pPr>
            <w:r>
              <w:rPr>
                <w:rFonts w:ascii="宋体" w:hAnsi="宋体" w:cs="仿宋"/>
                <w:szCs w:val="21"/>
              </w:rPr>
              <w:t>设计高水位</w:t>
            </w:r>
          </w:p>
        </w:tc>
        <w:tc>
          <w:tcPr>
            <w:tcW w:w="4253" w:type="dxa"/>
            <w:tcBorders>
              <w:top w:val="single" w:color="auto" w:sz="4" w:space="0"/>
              <w:left w:val="single" w:color="auto" w:sz="4" w:space="0"/>
              <w:bottom w:val="single" w:color="auto" w:sz="4" w:space="0"/>
              <w:right w:val="single" w:color="auto" w:sz="4" w:space="0"/>
            </w:tcBorders>
            <w:vAlign w:val="center"/>
          </w:tcPr>
          <w:p w14:paraId="72BB6A84">
            <w:pPr>
              <w:pStyle w:val="51"/>
              <w:spacing w:line="560" w:lineRule="exact"/>
              <w:jc w:val="center"/>
              <w:rPr>
                <w:rFonts w:ascii="宋体" w:hAnsi="宋体" w:cs="仿宋"/>
                <w:szCs w:val="21"/>
              </w:rPr>
            </w:pPr>
            <w:r>
              <w:rPr>
                <w:rFonts w:ascii="宋体" w:hAnsi="宋体" w:cs="仿宋"/>
                <w:szCs w:val="21"/>
              </w:rPr>
              <w:t>2.89</w:t>
            </w:r>
          </w:p>
        </w:tc>
      </w:tr>
      <w:tr w14:paraId="13D94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077" w:type="dxa"/>
            <w:tcBorders>
              <w:top w:val="single" w:color="auto" w:sz="4" w:space="0"/>
              <w:left w:val="single" w:color="auto" w:sz="4" w:space="0"/>
              <w:bottom w:val="single" w:color="auto" w:sz="4" w:space="0"/>
              <w:right w:val="single" w:color="auto" w:sz="4" w:space="0"/>
            </w:tcBorders>
            <w:vAlign w:val="center"/>
          </w:tcPr>
          <w:p w14:paraId="1237C958">
            <w:pPr>
              <w:pStyle w:val="51"/>
              <w:spacing w:line="560" w:lineRule="exact"/>
              <w:jc w:val="center"/>
              <w:rPr>
                <w:rFonts w:ascii="宋体" w:hAnsi="宋体" w:cs="仿宋"/>
                <w:szCs w:val="21"/>
              </w:rPr>
            </w:pPr>
            <w:r>
              <w:rPr>
                <w:rFonts w:ascii="宋体" w:hAnsi="宋体" w:cs="仿宋"/>
                <w:szCs w:val="21"/>
              </w:rPr>
              <w:t>设计低水位</w:t>
            </w:r>
          </w:p>
        </w:tc>
        <w:tc>
          <w:tcPr>
            <w:tcW w:w="4253" w:type="dxa"/>
            <w:tcBorders>
              <w:top w:val="single" w:color="auto" w:sz="4" w:space="0"/>
              <w:left w:val="single" w:color="auto" w:sz="4" w:space="0"/>
              <w:bottom w:val="single" w:color="auto" w:sz="4" w:space="0"/>
              <w:right w:val="single" w:color="auto" w:sz="4" w:space="0"/>
            </w:tcBorders>
            <w:vAlign w:val="center"/>
          </w:tcPr>
          <w:p w14:paraId="6B06299E">
            <w:pPr>
              <w:pStyle w:val="51"/>
              <w:spacing w:line="560" w:lineRule="exact"/>
              <w:jc w:val="center"/>
              <w:rPr>
                <w:rFonts w:ascii="宋体" w:hAnsi="宋体" w:cs="仿宋"/>
                <w:szCs w:val="21"/>
              </w:rPr>
            </w:pPr>
            <w:r>
              <w:rPr>
                <w:rFonts w:ascii="宋体" w:hAnsi="宋体" w:cs="仿宋"/>
                <w:szCs w:val="21"/>
              </w:rPr>
              <w:t>-1.98</w:t>
            </w:r>
          </w:p>
        </w:tc>
      </w:tr>
      <w:tr w14:paraId="59D9EC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077" w:type="dxa"/>
            <w:tcBorders>
              <w:top w:val="single" w:color="auto" w:sz="4" w:space="0"/>
              <w:left w:val="single" w:color="auto" w:sz="4" w:space="0"/>
              <w:bottom w:val="single" w:color="auto" w:sz="4" w:space="0"/>
              <w:right w:val="single" w:color="auto" w:sz="4" w:space="0"/>
            </w:tcBorders>
            <w:vAlign w:val="center"/>
          </w:tcPr>
          <w:p w14:paraId="552711A1">
            <w:pPr>
              <w:pStyle w:val="51"/>
              <w:spacing w:line="560" w:lineRule="exact"/>
              <w:jc w:val="center"/>
              <w:rPr>
                <w:rFonts w:ascii="宋体" w:hAnsi="宋体" w:cs="仿宋"/>
                <w:szCs w:val="21"/>
              </w:rPr>
            </w:pPr>
            <w:r>
              <w:rPr>
                <w:rFonts w:ascii="宋体" w:hAnsi="宋体" w:cs="仿宋"/>
                <w:szCs w:val="21"/>
              </w:rPr>
              <w:t>极端高水位（50年一遇）</w:t>
            </w:r>
          </w:p>
        </w:tc>
        <w:tc>
          <w:tcPr>
            <w:tcW w:w="4253" w:type="dxa"/>
            <w:tcBorders>
              <w:top w:val="single" w:color="auto" w:sz="4" w:space="0"/>
              <w:left w:val="single" w:color="auto" w:sz="4" w:space="0"/>
              <w:bottom w:val="single" w:color="auto" w:sz="4" w:space="0"/>
              <w:right w:val="single" w:color="auto" w:sz="4" w:space="0"/>
            </w:tcBorders>
            <w:vAlign w:val="center"/>
          </w:tcPr>
          <w:p w14:paraId="5D3A2F1C">
            <w:pPr>
              <w:pStyle w:val="51"/>
              <w:spacing w:line="560" w:lineRule="exact"/>
              <w:jc w:val="center"/>
              <w:rPr>
                <w:rFonts w:ascii="宋体" w:hAnsi="宋体" w:cs="仿宋"/>
                <w:szCs w:val="21"/>
              </w:rPr>
            </w:pPr>
            <w:r>
              <w:rPr>
                <w:rFonts w:ascii="宋体" w:hAnsi="宋体" w:cs="仿宋"/>
                <w:szCs w:val="21"/>
              </w:rPr>
              <w:t>4.39</w:t>
            </w:r>
          </w:p>
        </w:tc>
      </w:tr>
      <w:tr w14:paraId="528D33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077" w:type="dxa"/>
            <w:tcBorders>
              <w:top w:val="single" w:color="auto" w:sz="4" w:space="0"/>
              <w:left w:val="single" w:color="auto" w:sz="4" w:space="0"/>
              <w:bottom w:val="single" w:color="auto" w:sz="4" w:space="0"/>
              <w:right w:val="single" w:color="auto" w:sz="4" w:space="0"/>
            </w:tcBorders>
            <w:vAlign w:val="center"/>
          </w:tcPr>
          <w:p w14:paraId="2491508F">
            <w:pPr>
              <w:pStyle w:val="51"/>
              <w:spacing w:line="560" w:lineRule="exact"/>
              <w:jc w:val="center"/>
              <w:rPr>
                <w:rFonts w:ascii="宋体" w:hAnsi="宋体" w:cs="仿宋"/>
                <w:szCs w:val="21"/>
              </w:rPr>
            </w:pPr>
            <w:r>
              <w:rPr>
                <w:rFonts w:ascii="宋体" w:hAnsi="宋体" w:cs="仿宋"/>
                <w:szCs w:val="21"/>
              </w:rPr>
              <w:t>极端低水位（50年一遇）</w:t>
            </w:r>
          </w:p>
        </w:tc>
        <w:tc>
          <w:tcPr>
            <w:tcW w:w="4253" w:type="dxa"/>
            <w:tcBorders>
              <w:top w:val="single" w:color="auto" w:sz="4" w:space="0"/>
              <w:left w:val="single" w:color="auto" w:sz="4" w:space="0"/>
              <w:bottom w:val="single" w:color="auto" w:sz="4" w:space="0"/>
              <w:right w:val="single" w:color="auto" w:sz="4" w:space="0"/>
            </w:tcBorders>
            <w:vAlign w:val="center"/>
          </w:tcPr>
          <w:p w14:paraId="2B0D3D09">
            <w:pPr>
              <w:pStyle w:val="51"/>
              <w:spacing w:line="560" w:lineRule="exact"/>
              <w:jc w:val="center"/>
              <w:rPr>
                <w:rFonts w:ascii="宋体" w:hAnsi="宋体" w:cs="仿宋"/>
                <w:szCs w:val="21"/>
              </w:rPr>
            </w:pPr>
            <w:r>
              <w:rPr>
                <w:rFonts w:ascii="宋体" w:hAnsi="宋体" w:cs="仿宋"/>
                <w:szCs w:val="21"/>
              </w:rPr>
              <w:t>-2.83</w:t>
            </w:r>
          </w:p>
        </w:tc>
      </w:tr>
      <w:tr w14:paraId="4BC61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077" w:type="dxa"/>
            <w:tcBorders>
              <w:top w:val="single" w:color="auto" w:sz="4" w:space="0"/>
              <w:left w:val="single" w:color="auto" w:sz="4" w:space="0"/>
              <w:bottom w:val="single" w:color="auto" w:sz="4" w:space="0"/>
              <w:right w:val="single" w:color="auto" w:sz="4" w:space="0"/>
            </w:tcBorders>
            <w:vAlign w:val="center"/>
          </w:tcPr>
          <w:p w14:paraId="7FFE61B5">
            <w:pPr>
              <w:pStyle w:val="51"/>
              <w:spacing w:line="560" w:lineRule="exact"/>
              <w:jc w:val="center"/>
              <w:rPr>
                <w:rFonts w:ascii="宋体" w:hAnsi="宋体" w:cs="仿宋"/>
                <w:szCs w:val="21"/>
              </w:rPr>
            </w:pPr>
            <w:r>
              <w:rPr>
                <w:rFonts w:ascii="宋体" w:hAnsi="宋体" w:cs="仿宋"/>
                <w:szCs w:val="21"/>
              </w:rPr>
              <w:t>100年一遇高水位</w:t>
            </w:r>
          </w:p>
        </w:tc>
        <w:tc>
          <w:tcPr>
            <w:tcW w:w="4253" w:type="dxa"/>
            <w:tcBorders>
              <w:top w:val="single" w:color="auto" w:sz="4" w:space="0"/>
              <w:left w:val="single" w:color="auto" w:sz="4" w:space="0"/>
              <w:bottom w:val="single" w:color="auto" w:sz="4" w:space="0"/>
              <w:right w:val="single" w:color="auto" w:sz="4" w:space="0"/>
            </w:tcBorders>
            <w:vAlign w:val="center"/>
          </w:tcPr>
          <w:p w14:paraId="69E6FB35">
            <w:pPr>
              <w:pStyle w:val="51"/>
              <w:spacing w:line="560" w:lineRule="exact"/>
              <w:jc w:val="center"/>
              <w:rPr>
                <w:rFonts w:ascii="宋体" w:hAnsi="宋体" w:cs="仿宋"/>
                <w:szCs w:val="21"/>
              </w:rPr>
            </w:pPr>
            <w:r>
              <w:rPr>
                <w:rFonts w:ascii="宋体" w:hAnsi="宋体" w:cs="仿宋"/>
                <w:szCs w:val="21"/>
              </w:rPr>
              <w:t>4.62</w:t>
            </w:r>
          </w:p>
        </w:tc>
      </w:tr>
      <w:tr w14:paraId="05575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077" w:type="dxa"/>
            <w:tcBorders>
              <w:top w:val="single" w:color="auto" w:sz="4" w:space="0"/>
              <w:left w:val="single" w:color="auto" w:sz="4" w:space="0"/>
              <w:bottom w:val="single" w:color="auto" w:sz="4" w:space="0"/>
              <w:right w:val="single" w:color="auto" w:sz="4" w:space="0"/>
            </w:tcBorders>
            <w:vAlign w:val="center"/>
          </w:tcPr>
          <w:p w14:paraId="02FB91E3">
            <w:pPr>
              <w:pStyle w:val="51"/>
              <w:spacing w:line="560" w:lineRule="exact"/>
              <w:jc w:val="center"/>
              <w:rPr>
                <w:rFonts w:ascii="宋体" w:hAnsi="宋体" w:cs="仿宋"/>
                <w:szCs w:val="21"/>
              </w:rPr>
            </w:pPr>
            <w:r>
              <w:rPr>
                <w:rFonts w:ascii="宋体" w:hAnsi="宋体" w:cs="仿宋"/>
                <w:szCs w:val="21"/>
              </w:rPr>
              <w:t>100年一遇低水位</w:t>
            </w:r>
          </w:p>
        </w:tc>
        <w:tc>
          <w:tcPr>
            <w:tcW w:w="4253" w:type="dxa"/>
            <w:tcBorders>
              <w:top w:val="single" w:color="auto" w:sz="4" w:space="0"/>
              <w:left w:val="single" w:color="auto" w:sz="4" w:space="0"/>
              <w:bottom w:val="single" w:color="auto" w:sz="4" w:space="0"/>
              <w:right w:val="single" w:color="auto" w:sz="4" w:space="0"/>
            </w:tcBorders>
            <w:vAlign w:val="center"/>
          </w:tcPr>
          <w:p w14:paraId="501D702A">
            <w:pPr>
              <w:pStyle w:val="51"/>
              <w:spacing w:line="560" w:lineRule="exact"/>
              <w:jc w:val="center"/>
              <w:rPr>
                <w:rFonts w:ascii="宋体" w:hAnsi="宋体" w:cs="仿宋"/>
                <w:szCs w:val="21"/>
              </w:rPr>
            </w:pPr>
            <w:r>
              <w:rPr>
                <w:rFonts w:ascii="宋体" w:hAnsi="宋体" w:cs="仿宋"/>
                <w:szCs w:val="21"/>
              </w:rPr>
              <w:t>-2.89</w:t>
            </w:r>
          </w:p>
        </w:tc>
      </w:tr>
    </w:tbl>
    <w:p w14:paraId="2040A45C">
      <w:pPr>
        <w:widowControl/>
        <w:ind w:firstLine="490" w:firstLineChars="175"/>
        <w:jc w:val="left"/>
        <w:outlineLvl w:val="0"/>
        <w:rPr>
          <w:rFonts w:ascii="仿宋" w:hAnsi="仿宋" w:eastAsia="仿宋" w:cs="宋体"/>
          <w:kern w:val="0"/>
          <w:sz w:val="28"/>
          <w:szCs w:val="28"/>
        </w:rPr>
      </w:pPr>
      <w:r>
        <w:rPr>
          <w:rFonts w:ascii="仿宋" w:hAnsi="仿宋" w:eastAsia="仿宋" w:cs="宋体"/>
          <w:kern w:val="0"/>
          <w:sz w:val="28"/>
          <w:szCs w:val="28"/>
        </w:rPr>
        <w:t>4、波浪</w:t>
      </w:r>
    </w:p>
    <w:p w14:paraId="7C6321AE">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根据浙能嵊泗</w:t>
      </w:r>
      <w:r>
        <w:rPr>
          <w:rFonts w:hint="eastAsia" w:ascii="仿宋" w:hAnsi="仿宋" w:eastAsia="仿宋" w:cs="Times New Roman"/>
          <w:sz w:val="28"/>
          <w:szCs w:val="28"/>
        </w:rPr>
        <w:t>2号海上风电场海域</w:t>
      </w:r>
      <w:r>
        <w:rPr>
          <w:rFonts w:ascii="仿宋" w:hAnsi="仿宋" w:eastAsia="仿宋" w:cs="Times New Roman"/>
          <w:sz w:val="28"/>
          <w:szCs w:val="28"/>
        </w:rPr>
        <w:t>内波浪站周年观测资料，全年有效波高（H1/3）均值为0.49m，最大值为1.92m；H1/10均值为0.61m，最大值为2.42m；最大波高(Hmax)均值为0.84m，最大值为3.75m。平均周期（Tmean）均值为3.07s，最大值为8.07s。有效波高主要分布在≤1.0m 的区间，占比为94.30%；其中≤0.6m的波浪较多，出现频率为70.13%，其次为介于0.6</w:t>
      </w:r>
      <w:r>
        <w:rPr>
          <w:rFonts w:hint="eastAsia" w:ascii="仿宋" w:hAnsi="仿宋" w:eastAsia="仿宋" w:cs="Times New Roman"/>
          <w:sz w:val="28"/>
          <w:szCs w:val="28"/>
        </w:rPr>
        <w:t>～</w:t>
      </w:r>
      <w:r>
        <w:rPr>
          <w:rFonts w:ascii="仿宋" w:hAnsi="仿宋" w:eastAsia="仿宋" w:cs="Times New Roman"/>
          <w:sz w:val="28"/>
          <w:szCs w:val="28"/>
        </w:rPr>
        <w:t>0.8m和0.8</w:t>
      </w:r>
      <w:r>
        <w:rPr>
          <w:rFonts w:hint="eastAsia" w:ascii="仿宋" w:hAnsi="仿宋" w:eastAsia="仿宋" w:cs="Times New Roman"/>
          <w:sz w:val="28"/>
          <w:szCs w:val="28"/>
        </w:rPr>
        <w:t>～</w:t>
      </w:r>
      <w:r>
        <w:rPr>
          <w:rFonts w:ascii="仿宋" w:hAnsi="仿宋" w:eastAsia="仿宋" w:cs="Times New Roman"/>
          <w:sz w:val="28"/>
          <w:szCs w:val="28"/>
        </w:rPr>
        <w:t>1.0m的波浪，出现频率分别为16.32%和7.86%。常浪向为E-ESE向，年出现频率为45.87%，全年强浪向为ENE、WNW向，Hmax最大值均超过3.0m，其中ENE向最大，Hmax最大值为3.75m。</w:t>
      </w:r>
    </w:p>
    <w:p w14:paraId="43EEC256">
      <w:pPr>
        <w:widowControl/>
        <w:ind w:firstLine="490" w:firstLineChars="175"/>
        <w:jc w:val="left"/>
        <w:outlineLvl w:val="0"/>
        <w:rPr>
          <w:rFonts w:ascii="仿宋" w:hAnsi="仿宋" w:eastAsia="仿宋" w:cs="宋体"/>
          <w:kern w:val="0"/>
          <w:sz w:val="28"/>
          <w:szCs w:val="28"/>
        </w:rPr>
      </w:pPr>
      <w:r>
        <w:rPr>
          <w:rFonts w:ascii="仿宋" w:hAnsi="仿宋" w:eastAsia="仿宋" w:cs="宋体"/>
          <w:kern w:val="0"/>
          <w:sz w:val="28"/>
          <w:szCs w:val="28"/>
        </w:rPr>
        <w:t>5、海流</w:t>
      </w:r>
    </w:p>
    <w:p w14:paraId="1153BD45">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浙能嵊泗2号海上风电场</w:t>
      </w:r>
      <w:r>
        <w:rPr>
          <w:rFonts w:ascii="仿宋" w:hAnsi="仿宋" w:eastAsia="仿宋" w:cs="Times New Roman"/>
          <w:sz w:val="28"/>
          <w:szCs w:val="28"/>
        </w:rPr>
        <w:t>海域受局地喇叭口的河口地形影响，潮流很强，基本为规则半日潮流。在湾口以及群岛区，潮流表现为典型的往复流。对</w:t>
      </w:r>
      <w:r>
        <w:rPr>
          <w:rFonts w:hint="eastAsia" w:ascii="仿宋" w:hAnsi="仿宋" w:eastAsia="仿宋" w:cs="Times New Roman"/>
          <w:sz w:val="28"/>
          <w:szCs w:val="28"/>
        </w:rPr>
        <w:t>风电场</w:t>
      </w:r>
      <w:r>
        <w:rPr>
          <w:rFonts w:ascii="仿宋" w:hAnsi="仿宋" w:eastAsia="仿宋" w:cs="Times New Roman"/>
          <w:sz w:val="28"/>
          <w:szCs w:val="28"/>
        </w:rPr>
        <w:t>场区内实测潮流资料调和分析得出，海域属正规半日潮流类型，各测站流向较为一致，基本呈100°</w:t>
      </w:r>
      <w:r>
        <w:rPr>
          <w:rFonts w:hint="eastAsia" w:ascii="仿宋" w:hAnsi="仿宋" w:eastAsia="仿宋" w:cs="Times New Roman"/>
          <w:sz w:val="28"/>
          <w:szCs w:val="28"/>
        </w:rPr>
        <w:t>～</w:t>
      </w:r>
      <w:r>
        <w:rPr>
          <w:rFonts w:ascii="仿宋" w:hAnsi="仿宋" w:eastAsia="仿宋" w:cs="Times New Roman"/>
          <w:sz w:val="28"/>
          <w:szCs w:val="28"/>
        </w:rPr>
        <w:t>280°的偏东西向流，且往复流性质很强，转流时间很短。夏季观测期间场区内C1测站的实测落潮垂线平均流速介于0.39</w:t>
      </w:r>
      <w:r>
        <w:rPr>
          <w:rFonts w:hint="eastAsia" w:ascii="仿宋" w:hAnsi="仿宋" w:eastAsia="仿宋" w:cs="Times New Roman"/>
          <w:sz w:val="28"/>
          <w:szCs w:val="28"/>
        </w:rPr>
        <w:t>～</w:t>
      </w:r>
      <w:r>
        <w:rPr>
          <w:rFonts w:ascii="仿宋" w:hAnsi="仿宋" w:eastAsia="仿宋" w:cs="Times New Roman"/>
          <w:sz w:val="28"/>
          <w:szCs w:val="28"/>
        </w:rPr>
        <w:t>0.80m/s，涨潮平均流速介于0.46</w:t>
      </w:r>
      <w:r>
        <w:rPr>
          <w:rFonts w:hint="eastAsia" w:ascii="仿宋" w:hAnsi="仿宋" w:eastAsia="仿宋" w:cs="Times New Roman"/>
          <w:sz w:val="28"/>
          <w:szCs w:val="28"/>
        </w:rPr>
        <w:t>～</w:t>
      </w:r>
      <w:r>
        <w:rPr>
          <w:rFonts w:ascii="仿宋" w:hAnsi="仿宋" w:eastAsia="仿宋" w:cs="Times New Roman"/>
          <w:sz w:val="28"/>
          <w:szCs w:val="28"/>
        </w:rPr>
        <w:t>0.89m/s；C2测站的实测落潮平均流速介于0.50~1.04m/s，涨潮平均流速介于0.51</w:t>
      </w:r>
      <w:r>
        <w:rPr>
          <w:rFonts w:hint="eastAsia" w:ascii="仿宋" w:hAnsi="仿宋" w:eastAsia="仿宋" w:cs="Times New Roman"/>
          <w:sz w:val="28"/>
          <w:szCs w:val="28"/>
        </w:rPr>
        <w:t>～</w:t>
      </w:r>
      <w:r>
        <w:rPr>
          <w:rFonts w:ascii="仿宋" w:hAnsi="仿宋" w:eastAsia="仿宋" w:cs="Times New Roman"/>
          <w:sz w:val="28"/>
          <w:szCs w:val="28"/>
        </w:rPr>
        <w:t>1.09m/s。冬季观测期间场区内C1测站的实测落潮垂线平均流速介于0.43</w:t>
      </w:r>
      <w:r>
        <w:rPr>
          <w:rFonts w:hint="eastAsia" w:ascii="仿宋" w:hAnsi="仿宋" w:eastAsia="仿宋" w:cs="Times New Roman"/>
          <w:sz w:val="28"/>
          <w:szCs w:val="28"/>
        </w:rPr>
        <w:t>～</w:t>
      </w:r>
      <w:r>
        <w:rPr>
          <w:rFonts w:ascii="仿宋" w:hAnsi="仿宋" w:eastAsia="仿宋" w:cs="Times New Roman"/>
          <w:sz w:val="28"/>
          <w:szCs w:val="28"/>
        </w:rPr>
        <w:t>0.96m/s，涨潮平均流速介于0.38</w:t>
      </w:r>
      <w:r>
        <w:rPr>
          <w:rFonts w:hint="eastAsia" w:ascii="仿宋" w:hAnsi="仿宋" w:eastAsia="仿宋" w:cs="Times New Roman"/>
          <w:sz w:val="28"/>
          <w:szCs w:val="28"/>
        </w:rPr>
        <w:t>～</w:t>
      </w:r>
      <w:r>
        <w:rPr>
          <w:rFonts w:ascii="仿宋" w:hAnsi="仿宋" w:eastAsia="仿宋" w:cs="Times New Roman"/>
          <w:sz w:val="28"/>
          <w:szCs w:val="28"/>
        </w:rPr>
        <w:t>1.03m/s；C2测站的实测落潮平均流速介于0.44</w:t>
      </w:r>
      <w:r>
        <w:rPr>
          <w:rFonts w:hint="eastAsia" w:ascii="仿宋" w:hAnsi="仿宋" w:eastAsia="仿宋" w:cs="Times New Roman"/>
          <w:sz w:val="28"/>
          <w:szCs w:val="28"/>
        </w:rPr>
        <w:t>～</w:t>
      </w:r>
      <w:r>
        <w:rPr>
          <w:rFonts w:ascii="仿宋" w:hAnsi="仿宋" w:eastAsia="仿宋" w:cs="Times New Roman"/>
          <w:sz w:val="28"/>
          <w:szCs w:val="28"/>
        </w:rPr>
        <w:t>1.00m/s，涨潮平均流速介于0.38</w:t>
      </w:r>
      <w:r>
        <w:rPr>
          <w:rFonts w:hint="eastAsia" w:ascii="仿宋" w:hAnsi="仿宋" w:eastAsia="仿宋" w:cs="Times New Roman"/>
          <w:sz w:val="28"/>
          <w:szCs w:val="28"/>
        </w:rPr>
        <w:t>-</w:t>
      </w:r>
      <w:r>
        <w:rPr>
          <w:rFonts w:ascii="仿宋" w:hAnsi="仿宋" w:eastAsia="仿宋" w:cs="Times New Roman"/>
          <w:sz w:val="28"/>
          <w:szCs w:val="28"/>
        </w:rPr>
        <w:t>0.97m/s。</w:t>
      </w:r>
    </w:p>
    <w:p w14:paraId="601696EF">
      <w:pPr>
        <w:widowControl/>
        <w:ind w:firstLine="490" w:firstLineChars="175"/>
        <w:jc w:val="left"/>
        <w:outlineLvl w:val="0"/>
        <w:rPr>
          <w:rFonts w:ascii="仿宋" w:hAnsi="仿宋" w:eastAsia="仿宋" w:cs="宋体"/>
          <w:kern w:val="0"/>
          <w:sz w:val="28"/>
          <w:szCs w:val="28"/>
        </w:rPr>
      </w:pPr>
      <w:r>
        <w:rPr>
          <w:rFonts w:ascii="仿宋" w:hAnsi="仿宋" w:eastAsia="仿宋" w:cs="宋体"/>
          <w:kern w:val="0"/>
          <w:sz w:val="28"/>
          <w:szCs w:val="28"/>
        </w:rPr>
        <w:t>6、地形地貌和地质条件</w:t>
      </w:r>
    </w:p>
    <w:p w14:paraId="0F55FADC">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浙能嵊泗2</w:t>
      </w:r>
      <w:r>
        <w:rPr>
          <w:rFonts w:hint="eastAsia" w:ascii="仿宋" w:hAnsi="仿宋" w:eastAsia="仿宋" w:cs="Times New Roman"/>
          <w:sz w:val="28"/>
          <w:szCs w:val="28"/>
        </w:rPr>
        <w:t>号</w:t>
      </w:r>
      <w:r>
        <w:rPr>
          <w:rFonts w:ascii="仿宋" w:hAnsi="仿宋" w:eastAsia="仿宋" w:cs="Times New Roman"/>
          <w:sz w:val="28"/>
          <w:szCs w:val="28"/>
        </w:rPr>
        <w:t>海上风电场位于杭州湾内侧，风电场中心点离岸距离约20km，场区地形整体较平缓，局部区域地形起伏较大，场区南侧区域分布岛礁，礁石附近地形变化较大，泥面高程-47.0</w:t>
      </w:r>
      <w:r>
        <w:rPr>
          <w:rFonts w:hint="eastAsia" w:ascii="仿宋" w:hAnsi="仿宋" w:eastAsia="仿宋" w:cs="Times New Roman"/>
          <w:sz w:val="28"/>
          <w:szCs w:val="28"/>
        </w:rPr>
        <w:t>～</w:t>
      </w:r>
      <w:r>
        <w:rPr>
          <w:rFonts w:ascii="仿宋" w:hAnsi="仿宋" w:eastAsia="仿宋" w:cs="Times New Roman"/>
          <w:sz w:val="28"/>
          <w:szCs w:val="28"/>
        </w:rPr>
        <w:t>-5.0m；东区东南角临近岛礁，地势较低，泥面高程-36.0~-20.0m。风机主要布置在场区北侧，风机布置区域地形较平缓，泥面高程-13.8</w:t>
      </w:r>
      <w:r>
        <w:rPr>
          <w:rFonts w:hint="eastAsia" w:ascii="仿宋" w:hAnsi="仿宋" w:eastAsia="仿宋" w:cs="Times New Roman"/>
          <w:sz w:val="28"/>
          <w:szCs w:val="28"/>
        </w:rPr>
        <w:t>～</w:t>
      </w:r>
      <w:r>
        <w:rPr>
          <w:rFonts w:ascii="仿宋" w:hAnsi="仿宋" w:eastAsia="仿宋" w:cs="Times New Roman"/>
          <w:sz w:val="28"/>
          <w:szCs w:val="28"/>
        </w:rPr>
        <w:t>10.0m，表层以淤泥质土为主。</w:t>
      </w:r>
    </w:p>
    <w:p w14:paraId="48861ED0">
      <w:pPr>
        <w:spacing w:line="560" w:lineRule="exact"/>
        <w:ind w:left="0" w:firstLine="629"/>
        <w:jc w:val="left"/>
        <w:rPr>
          <w:rFonts w:ascii="仿宋" w:hAnsi="仿宋" w:eastAsia="仿宋" w:cs="Times New Roman"/>
          <w:sz w:val="28"/>
          <w:szCs w:val="28"/>
        </w:rPr>
      </w:pPr>
      <w:r>
        <w:rPr>
          <w:rFonts w:ascii="仿宋" w:hAnsi="仿宋" w:eastAsia="仿宋" w:cs="Times New Roman"/>
          <w:sz w:val="28"/>
          <w:szCs w:val="28"/>
        </w:rPr>
        <w:t>根据已完成的静探孔和钻孔揭露的地层结构、岩性特征、埋藏条件及物理力学性质，结合浙江省地方标准《工程建设岩土工程勘察规范》（DB33/T1065-2009），勘探深度内（勘探孔最深85.00m）均为第四系沉积物。本场区勘探深度范围内上部为全新世（Q4）浅海相沉积的淤泥质粘土、淤泥质粉质粘土，中下部为上更新世（Q3）河口～滨海相沉积的粉砂、粉质粘土。</w:t>
      </w:r>
    </w:p>
    <w:p w14:paraId="3C973255">
      <w:pPr>
        <w:widowControl/>
        <w:ind w:firstLine="420" w:firstLineChars="175"/>
        <w:jc w:val="center"/>
        <w:rPr>
          <w:rFonts w:ascii="仿宋" w:hAnsi="仿宋" w:eastAsia="仿宋"/>
          <w:sz w:val="24"/>
        </w:rPr>
      </w:pPr>
    </w:p>
    <w:bookmarkEnd w:id="5"/>
    <w:bookmarkEnd w:id="6"/>
    <w:p w14:paraId="7EAF4759">
      <w:pPr>
        <w:widowControl/>
        <w:jc w:val="left"/>
        <w:rPr>
          <w:rFonts w:ascii="仿宋" w:hAnsi="仿宋" w:eastAsia="仿宋"/>
          <w:snapToGrid w:val="0"/>
        </w:rPr>
      </w:pPr>
    </w:p>
    <w:p w14:paraId="060F85A9">
      <w:pPr>
        <w:widowControl/>
        <w:ind w:firstLine="492" w:firstLineChars="175"/>
        <w:jc w:val="left"/>
        <w:outlineLvl w:val="0"/>
        <w:rPr>
          <w:rFonts w:ascii="仿宋" w:hAnsi="仿宋" w:eastAsia="仿宋" w:cs="宋体"/>
          <w:b/>
          <w:kern w:val="0"/>
          <w:sz w:val="28"/>
          <w:szCs w:val="28"/>
        </w:rPr>
      </w:pPr>
      <w:r>
        <w:rPr>
          <w:rFonts w:ascii="仿宋" w:hAnsi="仿宋" w:eastAsia="仿宋" w:cs="宋体"/>
          <w:b/>
          <w:kern w:val="0"/>
          <w:sz w:val="28"/>
          <w:szCs w:val="28"/>
        </w:rPr>
        <w:t>三</w:t>
      </w:r>
      <w:r>
        <w:rPr>
          <w:rFonts w:hint="eastAsia" w:ascii="仿宋" w:hAnsi="仿宋" w:eastAsia="仿宋" w:cs="宋体"/>
          <w:b/>
          <w:kern w:val="0"/>
          <w:sz w:val="28"/>
          <w:szCs w:val="28"/>
        </w:rPr>
        <w:t>、</w:t>
      </w:r>
      <w:r>
        <w:rPr>
          <w:rFonts w:ascii="仿宋" w:hAnsi="仿宋" w:eastAsia="仿宋" w:cs="宋体"/>
          <w:b/>
          <w:kern w:val="0"/>
          <w:sz w:val="28"/>
          <w:szCs w:val="28"/>
        </w:rPr>
        <w:t>海上构建筑物</w:t>
      </w:r>
      <w:r>
        <w:rPr>
          <w:rFonts w:hint="eastAsia" w:ascii="仿宋" w:hAnsi="仿宋" w:eastAsia="仿宋" w:cs="宋体"/>
          <w:b/>
          <w:kern w:val="0"/>
          <w:sz w:val="28"/>
          <w:szCs w:val="28"/>
        </w:rPr>
        <w:t>情况</w:t>
      </w:r>
    </w:p>
    <w:p w14:paraId="41366C93">
      <w:pPr>
        <w:spacing w:line="360" w:lineRule="auto"/>
        <w:ind w:firstLine="562" w:firstLineChars="200"/>
        <w:rPr>
          <w:rFonts w:ascii="仿宋" w:hAnsi="仿宋" w:eastAsia="仿宋" w:cs="Times New Roman"/>
          <w:b/>
          <w:sz w:val="28"/>
          <w:szCs w:val="28"/>
        </w:rPr>
      </w:pPr>
      <w:r>
        <w:rPr>
          <w:rFonts w:ascii="仿宋" w:hAnsi="仿宋" w:eastAsia="仿宋" w:cs="Times New Roman"/>
          <w:b/>
          <w:sz w:val="28"/>
          <w:szCs w:val="28"/>
        </w:rPr>
        <w:t>3</w:t>
      </w:r>
      <w:r>
        <w:rPr>
          <w:rFonts w:hint="eastAsia" w:ascii="仿宋" w:hAnsi="仿宋" w:eastAsia="仿宋" w:cs="Times New Roman"/>
          <w:b/>
          <w:sz w:val="28"/>
          <w:szCs w:val="28"/>
        </w:rPr>
        <w:t>.1风机情况</w:t>
      </w:r>
    </w:p>
    <w:p w14:paraId="7D2E4A97">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浙能嵊泗2号海上风电场共布置63台风机，其中1#~32#机位采用上海电气SWT-6.25-172</w:t>
      </w:r>
      <w:r>
        <w:rPr>
          <w:rFonts w:ascii="仿宋" w:hAnsi="仿宋" w:eastAsia="仿宋" w:cs="Times New Roman"/>
          <w:sz w:val="28"/>
          <w:szCs w:val="28"/>
        </w:rPr>
        <w:t>风机</w:t>
      </w:r>
      <w:r>
        <w:rPr>
          <w:rFonts w:hint="eastAsia" w:ascii="仿宋" w:hAnsi="仿宋" w:eastAsia="仿宋" w:cs="Times New Roman"/>
          <w:sz w:val="28"/>
          <w:szCs w:val="28"/>
        </w:rPr>
        <w:t>机组，采用超大直径单桩基础型式，单桩直径为7.8m，钢管桩平均桩长约74m，入土深度约5 1.0m，桩底平均高程-61.0m，桩顶高程为13.0m。单桩基础附属构件采用集成式套笼结构，将外平台、防撞构件、爬梯、电缆护管及牺牲阳极等组装为整体，运输至施工现场后吊装。风机基础与上部风机塔筒采用法兰连接，冲刷防护采用原位固化土方案。</w:t>
      </w:r>
    </w:p>
    <w:p w14:paraId="6261D677">
      <w:pPr>
        <w:spacing w:line="360"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33#~63#机位采用明阳</w:t>
      </w:r>
      <w:r>
        <w:rPr>
          <w:rFonts w:ascii="仿宋" w:hAnsi="仿宋" w:eastAsia="仿宋" w:cs="Times New Roman"/>
          <w:sz w:val="28"/>
          <w:szCs w:val="28"/>
        </w:rPr>
        <w:t>6</w:t>
      </w:r>
      <w:r>
        <w:rPr>
          <w:rFonts w:hint="eastAsia" w:ascii="仿宋" w:hAnsi="仿宋" w:eastAsia="仿宋" w:cs="Times New Roman"/>
          <w:sz w:val="28"/>
          <w:szCs w:val="28"/>
        </w:rPr>
        <w:t>.45MW</w:t>
      </w:r>
      <w:r>
        <w:rPr>
          <w:rFonts w:ascii="仿宋" w:hAnsi="仿宋" w:eastAsia="仿宋" w:cs="Times New Roman"/>
          <w:sz w:val="28"/>
          <w:szCs w:val="28"/>
        </w:rPr>
        <w:t>风机机组</w:t>
      </w:r>
      <w:r>
        <w:rPr>
          <w:rFonts w:hint="eastAsia" w:ascii="仿宋" w:hAnsi="仿宋" w:eastAsia="仿宋" w:cs="Times New Roman"/>
          <w:sz w:val="28"/>
          <w:szCs w:val="28"/>
        </w:rPr>
        <w:t>，采用高桩混凝土承台基础型式。承台基础由混凝土承台和</w:t>
      </w:r>
      <w:r>
        <w:rPr>
          <w:rFonts w:ascii="仿宋" w:hAnsi="仿宋" w:eastAsia="仿宋" w:cs="Times New Roman"/>
          <w:sz w:val="28"/>
          <w:szCs w:val="28"/>
        </w:rPr>
        <w:t>6</w:t>
      </w:r>
      <w:r>
        <w:rPr>
          <w:rFonts w:hint="eastAsia" w:ascii="仿宋" w:hAnsi="仿宋" w:eastAsia="仿宋" w:cs="Times New Roman"/>
          <w:sz w:val="28"/>
          <w:szCs w:val="28"/>
        </w:rPr>
        <w:t>根斜钢管桩组成，混凝土承台直径为15.8m，承台厚度为4.5m，承台采用C45海工高性能混凝土。</w:t>
      </w:r>
      <w:r>
        <w:rPr>
          <w:rFonts w:ascii="仿宋" w:hAnsi="仿宋" w:eastAsia="仿宋" w:cs="Times New Roman"/>
          <w:sz w:val="28"/>
          <w:szCs w:val="28"/>
        </w:rPr>
        <w:t>6</w:t>
      </w:r>
      <w:r>
        <w:rPr>
          <w:rFonts w:hint="eastAsia" w:ascii="仿宋" w:hAnsi="仿宋" w:eastAsia="仿宋" w:cs="Times New Roman"/>
          <w:sz w:val="28"/>
          <w:szCs w:val="28"/>
        </w:rPr>
        <w:t>根钢管桩在桩顶圆周均匀分布，埋入承台深度</w:t>
      </w:r>
      <w:r>
        <w:rPr>
          <w:rFonts w:ascii="仿宋" w:hAnsi="仿宋" w:eastAsia="仿宋" w:cs="Times New Roman"/>
          <w:sz w:val="28"/>
          <w:szCs w:val="28"/>
        </w:rPr>
        <w:t>2</w:t>
      </w:r>
      <w:r>
        <w:rPr>
          <w:rFonts w:hint="eastAsia" w:ascii="仿宋" w:hAnsi="仿宋" w:eastAsia="仿宋" w:cs="Times New Roman"/>
          <w:sz w:val="28"/>
          <w:szCs w:val="28"/>
        </w:rPr>
        <w:t>.3</w:t>
      </w:r>
      <w:r>
        <w:rPr>
          <w:rFonts w:ascii="仿宋" w:hAnsi="仿宋" w:eastAsia="仿宋" w:cs="Times New Roman"/>
          <w:sz w:val="28"/>
          <w:szCs w:val="28"/>
        </w:rPr>
        <w:t>m，</w:t>
      </w:r>
      <w:r>
        <w:rPr>
          <w:rFonts w:hint="eastAsia" w:ascii="仿宋" w:hAnsi="仿宋" w:eastAsia="仿宋" w:cs="Times New Roman"/>
          <w:sz w:val="28"/>
          <w:szCs w:val="28"/>
        </w:rPr>
        <w:t>桩长约 90m。风机底节塔筒通过预应力螺栓锚固于混凝土承台。</w:t>
      </w:r>
    </w:p>
    <w:p w14:paraId="474EE67F">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每台高桩承台风机6根钢管桩上均安装6块牺牲阳极块，共计有36块。每台单桩风机安装牺牲阳极块17块。</w:t>
      </w:r>
    </w:p>
    <w:p w14:paraId="5059FF7B">
      <w:pPr>
        <w:pStyle w:val="31"/>
        <w:spacing w:before="72" w:after="72"/>
        <w:ind w:left="480" w:hanging="480" w:hangingChars="200"/>
        <w:jc w:val="left"/>
        <w:rPr>
          <w:rFonts w:ascii="仿宋" w:hAnsi="仿宋" w:eastAsia="仿宋"/>
          <w:sz w:val="24"/>
        </w:rPr>
      </w:pPr>
    </w:p>
    <w:p w14:paraId="5C1498F9">
      <w:pPr>
        <w:widowControl/>
        <w:ind w:firstLine="492" w:firstLineChars="175"/>
        <w:jc w:val="left"/>
        <w:outlineLvl w:val="0"/>
        <w:rPr>
          <w:rFonts w:ascii="仿宋" w:hAnsi="仿宋" w:eastAsia="仿宋" w:cs="宋体"/>
          <w:b/>
          <w:kern w:val="0"/>
          <w:sz w:val="28"/>
          <w:szCs w:val="28"/>
        </w:rPr>
      </w:pPr>
      <w:bookmarkStart w:id="8" w:name="_Toc131102013"/>
      <w:r>
        <w:rPr>
          <w:rFonts w:ascii="仿宋" w:hAnsi="仿宋" w:eastAsia="仿宋" w:cs="宋体"/>
          <w:b/>
          <w:kern w:val="0"/>
          <w:sz w:val="28"/>
          <w:szCs w:val="28"/>
        </w:rPr>
        <w:t>3</w:t>
      </w:r>
      <w:r>
        <w:rPr>
          <w:rFonts w:hint="eastAsia" w:ascii="仿宋" w:hAnsi="仿宋" w:eastAsia="仿宋" w:cs="宋体"/>
          <w:b/>
          <w:kern w:val="0"/>
          <w:sz w:val="28"/>
          <w:szCs w:val="28"/>
        </w:rPr>
        <w:t>.2海上升压站</w:t>
      </w:r>
      <w:bookmarkEnd w:id="8"/>
      <w:r>
        <w:rPr>
          <w:rFonts w:hint="eastAsia" w:ascii="仿宋" w:hAnsi="仿宋" w:eastAsia="仿宋" w:cs="宋体"/>
          <w:b/>
          <w:kern w:val="0"/>
          <w:sz w:val="28"/>
          <w:szCs w:val="28"/>
        </w:rPr>
        <w:t>情况</w:t>
      </w:r>
    </w:p>
    <w:p w14:paraId="4F71C1E4">
      <w:pPr>
        <w:spacing w:line="360" w:lineRule="auto"/>
        <w:ind w:firstLine="560" w:firstLineChars="200"/>
        <w:rPr>
          <w:rStyle w:val="53"/>
          <w:rFonts w:ascii="仿宋" w:hAnsi="仿宋" w:eastAsia="仿宋" w:cs="仿宋"/>
          <w:sz w:val="28"/>
          <w:szCs w:val="28"/>
        </w:rPr>
      </w:pPr>
      <w:r>
        <w:rPr>
          <w:rStyle w:val="53"/>
          <w:rFonts w:hint="eastAsia" w:ascii="仿宋" w:hAnsi="仿宋" w:eastAsia="仿宋" w:cs="仿宋"/>
          <w:sz w:val="28"/>
          <w:szCs w:val="28"/>
        </w:rPr>
        <w:t>海上升压站下部基础采用</w:t>
      </w:r>
      <w:r>
        <w:rPr>
          <w:rStyle w:val="53"/>
          <w:rFonts w:ascii="仿宋" w:hAnsi="仿宋" w:eastAsia="仿宋" w:cs="仿宋"/>
          <w:sz w:val="28"/>
          <w:szCs w:val="28"/>
        </w:rPr>
        <w:t>4</w:t>
      </w:r>
      <w:r>
        <w:rPr>
          <w:rStyle w:val="53"/>
          <w:rFonts w:hint="eastAsia" w:ascii="仿宋" w:hAnsi="仿宋" w:eastAsia="仿宋" w:cs="仿宋"/>
          <w:sz w:val="28"/>
          <w:szCs w:val="28"/>
        </w:rPr>
        <w:t>腿导管架型式，导管架</w:t>
      </w:r>
      <w:r>
        <w:rPr>
          <w:rStyle w:val="53"/>
          <w:rFonts w:ascii="仿宋" w:hAnsi="仿宋" w:eastAsia="仿宋" w:cs="仿宋"/>
          <w:sz w:val="28"/>
          <w:szCs w:val="28"/>
        </w:rPr>
        <w:t>4个面斜度为10：1，平面</w:t>
      </w:r>
      <w:r>
        <w:rPr>
          <w:rStyle w:val="53"/>
          <w:rFonts w:hint="eastAsia" w:ascii="仿宋" w:hAnsi="仿宋" w:eastAsia="仿宋" w:cs="仿宋"/>
          <w:sz w:val="28"/>
          <w:szCs w:val="28"/>
        </w:rPr>
        <w:t xml:space="preserve">尺寸18.5m </w:t>
      </w:r>
      <w:r>
        <w:rPr>
          <w:rStyle w:val="53"/>
          <w:rFonts w:ascii="仿宋" w:hAnsi="仿宋" w:eastAsia="仿宋" w:cs="仿宋"/>
          <w:sz w:val="28"/>
          <w:szCs w:val="28"/>
        </w:rPr>
        <w:t>*</w:t>
      </w:r>
      <w:r>
        <w:rPr>
          <w:rStyle w:val="53"/>
          <w:rFonts w:hint="eastAsia" w:ascii="仿宋" w:hAnsi="仿宋" w:eastAsia="仿宋" w:cs="仿宋"/>
          <w:sz w:val="28"/>
          <w:szCs w:val="28"/>
        </w:rPr>
        <w:t xml:space="preserve">26.0m </w:t>
      </w:r>
      <w:r>
        <w:rPr>
          <w:rStyle w:val="53"/>
          <w:rFonts w:ascii="仿宋" w:hAnsi="仿宋" w:eastAsia="仿宋" w:cs="仿宋"/>
          <w:sz w:val="28"/>
          <w:szCs w:val="28"/>
        </w:rPr>
        <w:t>*</w:t>
      </w:r>
      <w:r>
        <w:rPr>
          <w:rStyle w:val="53"/>
          <w:rFonts w:hint="eastAsia" w:ascii="仿宋" w:hAnsi="仿宋" w:eastAsia="仿宋" w:cs="仿宋"/>
          <w:sz w:val="28"/>
          <w:szCs w:val="28"/>
        </w:rPr>
        <w:t>3.7m。导管架顶标高</w:t>
      </w:r>
      <w:r>
        <w:rPr>
          <w:rStyle w:val="53"/>
          <w:rFonts w:ascii="仿宋" w:hAnsi="仿宋" w:eastAsia="仿宋" w:cs="仿宋"/>
          <w:sz w:val="28"/>
          <w:szCs w:val="28"/>
        </w:rPr>
        <w:t>1</w:t>
      </w:r>
      <w:r>
        <w:rPr>
          <w:rStyle w:val="53"/>
          <w:rFonts w:hint="eastAsia" w:ascii="仿宋" w:hAnsi="仿宋" w:eastAsia="仿宋" w:cs="仿宋"/>
          <w:sz w:val="28"/>
          <w:szCs w:val="28"/>
        </w:rPr>
        <w:t>1.70m，底标高</w:t>
      </w:r>
      <w:r>
        <w:rPr>
          <w:rStyle w:val="53"/>
          <w:rFonts w:ascii="仿宋" w:hAnsi="仿宋" w:eastAsia="仿宋" w:cs="仿宋"/>
          <w:sz w:val="28"/>
          <w:szCs w:val="28"/>
        </w:rPr>
        <w:t>-</w:t>
      </w:r>
      <w:r>
        <w:rPr>
          <w:rStyle w:val="53"/>
          <w:rFonts w:hint="eastAsia" w:ascii="仿宋" w:hAnsi="仿宋" w:eastAsia="仿宋" w:cs="仿宋"/>
          <w:sz w:val="28"/>
          <w:szCs w:val="28"/>
        </w:rPr>
        <w:t>12 .00m。主桩腿采用直径为</w:t>
      </w:r>
      <w:r>
        <w:rPr>
          <w:rStyle w:val="53"/>
          <w:rFonts w:ascii="仿宋" w:hAnsi="仿宋" w:eastAsia="仿宋" w:cs="仿宋"/>
          <w:sz w:val="28"/>
          <w:szCs w:val="28"/>
        </w:rPr>
        <w:t>2</w:t>
      </w:r>
      <w:r>
        <w:rPr>
          <w:rStyle w:val="53"/>
          <w:rFonts w:hint="eastAsia" w:ascii="仿宋" w:hAnsi="仿宋" w:eastAsia="仿宋" w:cs="仿宋"/>
          <w:sz w:val="28"/>
          <w:szCs w:val="28"/>
        </w:rPr>
        <w:t>550/2530mm、壁厚</w:t>
      </w:r>
      <w:r>
        <w:rPr>
          <w:rStyle w:val="53"/>
          <w:rFonts w:ascii="仿宋" w:hAnsi="仿宋" w:eastAsia="仿宋" w:cs="仿宋"/>
          <w:sz w:val="28"/>
          <w:szCs w:val="28"/>
        </w:rPr>
        <w:t>5</w:t>
      </w:r>
      <w:r>
        <w:rPr>
          <w:rStyle w:val="53"/>
          <w:rFonts w:hint="eastAsia" w:ascii="仿宋" w:hAnsi="仿宋" w:eastAsia="仿宋" w:cs="仿宋"/>
          <w:sz w:val="28"/>
          <w:szCs w:val="28"/>
        </w:rPr>
        <w:t>5/45mm</w:t>
      </w:r>
      <w:r>
        <w:rPr>
          <w:rStyle w:val="53"/>
          <w:rFonts w:ascii="仿宋" w:hAnsi="仿宋" w:eastAsia="仿宋" w:cs="仿宋"/>
          <w:sz w:val="28"/>
          <w:szCs w:val="28"/>
        </w:rPr>
        <w:t>的钢管成矩形布</w:t>
      </w:r>
      <w:r>
        <w:rPr>
          <w:rStyle w:val="53"/>
          <w:rFonts w:hint="eastAsia" w:ascii="仿宋" w:hAnsi="仿宋" w:eastAsia="仿宋" w:cs="仿宋"/>
          <w:sz w:val="28"/>
          <w:szCs w:val="28"/>
        </w:rPr>
        <w:t>置，在标高10 .2</w:t>
      </w:r>
      <w:r>
        <w:rPr>
          <w:rStyle w:val="53"/>
          <w:rFonts w:ascii="仿宋" w:hAnsi="仿宋" w:eastAsia="仿宋" w:cs="仿宋"/>
          <w:sz w:val="28"/>
          <w:szCs w:val="28"/>
        </w:rPr>
        <w:t>m、-10.0m处设水平拉筋</w:t>
      </w:r>
      <w:r>
        <w:rPr>
          <w:rStyle w:val="53"/>
          <w:rFonts w:hint="eastAsia" w:ascii="仿宋" w:hAnsi="仿宋" w:eastAsia="仿宋" w:cs="仿宋"/>
          <w:sz w:val="28"/>
          <w:szCs w:val="28"/>
        </w:rPr>
        <w:t>Φ</w:t>
      </w:r>
      <w:r>
        <w:rPr>
          <w:rStyle w:val="53"/>
          <w:rFonts w:ascii="仿宋" w:hAnsi="仿宋" w:eastAsia="仿宋" w:cs="仿宋"/>
          <w:sz w:val="28"/>
          <w:szCs w:val="28"/>
        </w:rPr>
        <w:t>1200钢管及斜拉筋</w:t>
      </w:r>
      <w:r>
        <w:rPr>
          <w:rStyle w:val="53"/>
          <w:rFonts w:hint="eastAsia" w:ascii="仿宋" w:hAnsi="仿宋" w:eastAsia="仿宋" w:cs="仿宋"/>
          <w:sz w:val="28"/>
          <w:szCs w:val="28"/>
        </w:rPr>
        <w:t>Φ</w:t>
      </w:r>
      <w:r>
        <w:rPr>
          <w:rStyle w:val="53"/>
          <w:rFonts w:ascii="仿宋" w:hAnsi="仿宋" w:eastAsia="仿宋" w:cs="仿宋"/>
          <w:sz w:val="28"/>
          <w:szCs w:val="28"/>
        </w:rPr>
        <w:t>1200</w:t>
      </w:r>
      <w:r>
        <w:rPr>
          <w:rStyle w:val="53"/>
          <w:rFonts w:hint="eastAsia" w:ascii="仿宋" w:hAnsi="仿宋" w:eastAsia="仿宋" w:cs="仿宋"/>
          <w:sz w:val="28"/>
          <w:szCs w:val="28"/>
        </w:rPr>
        <w:t>钢管，导管架局部节点用钢材DH36-Z35加强。导管架上设靠船构件、登船平台等附属构件。下部导管架重约 1104t 。</w:t>
      </w:r>
    </w:p>
    <w:p w14:paraId="6F5A599B">
      <w:pPr>
        <w:spacing w:line="360" w:lineRule="auto"/>
        <w:ind w:firstLine="560" w:firstLineChars="200"/>
        <w:rPr>
          <w:rStyle w:val="53"/>
          <w:rFonts w:hint="eastAsia" w:ascii="仿宋" w:hAnsi="仿宋" w:eastAsia="仿宋" w:cs="仿宋"/>
          <w:sz w:val="28"/>
          <w:szCs w:val="28"/>
        </w:rPr>
      </w:pPr>
      <w:r>
        <w:rPr>
          <w:rStyle w:val="53"/>
          <w:rFonts w:hint="eastAsia" w:ascii="仿宋" w:hAnsi="仿宋" w:eastAsia="仿宋" w:cs="仿宋"/>
          <w:sz w:val="28"/>
          <w:szCs w:val="28"/>
        </w:rPr>
        <w:t>钢管桩采用Φ2300开口变壁厚钢管桩，共</w:t>
      </w:r>
      <w:r>
        <w:rPr>
          <w:rStyle w:val="53"/>
          <w:rFonts w:ascii="仿宋" w:hAnsi="仿宋" w:eastAsia="仿宋" w:cs="仿宋"/>
          <w:sz w:val="28"/>
          <w:szCs w:val="28"/>
        </w:rPr>
        <w:t>4</w:t>
      </w:r>
      <w:r>
        <w:rPr>
          <w:rStyle w:val="53"/>
          <w:rFonts w:hint="eastAsia" w:ascii="仿宋" w:hAnsi="仿宋" w:eastAsia="仿宋" w:cs="仿宋"/>
          <w:sz w:val="28"/>
          <w:szCs w:val="28"/>
        </w:rPr>
        <w:t>根，壁厚为40</w:t>
      </w:r>
      <w:r>
        <w:rPr>
          <w:rStyle w:val="53"/>
          <w:rFonts w:ascii="仿宋" w:hAnsi="仿宋" w:eastAsia="仿宋" w:cs="仿宋"/>
          <w:sz w:val="28"/>
          <w:szCs w:val="28"/>
        </w:rPr>
        <w:t>~60mm，</w:t>
      </w:r>
      <w:r>
        <w:rPr>
          <w:rStyle w:val="53"/>
          <w:rFonts w:hint="eastAsia" w:ascii="仿宋" w:hAnsi="仿宋" w:eastAsia="仿宋" w:cs="仿宋"/>
          <w:sz w:val="28"/>
          <w:szCs w:val="28"/>
        </w:rPr>
        <w:t>桩长约为</w:t>
      </w:r>
      <w:r>
        <w:rPr>
          <w:rStyle w:val="53"/>
          <w:rFonts w:ascii="仿宋" w:hAnsi="仿宋" w:eastAsia="仿宋" w:cs="仿宋"/>
          <w:sz w:val="28"/>
          <w:szCs w:val="28"/>
        </w:rPr>
        <w:t>82</w:t>
      </w:r>
      <w:r>
        <w:rPr>
          <w:rStyle w:val="53"/>
          <w:rFonts w:hint="eastAsia" w:ascii="仿宋" w:hAnsi="仿宋" w:eastAsia="仿宋" w:cs="仿宋"/>
          <w:sz w:val="28"/>
          <w:szCs w:val="28"/>
        </w:rPr>
        <w:t>.8m，桩顶高程为12.50m，桩底高程为-69.0m，桩入泥约57.40m，以④-3粉砂层为桩基持力层。钢管桩在陆上加工制作，用打桩船沉桩施工。单根桩重约207.9t，钢管桩长度82.8m，钢管桩总重约831.6t。</w:t>
      </w:r>
    </w:p>
    <w:p w14:paraId="2B3C5292">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海上升压站共有牺牲阳极块72块。</w:t>
      </w:r>
    </w:p>
    <w:p w14:paraId="3316ED6C">
      <w:pPr>
        <w:widowControl/>
        <w:spacing w:before="60" w:after="60" w:line="360" w:lineRule="auto"/>
        <w:ind w:firstLine="498" w:firstLineChars="177"/>
        <w:jc w:val="left"/>
        <w:rPr>
          <w:rFonts w:ascii="仿宋" w:hAnsi="仿宋" w:eastAsia="仿宋"/>
          <w:b/>
          <w:sz w:val="28"/>
          <w:szCs w:val="28"/>
        </w:rPr>
      </w:pPr>
      <w:r>
        <w:rPr>
          <w:rFonts w:ascii="仿宋" w:hAnsi="仿宋" w:eastAsia="仿宋"/>
          <w:b/>
          <w:sz w:val="28"/>
          <w:szCs w:val="28"/>
        </w:rPr>
        <w:t>四</w:t>
      </w:r>
      <w:r>
        <w:rPr>
          <w:rFonts w:hint="eastAsia" w:ascii="仿宋" w:hAnsi="仿宋" w:eastAsia="仿宋"/>
          <w:b/>
          <w:sz w:val="28"/>
          <w:szCs w:val="28"/>
        </w:rPr>
        <w:t>、</w:t>
      </w:r>
      <w:r>
        <w:rPr>
          <w:rFonts w:ascii="仿宋" w:hAnsi="仿宋" w:eastAsia="仿宋"/>
          <w:b/>
          <w:sz w:val="28"/>
          <w:szCs w:val="28"/>
        </w:rPr>
        <w:t>基础防腐检测</w:t>
      </w:r>
      <w:r>
        <w:rPr>
          <w:rFonts w:hint="eastAsia" w:ascii="仿宋" w:hAnsi="仿宋" w:eastAsia="仿宋"/>
          <w:b/>
          <w:sz w:val="28"/>
          <w:szCs w:val="28"/>
        </w:rPr>
        <w:t>服务</w:t>
      </w:r>
      <w:r>
        <w:rPr>
          <w:rFonts w:ascii="仿宋" w:hAnsi="仿宋" w:eastAsia="仿宋"/>
          <w:b/>
          <w:sz w:val="28"/>
          <w:szCs w:val="28"/>
        </w:rPr>
        <w:t>工作内容（包括但不限于）：</w:t>
      </w:r>
    </w:p>
    <w:p w14:paraId="334D87C2">
      <w:pPr>
        <w:widowControl/>
        <w:spacing w:before="60" w:after="60" w:line="360" w:lineRule="auto"/>
        <w:ind w:firstLine="498" w:firstLineChars="177"/>
        <w:jc w:val="left"/>
        <w:rPr>
          <w:rFonts w:ascii="仿宋" w:hAnsi="仿宋" w:eastAsia="仿宋"/>
          <w:b/>
          <w:sz w:val="28"/>
          <w:szCs w:val="28"/>
        </w:rPr>
      </w:pPr>
      <w:r>
        <w:rPr>
          <w:rFonts w:ascii="仿宋" w:hAnsi="仿宋" w:eastAsia="仿宋"/>
          <w:b/>
          <w:sz w:val="28"/>
          <w:szCs w:val="28"/>
        </w:rPr>
        <w:t>4</w:t>
      </w:r>
      <w:r>
        <w:rPr>
          <w:rFonts w:hint="eastAsia" w:ascii="仿宋" w:hAnsi="仿宋" w:eastAsia="仿宋"/>
          <w:b/>
          <w:sz w:val="28"/>
          <w:szCs w:val="28"/>
        </w:rPr>
        <w:t>.1工程量清单</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635"/>
        <w:gridCol w:w="767"/>
        <w:gridCol w:w="851"/>
        <w:gridCol w:w="3458"/>
      </w:tblGrid>
      <w:tr w14:paraId="5D0B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ECDACAE">
            <w:pPr>
              <w:widowControl/>
              <w:spacing w:before="60" w:after="60" w:line="360" w:lineRule="auto"/>
              <w:jc w:val="center"/>
              <w:rPr>
                <w:rFonts w:ascii="仿宋" w:hAnsi="仿宋" w:eastAsia="仿宋"/>
                <w:szCs w:val="21"/>
              </w:rPr>
            </w:pPr>
            <w:r>
              <w:rPr>
                <w:rFonts w:ascii="仿宋" w:hAnsi="仿宋" w:eastAsia="仿宋"/>
                <w:szCs w:val="21"/>
              </w:rPr>
              <w:t>序号</w:t>
            </w:r>
          </w:p>
        </w:tc>
        <w:tc>
          <w:tcPr>
            <w:tcW w:w="2635" w:type="dxa"/>
            <w:vAlign w:val="center"/>
          </w:tcPr>
          <w:p w14:paraId="5BA9CF35">
            <w:pPr>
              <w:widowControl/>
              <w:spacing w:before="60" w:after="60" w:line="360" w:lineRule="auto"/>
              <w:jc w:val="center"/>
              <w:rPr>
                <w:rFonts w:ascii="仿宋" w:hAnsi="仿宋" w:eastAsia="仿宋"/>
                <w:szCs w:val="21"/>
              </w:rPr>
            </w:pPr>
            <w:r>
              <w:rPr>
                <w:rFonts w:ascii="仿宋" w:hAnsi="仿宋" w:eastAsia="仿宋"/>
                <w:szCs w:val="21"/>
              </w:rPr>
              <w:t>工作内容</w:t>
            </w:r>
          </w:p>
        </w:tc>
        <w:tc>
          <w:tcPr>
            <w:tcW w:w="767" w:type="dxa"/>
            <w:vAlign w:val="center"/>
          </w:tcPr>
          <w:p w14:paraId="6A18E0E4">
            <w:pPr>
              <w:widowControl/>
              <w:spacing w:before="60" w:after="60" w:line="360" w:lineRule="auto"/>
              <w:jc w:val="center"/>
              <w:rPr>
                <w:rFonts w:ascii="仿宋" w:hAnsi="仿宋" w:eastAsia="仿宋"/>
                <w:szCs w:val="21"/>
              </w:rPr>
            </w:pPr>
            <w:r>
              <w:rPr>
                <w:rFonts w:ascii="仿宋" w:hAnsi="仿宋" w:eastAsia="仿宋"/>
                <w:szCs w:val="21"/>
              </w:rPr>
              <w:t>数量</w:t>
            </w:r>
          </w:p>
        </w:tc>
        <w:tc>
          <w:tcPr>
            <w:tcW w:w="851" w:type="dxa"/>
            <w:vAlign w:val="center"/>
          </w:tcPr>
          <w:p w14:paraId="5BFC2122">
            <w:pPr>
              <w:widowControl/>
              <w:spacing w:before="60" w:after="60" w:line="360" w:lineRule="auto"/>
              <w:jc w:val="center"/>
              <w:rPr>
                <w:rFonts w:ascii="仿宋" w:hAnsi="仿宋" w:eastAsia="仿宋"/>
                <w:szCs w:val="21"/>
              </w:rPr>
            </w:pPr>
            <w:r>
              <w:rPr>
                <w:rFonts w:ascii="仿宋" w:hAnsi="仿宋" w:eastAsia="仿宋"/>
                <w:szCs w:val="21"/>
              </w:rPr>
              <w:t>单位</w:t>
            </w:r>
          </w:p>
        </w:tc>
        <w:tc>
          <w:tcPr>
            <w:tcW w:w="3458" w:type="dxa"/>
            <w:vAlign w:val="center"/>
          </w:tcPr>
          <w:p w14:paraId="6C25B7F2">
            <w:pPr>
              <w:widowControl/>
              <w:spacing w:before="60" w:after="60" w:line="360" w:lineRule="auto"/>
              <w:jc w:val="center"/>
              <w:rPr>
                <w:rFonts w:ascii="仿宋" w:hAnsi="仿宋" w:eastAsia="仿宋"/>
                <w:szCs w:val="21"/>
              </w:rPr>
            </w:pPr>
            <w:r>
              <w:rPr>
                <w:rFonts w:ascii="仿宋" w:hAnsi="仿宋" w:eastAsia="仿宋"/>
                <w:szCs w:val="21"/>
              </w:rPr>
              <w:t>备注</w:t>
            </w:r>
          </w:p>
        </w:tc>
      </w:tr>
      <w:tr w14:paraId="09B9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right w:val="single" w:color="auto" w:sz="4" w:space="0"/>
            </w:tcBorders>
            <w:vAlign w:val="center"/>
          </w:tcPr>
          <w:p w14:paraId="5B2B6F05">
            <w:pPr>
              <w:widowControl/>
              <w:spacing w:line="360" w:lineRule="auto"/>
              <w:jc w:val="center"/>
              <w:rPr>
                <w:rFonts w:ascii="仿宋" w:hAnsi="仿宋" w:eastAsia="仿宋"/>
                <w:szCs w:val="21"/>
              </w:rPr>
            </w:pPr>
            <w:r>
              <w:rPr>
                <w:rFonts w:hint="eastAsia" w:ascii="仿宋" w:hAnsi="仿宋" w:eastAsia="仿宋"/>
                <w:szCs w:val="21"/>
              </w:rPr>
              <w:t>1</w:t>
            </w:r>
          </w:p>
        </w:tc>
        <w:tc>
          <w:tcPr>
            <w:tcW w:w="2635" w:type="dxa"/>
            <w:tcBorders>
              <w:top w:val="single" w:color="auto" w:sz="4" w:space="0"/>
              <w:left w:val="single" w:color="auto" w:sz="4" w:space="0"/>
              <w:bottom w:val="single" w:color="auto" w:sz="4" w:space="0"/>
              <w:right w:val="single" w:color="auto" w:sz="4" w:space="0"/>
            </w:tcBorders>
            <w:vAlign w:val="center"/>
          </w:tcPr>
          <w:p w14:paraId="3D2D5296">
            <w:pPr>
              <w:widowControl/>
              <w:jc w:val="center"/>
              <w:rPr>
                <w:rFonts w:ascii="仿宋" w:hAnsi="仿宋" w:eastAsia="仿宋"/>
                <w:szCs w:val="21"/>
              </w:rPr>
            </w:pPr>
            <w:r>
              <w:rPr>
                <w:rFonts w:hint="eastAsia" w:ascii="仿宋" w:hAnsi="仿宋" w:eastAsia="仿宋"/>
                <w:szCs w:val="21"/>
              </w:rPr>
              <w:t>风机</w:t>
            </w:r>
            <w:r>
              <w:rPr>
                <w:rFonts w:ascii="仿宋" w:hAnsi="仿宋" w:eastAsia="仿宋"/>
                <w:szCs w:val="21"/>
              </w:rPr>
              <w:t>钢管桩水下外观检查及腐蚀量检测</w:t>
            </w:r>
          </w:p>
        </w:tc>
        <w:tc>
          <w:tcPr>
            <w:tcW w:w="767" w:type="dxa"/>
            <w:tcBorders>
              <w:top w:val="single" w:color="auto" w:sz="4" w:space="0"/>
              <w:left w:val="single" w:color="auto" w:sz="4" w:space="0"/>
              <w:bottom w:val="single" w:color="auto" w:sz="4" w:space="0"/>
              <w:right w:val="single" w:color="auto" w:sz="4" w:space="0"/>
            </w:tcBorders>
            <w:vAlign w:val="center"/>
          </w:tcPr>
          <w:p w14:paraId="2D1186A4">
            <w:pPr>
              <w:widowControl/>
              <w:jc w:val="center"/>
              <w:rPr>
                <w:rFonts w:ascii="仿宋" w:hAnsi="仿宋" w:eastAsia="仿宋"/>
                <w:szCs w:val="21"/>
              </w:rPr>
            </w:pPr>
            <w:r>
              <w:rPr>
                <w:rFonts w:ascii="仿宋" w:hAnsi="仿宋" w:eastAsia="仿宋"/>
                <w:szCs w:val="21"/>
              </w:rPr>
              <w:t>63</w:t>
            </w:r>
          </w:p>
        </w:tc>
        <w:tc>
          <w:tcPr>
            <w:tcW w:w="851" w:type="dxa"/>
            <w:tcBorders>
              <w:top w:val="single" w:color="auto" w:sz="4" w:space="0"/>
              <w:left w:val="single" w:color="auto" w:sz="4" w:space="0"/>
              <w:bottom w:val="single" w:color="auto" w:sz="4" w:space="0"/>
              <w:right w:val="single" w:color="auto" w:sz="4" w:space="0"/>
            </w:tcBorders>
            <w:vAlign w:val="center"/>
          </w:tcPr>
          <w:p w14:paraId="09919396">
            <w:pPr>
              <w:widowControl/>
              <w:jc w:val="center"/>
              <w:rPr>
                <w:rFonts w:ascii="仿宋" w:hAnsi="仿宋" w:eastAsia="仿宋"/>
                <w:szCs w:val="21"/>
              </w:rPr>
            </w:pPr>
            <w:r>
              <w:rPr>
                <w:rFonts w:hint="eastAsia" w:ascii="仿宋" w:hAnsi="仿宋" w:eastAsia="仿宋"/>
                <w:szCs w:val="21"/>
              </w:rPr>
              <w:t>台次</w:t>
            </w:r>
          </w:p>
        </w:tc>
        <w:tc>
          <w:tcPr>
            <w:tcW w:w="3458" w:type="dxa"/>
            <w:tcBorders>
              <w:top w:val="single" w:color="auto" w:sz="4" w:space="0"/>
              <w:left w:val="single" w:color="auto" w:sz="4" w:space="0"/>
              <w:right w:val="single" w:color="auto" w:sz="4" w:space="0"/>
            </w:tcBorders>
            <w:vAlign w:val="center"/>
          </w:tcPr>
          <w:p w14:paraId="4F95EC5E">
            <w:pPr>
              <w:widowControl/>
              <w:jc w:val="center"/>
              <w:rPr>
                <w:rFonts w:ascii="仿宋" w:hAnsi="仿宋" w:eastAsia="仿宋"/>
                <w:szCs w:val="21"/>
              </w:rPr>
            </w:pPr>
            <w:r>
              <w:rPr>
                <w:rFonts w:ascii="仿宋" w:hAnsi="仿宋" w:eastAsia="仿宋"/>
                <w:szCs w:val="21"/>
              </w:rPr>
              <w:t>多桩风机每根钢管桩（全浸区）测2点厚度，单桩风机八个方向（全浸区）各测2点厚度，每台共计16点</w:t>
            </w:r>
          </w:p>
        </w:tc>
      </w:tr>
      <w:tr w14:paraId="2B1F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right w:val="single" w:color="auto" w:sz="4" w:space="0"/>
            </w:tcBorders>
            <w:vAlign w:val="center"/>
          </w:tcPr>
          <w:p w14:paraId="695203F6">
            <w:pPr>
              <w:widowControl/>
              <w:spacing w:line="360" w:lineRule="auto"/>
              <w:jc w:val="center"/>
              <w:rPr>
                <w:rFonts w:ascii="仿宋" w:hAnsi="仿宋" w:eastAsia="仿宋"/>
                <w:szCs w:val="21"/>
              </w:rPr>
            </w:pPr>
            <w:r>
              <w:rPr>
                <w:rFonts w:ascii="仿宋" w:hAnsi="仿宋" w:eastAsia="仿宋"/>
                <w:szCs w:val="21"/>
              </w:rPr>
              <w:t>2</w:t>
            </w:r>
          </w:p>
        </w:tc>
        <w:tc>
          <w:tcPr>
            <w:tcW w:w="2635" w:type="dxa"/>
            <w:tcBorders>
              <w:top w:val="single" w:color="auto" w:sz="4" w:space="0"/>
              <w:left w:val="single" w:color="auto" w:sz="4" w:space="0"/>
              <w:bottom w:val="single" w:color="auto" w:sz="4" w:space="0"/>
              <w:right w:val="single" w:color="auto" w:sz="4" w:space="0"/>
            </w:tcBorders>
            <w:vAlign w:val="center"/>
          </w:tcPr>
          <w:p w14:paraId="2F087858">
            <w:pPr>
              <w:widowControl/>
              <w:jc w:val="center"/>
              <w:rPr>
                <w:rFonts w:ascii="仿宋" w:hAnsi="仿宋" w:eastAsia="仿宋"/>
                <w:szCs w:val="21"/>
              </w:rPr>
            </w:pPr>
            <w:r>
              <w:rPr>
                <w:rFonts w:hint="eastAsia" w:ascii="仿宋" w:hAnsi="仿宋" w:eastAsia="仿宋"/>
                <w:szCs w:val="21"/>
              </w:rPr>
              <w:t>风机</w:t>
            </w:r>
            <w:r>
              <w:rPr>
                <w:rFonts w:ascii="仿宋" w:hAnsi="仿宋" w:eastAsia="仿宋"/>
                <w:szCs w:val="21"/>
              </w:rPr>
              <w:t>牺牲</w:t>
            </w:r>
            <w:r>
              <w:rPr>
                <w:rFonts w:hint="eastAsia" w:ascii="仿宋" w:hAnsi="仿宋" w:eastAsia="仿宋"/>
                <w:szCs w:val="21"/>
              </w:rPr>
              <w:t>阳极</w:t>
            </w:r>
            <w:r>
              <w:rPr>
                <w:rFonts w:ascii="仿宋" w:hAnsi="仿宋" w:eastAsia="仿宋"/>
                <w:szCs w:val="21"/>
              </w:rPr>
              <w:t>外观检查及消耗量检测</w:t>
            </w:r>
          </w:p>
        </w:tc>
        <w:tc>
          <w:tcPr>
            <w:tcW w:w="767" w:type="dxa"/>
            <w:tcBorders>
              <w:top w:val="single" w:color="auto" w:sz="4" w:space="0"/>
              <w:left w:val="single" w:color="auto" w:sz="4" w:space="0"/>
              <w:bottom w:val="single" w:color="auto" w:sz="4" w:space="0"/>
              <w:right w:val="single" w:color="auto" w:sz="4" w:space="0"/>
            </w:tcBorders>
            <w:vAlign w:val="center"/>
          </w:tcPr>
          <w:p w14:paraId="57CD2F1D">
            <w:pPr>
              <w:widowControl/>
              <w:jc w:val="center"/>
              <w:rPr>
                <w:rFonts w:ascii="仿宋" w:hAnsi="仿宋" w:eastAsia="仿宋"/>
                <w:szCs w:val="21"/>
              </w:rPr>
            </w:pPr>
            <w:r>
              <w:rPr>
                <w:rFonts w:ascii="仿宋" w:hAnsi="仿宋" w:eastAsia="仿宋"/>
                <w:szCs w:val="21"/>
              </w:rPr>
              <w:t>63</w:t>
            </w:r>
          </w:p>
        </w:tc>
        <w:tc>
          <w:tcPr>
            <w:tcW w:w="851" w:type="dxa"/>
            <w:tcBorders>
              <w:top w:val="single" w:color="auto" w:sz="4" w:space="0"/>
              <w:left w:val="single" w:color="auto" w:sz="4" w:space="0"/>
              <w:bottom w:val="single" w:color="auto" w:sz="4" w:space="0"/>
              <w:right w:val="single" w:color="auto" w:sz="4" w:space="0"/>
            </w:tcBorders>
            <w:vAlign w:val="center"/>
          </w:tcPr>
          <w:p w14:paraId="42DDBD17">
            <w:pPr>
              <w:widowControl/>
              <w:jc w:val="center"/>
              <w:rPr>
                <w:rFonts w:ascii="仿宋" w:hAnsi="仿宋" w:eastAsia="仿宋"/>
                <w:szCs w:val="21"/>
              </w:rPr>
            </w:pPr>
            <w:r>
              <w:rPr>
                <w:rFonts w:hint="eastAsia" w:ascii="仿宋" w:hAnsi="仿宋" w:eastAsia="仿宋"/>
                <w:szCs w:val="21"/>
              </w:rPr>
              <w:t>台次</w:t>
            </w:r>
          </w:p>
        </w:tc>
        <w:tc>
          <w:tcPr>
            <w:tcW w:w="3458" w:type="dxa"/>
            <w:tcBorders>
              <w:top w:val="single" w:color="auto" w:sz="4" w:space="0"/>
              <w:left w:val="single" w:color="auto" w:sz="4" w:space="0"/>
              <w:right w:val="single" w:color="auto" w:sz="4" w:space="0"/>
            </w:tcBorders>
            <w:vAlign w:val="center"/>
          </w:tcPr>
          <w:p w14:paraId="7B608BB1">
            <w:pPr>
              <w:widowControl/>
              <w:jc w:val="center"/>
              <w:rPr>
                <w:rFonts w:ascii="仿宋" w:hAnsi="仿宋" w:eastAsia="仿宋"/>
                <w:szCs w:val="21"/>
              </w:rPr>
            </w:pPr>
            <w:r>
              <w:rPr>
                <w:rFonts w:ascii="仿宋" w:hAnsi="仿宋" w:eastAsia="仿宋"/>
                <w:szCs w:val="21"/>
              </w:rPr>
              <w:t>检查每台风机阳极块数量，选取其中4块检查外观并测量尺寸</w:t>
            </w:r>
          </w:p>
        </w:tc>
      </w:tr>
      <w:tr w14:paraId="2477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right w:val="single" w:color="auto" w:sz="4" w:space="0"/>
            </w:tcBorders>
            <w:vAlign w:val="center"/>
          </w:tcPr>
          <w:p w14:paraId="60A835DA">
            <w:pPr>
              <w:widowControl/>
              <w:spacing w:line="360" w:lineRule="auto"/>
              <w:jc w:val="center"/>
              <w:rPr>
                <w:rFonts w:ascii="仿宋" w:hAnsi="仿宋" w:eastAsia="仿宋"/>
                <w:szCs w:val="21"/>
              </w:rPr>
            </w:pPr>
            <w:r>
              <w:rPr>
                <w:rFonts w:ascii="仿宋" w:hAnsi="仿宋" w:eastAsia="仿宋"/>
                <w:szCs w:val="21"/>
              </w:rPr>
              <w:t>3</w:t>
            </w:r>
          </w:p>
        </w:tc>
        <w:tc>
          <w:tcPr>
            <w:tcW w:w="2635" w:type="dxa"/>
            <w:tcBorders>
              <w:top w:val="single" w:color="auto" w:sz="4" w:space="0"/>
              <w:left w:val="single" w:color="auto" w:sz="4" w:space="0"/>
              <w:bottom w:val="single" w:color="auto" w:sz="4" w:space="0"/>
              <w:right w:val="single" w:color="auto" w:sz="4" w:space="0"/>
            </w:tcBorders>
            <w:vAlign w:val="center"/>
          </w:tcPr>
          <w:p w14:paraId="2D408F7B">
            <w:pPr>
              <w:widowControl/>
              <w:spacing w:before="60" w:after="60"/>
              <w:jc w:val="center"/>
              <w:rPr>
                <w:rFonts w:ascii="仿宋" w:hAnsi="仿宋" w:eastAsia="仿宋"/>
                <w:szCs w:val="21"/>
              </w:rPr>
            </w:pPr>
            <w:r>
              <w:rPr>
                <w:rFonts w:ascii="仿宋" w:hAnsi="仿宋" w:eastAsia="仿宋"/>
                <w:szCs w:val="21"/>
              </w:rPr>
              <w:t>高桩承台风机混凝土承台腐蚀检测</w:t>
            </w:r>
          </w:p>
        </w:tc>
        <w:tc>
          <w:tcPr>
            <w:tcW w:w="767" w:type="dxa"/>
            <w:tcBorders>
              <w:top w:val="single" w:color="auto" w:sz="4" w:space="0"/>
              <w:left w:val="single" w:color="auto" w:sz="4" w:space="0"/>
              <w:bottom w:val="single" w:color="auto" w:sz="4" w:space="0"/>
              <w:right w:val="single" w:color="auto" w:sz="4" w:space="0"/>
            </w:tcBorders>
            <w:vAlign w:val="center"/>
          </w:tcPr>
          <w:p w14:paraId="4EBE5FDA">
            <w:pPr>
              <w:widowControl/>
              <w:spacing w:before="60" w:after="60"/>
              <w:jc w:val="center"/>
              <w:rPr>
                <w:rFonts w:ascii="仿宋" w:hAnsi="仿宋" w:eastAsia="仿宋"/>
                <w:szCs w:val="21"/>
              </w:rPr>
            </w:pPr>
            <w:r>
              <w:rPr>
                <w:rFonts w:ascii="仿宋" w:hAnsi="仿宋" w:eastAsia="仿宋"/>
                <w:szCs w:val="21"/>
              </w:rPr>
              <w:t>31</w:t>
            </w:r>
          </w:p>
        </w:tc>
        <w:tc>
          <w:tcPr>
            <w:tcW w:w="851" w:type="dxa"/>
            <w:tcBorders>
              <w:top w:val="single" w:color="auto" w:sz="4" w:space="0"/>
              <w:left w:val="single" w:color="auto" w:sz="4" w:space="0"/>
              <w:bottom w:val="single" w:color="auto" w:sz="4" w:space="0"/>
              <w:right w:val="single" w:color="auto" w:sz="4" w:space="0"/>
            </w:tcBorders>
            <w:vAlign w:val="center"/>
          </w:tcPr>
          <w:p w14:paraId="7D31FE01">
            <w:pPr>
              <w:widowControl/>
              <w:spacing w:before="60" w:after="60"/>
              <w:jc w:val="center"/>
              <w:rPr>
                <w:rFonts w:ascii="仿宋" w:hAnsi="仿宋" w:eastAsia="仿宋"/>
                <w:szCs w:val="21"/>
              </w:rPr>
            </w:pPr>
            <w:r>
              <w:rPr>
                <w:rFonts w:hint="eastAsia" w:ascii="仿宋" w:hAnsi="仿宋" w:eastAsia="仿宋"/>
                <w:szCs w:val="21"/>
              </w:rPr>
              <w:t>台次</w:t>
            </w:r>
          </w:p>
        </w:tc>
        <w:tc>
          <w:tcPr>
            <w:tcW w:w="3458" w:type="dxa"/>
            <w:tcBorders>
              <w:top w:val="single" w:color="auto" w:sz="4" w:space="0"/>
              <w:left w:val="single" w:color="auto" w:sz="4" w:space="0"/>
              <w:right w:val="single" w:color="auto" w:sz="4" w:space="0"/>
            </w:tcBorders>
            <w:vAlign w:val="center"/>
          </w:tcPr>
          <w:p w14:paraId="0DCE709A">
            <w:pPr>
              <w:widowControl/>
              <w:spacing w:before="60" w:after="60"/>
              <w:jc w:val="center"/>
              <w:rPr>
                <w:rFonts w:ascii="仿宋" w:hAnsi="仿宋" w:eastAsia="仿宋"/>
                <w:szCs w:val="21"/>
              </w:rPr>
            </w:pPr>
            <w:r>
              <w:rPr>
                <w:rFonts w:ascii="仿宋" w:hAnsi="仿宋" w:eastAsia="仿宋"/>
                <w:szCs w:val="21"/>
              </w:rPr>
              <w:t>检查每台风机混凝土承台的腐蚀检测，并统计腐蚀部位及面积</w:t>
            </w:r>
          </w:p>
        </w:tc>
      </w:tr>
      <w:tr w14:paraId="1374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right w:val="single" w:color="auto" w:sz="4" w:space="0"/>
            </w:tcBorders>
            <w:vAlign w:val="center"/>
          </w:tcPr>
          <w:p w14:paraId="55ECD888">
            <w:pPr>
              <w:widowControl/>
              <w:spacing w:line="360" w:lineRule="auto"/>
              <w:jc w:val="center"/>
              <w:rPr>
                <w:rFonts w:ascii="仿宋" w:hAnsi="仿宋" w:eastAsia="仿宋"/>
                <w:szCs w:val="21"/>
              </w:rPr>
            </w:pPr>
            <w:r>
              <w:rPr>
                <w:rFonts w:ascii="仿宋" w:hAnsi="仿宋" w:eastAsia="仿宋"/>
                <w:szCs w:val="21"/>
              </w:rPr>
              <w:t>4</w:t>
            </w:r>
          </w:p>
        </w:tc>
        <w:tc>
          <w:tcPr>
            <w:tcW w:w="2635" w:type="dxa"/>
            <w:tcBorders>
              <w:top w:val="single" w:color="auto" w:sz="4" w:space="0"/>
              <w:left w:val="single" w:color="auto" w:sz="4" w:space="0"/>
              <w:bottom w:val="single" w:color="auto" w:sz="4" w:space="0"/>
              <w:right w:val="single" w:color="auto" w:sz="4" w:space="0"/>
            </w:tcBorders>
            <w:vAlign w:val="center"/>
          </w:tcPr>
          <w:p w14:paraId="44DDCDE3">
            <w:pPr>
              <w:widowControl/>
              <w:jc w:val="center"/>
              <w:rPr>
                <w:rFonts w:ascii="仿宋" w:hAnsi="仿宋" w:eastAsia="仿宋"/>
                <w:szCs w:val="21"/>
              </w:rPr>
            </w:pPr>
            <w:r>
              <w:rPr>
                <w:rFonts w:ascii="仿宋" w:hAnsi="仿宋" w:eastAsia="仿宋"/>
                <w:szCs w:val="21"/>
              </w:rPr>
              <w:t>海上升压站钢管桩水下外观检查及腐蚀量检测</w:t>
            </w:r>
          </w:p>
        </w:tc>
        <w:tc>
          <w:tcPr>
            <w:tcW w:w="767" w:type="dxa"/>
            <w:tcBorders>
              <w:top w:val="single" w:color="auto" w:sz="4" w:space="0"/>
              <w:left w:val="single" w:color="auto" w:sz="4" w:space="0"/>
              <w:bottom w:val="single" w:color="auto" w:sz="4" w:space="0"/>
              <w:right w:val="single" w:color="auto" w:sz="4" w:space="0"/>
            </w:tcBorders>
            <w:vAlign w:val="center"/>
          </w:tcPr>
          <w:p w14:paraId="570866FB">
            <w:pPr>
              <w:widowControl/>
              <w:jc w:val="center"/>
              <w:rPr>
                <w:rFonts w:ascii="仿宋" w:hAnsi="仿宋" w:eastAsia="仿宋"/>
                <w:szCs w:val="21"/>
              </w:rPr>
            </w:pPr>
            <w:r>
              <w:rPr>
                <w:rFonts w:ascii="仿宋" w:hAnsi="仿宋" w:eastAsia="仿宋"/>
                <w:szCs w:val="21"/>
              </w:rPr>
              <w:t>1</w:t>
            </w:r>
          </w:p>
        </w:tc>
        <w:tc>
          <w:tcPr>
            <w:tcW w:w="851" w:type="dxa"/>
            <w:tcBorders>
              <w:top w:val="single" w:color="auto" w:sz="4" w:space="0"/>
              <w:left w:val="single" w:color="auto" w:sz="4" w:space="0"/>
              <w:bottom w:val="single" w:color="auto" w:sz="4" w:space="0"/>
              <w:right w:val="single" w:color="auto" w:sz="4" w:space="0"/>
            </w:tcBorders>
            <w:vAlign w:val="center"/>
          </w:tcPr>
          <w:p w14:paraId="607E8F14">
            <w:pPr>
              <w:widowControl/>
              <w:jc w:val="center"/>
              <w:rPr>
                <w:rFonts w:ascii="仿宋" w:hAnsi="仿宋" w:eastAsia="仿宋"/>
                <w:szCs w:val="21"/>
              </w:rPr>
            </w:pPr>
            <w:r>
              <w:rPr>
                <w:rFonts w:ascii="仿宋" w:hAnsi="仿宋" w:eastAsia="仿宋"/>
                <w:szCs w:val="21"/>
              </w:rPr>
              <w:t>座次</w:t>
            </w:r>
          </w:p>
        </w:tc>
        <w:tc>
          <w:tcPr>
            <w:tcW w:w="3458" w:type="dxa"/>
            <w:tcBorders>
              <w:top w:val="single" w:color="auto" w:sz="4" w:space="0"/>
              <w:left w:val="single" w:color="auto" w:sz="4" w:space="0"/>
              <w:right w:val="single" w:color="auto" w:sz="4" w:space="0"/>
            </w:tcBorders>
            <w:vAlign w:val="center"/>
          </w:tcPr>
          <w:p w14:paraId="128C36AA">
            <w:pPr>
              <w:widowControl/>
              <w:jc w:val="center"/>
              <w:rPr>
                <w:rFonts w:ascii="仿宋" w:hAnsi="仿宋" w:eastAsia="仿宋"/>
                <w:szCs w:val="21"/>
              </w:rPr>
            </w:pPr>
            <w:r>
              <w:rPr>
                <w:rFonts w:ascii="仿宋" w:hAnsi="仿宋" w:eastAsia="仿宋"/>
                <w:szCs w:val="21"/>
              </w:rPr>
              <w:t>检查每根钢管桩（全浸区）测4点厚度，共计16点</w:t>
            </w:r>
          </w:p>
        </w:tc>
      </w:tr>
      <w:tr w14:paraId="2DC2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right w:val="single" w:color="auto" w:sz="4" w:space="0"/>
            </w:tcBorders>
            <w:vAlign w:val="center"/>
          </w:tcPr>
          <w:p w14:paraId="756117F4">
            <w:pPr>
              <w:widowControl/>
              <w:spacing w:line="360" w:lineRule="auto"/>
              <w:jc w:val="center"/>
              <w:rPr>
                <w:rFonts w:ascii="仿宋" w:hAnsi="仿宋" w:eastAsia="仿宋"/>
                <w:szCs w:val="21"/>
              </w:rPr>
            </w:pPr>
            <w:r>
              <w:rPr>
                <w:rFonts w:ascii="仿宋" w:hAnsi="仿宋" w:eastAsia="仿宋"/>
                <w:szCs w:val="21"/>
              </w:rPr>
              <w:t>5</w:t>
            </w:r>
          </w:p>
        </w:tc>
        <w:tc>
          <w:tcPr>
            <w:tcW w:w="2635" w:type="dxa"/>
            <w:tcBorders>
              <w:top w:val="single" w:color="auto" w:sz="4" w:space="0"/>
              <w:left w:val="single" w:color="auto" w:sz="4" w:space="0"/>
              <w:bottom w:val="single" w:color="auto" w:sz="4" w:space="0"/>
              <w:right w:val="single" w:color="auto" w:sz="4" w:space="0"/>
            </w:tcBorders>
            <w:vAlign w:val="center"/>
          </w:tcPr>
          <w:p w14:paraId="61BA5340">
            <w:pPr>
              <w:widowControl/>
              <w:jc w:val="center"/>
              <w:rPr>
                <w:rFonts w:ascii="仿宋" w:hAnsi="仿宋" w:eastAsia="仿宋"/>
                <w:szCs w:val="21"/>
              </w:rPr>
            </w:pPr>
            <w:r>
              <w:rPr>
                <w:rFonts w:ascii="仿宋" w:hAnsi="仿宋" w:eastAsia="仿宋"/>
                <w:szCs w:val="21"/>
              </w:rPr>
              <w:t>海上升压站</w:t>
            </w:r>
            <w:r>
              <w:rPr>
                <w:rFonts w:hint="eastAsia" w:ascii="仿宋" w:hAnsi="仿宋" w:eastAsia="仿宋"/>
                <w:szCs w:val="21"/>
              </w:rPr>
              <w:t>阳极</w:t>
            </w:r>
            <w:r>
              <w:rPr>
                <w:rFonts w:ascii="仿宋" w:hAnsi="仿宋" w:eastAsia="仿宋"/>
                <w:szCs w:val="21"/>
              </w:rPr>
              <w:t>外观检查及消耗量检测</w:t>
            </w:r>
          </w:p>
        </w:tc>
        <w:tc>
          <w:tcPr>
            <w:tcW w:w="767" w:type="dxa"/>
            <w:tcBorders>
              <w:top w:val="single" w:color="auto" w:sz="4" w:space="0"/>
              <w:left w:val="single" w:color="auto" w:sz="4" w:space="0"/>
              <w:bottom w:val="single" w:color="auto" w:sz="4" w:space="0"/>
              <w:right w:val="single" w:color="auto" w:sz="4" w:space="0"/>
            </w:tcBorders>
            <w:vAlign w:val="center"/>
          </w:tcPr>
          <w:p w14:paraId="00440AF6">
            <w:pPr>
              <w:widowControl/>
              <w:jc w:val="center"/>
              <w:rPr>
                <w:rFonts w:ascii="仿宋" w:hAnsi="仿宋" w:eastAsia="仿宋"/>
                <w:szCs w:val="21"/>
              </w:rPr>
            </w:pPr>
            <w:r>
              <w:rPr>
                <w:rFonts w:hint="eastAsia" w:ascii="仿宋" w:hAnsi="仿宋" w:eastAsia="仿宋"/>
                <w:szCs w:val="21"/>
              </w:rPr>
              <w:t>1</w:t>
            </w:r>
          </w:p>
        </w:tc>
        <w:tc>
          <w:tcPr>
            <w:tcW w:w="851" w:type="dxa"/>
            <w:tcBorders>
              <w:top w:val="single" w:color="auto" w:sz="4" w:space="0"/>
              <w:left w:val="single" w:color="auto" w:sz="4" w:space="0"/>
              <w:bottom w:val="single" w:color="auto" w:sz="4" w:space="0"/>
              <w:right w:val="single" w:color="auto" w:sz="4" w:space="0"/>
            </w:tcBorders>
            <w:vAlign w:val="center"/>
          </w:tcPr>
          <w:p w14:paraId="218D8991">
            <w:pPr>
              <w:widowControl/>
              <w:jc w:val="center"/>
              <w:rPr>
                <w:rFonts w:ascii="仿宋" w:hAnsi="仿宋" w:eastAsia="仿宋"/>
                <w:szCs w:val="21"/>
              </w:rPr>
            </w:pPr>
            <w:r>
              <w:rPr>
                <w:rFonts w:ascii="仿宋" w:hAnsi="仿宋" w:eastAsia="仿宋"/>
                <w:szCs w:val="21"/>
              </w:rPr>
              <w:t>座次</w:t>
            </w:r>
          </w:p>
        </w:tc>
        <w:tc>
          <w:tcPr>
            <w:tcW w:w="3458" w:type="dxa"/>
            <w:tcBorders>
              <w:top w:val="single" w:color="auto" w:sz="4" w:space="0"/>
              <w:left w:val="single" w:color="auto" w:sz="4" w:space="0"/>
              <w:right w:val="single" w:color="auto" w:sz="4" w:space="0"/>
            </w:tcBorders>
            <w:vAlign w:val="center"/>
          </w:tcPr>
          <w:p w14:paraId="0DB2442C">
            <w:pPr>
              <w:widowControl/>
              <w:jc w:val="center"/>
              <w:rPr>
                <w:rFonts w:ascii="仿宋" w:hAnsi="仿宋" w:eastAsia="仿宋"/>
                <w:szCs w:val="21"/>
              </w:rPr>
            </w:pPr>
            <w:r>
              <w:rPr>
                <w:rFonts w:ascii="仿宋" w:hAnsi="仿宋" w:eastAsia="仿宋"/>
                <w:szCs w:val="21"/>
              </w:rPr>
              <w:t>检查阳极块数量，选取其中6块检查外观并测量尺寸</w:t>
            </w:r>
          </w:p>
        </w:tc>
      </w:tr>
      <w:tr w14:paraId="75BB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right w:val="single" w:color="auto" w:sz="4" w:space="0"/>
            </w:tcBorders>
            <w:vAlign w:val="center"/>
          </w:tcPr>
          <w:p w14:paraId="736A594B">
            <w:pPr>
              <w:widowControl/>
              <w:spacing w:line="360" w:lineRule="auto"/>
              <w:jc w:val="center"/>
              <w:rPr>
                <w:rFonts w:ascii="仿宋" w:hAnsi="仿宋" w:eastAsia="仿宋"/>
                <w:szCs w:val="21"/>
              </w:rPr>
            </w:pPr>
            <w:r>
              <w:rPr>
                <w:rFonts w:ascii="仿宋" w:hAnsi="仿宋" w:eastAsia="仿宋"/>
                <w:szCs w:val="21"/>
              </w:rPr>
              <w:t>6</w:t>
            </w:r>
          </w:p>
        </w:tc>
        <w:tc>
          <w:tcPr>
            <w:tcW w:w="2635" w:type="dxa"/>
            <w:tcBorders>
              <w:top w:val="single" w:color="auto" w:sz="4" w:space="0"/>
              <w:left w:val="single" w:color="auto" w:sz="4" w:space="0"/>
              <w:bottom w:val="single" w:color="auto" w:sz="4" w:space="0"/>
              <w:right w:val="single" w:color="auto" w:sz="4" w:space="0"/>
            </w:tcBorders>
            <w:vAlign w:val="center"/>
          </w:tcPr>
          <w:p w14:paraId="2A147291">
            <w:pPr>
              <w:widowControl/>
              <w:jc w:val="center"/>
              <w:rPr>
                <w:rFonts w:ascii="仿宋" w:hAnsi="仿宋" w:eastAsia="仿宋"/>
                <w:szCs w:val="21"/>
              </w:rPr>
            </w:pPr>
            <w:r>
              <w:rPr>
                <w:rFonts w:ascii="仿宋" w:hAnsi="仿宋" w:eastAsia="仿宋"/>
                <w:szCs w:val="21"/>
              </w:rPr>
              <w:t>高纯锌腐蚀测点更换</w:t>
            </w:r>
          </w:p>
        </w:tc>
        <w:tc>
          <w:tcPr>
            <w:tcW w:w="767" w:type="dxa"/>
            <w:tcBorders>
              <w:top w:val="single" w:color="auto" w:sz="4" w:space="0"/>
              <w:left w:val="single" w:color="auto" w:sz="4" w:space="0"/>
              <w:bottom w:val="single" w:color="auto" w:sz="4" w:space="0"/>
              <w:right w:val="single" w:color="auto" w:sz="4" w:space="0"/>
            </w:tcBorders>
            <w:vAlign w:val="center"/>
          </w:tcPr>
          <w:p w14:paraId="3BAC9304">
            <w:pPr>
              <w:widowControl/>
              <w:jc w:val="center"/>
              <w:rPr>
                <w:rFonts w:ascii="仿宋" w:hAnsi="仿宋" w:eastAsia="仿宋"/>
                <w:szCs w:val="21"/>
              </w:rPr>
            </w:pPr>
            <w:r>
              <w:rPr>
                <w:rFonts w:ascii="仿宋" w:hAnsi="仿宋" w:eastAsia="仿宋"/>
                <w:szCs w:val="21"/>
              </w:rPr>
              <w:t>3</w:t>
            </w:r>
          </w:p>
        </w:tc>
        <w:tc>
          <w:tcPr>
            <w:tcW w:w="851" w:type="dxa"/>
            <w:tcBorders>
              <w:top w:val="single" w:color="auto" w:sz="4" w:space="0"/>
              <w:left w:val="single" w:color="auto" w:sz="4" w:space="0"/>
              <w:bottom w:val="single" w:color="auto" w:sz="4" w:space="0"/>
              <w:right w:val="single" w:color="auto" w:sz="4" w:space="0"/>
            </w:tcBorders>
            <w:vAlign w:val="center"/>
          </w:tcPr>
          <w:p w14:paraId="443952D8">
            <w:pPr>
              <w:widowControl/>
              <w:jc w:val="center"/>
              <w:rPr>
                <w:rFonts w:ascii="仿宋" w:hAnsi="仿宋" w:eastAsia="仿宋"/>
                <w:szCs w:val="21"/>
              </w:rPr>
            </w:pPr>
            <w:r>
              <w:rPr>
                <w:rFonts w:ascii="仿宋" w:hAnsi="仿宋" w:eastAsia="仿宋"/>
                <w:szCs w:val="21"/>
              </w:rPr>
              <w:t>套</w:t>
            </w:r>
          </w:p>
        </w:tc>
        <w:tc>
          <w:tcPr>
            <w:tcW w:w="3458" w:type="dxa"/>
            <w:tcBorders>
              <w:top w:val="single" w:color="auto" w:sz="4" w:space="0"/>
              <w:left w:val="single" w:color="auto" w:sz="4" w:space="0"/>
              <w:right w:val="single" w:color="auto" w:sz="4" w:space="0"/>
            </w:tcBorders>
            <w:vAlign w:val="center"/>
          </w:tcPr>
          <w:p w14:paraId="06A12A46">
            <w:pPr>
              <w:widowControl/>
              <w:jc w:val="center"/>
              <w:rPr>
                <w:rFonts w:ascii="仿宋" w:hAnsi="仿宋" w:eastAsia="仿宋"/>
                <w:szCs w:val="21"/>
              </w:rPr>
            </w:pPr>
            <w:r>
              <w:rPr>
                <w:rFonts w:ascii="仿宋" w:hAnsi="仿宋" w:eastAsia="仿宋"/>
                <w:szCs w:val="21"/>
              </w:rPr>
              <w:t>水下腐蚀测点更换，含缆线更换并接入相应数据采集箱</w:t>
            </w:r>
          </w:p>
        </w:tc>
      </w:tr>
    </w:tbl>
    <w:p w14:paraId="1E24D1C2">
      <w:pPr>
        <w:spacing w:line="360" w:lineRule="auto"/>
        <w:ind w:firstLine="562" w:firstLineChars="200"/>
        <w:rPr>
          <w:rFonts w:ascii="仿宋" w:hAnsi="仿宋" w:eastAsia="仿宋" w:cs="Times New Roman"/>
          <w:b/>
          <w:bCs/>
          <w:sz w:val="28"/>
          <w:szCs w:val="28"/>
        </w:rPr>
      </w:pPr>
      <w:r>
        <w:rPr>
          <w:rFonts w:ascii="仿宋" w:hAnsi="仿宋" w:eastAsia="仿宋" w:cs="Times New Roman"/>
          <w:b/>
          <w:bCs/>
          <w:sz w:val="28"/>
          <w:szCs w:val="28"/>
        </w:rPr>
        <w:t>4.2工作内容</w:t>
      </w:r>
    </w:p>
    <w:p w14:paraId="3A3F0DA9">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1、作业开展前投标人应按照规范及招标人技术要求编写技术方案并提交招标人审核，经审核通过后方可开展检测工作。水下</w:t>
      </w:r>
      <w:r>
        <w:rPr>
          <w:rFonts w:ascii="仿宋" w:hAnsi="仿宋" w:eastAsia="仿宋" w:cs="Times New Roman"/>
          <w:sz w:val="28"/>
          <w:szCs w:val="28"/>
        </w:rPr>
        <w:t>检测</w:t>
      </w:r>
      <w:r>
        <w:rPr>
          <w:rFonts w:hint="eastAsia" w:ascii="仿宋" w:hAnsi="仿宋" w:eastAsia="仿宋" w:cs="Times New Roman"/>
          <w:sz w:val="28"/>
          <w:szCs w:val="28"/>
        </w:rPr>
        <w:t>作业前投标人应编制危大工程专项施工方案，按相关规定进行审查，并按审批同意后的专项施工方案进行作业和现场管理，不得擅自修改专项施工方案。</w:t>
      </w:r>
    </w:p>
    <w:p w14:paraId="5F0FF8D5">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2、</w:t>
      </w:r>
      <w:r>
        <w:rPr>
          <w:rFonts w:hint="eastAsia" w:ascii="仿宋" w:hAnsi="仿宋" w:eastAsia="仿宋" w:cs="Times New Roman"/>
          <w:sz w:val="28"/>
          <w:szCs w:val="28"/>
        </w:rPr>
        <w:t>投标人在服务期内</w:t>
      </w:r>
      <w:r>
        <w:rPr>
          <w:rFonts w:ascii="仿宋" w:hAnsi="仿宋" w:eastAsia="仿宋" w:cs="Times New Roman"/>
          <w:sz w:val="28"/>
          <w:szCs w:val="28"/>
        </w:rPr>
        <w:t>完成风机和海上升压站钢管桩的外观检查及腐蚀量检测、牺牲阳极的外观检查及消耗量的检测、高桩承台风机混凝土承台的敷设检测</w:t>
      </w:r>
      <w:r>
        <w:rPr>
          <w:rFonts w:hint="eastAsia" w:ascii="仿宋" w:hAnsi="仿宋" w:eastAsia="仿宋" w:cs="Times New Roman"/>
          <w:sz w:val="28"/>
          <w:szCs w:val="28"/>
        </w:rPr>
        <w:t>。</w:t>
      </w:r>
    </w:p>
    <w:p w14:paraId="124C87E3">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3</w:t>
      </w:r>
      <w:r>
        <w:rPr>
          <w:rFonts w:hint="eastAsia" w:ascii="仿宋" w:hAnsi="仿宋" w:eastAsia="仿宋" w:cs="Times New Roman"/>
          <w:sz w:val="28"/>
          <w:szCs w:val="28"/>
        </w:rPr>
        <w:t>、投标人应</w:t>
      </w:r>
      <w:r>
        <w:rPr>
          <w:rFonts w:ascii="仿宋" w:hAnsi="仿宋" w:eastAsia="仿宋" w:cs="Times New Roman"/>
          <w:sz w:val="28"/>
          <w:szCs w:val="28"/>
        </w:rPr>
        <w:t>在外业检测工作完成后进行防腐检测的报告编制，对检测数据进行分析</w:t>
      </w:r>
      <w:r>
        <w:rPr>
          <w:rFonts w:hint="eastAsia" w:ascii="仿宋" w:hAnsi="仿宋" w:eastAsia="仿宋" w:cs="Times New Roman"/>
          <w:sz w:val="28"/>
          <w:szCs w:val="28"/>
        </w:rPr>
        <w:t>，</w:t>
      </w:r>
      <w:r>
        <w:rPr>
          <w:rFonts w:ascii="仿宋" w:hAnsi="仿宋" w:eastAsia="仿宋" w:cs="Times New Roman"/>
          <w:sz w:val="28"/>
          <w:szCs w:val="28"/>
        </w:rPr>
        <w:t>及时</w:t>
      </w:r>
      <w:r>
        <w:rPr>
          <w:rFonts w:hint="eastAsia" w:ascii="仿宋" w:hAnsi="仿宋" w:eastAsia="仿宋" w:cs="Times New Roman"/>
          <w:sz w:val="28"/>
          <w:szCs w:val="28"/>
        </w:rPr>
        <w:t>掌握风机、海上升压站基础</w:t>
      </w:r>
      <w:r>
        <w:rPr>
          <w:rFonts w:ascii="仿宋" w:hAnsi="仿宋" w:eastAsia="仿宋" w:cs="Times New Roman"/>
          <w:sz w:val="28"/>
          <w:szCs w:val="28"/>
        </w:rPr>
        <w:t>腐蚀情况</w:t>
      </w:r>
      <w:r>
        <w:rPr>
          <w:rFonts w:hint="eastAsia" w:ascii="仿宋" w:hAnsi="仿宋" w:eastAsia="仿宋" w:cs="Times New Roman"/>
          <w:sz w:val="28"/>
          <w:szCs w:val="28"/>
        </w:rPr>
        <w:t>的状态变化，</w:t>
      </w:r>
      <w:r>
        <w:rPr>
          <w:rFonts w:ascii="仿宋" w:hAnsi="仿宋" w:eastAsia="仿宋" w:cs="Times New Roman"/>
          <w:sz w:val="28"/>
          <w:szCs w:val="28"/>
        </w:rPr>
        <w:t>如</w:t>
      </w:r>
      <w:r>
        <w:rPr>
          <w:rFonts w:hint="eastAsia" w:ascii="仿宋" w:hAnsi="仿宋" w:eastAsia="仿宋" w:cs="Times New Roman"/>
          <w:sz w:val="28"/>
          <w:szCs w:val="28"/>
        </w:rPr>
        <w:t>发现不正常迹象，</w:t>
      </w:r>
      <w:r>
        <w:rPr>
          <w:rFonts w:ascii="仿宋" w:hAnsi="仿宋" w:eastAsia="仿宋" w:cs="Times New Roman"/>
          <w:sz w:val="28"/>
          <w:szCs w:val="28"/>
        </w:rPr>
        <w:t>应</w:t>
      </w:r>
      <w:r>
        <w:rPr>
          <w:rFonts w:hint="eastAsia" w:ascii="仿宋" w:hAnsi="仿宋" w:eastAsia="仿宋" w:cs="Times New Roman"/>
          <w:sz w:val="28"/>
          <w:szCs w:val="28"/>
        </w:rPr>
        <w:t>分析原因</w:t>
      </w:r>
      <w:r>
        <w:rPr>
          <w:rFonts w:ascii="仿宋" w:hAnsi="仿宋" w:eastAsia="仿宋" w:cs="Times New Roman"/>
          <w:sz w:val="28"/>
          <w:szCs w:val="28"/>
        </w:rPr>
        <w:t>并</w:t>
      </w:r>
      <w:r>
        <w:rPr>
          <w:rFonts w:hint="eastAsia" w:ascii="仿宋" w:hAnsi="仿宋" w:eastAsia="仿宋" w:cs="Times New Roman"/>
          <w:sz w:val="28"/>
          <w:szCs w:val="28"/>
        </w:rPr>
        <w:t>提出措施意见，防止发生破坏事故，确保风电场安全稳定运行。</w:t>
      </w:r>
    </w:p>
    <w:p w14:paraId="44F19E0F">
      <w:pPr>
        <w:widowControl/>
        <w:ind w:firstLine="495" w:firstLineChars="176"/>
        <w:jc w:val="left"/>
        <w:outlineLvl w:val="0"/>
        <w:rPr>
          <w:rFonts w:ascii="仿宋" w:hAnsi="仿宋" w:eastAsia="仿宋" w:cs="宋体"/>
          <w:b/>
          <w:kern w:val="0"/>
          <w:sz w:val="28"/>
          <w:szCs w:val="28"/>
        </w:rPr>
      </w:pPr>
      <w:r>
        <w:rPr>
          <w:rFonts w:ascii="仿宋" w:hAnsi="仿宋" w:eastAsia="仿宋" w:cs="宋体"/>
          <w:b/>
          <w:kern w:val="0"/>
          <w:sz w:val="28"/>
          <w:szCs w:val="28"/>
        </w:rPr>
        <w:t>五</w:t>
      </w:r>
      <w:r>
        <w:rPr>
          <w:rFonts w:hint="eastAsia" w:ascii="仿宋" w:hAnsi="仿宋" w:eastAsia="仿宋" w:cs="宋体"/>
          <w:b/>
          <w:kern w:val="0"/>
          <w:sz w:val="28"/>
          <w:szCs w:val="28"/>
        </w:rPr>
        <w:t>、</w:t>
      </w:r>
      <w:r>
        <w:rPr>
          <w:rFonts w:ascii="仿宋" w:hAnsi="仿宋" w:eastAsia="仿宋" w:cs="宋体"/>
          <w:b/>
          <w:kern w:val="0"/>
          <w:sz w:val="28"/>
          <w:szCs w:val="28"/>
        </w:rPr>
        <w:t>防腐检测</w:t>
      </w:r>
      <w:r>
        <w:rPr>
          <w:rFonts w:hint="eastAsia" w:ascii="仿宋" w:hAnsi="仿宋" w:eastAsia="仿宋" w:cs="宋体"/>
          <w:b/>
          <w:kern w:val="0"/>
          <w:sz w:val="28"/>
          <w:szCs w:val="28"/>
        </w:rPr>
        <w:t>服务要求</w:t>
      </w:r>
    </w:p>
    <w:p w14:paraId="26A0F199">
      <w:pPr>
        <w:widowControl/>
        <w:spacing w:before="60" w:after="60" w:line="360" w:lineRule="auto"/>
        <w:ind w:firstLine="498" w:firstLineChars="177"/>
        <w:jc w:val="left"/>
        <w:rPr>
          <w:rFonts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.1遵循的规范标准</w:t>
      </w:r>
    </w:p>
    <w:p w14:paraId="1241A40A">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投标人应严格执行本文件所列法规</w:t>
      </w:r>
      <w:r>
        <w:rPr>
          <w:rFonts w:ascii="仿宋" w:hAnsi="仿宋" w:eastAsia="仿宋"/>
          <w:sz w:val="28"/>
          <w:szCs w:val="28"/>
        </w:rPr>
        <w:t>、</w:t>
      </w:r>
      <w:r>
        <w:rPr>
          <w:rFonts w:hint="eastAsia" w:ascii="仿宋" w:hAnsi="仿宋" w:eastAsia="仿宋"/>
          <w:sz w:val="28"/>
          <w:szCs w:val="28"/>
        </w:rPr>
        <w:t>标准、规范、规程，若招标人提出的法规、标准、</w:t>
      </w:r>
      <w:r>
        <w:rPr>
          <w:rFonts w:ascii="仿宋" w:hAnsi="仿宋" w:eastAsia="仿宋"/>
          <w:sz w:val="28"/>
          <w:szCs w:val="28"/>
        </w:rPr>
        <w:t>规范、规程等</w:t>
      </w:r>
      <w:r>
        <w:rPr>
          <w:rFonts w:hint="eastAsia" w:ascii="仿宋" w:hAnsi="仿宋" w:eastAsia="仿宋"/>
          <w:sz w:val="28"/>
          <w:szCs w:val="28"/>
        </w:rPr>
        <w:t>与本文件所列不一致时，应按较高法规</w:t>
      </w:r>
      <w:r>
        <w:rPr>
          <w:rFonts w:ascii="仿宋" w:hAnsi="仿宋" w:eastAsia="仿宋"/>
          <w:sz w:val="28"/>
          <w:szCs w:val="28"/>
        </w:rPr>
        <w:t>、</w:t>
      </w:r>
      <w:r>
        <w:rPr>
          <w:rFonts w:hint="eastAsia" w:ascii="仿宋" w:hAnsi="仿宋" w:eastAsia="仿宋"/>
          <w:sz w:val="28"/>
          <w:szCs w:val="28"/>
        </w:rPr>
        <w:t>标准、规范、规程要求执行。</w:t>
      </w:r>
    </w:p>
    <w:p w14:paraId="58579D14">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如果某项标准或协议在本文件中未作规定，或投标人采用其它标准或协议，则投标人应详细说明其采用的标准或协议，并向招标人提供其采用标准或协议的中文版本。只有当其采用的标准或协议是国际公认的、惯用的，且不低于本文件的要求时，投标人采用的标准或协议才能被招标人认可。</w:t>
      </w:r>
    </w:p>
    <w:p w14:paraId="7E48DF60">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下列文件对于本文件的应用是必不可少的，凡是注日期的引用文件，仅注日期的版本适用于本文件，凡是不注日期的引用文件，其最新版本（包括所有的修改单）适用于本文件。</w:t>
      </w:r>
    </w:p>
    <w:p w14:paraId="1D5A4F22">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《海上风电场风力发电机组基础维护技术规程》（NB/T 10218-2019）</w:t>
      </w:r>
      <w:r>
        <w:rPr>
          <w:rFonts w:hint="eastAsia" w:ascii="仿宋" w:hAnsi="仿宋" w:eastAsia="仿宋"/>
          <w:sz w:val="28"/>
          <w:szCs w:val="28"/>
        </w:rPr>
        <w:t>;</w:t>
      </w:r>
    </w:p>
    <w:p w14:paraId="4D4624E3">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《海港工程混凝土结构防腐蚀技术规范》（JTJ 275-2000）；</w:t>
      </w:r>
    </w:p>
    <w:p w14:paraId="7DE44CC4">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w:t>
      </w:r>
      <w:r>
        <w:rPr>
          <w:rFonts w:ascii="仿宋" w:hAnsi="仿宋" w:eastAsia="仿宋"/>
          <w:sz w:val="28"/>
          <w:szCs w:val="28"/>
        </w:rPr>
        <w:t>《海上风电场钢结构防腐蚀技术标准》（NB/T 31006-2011）；</w:t>
      </w:r>
    </w:p>
    <w:p w14:paraId="05A0C028">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w:t>
      </w:r>
      <w:r>
        <w:rPr>
          <w:rFonts w:ascii="仿宋" w:hAnsi="仿宋" w:eastAsia="仿宋"/>
          <w:sz w:val="28"/>
          <w:szCs w:val="28"/>
        </w:rPr>
        <w:t>《沿海及海上风电机组防腐技术规范》（GB/T 33423-2016）；</w:t>
      </w:r>
    </w:p>
    <w:p w14:paraId="610515FB">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5、《铝-锌-铟系合金牺牲阳极》（GB/T 4948-2002）；</w:t>
      </w:r>
    </w:p>
    <w:p w14:paraId="0024B315">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w:t>
      </w:r>
      <w:r>
        <w:rPr>
          <w:rFonts w:ascii="仿宋" w:hAnsi="仿宋" w:eastAsia="仿宋"/>
          <w:sz w:val="28"/>
          <w:szCs w:val="28"/>
        </w:rPr>
        <w:t>《</w:t>
      </w:r>
      <w:r>
        <w:rPr>
          <w:rFonts w:hint="eastAsia" w:ascii="仿宋" w:hAnsi="仿宋" w:eastAsia="仿宋"/>
          <w:sz w:val="28"/>
          <w:szCs w:val="28"/>
        </w:rPr>
        <w:t>港工设施牺牲阳极保护设计和安装</w:t>
      </w:r>
      <w:r>
        <w:rPr>
          <w:rFonts w:ascii="仿宋" w:hAnsi="仿宋" w:eastAsia="仿宋"/>
          <w:sz w:val="28"/>
          <w:szCs w:val="28"/>
        </w:rPr>
        <w:t>》（GJB-156A-2008）；</w:t>
      </w:r>
    </w:p>
    <w:p w14:paraId="65798D9F">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w:t>
      </w:r>
      <w:r>
        <w:rPr>
          <w:rFonts w:ascii="仿宋" w:hAnsi="仿宋" w:eastAsia="仿宋"/>
          <w:sz w:val="28"/>
          <w:szCs w:val="28"/>
        </w:rPr>
        <w:t>《中华人民共和国海上交通安全法》（2016年11月修正）；</w:t>
      </w:r>
    </w:p>
    <w:p w14:paraId="51FDC7FD">
      <w:pPr>
        <w:widowControl/>
        <w:spacing w:before="60" w:after="60" w:line="360" w:lineRule="auto"/>
        <w:ind w:firstLine="498" w:firstLineChars="177"/>
        <w:jc w:val="left"/>
        <w:rPr>
          <w:rFonts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w:t>
      </w:r>
      <w:r>
        <w:rPr>
          <w:rFonts w:ascii="仿宋" w:hAnsi="仿宋" w:eastAsia="仿宋"/>
          <w:b/>
          <w:sz w:val="28"/>
          <w:szCs w:val="28"/>
        </w:rPr>
        <w:t>2</w:t>
      </w:r>
      <w:r>
        <w:rPr>
          <w:rFonts w:hint="eastAsia" w:ascii="仿宋" w:hAnsi="仿宋" w:eastAsia="仿宋"/>
          <w:b/>
          <w:sz w:val="28"/>
          <w:szCs w:val="28"/>
        </w:rPr>
        <w:t>服务期限</w:t>
      </w:r>
      <w:r>
        <w:rPr>
          <w:rFonts w:ascii="仿宋" w:hAnsi="仿宋" w:eastAsia="仿宋"/>
          <w:b/>
          <w:sz w:val="28"/>
          <w:szCs w:val="28"/>
        </w:rPr>
        <w:t>要求</w:t>
      </w:r>
    </w:p>
    <w:p w14:paraId="09946D2A">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服务期限：</w:t>
      </w:r>
      <w:r>
        <w:rPr>
          <w:rFonts w:ascii="仿宋" w:hAnsi="仿宋" w:eastAsia="仿宋"/>
          <w:sz w:val="28"/>
          <w:szCs w:val="28"/>
          <w:u w:val="single"/>
        </w:rPr>
        <w:t>自合同签订后3个月</w:t>
      </w:r>
      <w:r>
        <w:rPr>
          <w:rFonts w:hint="eastAsia" w:ascii="仿宋" w:hAnsi="仿宋" w:eastAsia="仿宋"/>
          <w:sz w:val="28"/>
          <w:szCs w:val="28"/>
        </w:rPr>
        <w:t>。</w:t>
      </w:r>
    </w:p>
    <w:p w14:paraId="6902F4B1">
      <w:pPr>
        <w:widowControl/>
        <w:spacing w:before="60" w:after="60" w:line="360" w:lineRule="auto"/>
        <w:ind w:firstLine="498" w:firstLineChars="177"/>
        <w:jc w:val="left"/>
        <w:rPr>
          <w:rFonts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.3</w:t>
      </w:r>
      <w:r>
        <w:rPr>
          <w:rFonts w:ascii="仿宋" w:hAnsi="仿宋" w:eastAsia="仿宋"/>
          <w:b/>
          <w:sz w:val="28"/>
          <w:szCs w:val="28"/>
        </w:rPr>
        <w:t>防腐检测</w:t>
      </w:r>
      <w:r>
        <w:rPr>
          <w:rFonts w:hint="eastAsia" w:ascii="仿宋" w:hAnsi="仿宋" w:eastAsia="仿宋"/>
          <w:b/>
          <w:sz w:val="28"/>
          <w:szCs w:val="28"/>
        </w:rPr>
        <w:t>要求</w:t>
      </w:r>
    </w:p>
    <w:p w14:paraId="51F55FDE">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1、投标人应对</w:t>
      </w:r>
      <w:r>
        <w:rPr>
          <w:rFonts w:ascii="仿宋" w:hAnsi="仿宋" w:eastAsia="仿宋"/>
          <w:sz w:val="28"/>
          <w:szCs w:val="28"/>
        </w:rPr>
        <w:t>防腐检测</w:t>
      </w:r>
      <w:r>
        <w:rPr>
          <w:rFonts w:hint="eastAsia" w:ascii="仿宋" w:hAnsi="仿宋" w:eastAsia="仿宋"/>
          <w:sz w:val="28"/>
          <w:szCs w:val="28"/>
        </w:rPr>
        <w:t>数据资料保密，除需上报给招标人外，不得将数据资料提供给其他单位和个人，否则应对由此造成的后果承担责任。</w:t>
      </w:r>
    </w:p>
    <w:p w14:paraId="4C10AFA9">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2、投标人应自行准备作业用船舶，并保障船舶相关证照齐全完备并在规定的有效期内，符合海事等主管部门的要求。</w:t>
      </w:r>
    </w:p>
    <w:p w14:paraId="486FE419">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3、投标人出海作业前应为船舶办理好符合海事等主管部门要求的相关检查及许可，作业过程中应服从海事等主管部门的管理。</w:t>
      </w:r>
    </w:p>
    <w:p w14:paraId="474C0A93">
      <w:pPr>
        <w:spacing w:line="360" w:lineRule="auto"/>
        <w:ind w:firstLine="560" w:firstLineChars="200"/>
        <w:rPr>
          <w:rFonts w:ascii="仿宋" w:hAnsi="仿宋" w:eastAsia="仿宋"/>
          <w:sz w:val="28"/>
          <w:szCs w:val="28"/>
        </w:rPr>
      </w:pPr>
      <w:r>
        <w:rPr>
          <w:rFonts w:hint="eastAsia" w:ascii="仿宋" w:hAnsi="仿宋" w:eastAsia="仿宋"/>
          <w:sz w:val="28"/>
          <w:szCs w:val="28"/>
        </w:rPr>
        <w:t>4、投标人应为出海作业人员办理好相关的手续及证书，保证符合海事等主管部门出海、作业的相关要求。</w:t>
      </w:r>
    </w:p>
    <w:p w14:paraId="0FDE2584">
      <w:pPr>
        <w:spacing w:line="360" w:lineRule="auto"/>
        <w:ind w:firstLine="560" w:firstLineChars="200"/>
        <w:rPr>
          <w:rFonts w:ascii="仿宋" w:hAnsi="仿宋" w:eastAsia="仿宋"/>
          <w:sz w:val="28"/>
          <w:szCs w:val="28"/>
        </w:rPr>
      </w:pPr>
      <w:r>
        <w:rPr>
          <w:rFonts w:ascii="仿宋" w:hAnsi="仿宋" w:eastAsia="仿宋" w:cs="Times New Roman"/>
          <w:sz w:val="28"/>
          <w:szCs w:val="28"/>
        </w:rPr>
        <w:t>5</w:t>
      </w:r>
      <w:r>
        <w:rPr>
          <w:rFonts w:hint="eastAsia" w:ascii="仿宋" w:hAnsi="仿宋" w:eastAsia="仿宋" w:cs="Times New Roman"/>
          <w:sz w:val="28"/>
          <w:szCs w:val="28"/>
        </w:rPr>
        <w:t>、投标人应自备满足安</w:t>
      </w:r>
      <w:r>
        <w:rPr>
          <w:rFonts w:ascii="仿宋" w:hAnsi="仿宋" w:eastAsia="仿宋" w:cs="Times New Roman"/>
          <w:sz w:val="28"/>
          <w:szCs w:val="28"/>
        </w:rPr>
        <w:t>防腐检测</w:t>
      </w:r>
      <w:r>
        <w:rPr>
          <w:rFonts w:hint="eastAsia" w:ascii="仿宋" w:hAnsi="仿宋" w:eastAsia="仿宋" w:cs="Times New Roman"/>
          <w:sz w:val="28"/>
          <w:szCs w:val="28"/>
        </w:rPr>
        <w:t>服务所需的专业人员、设备</w:t>
      </w:r>
      <w:r>
        <w:rPr>
          <w:rFonts w:ascii="仿宋" w:hAnsi="仿宋" w:eastAsia="仿宋" w:cs="Times New Roman"/>
          <w:sz w:val="28"/>
          <w:szCs w:val="28"/>
        </w:rPr>
        <w:t>设施及</w:t>
      </w:r>
      <w:r>
        <w:rPr>
          <w:rFonts w:hint="eastAsia" w:ascii="仿宋" w:hAnsi="仿宋" w:eastAsia="仿宋" w:cs="Times New Roman"/>
          <w:sz w:val="28"/>
          <w:szCs w:val="28"/>
        </w:rPr>
        <w:t>工器具</w:t>
      </w:r>
      <w:r>
        <w:rPr>
          <w:rFonts w:ascii="仿宋" w:hAnsi="仿宋" w:eastAsia="仿宋" w:cs="Times New Roman"/>
          <w:sz w:val="28"/>
          <w:szCs w:val="28"/>
        </w:rPr>
        <w:t>，设备设施及工器具应在有效检定期内。</w:t>
      </w:r>
    </w:p>
    <w:p w14:paraId="6FB58629">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、投标人应服从海事及招标人出海作业的相关要求，遇大风大浪等天气必须严格执行相关的通知要求，严禁私自进行作业。</w:t>
      </w:r>
    </w:p>
    <w:p w14:paraId="71E11117">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、投标人作业过程中应严格执行相关的海洋环境保护的法律及规范要求，保护好风场及周边环境。</w:t>
      </w:r>
    </w:p>
    <w:p w14:paraId="044A42BE">
      <w:pPr>
        <w:widowControl/>
        <w:spacing w:before="60" w:after="60" w:line="360" w:lineRule="auto"/>
        <w:ind w:firstLine="495" w:firstLineChars="177"/>
        <w:jc w:val="left"/>
        <w:rPr>
          <w:rFonts w:ascii="仿宋" w:hAnsi="仿宋" w:eastAsia="仿宋"/>
          <w:sz w:val="28"/>
          <w:szCs w:val="28"/>
        </w:rPr>
      </w:pPr>
      <w:r>
        <w:rPr>
          <w:rFonts w:ascii="仿宋" w:hAnsi="仿宋" w:eastAsia="仿宋"/>
          <w:sz w:val="28"/>
          <w:szCs w:val="28"/>
        </w:rPr>
        <w:t>8</w:t>
      </w:r>
      <w:r>
        <w:rPr>
          <w:rFonts w:hint="eastAsia" w:ascii="仿宋" w:hAnsi="仿宋" w:eastAsia="仿宋"/>
          <w:sz w:val="28"/>
          <w:szCs w:val="28"/>
        </w:rPr>
        <w:t>、投标人</w:t>
      </w:r>
      <w:r>
        <w:rPr>
          <w:rFonts w:ascii="仿宋" w:hAnsi="仿宋" w:eastAsia="仿宋"/>
          <w:sz w:val="28"/>
          <w:szCs w:val="28"/>
        </w:rPr>
        <w:t>如需</w:t>
      </w:r>
      <w:r>
        <w:rPr>
          <w:rFonts w:hint="eastAsia" w:ascii="仿宋" w:hAnsi="仿宋" w:eastAsia="仿宋"/>
          <w:sz w:val="28"/>
          <w:szCs w:val="28"/>
        </w:rPr>
        <w:t>登风机进行</w:t>
      </w:r>
      <w:r>
        <w:rPr>
          <w:rFonts w:ascii="仿宋" w:hAnsi="仿宋" w:eastAsia="仿宋"/>
          <w:sz w:val="28"/>
          <w:szCs w:val="28"/>
        </w:rPr>
        <w:t>检测</w:t>
      </w:r>
      <w:r>
        <w:rPr>
          <w:rFonts w:hint="eastAsia" w:ascii="仿宋" w:hAnsi="仿宋" w:eastAsia="仿宋"/>
          <w:sz w:val="28"/>
          <w:szCs w:val="28"/>
        </w:rPr>
        <w:t>作业时，应提前3天上报招标人，待招标人许可后方能登风机进行作业</w:t>
      </w:r>
      <w:r>
        <w:rPr>
          <w:rFonts w:ascii="仿宋" w:hAnsi="仿宋" w:eastAsia="仿宋"/>
          <w:sz w:val="28"/>
          <w:szCs w:val="28"/>
        </w:rPr>
        <w:t>。</w:t>
      </w:r>
    </w:p>
    <w:p w14:paraId="5B945A50">
      <w:pPr>
        <w:spacing w:line="360" w:lineRule="auto"/>
        <w:ind w:firstLine="560" w:firstLineChars="200"/>
        <w:rPr>
          <w:rFonts w:ascii="仿宋" w:hAnsi="仿宋" w:eastAsia="仿宋" w:cs="Times New Roman"/>
          <w:sz w:val="28"/>
          <w:szCs w:val="28"/>
        </w:rPr>
      </w:pPr>
      <w:r>
        <w:rPr>
          <w:rFonts w:ascii="仿宋" w:hAnsi="仿宋" w:eastAsia="仿宋" w:cs="Times New Roman"/>
          <w:sz w:val="28"/>
          <w:szCs w:val="28"/>
        </w:rPr>
        <w:t>9</w:t>
      </w:r>
      <w:r>
        <w:rPr>
          <w:rFonts w:hint="eastAsia" w:ascii="仿宋" w:hAnsi="仿宋" w:eastAsia="仿宋" w:cs="Times New Roman"/>
          <w:sz w:val="28"/>
          <w:szCs w:val="28"/>
        </w:rPr>
        <w:t>、投标人应及时对</w:t>
      </w:r>
      <w:r>
        <w:rPr>
          <w:rFonts w:ascii="仿宋" w:hAnsi="仿宋" w:eastAsia="仿宋" w:cs="Times New Roman"/>
          <w:sz w:val="28"/>
          <w:szCs w:val="28"/>
        </w:rPr>
        <w:t>检测</w:t>
      </w:r>
      <w:r>
        <w:rPr>
          <w:rFonts w:hint="eastAsia" w:ascii="仿宋" w:hAnsi="仿宋" w:eastAsia="仿宋" w:cs="Times New Roman"/>
          <w:sz w:val="28"/>
          <w:szCs w:val="28"/>
        </w:rPr>
        <w:t>数据进行整理、检查和分析并及时提供</w:t>
      </w:r>
      <w:r>
        <w:rPr>
          <w:rFonts w:ascii="仿宋" w:hAnsi="仿宋" w:eastAsia="仿宋" w:cs="Times New Roman"/>
          <w:sz w:val="28"/>
          <w:szCs w:val="28"/>
        </w:rPr>
        <w:t>成果报告</w:t>
      </w:r>
      <w:r>
        <w:rPr>
          <w:rFonts w:hint="eastAsia" w:ascii="仿宋" w:hAnsi="仿宋" w:eastAsia="仿宋" w:cs="Times New Roman"/>
          <w:sz w:val="28"/>
          <w:szCs w:val="28"/>
        </w:rPr>
        <w:t>。</w:t>
      </w:r>
    </w:p>
    <w:p w14:paraId="2CF7E236">
      <w:pPr>
        <w:widowControl/>
        <w:spacing w:before="60" w:after="60" w:line="360" w:lineRule="auto"/>
        <w:ind w:firstLine="498" w:firstLineChars="177"/>
        <w:jc w:val="left"/>
        <w:rPr>
          <w:rFonts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w:t>
      </w:r>
      <w:r>
        <w:rPr>
          <w:rFonts w:ascii="仿宋" w:hAnsi="仿宋" w:eastAsia="仿宋"/>
          <w:b/>
          <w:sz w:val="28"/>
          <w:szCs w:val="28"/>
        </w:rPr>
        <w:t>4</w:t>
      </w:r>
      <w:r>
        <w:rPr>
          <w:rFonts w:hint="eastAsia" w:ascii="仿宋" w:hAnsi="仿宋" w:eastAsia="仿宋"/>
          <w:b/>
          <w:sz w:val="28"/>
          <w:szCs w:val="28"/>
        </w:rPr>
        <w:t>成果报告</w:t>
      </w:r>
    </w:p>
    <w:p w14:paraId="65636C43">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要求投标人</w:t>
      </w:r>
      <w:r>
        <w:rPr>
          <w:rFonts w:ascii="仿宋" w:hAnsi="仿宋" w:eastAsia="仿宋"/>
          <w:sz w:val="28"/>
          <w:szCs w:val="28"/>
        </w:rPr>
        <w:t>在外业完成后1个月内提交海上构建筑物基础防腐检测</w:t>
      </w:r>
      <w:r>
        <w:rPr>
          <w:rFonts w:hint="eastAsia" w:ascii="仿宋" w:hAnsi="仿宋" w:eastAsia="仿宋"/>
          <w:sz w:val="28"/>
          <w:szCs w:val="28"/>
        </w:rPr>
        <w:t>报告，内容包括</w:t>
      </w:r>
      <w:r>
        <w:rPr>
          <w:rFonts w:ascii="仿宋" w:hAnsi="仿宋" w:eastAsia="仿宋"/>
          <w:sz w:val="28"/>
          <w:szCs w:val="28"/>
        </w:rPr>
        <w:t>海上构建筑物</w:t>
      </w:r>
      <w:r>
        <w:rPr>
          <w:rFonts w:hint="eastAsia" w:ascii="仿宋" w:hAnsi="仿宋" w:eastAsia="仿宋"/>
          <w:sz w:val="28"/>
          <w:szCs w:val="28"/>
        </w:rPr>
        <w:t>情况，</w:t>
      </w:r>
      <w:r>
        <w:rPr>
          <w:rFonts w:ascii="仿宋" w:hAnsi="仿宋" w:eastAsia="仿宋"/>
          <w:sz w:val="28"/>
          <w:szCs w:val="28"/>
        </w:rPr>
        <w:t>人员设备情况、风机和海上升压站钢管桩外观检查情况和腐蚀量检测情况</w:t>
      </w:r>
      <w:r>
        <w:rPr>
          <w:rFonts w:hint="eastAsia" w:ascii="仿宋" w:hAnsi="仿宋" w:eastAsia="仿宋"/>
          <w:sz w:val="28"/>
          <w:szCs w:val="28"/>
        </w:rPr>
        <w:t>，</w:t>
      </w:r>
      <w:r>
        <w:rPr>
          <w:rFonts w:ascii="仿宋" w:hAnsi="仿宋" w:eastAsia="仿宋"/>
          <w:sz w:val="28"/>
          <w:szCs w:val="28"/>
        </w:rPr>
        <w:t>风机和海上升压站牺牲阳极外观情况、缺失情况和消耗量检测情况，高桩承台风机混凝土承台腐蚀情况，</w:t>
      </w:r>
      <w:r>
        <w:rPr>
          <w:rFonts w:hint="eastAsia" w:ascii="仿宋" w:hAnsi="仿宋" w:eastAsia="仿宋"/>
          <w:sz w:val="28"/>
          <w:szCs w:val="28"/>
        </w:rPr>
        <w:t>对</w:t>
      </w:r>
      <w:r>
        <w:rPr>
          <w:rFonts w:ascii="仿宋" w:hAnsi="仿宋" w:eastAsia="仿宋"/>
          <w:sz w:val="28"/>
          <w:szCs w:val="28"/>
        </w:rPr>
        <w:t>检测</w:t>
      </w:r>
      <w:r>
        <w:rPr>
          <w:rFonts w:hint="eastAsia" w:ascii="仿宋" w:hAnsi="仿宋" w:eastAsia="仿宋"/>
          <w:sz w:val="28"/>
          <w:szCs w:val="28"/>
        </w:rPr>
        <w:t>数据进行分析和判断，提出</w:t>
      </w:r>
      <w:r>
        <w:rPr>
          <w:rFonts w:ascii="仿宋" w:hAnsi="仿宋" w:eastAsia="仿宋"/>
          <w:sz w:val="28"/>
          <w:szCs w:val="28"/>
        </w:rPr>
        <w:t>海上构建</w:t>
      </w:r>
      <w:r>
        <w:rPr>
          <w:rFonts w:hint="eastAsia" w:ascii="仿宋" w:hAnsi="仿宋" w:eastAsia="仿宋"/>
          <w:sz w:val="28"/>
          <w:szCs w:val="28"/>
        </w:rPr>
        <w:t>筑物</w:t>
      </w:r>
      <w:r>
        <w:rPr>
          <w:rFonts w:ascii="仿宋" w:hAnsi="仿宋" w:eastAsia="仿宋"/>
          <w:sz w:val="28"/>
          <w:szCs w:val="28"/>
        </w:rPr>
        <w:t>基础</w:t>
      </w:r>
      <w:r>
        <w:rPr>
          <w:rFonts w:hint="eastAsia" w:ascii="仿宋" w:hAnsi="仿宋" w:eastAsia="仿宋"/>
          <w:sz w:val="28"/>
          <w:szCs w:val="28"/>
        </w:rPr>
        <w:t>的</w:t>
      </w:r>
      <w:r>
        <w:rPr>
          <w:rFonts w:ascii="仿宋" w:hAnsi="仿宋" w:eastAsia="仿宋"/>
          <w:sz w:val="28"/>
          <w:szCs w:val="28"/>
        </w:rPr>
        <w:t>腐蚀</w:t>
      </w:r>
      <w:r>
        <w:rPr>
          <w:rFonts w:hint="eastAsia" w:ascii="仿宋" w:hAnsi="仿宋" w:eastAsia="仿宋"/>
          <w:sz w:val="28"/>
          <w:szCs w:val="28"/>
        </w:rPr>
        <w:t>变化</w:t>
      </w:r>
      <w:r>
        <w:rPr>
          <w:rFonts w:ascii="仿宋" w:hAnsi="仿宋" w:eastAsia="仿宋"/>
          <w:sz w:val="28"/>
          <w:szCs w:val="28"/>
        </w:rPr>
        <w:t>情况及</w:t>
      </w:r>
      <w:r>
        <w:rPr>
          <w:rFonts w:hint="eastAsia" w:ascii="仿宋" w:hAnsi="仿宋" w:eastAsia="仿宋"/>
          <w:sz w:val="28"/>
          <w:szCs w:val="28"/>
        </w:rPr>
        <w:t>趋势，并</w:t>
      </w:r>
      <w:r>
        <w:rPr>
          <w:rFonts w:ascii="仿宋" w:hAnsi="仿宋" w:eastAsia="仿宋"/>
          <w:sz w:val="28"/>
          <w:szCs w:val="28"/>
        </w:rPr>
        <w:t>评估各项目的腐蚀状况，提出结论和建议</w:t>
      </w:r>
      <w:r>
        <w:rPr>
          <w:rFonts w:hint="eastAsia" w:ascii="仿宋" w:hAnsi="仿宋" w:eastAsia="仿宋"/>
          <w:sz w:val="28"/>
          <w:szCs w:val="28"/>
        </w:rPr>
        <w:t>。</w:t>
      </w:r>
      <w:r>
        <w:rPr>
          <w:rFonts w:ascii="仿宋" w:hAnsi="仿宋" w:eastAsia="仿宋"/>
          <w:sz w:val="28"/>
          <w:szCs w:val="28"/>
        </w:rPr>
        <w:t>提交</w:t>
      </w:r>
      <w:r>
        <w:rPr>
          <w:rFonts w:hint="eastAsia" w:ascii="仿宋" w:hAnsi="仿宋" w:eastAsia="仿宋"/>
          <w:sz w:val="28"/>
          <w:szCs w:val="28"/>
        </w:rPr>
        <w:t>报告应为单位盖章纸质版，</w:t>
      </w:r>
      <w:r>
        <w:rPr>
          <w:rFonts w:ascii="仿宋" w:hAnsi="仿宋" w:eastAsia="仿宋"/>
          <w:sz w:val="28"/>
          <w:szCs w:val="28"/>
        </w:rPr>
        <w:t>一式四份，</w:t>
      </w:r>
      <w:r>
        <w:rPr>
          <w:rFonts w:hint="eastAsia" w:ascii="仿宋" w:hAnsi="仿宋" w:eastAsia="仿宋"/>
          <w:sz w:val="28"/>
          <w:szCs w:val="28"/>
        </w:rPr>
        <w:t>并提供相应的电子版资料。</w:t>
      </w:r>
    </w:p>
    <w:p w14:paraId="6C33C191">
      <w:pPr>
        <w:widowControl/>
        <w:spacing w:before="60" w:after="60" w:line="360" w:lineRule="auto"/>
        <w:ind w:firstLine="498" w:firstLineChars="177"/>
        <w:jc w:val="left"/>
        <w:rPr>
          <w:rFonts w:ascii="仿宋" w:hAnsi="仿宋" w:eastAsia="仿宋"/>
          <w:b/>
          <w:sz w:val="28"/>
          <w:szCs w:val="28"/>
        </w:rPr>
      </w:pPr>
      <w:r>
        <w:rPr>
          <w:rFonts w:hint="eastAsia" w:ascii="仿宋" w:hAnsi="仿宋" w:eastAsia="仿宋"/>
          <w:b/>
          <w:sz w:val="28"/>
          <w:szCs w:val="28"/>
          <w:lang w:val="en-US" w:eastAsia="zh-CN"/>
        </w:rPr>
        <w:t>六</w:t>
      </w:r>
      <w:bookmarkStart w:id="9" w:name="_GoBack"/>
      <w:bookmarkEnd w:id="9"/>
      <w:r>
        <w:rPr>
          <w:rFonts w:hint="eastAsia" w:ascii="仿宋" w:hAnsi="仿宋" w:eastAsia="仿宋"/>
          <w:b/>
          <w:sz w:val="28"/>
          <w:szCs w:val="28"/>
        </w:rPr>
        <w:t>、考核要求</w:t>
      </w:r>
    </w:p>
    <w:p w14:paraId="408EFF78">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1、因投标人工作错误造成的损失，投标人除负责采取补救措施外，免收受损失部分的服务费，并根据损失程度向招标人赔偿实际损失。</w:t>
      </w:r>
    </w:p>
    <w:p w14:paraId="71683ACC">
      <w:pPr>
        <w:widowControl/>
        <w:spacing w:before="60" w:after="60" w:line="360" w:lineRule="auto"/>
        <w:ind w:firstLine="495" w:firstLineChars="177"/>
        <w:jc w:val="left"/>
        <w:rPr>
          <w:rFonts w:ascii="仿宋" w:hAnsi="仿宋" w:eastAsia="仿宋"/>
          <w:sz w:val="28"/>
          <w:szCs w:val="28"/>
        </w:rPr>
      </w:pPr>
      <w:r>
        <w:rPr>
          <w:rFonts w:hint="eastAsia" w:ascii="仿宋" w:hAnsi="仿宋" w:eastAsia="仿宋"/>
          <w:sz w:val="28"/>
          <w:szCs w:val="28"/>
        </w:rPr>
        <w:t>2、由于投标人自身的原因，延误了按本技术规范书规定的报告文件交付时间，每项文件每延误一天，减收服务总金额的千分之二。</w:t>
      </w:r>
    </w:p>
    <w:p w14:paraId="50F2F592">
      <w:pPr>
        <w:widowControl/>
        <w:spacing w:before="60" w:after="60" w:line="360" w:lineRule="auto"/>
        <w:jc w:val="left"/>
        <w:rPr>
          <w:rFonts w:ascii="仿宋" w:hAnsi="仿宋" w:eastAsia="仿宋"/>
          <w:sz w:val="28"/>
          <w:szCs w:val="28"/>
        </w:rPr>
      </w:pPr>
    </w:p>
    <w:p w14:paraId="30EF409B">
      <w:pPr>
        <w:widowControl/>
        <w:spacing w:before="60" w:after="60" w:line="360" w:lineRule="auto"/>
        <w:jc w:val="left"/>
        <w:rPr>
          <w:rFonts w:ascii="仿宋" w:hAnsi="仿宋" w:eastAsia="仿宋"/>
          <w:sz w:val="28"/>
          <w:szCs w:val="28"/>
        </w:rPr>
      </w:pPr>
      <w:r>
        <w:rPr>
          <w:rFonts w:ascii="仿宋" w:hAnsi="仿宋" w:eastAsia="仿宋"/>
          <w:sz w:val="28"/>
          <w:szCs w:val="28"/>
        </w:rPr>
        <w:t>附件：</w:t>
      </w:r>
    </w:p>
    <w:p w14:paraId="452A2BFD">
      <w:pPr>
        <w:widowControl/>
        <w:spacing w:before="60" w:after="60" w:line="360" w:lineRule="auto"/>
        <w:ind w:firstLine="495" w:firstLineChars="177"/>
        <w:jc w:val="center"/>
        <w:rPr>
          <w:rFonts w:ascii="仿宋" w:hAnsi="仿宋" w:eastAsia="仿宋"/>
          <w:sz w:val="28"/>
          <w:szCs w:val="28"/>
        </w:rPr>
      </w:pPr>
      <w:r>
        <w:rPr>
          <w:rFonts w:ascii="仿宋" w:hAnsi="仿宋" w:eastAsia="仿宋"/>
          <w:sz w:val="28"/>
          <w:szCs w:val="28"/>
        </w:rPr>
        <w:t>危大工程清单</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402"/>
        <w:gridCol w:w="2551"/>
        <w:gridCol w:w="1616"/>
      </w:tblGrid>
      <w:tr w14:paraId="2A6DF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38A001">
            <w:pPr>
              <w:widowControl/>
              <w:spacing w:before="60" w:after="60" w:line="360" w:lineRule="auto"/>
              <w:jc w:val="center"/>
              <w:rPr>
                <w:rFonts w:ascii="仿宋" w:hAnsi="仿宋" w:eastAsia="仿宋"/>
                <w:sz w:val="28"/>
                <w:szCs w:val="28"/>
              </w:rPr>
            </w:pPr>
            <w:r>
              <w:rPr>
                <w:rFonts w:ascii="仿宋" w:hAnsi="仿宋" w:eastAsia="仿宋"/>
                <w:sz w:val="28"/>
                <w:szCs w:val="28"/>
              </w:rPr>
              <w:t>序号</w:t>
            </w:r>
          </w:p>
        </w:tc>
        <w:tc>
          <w:tcPr>
            <w:tcW w:w="3402" w:type="dxa"/>
          </w:tcPr>
          <w:p w14:paraId="7FA9FAF9">
            <w:pPr>
              <w:widowControl/>
              <w:spacing w:before="60" w:after="60" w:line="360" w:lineRule="auto"/>
              <w:jc w:val="center"/>
              <w:rPr>
                <w:rFonts w:ascii="仿宋" w:hAnsi="仿宋" w:eastAsia="仿宋"/>
                <w:sz w:val="28"/>
                <w:szCs w:val="28"/>
              </w:rPr>
            </w:pPr>
            <w:r>
              <w:rPr>
                <w:rFonts w:ascii="仿宋" w:hAnsi="仿宋" w:eastAsia="仿宋"/>
                <w:sz w:val="28"/>
                <w:szCs w:val="28"/>
              </w:rPr>
              <w:t>危大工程名称</w:t>
            </w:r>
          </w:p>
        </w:tc>
        <w:tc>
          <w:tcPr>
            <w:tcW w:w="2551" w:type="dxa"/>
          </w:tcPr>
          <w:p w14:paraId="76E7CEB1">
            <w:pPr>
              <w:widowControl/>
              <w:spacing w:before="60" w:after="60" w:line="360" w:lineRule="auto"/>
              <w:jc w:val="center"/>
              <w:rPr>
                <w:rFonts w:ascii="仿宋" w:hAnsi="仿宋" w:eastAsia="仿宋"/>
                <w:sz w:val="28"/>
                <w:szCs w:val="28"/>
              </w:rPr>
            </w:pPr>
            <w:r>
              <w:rPr>
                <w:rFonts w:ascii="仿宋" w:hAnsi="仿宋" w:eastAsia="仿宋"/>
                <w:sz w:val="28"/>
                <w:szCs w:val="28"/>
              </w:rPr>
              <w:t>工程内容</w:t>
            </w:r>
          </w:p>
        </w:tc>
        <w:tc>
          <w:tcPr>
            <w:tcW w:w="1616" w:type="dxa"/>
          </w:tcPr>
          <w:p w14:paraId="24D81FD2">
            <w:pPr>
              <w:widowControl/>
              <w:spacing w:before="60" w:after="60" w:line="360" w:lineRule="auto"/>
              <w:jc w:val="center"/>
              <w:rPr>
                <w:rFonts w:ascii="仿宋" w:hAnsi="仿宋" w:eastAsia="仿宋"/>
                <w:sz w:val="28"/>
                <w:szCs w:val="28"/>
              </w:rPr>
            </w:pPr>
            <w:r>
              <w:rPr>
                <w:rFonts w:ascii="仿宋" w:hAnsi="仿宋" w:eastAsia="仿宋"/>
                <w:sz w:val="28"/>
                <w:szCs w:val="28"/>
              </w:rPr>
              <w:t>备注</w:t>
            </w:r>
          </w:p>
        </w:tc>
      </w:tr>
      <w:tr w14:paraId="4A14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right w:val="single" w:color="auto" w:sz="4" w:space="0"/>
            </w:tcBorders>
          </w:tcPr>
          <w:p w14:paraId="1DA5EAF7">
            <w:pPr>
              <w:widowControl/>
              <w:spacing w:before="60" w:after="60" w:line="360" w:lineRule="auto"/>
              <w:jc w:val="center"/>
              <w:rPr>
                <w:rFonts w:ascii="仿宋" w:hAnsi="仿宋" w:eastAsia="仿宋"/>
                <w:sz w:val="28"/>
                <w:szCs w:val="28"/>
              </w:rPr>
            </w:pPr>
            <w:r>
              <w:rPr>
                <w:rFonts w:hint="eastAsia" w:ascii="仿宋" w:hAnsi="仿宋" w:eastAsia="仿宋"/>
                <w:sz w:val="28"/>
                <w:szCs w:val="28"/>
              </w:rPr>
              <w:t>1</w:t>
            </w:r>
          </w:p>
        </w:tc>
        <w:tc>
          <w:tcPr>
            <w:tcW w:w="3402" w:type="dxa"/>
            <w:tcBorders>
              <w:top w:val="single" w:color="auto" w:sz="4" w:space="0"/>
              <w:left w:val="single" w:color="auto" w:sz="4" w:space="0"/>
              <w:bottom w:val="single" w:color="auto" w:sz="4" w:space="0"/>
              <w:right w:val="single" w:color="auto" w:sz="4" w:space="0"/>
            </w:tcBorders>
          </w:tcPr>
          <w:p w14:paraId="6458295F">
            <w:pPr>
              <w:widowControl/>
              <w:spacing w:before="60" w:after="60" w:line="360" w:lineRule="auto"/>
              <w:jc w:val="left"/>
              <w:rPr>
                <w:rFonts w:ascii="仿宋" w:hAnsi="仿宋" w:eastAsia="仿宋"/>
                <w:sz w:val="28"/>
                <w:szCs w:val="28"/>
              </w:rPr>
            </w:pPr>
            <w:r>
              <w:rPr>
                <w:rFonts w:ascii="仿宋" w:hAnsi="仿宋" w:eastAsia="仿宋"/>
                <w:sz w:val="28"/>
                <w:szCs w:val="28"/>
              </w:rPr>
              <w:t>水下作业工程</w:t>
            </w:r>
          </w:p>
        </w:tc>
        <w:tc>
          <w:tcPr>
            <w:tcW w:w="2551" w:type="dxa"/>
            <w:tcBorders>
              <w:top w:val="single" w:color="auto" w:sz="4" w:space="0"/>
              <w:left w:val="single" w:color="auto" w:sz="4" w:space="0"/>
              <w:bottom w:val="single" w:color="auto" w:sz="4" w:space="0"/>
              <w:right w:val="single" w:color="auto" w:sz="4" w:space="0"/>
            </w:tcBorders>
          </w:tcPr>
          <w:p w14:paraId="2563A413">
            <w:pPr>
              <w:widowControl/>
              <w:spacing w:before="60" w:after="60" w:line="360" w:lineRule="auto"/>
              <w:jc w:val="left"/>
              <w:rPr>
                <w:rFonts w:ascii="仿宋" w:hAnsi="仿宋" w:eastAsia="仿宋"/>
                <w:sz w:val="28"/>
                <w:szCs w:val="28"/>
              </w:rPr>
            </w:pPr>
            <w:r>
              <w:rPr>
                <w:rFonts w:ascii="仿宋" w:hAnsi="仿宋" w:eastAsia="仿宋"/>
                <w:sz w:val="28"/>
                <w:szCs w:val="28"/>
              </w:rPr>
              <w:t>水下检测</w:t>
            </w:r>
            <w:r>
              <w:rPr>
                <w:rFonts w:hint="eastAsia" w:ascii="仿宋" w:hAnsi="仿宋" w:eastAsia="仿宋"/>
                <w:sz w:val="28"/>
                <w:szCs w:val="28"/>
              </w:rPr>
              <w:t>作业</w:t>
            </w:r>
          </w:p>
        </w:tc>
        <w:tc>
          <w:tcPr>
            <w:tcW w:w="1616" w:type="dxa"/>
            <w:tcBorders>
              <w:top w:val="single" w:color="auto" w:sz="4" w:space="0"/>
              <w:left w:val="single" w:color="auto" w:sz="4" w:space="0"/>
              <w:right w:val="single" w:color="auto" w:sz="4" w:space="0"/>
            </w:tcBorders>
          </w:tcPr>
          <w:p w14:paraId="595BE1EA">
            <w:pPr>
              <w:widowControl/>
              <w:spacing w:before="60" w:after="60" w:line="360" w:lineRule="auto"/>
              <w:jc w:val="left"/>
              <w:rPr>
                <w:rFonts w:ascii="仿宋" w:hAnsi="仿宋" w:eastAsia="仿宋"/>
                <w:sz w:val="28"/>
                <w:szCs w:val="28"/>
              </w:rPr>
            </w:pPr>
          </w:p>
        </w:tc>
      </w:tr>
      <w:tr w14:paraId="32BD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right w:val="single" w:color="auto" w:sz="4" w:space="0"/>
            </w:tcBorders>
          </w:tcPr>
          <w:p w14:paraId="1C1D583A">
            <w:pPr>
              <w:widowControl/>
              <w:spacing w:before="60" w:after="60" w:line="360" w:lineRule="auto"/>
              <w:jc w:val="left"/>
              <w:rPr>
                <w:rFonts w:ascii="仿宋" w:hAnsi="仿宋" w:eastAsia="仿宋"/>
                <w:sz w:val="28"/>
                <w:szCs w:val="28"/>
              </w:rPr>
            </w:pPr>
          </w:p>
        </w:tc>
        <w:tc>
          <w:tcPr>
            <w:tcW w:w="3402" w:type="dxa"/>
            <w:tcBorders>
              <w:top w:val="single" w:color="auto" w:sz="4" w:space="0"/>
              <w:left w:val="single" w:color="auto" w:sz="4" w:space="0"/>
              <w:bottom w:val="single" w:color="auto" w:sz="4" w:space="0"/>
              <w:right w:val="single" w:color="auto" w:sz="4" w:space="0"/>
            </w:tcBorders>
          </w:tcPr>
          <w:p w14:paraId="57A81558">
            <w:pPr>
              <w:widowControl/>
              <w:spacing w:before="60" w:after="60" w:line="360" w:lineRule="auto"/>
              <w:jc w:val="left"/>
              <w:rPr>
                <w:rFonts w:ascii="仿宋" w:hAnsi="仿宋" w:eastAsia="仿宋"/>
                <w:sz w:val="28"/>
                <w:szCs w:val="28"/>
              </w:rPr>
            </w:pPr>
          </w:p>
        </w:tc>
        <w:tc>
          <w:tcPr>
            <w:tcW w:w="2551" w:type="dxa"/>
            <w:tcBorders>
              <w:top w:val="single" w:color="auto" w:sz="4" w:space="0"/>
              <w:left w:val="single" w:color="auto" w:sz="4" w:space="0"/>
              <w:bottom w:val="single" w:color="auto" w:sz="4" w:space="0"/>
              <w:right w:val="single" w:color="auto" w:sz="4" w:space="0"/>
            </w:tcBorders>
          </w:tcPr>
          <w:p w14:paraId="23F709F7">
            <w:pPr>
              <w:widowControl/>
              <w:spacing w:before="60" w:after="60" w:line="360" w:lineRule="auto"/>
              <w:jc w:val="left"/>
              <w:rPr>
                <w:rFonts w:ascii="仿宋" w:hAnsi="仿宋" w:eastAsia="仿宋"/>
                <w:sz w:val="28"/>
                <w:szCs w:val="28"/>
              </w:rPr>
            </w:pPr>
          </w:p>
        </w:tc>
        <w:tc>
          <w:tcPr>
            <w:tcW w:w="1616" w:type="dxa"/>
            <w:tcBorders>
              <w:top w:val="single" w:color="auto" w:sz="4" w:space="0"/>
              <w:left w:val="single" w:color="auto" w:sz="4" w:space="0"/>
              <w:right w:val="single" w:color="auto" w:sz="4" w:space="0"/>
            </w:tcBorders>
          </w:tcPr>
          <w:p w14:paraId="2497CCA5">
            <w:pPr>
              <w:widowControl/>
              <w:spacing w:before="60" w:after="60" w:line="360" w:lineRule="auto"/>
              <w:jc w:val="left"/>
              <w:rPr>
                <w:rFonts w:ascii="仿宋" w:hAnsi="仿宋" w:eastAsia="仿宋"/>
                <w:sz w:val="28"/>
                <w:szCs w:val="28"/>
              </w:rPr>
            </w:pPr>
          </w:p>
        </w:tc>
      </w:tr>
    </w:tbl>
    <w:p w14:paraId="07A06E47">
      <w:pPr>
        <w:widowControl/>
        <w:spacing w:before="60" w:after="60" w:line="360" w:lineRule="auto"/>
        <w:jc w:val="left"/>
        <w:rPr>
          <w:rFonts w:ascii="仿宋" w:hAnsi="仿宋" w:eastAsia="仿宋"/>
          <w:sz w:val="28"/>
          <w:szCs w:val="28"/>
        </w:rPr>
      </w:pPr>
    </w:p>
    <w:p w14:paraId="2E8344AE">
      <w:pPr>
        <w:widowControl/>
        <w:ind w:firstLine="490" w:firstLineChars="175"/>
        <w:jc w:val="left"/>
        <w:outlineLvl w:val="0"/>
        <w:rPr>
          <w:rFonts w:ascii="仿宋" w:hAnsi="仿宋" w:eastAsia="仿宋"/>
          <w:sz w:val="28"/>
          <w:szCs w:val="28"/>
        </w:rPr>
      </w:pPr>
    </w:p>
    <w:sectPr>
      <w:pgSz w:w="11906" w:h="16838"/>
      <w:pgMar w:top="1440" w:right="1797" w:bottom="119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HiddenHorzOCR-Identity-H">
    <w:altName w:val="Times New Roman"/>
    <w:panose1 w:val="00000000000000000000"/>
    <w:charset w:val="00"/>
    <w:family w:val="auto"/>
    <w:pitch w:val="default"/>
    <w:sig w:usb0="00000000" w:usb1="00000000" w:usb2="00000000" w:usb3="00000000" w:csb0="00000000" w:csb1="00000000"/>
  </w:font>
  <w:font w:name="Times-Roman">
    <w:altName w:val="Times New Roman"/>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2"/>
  </w:compat>
  <w:docVars>
    <w:docVar w:name="commondata" w:val="eyJoZGlkIjoiZjA1N2U4MWUwOWQwY2JiMmFmMGU2MGUyMjJhNjM0OTIifQ=="/>
  </w:docVars>
  <w:rsids>
    <w:rsidRoot w:val="00000000"/>
    <w:rsid w:val="345840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imes New Roman" w:eastAsia="宋体" w:cs="Arial"/>
      <w:kern w:val="2"/>
      <w:sz w:val="21"/>
      <w:szCs w:val="24"/>
      <w:lang w:val="en-US" w:eastAsia="zh-CN" w:bidi="ar-SA"/>
    </w:rPr>
  </w:style>
  <w:style w:type="paragraph" w:styleId="2">
    <w:name w:val="heading 1"/>
    <w:basedOn w:val="1"/>
    <w:next w:val="1"/>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widowControl w:val="0"/>
      <w:spacing w:line="360" w:lineRule="auto"/>
      <w:jc w:val="left"/>
      <w:outlineLvl w:val="1"/>
    </w:pPr>
    <w:rPr>
      <w:rFonts w:ascii="Times New Roman" w:hAnsi="Times New Roman" w:eastAsia="黑体" w:cs="Times New Roman"/>
      <w:sz w:val="28"/>
      <w:szCs w:val="20"/>
    </w:rPr>
  </w:style>
  <w:style w:type="paragraph" w:styleId="4">
    <w:name w:val="heading 3"/>
    <w:basedOn w:val="1"/>
    <w:next w:val="1"/>
    <w:uiPriority w:val="0"/>
    <w:pPr>
      <w:keepNext/>
      <w:keepLines/>
      <w:widowControl w:val="0"/>
      <w:spacing w:line="360" w:lineRule="auto"/>
      <w:jc w:val="left"/>
      <w:outlineLvl w:val="2"/>
    </w:pPr>
    <w:rPr>
      <w:rFonts w:ascii="Times New Roman" w:hAnsi="Times New Roman" w:eastAsia="黑体" w:cs="Times New Roman"/>
      <w:sz w:val="28"/>
      <w:szCs w:val="20"/>
    </w:rPr>
  </w:style>
  <w:style w:type="paragraph" w:styleId="5">
    <w:name w:val="heading 4"/>
    <w:basedOn w:val="1"/>
    <w:next w:val="1"/>
    <w:qFormat/>
    <w:uiPriority w:val="0"/>
    <w:pPr>
      <w:keepNext/>
      <w:keepLines/>
      <w:widowControl w:val="0"/>
      <w:spacing w:line="360" w:lineRule="auto"/>
      <w:jc w:val="left"/>
      <w:outlineLvl w:val="3"/>
    </w:pPr>
    <w:rPr>
      <w:rFonts w:ascii="Times New Roman" w:hAnsi="Times New Roman" w:eastAsia="黑体" w:cs="Times New Roman"/>
      <w:bCs/>
      <w:sz w:val="24"/>
      <w:szCs w:val="28"/>
    </w:rPr>
  </w:style>
  <w:style w:type="character" w:default="1" w:styleId="19">
    <w:name w:val="Default Paragraph Font"/>
    <w:uiPriority w:val="0"/>
  </w:style>
  <w:style w:type="table" w:default="1" w:styleId="18">
    <w:name w:val="Normal Table"/>
    <w:semiHidden/>
    <w:uiPriority w:val="0"/>
    <w:tblPr>
      <w:tblCellMar>
        <w:top w:w="0" w:type="dxa"/>
        <w:left w:w="108" w:type="dxa"/>
        <w:bottom w:w="0" w:type="dxa"/>
        <w:right w:w="108" w:type="dxa"/>
      </w:tblCellMar>
    </w:tblPr>
  </w:style>
  <w:style w:type="paragraph" w:styleId="6">
    <w:name w:val="index 8"/>
    <w:basedOn w:val="1"/>
    <w:next w:val="1"/>
    <w:autoRedefine/>
    <w:qFormat/>
    <w:uiPriority w:val="0"/>
    <w:pPr>
      <w:ind w:left="2940"/>
    </w:pPr>
  </w:style>
  <w:style w:type="paragraph" w:styleId="7">
    <w:name w:val="Document Map"/>
    <w:basedOn w:val="1"/>
    <w:uiPriority w:val="0"/>
    <w:rPr>
      <w:rFonts w:ascii="宋体" w:eastAsia="宋体"/>
      <w:sz w:val="18"/>
      <w:szCs w:val="18"/>
    </w:rPr>
  </w:style>
  <w:style w:type="paragraph" w:styleId="8">
    <w:name w:val="annotation text"/>
    <w:basedOn w:val="1"/>
    <w:qFormat/>
    <w:uiPriority w:val="0"/>
    <w:pPr>
      <w:jc w:val="left"/>
    </w:pPr>
    <w:rPr>
      <w:rFonts w:ascii="Times New Roman" w:hAnsi="Times New Roman" w:eastAsia="宋体" w:cs="Times New Roman"/>
    </w:rPr>
  </w:style>
  <w:style w:type="paragraph" w:styleId="9">
    <w:name w:val="toc 3"/>
    <w:basedOn w:val="1"/>
    <w:next w:val="1"/>
    <w:qFormat/>
    <w:uiPriority w:val="0"/>
    <w:pPr>
      <w:widowControl/>
      <w:spacing w:after="100" w:line="259" w:lineRule="auto"/>
      <w:ind w:left="440"/>
      <w:jc w:val="left"/>
    </w:pPr>
    <w:rPr>
      <w:rFonts w:cs="Times New Roman"/>
      <w:kern w:val="0"/>
      <w:sz w:val="22"/>
      <w:szCs w:val="22"/>
    </w:rPr>
  </w:style>
  <w:style w:type="paragraph" w:styleId="10">
    <w:name w:val="Date"/>
    <w:basedOn w:val="1"/>
    <w:next w:val="1"/>
    <w:uiPriority w:val="0"/>
    <w:pPr>
      <w:ind w:left="2500" w:leftChars="2500"/>
    </w:pPr>
    <w:rPr>
      <w:szCs w:val="22"/>
    </w:rPr>
  </w:style>
  <w:style w:type="paragraph" w:styleId="11">
    <w:name w:val="Balloon Text"/>
    <w:basedOn w:val="1"/>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iPriority w:val="0"/>
    <w:pPr>
      <w:widowControl/>
      <w:spacing w:after="100" w:line="259" w:lineRule="auto"/>
      <w:jc w:val="left"/>
    </w:pPr>
    <w:rPr>
      <w:rFonts w:cs="Times New Roman"/>
      <w:kern w:val="0"/>
      <w:sz w:val="22"/>
      <w:szCs w:val="22"/>
    </w:rPr>
  </w:style>
  <w:style w:type="paragraph" w:styleId="15">
    <w:name w:val="toc 2"/>
    <w:basedOn w:val="1"/>
    <w:next w:val="1"/>
    <w:qFormat/>
    <w:uiPriority w:val="0"/>
    <w:pPr>
      <w:widowControl/>
      <w:spacing w:after="100" w:line="259" w:lineRule="auto"/>
      <w:ind w:left="220"/>
      <w:jc w:val="left"/>
    </w:pPr>
    <w:rPr>
      <w:rFonts w:cs="Times New Roman"/>
      <w:kern w:val="0"/>
      <w:sz w:val="22"/>
      <w:szCs w:val="22"/>
    </w:rPr>
  </w:style>
  <w:style w:type="paragraph" w:styleId="16">
    <w:name w:val="Normal (Web)"/>
    <w:basedOn w:val="1"/>
    <w:uiPriority w:val="0"/>
    <w:pPr>
      <w:spacing w:beforeAutospacing="1" w:afterAutospacing="1"/>
      <w:jc w:val="left"/>
    </w:pPr>
    <w:rPr>
      <w:rFonts w:cs="Times New Roman"/>
      <w:kern w:val="0"/>
      <w:sz w:val="24"/>
      <w:szCs w:val="22"/>
    </w:rPr>
  </w:style>
  <w:style w:type="paragraph" w:styleId="17">
    <w:name w:val="annotation subject"/>
    <w:basedOn w:val="8"/>
    <w:next w:val="8"/>
    <w:uiPriority w:val="0"/>
    <w:pPr>
      <w:spacing w:line="360" w:lineRule="auto"/>
    </w:pPr>
    <w:rPr>
      <w:b/>
      <w:bCs/>
      <w:sz w:val="24"/>
    </w:rPr>
  </w:style>
  <w:style w:type="character" w:styleId="20">
    <w:name w:val="Hyperlink"/>
    <w:basedOn w:val="19"/>
    <w:qFormat/>
    <w:uiPriority w:val="0"/>
    <w:rPr>
      <w:color w:val="0563C1"/>
      <w:u w:val="single"/>
    </w:rPr>
  </w:style>
  <w:style w:type="character" w:styleId="21">
    <w:name w:val="annotation reference"/>
    <w:uiPriority w:val="0"/>
    <w:rPr>
      <w:sz w:val="21"/>
      <w:szCs w:val="21"/>
    </w:rPr>
  </w:style>
  <w:style w:type="paragraph" w:customStyle="1" w:styleId="22">
    <w:name w:val="段"/>
    <w:basedOn w:val="1"/>
    <w:uiPriority w:val="0"/>
    <w:pPr>
      <w:widowControl/>
      <w:autoSpaceDE w:val="0"/>
      <w:autoSpaceDN w:val="0"/>
      <w:ind w:firstLine="200" w:firstLineChars="200"/>
    </w:pPr>
    <w:rPr>
      <w:rFonts w:ascii="宋体" w:hAnsi="宋体" w:eastAsia="宋体" w:cs="Times New Roman"/>
      <w:kern w:val="0"/>
      <w:szCs w:val="21"/>
    </w:rPr>
  </w:style>
  <w:style w:type="paragraph" w:customStyle="1" w:styleId="23">
    <w:name w:val="正文1"/>
    <w:basedOn w:val="1"/>
    <w:qFormat/>
    <w:uiPriority w:val="0"/>
    <w:pPr>
      <w:spacing w:line="360" w:lineRule="auto"/>
      <w:ind w:firstLine="200" w:firstLineChars="200"/>
    </w:pPr>
    <w:rPr>
      <w:rFonts w:ascii="Times New Roman" w:hAnsi="Times New Roman" w:eastAsia="宋体" w:cs="Times New Roman"/>
      <w:color w:val="000000"/>
      <w:sz w:val="24"/>
      <w:szCs w:val="20"/>
    </w:rPr>
  </w:style>
  <w:style w:type="paragraph" w:customStyle="1" w:styleId="2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25">
    <w:name w:val="fontstyle01"/>
    <w:basedOn w:val="19"/>
    <w:uiPriority w:val="0"/>
    <w:rPr>
      <w:rFonts w:ascii="宋体" w:hAnsi="宋体" w:eastAsia="宋体"/>
      <w:color w:val="000000"/>
      <w:sz w:val="24"/>
      <w:szCs w:val="24"/>
    </w:rPr>
  </w:style>
  <w:style w:type="character" w:customStyle="1" w:styleId="26">
    <w:name w:val="fontstyle21"/>
    <w:basedOn w:val="19"/>
    <w:qFormat/>
    <w:uiPriority w:val="0"/>
    <w:rPr>
      <w:rFonts w:ascii="Times New Roman" w:hAnsi="Times New Roman" w:cs="Times New Roman"/>
      <w:i/>
      <w:iCs/>
      <w:color w:val="000000"/>
      <w:sz w:val="24"/>
      <w:szCs w:val="24"/>
    </w:rPr>
  </w:style>
  <w:style w:type="character" w:customStyle="1" w:styleId="27">
    <w:name w:val="fontstyle31"/>
    <w:basedOn w:val="19"/>
    <w:qFormat/>
    <w:uiPriority w:val="0"/>
    <w:rPr>
      <w:rFonts w:ascii="Times New Roman" w:hAnsi="Times New Roman" w:cs="Times New Roman"/>
      <w:color w:val="000000"/>
      <w:sz w:val="24"/>
      <w:szCs w:val="24"/>
    </w:rPr>
  </w:style>
  <w:style w:type="paragraph" w:styleId="28">
    <w:name w:val="List Paragraph"/>
    <w:basedOn w:val="1"/>
    <w:uiPriority w:val="0"/>
    <w:pPr>
      <w:ind w:firstLine="200" w:firstLineChars="200"/>
    </w:pPr>
    <w:rPr>
      <w:rFonts w:ascii="Times New Roman" w:hAnsi="Times New Roman" w:eastAsia="宋体" w:cs="Times New Roman"/>
    </w:rPr>
  </w:style>
  <w:style w:type="character" w:customStyle="1" w:styleId="29">
    <w:name w:val="fontstyle11"/>
    <w:basedOn w:val="19"/>
    <w:qFormat/>
    <w:uiPriority w:val="0"/>
    <w:rPr>
      <w:rFonts w:ascii="TimesNewRomanPSMT" w:hAnsi="TimesNewRomanPSMT"/>
      <w:color w:val="000000"/>
      <w:sz w:val="32"/>
      <w:szCs w:val="32"/>
    </w:rPr>
  </w:style>
  <w:style w:type="paragraph" w:customStyle="1" w:styleId="30">
    <w:name w:val="表名"/>
    <w:uiPriority w:val="0"/>
    <w:pPr>
      <w:spacing w:before="50" w:beforeLines="50" w:after="50" w:afterLines="50"/>
      <w:jc w:val="center"/>
    </w:pPr>
    <w:rPr>
      <w:rFonts w:ascii="Times New Roman" w:hAnsi="Times New Roman" w:eastAsia="黑体" w:cs="Times New Roman"/>
      <w:kern w:val="2"/>
      <w:sz w:val="24"/>
      <w:szCs w:val="24"/>
      <w:lang w:val="en-US" w:eastAsia="zh-CN" w:bidi="ar-SA"/>
    </w:rPr>
  </w:style>
  <w:style w:type="paragraph" w:customStyle="1" w:styleId="31">
    <w:name w:val="表格"/>
    <w:qFormat/>
    <w:uiPriority w:val="0"/>
    <w:pPr>
      <w:jc w:val="center"/>
    </w:pPr>
    <w:rPr>
      <w:rFonts w:ascii="Times New Roman" w:hAnsi="Times New Roman" w:eastAsia="宋体" w:cs="Times New Roman"/>
      <w:kern w:val="2"/>
      <w:sz w:val="21"/>
      <w:szCs w:val="24"/>
      <w:lang w:val="en-US" w:eastAsia="zh-CN" w:bidi="ar-SA"/>
    </w:rPr>
  </w:style>
  <w:style w:type="character" w:customStyle="1" w:styleId="32">
    <w:name w:val="标题 2 Char1"/>
    <w:basedOn w:val="19"/>
    <w:qFormat/>
    <w:uiPriority w:val="0"/>
    <w:rPr>
      <w:rFonts w:ascii="Calibri Light" w:hAnsi="Calibri Light" w:eastAsia="宋体" w:cs="Times New Roman"/>
      <w:b/>
      <w:bCs/>
      <w:kern w:val="2"/>
      <w:sz w:val="32"/>
      <w:szCs w:val="32"/>
    </w:rPr>
  </w:style>
  <w:style w:type="paragraph" w:customStyle="1" w:styleId="33">
    <w:name w:val="WPSOffice手动目录 1"/>
    <w:qFormat/>
    <w:uiPriority w:val="0"/>
    <w:rPr>
      <w:rFonts w:ascii="Times New Roman" w:hAnsi="Times New Roman" w:eastAsia="宋体" w:cs="Times New Roman"/>
      <w:sz w:val="20"/>
      <w:szCs w:val="20"/>
      <w:lang w:val="en-US" w:eastAsia="zh-CN" w:bidi="ar-SA"/>
    </w:rPr>
  </w:style>
  <w:style w:type="paragraph" w:customStyle="1" w:styleId="34">
    <w:name w:val="WPSOffice手动目录 2"/>
    <w:uiPriority w:val="0"/>
    <w:pPr>
      <w:ind w:left="200" w:leftChars="200"/>
    </w:pPr>
    <w:rPr>
      <w:rFonts w:ascii="Times New Roman" w:hAnsi="Times New Roman" w:eastAsia="宋体" w:cs="Times New Roman"/>
      <w:sz w:val="20"/>
      <w:szCs w:val="20"/>
      <w:lang w:val="en-US" w:eastAsia="zh-CN" w:bidi="ar-SA"/>
    </w:rPr>
  </w:style>
  <w:style w:type="character" w:customStyle="1" w:styleId="35">
    <w:name w:val="font31"/>
    <w:basedOn w:val="19"/>
    <w:uiPriority w:val="0"/>
    <w:rPr>
      <w:rFonts w:ascii="宋体" w:hAnsi="宋体" w:eastAsia="宋体" w:cs="宋体"/>
      <w:color w:val="000000"/>
      <w:sz w:val="20"/>
      <w:szCs w:val="20"/>
      <w:u w:val="none"/>
    </w:rPr>
  </w:style>
  <w:style w:type="character" w:customStyle="1" w:styleId="36">
    <w:name w:val="font11"/>
    <w:basedOn w:val="19"/>
    <w:qFormat/>
    <w:uiPriority w:val="0"/>
    <w:rPr>
      <w:rFonts w:ascii="Times New Roman" w:hAnsi="Times New Roman" w:cs="Times New Roman"/>
      <w:color w:val="000000"/>
      <w:sz w:val="20"/>
      <w:szCs w:val="20"/>
      <w:u w:val="none"/>
    </w:rPr>
  </w:style>
  <w:style w:type="character" w:customStyle="1" w:styleId="37">
    <w:name w:val="font21"/>
    <w:basedOn w:val="19"/>
    <w:uiPriority w:val="0"/>
    <w:rPr>
      <w:rFonts w:ascii="Times New Roman" w:hAnsi="Times New Roman" w:cs="Times New Roman"/>
      <w:color w:val="000000"/>
      <w:sz w:val="20"/>
      <w:szCs w:val="20"/>
      <w:u w:val="none"/>
      <w:vertAlign w:val="superscript"/>
    </w:rPr>
  </w:style>
  <w:style w:type="paragraph" w:customStyle="1" w:styleId="38">
    <w:name w:val="TOC 标题1"/>
    <w:basedOn w:val="2"/>
    <w:next w:val="1"/>
    <w:qFormat/>
    <w:uiPriority w:val="0"/>
    <w:pPr>
      <w:keepNext/>
      <w:keepLines/>
      <w:widowControl/>
      <w:spacing w:before="240" w:after="0" w:line="259" w:lineRule="auto"/>
      <w:jc w:val="left"/>
      <w:outlineLvl w:val="9"/>
    </w:pPr>
    <w:rPr>
      <w:rFonts w:ascii="Calibri Light" w:hAnsi="Calibri Light" w:eastAsia="宋体" w:cs="Times New Roman"/>
      <w:b w:val="0"/>
      <w:bCs w:val="0"/>
      <w:color w:val="2E74B5"/>
      <w:kern w:val="0"/>
      <w:sz w:val="32"/>
      <w:szCs w:val="32"/>
    </w:rPr>
  </w:style>
  <w:style w:type="paragraph" w:customStyle="1" w:styleId="39">
    <w:name w:val="图名"/>
    <w:uiPriority w:val="0"/>
    <w:pPr>
      <w:spacing w:line="360" w:lineRule="auto"/>
      <w:jc w:val="center"/>
    </w:pPr>
    <w:rPr>
      <w:rFonts w:ascii="Times New Roman" w:hAnsi="Times New Roman" w:eastAsia="黑体" w:cs="Times New Roman"/>
      <w:kern w:val="2"/>
      <w:sz w:val="24"/>
      <w:szCs w:val="24"/>
      <w:lang w:val="en-US" w:eastAsia="zh-CN" w:bidi="ar-SA"/>
    </w:rPr>
  </w:style>
  <w:style w:type="paragraph" w:customStyle="1" w:styleId="40">
    <w:name w:val="图"/>
    <w:basedOn w:val="31"/>
    <w:qFormat/>
    <w:uiPriority w:val="0"/>
    <w:pPr>
      <w:snapToGrid w:val="0"/>
    </w:pPr>
  </w:style>
  <w:style w:type="character" w:customStyle="1" w:styleId="41">
    <w:name w:val="font51"/>
    <w:qFormat/>
    <w:uiPriority w:val="0"/>
    <w:rPr>
      <w:rFonts w:ascii="宋体" w:hAnsi="宋体" w:eastAsia="宋体" w:cs="宋体"/>
      <w:b/>
      <w:color w:val="000000"/>
      <w:sz w:val="21"/>
      <w:szCs w:val="21"/>
      <w:u w:val="none"/>
    </w:rPr>
  </w:style>
  <w:style w:type="paragraph" w:customStyle="1" w:styleId="42">
    <w:name w:val="TOC 标题2"/>
    <w:basedOn w:val="2"/>
    <w:next w:val="1"/>
    <w:uiPriority w:val="0"/>
    <w:pPr>
      <w:keepNext/>
      <w:keepLines/>
      <w:widowControl/>
      <w:spacing w:before="240" w:after="0" w:line="259" w:lineRule="auto"/>
      <w:jc w:val="left"/>
      <w:outlineLvl w:val="9"/>
    </w:pPr>
    <w:rPr>
      <w:rFonts w:ascii="Calibri Light" w:hAnsi="Calibri Light" w:eastAsia="宋体" w:cs="Times New Roman"/>
      <w:b w:val="0"/>
      <w:bCs w:val="0"/>
      <w:color w:val="2E74B5"/>
      <w:kern w:val="0"/>
      <w:sz w:val="32"/>
      <w:szCs w:val="32"/>
    </w:rPr>
  </w:style>
  <w:style w:type="paragraph" w:customStyle="1" w:styleId="43">
    <w:name w:val="石城正文"/>
    <w:basedOn w:val="1"/>
    <w:uiPriority w:val="0"/>
    <w:pPr>
      <w:spacing w:line="360" w:lineRule="auto"/>
      <w:ind w:firstLine="200" w:firstLineChars="200"/>
    </w:pPr>
    <w:rPr>
      <w:rFonts w:ascii="Times New Roman" w:hAnsi="Times New Roman" w:eastAsia="宋体" w:cs="Times New Roman"/>
      <w:kern w:val="0"/>
      <w:sz w:val="24"/>
      <w:szCs w:val="20"/>
    </w:rPr>
  </w:style>
  <w:style w:type="character" w:customStyle="1" w:styleId="44">
    <w:name w:val="font01"/>
    <w:basedOn w:val="19"/>
    <w:qFormat/>
    <w:uiPriority w:val="0"/>
    <w:rPr>
      <w:rFonts w:ascii="宋体" w:hAnsi="宋体" w:eastAsia="宋体" w:cs="宋体"/>
      <w:color w:val="000000"/>
      <w:sz w:val="22"/>
      <w:szCs w:val="22"/>
      <w:u w:val="none"/>
    </w:rPr>
  </w:style>
  <w:style w:type="paragraph" w:customStyle="1" w:styleId="45">
    <w:name w:val="石城图"/>
    <w:basedOn w:val="39"/>
    <w:qFormat/>
    <w:uiPriority w:val="0"/>
    <w:rPr>
      <w:rFonts w:cs="Arial"/>
      <w:b/>
      <w:sz w:val="21"/>
      <w:szCs w:val="21"/>
    </w:rPr>
  </w:style>
  <w:style w:type="paragraph" w:customStyle="1" w:styleId="46">
    <w:name w:val="Other|1"/>
    <w:basedOn w:val="1"/>
    <w:qFormat/>
    <w:uiPriority w:val="0"/>
    <w:pPr>
      <w:jc w:val="center"/>
    </w:pPr>
    <w:rPr>
      <w:rFonts w:ascii="宋体" w:hAnsi="宋体" w:eastAsia="宋体" w:cs="宋体"/>
      <w:sz w:val="20"/>
      <w:szCs w:val="20"/>
    </w:rPr>
  </w:style>
  <w:style w:type="paragraph" w:customStyle="1" w:styleId="47">
    <w:name w:val="白鹤滩正文"/>
    <w:basedOn w:val="1"/>
    <w:qFormat/>
    <w:uiPriority w:val="0"/>
    <w:pPr>
      <w:spacing w:line="360" w:lineRule="auto"/>
      <w:ind w:firstLine="480"/>
    </w:pPr>
    <w:rPr>
      <w:rFonts w:ascii="Times New Roman" w:hAnsi="Times New Roman" w:eastAsia="宋体" w:cs="Times New Roman"/>
      <w:sz w:val="24"/>
      <w:lang w:val="zh-CN"/>
    </w:rPr>
  </w:style>
  <w:style w:type="paragraph" w:customStyle="1" w:styleId="48">
    <w:name w:val="Char Char Char Char Char Char Char"/>
    <w:basedOn w:val="1"/>
    <w:qFormat/>
    <w:uiPriority w:val="0"/>
    <w:rPr>
      <w:rFonts w:ascii="Times New Roman" w:hAnsi="Times New Roman" w:eastAsia="宋体" w:cs="Times New Roman"/>
    </w:rPr>
  </w:style>
  <w:style w:type="paragraph" w:customStyle="1" w:styleId="49">
    <w:name w:val="Char Char Char Char Char Char Char1"/>
    <w:basedOn w:val="1"/>
    <w:qFormat/>
    <w:uiPriority w:val="0"/>
    <w:rPr>
      <w:rFonts w:ascii="Times New Roman" w:hAnsi="Times New Roman" w:eastAsia="宋体" w:cs="Times New Roman"/>
    </w:rPr>
  </w:style>
  <w:style w:type="character" w:customStyle="1" w:styleId="50">
    <w:name w:val="样式 宋体 小三 加粗 黑色"/>
    <w:qFormat/>
    <w:uiPriority w:val="0"/>
    <w:rPr>
      <w:rFonts w:ascii="宋体" w:hAnsi="宋体" w:eastAsia="宋体"/>
      <w:b/>
      <w:bCs/>
      <w:color w:val="000000"/>
      <w:kern w:val="0"/>
      <w:sz w:val="30"/>
    </w:rPr>
  </w:style>
  <w:style w:type="paragraph" w:customStyle="1" w:styleId="51">
    <w:name w:val="Normal_1"/>
    <w:qFormat/>
    <w:uiPriority w:val="0"/>
    <w:pPr>
      <w:widowControl w:val="0"/>
      <w:spacing w:line="360" w:lineRule="auto"/>
    </w:pPr>
    <w:rPr>
      <w:rFonts w:ascii="Calibri" w:hAnsi="Calibri" w:eastAsia="宋体" w:cs="Times New Roman"/>
      <w:kern w:val="2"/>
      <w:sz w:val="21"/>
      <w:szCs w:val="22"/>
      <w:lang w:val="en-US" w:eastAsia="zh-CN" w:bidi="ar-SA"/>
    </w:rPr>
  </w:style>
  <w:style w:type="paragraph" w:customStyle="1" w:styleId="52">
    <w:name w:val="fontstyle0"/>
    <w:basedOn w:val="1"/>
    <w:link w:val="53"/>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rFonts w:ascii="HiddenHorzOCR-Identity-H" w:hAnsi="HiddenHorzOCR-Identity-H" w:eastAsia="宋体"/>
      <w:snapToGrid/>
      <w:color w:val="2A2E30"/>
      <w:spacing w:val="0"/>
      <w:w w:val="100"/>
      <w:kern w:val="0"/>
      <w:position w:val="0"/>
      <w:sz w:val="22"/>
      <w:szCs w:val="22"/>
      <w:u w:val="none" w:color="auto"/>
      <w:vertAlign w:val="baseline"/>
      <w:lang w:val="en-US" w:eastAsia="zh-CN" w:bidi="ar-SA"/>
    </w:rPr>
  </w:style>
  <w:style w:type="character" w:customStyle="1" w:styleId="53">
    <w:name w:val="fontstyle0 Char"/>
    <w:basedOn w:val="19"/>
    <w:link w:val="52"/>
    <w:qFormat/>
    <w:uiPriority w:val="0"/>
    <w:rPr>
      <w:rFonts w:ascii="HiddenHorzOCR-Identity-H" w:hAnsi="HiddenHorzOCR-Identity-H" w:eastAsia="宋体" w:cs="Arial"/>
      <w:snapToGrid/>
      <w:color w:val="2A2E30"/>
      <w:spacing w:val="0"/>
      <w:w w:val="100"/>
      <w:kern w:val="0"/>
      <w:position w:val="0"/>
      <w:sz w:val="22"/>
      <w:szCs w:val="22"/>
      <w:u w:val="none" w:color="auto"/>
      <w:vertAlign w:val="baseline"/>
      <w:lang w:val="en-US" w:eastAsia="zh-CN" w:bidi="ar-SA"/>
    </w:rPr>
  </w:style>
  <w:style w:type="paragraph" w:customStyle="1" w:styleId="54">
    <w:name w:val="fontstyle2"/>
    <w:basedOn w:val="1"/>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rFonts w:ascii="Times-Roman" w:hAnsi="Times-Roman" w:eastAsia="宋体"/>
      <w:snapToGrid/>
      <w:color w:val="2A2E30"/>
      <w:spacing w:val="0"/>
      <w:w w:val="100"/>
      <w:kern w:val="0"/>
      <w:position w:val="0"/>
      <w:sz w:val="22"/>
      <w:szCs w:val="22"/>
      <w:u w:val="none" w:color="auto"/>
      <w:vertAlign w:val="baseline"/>
      <w:lang w:val="en-US" w:eastAsia="zh-CN" w:bidi="ar-SA"/>
    </w:rPr>
  </w:style>
  <w:style w:type="paragraph" w:customStyle="1" w:styleId="55">
    <w:name w:val="Heading 2_0"/>
    <w:basedOn w:val="1"/>
    <w:uiPriority w:val="0"/>
    <w:pPr>
      <w:keepNext/>
      <w:keepLines/>
      <w:widowControl w:val="0"/>
      <w:spacing w:before="260" w:after="260" w:line="360" w:lineRule="auto"/>
      <w:jc w:val="both"/>
      <w:outlineLvl w:val="1"/>
    </w:pPr>
    <w:rPr>
      <w:rFonts w:ascii="Cambria" w:hAnsi="Cambria" w:eastAsia="宋体" w:cs="Times New Roman"/>
      <w:b/>
      <w:bCs/>
      <w:kern w:val="2"/>
      <w:sz w:val="21"/>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01282E5E-FF70-49E1-98C5-923D63D90311}">
  <ds:schemaRefs/>
</ds:datastoreItem>
</file>

<file path=docProps/app.xml><?xml version="1.0" encoding="utf-8"?>
<Properties xmlns="http://schemas.openxmlformats.org/officeDocument/2006/extended-properties" xmlns:vt="http://schemas.openxmlformats.org/officeDocument/2006/docPropsVTypes">
  <Template>Normal.eit</Template>
  <Pages>15</Pages>
  <Words>5650</Words>
  <Characters>6621</Characters>
  <Lines>0</Lines>
  <Paragraphs>144</Paragraphs>
  <TotalTime>48</TotalTime>
  <ScaleCrop>false</ScaleCrop>
  <LinksUpToDate>false</LinksUpToDate>
  <CharactersWithSpaces>6636</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2022-07-06T07:58:00Z</dcterms:created>
  <dc:creator>WPS_1591333281</dc:creator>
  <cp:lastModifiedBy>钟蔡泽</cp:lastModifiedBy>
  <cp:lastPrinted>2024-09-13T00:53:00Z</cp:lastPrinted>
  <dcterms:modified xsi:type="dcterms:W3CDTF">2024-12-06T05:30:06Z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9B31D00B8F5744359766B331ED905DA2</vt:lpwstr>
  </property>
</Properties>
</file>