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8C96E1">
      <w:pPr>
        <w:widowControl/>
        <w:ind w:left="-480" w:firstLine="200"/>
        <w:jc w:val="center"/>
        <w:rPr>
          <w:rFonts w:hint="eastAsia" w:ascii="黑体" w:hAnsi="黑体" w:eastAsia="黑体" w:cs="宋体"/>
          <w:b/>
          <w:bCs/>
          <w:kern w:val="0"/>
          <w:sz w:val="32"/>
          <w:szCs w:val="32"/>
        </w:rPr>
      </w:pPr>
    </w:p>
    <w:p w14:paraId="1384E7DE">
      <w:pPr>
        <w:widowControl/>
        <w:ind w:left="-480" w:firstLine="200"/>
        <w:jc w:val="center"/>
        <w:rPr>
          <w:rFonts w:hint="eastAsia" w:ascii="黑体" w:hAnsi="黑体" w:eastAsia="黑体" w:cs="宋体"/>
          <w:b/>
          <w:bCs/>
          <w:kern w:val="0"/>
          <w:sz w:val="32"/>
          <w:szCs w:val="32"/>
        </w:rPr>
      </w:pPr>
    </w:p>
    <w:p w14:paraId="6CBFF6FA">
      <w:pPr>
        <w:widowControl/>
        <w:ind w:left="-480" w:firstLine="200"/>
        <w:jc w:val="center"/>
        <w:rPr>
          <w:rFonts w:hint="eastAsia" w:ascii="黑体" w:hAnsi="黑体" w:eastAsia="黑体" w:cs="宋体"/>
          <w:b/>
          <w:bCs/>
          <w:kern w:val="0"/>
          <w:sz w:val="32"/>
          <w:szCs w:val="32"/>
        </w:rPr>
      </w:pPr>
    </w:p>
    <w:p w14:paraId="1B72D207">
      <w:pPr>
        <w:jc w:val="center"/>
        <w:rPr>
          <w:rFonts w:hAnsi="Calibri" w:cs="Times New Roman"/>
          <w:b/>
          <w:sz w:val="52"/>
          <w:szCs w:val="52"/>
        </w:rPr>
      </w:pPr>
      <w:bookmarkStart w:id="0" w:name="_Hlk4418024"/>
      <w:r>
        <w:rPr>
          <w:rFonts w:hint="eastAsia" w:ascii="宋体"/>
          <w:b/>
          <w:sz w:val="44"/>
          <w:szCs w:val="44"/>
        </w:rPr>
        <w:t>江苏竹根沙（H2#）300MW海上风电场</w:t>
      </w:r>
    </w:p>
    <w:p w14:paraId="1EF01E1A">
      <w:pPr>
        <w:jc w:val="center"/>
        <w:rPr>
          <w:rFonts w:ascii="宋体" w:cs="Times New Roman"/>
          <w:b/>
          <w:bCs/>
          <w:sz w:val="44"/>
          <w:szCs w:val="44"/>
        </w:rPr>
      </w:pPr>
      <w:r>
        <w:rPr>
          <w:rFonts w:ascii="宋体"/>
          <w:b/>
          <w:sz w:val="44"/>
          <w:szCs w:val="44"/>
        </w:rPr>
        <w:t>海上构建筑物基础防腐检测</w:t>
      </w:r>
      <w:r>
        <w:rPr>
          <w:rFonts w:hint="eastAsia" w:ascii="宋体"/>
          <w:b/>
          <w:sz w:val="44"/>
          <w:szCs w:val="44"/>
        </w:rPr>
        <w:t>服务</w:t>
      </w:r>
    </w:p>
    <w:bookmarkEnd w:id="0"/>
    <w:p w14:paraId="7CBF90D3">
      <w:pPr>
        <w:rPr>
          <w:rFonts w:hAnsi="Calibri" w:cs="Times New Roman"/>
          <w:b/>
          <w:sz w:val="40"/>
          <w:szCs w:val="52"/>
        </w:rPr>
      </w:pPr>
    </w:p>
    <w:p w14:paraId="5C23F67F">
      <w:pPr>
        <w:rPr>
          <w:rFonts w:hint="eastAsia" w:ascii="宋体" w:hAnsi="宋体" w:cs="Times New Roman"/>
          <w:sz w:val="28"/>
        </w:rPr>
      </w:pPr>
    </w:p>
    <w:p w14:paraId="6AB44C1D">
      <w:pPr>
        <w:jc w:val="center"/>
        <w:rPr>
          <w:rFonts w:hint="eastAsia" w:ascii="宋体" w:hAnsi="宋体" w:cs="Times New Roman"/>
          <w:sz w:val="28"/>
        </w:rPr>
      </w:pPr>
    </w:p>
    <w:p w14:paraId="21D8D68B">
      <w:pPr>
        <w:jc w:val="center"/>
        <w:rPr>
          <w:rFonts w:hint="eastAsia" w:ascii="宋体" w:hAnsi="宋体" w:cs="Times New Roman"/>
          <w:b/>
          <w:sz w:val="48"/>
          <w:szCs w:val="48"/>
        </w:rPr>
      </w:pPr>
      <w:bookmarkStart w:id="1" w:name="_Toc286153212"/>
      <w:bookmarkStart w:id="2" w:name="_Toc215298563"/>
      <w:bookmarkStart w:id="3" w:name="_Toc215298515"/>
      <w:bookmarkStart w:id="4" w:name="_Toc215298661"/>
      <w:r>
        <w:rPr>
          <w:rFonts w:hint="eastAsia" w:ascii="宋体" w:hAnsi="宋体" w:cs="Times New Roman"/>
          <w:b/>
          <w:sz w:val="48"/>
          <w:szCs w:val="48"/>
        </w:rPr>
        <w:t>技术规范</w:t>
      </w:r>
      <w:bookmarkEnd w:id="1"/>
      <w:bookmarkEnd w:id="2"/>
      <w:bookmarkEnd w:id="3"/>
      <w:bookmarkEnd w:id="4"/>
      <w:r>
        <w:rPr>
          <w:rFonts w:hint="eastAsia" w:ascii="宋体" w:hAnsi="宋体" w:cs="Times New Roman"/>
          <w:b/>
          <w:sz w:val="48"/>
          <w:szCs w:val="48"/>
        </w:rPr>
        <w:t>书</w:t>
      </w:r>
    </w:p>
    <w:p w14:paraId="16AB5C74">
      <w:pPr>
        <w:jc w:val="center"/>
        <w:rPr>
          <w:rFonts w:hint="eastAsia" w:ascii="宋体" w:hAnsi="宋体" w:cs="Times New Roman"/>
          <w:b/>
          <w:sz w:val="48"/>
          <w:szCs w:val="48"/>
        </w:rPr>
      </w:pPr>
    </w:p>
    <w:p w14:paraId="47068C55">
      <w:pPr>
        <w:widowControl/>
        <w:jc w:val="center"/>
        <w:rPr>
          <w:rStyle w:val="53"/>
          <w:rFonts w:hint="eastAsia" w:ascii="黑体" w:hAnsi="黑体" w:cs="Times New Roman"/>
          <w:b w:val="0"/>
        </w:rPr>
      </w:pPr>
    </w:p>
    <w:p w14:paraId="61426993">
      <w:pPr>
        <w:widowControl/>
        <w:jc w:val="center"/>
        <w:rPr>
          <w:rStyle w:val="53"/>
          <w:rFonts w:hint="eastAsia" w:ascii="黑体" w:hAnsi="黑体" w:cs="Times New Roman"/>
          <w:b w:val="0"/>
        </w:rPr>
      </w:pPr>
    </w:p>
    <w:p w14:paraId="4BD91E4B">
      <w:pPr>
        <w:widowControl/>
        <w:jc w:val="center"/>
        <w:rPr>
          <w:rStyle w:val="53"/>
          <w:rFonts w:hint="eastAsia" w:ascii="黑体" w:hAnsi="黑体" w:cs="Times New Roman"/>
          <w:b w:val="0"/>
        </w:rPr>
      </w:pPr>
    </w:p>
    <w:p w14:paraId="636C00AE">
      <w:pPr>
        <w:widowControl/>
        <w:jc w:val="center"/>
        <w:rPr>
          <w:rStyle w:val="53"/>
          <w:rFonts w:hint="eastAsia" w:ascii="黑体" w:hAnsi="黑体" w:cs="Times New Roman"/>
          <w:b w:val="0"/>
        </w:rPr>
      </w:pPr>
    </w:p>
    <w:p w14:paraId="41630075">
      <w:pPr>
        <w:widowControl/>
        <w:jc w:val="center"/>
        <w:rPr>
          <w:rStyle w:val="53"/>
          <w:rFonts w:hint="eastAsia" w:ascii="黑体" w:hAnsi="黑体" w:cs="Times New Roman"/>
          <w:b w:val="0"/>
        </w:rPr>
      </w:pPr>
    </w:p>
    <w:p w14:paraId="0E155BE7">
      <w:pPr>
        <w:widowControl/>
        <w:jc w:val="center"/>
        <w:rPr>
          <w:rStyle w:val="53"/>
          <w:rFonts w:hint="eastAsia" w:ascii="黑体" w:hAnsi="黑体" w:cs="Times New Roman"/>
          <w:b w:val="0"/>
        </w:rPr>
      </w:pPr>
    </w:p>
    <w:p w14:paraId="647366C3">
      <w:pPr>
        <w:widowControl/>
        <w:jc w:val="center"/>
        <w:rPr>
          <w:rStyle w:val="53"/>
          <w:rFonts w:hint="eastAsia" w:ascii="黑体" w:hAnsi="黑体" w:cs="Times New Roman"/>
          <w:b w:val="0"/>
        </w:rPr>
      </w:pPr>
    </w:p>
    <w:p w14:paraId="3A3A295F">
      <w:pPr>
        <w:widowControl/>
        <w:jc w:val="center"/>
        <w:rPr>
          <w:rStyle w:val="53"/>
          <w:rFonts w:hint="eastAsia" w:ascii="黑体" w:hAnsi="黑体" w:cs="Times New Roman"/>
          <w:b w:val="0"/>
        </w:rPr>
      </w:pPr>
      <w:r>
        <w:rPr>
          <w:rStyle w:val="53"/>
          <w:rFonts w:hint="eastAsia" w:ascii="黑体" w:hAnsi="黑体" w:cs="Times New Roman"/>
        </w:rPr>
        <w:t>东台双创新能源开发有限公司</w:t>
      </w:r>
    </w:p>
    <w:p w14:paraId="6451F5E1">
      <w:pPr>
        <w:widowControl/>
        <w:jc w:val="center"/>
        <w:rPr>
          <w:b/>
          <w:sz w:val="30"/>
          <w:szCs w:val="30"/>
        </w:rPr>
      </w:pPr>
      <w:r>
        <w:rPr>
          <w:rStyle w:val="53"/>
          <w:rFonts w:hint="eastAsia" w:ascii="黑体" w:hAnsi="黑体" w:cs="Times New Roman"/>
        </w:rPr>
        <w:t>二〇二四年</w:t>
      </w:r>
      <w:r>
        <w:rPr>
          <w:rStyle w:val="53"/>
          <w:rFonts w:hint="eastAsia" w:ascii="黑体" w:hAnsi="黑体" w:cs="Times New Roman"/>
          <w:lang w:val="en-US" w:eastAsia="zh-CN"/>
        </w:rPr>
        <w:t>十一</w:t>
      </w:r>
      <w:r>
        <w:rPr>
          <w:rStyle w:val="53"/>
          <w:rFonts w:hint="eastAsia" w:ascii="黑体" w:hAnsi="黑体" w:cs="Times New Roman"/>
        </w:rPr>
        <w:t>月</w:t>
      </w:r>
    </w:p>
    <w:p w14:paraId="3752A6CF">
      <w:pPr>
        <w:widowControl/>
        <w:jc w:val="left"/>
        <w:rPr>
          <w:b/>
          <w:sz w:val="30"/>
          <w:szCs w:val="30"/>
        </w:rPr>
      </w:pPr>
      <w:r>
        <w:rPr>
          <w:b/>
          <w:sz w:val="30"/>
          <w:szCs w:val="30"/>
        </w:rPr>
        <w:br w:type="page"/>
      </w:r>
    </w:p>
    <w:p w14:paraId="78D62684">
      <w:pPr>
        <w:widowControl/>
        <w:jc w:val="left"/>
        <w:rPr>
          <w:b/>
          <w:sz w:val="30"/>
          <w:szCs w:val="30"/>
        </w:rPr>
      </w:pPr>
    </w:p>
    <w:p w14:paraId="4A90958E">
      <w:pPr>
        <w:widowControl/>
        <w:jc w:val="left"/>
        <w:rPr>
          <w:b/>
          <w:sz w:val="30"/>
          <w:szCs w:val="30"/>
        </w:rPr>
      </w:pPr>
    </w:p>
    <w:p w14:paraId="27C64F50">
      <w:pPr>
        <w:widowControl/>
        <w:jc w:val="center"/>
        <w:rPr>
          <w:b/>
          <w:sz w:val="44"/>
          <w:szCs w:val="44"/>
        </w:rPr>
      </w:pPr>
    </w:p>
    <w:p w14:paraId="7DDD8B06">
      <w:pPr>
        <w:jc w:val="center"/>
        <w:rPr>
          <w:rFonts w:hAnsi="Calibri" w:cs="Times New Roman"/>
          <w:b/>
          <w:sz w:val="52"/>
          <w:szCs w:val="52"/>
        </w:rPr>
      </w:pPr>
      <w:r>
        <w:rPr>
          <w:rFonts w:hint="eastAsia" w:ascii="宋体"/>
          <w:b/>
          <w:sz w:val="44"/>
          <w:szCs w:val="44"/>
        </w:rPr>
        <w:t>江苏竹根沙（H2#）300MW海上风电场</w:t>
      </w:r>
    </w:p>
    <w:p w14:paraId="372B52A7">
      <w:pPr>
        <w:widowControl/>
        <w:jc w:val="center"/>
        <w:rPr>
          <w:rFonts w:ascii="宋体"/>
          <w:b/>
          <w:sz w:val="44"/>
          <w:szCs w:val="44"/>
        </w:rPr>
      </w:pPr>
      <w:r>
        <w:rPr>
          <w:rFonts w:ascii="宋体"/>
          <w:b/>
          <w:sz w:val="44"/>
          <w:szCs w:val="44"/>
        </w:rPr>
        <w:t>海上构建筑物基础防腐检测</w:t>
      </w:r>
      <w:r>
        <w:rPr>
          <w:rFonts w:hint="eastAsia" w:ascii="宋体"/>
          <w:b/>
          <w:sz w:val="44"/>
          <w:szCs w:val="44"/>
        </w:rPr>
        <w:t>服务</w:t>
      </w:r>
    </w:p>
    <w:p w14:paraId="140E92AF">
      <w:pPr>
        <w:widowControl/>
        <w:jc w:val="center"/>
        <w:rPr>
          <w:b/>
          <w:sz w:val="44"/>
          <w:szCs w:val="44"/>
        </w:rPr>
      </w:pPr>
    </w:p>
    <w:p w14:paraId="0E1DF807">
      <w:pPr>
        <w:widowControl/>
        <w:jc w:val="center"/>
        <w:rPr>
          <w:b/>
          <w:sz w:val="44"/>
          <w:szCs w:val="44"/>
        </w:rPr>
      </w:pPr>
    </w:p>
    <w:p w14:paraId="2EC0DDB7">
      <w:pPr>
        <w:widowControl/>
        <w:jc w:val="center"/>
        <w:rPr>
          <w:b/>
          <w:sz w:val="44"/>
          <w:szCs w:val="44"/>
        </w:rPr>
      </w:pPr>
      <w:r>
        <w:rPr>
          <w:rFonts w:hint="eastAsia"/>
          <w:b/>
          <w:sz w:val="44"/>
          <w:szCs w:val="44"/>
        </w:rPr>
        <w:t>技术规范书</w:t>
      </w:r>
    </w:p>
    <w:p w14:paraId="38067FA9">
      <w:pPr>
        <w:widowControl/>
        <w:jc w:val="left"/>
        <w:rPr>
          <w:b/>
          <w:sz w:val="30"/>
          <w:szCs w:val="30"/>
        </w:rPr>
      </w:pPr>
    </w:p>
    <w:p w14:paraId="6C5C497D">
      <w:pPr>
        <w:widowControl/>
        <w:jc w:val="left"/>
        <w:rPr>
          <w:b/>
          <w:sz w:val="30"/>
          <w:szCs w:val="30"/>
        </w:rPr>
      </w:pPr>
    </w:p>
    <w:p w14:paraId="2B7C2B1C">
      <w:pPr>
        <w:widowControl/>
        <w:jc w:val="left"/>
        <w:rPr>
          <w:b/>
          <w:sz w:val="30"/>
          <w:szCs w:val="30"/>
        </w:rPr>
      </w:pPr>
    </w:p>
    <w:p w14:paraId="558E9DD3">
      <w:pPr>
        <w:widowControl/>
        <w:ind w:firstLine="1419" w:firstLineChars="471"/>
        <w:jc w:val="left"/>
        <w:rPr>
          <w:b/>
          <w:sz w:val="30"/>
          <w:szCs w:val="30"/>
        </w:rPr>
      </w:pPr>
      <w:r>
        <w:rPr>
          <w:rFonts w:hint="eastAsia"/>
          <w:b/>
          <w:sz w:val="30"/>
          <w:szCs w:val="30"/>
        </w:rPr>
        <w:t>编制：</w:t>
      </w:r>
    </w:p>
    <w:p w14:paraId="5B497A86">
      <w:pPr>
        <w:widowControl/>
        <w:jc w:val="left"/>
        <w:rPr>
          <w:b/>
          <w:sz w:val="30"/>
          <w:szCs w:val="30"/>
        </w:rPr>
      </w:pPr>
    </w:p>
    <w:p w14:paraId="2CEE3C79">
      <w:pPr>
        <w:widowControl/>
        <w:ind w:firstLine="1419" w:firstLineChars="471"/>
        <w:jc w:val="left"/>
        <w:rPr>
          <w:rFonts w:hint="eastAsia"/>
          <w:b/>
          <w:sz w:val="30"/>
          <w:szCs w:val="30"/>
        </w:rPr>
      </w:pPr>
      <w:r>
        <w:rPr>
          <w:rFonts w:hint="eastAsia"/>
          <w:b/>
          <w:sz w:val="30"/>
          <w:szCs w:val="30"/>
        </w:rPr>
        <w:t>审核：</w:t>
      </w:r>
    </w:p>
    <w:p w14:paraId="68DD7619">
      <w:pPr>
        <w:widowControl/>
        <w:jc w:val="left"/>
        <w:rPr>
          <w:rFonts w:hint="eastAsia"/>
          <w:b/>
          <w:sz w:val="30"/>
          <w:szCs w:val="30"/>
        </w:rPr>
      </w:pPr>
    </w:p>
    <w:p w14:paraId="7BE81033">
      <w:pPr>
        <w:widowControl/>
        <w:ind w:firstLine="1419" w:firstLineChars="471"/>
        <w:jc w:val="left"/>
        <w:rPr>
          <w:b/>
          <w:sz w:val="30"/>
          <w:szCs w:val="30"/>
        </w:rPr>
      </w:pPr>
      <w:r>
        <w:rPr>
          <w:rFonts w:hint="eastAsia"/>
          <w:b/>
          <w:sz w:val="30"/>
          <w:szCs w:val="30"/>
        </w:rPr>
        <w:t>批准：</w:t>
      </w:r>
    </w:p>
    <w:p w14:paraId="10C27B40">
      <w:pPr>
        <w:rPr>
          <w:b/>
          <w:sz w:val="30"/>
          <w:szCs w:val="30"/>
        </w:rPr>
      </w:pPr>
      <w:r>
        <w:rPr>
          <w:b/>
          <w:sz w:val="30"/>
          <w:szCs w:val="30"/>
        </w:rPr>
        <w:br w:type="page"/>
      </w:r>
    </w:p>
    <w:p w14:paraId="0FFF1082">
      <w:pPr>
        <w:jc w:val="center"/>
        <w:rPr>
          <w:rFonts w:hAnsi="Calibri" w:cs="Times New Roman"/>
          <w:b/>
          <w:sz w:val="52"/>
          <w:szCs w:val="52"/>
        </w:rPr>
      </w:pPr>
      <w:r>
        <w:rPr>
          <w:rFonts w:hint="eastAsia" w:ascii="仿宋" w:hAnsi="仿宋" w:eastAsia="仿宋"/>
          <w:b/>
          <w:sz w:val="30"/>
          <w:szCs w:val="30"/>
        </w:rPr>
        <w:t>江苏竹根沙（H2#）300MW海上风电场</w:t>
      </w:r>
    </w:p>
    <w:p w14:paraId="4728FEED">
      <w:pPr>
        <w:jc w:val="center"/>
        <w:rPr>
          <w:rFonts w:hint="eastAsia" w:ascii="仿宋" w:hAnsi="仿宋" w:eastAsia="仿宋"/>
          <w:b/>
          <w:sz w:val="30"/>
          <w:szCs w:val="30"/>
        </w:rPr>
      </w:pPr>
      <w:r>
        <w:rPr>
          <w:rFonts w:ascii="仿宋" w:hAnsi="仿宋" w:eastAsia="仿宋"/>
          <w:b/>
          <w:sz w:val="30"/>
          <w:szCs w:val="30"/>
        </w:rPr>
        <w:t>海上构建筑物基础防腐检测</w:t>
      </w:r>
      <w:r>
        <w:rPr>
          <w:rFonts w:hint="eastAsia" w:ascii="仿宋" w:hAnsi="仿宋" w:eastAsia="仿宋"/>
          <w:b/>
          <w:sz w:val="30"/>
          <w:szCs w:val="30"/>
        </w:rPr>
        <w:t>服务技术规范书</w:t>
      </w:r>
    </w:p>
    <w:p w14:paraId="0AC8B0AE">
      <w:pPr>
        <w:widowControl/>
        <w:jc w:val="left"/>
        <w:outlineLvl w:val="0"/>
        <w:rPr>
          <w:rFonts w:hint="eastAsia" w:ascii="仿宋" w:hAnsi="仿宋" w:eastAsia="仿宋" w:cs="仿宋"/>
          <w:b/>
          <w:kern w:val="0"/>
          <w:sz w:val="28"/>
          <w:szCs w:val="28"/>
        </w:rPr>
      </w:pPr>
      <w:r>
        <w:rPr>
          <w:rFonts w:hint="eastAsia" w:ascii="仿宋" w:hAnsi="仿宋" w:eastAsia="仿宋" w:cs="仿宋"/>
          <w:b/>
          <w:kern w:val="0"/>
          <w:sz w:val="28"/>
          <w:szCs w:val="28"/>
        </w:rPr>
        <w:t>一、总则</w:t>
      </w:r>
    </w:p>
    <w:p w14:paraId="502EA9E0">
      <w:pPr>
        <w:jc w:val="left"/>
        <w:rPr>
          <w:rFonts w:hint="eastAsia" w:ascii="仿宋" w:hAnsi="仿宋" w:eastAsia="仿宋" w:cs="仿宋"/>
          <w:sz w:val="28"/>
          <w:szCs w:val="28"/>
        </w:rPr>
      </w:pPr>
      <w:r>
        <w:rPr>
          <w:rFonts w:hint="eastAsia" w:ascii="仿宋" w:hAnsi="仿宋" w:eastAsia="仿宋" w:cs="仿宋"/>
          <w:sz w:val="28"/>
          <w:szCs w:val="28"/>
        </w:rPr>
        <w:t>1.1本技术规范书适用于江苏竹根沙（H2#）300MW海上风电场</w:t>
      </w:r>
      <w:r>
        <w:rPr>
          <w:rFonts w:ascii="仿宋" w:hAnsi="仿宋" w:eastAsia="仿宋" w:cs="仿宋"/>
          <w:sz w:val="28"/>
          <w:szCs w:val="28"/>
        </w:rPr>
        <w:t>海上构建筑物基础防腐检测服务</w:t>
      </w:r>
      <w:r>
        <w:rPr>
          <w:rFonts w:hint="eastAsia" w:ascii="仿宋" w:hAnsi="仿宋" w:eastAsia="仿宋" w:cs="仿宋"/>
          <w:sz w:val="28"/>
          <w:szCs w:val="28"/>
        </w:rPr>
        <w:t>项目的技术要求。通过</w:t>
      </w:r>
      <w:r>
        <w:rPr>
          <w:rFonts w:ascii="仿宋" w:hAnsi="仿宋" w:eastAsia="仿宋" w:cs="仿宋"/>
          <w:sz w:val="28"/>
          <w:szCs w:val="28"/>
        </w:rPr>
        <w:t>对海上升压站和风机钢结构的腐蚀量、牺牲阳极的消耗量以及高桩承台风机混凝土承台腐蚀情况进行检测来分析评估海上构建筑物基础腐蚀情况</w:t>
      </w:r>
      <w:r>
        <w:rPr>
          <w:rFonts w:hint="eastAsia" w:ascii="仿宋" w:hAnsi="仿宋" w:eastAsia="仿宋" w:cs="仿宋"/>
          <w:sz w:val="28"/>
          <w:szCs w:val="28"/>
        </w:rPr>
        <w:t>。</w:t>
      </w:r>
    </w:p>
    <w:p w14:paraId="2937C5BA">
      <w:pPr>
        <w:jc w:val="left"/>
        <w:rPr>
          <w:rFonts w:hint="eastAsia" w:ascii="仿宋" w:hAnsi="仿宋" w:eastAsia="仿宋" w:cs="仿宋"/>
          <w:sz w:val="28"/>
          <w:szCs w:val="28"/>
        </w:rPr>
      </w:pPr>
      <w:r>
        <w:rPr>
          <w:rFonts w:hint="eastAsia" w:ascii="仿宋" w:hAnsi="仿宋" w:eastAsia="仿宋" w:cs="仿宋"/>
          <w:sz w:val="28"/>
          <w:szCs w:val="28"/>
        </w:rPr>
        <w:t>1.2本技术规范书提出的是最低限度的要求，并未对一切细节作出规定，也并未规定所有的技术要求和适用的标准，投标人应保证按照本技术部分和相关规范的要求进行服务。对国家、地方及行业有关强制性标准，必须满足其要求。</w:t>
      </w:r>
    </w:p>
    <w:p w14:paraId="5BA931C2">
      <w:pPr>
        <w:jc w:val="left"/>
        <w:rPr>
          <w:rFonts w:hint="eastAsia" w:ascii="仿宋" w:hAnsi="仿宋" w:eastAsia="仿宋" w:cs="仿宋"/>
          <w:sz w:val="28"/>
          <w:szCs w:val="28"/>
        </w:rPr>
      </w:pPr>
      <w:r>
        <w:rPr>
          <w:rFonts w:hint="eastAsia" w:ascii="仿宋" w:hAnsi="仿宋" w:eastAsia="仿宋" w:cs="仿宋"/>
          <w:sz w:val="28"/>
          <w:szCs w:val="28"/>
        </w:rPr>
        <w:t>1.3本技术规范书使用的标准，如遇与投标人所执行的标准不一致时，按较高的标准执所行。在合同生效后，招标人有权提出因规范标准发生变化而产生的一些补充修改要求，投标人应遵守这个要求。</w:t>
      </w:r>
    </w:p>
    <w:p w14:paraId="04E6BA5E">
      <w:pPr>
        <w:jc w:val="left"/>
        <w:rPr>
          <w:rFonts w:hint="eastAsia" w:ascii="仿宋" w:hAnsi="仿宋" w:eastAsia="仿宋" w:cs="仿宋"/>
          <w:sz w:val="28"/>
          <w:szCs w:val="28"/>
        </w:rPr>
      </w:pPr>
      <w:r>
        <w:rPr>
          <w:rFonts w:hint="eastAsia" w:ascii="仿宋" w:hAnsi="仿宋" w:eastAsia="仿宋" w:cs="仿宋"/>
          <w:sz w:val="28"/>
          <w:szCs w:val="28"/>
        </w:rPr>
        <w:t>1.4本技术规范书可能存在未能全面反映现场实际状况的微小偏差，投标人应根据规范要求、行业标准，结合自身经验和收集的相关信息综合考虑项目工作内容。投标人不得拒绝完成本项目任务所必须的工作，相关费用包含在报价中。</w:t>
      </w:r>
    </w:p>
    <w:p w14:paraId="2288684A">
      <w:pPr>
        <w:jc w:val="left"/>
        <w:rPr>
          <w:rFonts w:hint="eastAsia" w:ascii="仿宋" w:hAnsi="仿宋" w:eastAsia="仿宋" w:cs="仿宋"/>
          <w:sz w:val="28"/>
          <w:szCs w:val="28"/>
        </w:rPr>
      </w:pPr>
      <w:r>
        <w:rPr>
          <w:rFonts w:hint="eastAsia" w:ascii="仿宋" w:hAnsi="仿宋" w:eastAsia="仿宋" w:cs="仿宋"/>
          <w:sz w:val="28"/>
          <w:szCs w:val="28"/>
        </w:rPr>
        <w:t>1.5本项目涉及到的知识产权费用均已包含在报价中，因知识产权产生的纠纷由投标人自行承担或解决，招标人不承担相应责任。</w:t>
      </w:r>
    </w:p>
    <w:p w14:paraId="6615A4F0">
      <w:pPr>
        <w:jc w:val="left"/>
        <w:rPr>
          <w:rFonts w:hint="eastAsia" w:ascii="仿宋" w:hAnsi="仿宋" w:eastAsia="仿宋" w:cs="仿宋"/>
          <w:sz w:val="28"/>
          <w:szCs w:val="28"/>
        </w:rPr>
      </w:pPr>
      <w:r>
        <w:rPr>
          <w:rFonts w:hint="eastAsia" w:ascii="仿宋" w:hAnsi="仿宋" w:eastAsia="仿宋" w:cs="仿宋"/>
          <w:sz w:val="28"/>
          <w:szCs w:val="28"/>
        </w:rPr>
        <w:t>1.6投标人可在报价文件中引用本技术规范书的相关标准或要求，但不得原封不动地复印或拷贝本技术规范书作为其报价文件的主要内容，否则其报价文件将被作为无效报价。</w:t>
      </w:r>
    </w:p>
    <w:p w14:paraId="67658505">
      <w:pPr>
        <w:jc w:val="left"/>
        <w:rPr>
          <w:rFonts w:hint="eastAsia" w:ascii="仿宋" w:hAnsi="仿宋" w:eastAsia="仿宋" w:cs="仿宋"/>
          <w:sz w:val="28"/>
          <w:szCs w:val="28"/>
        </w:rPr>
      </w:pPr>
      <w:r>
        <w:rPr>
          <w:rFonts w:hint="eastAsia" w:ascii="仿宋" w:hAnsi="仿宋" w:eastAsia="仿宋" w:cs="仿宋"/>
          <w:sz w:val="28"/>
          <w:szCs w:val="28"/>
        </w:rPr>
        <w:t>1.7除招标文件另有规定外，列入本技术部分的所有工作内容均应包含在本项目报价中。</w:t>
      </w:r>
    </w:p>
    <w:p w14:paraId="3CACF7FE">
      <w:pPr>
        <w:jc w:val="left"/>
        <w:rPr>
          <w:rFonts w:hint="eastAsia" w:ascii="仿宋" w:hAnsi="仿宋" w:eastAsia="仿宋" w:cs="仿宋"/>
          <w:sz w:val="28"/>
          <w:szCs w:val="28"/>
        </w:rPr>
      </w:pPr>
      <w:r>
        <w:rPr>
          <w:rFonts w:hint="eastAsia" w:ascii="仿宋" w:hAnsi="仿宋" w:eastAsia="仿宋" w:cs="仿宋"/>
          <w:sz w:val="28"/>
          <w:szCs w:val="28"/>
        </w:rPr>
        <w:t>1.8本技术规范书为合同的附件，与合同正文具有同等效力。</w:t>
      </w:r>
    </w:p>
    <w:p w14:paraId="52B2A9AF">
      <w:pPr>
        <w:jc w:val="left"/>
        <w:rPr>
          <w:rFonts w:hint="eastAsia" w:ascii="仿宋" w:hAnsi="仿宋" w:eastAsia="仿宋" w:cs="仿宋"/>
          <w:sz w:val="28"/>
          <w:szCs w:val="28"/>
        </w:rPr>
      </w:pPr>
      <w:r>
        <w:rPr>
          <w:rFonts w:hint="eastAsia" w:ascii="仿宋" w:hAnsi="仿宋" w:eastAsia="仿宋" w:cs="仿宋"/>
          <w:sz w:val="28"/>
          <w:szCs w:val="28"/>
        </w:rPr>
        <w:t>1.9本技术规范书中如若出现资质、业绩等方面要求，如与商务部分不一致，以商务部分为准。</w:t>
      </w:r>
    </w:p>
    <w:p w14:paraId="2B247352">
      <w:pPr>
        <w:jc w:val="left"/>
        <w:rPr>
          <w:rFonts w:hint="eastAsia" w:ascii="仿宋" w:hAnsi="仿宋" w:eastAsia="仿宋" w:cs="仿宋"/>
          <w:sz w:val="28"/>
          <w:szCs w:val="28"/>
        </w:rPr>
      </w:pPr>
      <w:r>
        <w:rPr>
          <w:rFonts w:hint="eastAsia" w:ascii="仿宋" w:hAnsi="仿宋" w:eastAsia="仿宋" w:cs="仿宋"/>
          <w:sz w:val="28"/>
          <w:szCs w:val="28"/>
        </w:rPr>
        <w:t>1.10在签订合同之后，招标人有权根据现代企业管理理念在具体管理上进行管理优化和提高对运输作业要求，投标人应积极响应并按要求严格执行。</w:t>
      </w:r>
    </w:p>
    <w:p w14:paraId="3068D4FA">
      <w:pPr>
        <w:widowControl/>
        <w:jc w:val="left"/>
        <w:outlineLvl w:val="0"/>
        <w:rPr>
          <w:rFonts w:hint="eastAsia" w:ascii="仿宋" w:hAnsi="仿宋" w:eastAsia="仿宋" w:cs="仿宋"/>
          <w:b/>
          <w:kern w:val="0"/>
          <w:sz w:val="28"/>
          <w:szCs w:val="28"/>
        </w:rPr>
      </w:pPr>
      <w:r>
        <w:rPr>
          <w:rFonts w:hint="eastAsia" w:ascii="仿宋" w:hAnsi="仿宋" w:eastAsia="仿宋" w:cs="仿宋"/>
          <w:b/>
          <w:kern w:val="0"/>
          <w:sz w:val="28"/>
          <w:szCs w:val="28"/>
        </w:rPr>
        <w:t>二、项目概况</w:t>
      </w:r>
    </w:p>
    <w:p w14:paraId="40BF3989">
      <w:pPr>
        <w:widowControl/>
        <w:jc w:val="left"/>
        <w:rPr>
          <w:rFonts w:hint="eastAsia" w:ascii="仿宋" w:hAnsi="仿宋" w:eastAsia="仿宋" w:cs="仿宋"/>
          <w:b/>
          <w:bCs/>
          <w:sz w:val="28"/>
          <w:szCs w:val="28"/>
        </w:rPr>
      </w:pPr>
      <w:r>
        <w:rPr>
          <w:rFonts w:ascii="仿宋" w:hAnsi="仿宋" w:eastAsia="仿宋" w:cs="仿宋"/>
          <w:b/>
          <w:bCs/>
          <w:sz w:val="28"/>
          <w:szCs w:val="28"/>
        </w:rPr>
        <w:t>2</w:t>
      </w:r>
      <w:r>
        <w:rPr>
          <w:rFonts w:hint="eastAsia" w:ascii="仿宋" w:hAnsi="仿宋" w:eastAsia="仿宋" w:cs="仿宋"/>
          <w:b/>
          <w:bCs/>
          <w:sz w:val="28"/>
          <w:szCs w:val="28"/>
        </w:rPr>
        <w:t>.1风电场概况及地理位置</w:t>
      </w:r>
    </w:p>
    <w:p w14:paraId="030F17E3">
      <w:pPr>
        <w:widowControl/>
        <w:ind w:firstLine="490" w:firstLineChars="175"/>
        <w:jc w:val="left"/>
        <w:rPr>
          <w:rFonts w:hint="eastAsia" w:ascii="仿宋" w:hAnsi="仿宋" w:eastAsia="仿宋" w:cs="仿宋"/>
          <w:sz w:val="28"/>
          <w:szCs w:val="28"/>
        </w:rPr>
      </w:pPr>
      <w:r>
        <w:rPr>
          <w:rFonts w:hint="eastAsia" w:ascii="仿宋" w:hAnsi="仿宋" w:eastAsia="仿宋" w:cs="仿宋"/>
          <w:sz w:val="28"/>
          <w:szCs w:val="28"/>
        </w:rPr>
        <w:t>江苏竹根沙（H2#）300MW 海上风电场项目位于江苏省竹根沙及北条子泥附近海域，东台H2#海上风电场西南侧，竹根沙H1#海上风电场西北侧。项目离岸距离39km，海底地形变化平缓，场区高程-13~2.8m，场区形状呈不规则多边形，东西长约21km，南北宽约6km，风电场面积37km</w:t>
      </w:r>
      <w:r>
        <w:rPr>
          <w:rFonts w:hint="eastAsia" w:ascii="仿宋" w:hAnsi="仿宋" w:eastAsia="仿宋" w:cs="仿宋"/>
          <w:sz w:val="28"/>
          <w:szCs w:val="28"/>
          <w:vertAlign w:val="superscript"/>
        </w:rPr>
        <w:t>2</w:t>
      </w:r>
      <w:r>
        <w:rPr>
          <w:rFonts w:hint="eastAsia" w:ascii="仿宋" w:hAnsi="仿宋" w:eastAsia="仿宋" w:cs="仿宋"/>
          <w:sz w:val="28"/>
          <w:szCs w:val="28"/>
        </w:rPr>
        <w:t>，主要建筑物包括50台4MW风机，17台6MW风机，1座220KV海上升压站，2回路41.2km长的220KV海底电缆，2回路3km长的220KV陆上电缆，1座陆上集控中心。风机采用单桩基础形式，4MW风机单桩直径为5.5m，6MW风机单桩直径为6.0m，约30台风机处于风电场西区，需要等候潮水才能登风机，海上升压站下部结构采用高桩承台结构，桩基采用钢管桩，共20根钢管桩，包括4根直径为2.0m的钢管和16根根直径为1.5m的钢管桩。</w:t>
      </w:r>
    </w:p>
    <w:p w14:paraId="75140E24">
      <w:pPr>
        <w:widowControl/>
        <w:jc w:val="center"/>
        <w:rPr>
          <w:rFonts w:hint="eastAsia" w:ascii="仿宋" w:hAnsi="仿宋" w:eastAsia="仿宋" w:cs="仿宋"/>
          <w:sz w:val="28"/>
          <w:szCs w:val="28"/>
        </w:rPr>
      </w:pPr>
      <w:bookmarkStart w:id="5" w:name="_Toc387591043"/>
      <w:bookmarkStart w:id="6" w:name="_Toc405392683"/>
      <w:r>
        <w:rPr>
          <w:rFonts w:hint="eastAsia" w:ascii="宋体" w:hAnsi="宋体" w:cs="宋体"/>
          <w:sz w:val="24"/>
          <w:szCs w:val="21"/>
        </w:rPr>
        <w:drawing>
          <wp:inline distT="0" distB="0" distL="114300" distR="114300">
            <wp:extent cx="5354320" cy="2639695"/>
            <wp:effectExtent l="0" t="0" r="0" b="0"/>
            <wp:docPr id="13" name="内容占位符 12" descr="风电场平面布置图.png"/>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3" name="内容占位符 12" descr="风电场平面布置图.png"/>
                    <pic:cNvPicPr>
                      <a:picLocks noGrp="1" noChangeAspect="1"/>
                    </pic:cNvPicPr>
                  </pic:nvPicPr>
                  <pic:blipFill>
                    <a:blip r:embed="rId4" cstate="print"/>
                    <a:stretch>
                      <a:fillRect/>
                    </a:stretch>
                  </pic:blipFill>
                  <pic:spPr>
                    <a:xfrm>
                      <a:off x="0" y="0"/>
                      <a:ext cx="5363914" cy="2644925"/>
                    </a:xfrm>
                    <a:prstGeom prst="rect">
                      <a:avLst/>
                    </a:prstGeom>
                  </pic:spPr>
                </pic:pic>
              </a:graphicData>
            </a:graphic>
          </wp:inline>
        </w:drawing>
      </w:r>
    </w:p>
    <w:bookmarkEnd w:id="5"/>
    <w:bookmarkEnd w:id="6"/>
    <w:p w14:paraId="1D6F8181">
      <w:pPr>
        <w:widowControl/>
        <w:ind w:firstLine="490" w:firstLineChars="175"/>
        <w:jc w:val="center"/>
        <w:rPr>
          <w:rFonts w:hint="eastAsia" w:ascii="仿宋" w:hAnsi="仿宋" w:eastAsia="仿宋" w:cs="仿宋"/>
          <w:sz w:val="28"/>
          <w:szCs w:val="28"/>
        </w:rPr>
      </w:pPr>
      <w:bookmarkStart w:id="7" w:name="_Toc141088057"/>
      <w:r>
        <w:rPr>
          <w:rFonts w:hint="eastAsia" w:ascii="仿宋" w:hAnsi="仿宋" w:eastAsia="仿宋" w:cs="仿宋"/>
          <w:sz w:val="28"/>
          <w:szCs w:val="28"/>
        </w:rPr>
        <w:t>项目总布置图</w:t>
      </w:r>
    </w:p>
    <w:p w14:paraId="59C7F72C">
      <w:pPr>
        <w:widowControl/>
        <w:ind w:firstLine="0" w:firstLineChars="0"/>
        <w:jc w:val="center"/>
        <w:rPr>
          <w:rFonts w:hint="eastAsia" w:ascii="宋体" w:hAnsi="宋体" w:cs="宋体"/>
          <w:sz w:val="24"/>
          <w:szCs w:val="21"/>
        </w:rPr>
      </w:pPr>
      <w:r>
        <w:rPr>
          <w:rFonts w:hint="eastAsia" w:ascii="宋体" w:hAnsi="宋体" w:cs="宋体"/>
          <w:sz w:val="24"/>
          <w:szCs w:val="21"/>
        </w:rPr>
        <w:drawing>
          <wp:inline distT="0" distB="0" distL="114300" distR="114300">
            <wp:extent cx="5372735" cy="3152140"/>
            <wp:effectExtent l="0" t="0" r="0" b="0"/>
            <wp:docPr id="3" name="图片 3" descr="升压站照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升压站照片"/>
                    <pic:cNvPicPr>
                      <a:picLocks noChangeAspect="1"/>
                    </pic:cNvPicPr>
                  </pic:nvPicPr>
                  <pic:blipFill>
                    <a:blip r:embed="rId5" cstate="print"/>
                    <a:stretch>
                      <a:fillRect/>
                    </a:stretch>
                  </pic:blipFill>
                  <pic:spPr>
                    <a:xfrm>
                      <a:off x="0" y="0"/>
                      <a:ext cx="5392345" cy="3163325"/>
                    </a:xfrm>
                    <a:prstGeom prst="rect">
                      <a:avLst/>
                    </a:prstGeom>
                  </pic:spPr>
                </pic:pic>
              </a:graphicData>
            </a:graphic>
          </wp:inline>
        </w:drawing>
      </w:r>
    </w:p>
    <w:p w14:paraId="67622D7F">
      <w:pPr>
        <w:widowControl/>
        <w:ind w:firstLine="420" w:firstLineChars="175"/>
        <w:jc w:val="center"/>
        <w:rPr>
          <w:rFonts w:hint="eastAsia" w:ascii="宋体" w:hAnsi="宋体" w:cs="宋体"/>
          <w:sz w:val="24"/>
          <w:szCs w:val="21"/>
        </w:rPr>
      </w:pPr>
      <w:r>
        <w:rPr>
          <w:rFonts w:hint="eastAsia" w:ascii="宋体" w:hAnsi="宋体" w:cs="宋体"/>
          <w:sz w:val="24"/>
          <w:szCs w:val="21"/>
        </w:rPr>
        <w:t>海上升压站</w:t>
      </w:r>
    </w:p>
    <w:p w14:paraId="3C784B29">
      <w:pPr>
        <w:widowControl/>
        <w:ind w:firstLine="0" w:firstLineChars="0"/>
        <w:jc w:val="center"/>
        <w:rPr>
          <w:rFonts w:hint="eastAsia" w:ascii="宋体" w:hAnsi="宋体" w:cs="宋体"/>
          <w:sz w:val="24"/>
          <w:szCs w:val="21"/>
        </w:rPr>
      </w:pPr>
      <w:r>
        <w:rPr>
          <w:rFonts w:hint="eastAsia" w:ascii="宋体" w:hAnsi="宋体" w:cs="宋体"/>
          <w:sz w:val="24"/>
          <w:szCs w:val="21"/>
        </w:rPr>
        <w:drawing>
          <wp:inline distT="0" distB="0" distL="114300" distR="114300">
            <wp:extent cx="5354320" cy="3713480"/>
            <wp:effectExtent l="0" t="0" r="0" b="0"/>
            <wp:docPr id="2" name="图片 4" descr="风机照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风机照片"/>
                    <pic:cNvPicPr>
                      <a:picLocks noChangeAspect="1"/>
                    </pic:cNvPicPr>
                  </pic:nvPicPr>
                  <pic:blipFill>
                    <a:blip r:embed="rId6" cstate="print"/>
                    <a:stretch>
                      <a:fillRect/>
                    </a:stretch>
                  </pic:blipFill>
                  <pic:spPr>
                    <a:xfrm>
                      <a:off x="0" y="0"/>
                      <a:ext cx="5367109" cy="3722799"/>
                    </a:xfrm>
                    <a:prstGeom prst="rect">
                      <a:avLst/>
                    </a:prstGeom>
                  </pic:spPr>
                </pic:pic>
              </a:graphicData>
            </a:graphic>
          </wp:inline>
        </w:drawing>
      </w:r>
    </w:p>
    <w:p w14:paraId="6DE83E8E">
      <w:pPr>
        <w:widowControl/>
        <w:ind w:firstLine="420" w:firstLineChars="175"/>
        <w:jc w:val="center"/>
        <w:rPr>
          <w:rFonts w:hint="eastAsia" w:ascii="宋体" w:hAnsi="宋体" w:cs="宋体"/>
          <w:sz w:val="24"/>
          <w:szCs w:val="21"/>
        </w:rPr>
      </w:pPr>
      <w:r>
        <w:rPr>
          <w:rFonts w:hint="eastAsia" w:ascii="宋体" w:hAnsi="宋体" w:cs="宋体"/>
          <w:sz w:val="24"/>
          <w:szCs w:val="21"/>
        </w:rPr>
        <w:t>风力发电机组</w:t>
      </w:r>
    </w:p>
    <w:p w14:paraId="01B4C58D">
      <w:pPr>
        <w:widowControl/>
        <w:jc w:val="left"/>
        <w:rPr>
          <w:rFonts w:hint="eastAsia" w:ascii="仿宋" w:hAnsi="仿宋" w:eastAsia="仿宋" w:cs="仿宋"/>
          <w:b/>
          <w:bCs/>
          <w:sz w:val="28"/>
          <w:szCs w:val="28"/>
        </w:rPr>
      </w:pPr>
      <w:r>
        <w:rPr>
          <w:rFonts w:ascii="仿宋" w:hAnsi="仿宋" w:eastAsia="仿宋" w:cs="仿宋"/>
          <w:b/>
          <w:bCs/>
          <w:sz w:val="28"/>
          <w:szCs w:val="28"/>
        </w:rPr>
        <w:t>2.2</w:t>
      </w:r>
      <w:r>
        <w:rPr>
          <w:rFonts w:hint="eastAsia" w:ascii="仿宋" w:hAnsi="仿宋" w:eastAsia="仿宋" w:cs="仿宋"/>
          <w:b/>
          <w:bCs/>
          <w:sz w:val="28"/>
          <w:szCs w:val="28"/>
        </w:rPr>
        <w:t>风电场自然条件</w:t>
      </w:r>
      <w:bookmarkEnd w:id="7"/>
    </w:p>
    <w:p w14:paraId="0F0B5E5C">
      <w:pPr>
        <w:pStyle w:val="57"/>
        <w:outlineLvl w:val="2"/>
        <w:rPr>
          <w:rFonts w:hint="eastAsia" w:ascii="仿宋" w:hAnsi="仿宋" w:eastAsia="仿宋" w:cs="宋体"/>
          <w:bCs/>
          <w:sz w:val="28"/>
          <w:szCs w:val="28"/>
        </w:rPr>
      </w:pPr>
      <w:bookmarkStart w:id="8" w:name="_Toc141088058"/>
      <w:r>
        <w:rPr>
          <w:rFonts w:ascii="仿宋" w:hAnsi="仿宋" w:eastAsia="仿宋" w:cs="宋体"/>
          <w:bCs/>
          <w:sz w:val="28"/>
          <w:szCs w:val="28"/>
        </w:rPr>
        <w:t>1、</w:t>
      </w:r>
      <w:r>
        <w:rPr>
          <w:rFonts w:hint="eastAsia" w:ascii="仿宋" w:hAnsi="仿宋" w:eastAsia="仿宋" w:cs="宋体"/>
          <w:bCs/>
          <w:sz w:val="28"/>
          <w:szCs w:val="28"/>
        </w:rPr>
        <w:t>潮汐</w:t>
      </w:r>
      <w:bookmarkEnd w:id="8"/>
    </w:p>
    <w:p w14:paraId="422FA260">
      <w:pPr>
        <w:spacing w:line="360" w:lineRule="auto"/>
        <w:ind w:firstLine="560" w:firstLineChars="200"/>
        <w:jc w:val="left"/>
        <w:rPr>
          <w:rFonts w:hint="eastAsia" w:ascii="仿宋" w:hAnsi="仿宋" w:eastAsia="仿宋" w:cs="宋体"/>
          <w:bCs/>
          <w:sz w:val="28"/>
          <w:szCs w:val="28"/>
        </w:rPr>
      </w:pPr>
      <w:r>
        <w:rPr>
          <w:rFonts w:hint="eastAsia" w:ascii="仿宋" w:hAnsi="仿宋" w:eastAsia="仿宋" w:cs="宋体"/>
          <w:bCs/>
          <w:sz w:val="28"/>
          <w:szCs w:val="28"/>
        </w:rPr>
        <w:t>江苏沿海岸外辐射沙洲处于山东半岛南部的旋转潮波系统与自东海进入黄海的前进潮波系统相交汇的地方。由于潮波辐聚，波能集中，使得该区潮差大、潮流强，为强潮区。测验海区两个测站朝汐类型指标值（HK1+HO1）/HM2 均小于 0.50，属正规半日潮类型。风电场区水深较浅，浅海分潮作用较为明显。根据风电场区邻近 T2 站潮位资料分析，T2 站的最高潮位分别4.38m，最低潮位分别为-3.32m，最大潮差为 7.11m，平均潮差分别为 4.44m。平均涨潮历时6h10min，平均落潮历时6h15min。T2 潮位站的年平均海平面为 0.26m（85 高程），理论深度基准面为平均海平面以下 3.46m，即相对于 85 高程为-3.20m。</w:t>
      </w:r>
    </w:p>
    <w:p w14:paraId="38751B23">
      <w:pPr>
        <w:spacing w:line="360" w:lineRule="auto"/>
        <w:ind w:firstLine="0" w:firstLineChars="0"/>
        <w:jc w:val="center"/>
        <w:rPr>
          <w:rFonts w:hint="eastAsia" w:ascii="仿宋" w:hAnsi="仿宋" w:eastAsia="仿宋" w:cs="宋体"/>
          <w:bCs/>
          <w:sz w:val="28"/>
          <w:szCs w:val="28"/>
        </w:rPr>
      </w:pPr>
      <w:r>
        <w:rPr>
          <w:rFonts w:hint="eastAsia" w:ascii="宋体" w:hAnsi="宋体"/>
          <w:szCs w:val="21"/>
        </w:rPr>
        <w:drawing>
          <wp:inline distT="0" distB="0" distL="114300" distR="114300">
            <wp:extent cx="5153660" cy="3298190"/>
            <wp:effectExtent l="0" t="0" r="2540" b="3810"/>
            <wp:docPr id="14" name="Picture 14" descr="172550033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1725500331237"/>
                    <pic:cNvPicPr>
                      <a:picLocks noChangeAspect="1"/>
                    </pic:cNvPicPr>
                  </pic:nvPicPr>
                  <pic:blipFill>
                    <a:blip r:embed="rId7"/>
                    <a:stretch>
                      <a:fillRect/>
                    </a:stretch>
                  </pic:blipFill>
                  <pic:spPr>
                    <a:xfrm>
                      <a:off x="0" y="0"/>
                      <a:ext cx="5153660" cy="3298190"/>
                    </a:xfrm>
                    <a:prstGeom prst="rect">
                      <a:avLst/>
                    </a:prstGeom>
                  </pic:spPr>
                </pic:pic>
              </a:graphicData>
            </a:graphic>
          </wp:inline>
        </w:drawing>
      </w:r>
    </w:p>
    <w:p w14:paraId="7F9ED485">
      <w:pPr>
        <w:widowControl/>
        <w:ind w:firstLine="420" w:firstLineChars="175"/>
        <w:jc w:val="center"/>
        <w:rPr>
          <w:rFonts w:hint="eastAsia" w:ascii="宋体" w:hAnsi="宋体" w:cs="宋体"/>
          <w:sz w:val="24"/>
          <w:szCs w:val="21"/>
        </w:rPr>
      </w:pPr>
      <w:r>
        <w:rPr>
          <w:rFonts w:hint="eastAsia" w:ascii="宋体" w:hAnsi="宋体" w:cs="宋体"/>
          <w:sz w:val="24"/>
          <w:szCs w:val="21"/>
        </w:rPr>
        <w:t>工程场区及相关测站的相对位置图</w:t>
      </w:r>
    </w:p>
    <w:p w14:paraId="79A12122">
      <w:pPr>
        <w:jc w:val="center"/>
        <w:rPr>
          <w:rFonts w:hint="eastAsia" w:ascii="宋体" w:hAnsi="宋体" w:cs="宋体"/>
          <w:szCs w:val="21"/>
        </w:rPr>
      </w:pPr>
      <w:r>
        <w:rPr>
          <w:rFonts w:hint="eastAsia" w:ascii="宋体" w:hAnsi="宋体"/>
          <w:szCs w:val="21"/>
        </w:rPr>
        <w:drawing>
          <wp:inline distT="0" distB="0" distL="114300" distR="114300">
            <wp:extent cx="5175250" cy="3829050"/>
            <wp:effectExtent l="0" t="0" r="0" b="0"/>
            <wp:docPr id="16" name="Picture 16" descr="172550177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1725501771708"/>
                    <pic:cNvPicPr>
                      <a:picLocks noChangeAspect="1"/>
                    </pic:cNvPicPr>
                  </pic:nvPicPr>
                  <pic:blipFill>
                    <a:blip r:embed="rId8"/>
                    <a:stretch>
                      <a:fillRect/>
                    </a:stretch>
                  </pic:blipFill>
                  <pic:spPr>
                    <a:xfrm>
                      <a:off x="0" y="0"/>
                      <a:ext cx="5179340" cy="3832028"/>
                    </a:xfrm>
                    <a:prstGeom prst="rect">
                      <a:avLst/>
                    </a:prstGeom>
                  </pic:spPr>
                </pic:pic>
              </a:graphicData>
            </a:graphic>
          </wp:inline>
        </w:drawing>
      </w:r>
    </w:p>
    <w:p w14:paraId="35811DDF">
      <w:pPr>
        <w:widowControl/>
        <w:ind w:firstLine="420" w:firstLineChars="175"/>
        <w:jc w:val="center"/>
        <w:rPr>
          <w:rFonts w:hint="eastAsia" w:ascii="宋体" w:hAnsi="宋体" w:cs="宋体"/>
          <w:sz w:val="24"/>
          <w:szCs w:val="21"/>
        </w:rPr>
      </w:pPr>
      <w:r>
        <w:rPr>
          <w:rFonts w:hint="eastAsia" w:ascii="宋体" w:hAnsi="宋体" w:cs="宋体"/>
          <w:sz w:val="24"/>
          <w:szCs w:val="21"/>
        </w:rPr>
        <w:t>工程海域基面关系示意图</w:t>
      </w:r>
    </w:p>
    <w:p w14:paraId="3563CC0E">
      <w:pPr>
        <w:pStyle w:val="57"/>
        <w:outlineLvl w:val="2"/>
        <w:rPr>
          <w:rFonts w:hint="eastAsia" w:ascii="仿宋" w:hAnsi="仿宋" w:eastAsia="仿宋" w:cs="宋体"/>
          <w:bCs/>
          <w:sz w:val="28"/>
          <w:szCs w:val="28"/>
        </w:rPr>
      </w:pPr>
      <w:bookmarkStart w:id="9" w:name="_Toc141088065"/>
      <w:r>
        <w:rPr>
          <w:rFonts w:hint="eastAsia" w:ascii="仿宋" w:hAnsi="仿宋" w:eastAsia="仿宋" w:cs="宋体"/>
          <w:bCs/>
          <w:sz w:val="28"/>
          <w:szCs w:val="28"/>
        </w:rPr>
        <w:t>2</w:t>
      </w:r>
      <w:r>
        <w:rPr>
          <w:rFonts w:ascii="仿宋" w:hAnsi="仿宋" w:eastAsia="仿宋" w:cs="宋体"/>
          <w:bCs/>
          <w:sz w:val="28"/>
          <w:szCs w:val="28"/>
        </w:rPr>
        <w:t>、</w:t>
      </w:r>
      <w:r>
        <w:rPr>
          <w:rFonts w:hint="eastAsia" w:ascii="仿宋" w:hAnsi="仿宋" w:eastAsia="仿宋" w:cs="宋体"/>
          <w:bCs/>
          <w:sz w:val="28"/>
          <w:szCs w:val="28"/>
        </w:rPr>
        <w:t>气象</w:t>
      </w:r>
      <w:bookmarkEnd w:id="9"/>
    </w:p>
    <w:p w14:paraId="5097F8F8">
      <w:pPr>
        <w:spacing w:line="360" w:lineRule="auto"/>
        <w:ind w:firstLine="560" w:firstLineChars="200"/>
        <w:jc w:val="left"/>
        <w:rPr>
          <w:rFonts w:hint="eastAsia" w:ascii="仿宋" w:hAnsi="仿宋" w:eastAsia="仿宋" w:cs="宋体"/>
          <w:bCs/>
          <w:sz w:val="28"/>
          <w:szCs w:val="28"/>
        </w:rPr>
      </w:pPr>
      <w:bookmarkStart w:id="10" w:name="_Toc140819689"/>
      <w:bookmarkStart w:id="11" w:name="_Toc141088066"/>
      <w:r>
        <w:rPr>
          <w:rFonts w:ascii="仿宋" w:hAnsi="仿宋" w:eastAsia="仿宋" w:cs="宋体"/>
          <w:bCs/>
          <w:sz w:val="28"/>
          <w:szCs w:val="28"/>
        </w:rPr>
        <w:t>根据气象站多年长期观测资料统计，多年平均气温为 14.6℃，多年平均气压1016.3hPa，多年平均水汽压为15.4hPa。实测最大风速为 23.0m/s，相应风向为 N，出现在 1961 年 10 月 5 日。气象站多年最大冻土深度为 14cm，最大积雪深度为 26cm。多年平均大雾日数为 47d，多年平均结冰日数为 60d，多年平均雷暴日数为 29d，最多雷暴日数为 53d。</w:t>
      </w:r>
    </w:p>
    <w:p w14:paraId="713731A9">
      <w:pPr>
        <w:spacing w:line="360" w:lineRule="auto"/>
        <w:ind w:firstLine="560" w:firstLineChars="200"/>
        <w:jc w:val="left"/>
        <w:rPr>
          <w:rFonts w:hint="eastAsia" w:ascii="仿宋" w:hAnsi="仿宋" w:eastAsia="仿宋" w:cs="宋体"/>
          <w:bCs/>
          <w:sz w:val="28"/>
          <w:szCs w:val="28"/>
        </w:rPr>
      </w:pPr>
      <w:r>
        <w:rPr>
          <w:rFonts w:ascii="仿宋" w:hAnsi="仿宋" w:eastAsia="仿宋" w:cs="宋体"/>
          <w:bCs/>
          <w:sz w:val="28"/>
          <w:szCs w:val="28"/>
        </w:rPr>
        <w:t>从气象站的风速年内变化来看，各月平均风速在 2.4～3.4m/s 之间变化：冬季受冷空气南下的影响，风速较大；春季由于冷暖气团活跃，气旋活动频繁，风速为年内最大；夏季受热带气旋的影响，风速也较大；秋季风速较小，9 月、10 月为小风月。根据东台气象站多年实测风向频率统计，本地区主导风向为 E，占 10.0%，其次为ESE、SE，占 8.0%。</w:t>
      </w:r>
    </w:p>
    <w:bookmarkEnd w:id="10"/>
    <w:bookmarkEnd w:id="11"/>
    <w:p w14:paraId="6D790BFD">
      <w:pPr>
        <w:widowControl/>
        <w:jc w:val="left"/>
        <w:outlineLvl w:val="0"/>
        <w:rPr>
          <w:rFonts w:hint="eastAsia" w:ascii="仿宋" w:hAnsi="仿宋" w:eastAsia="仿宋" w:cs="仿宋"/>
          <w:b/>
          <w:kern w:val="0"/>
          <w:sz w:val="28"/>
          <w:szCs w:val="28"/>
        </w:rPr>
      </w:pPr>
      <w:r>
        <w:rPr>
          <w:rFonts w:hint="eastAsia" w:ascii="仿宋" w:hAnsi="仿宋" w:eastAsia="仿宋" w:cs="仿宋"/>
          <w:b/>
          <w:kern w:val="0"/>
          <w:sz w:val="28"/>
          <w:szCs w:val="28"/>
        </w:rPr>
        <w:t>三、海上构建筑物情况</w:t>
      </w:r>
    </w:p>
    <w:p w14:paraId="57CDE2D1">
      <w:pPr>
        <w:widowControl/>
        <w:jc w:val="left"/>
        <w:rPr>
          <w:rFonts w:hint="eastAsia" w:ascii="仿宋" w:hAnsi="仿宋" w:eastAsia="仿宋" w:cs="仿宋"/>
          <w:b/>
          <w:bCs/>
          <w:sz w:val="28"/>
          <w:szCs w:val="28"/>
        </w:rPr>
      </w:pPr>
      <w:r>
        <w:rPr>
          <w:rFonts w:ascii="仿宋" w:hAnsi="仿宋" w:eastAsia="仿宋" w:cs="仿宋"/>
          <w:b/>
          <w:bCs/>
          <w:sz w:val="28"/>
          <w:szCs w:val="28"/>
        </w:rPr>
        <w:t>3</w:t>
      </w:r>
      <w:r>
        <w:rPr>
          <w:rFonts w:hint="eastAsia" w:ascii="仿宋" w:hAnsi="仿宋" w:eastAsia="仿宋" w:cs="仿宋"/>
          <w:b/>
          <w:bCs/>
          <w:sz w:val="28"/>
          <w:szCs w:val="28"/>
        </w:rPr>
        <w:t>.1风机情况</w:t>
      </w:r>
    </w:p>
    <w:p w14:paraId="10835A26">
      <w:pPr>
        <w:spacing w:line="360"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江苏竹根沙（H2#）300MW 海上风电场共设置67台风机，包括50台4MW风机，17台6MW风机,风机采用单桩基础形式，4MW风机单桩直径为5.5m，6MW风机单桩直径为6.0m，约30台风机处于风电场西区，需要等候潮水才能登风机,</w:t>
      </w:r>
      <w:r>
        <w:rPr>
          <w:rFonts w:hint="eastAsia" w:ascii="仿宋" w:hAnsi="仿宋" w:eastAsia="仿宋" w:cs="Times New Roman"/>
          <w:sz w:val="28"/>
          <w:szCs w:val="28"/>
          <w:lang w:val="en-US" w:eastAsia="zh-CN"/>
        </w:rPr>
        <w:t>67台风机共计安装有</w:t>
      </w:r>
      <w:r>
        <w:rPr>
          <w:rFonts w:ascii="仿宋" w:hAnsi="仿宋" w:eastAsia="仿宋" w:cs="Times New Roman"/>
          <w:sz w:val="28"/>
          <w:szCs w:val="28"/>
        </w:rPr>
        <w:t>牺牲阳极块</w:t>
      </w:r>
      <w:r>
        <w:rPr>
          <w:rFonts w:hint="eastAsia" w:ascii="仿宋" w:hAnsi="仿宋" w:eastAsia="仿宋" w:cs="Times New Roman"/>
          <w:sz w:val="28"/>
          <w:szCs w:val="28"/>
          <w:lang w:val="en-US" w:eastAsia="zh-CN"/>
        </w:rPr>
        <w:t>606块，各台</w:t>
      </w:r>
      <w:r>
        <w:rPr>
          <w:rFonts w:hint="eastAsia" w:ascii="仿宋" w:hAnsi="仿宋" w:eastAsia="仿宋" w:cs="Times New Roman"/>
          <w:sz w:val="28"/>
          <w:szCs w:val="28"/>
        </w:rPr>
        <w:t>风机安装牺牲阳极块</w:t>
      </w:r>
      <w:r>
        <w:rPr>
          <w:rFonts w:hint="eastAsia" w:ascii="仿宋" w:hAnsi="仿宋" w:eastAsia="仿宋" w:cs="Times New Roman"/>
          <w:color w:val="auto"/>
          <w:sz w:val="28"/>
          <w:szCs w:val="28"/>
        </w:rPr>
        <w:t>数量</w:t>
      </w:r>
      <w:r>
        <w:rPr>
          <w:rFonts w:hint="eastAsia" w:ascii="仿宋" w:hAnsi="仿宋" w:eastAsia="仿宋" w:cs="Times New Roman"/>
          <w:color w:val="auto"/>
          <w:sz w:val="28"/>
          <w:szCs w:val="28"/>
          <w:lang w:val="en-US" w:eastAsia="zh-CN"/>
        </w:rPr>
        <w:t>详</w:t>
      </w:r>
      <w:r>
        <w:rPr>
          <w:rFonts w:hint="eastAsia" w:ascii="仿宋" w:hAnsi="仿宋" w:eastAsia="仿宋" w:cs="Times New Roman"/>
          <w:color w:val="auto"/>
          <w:sz w:val="28"/>
          <w:szCs w:val="28"/>
        </w:rPr>
        <w:t>见下表</w:t>
      </w:r>
      <w:r>
        <w:rPr>
          <w:rFonts w:hint="eastAsia" w:ascii="仿宋" w:hAnsi="仿宋" w:eastAsia="仿宋" w:cs="Times New Roman"/>
          <w:sz w:val="28"/>
          <w:szCs w:val="28"/>
        </w:rPr>
        <w:t>。</w:t>
      </w:r>
    </w:p>
    <w:p w14:paraId="2E8F2420">
      <w:pPr>
        <w:widowControl/>
        <w:ind w:firstLine="420" w:firstLineChars="175"/>
        <w:jc w:val="center"/>
        <w:rPr>
          <w:rFonts w:hint="eastAsia" w:ascii="宋体" w:hAnsi="宋体" w:cs="宋体"/>
          <w:sz w:val="24"/>
          <w:szCs w:val="21"/>
        </w:rPr>
      </w:pPr>
      <w:r>
        <w:rPr>
          <w:rFonts w:hint="eastAsia" w:ascii="宋体" w:hAnsi="宋体" w:cs="宋体"/>
          <w:sz w:val="24"/>
          <w:szCs w:val="21"/>
        </w:rPr>
        <w:t>风机安装牺牲阳极数量表</w:t>
      </w:r>
    </w:p>
    <w:tbl>
      <w:tblPr>
        <w:tblStyle w:val="21"/>
        <w:tblW w:w="9180" w:type="dxa"/>
        <w:jc w:val="center"/>
        <w:tblLayout w:type="autofit"/>
        <w:tblCellMar>
          <w:top w:w="0" w:type="dxa"/>
          <w:left w:w="108" w:type="dxa"/>
          <w:bottom w:w="0" w:type="dxa"/>
          <w:right w:w="108" w:type="dxa"/>
        </w:tblCellMar>
      </w:tblPr>
      <w:tblGrid>
        <w:gridCol w:w="1500"/>
        <w:gridCol w:w="960"/>
        <w:gridCol w:w="960"/>
        <w:gridCol w:w="960"/>
        <w:gridCol w:w="960"/>
        <w:gridCol w:w="960"/>
        <w:gridCol w:w="960"/>
        <w:gridCol w:w="960"/>
        <w:gridCol w:w="960"/>
      </w:tblGrid>
      <w:tr w14:paraId="1336763A">
        <w:tblPrEx>
          <w:tblCellMar>
            <w:top w:w="0" w:type="dxa"/>
            <w:left w:w="108" w:type="dxa"/>
            <w:bottom w:w="0" w:type="dxa"/>
            <w:right w:w="108" w:type="dxa"/>
          </w:tblCellMar>
        </w:tblPrEx>
        <w:trPr>
          <w:trHeight w:val="288" w:hRule="atLeast"/>
          <w:jc w:val="center"/>
        </w:trPr>
        <w:tc>
          <w:tcPr>
            <w:tcW w:w="15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CD7D19">
            <w:pPr>
              <w:widowControl/>
              <w:jc w:val="center"/>
              <w:rPr>
                <w:rFonts w:ascii="Times New Roman" w:hAnsi="Times New Roman" w:cs="Times New Roman"/>
                <w:color w:val="auto"/>
                <w:kern w:val="0"/>
                <w:sz w:val="21"/>
                <w:szCs w:val="21"/>
              </w:rPr>
            </w:pPr>
            <w:r>
              <w:rPr>
                <w:rFonts w:hint="default" w:ascii="Times New Roman" w:hAnsi="Times New Roman" w:cs="Times New Roman"/>
                <w:color w:val="auto"/>
                <w:kern w:val="0"/>
                <w:sz w:val="21"/>
                <w:szCs w:val="21"/>
              </w:rPr>
              <w:t>风机编号</w:t>
            </w:r>
          </w:p>
        </w:tc>
        <w:tc>
          <w:tcPr>
            <w:tcW w:w="960" w:type="dxa"/>
            <w:tcBorders>
              <w:top w:val="single" w:color="auto" w:sz="4" w:space="0"/>
              <w:left w:val="nil"/>
              <w:bottom w:val="single" w:color="auto" w:sz="4" w:space="0"/>
              <w:right w:val="single" w:color="auto" w:sz="4" w:space="0"/>
            </w:tcBorders>
            <w:shd w:val="clear" w:color="auto" w:fill="auto"/>
            <w:noWrap/>
            <w:vAlign w:val="center"/>
          </w:tcPr>
          <w:p w14:paraId="5A44D3D7">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w:t>
            </w:r>
          </w:p>
        </w:tc>
        <w:tc>
          <w:tcPr>
            <w:tcW w:w="960" w:type="dxa"/>
            <w:tcBorders>
              <w:top w:val="single" w:color="auto" w:sz="4" w:space="0"/>
              <w:left w:val="nil"/>
              <w:bottom w:val="single" w:color="auto" w:sz="4" w:space="0"/>
              <w:right w:val="single" w:color="auto" w:sz="4" w:space="0"/>
            </w:tcBorders>
            <w:shd w:val="clear" w:color="auto" w:fill="auto"/>
            <w:noWrap/>
            <w:vAlign w:val="center"/>
          </w:tcPr>
          <w:p w14:paraId="1D7FBBF2">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2#</w:t>
            </w:r>
          </w:p>
        </w:tc>
        <w:tc>
          <w:tcPr>
            <w:tcW w:w="960" w:type="dxa"/>
            <w:tcBorders>
              <w:top w:val="single" w:color="auto" w:sz="4" w:space="0"/>
              <w:left w:val="nil"/>
              <w:bottom w:val="single" w:color="auto" w:sz="4" w:space="0"/>
              <w:right w:val="single" w:color="auto" w:sz="4" w:space="0"/>
            </w:tcBorders>
            <w:shd w:val="clear" w:color="auto" w:fill="auto"/>
            <w:noWrap/>
            <w:vAlign w:val="center"/>
          </w:tcPr>
          <w:p w14:paraId="4859E86A">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3#</w:t>
            </w:r>
          </w:p>
        </w:tc>
        <w:tc>
          <w:tcPr>
            <w:tcW w:w="960" w:type="dxa"/>
            <w:tcBorders>
              <w:top w:val="single" w:color="auto" w:sz="4" w:space="0"/>
              <w:left w:val="nil"/>
              <w:bottom w:val="single" w:color="auto" w:sz="4" w:space="0"/>
              <w:right w:val="single" w:color="auto" w:sz="4" w:space="0"/>
            </w:tcBorders>
            <w:shd w:val="clear" w:color="auto" w:fill="auto"/>
            <w:noWrap/>
            <w:vAlign w:val="center"/>
          </w:tcPr>
          <w:p w14:paraId="3C35F882">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4#</w:t>
            </w:r>
          </w:p>
        </w:tc>
        <w:tc>
          <w:tcPr>
            <w:tcW w:w="960" w:type="dxa"/>
            <w:tcBorders>
              <w:top w:val="single" w:color="auto" w:sz="4" w:space="0"/>
              <w:left w:val="nil"/>
              <w:bottom w:val="single" w:color="auto" w:sz="4" w:space="0"/>
              <w:right w:val="single" w:color="auto" w:sz="4" w:space="0"/>
            </w:tcBorders>
            <w:shd w:val="clear" w:color="auto" w:fill="auto"/>
            <w:noWrap/>
            <w:vAlign w:val="center"/>
          </w:tcPr>
          <w:p w14:paraId="7D8B706F">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5#</w:t>
            </w:r>
          </w:p>
        </w:tc>
        <w:tc>
          <w:tcPr>
            <w:tcW w:w="960" w:type="dxa"/>
            <w:tcBorders>
              <w:top w:val="single" w:color="auto" w:sz="4" w:space="0"/>
              <w:left w:val="nil"/>
              <w:bottom w:val="single" w:color="auto" w:sz="4" w:space="0"/>
              <w:right w:val="single" w:color="auto" w:sz="4" w:space="0"/>
            </w:tcBorders>
            <w:shd w:val="clear" w:color="auto" w:fill="auto"/>
            <w:noWrap/>
            <w:vAlign w:val="center"/>
          </w:tcPr>
          <w:p w14:paraId="69655107">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6#</w:t>
            </w:r>
          </w:p>
        </w:tc>
        <w:tc>
          <w:tcPr>
            <w:tcW w:w="960" w:type="dxa"/>
            <w:tcBorders>
              <w:top w:val="single" w:color="auto" w:sz="4" w:space="0"/>
              <w:left w:val="nil"/>
              <w:bottom w:val="single" w:color="auto" w:sz="4" w:space="0"/>
              <w:right w:val="single" w:color="auto" w:sz="4" w:space="0"/>
            </w:tcBorders>
            <w:shd w:val="clear" w:color="auto" w:fill="auto"/>
            <w:noWrap/>
            <w:vAlign w:val="center"/>
          </w:tcPr>
          <w:p w14:paraId="6EE25960">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7#</w:t>
            </w:r>
          </w:p>
        </w:tc>
        <w:tc>
          <w:tcPr>
            <w:tcW w:w="960" w:type="dxa"/>
            <w:tcBorders>
              <w:top w:val="single" w:color="auto" w:sz="4" w:space="0"/>
              <w:left w:val="nil"/>
              <w:bottom w:val="single" w:color="auto" w:sz="4" w:space="0"/>
              <w:right w:val="single" w:color="auto" w:sz="4" w:space="0"/>
            </w:tcBorders>
            <w:shd w:val="clear" w:color="auto" w:fill="auto"/>
            <w:noWrap/>
            <w:vAlign w:val="center"/>
          </w:tcPr>
          <w:p w14:paraId="7C8B9DED">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8#</w:t>
            </w:r>
          </w:p>
        </w:tc>
      </w:tr>
      <w:tr w14:paraId="6C07AD1A">
        <w:tblPrEx>
          <w:tblCellMar>
            <w:top w:w="0" w:type="dxa"/>
            <w:left w:w="108" w:type="dxa"/>
            <w:bottom w:w="0" w:type="dxa"/>
            <w:right w:w="108" w:type="dxa"/>
          </w:tblCellMar>
        </w:tblPrEx>
        <w:trPr>
          <w:trHeight w:val="288" w:hRule="atLeast"/>
          <w:jc w:val="center"/>
        </w:trPr>
        <w:tc>
          <w:tcPr>
            <w:tcW w:w="1500" w:type="dxa"/>
            <w:tcBorders>
              <w:top w:val="nil"/>
              <w:left w:val="single" w:color="auto" w:sz="4" w:space="0"/>
              <w:bottom w:val="single" w:color="auto" w:sz="4" w:space="0"/>
              <w:right w:val="single" w:color="auto" w:sz="4" w:space="0"/>
            </w:tcBorders>
            <w:shd w:val="clear" w:color="auto" w:fill="auto"/>
            <w:noWrap/>
            <w:vAlign w:val="center"/>
          </w:tcPr>
          <w:p w14:paraId="2B623C8E">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牺牲阳极数量</w:t>
            </w:r>
          </w:p>
        </w:tc>
        <w:tc>
          <w:tcPr>
            <w:tcW w:w="960" w:type="dxa"/>
            <w:tcBorders>
              <w:top w:val="nil"/>
              <w:left w:val="nil"/>
              <w:bottom w:val="single" w:color="auto" w:sz="4" w:space="0"/>
              <w:right w:val="single" w:color="auto" w:sz="4" w:space="0"/>
            </w:tcBorders>
            <w:shd w:val="clear" w:color="auto" w:fill="auto"/>
            <w:noWrap/>
            <w:vAlign w:val="center"/>
          </w:tcPr>
          <w:p w14:paraId="72B9D0E0">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9</w:t>
            </w:r>
          </w:p>
        </w:tc>
        <w:tc>
          <w:tcPr>
            <w:tcW w:w="960" w:type="dxa"/>
            <w:tcBorders>
              <w:top w:val="nil"/>
              <w:left w:val="nil"/>
              <w:bottom w:val="single" w:color="auto" w:sz="4" w:space="0"/>
              <w:right w:val="single" w:color="auto" w:sz="4" w:space="0"/>
            </w:tcBorders>
            <w:shd w:val="clear" w:color="auto" w:fill="auto"/>
            <w:noWrap/>
            <w:vAlign w:val="center"/>
          </w:tcPr>
          <w:p w14:paraId="5D8F118B">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9</w:t>
            </w:r>
          </w:p>
        </w:tc>
        <w:tc>
          <w:tcPr>
            <w:tcW w:w="960" w:type="dxa"/>
            <w:tcBorders>
              <w:top w:val="nil"/>
              <w:left w:val="nil"/>
              <w:bottom w:val="single" w:color="auto" w:sz="4" w:space="0"/>
              <w:right w:val="single" w:color="auto" w:sz="4" w:space="0"/>
            </w:tcBorders>
            <w:shd w:val="clear" w:color="auto" w:fill="auto"/>
            <w:noWrap/>
            <w:vAlign w:val="center"/>
          </w:tcPr>
          <w:p w14:paraId="54A0D830">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9</w:t>
            </w:r>
          </w:p>
        </w:tc>
        <w:tc>
          <w:tcPr>
            <w:tcW w:w="960" w:type="dxa"/>
            <w:tcBorders>
              <w:top w:val="nil"/>
              <w:left w:val="nil"/>
              <w:bottom w:val="single" w:color="auto" w:sz="4" w:space="0"/>
              <w:right w:val="single" w:color="auto" w:sz="4" w:space="0"/>
            </w:tcBorders>
            <w:shd w:val="clear" w:color="auto" w:fill="auto"/>
            <w:noWrap/>
            <w:vAlign w:val="center"/>
          </w:tcPr>
          <w:p w14:paraId="39928959">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9</w:t>
            </w:r>
          </w:p>
        </w:tc>
        <w:tc>
          <w:tcPr>
            <w:tcW w:w="960" w:type="dxa"/>
            <w:tcBorders>
              <w:top w:val="nil"/>
              <w:left w:val="nil"/>
              <w:bottom w:val="single" w:color="auto" w:sz="4" w:space="0"/>
              <w:right w:val="single" w:color="auto" w:sz="4" w:space="0"/>
            </w:tcBorders>
            <w:shd w:val="clear" w:color="auto" w:fill="auto"/>
            <w:noWrap/>
            <w:vAlign w:val="center"/>
          </w:tcPr>
          <w:p w14:paraId="45ABE1FD">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10</w:t>
            </w:r>
          </w:p>
        </w:tc>
        <w:tc>
          <w:tcPr>
            <w:tcW w:w="960" w:type="dxa"/>
            <w:tcBorders>
              <w:top w:val="nil"/>
              <w:left w:val="nil"/>
              <w:bottom w:val="single" w:color="auto" w:sz="4" w:space="0"/>
              <w:right w:val="single" w:color="auto" w:sz="4" w:space="0"/>
            </w:tcBorders>
            <w:shd w:val="clear" w:color="auto" w:fill="auto"/>
            <w:noWrap/>
            <w:vAlign w:val="center"/>
          </w:tcPr>
          <w:p w14:paraId="6E098BC3">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11</w:t>
            </w:r>
          </w:p>
        </w:tc>
        <w:tc>
          <w:tcPr>
            <w:tcW w:w="960" w:type="dxa"/>
            <w:tcBorders>
              <w:top w:val="nil"/>
              <w:left w:val="nil"/>
              <w:bottom w:val="single" w:color="auto" w:sz="4" w:space="0"/>
              <w:right w:val="single" w:color="auto" w:sz="4" w:space="0"/>
            </w:tcBorders>
            <w:shd w:val="clear" w:color="auto" w:fill="auto"/>
            <w:noWrap/>
            <w:vAlign w:val="center"/>
          </w:tcPr>
          <w:p w14:paraId="7F43A468">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11</w:t>
            </w:r>
          </w:p>
        </w:tc>
        <w:tc>
          <w:tcPr>
            <w:tcW w:w="960" w:type="dxa"/>
            <w:tcBorders>
              <w:top w:val="nil"/>
              <w:left w:val="nil"/>
              <w:bottom w:val="single" w:color="auto" w:sz="4" w:space="0"/>
              <w:right w:val="single" w:color="auto" w:sz="4" w:space="0"/>
            </w:tcBorders>
            <w:shd w:val="clear" w:color="auto" w:fill="auto"/>
            <w:noWrap/>
            <w:vAlign w:val="center"/>
          </w:tcPr>
          <w:p w14:paraId="610731A0">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11</w:t>
            </w:r>
          </w:p>
        </w:tc>
      </w:tr>
      <w:tr w14:paraId="21D98538">
        <w:tblPrEx>
          <w:tblCellMar>
            <w:top w:w="0" w:type="dxa"/>
            <w:left w:w="108" w:type="dxa"/>
            <w:bottom w:w="0" w:type="dxa"/>
            <w:right w:w="108" w:type="dxa"/>
          </w:tblCellMar>
        </w:tblPrEx>
        <w:trPr>
          <w:trHeight w:val="288" w:hRule="atLeast"/>
          <w:jc w:val="center"/>
        </w:trPr>
        <w:tc>
          <w:tcPr>
            <w:tcW w:w="1500" w:type="dxa"/>
            <w:tcBorders>
              <w:top w:val="nil"/>
              <w:left w:val="single" w:color="auto" w:sz="4" w:space="0"/>
              <w:bottom w:val="single" w:color="auto" w:sz="4" w:space="0"/>
              <w:right w:val="single" w:color="auto" w:sz="4" w:space="0"/>
            </w:tcBorders>
            <w:shd w:val="clear" w:color="auto" w:fill="auto"/>
            <w:noWrap/>
            <w:vAlign w:val="center"/>
          </w:tcPr>
          <w:p w14:paraId="7D88A073">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风机编号</w:t>
            </w:r>
          </w:p>
        </w:tc>
        <w:tc>
          <w:tcPr>
            <w:tcW w:w="960" w:type="dxa"/>
            <w:tcBorders>
              <w:top w:val="nil"/>
              <w:left w:val="nil"/>
              <w:bottom w:val="single" w:color="auto" w:sz="4" w:space="0"/>
              <w:right w:val="single" w:color="auto" w:sz="4" w:space="0"/>
            </w:tcBorders>
            <w:shd w:val="clear" w:color="auto" w:fill="auto"/>
            <w:noWrap/>
            <w:vAlign w:val="center"/>
          </w:tcPr>
          <w:p w14:paraId="7D804C17">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9#</w:t>
            </w:r>
          </w:p>
        </w:tc>
        <w:tc>
          <w:tcPr>
            <w:tcW w:w="960" w:type="dxa"/>
            <w:tcBorders>
              <w:top w:val="nil"/>
              <w:left w:val="nil"/>
              <w:bottom w:val="single" w:color="auto" w:sz="4" w:space="0"/>
              <w:right w:val="single" w:color="auto" w:sz="4" w:space="0"/>
            </w:tcBorders>
            <w:shd w:val="clear" w:color="auto" w:fill="auto"/>
            <w:noWrap/>
            <w:vAlign w:val="center"/>
          </w:tcPr>
          <w:p w14:paraId="3DF41959">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10#</w:t>
            </w:r>
          </w:p>
        </w:tc>
        <w:tc>
          <w:tcPr>
            <w:tcW w:w="960" w:type="dxa"/>
            <w:tcBorders>
              <w:top w:val="nil"/>
              <w:left w:val="nil"/>
              <w:bottom w:val="single" w:color="auto" w:sz="4" w:space="0"/>
              <w:right w:val="single" w:color="auto" w:sz="4" w:space="0"/>
            </w:tcBorders>
            <w:shd w:val="clear" w:color="auto" w:fill="auto"/>
            <w:noWrap/>
            <w:vAlign w:val="center"/>
          </w:tcPr>
          <w:p w14:paraId="587D4312">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11#</w:t>
            </w:r>
          </w:p>
        </w:tc>
        <w:tc>
          <w:tcPr>
            <w:tcW w:w="960" w:type="dxa"/>
            <w:tcBorders>
              <w:top w:val="nil"/>
              <w:left w:val="nil"/>
              <w:bottom w:val="single" w:color="auto" w:sz="4" w:space="0"/>
              <w:right w:val="single" w:color="auto" w:sz="4" w:space="0"/>
            </w:tcBorders>
            <w:shd w:val="clear" w:color="auto" w:fill="auto"/>
            <w:noWrap/>
            <w:vAlign w:val="center"/>
          </w:tcPr>
          <w:p w14:paraId="5882FE47">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12#</w:t>
            </w:r>
          </w:p>
        </w:tc>
        <w:tc>
          <w:tcPr>
            <w:tcW w:w="960" w:type="dxa"/>
            <w:tcBorders>
              <w:top w:val="nil"/>
              <w:left w:val="nil"/>
              <w:bottom w:val="single" w:color="auto" w:sz="4" w:space="0"/>
              <w:right w:val="single" w:color="auto" w:sz="4" w:space="0"/>
            </w:tcBorders>
            <w:shd w:val="clear" w:color="auto" w:fill="auto"/>
            <w:noWrap/>
            <w:vAlign w:val="center"/>
          </w:tcPr>
          <w:p w14:paraId="3461C37C">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13#</w:t>
            </w:r>
          </w:p>
        </w:tc>
        <w:tc>
          <w:tcPr>
            <w:tcW w:w="960" w:type="dxa"/>
            <w:tcBorders>
              <w:top w:val="nil"/>
              <w:left w:val="nil"/>
              <w:bottom w:val="single" w:color="auto" w:sz="4" w:space="0"/>
              <w:right w:val="single" w:color="auto" w:sz="4" w:space="0"/>
            </w:tcBorders>
            <w:shd w:val="clear" w:color="auto" w:fill="auto"/>
            <w:noWrap/>
            <w:vAlign w:val="center"/>
          </w:tcPr>
          <w:p w14:paraId="25952FC9">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14#</w:t>
            </w:r>
          </w:p>
        </w:tc>
        <w:tc>
          <w:tcPr>
            <w:tcW w:w="960" w:type="dxa"/>
            <w:tcBorders>
              <w:top w:val="nil"/>
              <w:left w:val="nil"/>
              <w:bottom w:val="single" w:color="auto" w:sz="4" w:space="0"/>
              <w:right w:val="single" w:color="auto" w:sz="4" w:space="0"/>
            </w:tcBorders>
            <w:shd w:val="clear" w:color="auto" w:fill="auto"/>
            <w:noWrap/>
            <w:vAlign w:val="center"/>
          </w:tcPr>
          <w:p w14:paraId="6756ED49">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15#</w:t>
            </w:r>
          </w:p>
        </w:tc>
        <w:tc>
          <w:tcPr>
            <w:tcW w:w="960" w:type="dxa"/>
            <w:tcBorders>
              <w:top w:val="nil"/>
              <w:left w:val="nil"/>
              <w:bottom w:val="single" w:color="auto" w:sz="4" w:space="0"/>
              <w:right w:val="single" w:color="auto" w:sz="4" w:space="0"/>
            </w:tcBorders>
            <w:shd w:val="clear" w:color="auto" w:fill="auto"/>
            <w:noWrap/>
            <w:vAlign w:val="center"/>
          </w:tcPr>
          <w:p w14:paraId="0CD9FD5D">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16#</w:t>
            </w:r>
          </w:p>
        </w:tc>
      </w:tr>
      <w:tr w14:paraId="457E7FF4">
        <w:tblPrEx>
          <w:tblCellMar>
            <w:top w:w="0" w:type="dxa"/>
            <w:left w:w="108" w:type="dxa"/>
            <w:bottom w:w="0" w:type="dxa"/>
            <w:right w:w="108" w:type="dxa"/>
          </w:tblCellMar>
        </w:tblPrEx>
        <w:trPr>
          <w:trHeight w:val="288" w:hRule="atLeast"/>
          <w:jc w:val="center"/>
        </w:trPr>
        <w:tc>
          <w:tcPr>
            <w:tcW w:w="1500" w:type="dxa"/>
            <w:tcBorders>
              <w:top w:val="nil"/>
              <w:left w:val="single" w:color="auto" w:sz="4" w:space="0"/>
              <w:bottom w:val="single" w:color="auto" w:sz="4" w:space="0"/>
              <w:right w:val="single" w:color="auto" w:sz="4" w:space="0"/>
            </w:tcBorders>
            <w:shd w:val="clear" w:color="auto" w:fill="auto"/>
            <w:noWrap/>
            <w:vAlign w:val="center"/>
          </w:tcPr>
          <w:p w14:paraId="30D8842B">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牺牲阳极数量</w:t>
            </w:r>
          </w:p>
        </w:tc>
        <w:tc>
          <w:tcPr>
            <w:tcW w:w="960" w:type="dxa"/>
            <w:tcBorders>
              <w:top w:val="nil"/>
              <w:left w:val="nil"/>
              <w:bottom w:val="single" w:color="auto" w:sz="4" w:space="0"/>
              <w:right w:val="single" w:color="auto" w:sz="4" w:space="0"/>
            </w:tcBorders>
            <w:shd w:val="clear" w:color="auto" w:fill="auto"/>
            <w:noWrap/>
            <w:vAlign w:val="center"/>
          </w:tcPr>
          <w:p w14:paraId="7D5342C1">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11</w:t>
            </w:r>
          </w:p>
        </w:tc>
        <w:tc>
          <w:tcPr>
            <w:tcW w:w="960" w:type="dxa"/>
            <w:tcBorders>
              <w:top w:val="nil"/>
              <w:left w:val="nil"/>
              <w:bottom w:val="single" w:color="auto" w:sz="4" w:space="0"/>
              <w:right w:val="single" w:color="auto" w:sz="4" w:space="0"/>
            </w:tcBorders>
            <w:shd w:val="clear" w:color="auto" w:fill="auto"/>
            <w:noWrap/>
            <w:vAlign w:val="center"/>
          </w:tcPr>
          <w:p w14:paraId="7E34DDD8">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11</w:t>
            </w:r>
          </w:p>
        </w:tc>
        <w:tc>
          <w:tcPr>
            <w:tcW w:w="960" w:type="dxa"/>
            <w:tcBorders>
              <w:top w:val="nil"/>
              <w:left w:val="nil"/>
              <w:bottom w:val="single" w:color="auto" w:sz="4" w:space="0"/>
              <w:right w:val="single" w:color="auto" w:sz="4" w:space="0"/>
            </w:tcBorders>
            <w:shd w:val="clear" w:color="auto" w:fill="auto"/>
            <w:noWrap/>
            <w:vAlign w:val="center"/>
          </w:tcPr>
          <w:p w14:paraId="4D2FB1DC">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11</w:t>
            </w:r>
          </w:p>
        </w:tc>
        <w:tc>
          <w:tcPr>
            <w:tcW w:w="960" w:type="dxa"/>
            <w:tcBorders>
              <w:top w:val="nil"/>
              <w:left w:val="nil"/>
              <w:bottom w:val="single" w:color="auto" w:sz="4" w:space="0"/>
              <w:right w:val="single" w:color="auto" w:sz="4" w:space="0"/>
            </w:tcBorders>
            <w:shd w:val="clear" w:color="auto" w:fill="auto"/>
            <w:noWrap/>
            <w:vAlign w:val="center"/>
          </w:tcPr>
          <w:p w14:paraId="39C731A5">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10</w:t>
            </w:r>
          </w:p>
        </w:tc>
        <w:tc>
          <w:tcPr>
            <w:tcW w:w="960" w:type="dxa"/>
            <w:tcBorders>
              <w:top w:val="nil"/>
              <w:left w:val="nil"/>
              <w:bottom w:val="single" w:color="auto" w:sz="4" w:space="0"/>
              <w:right w:val="single" w:color="auto" w:sz="4" w:space="0"/>
            </w:tcBorders>
            <w:shd w:val="clear" w:color="auto" w:fill="auto"/>
            <w:noWrap/>
            <w:vAlign w:val="center"/>
          </w:tcPr>
          <w:p w14:paraId="29C84FEC">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9</w:t>
            </w:r>
          </w:p>
        </w:tc>
        <w:tc>
          <w:tcPr>
            <w:tcW w:w="960" w:type="dxa"/>
            <w:tcBorders>
              <w:top w:val="nil"/>
              <w:left w:val="nil"/>
              <w:bottom w:val="single" w:color="auto" w:sz="4" w:space="0"/>
              <w:right w:val="single" w:color="auto" w:sz="4" w:space="0"/>
            </w:tcBorders>
            <w:shd w:val="clear" w:color="auto" w:fill="auto"/>
            <w:noWrap/>
            <w:vAlign w:val="center"/>
          </w:tcPr>
          <w:p w14:paraId="04AEE76E">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9</w:t>
            </w:r>
          </w:p>
        </w:tc>
        <w:tc>
          <w:tcPr>
            <w:tcW w:w="960" w:type="dxa"/>
            <w:tcBorders>
              <w:top w:val="nil"/>
              <w:left w:val="nil"/>
              <w:bottom w:val="single" w:color="auto" w:sz="4" w:space="0"/>
              <w:right w:val="single" w:color="auto" w:sz="4" w:space="0"/>
            </w:tcBorders>
            <w:shd w:val="clear" w:color="auto" w:fill="auto"/>
            <w:noWrap/>
            <w:vAlign w:val="center"/>
          </w:tcPr>
          <w:p w14:paraId="44F12082">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9</w:t>
            </w:r>
          </w:p>
        </w:tc>
        <w:tc>
          <w:tcPr>
            <w:tcW w:w="960" w:type="dxa"/>
            <w:tcBorders>
              <w:top w:val="nil"/>
              <w:left w:val="nil"/>
              <w:bottom w:val="single" w:color="auto" w:sz="4" w:space="0"/>
              <w:right w:val="single" w:color="auto" w:sz="4" w:space="0"/>
            </w:tcBorders>
            <w:shd w:val="clear" w:color="auto" w:fill="auto"/>
            <w:noWrap/>
            <w:vAlign w:val="center"/>
          </w:tcPr>
          <w:p w14:paraId="7178E1E2">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9</w:t>
            </w:r>
          </w:p>
        </w:tc>
      </w:tr>
      <w:tr w14:paraId="66CDB989">
        <w:tblPrEx>
          <w:tblCellMar>
            <w:top w:w="0" w:type="dxa"/>
            <w:left w:w="108" w:type="dxa"/>
            <w:bottom w:w="0" w:type="dxa"/>
            <w:right w:w="108" w:type="dxa"/>
          </w:tblCellMar>
        </w:tblPrEx>
        <w:trPr>
          <w:trHeight w:val="288" w:hRule="atLeast"/>
          <w:jc w:val="center"/>
        </w:trPr>
        <w:tc>
          <w:tcPr>
            <w:tcW w:w="1500" w:type="dxa"/>
            <w:tcBorders>
              <w:top w:val="nil"/>
              <w:left w:val="single" w:color="auto" w:sz="4" w:space="0"/>
              <w:bottom w:val="single" w:color="auto" w:sz="4" w:space="0"/>
              <w:right w:val="single" w:color="auto" w:sz="4" w:space="0"/>
            </w:tcBorders>
            <w:shd w:val="clear" w:color="auto" w:fill="auto"/>
            <w:noWrap/>
            <w:vAlign w:val="center"/>
          </w:tcPr>
          <w:p w14:paraId="20FFA05D">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风机编号</w:t>
            </w:r>
          </w:p>
        </w:tc>
        <w:tc>
          <w:tcPr>
            <w:tcW w:w="960" w:type="dxa"/>
            <w:tcBorders>
              <w:top w:val="nil"/>
              <w:left w:val="nil"/>
              <w:bottom w:val="single" w:color="auto" w:sz="4" w:space="0"/>
              <w:right w:val="single" w:color="auto" w:sz="4" w:space="0"/>
            </w:tcBorders>
            <w:shd w:val="clear" w:color="auto" w:fill="auto"/>
            <w:noWrap/>
            <w:vAlign w:val="center"/>
          </w:tcPr>
          <w:p w14:paraId="09B7D8C5">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17#</w:t>
            </w:r>
          </w:p>
        </w:tc>
        <w:tc>
          <w:tcPr>
            <w:tcW w:w="960" w:type="dxa"/>
            <w:tcBorders>
              <w:top w:val="nil"/>
              <w:left w:val="nil"/>
              <w:bottom w:val="single" w:color="auto" w:sz="4" w:space="0"/>
              <w:right w:val="single" w:color="auto" w:sz="4" w:space="0"/>
            </w:tcBorders>
            <w:shd w:val="clear" w:color="auto" w:fill="auto"/>
            <w:noWrap/>
            <w:vAlign w:val="center"/>
          </w:tcPr>
          <w:p w14:paraId="6D03ADE5">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18#</w:t>
            </w:r>
          </w:p>
        </w:tc>
        <w:tc>
          <w:tcPr>
            <w:tcW w:w="960" w:type="dxa"/>
            <w:tcBorders>
              <w:top w:val="nil"/>
              <w:left w:val="nil"/>
              <w:bottom w:val="single" w:color="auto" w:sz="4" w:space="0"/>
              <w:right w:val="single" w:color="auto" w:sz="4" w:space="0"/>
            </w:tcBorders>
            <w:shd w:val="clear" w:color="auto" w:fill="auto"/>
            <w:noWrap/>
            <w:vAlign w:val="center"/>
          </w:tcPr>
          <w:p w14:paraId="41330A1A">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19#</w:t>
            </w:r>
          </w:p>
        </w:tc>
        <w:tc>
          <w:tcPr>
            <w:tcW w:w="960" w:type="dxa"/>
            <w:tcBorders>
              <w:top w:val="nil"/>
              <w:left w:val="nil"/>
              <w:bottom w:val="single" w:color="auto" w:sz="4" w:space="0"/>
              <w:right w:val="single" w:color="auto" w:sz="4" w:space="0"/>
            </w:tcBorders>
            <w:shd w:val="clear" w:color="auto" w:fill="auto"/>
            <w:noWrap/>
            <w:vAlign w:val="center"/>
          </w:tcPr>
          <w:p w14:paraId="5E174E1A">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20#</w:t>
            </w:r>
          </w:p>
        </w:tc>
        <w:tc>
          <w:tcPr>
            <w:tcW w:w="960" w:type="dxa"/>
            <w:tcBorders>
              <w:top w:val="nil"/>
              <w:left w:val="nil"/>
              <w:bottom w:val="single" w:color="auto" w:sz="4" w:space="0"/>
              <w:right w:val="single" w:color="auto" w:sz="4" w:space="0"/>
            </w:tcBorders>
            <w:shd w:val="clear" w:color="auto" w:fill="auto"/>
            <w:noWrap/>
            <w:vAlign w:val="center"/>
          </w:tcPr>
          <w:p w14:paraId="3F1C204D">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21#</w:t>
            </w:r>
          </w:p>
        </w:tc>
        <w:tc>
          <w:tcPr>
            <w:tcW w:w="960" w:type="dxa"/>
            <w:tcBorders>
              <w:top w:val="nil"/>
              <w:left w:val="nil"/>
              <w:bottom w:val="single" w:color="auto" w:sz="4" w:space="0"/>
              <w:right w:val="single" w:color="auto" w:sz="4" w:space="0"/>
            </w:tcBorders>
            <w:shd w:val="clear" w:color="auto" w:fill="auto"/>
            <w:noWrap/>
            <w:vAlign w:val="center"/>
          </w:tcPr>
          <w:p w14:paraId="350FF02E">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22#</w:t>
            </w:r>
          </w:p>
        </w:tc>
        <w:tc>
          <w:tcPr>
            <w:tcW w:w="960" w:type="dxa"/>
            <w:tcBorders>
              <w:top w:val="nil"/>
              <w:left w:val="nil"/>
              <w:bottom w:val="single" w:color="auto" w:sz="4" w:space="0"/>
              <w:right w:val="single" w:color="auto" w:sz="4" w:space="0"/>
            </w:tcBorders>
            <w:shd w:val="clear" w:color="auto" w:fill="auto"/>
            <w:noWrap/>
            <w:vAlign w:val="center"/>
          </w:tcPr>
          <w:p w14:paraId="3F7DF61E">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23#</w:t>
            </w:r>
          </w:p>
        </w:tc>
        <w:tc>
          <w:tcPr>
            <w:tcW w:w="960" w:type="dxa"/>
            <w:tcBorders>
              <w:top w:val="nil"/>
              <w:left w:val="nil"/>
              <w:bottom w:val="single" w:color="auto" w:sz="4" w:space="0"/>
              <w:right w:val="single" w:color="auto" w:sz="4" w:space="0"/>
            </w:tcBorders>
            <w:shd w:val="clear" w:color="auto" w:fill="auto"/>
            <w:noWrap/>
            <w:vAlign w:val="center"/>
          </w:tcPr>
          <w:p w14:paraId="5E57BBD5">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24#</w:t>
            </w:r>
          </w:p>
        </w:tc>
      </w:tr>
      <w:tr w14:paraId="31910D3E">
        <w:tblPrEx>
          <w:tblCellMar>
            <w:top w:w="0" w:type="dxa"/>
            <w:left w:w="108" w:type="dxa"/>
            <w:bottom w:w="0" w:type="dxa"/>
            <w:right w:w="108" w:type="dxa"/>
          </w:tblCellMar>
        </w:tblPrEx>
        <w:trPr>
          <w:trHeight w:val="288" w:hRule="atLeast"/>
          <w:jc w:val="center"/>
        </w:trPr>
        <w:tc>
          <w:tcPr>
            <w:tcW w:w="1500" w:type="dxa"/>
            <w:tcBorders>
              <w:top w:val="nil"/>
              <w:left w:val="single" w:color="auto" w:sz="4" w:space="0"/>
              <w:bottom w:val="single" w:color="auto" w:sz="4" w:space="0"/>
              <w:right w:val="single" w:color="auto" w:sz="4" w:space="0"/>
            </w:tcBorders>
            <w:shd w:val="clear" w:color="auto" w:fill="auto"/>
            <w:noWrap/>
            <w:vAlign w:val="center"/>
          </w:tcPr>
          <w:p w14:paraId="7D53B0D4">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牺牲阳极数量</w:t>
            </w:r>
          </w:p>
        </w:tc>
        <w:tc>
          <w:tcPr>
            <w:tcW w:w="960" w:type="dxa"/>
            <w:tcBorders>
              <w:top w:val="nil"/>
              <w:left w:val="nil"/>
              <w:bottom w:val="single" w:color="auto" w:sz="4" w:space="0"/>
              <w:right w:val="single" w:color="auto" w:sz="4" w:space="0"/>
            </w:tcBorders>
            <w:shd w:val="clear" w:color="auto" w:fill="auto"/>
            <w:noWrap/>
            <w:vAlign w:val="center"/>
          </w:tcPr>
          <w:p w14:paraId="0EB3C315">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10</w:t>
            </w:r>
          </w:p>
        </w:tc>
        <w:tc>
          <w:tcPr>
            <w:tcW w:w="960" w:type="dxa"/>
            <w:tcBorders>
              <w:top w:val="nil"/>
              <w:left w:val="nil"/>
              <w:bottom w:val="single" w:color="auto" w:sz="4" w:space="0"/>
              <w:right w:val="single" w:color="auto" w:sz="4" w:space="0"/>
            </w:tcBorders>
            <w:shd w:val="clear" w:color="auto" w:fill="auto"/>
            <w:noWrap/>
            <w:vAlign w:val="center"/>
          </w:tcPr>
          <w:p w14:paraId="214FBF18">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10</w:t>
            </w:r>
          </w:p>
        </w:tc>
        <w:tc>
          <w:tcPr>
            <w:tcW w:w="960" w:type="dxa"/>
            <w:tcBorders>
              <w:top w:val="nil"/>
              <w:left w:val="nil"/>
              <w:bottom w:val="single" w:color="auto" w:sz="4" w:space="0"/>
              <w:right w:val="single" w:color="auto" w:sz="4" w:space="0"/>
            </w:tcBorders>
            <w:shd w:val="clear" w:color="auto" w:fill="auto"/>
            <w:noWrap/>
            <w:vAlign w:val="center"/>
          </w:tcPr>
          <w:p w14:paraId="0B62B39E">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10</w:t>
            </w:r>
          </w:p>
        </w:tc>
        <w:tc>
          <w:tcPr>
            <w:tcW w:w="960" w:type="dxa"/>
            <w:tcBorders>
              <w:top w:val="nil"/>
              <w:left w:val="nil"/>
              <w:bottom w:val="single" w:color="auto" w:sz="4" w:space="0"/>
              <w:right w:val="single" w:color="auto" w:sz="4" w:space="0"/>
            </w:tcBorders>
            <w:shd w:val="clear" w:color="auto" w:fill="auto"/>
            <w:noWrap/>
            <w:vAlign w:val="center"/>
          </w:tcPr>
          <w:p w14:paraId="64917B34">
            <w:pPr>
              <w:widowControl/>
              <w:jc w:val="center"/>
              <w:rPr>
                <w:rFonts w:hint="eastAsia" w:ascii="Times New Roman" w:hAnsi="Times New Roman" w:cs="Times New Roman"/>
                <w:color w:val="auto"/>
                <w:kern w:val="0"/>
                <w:sz w:val="21"/>
                <w:szCs w:val="21"/>
              </w:rPr>
            </w:pPr>
            <w:r>
              <w:rPr>
                <w:rFonts w:hint="eastAsia" w:ascii="Times New Roman" w:cs="Times New Roman"/>
                <w:color w:val="auto"/>
                <w:kern w:val="0"/>
                <w:sz w:val="21"/>
                <w:szCs w:val="21"/>
                <w:lang w:eastAsia="zh-CN"/>
              </w:rPr>
              <w:t>9</w:t>
            </w:r>
          </w:p>
        </w:tc>
        <w:tc>
          <w:tcPr>
            <w:tcW w:w="960" w:type="dxa"/>
            <w:tcBorders>
              <w:top w:val="nil"/>
              <w:left w:val="nil"/>
              <w:bottom w:val="single" w:color="auto" w:sz="4" w:space="0"/>
              <w:right w:val="single" w:color="auto" w:sz="4" w:space="0"/>
            </w:tcBorders>
            <w:shd w:val="clear" w:color="auto" w:fill="auto"/>
            <w:noWrap/>
            <w:vAlign w:val="center"/>
          </w:tcPr>
          <w:p w14:paraId="3C306CAE">
            <w:pPr>
              <w:widowControl/>
              <w:jc w:val="center"/>
              <w:rPr>
                <w:rFonts w:hint="eastAsia" w:ascii="Times New Roman" w:hAnsi="Times New Roman" w:cs="Times New Roman"/>
                <w:color w:val="auto"/>
                <w:kern w:val="0"/>
                <w:sz w:val="21"/>
                <w:szCs w:val="21"/>
              </w:rPr>
            </w:pPr>
            <w:r>
              <w:rPr>
                <w:rFonts w:hint="eastAsia" w:ascii="Times New Roman" w:cs="Times New Roman"/>
                <w:color w:val="auto"/>
                <w:kern w:val="0"/>
                <w:sz w:val="21"/>
                <w:szCs w:val="21"/>
                <w:lang w:eastAsia="zh-CN"/>
              </w:rPr>
              <w:t>9</w:t>
            </w:r>
          </w:p>
        </w:tc>
        <w:tc>
          <w:tcPr>
            <w:tcW w:w="960" w:type="dxa"/>
            <w:tcBorders>
              <w:top w:val="nil"/>
              <w:left w:val="nil"/>
              <w:bottom w:val="single" w:color="auto" w:sz="4" w:space="0"/>
              <w:right w:val="single" w:color="auto" w:sz="4" w:space="0"/>
            </w:tcBorders>
            <w:shd w:val="clear" w:color="auto" w:fill="auto"/>
            <w:noWrap/>
            <w:vAlign w:val="center"/>
          </w:tcPr>
          <w:p w14:paraId="28C6338B">
            <w:pPr>
              <w:widowControl/>
              <w:jc w:val="center"/>
              <w:rPr>
                <w:rFonts w:hint="eastAsia" w:ascii="Times New Roman" w:hAnsi="Times New Roman" w:cs="Times New Roman"/>
                <w:color w:val="auto"/>
                <w:kern w:val="0"/>
                <w:sz w:val="21"/>
                <w:szCs w:val="21"/>
              </w:rPr>
            </w:pPr>
            <w:r>
              <w:rPr>
                <w:rFonts w:hint="eastAsia" w:ascii="Times New Roman" w:cs="Times New Roman"/>
                <w:color w:val="auto"/>
                <w:kern w:val="0"/>
                <w:sz w:val="21"/>
                <w:szCs w:val="21"/>
                <w:lang w:eastAsia="zh-CN"/>
              </w:rPr>
              <w:t>9</w:t>
            </w:r>
          </w:p>
        </w:tc>
        <w:tc>
          <w:tcPr>
            <w:tcW w:w="960" w:type="dxa"/>
            <w:tcBorders>
              <w:top w:val="nil"/>
              <w:left w:val="nil"/>
              <w:bottom w:val="single" w:color="auto" w:sz="4" w:space="0"/>
              <w:right w:val="single" w:color="auto" w:sz="4" w:space="0"/>
            </w:tcBorders>
            <w:shd w:val="clear" w:color="auto" w:fill="auto"/>
            <w:noWrap/>
            <w:vAlign w:val="center"/>
          </w:tcPr>
          <w:p w14:paraId="56B4174A">
            <w:pPr>
              <w:widowControl/>
              <w:jc w:val="center"/>
              <w:rPr>
                <w:rFonts w:hint="eastAsia" w:ascii="Times New Roman" w:hAnsi="Times New Roman" w:cs="Times New Roman"/>
                <w:color w:val="auto"/>
                <w:kern w:val="0"/>
                <w:sz w:val="21"/>
                <w:szCs w:val="21"/>
              </w:rPr>
            </w:pPr>
            <w:r>
              <w:rPr>
                <w:rFonts w:hint="eastAsia" w:ascii="Times New Roman" w:cs="Times New Roman"/>
                <w:color w:val="auto"/>
                <w:kern w:val="0"/>
                <w:sz w:val="21"/>
                <w:szCs w:val="21"/>
                <w:lang w:eastAsia="zh-CN"/>
              </w:rPr>
              <w:t>9</w:t>
            </w:r>
          </w:p>
        </w:tc>
        <w:tc>
          <w:tcPr>
            <w:tcW w:w="960" w:type="dxa"/>
            <w:tcBorders>
              <w:top w:val="nil"/>
              <w:left w:val="nil"/>
              <w:bottom w:val="single" w:color="auto" w:sz="4" w:space="0"/>
              <w:right w:val="single" w:color="auto" w:sz="4" w:space="0"/>
            </w:tcBorders>
            <w:shd w:val="clear" w:color="auto" w:fill="auto"/>
            <w:noWrap/>
            <w:vAlign w:val="center"/>
          </w:tcPr>
          <w:p w14:paraId="55EE49C6">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11</w:t>
            </w:r>
          </w:p>
        </w:tc>
      </w:tr>
      <w:tr w14:paraId="1E397D6D">
        <w:tblPrEx>
          <w:tblCellMar>
            <w:top w:w="0" w:type="dxa"/>
            <w:left w:w="108" w:type="dxa"/>
            <w:bottom w:w="0" w:type="dxa"/>
            <w:right w:w="108" w:type="dxa"/>
          </w:tblCellMar>
        </w:tblPrEx>
        <w:trPr>
          <w:trHeight w:val="288" w:hRule="atLeast"/>
          <w:jc w:val="center"/>
        </w:trPr>
        <w:tc>
          <w:tcPr>
            <w:tcW w:w="1500" w:type="dxa"/>
            <w:tcBorders>
              <w:top w:val="nil"/>
              <w:left w:val="single" w:color="auto" w:sz="4" w:space="0"/>
              <w:bottom w:val="single" w:color="auto" w:sz="4" w:space="0"/>
              <w:right w:val="single" w:color="auto" w:sz="4" w:space="0"/>
            </w:tcBorders>
            <w:shd w:val="clear" w:color="auto" w:fill="auto"/>
            <w:noWrap/>
            <w:vAlign w:val="center"/>
          </w:tcPr>
          <w:p w14:paraId="24B5D4F9">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风机编号</w:t>
            </w:r>
          </w:p>
        </w:tc>
        <w:tc>
          <w:tcPr>
            <w:tcW w:w="960" w:type="dxa"/>
            <w:tcBorders>
              <w:top w:val="nil"/>
              <w:left w:val="nil"/>
              <w:bottom w:val="single" w:color="auto" w:sz="4" w:space="0"/>
              <w:right w:val="single" w:color="auto" w:sz="4" w:space="0"/>
            </w:tcBorders>
            <w:shd w:val="clear" w:color="auto" w:fill="auto"/>
            <w:noWrap/>
            <w:vAlign w:val="center"/>
          </w:tcPr>
          <w:p w14:paraId="6EB818F0">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25#</w:t>
            </w:r>
          </w:p>
        </w:tc>
        <w:tc>
          <w:tcPr>
            <w:tcW w:w="960" w:type="dxa"/>
            <w:tcBorders>
              <w:top w:val="nil"/>
              <w:left w:val="nil"/>
              <w:bottom w:val="single" w:color="auto" w:sz="4" w:space="0"/>
              <w:right w:val="single" w:color="auto" w:sz="4" w:space="0"/>
            </w:tcBorders>
            <w:shd w:val="clear" w:color="auto" w:fill="auto"/>
            <w:noWrap/>
            <w:vAlign w:val="center"/>
          </w:tcPr>
          <w:p w14:paraId="27A1B024">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26#</w:t>
            </w:r>
          </w:p>
        </w:tc>
        <w:tc>
          <w:tcPr>
            <w:tcW w:w="960" w:type="dxa"/>
            <w:tcBorders>
              <w:top w:val="nil"/>
              <w:left w:val="nil"/>
              <w:bottom w:val="single" w:color="auto" w:sz="4" w:space="0"/>
              <w:right w:val="single" w:color="auto" w:sz="4" w:space="0"/>
            </w:tcBorders>
            <w:shd w:val="clear" w:color="auto" w:fill="auto"/>
            <w:noWrap/>
            <w:vAlign w:val="center"/>
          </w:tcPr>
          <w:p w14:paraId="00EF1FC9">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27#</w:t>
            </w:r>
          </w:p>
        </w:tc>
        <w:tc>
          <w:tcPr>
            <w:tcW w:w="960" w:type="dxa"/>
            <w:tcBorders>
              <w:top w:val="nil"/>
              <w:left w:val="nil"/>
              <w:bottom w:val="single" w:color="auto" w:sz="4" w:space="0"/>
              <w:right w:val="single" w:color="auto" w:sz="4" w:space="0"/>
            </w:tcBorders>
            <w:shd w:val="clear" w:color="auto" w:fill="auto"/>
            <w:noWrap/>
            <w:vAlign w:val="center"/>
          </w:tcPr>
          <w:p w14:paraId="70A3192A">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28#</w:t>
            </w:r>
          </w:p>
        </w:tc>
        <w:tc>
          <w:tcPr>
            <w:tcW w:w="960" w:type="dxa"/>
            <w:tcBorders>
              <w:top w:val="nil"/>
              <w:left w:val="nil"/>
              <w:bottom w:val="single" w:color="auto" w:sz="4" w:space="0"/>
              <w:right w:val="single" w:color="auto" w:sz="4" w:space="0"/>
            </w:tcBorders>
            <w:shd w:val="clear" w:color="auto" w:fill="auto"/>
            <w:noWrap/>
            <w:vAlign w:val="center"/>
          </w:tcPr>
          <w:p w14:paraId="3C095479">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29#</w:t>
            </w:r>
          </w:p>
        </w:tc>
        <w:tc>
          <w:tcPr>
            <w:tcW w:w="960" w:type="dxa"/>
            <w:tcBorders>
              <w:top w:val="nil"/>
              <w:left w:val="nil"/>
              <w:bottom w:val="single" w:color="auto" w:sz="4" w:space="0"/>
              <w:right w:val="single" w:color="auto" w:sz="4" w:space="0"/>
            </w:tcBorders>
            <w:shd w:val="clear" w:color="auto" w:fill="auto"/>
            <w:noWrap/>
            <w:vAlign w:val="center"/>
          </w:tcPr>
          <w:p w14:paraId="4CFA80D8">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30#</w:t>
            </w:r>
          </w:p>
        </w:tc>
        <w:tc>
          <w:tcPr>
            <w:tcW w:w="960" w:type="dxa"/>
            <w:tcBorders>
              <w:top w:val="nil"/>
              <w:left w:val="nil"/>
              <w:bottom w:val="single" w:color="auto" w:sz="4" w:space="0"/>
              <w:right w:val="single" w:color="auto" w:sz="4" w:space="0"/>
            </w:tcBorders>
            <w:shd w:val="clear" w:color="auto" w:fill="auto"/>
            <w:noWrap/>
            <w:vAlign w:val="center"/>
          </w:tcPr>
          <w:p w14:paraId="412DC4F9">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31#</w:t>
            </w:r>
          </w:p>
        </w:tc>
        <w:tc>
          <w:tcPr>
            <w:tcW w:w="960" w:type="dxa"/>
            <w:tcBorders>
              <w:top w:val="nil"/>
              <w:left w:val="nil"/>
              <w:bottom w:val="single" w:color="auto" w:sz="4" w:space="0"/>
              <w:right w:val="single" w:color="auto" w:sz="4" w:space="0"/>
            </w:tcBorders>
            <w:shd w:val="clear" w:color="auto" w:fill="auto"/>
            <w:noWrap/>
            <w:vAlign w:val="center"/>
          </w:tcPr>
          <w:p w14:paraId="13EA4A85">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32#</w:t>
            </w:r>
          </w:p>
        </w:tc>
      </w:tr>
      <w:tr w14:paraId="33CF7C94">
        <w:tblPrEx>
          <w:tblCellMar>
            <w:top w:w="0" w:type="dxa"/>
            <w:left w:w="108" w:type="dxa"/>
            <w:bottom w:w="0" w:type="dxa"/>
            <w:right w:w="108" w:type="dxa"/>
          </w:tblCellMar>
        </w:tblPrEx>
        <w:trPr>
          <w:trHeight w:val="288" w:hRule="atLeast"/>
          <w:jc w:val="center"/>
        </w:trPr>
        <w:tc>
          <w:tcPr>
            <w:tcW w:w="1500" w:type="dxa"/>
            <w:tcBorders>
              <w:top w:val="nil"/>
              <w:left w:val="single" w:color="auto" w:sz="4" w:space="0"/>
              <w:bottom w:val="single" w:color="auto" w:sz="4" w:space="0"/>
              <w:right w:val="single" w:color="auto" w:sz="4" w:space="0"/>
            </w:tcBorders>
            <w:shd w:val="clear" w:color="auto" w:fill="auto"/>
            <w:noWrap/>
            <w:vAlign w:val="center"/>
          </w:tcPr>
          <w:p w14:paraId="1E8D7F6A">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牺牲阳极数量</w:t>
            </w:r>
          </w:p>
        </w:tc>
        <w:tc>
          <w:tcPr>
            <w:tcW w:w="960" w:type="dxa"/>
            <w:tcBorders>
              <w:top w:val="nil"/>
              <w:left w:val="nil"/>
              <w:bottom w:val="single" w:color="auto" w:sz="4" w:space="0"/>
              <w:right w:val="single" w:color="auto" w:sz="4" w:space="0"/>
            </w:tcBorders>
            <w:shd w:val="clear" w:color="auto" w:fill="auto"/>
            <w:noWrap/>
            <w:vAlign w:val="center"/>
          </w:tcPr>
          <w:p w14:paraId="355DBD8E">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11</w:t>
            </w:r>
          </w:p>
        </w:tc>
        <w:tc>
          <w:tcPr>
            <w:tcW w:w="960" w:type="dxa"/>
            <w:tcBorders>
              <w:top w:val="nil"/>
              <w:left w:val="nil"/>
              <w:bottom w:val="single" w:color="auto" w:sz="4" w:space="0"/>
              <w:right w:val="single" w:color="auto" w:sz="4" w:space="0"/>
            </w:tcBorders>
            <w:shd w:val="clear" w:color="auto" w:fill="auto"/>
            <w:noWrap/>
            <w:vAlign w:val="center"/>
          </w:tcPr>
          <w:p w14:paraId="683DC554">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8</w:t>
            </w:r>
          </w:p>
        </w:tc>
        <w:tc>
          <w:tcPr>
            <w:tcW w:w="960" w:type="dxa"/>
            <w:tcBorders>
              <w:top w:val="nil"/>
              <w:left w:val="nil"/>
              <w:bottom w:val="single" w:color="auto" w:sz="4" w:space="0"/>
              <w:right w:val="single" w:color="auto" w:sz="4" w:space="0"/>
            </w:tcBorders>
            <w:shd w:val="clear" w:color="auto" w:fill="auto"/>
            <w:noWrap/>
            <w:vAlign w:val="center"/>
          </w:tcPr>
          <w:p w14:paraId="24C81211">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8</w:t>
            </w:r>
          </w:p>
        </w:tc>
        <w:tc>
          <w:tcPr>
            <w:tcW w:w="960" w:type="dxa"/>
            <w:tcBorders>
              <w:top w:val="nil"/>
              <w:left w:val="nil"/>
              <w:bottom w:val="single" w:color="auto" w:sz="4" w:space="0"/>
              <w:right w:val="single" w:color="auto" w:sz="4" w:space="0"/>
            </w:tcBorders>
            <w:shd w:val="clear" w:color="auto" w:fill="auto"/>
            <w:noWrap/>
            <w:vAlign w:val="center"/>
          </w:tcPr>
          <w:p w14:paraId="2A69D4E4">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8</w:t>
            </w:r>
          </w:p>
        </w:tc>
        <w:tc>
          <w:tcPr>
            <w:tcW w:w="960" w:type="dxa"/>
            <w:tcBorders>
              <w:top w:val="nil"/>
              <w:left w:val="nil"/>
              <w:bottom w:val="single" w:color="auto" w:sz="4" w:space="0"/>
              <w:right w:val="single" w:color="auto" w:sz="4" w:space="0"/>
            </w:tcBorders>
            <w:shd w:val="clear" w:color="auto" w:fill="auto"/>
            <w:noWrap/>
            <w:vAlign w:val="center"/>
          </w:tcPr>
          <w:p w14:paraId="391909F1">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8</w:t>
            </w:r>
          </w:p>
        </w:tc>
        <w:tc>
          <w:tcPr>
            <w:tcW w:w="960" w:type="dxa"/>
            <w:tcBorders>
              <w:top w:val="nil"/>
              <w:left w:val="nil"/>
              <w:bottom w:val="single" w:color="auto" w:sz="4" w:space="0"/>
              <w:right w:val="single" w:color="auto" w:sz="4" w:space="0"/>
            </w:tcBorders>
            <w:shd w:val="clear" w:color="auto" w:fill="auto"/>
            <w:noWrap/>
            <w:vAlign w:val="center"/>
          </w:tcPr>
          <w:p w14:paraId="109F3799">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9</w:t>
            </w:r>
          </w:p>
        </w:tc>
        <w:tc>
          <w:tcPr>
            <w:tcW w:w="960" w:type="dxa"/>
            <w:tcBorders>
              <w:top w:val="nil"/>
              <w:left w:val="nil"/>
              <w:bottom w:val="single" w:color="auto" w:sz="4" w:space="0"/>
              <w:right w:val="single" w:color="auto" w:sz="4" w:space="0"/>
            </w:tcBorders>
            <w:shd w:val="clear" w:color="auto" w:fill="auto"/>
            <w:noWrap/>
            <w:vAlign w:val="center"/>
          </w:tcPr>
          <w:p w14:paraId="4724A247">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9</w:t>
            </w:r>
          </w:p>
        </w:tc>
        <w:tc>
          <w:tcPr>
            <w:tcW w:w="960" w:type="dxa"/>
            <w:tcBorders>
              <w:top w:val="nil"/>
              <w:left w:val="nil"/>
              <w:bottom w:val="single" w:color="auto" w:sz="4" w:space="0"/>
              <w:right w:val="single" w:color="auto" w:sz="4" w:space="0"/>
            </w:tcBorders>
            <w:shd w:val="clear" w:color="auto" w:fill="auto"/>
            <w:noWrap/>
            <w:vAlign w:val="center"/>
          </w:tcPr>
          <w:p w14:paraId="63725263">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9</w:t>
            </w:r>
          </w:p>
        </w:tc>
      </w:tr>
      <w:tr w14:paraId="4C16A78E">
        <w:tblPrEx>
          <w:tblCellMar>
            <w:top w:w="0" w:type="dxa"/>
            <w:left w:w="108" w:type="dxa"/>
            <w:bottom w:w="0" w:type="dxa"/>
            <w:right w:w="108" w:type="dxa"/>
          </w:tblCellMar>
        </w:tblPrEx>
        <w:trPr>
          <w:trHeight w:val="288" w:hRule="atLeast"/>
          <w:jc w:val="center"/>
        </w:trPr>
        <w:tc>
          <w:tcPr>
            <w:tcW w:w="1500" w:type="dxa"/>
            <w:tcBorders>
              <w:top w:val="nil"/>
              <w:left w:val="single" w:color="auto" w:sz="4" w:space="0"/>
              <w:bottom w:val="single" w:color="auto" w:sz="4" w:space="0"/>
              <w:right w:val="single" w:color="auto" w:sz="4" w:space="0"/>
            </w:tcBorders>
            <w:shd w:val="clear" w:color="auto" w:fill="auto"/>
            <w:noWrap/>
            <w:vAlign w:val="center"/>
          </w:tcPr>
          <w:p w14:paraId="39EB00B9">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风机编号</w:t>
            </w:r>
          </w:p>
        </w:tc>
        <w:tc>
          <w:tcPr>
            <w:tcW w:w="960" w:type="dxa"/>
            <w:tcBorders>
              <w:top w:val="nil"/>
              <w:left w:val="nil"/>
              <w:bottom w:val="single" w:color="auto" w:sz="4" w:space="0"/>
              <w:right w:val="single" w:color="auto" w:sz="4" w:space="0"/>
            </w:tcBorders>
            <w:shd w:val="clear" w:color="auto" w:fill="auto"/>
            <w:noWrap/>
            <w:vAlign w:val="center"/>
          </w:tcPr>
          <w:p w14:paraId="07879393">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33#</w:t>
            </w:r>
          </w:p>
        </w:tc>
        <w:tc>
          <w:tcPr>
            <w:tcW w:w="960" w:type="dxa"/>
            <w:tcBorders>
              <w:top w:val="nil"/>
              <w:left w:val="nil"/>
              <w:bottom w:val="single" w:color="auto" w:sz="4" w:space="0"/>
              <w:right w:val="single" w:color="auto" w:sz="4" w:space="0"/>
            </w:tcBorders>
            <w:shd w:val="clear" w:color="auto" w:fill="auto"/>
            <w:noWrap/>
            <w:vAlign w:val="center"/>
          </w:tcPr>
          <w:p w14:paraId="7735241F">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34#</w:t>
            </w:r>
          </w:p>
        </w:tc>
        <w:tc>
          <w:tcPr>
            <w:tcW w:w="960" w:type="dxa"/>
            <w:tcBorders>
              <w:top w:val="nil"/>
              <w:left w:val="nil"/>
              <w:bottom w:val="single" w:color="auto" w:sz="4" w:space="0"/>
              <w:right w:val="single" w:color="auto" w:sz="4" w:space="0"/>
            </w:tcBorders>
            <w:shd w:val="clear" w:color="auto" w:fill="auto"/>
            <w:noWrap/>
            <w:vAlign w:val="center"/>
          </w:tcPr>
          <w:p w14:paraId="4CB7C288">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35#</w:t>
            </w:r>
          </w:p>
        </w:tc>
        <w:tc>
          <w:tcPr>
            <w:tcW w:w="960" w:type="dxa"/>
            <w:tcBorders>
              <w:top w:val="nil"/>
              <w:left w:val="nil"/>
              <w:bottom w:val="single" w:color="auto" w:sz="4" w:space="0"/>
              <w:right w:val="single" w:color="auto" w:sz="4" w:space="0"/>
            </w:tcBorders>
            <w:shd w:val="clear" w:color="auto" w:fill="auto"/>
            <w:noWrap/>
            <w:vAlign w:val="center"/>
          </w:tcPr>
          <w:p w14:paraId="40AEAC41">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36#</w:t>
            </w:r>
          </w:p>
        </w:tc>
        <w:tc>
          <w:tcPr>
            <w:tcW w:w="960" w:type="dxa"/>
            <w:tcBorders>
              <w:top w:val="nil"/>
              <w:left w:val="nil"/>
              <w:bottom w:val="single" w:color="auto" w:sz="4" w:space="0"/>
              <w:right w:val="single" w:color="auto" w:sz="4" w:space="0"/>
            </w:tcBorders>
            <w:shd w:val="clear" w:color="auto" w:fill="auto"/>
            <w:noWrap/>
            <w:vAlign w:val="center"/>
          </w:tcPr>
          <w:p w14:paraId="08131315">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37#</w:t>
            </w:r>
          </w:p>
        </w:tc>
        <w:tc>
          <w:tcPr>
            <w:tcW w:w="960" w:type="dxa"/>
            <w:tcBorders>
              <w:top w:val="nil"/>
              <w:left w:val="nil"/>
              <w:bottom w:val="single" w:color="auto" w:sz="4" w:space="0"/>
              <w:right w:val="single" w:color="auto" w:sz="4" w:space="0"/>
            </w:tcBorders>
            <w:shd w:val="clear" w:color="auto" w:fill="auto"/>
            <w:noWrap/>
            <w:vAlign w:val="center"/>
          </w:tcPr>
          <w:p w14:paraId="5ECFBB75">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38#</w:t>
            </w:r>
          </w:p>
        </w:tc>
        <w:tc>
          <w:tcPr>
            <w:tcW w:w="960" w:type="dxa"/>
            <w:tcBorders>
              <w:top w:val="nil"/>
              <w:left w:val="nil"/>
              <w:bottom w:val="single" w:color="auto" w:sz="4" w:space="0"/>
              <w:right w:val="single" w:color="auto" w:sz="4" w:space="0"/>
            </w:tcBorders>
            <w:shd w:val="clear" w:color="auto" w:fill="auto"/>
            <w:noWrap/>
            <w:vAlign w:val="center"/>
          </w:tcPr>
          <w:p w14:paraId="6257657F">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39#</w:t>
            </w:r>
          </w:p>
        </w:tc>
        <w:tc>
          <w:tcPr>
            <w:tcW w:w="960" w:type="dxa"/>
            <w:tcBorders>
              <w:top w:val="nil"/>
              <w:left w:val="nil"/>
              <w:bottom w:val="single" w:color="auto" w:sz="4" w:space="0"/>
              <w:right w:val="single" w:color="auto" w:sz="4" w:space="0"/>
            </w:tcBorders>
            <w:shd w:val="clear" w:color="auto" w:fill="auto"/>
            <w:noWrap/>
            <w:vAlign w:val="center"/>
          </w:tcPr>
          <w:p w14:paraId="4DDDABDA">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40#</w:t>
            </w:r>
          </w:p>
        </w:tc>
      </w:tr>
      <w:tr w14:paraId="7362FF58">
        <w:tblPrEx>
          <w:tblCellMar>
            <w:top w:w="0" w:type="dxa"/>
            <w:left w:w="108" w:type="dxa"/>
            <w:bottom w:w="0" w:type="dxa"/>
            <w:right w:w="108" w:type="dxa"/>
          </w:tblCellMar>
        </w:tblPrEx>
        <w:trPr>
          <w:trHeight w:val="288" w:hRule="atLeast"/>
          <w:jc w:val="center"/>
        </w:trPr>
        <w:tc>
          <w:tcPr>
            <w:tcW w:w="1500" w:type="dxa"/>
            <w:tcBorders>
              <w:top w:val="nil"/>
              <w:left w:val="single" w:color="auto" w:sz="4" w:space="0"/>
              <w:bottom w:val="single" w:color="auto" w:sz="4" w:space="0"/>
              <w:right w:val="single" w:color="auto" w:sz="4" w:space="0"/>
            </w:tcBorders>
            <w:shd w:val="clear" w:color="auto" w:fill="auto"/>
            <w:noWrap/>
            <w:vAlign w:val="center"/>
          </w:tcPr>
          <w:p w14:paraId="1C26D8DE">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牺牲阳极数量</w:t>
            </w:r>
          </w:p>
        </w:tc>
        <w:tc>
          <w:tcPr>
            <w:tcW w:w="960" w:type="dxa"/>
            <w:tcBorders>
              <w:top w:val="nil"/>
              <w:left w:val="nil"/>
              <w:bottom w:val="single" w:color="auto" w:sz="4" w:space="0"/>
              <w:right w:val="single" w:color="auto" w:sz="4" w:space="0"/>
            </w:tcBorders>
            <w:shd w:val="clear" w:color="auto" w:fill="auto"/>
            <w:noWrap/>
            <w:vAlign w:val="center"/>
          </w:tcPr>
          <w:p w14:paraId="195A6DCE">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9</w:t>
            </w:r>
          </w:p>
        </w:tc>
        <w:tc>
          <w:tcPr>
            <w:tcW w:w="960" w:type="dxa"/>
            <w:tcBorders>
              <w:top w:val="nil"/>
              <w:left w:val="nil"/>
              <w:bottom w:val="single" w:color="auto" w:sz="4" w:space="0"/>
              <w:right w:val="single" w:color="auto" w:sz="4" w:space="0"/>
            </w:tcBorders>
            <w:shd w:val="clear" w:color="auto" w:fill="auto"/>
            <w:noWrap/>
            <w:vAlign w:val="center"/>
          </w:tcPr>
          <w:p w14:paraId="3D33314E">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9</w:t>
            </w:r>
          </w:p>
        </w:tc>
        <w:tc>
          <w:tcPr>
            <w:tcW w:w="960" w:type="dxa"/>
            <w:tcBorders>
              <w:top w:val="nil"/>
              <w:left w:val="nil"/>
              <w:bottom w:val="single" w:color="auto" w:sz="4" w:space="0"/>
              <w:right w:val="single" w:color="auto" w:sz="4" w:space="0"/>
            </w:tcBorders>
            <w:shd w:val="clear" w:color="auto" w:fill="auto"/>
            <w:noWrap/>
            <w:vAlign w:val="center"/>
          </w:tcPr>
          <w:p w14:paraId="6FF76363">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9</w:t>
            </w:r>
          </w:p>
        </w:tc>
        <w:tc>
          <w:tcPr>
            <w:tcW w:w="960" w:type="dxa"/>
            <w:tcBorders>
              <w:top w:val="nil"/>
              <w:left w:val="nil"/>
              <w:bottom w:val="single" w:color="auto" w:sz="4" w:space="0"/>
              <w:right w:val="single" w:color="auto" w:sz="4" w:space="0"/>
            </w:tcBorders>
            <w:shd w:val="clear" w:color="auto" w:fill="auto"/>
            <w:noWrap/>
            <w:vAlign w:val="center"/>
          </w:tcPr>
          <w:p w14:paraId="00ACB5F2">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10</w:t>
            </w:r>
          </w:p>
        </w:tc>
        <w:tc>
          <w:tcPr>
            <w:tcW w:w="960" w:type="dxa"/>
            <w:tcBorders>
              <w:top w:val="nil"/>
              <w:left w:val="nil"/>
              <w:bottom w:val="single" w:color="auto" w:sz="4" w:space="0"/>
              <w:right w:val="single" w:color="auto" w:sz="4" w:space="0"/>
            </w:tcBorders>
            <w:shd w:val="clear" w:color="auto" w:fill="auto"/>
            <w:noWrap/>
            <w:vAlign w:val="center"/>
          </w:tcPr>
          <w:p w14:paraId="7CCCA475">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10</w:t>
            </w:r>
          </w:p>
        </w:tc>
        <w:tc>
          <w:tcPr>
            <w:tcW w:w="960" w:type="dxa"/>
            <w:tcBorders>
              <w:top w:val="nil"/>
              <w:left w:val="nil"/>
              <w:bottom w:val="single" w:color="auto" w:sz="4" w:space="0"/>
              <w:right w:val="single" w:color="auto" w:sz="4" w:space="0"/>
            </w:tcBorders>
            <w:shd w:val="clear" w:color="auto" w:fill="auto"/>
            <w:noWrap/>
            <w:vAlign w:val="center"/>
          </w:tcPr>
          <w:p w14:paraId="51CE0867">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11</w:t>
            </w:r>
          </w:p>
        </w:tc>
        <w:tc>
          <w:tcPr>
            <w:tcW w:w="960" w:type="dxa"/>
            <w:tcBorders>
              <w:top w:val="nil"/>
              <w:left w:val="nil"/>
              <w:bottom w:val="single" w:color="auto" w:sz="4" w:space="0"/>
              <w:right w:val="single" w:color="auto" w:sz="4" w:space="0"/>
            </w:tcBorders>
            <w:shd w:val="clear" w:color="auto" w:fill="auto"/>
            <w:noWrap/>
            <w:vAlign w:val="center"/>
          </w:tcPr>
          <w:p w14:paraId="68252C03">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10</w:t>
            </w:r>
          </w:p>
        </w:tc>
        <w:tc>
          <w:tcPr>
            <w:tcW w:w="960" w:type="dxa"/>
            <w:tcBorders>
              <w:top w:val="nil"/>
              <w:left w:val="nil"/>
              <w:bottom w:val="single" w:color="auto" w:sz="4" w:space="0"/>
              <w:right w:val="single" w:color="auto" w:sz="4" w:space="0"/>
            </w:tcBorders>
            <w:shd w:val="clear" w:color="auto" w:fill="auto"/>
            <w:noWrap/>
            <w:vAlign w:val="center"/>
          </w:tcPr>
          <w:p w14:paraId="75164BB3">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8</w:t>
            </w:r>
          </w:p>
        </w:tc>
      </w:tr>
      <w:tr w14:paraId="28AF1DAB">
        <w:tblPrEx>
          <w:tblCellMar>
            <w:top w:w="0" w:type="dxa"/>
            <w:left w:w="108" w:type="dxa"/>
            <w:bottom w:w="0" w:type="dxa"/>
            <w:right w:w="108" w:type="dxa"/>
          </w:tblCellMar>
        </w:tblPrEx>
        <w:trPr>
          <w:trHeight w:val="288" w:hRule="atLeast"/>
          <w:jc w:val="center"/>
        </w:trPr>
        <w:tc>
          <w:tcPr>
            <w:tcW w:w="1500" w:type="dxa"/>
            <w:tcBorders>
              <w:top w:val="nil"/>
              <w:left w:val="single" w:color="auto" w:sz="4" w:space="0"/>
              <w:bottom w:val="single" w:color="auto" w:sz="4" w:space="0"/>
              <w:right w:val="single" w:color="auto" w:sz="4" w:space="0"/>
            </w:tcBorders>
            <w:shd w:val="clear" w:color="auto" w:fill="auto"/>
            <w:noWrap/>
            <w:vAlign w:val="center"/>
          </w:tcPr>
          <w:p w14:paraId="37EAD3C5">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风机编号</w:t>
            </w:r>
          </w:p>
        </w:tc>
        <w:tc>
          <w:tcPr>
            <w:tcW w:w="960" w:type="dxa"/>
            <w:tcBorders>
              <w:top w:val="nil"/>
              <w:left w:val="nil"/>
              <w:bottom w:val="single" w:color="auto" w:sz="4" w:space="0"/>
              <w:right w:val="single" w:color="auto" w:sz="4" w:space="0"/>
            </w:tcBorders>
            <w:shd w:val="clear" w:color="auto" w:fill="auto"/>
            <w:noWrap/>
            <w:vAlign w:val="center"/>
          </w:tcPr>
          <w:p w14:paraId="46CB0FB2">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41#</w:t>
            </w:r>
          </w:p>
        </w:tc>
        <w:tc>
          <w:tcPr>
            <w:tcW w:w="960" w:type="dxa"/>
            <w:tcBorders>
              <w:top w:val="nil"/>
              <w:left w:val="nil"/>
              <w:bottom w:val="single" w:color="auto" w:sz="4" w:space="0"/>
              <w:right w:val="single" w:color="auto" w:sz="4" w:space="0"/>
            </w:tcBorders>
            <w:shd w:val="clear" w:color="auto" w:fill="auto"/>
            <w:noWrap/>
            <w:vAlign w:val="center"/>
          </w:tcPr>
          <w:p w14:paraId="7726056A">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42#</w:t>
            </w:r>
          </w:p>
        </w:tc>
        <w:tc>
          <w:tcPr>
            <w:tcW w:w="960" w:type="dxa"/>
            <w:tcBorders>
              <w:top w:val="nil"/>
              <w:left w:val="nil"/>
              <w:bottom w:val="single" w:color="auto" w:sz="4" w:space="0"/>
              <w:right w:val="single" w:color="auto" w:sz="4" w:space="0"/>
            </w:tcBorders>
            <w:shd w:val="clear" w:color="auto" w:fill="auto"/>
            <w:noWrap/>
            <w:vAlign w:val="center"/>
          </w:tcPr>
          <w:p w14:paraId="08AAA6FA">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43#</w:t>
            </w:r>
          </w:p>
        </w:tc>
        <w:tc>
          <w:tcPr>
            <w:tcW w:w="960" w:type="dxa"/>
            <w:tcBorders>
              <w:top w:val="nil"/>
              <w:left w:val="nil"/>
              <w:bottom w:val="single" w:color="auto" w:sz="4" w:space="0"/>
              <w:right w:val="single" w:color="auto" w:sz="4" w:space="0"/>
            </w:tcBorders>
            <w:shd w:val="clear" w:color="auto" w:fill="auto"/>
            <w:noWrap/>
            <w:vAlign w:val="center"/>
          </w:tcPr>
          <w:p w14:paraId="15D474DA">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44#</w:t>
            </w:r>
          </w:p>
        </w:tc>
        <w:tc>
          <w:tcPr>
            <w:tcW w:w="960" w:type="dxa"/>
            <w:tcBorders>
              <w:top w:val="nil"/>
              <w:left w:val="nil"/>
              <w:bottom w:val="single" w:color="auto" w:sz="4" w:space="0"/>
              <w:right w:val="single" w:color="auto" w:sz="4" w:space="0"/>
            </w:tcBorders>
            <w:shd w:val="clear" w:color="auto" w:fill="auto"/>
            <w:noWrap/>
            <w:vAlign w:val="center"/>
          </w:tcPr>
          <w:p w14:paraId="1293933C">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45#</w:t>
            </w:r>
          </w:p>
        </w:tc>
        <w:tc>
          <w:tcPr>
            <w:tcW w:w="960" w:type="dxa"/>
            <w:tcBorders>
              <w:top w:val="nil"/>
              <w:left w:val="nil"/>
              <w:bottom w:val="single" w:color="auto" w:sz="4" w:space="0"/>
              <w:right w:val="single" w:color="auto" w:sz="4" w:space="0"/>
            </w:tcBorders>
            <w:shd w:val="clear" w:color="auto" w:fill="auto"/>
            <w:noWrap/>
            <w:vAlign w:val="center"/>
          </w:tcPr>
          <w:p w14:paraId="42841593">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46#</w:t>
            </w:r>
          </w:p>
        </w:tc>
        <w:tc>
          <w:tcPr>
            <w:tcW w:w="960" w:type="dxa"/>
            <w:tcBorders>
              <w:top w:val="nil"/>
              <w:left w:val="nil"/>
              <w:bottom w:val="single" w:color="auto" w:sz="4" w:space="0"/>
              <w:right w:val="single" w:color="auto" w:sz="4" w:space="0"/>
            </w:tcBorders>
            <w:shd w:val="clear" w:color="auto" w:fill="auto"/>
            <w:noWrap/>
            <w:vAlign w:val="center"/>
          </w:tcPr>
          <w:p w14:paraId="603C8BC1">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47#</w:t>
            </w:r>
          </w:p>
        </w:tc>
        <w:tc>
          <w:tcPr>
            <w:tcW w:w="960" w:type="dxa"/>
            <w:tcBorders>
              <w:top w:val="nil"/>
              <w:left w:val="nil"/>
              <w:bottom w:val="single" w:color="auto" w:sz="4" w:space="0"/>
              <w:right w:val="single" w:color="auto" w:sz="4" w:space="0"/>
            </w:tcBorders>
            <w:shd w:val="clear" w:color="auto" w:fill="auto"/>
            <w:noWrap/>
            <w:vAlign w:val="center"/>
          </w:tcPr>
          <w:p w14:paraId="0DCA65C6">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48#</w:t>
            </w:r>
          </w:p>
        </w:tc>
      </w:tr>
      <w:tr w14:paraId="69444794">
        <w:tblPrEx>
          <w:tblCellMar>
            <w:top w:w="0" w:type="dxa"/>
            <w:left w:w="108" w:type="dxa"/>
            <w:bottom w:w="0" w:type="dxa"/>
            <w:right w:w="108" w:type="dxa"/>
          </w:tblCellMar>
        </w:tblPrEx>
        <w:trPr>
          <w:trHeight w:val="288" w:hRule="atLeast"/>
          <w:jc w:val="center"/>
        </w:trPr>
        <w:tc>
          <w:tcPr>
            <w:tcW w:w="1500" w:type="dxa"/>
            <w:tcBorders>
              <w:top w:val="nil"/>
              <w:left w:val="single" w:color="auto" w:sz="4" w:space="0"/>
              <w:bottom w:val="single" w:color="auto" w:sz="4" w:space="0"/>
              <w:right w:val="single" w:color="auto" w:sz="4" w:space="0"/>
            </w:tcBorders>
            <w:shd w:val="clear" w:color="auto" w:fill="auto"/>
            <w:noWrap/>
            <w:vAlign w:val="center"/>
          </w:tcPr>
          <w:p w14:paraId="61120090">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牺牲阳极数量</w:t>
            </w:r>
          </w:p>
        </w:tc>
        <w:tc>
          <w:tcPr>
            <w:tcW w:w="960" w:type="dxa"/>
            <w:tcBorders>
              <w:top w:val="nil"/>
              <w:left w:val="nil"/>
              <w:bottom w:val="single" w:color="auto" w:sz="4" w:space="0"/>
              <w:right w:val="single" w:color="auto" w:sz="4" w:space="0"/>
            </w:tcBorders>
            <w:shd w:val="clear" w:color="auto" w:fill="auto"/>
            <w:noWrap/>
            <w:vAlign w:val="center"/>
          </w:tcPr>
          <w:p w14:paraId="0AAC6D2E">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8</w:t>
            </w:r>
          </w:p>
        </w:tc>
        <w:tc>
          <w:tcPr>
            <w:tcW w:w="960" w:type="dxa"/>
            <w:tcBorders>
              <w:top w:val="nil"/>
              <w:left w:val="nil"/>
              <w:bottom w:val="single" w:color="auto" w:sz="4" w:space="0"/>
              <w:right w:val="single" w:color="auto" w:sz="4" w:space="0"/>
            </w:tcBorders>
            <w:shd w:val="clear" w:color="auto" w:fill="auto"/>
            <w:noWrap/>
            <w:vAlign w:val="center"/>
          </w:tcPr>
          <w:p w14:paraId="13E54186">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8</w:t>
            </w:r>
          </w:p>
        </w:tc>
        <w:tc>
          <w:tcPr>
            <w:tcW w:w="960" w:type="dxa"/>
            <w:tcBorders>
              <w:top w:val="nil"/>
              <w:left w:val="nil"/>
              <w:bottom w:val="single" w:color="auto" w:sz="4" w:space="0"/>
              <w:right w:val="single" w:color="auto" w:sz="4" w:space="0"/>
            </w:tcBorders>
            <w:shd w:val="clear" w:color="auto" w:fill="auto"/>
            <w:noWrap/>
            <w:vAlign w:val="center"/>
          </w:tcPr>
          <w:p w14:paraId="5D0F73EA">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8</w:t>
            </w:r>
          </w:p>
        </w:tc>
        <w:tc>
          <w:tcPr>
            <w:tcW w:w="960" w:type="dxa"/>
            <w:tcBorders>
              <w:top w:val="nil"/>
              <w:left w:val="nil"/>
              <w:bottom w:val="single" w:color="auto" w:sz="4" w:space="0"/>
              <w:right w:val="single" w:color="auto" w:sz="4" w:space="0"/>
            </w:tcBorders>
            <w:shd w:val="clear" w:color="auto" w:fill="auto"/>
            <w:noWrap/>
            <w:vAlign w:val="center"/>
          </w:tcPr>
          <w:p w14:paraId="34DEC7BA">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8</w:t>
            </w:r>
          </w:p>
        </w:tc>
        <w:tc>
          <w:tcPr>
            <w:tcW w:w="960" w:type="dxa"/>
            <w:tcBorders>
              <w:top w:val="nil"/>
              <w:left w:val="nil"/>
              <w:bottom w:val="single" w:color="auto" w:sz="4" w:space="0"/>
              <w:right w:val="single" w:color="auto" w:sz="4" w:space="0"/>
            </w:tcBorders>
            <w:shd w:val="clear" w:color="auto" w:fill="auto"/>
            <w:noWrap/>
            <w:vAlign w:val="center"/>
          </w:tcPr>
          <w:p w14:paraId="61A0FDBD">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8</w:t>
            </w:r>
          </w:p>
        </w:tc>
        <w:tc>
          <w:tcPr>
            <w:tcW w:w="960" w:type="dxa"/>
            <w:tcBorders>
              <w:top w:val="nil"/>
              <w:left w:val="nil"/>
              <w:bottom w:val="single" w:color="auto" w:sz="4" w:space="0"/>
              <w:right w:val="single" w:color="auto" w:sz="4" w:space="0"/>
            </w:tcBorders>
            <w:shd w:val="clear" w:color="auto" w:fill="auto"/>
            <w:noWrap/>
            <w:vAlign w:val="center"/>
          </w:tcPr>
          <w:p w14:paraId="78332D53">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8</w:t>
            </w:r>
          </w:p>
        </w:tc>
        <w:tc>
          <w:tcPr>
            <w:tcW w:w="960" w:type="dxa"/>
            <w:tcBorders>
              <w:top w:val="nil"/>
              <w:left w:val="nil"/>
              <w:bottom w:val="single" w:color="auto" w:sz="4" w:space="0"/>
              <w:right w:val="single" w:color="auto" w:sz="4" w:space="0"/>
            </w:tcBorders>
            <w:shd w:val="clear" w:color="auto" w:fill="auto"/>
            <w:noWrap/>
            <w:vAlign w:val="center"/>
          </w:tcPr>
          <w:p w14:paraId="5E5EB80B">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8</w:t>
            </w:r>
          </w:p>
        </w:tc>
        <w:tc>
          <w:tcPr>
            <w:tcW w:w="960" w:type="dxa"/>
            <w:tcBorders>
              <w:top w:val="nil"/>
              <w:left w:val="nil"/>
              <w:bottom w:val="single" w:color="auto" w:sz="4" w:space="0"/>
              <w:right w:val="single" w:color="auto" w:sz="4" w:space="0"/>
            </w:tcBorders>
            <w:shd w:val="clear" w:color="auto" w:fill="auto"/>
            <w:noWrap/>
            <w:vAlign w:val="center"/>
          </w:tcPr>
          <w:p w14:paraId="72C7779A">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8</w:t>
            </w:r>
          </w:p>
        </w:tc>
      </w:tr>
      <w:tr w14:paraId="768E7FF7">
        <w:tblPrEx>
          <w:tblCellMar>
            <w:top w:w="0" w:type="dxa"/>
            <w:left w:w="108" w:type="dxa"/>
            <w:bottom w:w="0" w:type="dxa"/>
            <w:right w:w="108" w:type="dxa"/>
          </w:tblCellMar>
        </w:tblPrEx>
        <w:trPr>
          <w:trHeight w:val="288" w:hRule="atLeast"/>
          <w:jc w:val="center"/>
        </w:trPr>
        <w:tc>
          <w:tcPr>
            <w:tcW w:w="1500" w:type="dxa"/>
            <w:tcBorders>
              <w:top w:val="nil"/>
              <w:left w:val="single" w:color="auto" w:sz="4" w:space="0"/>
              <w:bottom w:val="single" w:color="auto" w:sz="4" w:space="0"/>
              <w:right w:val="single" w:color="auto" w:sz="4" w:space="0"/>
            </w:tcBorders>
            <w:shd w:val="clear" w:color="auto" w:fill="auto"/>
            <w:noWrap/>
            <w:vAlign w:val="center"/>
          </w:tcPr>
          <w:p w14:paraId="7B7AE3AF">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风机编号</w:t>
            </w:r>
          </w:p>
        </w:tc>
        <w:tc>
          <w:tcPr>
            <w:tcW w:w="960" w:type="dxa"/>
            <w:tcBorders>
              <w:top w:val="nil"/>
              <w:left w:val="nil"/>
              <w:bottom w:val="single" w:color="auto" w:sz="4" w:space="0"/>
              <w:right w:val="single" w:color="auto" w:sz="4" w:space="0"/>
            </w:tcBorders>
            <w:shd w:val="clear" w:color="auto" w:fill="auto"/>
            <w:noWrap/>
            <w:vAlign w:val="center"/>
          </w:tcPr>
          <w:p w14:paraId="347DB87F">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49#</w:t>
            </w:r>
          </w:p>
        </w:tc>
        <w:tc>
          <w:tcPr>
            <w:tcW w:w="960" w:type="dxa"/>
            <w:tcBorders>
              <w:top w:val="nil"/>
              <w:left w:val="nil"/>
              <w:bottom w:val="single" w:color="auto" w:sz="4" w:space="0"/>
              <w:right w:val="single" w:color="auto" w:sz="4" w:space="0"/>
            </w:tcBorders>
            <w:shd w:val="clear" w:color="auto" w:fill="auto"/>
            <w:noWrap/>
            <w:vAlign w:val="center"/>
          </w:tcPr>
          <w:p w14:paraId="561BA6CB">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50#</w:t>
            </w:r>
          </w:p>
        </w:tc>
        <w:tc>
          <w:tcPr>
            <w:tcW w:w="960" w:type="dxa"/>
            <w:tcBorders>
              <w:top w:val="nil"/>
              <w:left w:val="nil"/>
              <w:bottom w:val="single" w:color="auto" w:sz="4" w:space="0"/>
              <w:right w:val="single" w:color="auto" w:sz="4" w:space="0"/>
            </w:tcBorders>
            <w:shd w:val="clear" w:color="auto" w:fill="auto"/>
            <w:noWrap/>
            <w:vAlign w:val="center"/>
          </w:tcPr>
          <w:p w14:paraId="7DDA9E99">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51#</w:t>
            </w:r>
          </w:p>
        </w:tc>
        <w:tc>
          <w:tcPr>
            <w:tcW w:w="960" w:type="dxa"/>
            <w:tcBorders>
              <w:top w:val="nil"/>
              <w:left w:val="nil"/>
              <w:bottom w:val="single" w:color="auto" w:sz="4" w:space="0"/>
              <w:right w:val="single" w:color="auto" w:sz="4" w:space="0"/>
            </w:tcBorders>
            <w:shd w:val="clear" w:color="auto" w:fill="auto"/>
            <w:noWrap/>
            <w:vAlign w:val="center"/>
          </w:tcPr>
          <w:p w14:paraId="47034027">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52#</w:t>
            </w:r>
          </w:p>
        </w:tc>
        <w:tc>
          <w:tcPr>
            <w:tcW w:w="960" w:type="dxa"/>
            <w:tcBorders>
              <w:top w:val="nil"/>
              <w:left w:val="nil"/>
              <w:bottom w:val="single" w:color="auto" w:sz="4" w:space="0"/>
              <w:right w:val="single" w:color="auto" w:sz="4" w:space="0"/>
            </w:tcBorders>
            <w:shd w:val="clear" w:color="auto" w:fill="auto"/>
            <w:noWrap/>
            <w:vAlign w:val="center"/>
          </w:tcPr>
          <w:p w14:paraId="62C0F9A6">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53#</w:t>
            </w:r>
          </w:p>
        </w:tc>
        <w:tc>
          <w:tcPr>
            <w:tcW w:w="960" w:type="dxa"/>
            <w:tcBorders>
              <w:top w:val="nil"/>
              <w:left w:val="nil"/>
              <w:bottom w:val="single" w:color="auto" w:sz="4" w:space="0"/>
              <w:right w:val="single" w:color="auto" w:sz="4" w:space="0"/>
            </w:tcBorders>
            <w:shd w:val="clear" w:color="auto" w:fill="auto"/>
            <w:noWrap/>
            <w:vAlign w:val="center"/>
          </w:tcPr>
          <w:p w14:paraId="20363B36">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54#</w:t>
            </w:r>
          </w:p>
        </w:tc>
        <w:tc>
          <w:tcPr>
            <w:tcW w:w="960" w:type="dxa"/>
            <w:tcBorders>
              <w:top w:val="nil"/>
              <w:left w:val="nil"/>
              <w:bottom w:val="single" w:color="auto" w:sz="4" w:space="0"/>
              <w:right w:val="single" w:color="auto" w:sz="4" w:space="0"/>
            </w:tcBorders>
            <w:shd w:val="clear" w:color="auto" w:fill="auto"/>
            <w:noWrap/>
            <w:vAlign w:val="center"/>
          </w:tcPr>
          <w:p w14:paraId="5B8A3B4A">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55#</w:t>
            </w:r>
          </w:p>
        </w:tc>
        <w:tc>
          <w:tcPr>
            <w:tcW w:w="960" w:type="dxa"/>
            <w:tcBorders>
              <w:top w:val="nil"/>
              <w:left w:val="nil"/>
              <w:bottom w:val="single" w:color="auto" w:sz="4" w:space="0"/>
              <w:right w:val="single" w:color="auto" w:sz="4" w:space="0"/>
            </w:tcBorders>
            <w:shd w:val="clear" w:color="auto" w:fill="auto"/>
            <w:noWrap/>
            <w:vAlign w:val="center"/>
          </w:tcPr>
          <w:p w14:paraId="61117A52">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56#</w:t>
            </w:r>
          </w:p>
        </w:tc>
      </w:tr>
      <w:tr w14:paraId="4A6A86C4">
        <w:tblPrEx>
          <w:tblCellMar>
            <w:top w:w="0" w:type="dxa"/>
            <w:left w:w="108" w:type="dxa"/>
            <w:bottom w:w="0" w:type="dxa"/>
            <w:right w:w="108" w:type="dxa"/>
          </w:tblCellMar>
        </w:tblPrEx>
        <w:trPr>
          <w:trHeight w:val="288" w:hRule="atLeast"/>
          <w:jc w:val="center"/>
        </w:trPr>
        <w:tc>
          <w:tcPr>
            <w:tcW w:w="1500" w:type="dxa"/>
            <w:tcBorders>
              <w:top w:val="nil"/>
              <w:left w:val="single" w:color="auto" w:sz="4" w:space="0"/>
              <w:bottom w:val="single" w:color="auto" w:sz="4" w:space="0"/>
              <w:right w:val="single" w:color="auto" w:sz="4" w:space="0"/>
            </w:tcBorders>
            <w:shd w:val="clear" w:color="auto" w:fill="auto"/>
            <w:noWrap/>
            <w:vAlign w:val="center"/>
          </w:tcPr>
          <w:p w14:paraId="53D02150">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牺牲阳极数量</w:t>
            </w:r>
          </w:p>
        </w:tc>
        <w:tc>
          <w:tcPr>
            <w:tcW w:w="960" w:type="dxa"/>
            <w:tcBorders>
              <w:top w:val="nil"/>
              <w:left w:val="nil"/>
              <w:bottom w:val="single" w:color="auto" w:sz="4" w:space="0"/>
              <w:right w:val="single" w:color="auto" w:sz="4" w:space="0"/>
            </w:tcBorders>
            <w:shd w:val="clear" w:color="auto" w:fill="auto"/>
            <w:noWrap/>
            <w:vAlign w:val="center"/>
          </w:tcPr>
          <w:p w14:paraId="729ADA31">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8</w:t>
            </w:r>
          </w:p>
        </w:tc>
        <w:tc>
          <w:tcPr>
            <w:tcW w:w="960" w:type="dxa"/>
            <w:tcBorders>
              <w:top w:val="nil"/>
              <w:left w:val="nil"/>
              <w:bottom w:val="single" w:color="auto" w:sz="4" w:space="0"/>
              <w:right w:val="single" w:color="auto" w:sz="4" w:space="0"/>
            </w:tcBorders>
            <w:shd w:val="clear" w:color="auto" w:fill="auto"/>
            <w:noWrap/>
            <w:vAlign w:val="center"/>
          </w:tcPr>
          <w:p w14:paraId="39B18BBA">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8</w:t>
            </w:r>
          </w:p>
        </w:tc>
        <w:tc>
          <w:tcPr>
            <w:tcW w:w="960" w:type="dxa"/>
            <w:tcBorders>
              <w:top w:val="nil"/>
              <w:left w:val="nil"/>
              <w:bottom w:val="single" w:color="auto" w:sz="4" w:space="0"/>
              <w:right w:val="single" w:color="auto" w:sz="4" w:space="0"/>
            </w:tcBorders>
            <w:shd w:val="clear" w:color="auto" w:fill="auto"/>
            <w:noWrap/>
            <w:vAlign w:val="center"/>
          </w:tcPr>
          <w:p w14:paraId="6B4A3735">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8</w:t>
            </w:r>
          </w:p>
        </w:tc>
        <w:tc>
          <w:tcPr>
            <w:tcW w:w="960" w:type="dxa"/>
            <w:tcBorders>
              <w:top w:val="nil"/>
              <w:left w:val="nil"/>
              <w:bottom w:val="single" w:color="auto" w:sz="4" w:space="0"/>
              <w:right w:val="single" w:color="auto" w:sz="4" w:space="0"/>
            </w:tcBorders>
            <w:shd w:val="clear" w:color="auto" w:fill="auto"/>
            <w:noWrap/>
            <w:vAlign w:val="center"/>
          </w:tcPr>
          <w:p w14:paraId="1934E7E3">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8</w:t>
            </w:r>
          </w:p>
        </w:tc>
        <w:tc>
          <w:tcPr>
            <w:tcW w:w="960" w:type="dxa"/>
            <w:tcBorders>
              <w:top w:val="nil"/>
              <w:left w:val="nil"/>
              <w:bottom w:val="single" w:color="auto" w:sz="4" w:space="0"/>
              <w:right w:val="single" w:color="auto" w:sz="4" w:space="0"/>
            </w:tcBorders>
            <w:shd w:val="clear" w:color="auto" w:fill="auto"/>
            <w:noWrap/>
            <w:vAlign w:val="center"/>
          </w:tcPr>
          <w:p w14:paraId="1DB0BE38">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8</w:t>
            </w:r>
          </w:p>
        </w:tc>
        <w:tc>
          <w:tcPr>
            <w:tcW w:w="960" w:type="dxa"/>
            <w:tcBorders>
              <w:top w:val="nil"/>
              <w:left w:val="nil"/>
              <w:bottom w:val="single" w:color="auto" w:sz="4" w:space="0"/>
              <w:right w:val="single" w:color="auto" w:sz="4" w:space="0"/>
            </w:tcBorders>
            <w:shd w:val="clear" w:color="auto" w:fill="auto"/>
            <w:noWrap/>
            <w:vAlign w:val="center"/>
          </w:tcPr>
          <w:p w14:paraId="207E1A26">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8</w:t>
            </w:r>
          </w:p>
        </w:tc>
        <w:tc>
          <w:tcPr>
            <w:tcW w:w="960" w:type="dxa"/>
            <w:tcBorders>
              <w:top w:val="nil"/>
              <w:left w:val="nil"/>
              <w:bottom w:val="single" w:color="auto" w:sz="4" w:space="0"/>
              <w:right w:val="single" w:color="auto" w:sz="4" w:space="0"/>
            </w:tcBorders>
            <w:shd w:val="clear" w:color="auto" w:fill="auto"/>
            <w:noWrap/>
            <w:vAlign w:val="center"/>
          </w:tcPr>
          <w:p w14:paraId="20BDF94D">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9</w:t>
            </w:r>
          </w:p>
        </w:tc>
        <w:tc>
          <w:tcPr>
            <w:tcW w:w="960" w:type="dxa"/>
            <w:tcBorders>
              <w:top w:val="nil"/>
              <w:left w:val="nil"/>
              <w:bottom w:val="single" w:color="auto" w:sz="4" w:space="0"/>
              <w:right w:val="single" w:color="auto" w:sz="4" w:space="0"/>
            </w:tcBorders>
            <w:shd w:val="clear" w:color="auto" w:fill="auto"/>
            <w:noWrap/>
            <w:vAlign w:val="center"/>
          </w:tcPr>
          <w:p w14:paraId="3311BC1E">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9</w:t>
            </w:r>
          </w:p>
        </w:tc>
      </w:tr>
      <w:tr w14:paraId="011347B8">
        <w:tblPrEx>
          <w:tblCellMar>
            <w:top w:w="0" w:type="dxa"/>
            <w:left w:w="108" w:type="dxa"/>
            <w:bottom w:w="0" w:type="dxa"/>
            <w:right w:w="108" w:type="dxa"/>
          </w:tblCellMar>
        </w:tblPrEx>
        <w:trPr>
          <w:trHeight w:val="288" w:hRule="atLeast"/>
          <w:jc w:val="center"/>
        </w:trPr>
        <w:tc>
          <w:tcPr>
            <w:tcW w:w="1500" w:type="dxa"/>
            <w:tcBorders>
              <w:top w:val="nil"/>
              <w:left w:val="single" w:color="auto" w:sz="4" w:space="0"/>
              <w:bottom w:val="single" w:color="auto" w:sz="4" w:space="0"/>
              <w:right w:val="single" w:color="auto" w:sz="4" w:space="0"/>
            </w:tcBorders>
            <w:shd w:val="clear" w:color="auto" w:fill="auto"/>
            <w:noWrap/>
            <w:vAlign w:val="center"/>
          </w:tcPr>
          <w:p w14:paraId="73C0EC0F">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风机编号</w:t>
            </w:r>
          </w:p>
        </w:tc>
        <w:tc>
          <w:tcPr>
            <w:tcW w:w="960" w:type="dxa"/>
            <w:tcBorders>
              <w:top w:val="nil"/>
              <w:left w:val="nil"/>
              <w:bottom w:val="single" w:color="auto" w:sz="4" w:space="0"/>
              <w:right w:val="single" w:color="auto" w:sz="4" w:space="0"/>
            </w:tcBorders>
            <w:shd w:val="clear" w:color="auto" w:fill="auto"/>
            <w:noWrap/>
            <w:vAlign w:val="center"/>
          </w:tcPr>
          <w:p w14:paraId="4B2CFA01">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57#</w:t>
            </w:r>
          </w:p>
        </w:tc>
        <w:tc>
          <w:tcPr>
            <w:tcW w:w="960" w:type="dxa"/>
            <w:tcBorders>
              <w:top w:val="nil"/>
              <w:left w:val="nil"/>
              <w:bottom w:val="single" w:color="auto" w:sz="4" w:space="0"/>
              <w:right w:val="single" w:color="auto" w:sz="4" w:space="0"/>
            </w:tcBorders>
            <w:shd w:val="clear" w:color="auto" w:fill="auto"/>
            <w:noWrap/>
            <w:vAlign w:val="center"/>
          </w:tcPr>
          <w:p w14:paraId="177FCA43">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58#</w:t>
            </w:r>
          </w:p>
        </w:tc>
        <w:tc>
          <w:tcPr>
            <w:tcW w:w="960" w:type="dxa"/>
            <w:tcBorders>
              <w:top w:val="nil"/>
              <w:left w:val="nil"/>
              <w:bottom w:val="single" w:color="auto" w:sz="4" w:space="0"/>
              <w:right w:val="single" w:color="auto" w:sz="4" w:space="0"/>
            </w:tcBorders>
            <w:shd w:val="clear" w:color="auto" w:fill="auto"/>
            <w:noWrap/>
            <w:vAlign w:val="center"/>
          </w:tcPr>
          <w:p w14:paraId="1C7F3446">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59#</w:t>
            </w:r>
          </w:p>
        </w:tc>
        <w:tc>
          <w:tcPr>
            <w:tcW w:w="960" w:type="dxa"/>
            <w:tcBorders>
              <w:top w:val="nil"/>
              <w:left w:val="nil"/>
              <w:bottom w:val="single" w:color="auto" w:sz="4" w:space="0"/>
              <w:right w:val="single" w:color="auto" w:sz="4" w:space="0"/>
            </w:tcBorders>
            <w:shd w:val="clear" w:color="auto" w:fill="auto"/>
            <w:noWrap/>
            <w:vAlign w:val="center"/>
          </w:tcPr>
          <w:p w14:paraId="5705234A">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60#</w:t>
            </w:r>
          </w:p>
        </w:tc>
        <w:tc>
          <w:tcPr>
            <w:tcW w:w="960" w:type="dxa"/>
            <w:tcBorders>
              <w:top w:val="nil"/>
              <w:left w:val="nil"/>
              <w:bottom w:val="single" w:color="auto" w:sz="4" w:space="0"/>
              <w:right w:val="single" w:color="auto" w:sz="4" w:space="0"/>
            </w:tcBorders>
            <w:shd w:val="clear" w:color="auto" w:fill="auto"/>
            <w:noWrap/>
            <w:vAlign w:val="center"/>
          </w:tcPr>
          <w:p w14:paraId="7B27C11F">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61#</w:t>
            </w:r>
          </w:p>
        </w:tc>
        <w:tc>
          <w:tcPr>
            <w:tcW w:w="960" w:type="dxa"/>
            <w:tcBorders>
              <w:top w:val="nil"/>
              <w:left w:val="nil"/>
              <w:bottom w:val="single" w:color="auto" w:sz="4" w:space="0"/>
              <w:right w:val="single" w:color="auto" w:sz="4" w:space="0"/>
            </w:tcBorders>
            <w:shd w:val="clear" w:color="auto" w:fill="auto"/>
            <w:noWrap/>
            <w:vAlign w:val="center"/>
          </w:tcPr>
          <w:p w14:paraId="3F28AA0A">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62#</w:t>
            </w:r>
          </w:p>
        </w:tc>
        <w:tc>
          <w:tcPr>
            <w:tcW w:w="960" w:type="dxa"/>
            <w:tcBorders>
              <w:top w:val="nil"/>
              <w:left w:val="nil"/>
              <w:bottom w:val="single" w:color="auto" w:sz="4" w:space="0"/>
              <w:right w:val="single" w:color="auto" w:sz="4" w:space="0"/>
            </w:tcBorders>
            <w:shd w:val="clear" w:color="auto" w:fill="auto"/>
            <w:noWrap/>
            <w:vAlign w:val="center"/>
          </w:tcPr>
          <w:p w14:paraId="16100B24">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63#</w:t>
            </w:r>
          </w:p>
        </w:tc>
        <w:tc>
          <w:tcPr>
            <w:tcW w:w="960" w:type="dxa"/>
            <w:tcBorders>
              <w:top w:val="nil"/>
              <w:left w:val="nil"/>
              <w:bottom w:val="single" w:color="auto" w:sz="4" w:space="0"/>
              <w:right w:val="single" w:color="auto" w:sz="4" w:space="0"/>
            </w:tcBorders>
            <w:shd w:val="clear" w:color="auto" w:fill="auto"/>
            <w:noWrap/>
            <w:vAlign w:val="center"/>
          </w:tcPr>
          <w:p w14:paraId="00881ED3">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64#</w:t>
            </w:r>
          </w:p>
        </w:tc>
      </w:tr>
      <w:tr w14:paraId="48A0F5D7">
        <w:tblPrEx>
          <w:tblCellMar>
            <w:top w:w="0" w:type="dxa"/>
            <w:left w:w="108" w:type="dxa"/>
            <w:bottom w:w="0" w:type="dxa"/>
            <w:right w:w="108" w:type="dxa"/>
          </w:tblCellMar>
        </w:tblPrEx>
        <w:trPr>
          <w:trHeight w:val="288" w:hRule="atLeast"/>
          <w:jc w:val="center"/>
        </w:trPr>
        <w:tc>
          <w:tcPr>
            <w:tcW w:w="1500" w:type="dxa"/>
            <w:tcBorders>
              <w:top w:val="nil"/>
              <w:left w:val="single" w:color="auto" w:sz="4" w:space="0"/>
              <w:bottom w:val="single" w:color="auto" w:sz="4" w:space="0"/>
              <w:right w:val="single" w:color="auto" w:sz="4" w:space="0"/>
            </w:tcBorders>
            <w:shd w:val="clear" w:color="auto" w:fill="auto"/>
            <w:noWrap/>
            <w:vAlign w:val="center"/>
          </w:tcPr>
          <w:p w14:paraId="5BB300C3">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牺牲阳极数量</w:t>
            </w:r>
          </w:p>
        </w:tc>
        <w:tc>
          <w:tcPr>
            <w:tcW w:w="960" w:type="dxa"/>
            <w:tcBorders>
              <w:top w:val="nil"/>
              <w:left w:val="nil"/>
              <w:bottom w:val="single" w:color="auto" w:sz="4" w:space="0"/>
              <w:right w:val="single" w:color="auto" w:sz="4" w:space="0"/>
            </w:tcBorders>
            <w:shd w:val="clear" w:color="auto" w:fill="auto"/>
            <w:noWrap/>
            <w:vAlign w:val="center"/>
          </w:tcPr>
          <w:p w14:paraId="7D31108A">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8</w:t>
            </w:r>
          </w:p>
        </w:tc>
        <w:tc>
          <w:tcPr>
            <w:tcW w:w="960" w:type="dxa"/>
            <w:tcBorders>
              <w:top w:val="nil"/>
              <w:left w:val="nil"/>
              <w:bottom w:val="single" w:color="auto" w:sz="4" w:space="0"/>
              <w:right w:val="single" w:color="auto" w:sz="4" w:space="0"/>
            </w:tcBorders>
            <w:shd w:val="clear" w:color="auto" w:fill="auto"/>
            <w:noWrap/>
            <w:vAlign w:val="center"/>
          </w:tcPr>
          <w:p w14:paraId="5E546B9A">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8</w:t>
            </w:r>
          </w:p>
        </w:tc>
        <w:tc>
          <w:tcPr>
            <w:tcW w:w="960" w:type="dxa"/>
            <w:tcBorders>
              <w:top w:val="nil"/>
              <w:left w:val="nil"/>
              <w:bottom w:val="single" w:color="auto" w:sz="4" w:space="0"/>
              <w:right w:val="single" w:color="auto" w:sz="4" w:space="0"/>
            </w:tcBorders>
            <w:shd w:val="clear" w:color="auto" w:fill="auto"/>
            <w:noWrap/>
            <w:vAlign w:val="center"/>
          </w:tcPr>
          <w:p w14:paraId="67B0DB51">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8</w:t>
            </w:r>
          </w:p>
        </w:tc>
        <w:tc>
          <w:tcPr>
            <w:tcW w:w="960" w:type="dxa"/>
            <w:tcBorders>
              <w:top w:val="nil"/>
              <w:left w:val="nil"/>
              <w:bottom w:val="single" w:color="auto" w:sz="4" w:space="0"/>
              <w:right w:val="single" w:color="auto" w:sz="4" w:space="0"/>
            </w:tcBorders>
            <w:shd w:val="clear" w:color="auto" w:fill="auto"/>
            <w:noWrap/>
            <w:vAlign w:val="center"/>
          </w:tcPr>
          <w:p w14:paraId="06DAB39B">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8</w:t>
            </w:r>
          </w:p>
        </w:tc>
        <w:tc>
          <w:tcPr>
            <w:tcW w:w="960" w:type="dxa"/>
            <w:tcBorders>
              <w:top w:val="nil"/>
              <w:left w:val="nil"/>
              <w:bottom w:val="single" w:color="auto" w:sz="4" w:space="0"/>
              <w:right w:val="single" w:color="auto" w:sz="4" w:space="0"/>
            </w:tcBorders>
            <w:shd w:val="clear" w:color="auto" w:fill="auto"/>
            <w:noWrap/>
            <w:vAlign w:val="center"/>
          </w:tcPr>
          <w:p w14:paraId="0F28FA7B">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8</w:t>
            </w:r>
          </w:p>
        </w:tc>
        <w:tc>
          <w:tcPr>
            <w:tcW w:w="960" w:type="dxa"/>
            <w:tcBorders>
              <w:top w:val="nil"/>
              <w:left w:val="nil"/>
              <w:bottom w:val="single" w:color="auto" w:sz="4" w:space="0"/>
              <w:right w:val="single" w:color="auto" w:sz="4" w:space="0"/>
            </w:tcBorders>
            <w:shd w:val="clear" w:color="auto" w:fill="auto"/>
            <w:noWrap/>
            <w:vAlign w:val="center"/>
          </w:tcPr>
          <w:p w14:paraId="321E0ADD">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8</w:t>
            </w:r>
          </w:p>
        </w:tc>
        <w:tc>
          <w:tcPr>
            <w:tcW w:w="960" w:type="dxa"/>
            <w:tcBorders>
              <w:top w:val="nil"/>
              <w:left w:val="nil"/>
              <w:bottom w:val="single" w:color="auto" w:sz="4" w:space="0"/>
              <w:right w:val="single" w:color="auto" w:sz="4" w:space="0"/>
            </w:tcBorders>
            <w:shd w:val="clear" w:color="auto" w:fill="auto"/>
            <w:noWrap/>
            <w:vAlign w:val="center"/>
          </w:tcPr>
          <w:p w14:paraId="45939361">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8</w:t>
            </w:r>
          </w:p>
        </w:tc>
        <w:tc>
          <w:tcPr>
            <w:tcW w:w="960" w:type="dxa"/>
            <w:tcBorders>
              <w:top w:val="nil"/>
              <w:left w:val="nil"/>
              <w:bottom w:val="single" w:color="auto" w:sz="4" w:space="0"/>
              <w:right w:val="single" w:color="auto" w:sz="4" w:space="0"/>
            </w:tcBorders>
            <w:shd w:val="clear" w:color="auto" w:fill="auto"/>
            <w:noWrap/>
            <w:vAlign w:val="center"/>
          </w:tcPr>
          <w:p w14:paraId="4989DAF0">
            <w:pPr>
              <w:widowControl/>
              <w:jc w:val="center"/>
              <w:rPr>
                <w:rFonts w:hint="eastAsia" w:ascii="Times New Roman" w:hAnsi="Times New Roman" w:cs="Times New Roman"/>
                <w:color w:val="auto"/>
                <w:kern w:val="0"/>
                <w:sz w:val="21"/>
                <w:szCs w:val="21"/>
              </w:rPr>
            </w:pPr>
            <w:r>
              <w:rPr>
                <w:rFonts w:hint="eastAsia" w:ascii="Times New Roman" w:cs="Times New Roman"/>
                <w:color w:val="auto"/>
                <w:kern w:val="0"/>
                <w:sz w:val="21"/>
                <w:szCs w:val="21"/>
                <w:lang w:eastAsia="zh-CN"/>
              </w:rPr>
              <w:t>9</w:t>
            </w:r>
          </w:p>
        </w:tc>
      </w:tr>
      <w:tr w14:paraId="5667FCA0">
        <w:tblPrEx>
          <w:tblCellMar>
            <w:top w:w="0" w:type="dxa"/>
            <w:left w:w="108" w:type="dxa"/>
            <w:bottom w:w="0" w:type="dxa"/>
            <w:right w:w="108" w:type="dxa"/>
          </w:tblCellMar>
        </w:tblPrEx>
        <w:trPr>
          <w:trHeight w:val="288" w:hRule="atLeast"/>
          <w:jc w:val="center"/>
        </w:trPr>
        <w:tc>
          <w:tcPr>
            <w:tcW w:w="1500" w:type="dxa"/>
            <w:tcBorders>
              <w:top w:val="nil"/>
              <w:left w:val="single" w:color="auto" w:sz="4" w:space="0"/>
              <w:bottom w:val="single" w:color="auto" w:sz="4" w:space="0"/>
              <w:right w:val="single" w:color="auto" w:sz="4" w:space="0"/>
            </w:tcBorders>
            <w:shd w:val="clear" w:color="auto" w:fill="auto"/>
            <w:noWrap/>
            <w:vAlign w:val="center"/>
          </w:tcPr>
          <w:p w14:paraId="62040BF9">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风机编号</w:t>
            </w:r>
          </w:p>
        </w:tc>
        <w:tc>
          <w:tcPr>
            <w:tcW w:w="960" w:type="dxa"/>
            <w:tcBorders>
              <w:top w:val="nil"/>
              <w:left w:val="nil"/>
              <w:bottom w:val="single" w:color="auto" w:sz="4" w:space="0"/>
              <w:right w:val="single" w:color="auto" w:sz="4" w:space="0"/>
            </w:tcBorders>
            <w:shd w:val="clear" w:color="auto" w:fill="auto"/>
            <w:noWrap/>
            <w:vAlign w:val="center"/>
          </w:tcPr>
          <w:p w14:paraId="504C4B9D">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65#</w:t>
            </w:r>
          </w:p>
        </w:tc>
        <w:tc>
          <w:tcPr>
            <w:tcW w:w="960" w:type="dxa"/>
            <w:tcBorders>
              <w:top w:val="nil"/>
              <w:left w:val="nil"/>
              <w:bottom w:val="single" w:color="auto" w:sz="4" w:space="0"/>
              <w:right w:val="single" w:color="auto" w:sz="4" w:space="0"/>
            </w:tcBorders>
            <w:shd w:val="clear" w:color="auto" w:fill="auto"/>
            <w:noWrap/>
            <w:vAlign w:val="center"/>
          </w:tcPr>
          <w:p w14:paraId="19FD9F0D">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66#</w:t>
            </w:r>
          </w:p>
        </w:tc>
        <w:tc>
          <w:tcPr>
            <w:tcW w:w="960" w:type="dxa"/>
            <w:tcBorders>
              <w:top w:val="nil"/>
              <w:left w:val="nil"/>
              <w:bottom w:val="single" w:color="auto" w:sz="4" w:space="0"/>
              <w:right w:val="single" w:color="auto" w:sz="4" w:space="0"/>
            </w:tcBorders>
            <w:shd w:val="clear" w:color="auto" w:fill="auto"/>
            <w:noWrap/>
            <w:vAlign w:val="center"/>
          </w:tcPr>
          <w:p w14:paraId="31CB8778">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67#</w:t>
            </w:r>
          </w:p>
        </w:tc>
        <w:tc>
          <w:tcPr>
            <w:tcW w:w="960" w:type="dxa"/>
            <w:tcBorders>
              <w:top w:val="nil"/>
              <w:left w:val="nil"/>
              <w:bottom w:val="single" w:color="auto" w:sz="4" w:space="0"/>
              <w:right w:val="single" w:color="auto" w:sz="4" w:space="0"/>
            </w:tcBorders>
            <w:shd w:val="clear" w:color="auto" w:fill="auto"/>
            <w:noWrap/>
            <w:vAlign w:val="center"/>
          </w:tcPr>
          <w:p w14:paraId="6818E6F3">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c>
          <w:tcPr>
            <w:tcW w:w="960" w:type="dxa"/>
            <w:tcBorders>
              <w:top w:val="nil"/>
              <w:left w:val="nil"/>
              <w:bottom w:val="single" w:color="auto" w:sz="4" w:space="0"/>
              <w:right w:val="single" w:color="auto" w:sz="4" w:space="0"/>
            </w:tcBorders>
            <w:shd w:val="clear" w:color="auto" w:fill="auto"/>
            <w:noWrap/>
            <w:vAlign w:val="center"/>
          </w:tcPr>
          <w:p w14:paraId="1E60E8BF">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c>
          <w:tcPr>
            <w:tcW w:w="960" w:type="dxa"/>
            <w:tcBorders>
              <w:top w:val="nil"/>
              <w:left w:val="nil"/>
              <w:bottom w:val="single" w:color="auto" w:sz="4" w:space="0"/>
              <w:right w:val="single" w:color="auto" w:sz="4" w:space="0"/>
            </w:tcBorders>
            <w:shd w:val="clear" w:color="auto" w:fill="auto"/>
            <w:noWrap/>
            <w:vAlign w:val="center"/>
          </w:tcPr>
          <w:p w14:paraId="06CDB385">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c>
          <w:tcPr>
            <w:tcW w:w="960" w:type="dxa"/>
            <w:tcBorders>
              <w:top w:val="nil"/>
              <w:left w:val="nil"/>
              <w:bottom w:val="single" w:color="auto" w:sz="4" w:space="0"/>
              <w:right w:val="single" w:color="auto" w:sz="4" w:space="0"/>
            </w:tcBorders>
            <w:shd w:val="clear" w:color="auto" w:fill="auto"/>
            <w:noWrap/>
            <w:vAlign w:val="center"/>
          </w:tcPr>
          <w:p w14:paraId="1C6C9769">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c>
          <w:tcPr>
            <w:tcW w:w="960" w:type="dxa"/>
            <w:tcBorders>
              <w:top w:val="nil"/>
              <w:left w:val="nil"/>
              <w:bottom w:val="single" w:color="auto" w:sz="4" w:space="0"/>
              <w:right w:val="single" w:color="auto" w:sz="4" w:space="0"/>
            </w:tcBorders>
            <w:shd w:val="clear" w:color="auto" w:fill="auto"/>
            <w:noWrap/>
            <w:vAlign w:val="center"/>
          </w:tcPr>
          <w:p w14:paraId="0CF9636D">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r>
      <w:tr w14:paraId="657B0A45">
        <w:tblPrEx>
          <w:tblCellMar>
            <w:top w:w="0" w:type="dxa"/>
            <w:left w:w="108" w:type="dxa"/>
            <w:bottom w:w="0" w:type="dxa"/>
            <w:right w:w="108" w:type="dxa"/>
          </w:tblCellMar>
        </w:tblPrEx>
        <w:trPr>
          <w:trHeight w:val="288" w:hRule="atLeast"/>
          <w:jc w:val="center"/>
        </w:trPr>
        <w:tc>
          <w:tcPr>
            <w:tcW w:w="1500" w:type="dxa"/>
            <w:tcBorders>
              <w:top w:val="nil"/>
              <w:left w:val="single" w:color="auto" w:sz="4" w:space="0"/>
              <w:bottom w:val="single" w:color="auto" w:sz="4" w:space="0"/>
              <w:right w:val="single" w:color="auto" w:sz="4" w:space="0"/>
            </w:tcBorders>
            <w:shd w:val="clear" w:color="auto" w:fill="auto"/>
            <w:noWrap/>
            <w:vAlign w:val="center"/>
          </w:tcPr>
          <w:p w14:paraId="6E537085">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牺牲阳极数量</w:t>
            </w:r>
          </w:p>
        </w:tc>
        <w:tc>
          <w:tcPr>
            <w:tcW w:w="960" w:type="dxa"/>
            <w:tcBorders>
              <w:top w:val="nil"/>
              <w:left w:val="nil"/>
              <w:bottom w:val="single" w:color="auto" w:sz="4" w:space="0"/>
              <w:right w:val="single" w:color="auto" w:sz="4" w:space="0"/>
            </w:tcBorders>
            <w:shd w:val="clear" w:color="auto" w:fill="auto"/>
            <w:noWrap/>
            <w:vAlign w:val="center"/>
          </w:tcPr>
          <w:p w14:paraId="12109BD3">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10</w:t>
            </w:r>
          </w:p>
        </w:tc>
        <w:tc>
          <w:tcPr>
            <w:tcW w:w="960" w:type="dxa"/>
            <w:tcBorders>
              <w:top w:val="nil"/>
              <w:left w:val="nil"/>
              <w:bottom w:val="single" w:color="auto" w:sz="4" w:space="0"/>
              <w:right w:val="single" w:color="auto" w:sz="4" w:space="0"/>
            </w:tcBorders>
            <w:shd w:val="clear" w:color="auto" w:fill="auto"/>
            <w:noWrap/>
            <w:vAlign w:val="center"/>
          </w:tcPr>
          <w:p w14:paraId="2236AAB9">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10</w:t>
            </w:r>
          </w:p>
        </w:tc>
        <w:tc>
          <w:tcPr>
            <w:tcW w:w="960" w:type="dxa"/>
            <w:tcBorders>
              <w:top w:val="nil"/>
              <w:left w:val="nil"/>
              <w:bottom w:val="single" w:color="auto" w:sz="4" w:space="0"/>
              <w:right w:val="single" w:color="auto" w:sz="4" w:space="0"/>
            </w:tcBorders>
            <w:shd w:val="clear" w:color="auto" w:fill="auto"/>
            <w:noWrap/>
            <w:vAlign w:val="center"/>
          </w:tcPr>
          <w:p w14:paraId="2640301C">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10</w:t>
            </w:r>
          </w:p>
        </w:tc>
        <w:tc>
          <w:tcPr>
            <w:tcW w:w="960" w:type="dxa"/>
            <w:tcBorders>
              <w:top w:val="nil"/>
              <w:left w:val="nil"/>
              <w:bottom w:val="single" w:color="auto" w:sz="4" w:space="0"/>
              <w:right w:val="single" w:color="auto" w:sz="4" w:space="0"/>
            </w:tcBorders>
            <w:shd w:val="clear" w:color="auto" w:fill="auto"/>
            <w:noWrap/>
            <w:vAlign w:val="center"/>
          </w:tcPr>
          <w:p w14:paraId="07825ECB">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c>
          <w:tcPr>
            <w:tcW w:w="960" w:type="dxa"/>
            <w:tcBorders>
              <w:top w:val="nil"/>
              <w:left w:val="nil"/>
              <w:bottom w:val="single" w:color="auto" w:sz="4" w:space="0"/>
              <w:right w:val="single" w:color="auto" w:sz="4" w:space="0"/>
            </w:tcBorders>
            <w:shd w:val="clear" w:color="auto" w:fill="auto"/>
            <w:noWrap/>
            <w:vAlign w:val="center"/>
          </w:tcPr>
          <w:p w14:paraId="2F7B4333">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c>
          <w:tcPr>
            <w:tcW w:w="960" w:type="dxa"/>
            <w:tcBorders>
              <w:top w:val="nil"/>
              <w:left w:val="nil"/>
              <w:bottom w:val="single" w:color="auto" w:sz="4" w:space="0"/>
              <w:right w:val="single" w:color="auto" w:sz="4" w:space="0"/>
            </w:tcBorders>
            <w:shd w:val="clear" w:color="auto" w:fill="auto"/>
            <w:noWrap/>
            <w:vAlign w:val="center"/>
          </w:tcPr>
          <w:p w14:paraId="26CDD0DF">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c>
          <w:tcPr>
            <w:tcW w:w="960" w:type="dxa"/>
            <w:tcBorders>
              <w:top w:val="nil"/>
              <w:left w:val="nil"/>
              <w:bottom w:val="single" w:color="auto" w:sz="4" w:space="0"/>
              <w:right w:val="single" w:color="auto" w:sz="4" w:space="0"/>
            </w:tcBorders>
            <w:shd w:val="clear" w:color="auto" w:fill="auto"/>
            <w:noWrap/>
            <w:vAlign w:val="center"/>
          </w:tcPr>
          <w:p w14:paraId="40D2D095">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c>
          <w:tcPr>
            <w:tcW w:w="960" w:type="dxa"/>
            <w:tcBorders>
              <w:top w:val="nil"/>
              <w:left w:val="nil"/>
              <w:bottom w:val="single" w:color="auto" w:sz="4" w:space="0"/>
              <w:right w:val="single" w:color="auto" w:sz="4" w:space="0"/>
            </w:tcBorders>
            <w:shd w:val="clear" w:color="auto" w:fill="auto"/>
            <w:noWrap/>
            <w:vAlign w:val="center"/>
          </w:tcPr>
          <w:p w14:paraId="7298A83C">
            <w:pPr>
              <w:widowControl/>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　</w:t>
            </w:r>
          </w:p>
        </w:tc>
      </w:tr>
    </w:tbl>
    <w:p w14:paraId="1A261EB3">
      <w:pPr>
        <w:widowControl/>
        <w:jc w:val="left"/>
        <w:rPr>
          <w:rFonts w:hint="eastAsia" w:ascii="仿宋" w:hAnsi="仿宋" w:eastAsia="仿宋" w:cs="仿宋"/>
          <w:b/>
          <w:bCs/>
          <w:sz w:val="28"/>
          <w:szCs w:val="28"/>
        </w:rPr>
      </w:pPr>
      <w:bookmarkStart w:id="12" w:name="_Toc131102013"/>
      <w:r>
        <w:rPr>
          <w:rFonts w:ascii="仿宋" w:hAnsi="仿宋" w:eastAsia="仿宋" w:cs="仿宋"/>
          <w:b/>
          <w:bCs/>
          <w:sz w:val="28"/>
          <w:szCs w:val="28"/>
        </w:rPr>
        <w:t>3</w:t>
      </w:r>
      <w:r>
        <w:rPr>
          <w:rFonts w:hint="eastAsia" w:ascii="仿宋" w:hAnsi="仿宋" w:eastAsia="仿宋" w:cs="仿宋"/>
          <w:b/>
          <w:bCs/>
          <w:sz w:val="28"/>
          <w:szCs w:val="28"/>
        </w:rPr>
        <w:t>.2海上升压站</w:t>
      </w:r>
      <w:bookmarkEnd w:id="12"/>
      <w:r>
        <w:rPr>
          <w:rFonts w:hint="eastAsia" w:ascii="仿宋" w:hAnsi="仿宋" w:eastAsia="仿宋" w:cs="仿宋"/>
          <w:b/>
          <w:bCs/>
          <w:sz w:val="28"/>
          <w:szCs w:val="28"/>
        </w:rPr>
        <w:t>情况</w:t>
      </w:r>
    </w:p>
    <w:p w14:paraId="43748A06">
      <w:pPr>
        <w:spacing w:line="360"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海上升压站下部结构采用高桩承台结构，桩基采用钢管桩，共20根钢管桩，包括4根直径为2.0m的钢管和16根根直径为1.5m的钢管桩。</w:t>
      </w:r>
      <w:r>
        <w:rPr>
          <w:rFonts w:ascii="仿宋" w:hAnsi="仿宋" w:eastAsia="仿宋" w:cs="Times New Roman"/>
          <w:sz w:val="28"/>
          <w:szCs w:val="28"/>
        </w:rPr>
        <w:t>海上升压站共有牺牲阳极块</w:t>
      </w:r>
      <w:r>
        <w:rPr>
          <w:rFonts w:hint="eastAsia" w:ascii="仿宋" w:hAnsi="仿宋" w:eastAsia="仿宋" w:cs="Times New Roman"/>
          <w:color w:val="auto"/>
          <w:sz w:val="28"/>
          <w:szCs w:val="28"/>
        </w:rPr>
        <w:t>70</w:t>
      </w:r>
      <w:r>
        <w:rPr>
          <w:rFonts w:ascii="仿宋" w:hAnsi="仿宋" w:eastAsia="仿宋" w:cs="Times New Roman"/>
          <w:color w:val="auto"/>
          <w:sz w:val="28"/>
          <w:szCs w:val="28"/>
        </w:rPr>
        <w:t>块</w:t>
      </w:r>
      <w:r>
        <w:rPr>
          <w:rFonts w:ascii="仿宋" w:hAnsi="仿宋" w:eastAsia="仿宋" w:cs="Times New Roman"/>
          <w:sz w:val="28"/>
          <w:szCs w:val="28"/>
        </w:rPr>
        <w:t>。</w:t>
      </w:r>
    </w:p>
    <w:p w14:paraId="68DFEF94">
      <w:pPr>
        <w:widowControl/>
        <w:spacing w:before="60" w:after="60" w:line="360" w:lineRule="auto"/>
        <w:jc w:val="left"/>
        <w:rPr>
          <w:rFonts w:hint="eastAsia" w:ascii="仿宋" w:hAnsi="仿宋" w:eastAsia="仿宋"/>
          <w:b/>
          <w:sz w:val="28"/>
          <w:szCs w:val="28"/>
        </w:rPr>
      </w:pPr>
      <w:r>
        <w:rPr>
          <w:rFonts w:ascii="仿宋" w:hAnsi="仿宋" w:eastAsia="仿宋"/>
          <w:b/>
          <w:sz w:val="28"/>
          <w:szCs w:val="28"/>
        </w:rPr>
        <w:t>四</w:t>
      </w:r>
      <w:r>
        <w:rPr>
          <w:rFonts w:hint="eastAsia" w:ascii="仿宋" w:hAnsi="仿宋" w:eastAsia="仿宋"/>
          <w:b/>
          <w:sz w:val="28"/>
          <w:szCs w:val="28"/>
        </w:rPr>
        <w:t>、</w:t>
      </w:r>
      <w:r>
        <w:rPr>
          <w:rFonts w:ascii="仿宋" w:hAnsi="仿宋" w:eastAsia="仿宋"/>
          <w:b/>
          <w:sz w:val="28"/>
          <w:szCs w:val="28"/>
        </w:rPr>
        <w:t>基础防腐检测</w:t>
      </w:r>
      <w:r>
        <w:rPr>
          <w:rFonts w:hint="eastAsia" w:ascii="仿宋" w:hAnsi="仿宋" w:eastAsia="仿宋"/>
          <w:b/>
          <w:sz w:val="28"/>
          <w:szCs w:val="28"/>
        </w:rPr>
        <w:t>服务</w:t>
      </w:r>
      <w:r>
        <w:rPr>
          <w:rFonts w:ascii="仿宋" w:hAnsi="仿宋" w:eastAsia="仿宋"/>
          <w:b/>
          <w:sz w:val="28"/>
          <w:szCs w:val="28"/>
        </w:rPr>
        <w:t>工作内容（包括但不限于）：</w:t>
      </w:r>
    </w:p>
    <w:p w14:paraId="71F6F414">
      <w:pPr>
        <w:widowControl/>
        <w:spacing w:before="60" w:after="60" w:line="360" w:lineRule="auto"/>
        <w:jc w:val="left"/>
        <w:rPr>
          <w:rFonts w:hint="eastAsia" w:ascii="仿宋" w:hAnsi="仿宋" w:eastAsia="仿宋"/>
          <w:b/>
          <w:sz w:val="28"/>
          <w:szCs w:val="28"/>
        </w:rPr>
      </w:pPr>
      <w:r>
        <w:rPr>
          <w:rFonts w:ascii="仿宋" w:hAnsi="仿宋" w:eastAsia="仿宋"/>
          <w:b/>
          <w:sz w:val="28"/>
          <w:szCs w:val="28"/>
        </w:rPr>
        <w:t>4</w:t>
      </w:r>
      <w:r>
        <w:rPr>
          <w:rFonts w:hint="eastAsia" w:ascii="仿宋" w:hAnsi="仿宋" w:eastAsia="仿宋"/>
          <w:b/>
          <w:sz w:val="28"/>
          <w:szCs w:val="28"/>
        </w:rPr>
        <w:t>.1工程量清单</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635"/>
        <w:gridCol w:w="767"/>
        <w:gridCol w:w="851"/>
        <w:gridCol w:w="3458"/>
      </w:tblGrid>
      <w:tr w14:paraId="79E43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29FE9203">
            <w:pPr>
              <w:widowControl/>
              <w:spacing w:before="60" w:after="60" w:line="360" w:lineRule="auto"/>
              <w:jc w:val="center"/>
              <w:rPr>
                <w:rFonts w:hint="eastAsia" w:ascii="仿宋" w:hAnsi="仿宋" w:eastAsia="仿宋"/>
                <w:szCs w:val="21"/>
              </w:rPr>
            </w:pPr>
            <w:r>
              <w:rPr>
                <w:rFonts w:ascii="仿宋" w:hAnsi="仿宋" w:eastAsia="仿宋"/>
                <w:szCs w:val="21"/>
              </w:rPr>
              <w:t>序号</w:t>
            </w:r>
          </w:p>
        </w:tc>
        <w:tc>
          <w:tcPr>
            <w:tcW w:w="2635" w:type="dxa"/>
            <w:vAlign w:val="center"/>
          </w:tcPr>
          <w:p w14:paraId="2634428D">
            <w:pPr>
              <w:widowControl/>
              <w:spacing w:before="60" w:after="60" w:line="360" w:lineRule="auto"/>
              <w:jc w:val="center"/>
              <w:rPr>
                <w:rFonts w:hint="eastAsia" w:ascii="仿宋" w:hAnsi="仿宋" w:eastAsia="仿宋"/>
                <w:szCs w:val="21"/>
              </w:rPr>
            </w:pPr>
            <w:r>
              <w:rPr>
                <w:rFonts w:ascii="仿宋" w:hAnsi="仿宋" w:eastAsia="仿宋"/>
                <w:szCs w:val="21"/>
              </w:rPr>
              <w:t>工作内容</w:t>
            </w:r>
          </w:p>
        </w:tc>
        <w:tc>
          <w:tcPr>
            <w:tcW w:w="767" w:type="dxa"/>
            <w:vAlign w:val="center"/>
          </w:tcPr>
          <w:p w14:paraId="3DE9DD4F">
            <w:pPr>
              <w:widowControl/>
              <w:spacing w:before="60" w:after="60" w:line="360" w:lineRule="auto"/>
              <w:jc w:val="center"/>
              <w:rPr>
                <w:rFonts w:hint="eastAsia" w:ascii="仿宋" w:hAnsi="仿宋" w:eastAsia="仿宋"/>
                <w:szCs w:val="21"/>
              </w:rPr>
            </w:pPr>
            <w:r>
              <w:rPr>
                <w:rFonts w:ascii="仿宋" w:hAnsi="仿宋" w:eastAsia="仿宋"/>
                <w:szCs w:val="21"/>
              </w:rPr>
              <w:t>数量</w:t>
            </w:r>
          </w:p>
        </w:tc>
        <w:tc>
          <w:tcPr>
            <w:tcW w:w="851" w:type="dxa"/>
            <w:vAlign w:val="center"/>
          </w:tcPr>
          <w:p w14:paraId="4FDC017B">
            <w:pPr>
              <w:widowControl/>
              <w:spacing w:before="60" w:after="60" w:line="360" w:lineRule="auto"/>
              <w:jc w:val="center"/>
              <w:rPr>
                <w:rFonts w:hint="eastAsia" w:ascii="仿宋" w:hAnsi="仿宋" w:eastAsia="仿宋"/>
                <w:szCs w:val="21"/>
              </w:rPr>
            </w:pPr>
            <w:r>
              <w:rPr>
                <w:rFonts w:ascii="仿宋" w:hAnsi="仿宋" w:eastAsia="仿宋"/>
                <w:szCs w:val="21"/>
              </w:rPr>
              <w:t>单位</w:t>
            </w:r>
          </w:p>
        </w:tc>
        <w:tc>
          <w:tcPr>
            <w:tcW w:w="3458" w:type="dxa"/>
            <w:vAlign w:val="center"/>
          </w:tcPr>
          <w:p w14:paraId="4631A719">
            <w:pPr>
              <w:widowControl/>
              <w:spacing w:before="60" w:after="60" w:line="360" w:lineRule="auto"/>
              <w:jc w:val="center"/>
              <w:rPr>
                <w:rFonts w:hint="eastAsia" w:ascii="仿宋" w:hAnsi="仿宋" w:eastAsia="仿宋"/>
                <w:szCs w:val="21"/>
              </w:rPr>
            </w:pPr>
            <w:r>
              <w:rPr>
                <w:rFonts w:ascii="仿宋" w:hAnsi="仿宋" w:eastAsia="仿宋"/>
                <w:szCs w:val="21"/>
              </w:rPr>
              <w:t>备注</w:t>
            </w:r>
          </w:p>
        </w:tc>
      </w:tr>
      <w:tr w14:paraId="3931A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42C420CA">
            <w:pPr>
              <w:widowControl/>
              <w:spacing w:line="360" w:lineRule="auto"/>
              <w:jc w:val="center"/>
              <w:rPr>
                <w:rFonts w:hint="eastAsia" w:ascii="仿宋" w:hAnsi="仿宋" w:eastAsia="仿宋"/>
                <w:szCs w:val="21"/>
              </w:rPr>
            </w:pPr>
            <w:r>
              <w:rPr>
                <w:rFonts w:hint="eastAsia" w:ascii="仿宋" w:hAnsi="仿宋" w:eastAsia="仿宋"/>
                <w:szCs w:val="21"/>
              </w:rPr>
              <w:t>1</w:t>
            </w:r>
          </w:p>
        </w:tc>
        <w:tc>
          <w:tcPr>
            <w:tcW w:w="2635" w:type="dxa"/>
            <w:tcBorders>
              <w:top w:val="single" w:color="auto" w:sz="4" w:space="0"/>
              <w:left w:val="single" w:color="auto" w:sz="4" w:space="0"/>
              <w:bottom w:val="single" w:color="auto" w:sz="4" w:space="0"/>
              <w:right w:val="single" w:color="auto" w:sz="4" w:space="0"/>
            </w:tcBorders>
            <w:vAlign w:val="center"/>
          </w:tcPr>
          <w:p w14:paraId="792ABB9F">
            <w:pPr>
              <w:widowControl/>
              <w:jc w:val="center"/>
              <w:rPr>
                <w:rFonts w:hint="eastAsia" w:ascii="仿宋" w:hAnsi="仿宋" w:eastAsia="仿宋"/>
                <w:szCs w:val="21"/>
              </w:rPr>
            </w:pPr>
            <w:r>
              <w:rPr>
                <w:rFonts w:hint="eastAsia" w:ascii="仿宋" w:hAnsi="仿宋" w:eastAsia="仿宋"/>
                <w:szCs w:val="21"/>
              </w:rPr>
              <w:t>风机</w:t>
            </w:r>
            <w:r>
              <w:rPr>
                <w:rFonts w:ascii="仿宋" w:hAnsi="仿宋" w:eastAsia="仿宋"/>
                <w:szCs w:val="21"/>
              </w:rPr>
              <w:t>钢管桩水下外观检查及腐蚀量检测</w:t>
            </w:r>
          </w:p>
        </w:tc>
        <w:tc>
          <w:tcPr>
            <w:tcW w:w="767" w:type="dxa"/>
            <w:tcBorders>
              <w:top w:val="single" w:color="auto" w:sz="4" w:space="0"/>
              <w:left w:val="single" w:color="auto" w:sz="4" w:space="0"/>
              <w:bottom w:val="single" w:color="auto" w:sz="4" w:space="0"/>
              <w:right w:val="single" w:color="auto" w:sz="4" w:space="0"/>
            </w:tcBorders>
            <w:vAlign w:val="center"/>
          </w:tcPr>
          <w:p w14:paraId="776CC595">
            <w:pPr>
              <w:widowControl/>
              <w:jc w:val="center"/>
              <w:rPr>
                <w:rFonts w:hint="eastAsia" w:ascii="仿宋" w:hAnsi="仿宋" w:eastAsia="仿宋"/>
                <w:szCs w:val="21"/>
              </w:rPr>
            </w:pPr>
            <w:r>
              <w:rPr>
                <w:rFonts w:hint="eastAsia" w:ascii="仿宋" w:hAnsi="仿宋" w:eastAsia="仿宋"/>
                <w:szCs w:val="21"/>
              </w:rPr>
              <w:t>67</w:t>
            </w:r>
          </w:p>
        </w:tc>
        <w:tc>
          <w:tcPr>
            <w:tcW w:w="851" w:type="dxa"/>
            <w:tcBorders>
              <w:top w:val="single" w:color="auto" w:sz="4" w:space="0"/>
              <w:left w:val="single" w:color="auto" w:sz="4" w:space="0"/>
              <w:bottom w:val="single" w:color="auto" w:sz="4" w:space="0"/>
              <w:right w:val="single" w:color="auto" w:sz="4" w:space="0"/>
            </w:tcBorders>
            <w:vAlign w:val="center"/>
          </w:tcPr>
          <w:p w14:paraId="22E4EB07">
            <w:pPr>
              <w:widowControl/>
              <w:jc w:val="center"/>
              <w:rPr>
                <w:rFonts w:hint="eastAsia" w:ascii="仿宋" w:hAnsi="仿宋" w:eastAsia="仿宋"/>
                <w:szCs w:val="21"/>
              </w:rPr>
            </w:pPr>
            <w:r>
              <w:rPr>
                <w:rFonts w:hint="eastAsia" w:ascii="仿宋" w:hAnsi="仿宋" w:eastAsia="仿宋"/>
                <w:szCs w:val="21"/>
              </w:rPr>
              <w:t>台次</w:t>
            </w:r>
          </w:p>
        </w:tc>
        <w:tc>
          <w:tcPr>
            <w:tcW w:w="3458" w:type="dxa"/>
            <w:vAlign w:val="center"/>
          </w:tcPr>
          <w:p w14:paraId="431935CC">
            <w:pPr>
              <w:widowControl/>
              <w:jc w:val="left"/>
              <w:rPr>
                <w:rFonts w:hint="eastAsia" w:ascii="仿宋" w:hAnsi="仿宋" w:eastAsia="仿宋"/>
                <w:color w:val="FF0000"/>
                <w:szCs w:val="21"/>
                <w:lang w:eastAsia="zh-CN"/>
              </w:rPr>
            </w:pPr>
            <w:r>
              <w:rPr>
                <w:rFonts w:ascii="仿宋" w:hAnsi="仿宋" w:eastAsia="仿宋"/>
                <w:szCs w:val="21"/>
              </w:rPr>
              <w:t>风机八个方向（全浸区）各测2点厚度，每台共计16点</w:t>
            </w:r>
            <w:r>
              <w:rPr>
                <w:rFonts w:hint="eastAsia" w:ascii="仿宋" w:hAnsi="仿宋" w:eastAsia="仿宋"/>
                <w:szCs w:val="21"/>
                <w:lang w:eastAsia="zh-CN"/>
              </w:rPr>
              <w:t>。</w:t>
            </w:r>
          </w:p>
        </w:tc>
      </w:tr>
      <w:tr w14:paraId="7BF60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41CD5790">
            <w:pPr>
              <w:widowControl/>
              <w:spacing w:line="360" w:lineRule="auto"/>
              <w:jc w:val="center"/>
              <w:rPr>
                <w:rFonts w:hint="eastAsia" w:ascii="仿宋" w:hAnsi="仿宋" w:eastAsia="仿宋"/>
                <w:szCs w:val="21"/>
              </w:rPr>
            </w:pPr>
            <w:r>
              <w:rPr>
                <w:rFonts w:ascii="仿宋" w:hAnsi="仿宋" w:eastAsia="仿宋"/>
                <w:szCs w:val="21"/>
              </w:rPr>
              <w:t>2</w:t>
            </w:r>
          </w:p>
        </w:tc>
        <w:tc>
          <w:tcPr>
            <w:tcW w:w="2635" w:type="dxa"/>
            <w:tcBorders>
              <w:top w:val="single" w:color="auto" w:sz="4" w:space="0"/>
              <w:left w:val="single" w:color="auto" w:sz="4" w:space="0"/>
              <w:bottom w:val="single" w:color="auto" w:sz="4" w:space="0"/>
              <w:right w:val="single" w:color="auto" w:sz="4" w:space="0"/>
            </w:tcBorders>
            <w:vAlign w:val="center"/>
          </w:tcPr>
          <w:p w14:paraId="7DA4FC56">
            <w:pPr>
              <w:widowControl/>
              <w:jc w:val="center"/>
              <w:rPr>
                <w:rFonts w:hint="eastAsia" w:ascii="仿宋" w:hAnsi="仿宋" w:eastAsia="仿宋"/>
                <w:szCs w:val="21"/>
              </w:rPr>
            </w:pPr>
            <w:r>
              <w:rPr>
                <w:rFonts w:hint="eastAsia" w:ascii="仿宋" w:hAnsi="仿宋" w:eastAsia="仿宋"/>
                <w:szCs w:val="21"/>
              </w:rPr>
              <w:t>风机</w:t>
            </w:r>
            <w:r>
              <w:rPr>
                <w:rFonts w:ascii="仿宋" w:hAnsi="仿宋" w:eastAsia="仿宋"/>
                <w:szCs w:val="21"/>
              </w:rPr>
              <w:t>牺牲</w:t>
            </w:r>
            <w:r>
              <w:rPr>
                <w:rFonts w:hint="eastAsia" w:ascii="仿宋" w:hAnsi="仿宋" w:eastAsia="仿宋"/>
                <w:szCs w:val="21"/>
              </w:rPr>
              <w:t>阳极</w:t>
            </w:r>
            <w:r>
              <w:rPr>
                <w:rFonts w:ascii="仿宋" w:hAnsi="仿宋" w:eastAsia="仿宋"/>
                <w:szCs w:val="21"/>
              </w:rPr>
              <w:t>外观检查及消耗量检测</w:t>
            </w:r>
          </w:p>
        </w:tc>
        <w:tc>
          <w:tcPr>
            <w:tcW w:w="767" w:type="dxa"/>
            <w:tcBorders>
              <w:top w:val="single" w:color="auto" w:sz="4" w:space="0"/>
              <w:left w:val="single" w:color="auto" w:sz="4" w:space="0"/>
              <w:bottom w:val="single" w:color="auto" w:sz="4" w:space="0"/>
              <w:right w:val="single" w:color="auto" w:sz="4" w:space="0"/>
            </w:tcBorders>
            <w:vAlign w:val="center"/>
          </w:tcPr>
          <w:p w14:paraId="3D7164F4">
            <w:pPr>
              <w:widowControl/>
              <w:jc w:val="center"/>
              <w:rPr>
                <w:rFonts w:hint="eastAsia" w:ascii="仿宋" w:hAnsi="仿宋" w:eastAsia="仿宋"/>
                <w:szCs w:val="21"/>
              </w:rPr>
            </w:pPr>
            <w:r>
              <w:rPr>
                <w:rFonts w:hint="eastAsia" w:ascii="仿宋" w:hAnsi="仿宋" w:eastAsia="仿宋"/>
                <w:szCs w:val="21"/>
              </w:rPr>
              <w:t>67</w:t>
            </w:r>
          </w:p>
        </w:tc>
        <w:tc>
          <w:tcPr>
            <w:tcW w:w="851" w:type="dxa"/>
            <w:tcBorders>
              <w:top w:val="single" w:color="auto" w:sz="4" w:space="0"/>
              <w:left w:val="single" w:color="auto" w:sz="4" w:space="0"/>
              <w:bottom w:val="single" w:color="auto" w:sz="4" w:space="0"/>
              <w:right w:val="single" w:color="auto" w:sz="4" w:space="0"/>
            </w:tcBorders>
            <w:vAlign w:val="center"/>
          </w:tcPr>
          <w:p w14:paraId="423ACC44">
            <w:pPr>
              <w:widowControl/>
              <w:jc w:val="center"/>
              <w:rPr>
                <w:rFonts w:hint="eastAsia" w:ascii="仿宋" w:hAnsi="仿宋" w:eastAsia="仿宋"/>
                <w:szCs w:val="21"/>
              </w:rPr>
            </w:pPr>
            <w:r>
              <w:rPr>
                <w:rFonts w:hint="eastAsia" w:ascii="仿宋" w:hAnsi="仿宋" w:eastAsia="仿宋"/>
                <w:szCs w:val="21"/>
              </w:rPr>
              <w:t>台次</w:t>
            </w:r>
          </w:p>
        </w:tc>
        <w:tc>
          <w:tcPr>
            <w:tcW w:w="3458" w:type="dxa"/>
            <w:vAlign w:val="center"/>
          </w:tcPr>
          <w:p w14:paraId="64BB2E8F">
            <w:pPr>
              <w:widowControl/>
              <w:jc w:val="left"/>
              <w:rPr>
                <w:rFonts w:hint="eastAsia" w:ascii="仿宋" w:hAnsi="仿宋" w:eastAsia="仿宋"/>
                <w:color w:val="FF0000"/>
                <w:szCs w:val="21"/>
                <w:lang w:eastAsia="zh-CN"/>
              </w:rPr>
            </w:pPr>
            <w:r>
              <w:rPr>
                <w:rFonts w:ascii="仿宋" w:hAnsi="仿宋" w:eastAsia="仿宋"/>
                <w:szCs w:val="21"/>
              </w:rPr>
              <w:t>检查每台风机阳极块数量，选取其中4块检查外观并测量尺寸</w:t>
            </w:r>
            <w:r>
              <w:rPr>
                <w:rFonts w:hint="eastAsia" w:ascii="仿宋" w:hAnsi="仿宋" w:eastAsia="仿宋"/>
                <w:szCs w:val="21"/>
                <w:lang w:eastAsia="zh-CN"/>
              </w:rPr>
              <w:t>。</w:t>
            </w:r>
          </w:p>
        </w:tc>
      </w:tr>
      <w:tr w14:paraId="463C8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285DB150">
            <w:pPr>
              <w:widowControl/>
              <w:spacing w:line="360" w:lineRule="auto"/>
              <w:jc w:val="center"/>
              <w:rPr>
                <w:rFonts w:hint="eastAsia" w:ascii="仿宋" w:hAnsi="仿宋" w:eastAsia="仿宋"/>
                <w:szCs w:val="21"/>
              </w:rPr>
            </w:pPr>
            <w:r>
              <w:rPr>
                <w:rFonts w:hint="eastAsia" w:ascii="仿宋" w:hAnsi="仿宋" w:eastAsia="仿宋"/>
                <w:szCs w:val="21"/>
              </w:rPr>
              <w:t>3</w:t>
            </w:r>
          </w:p>
        </w:tc>
        <w:tc>
          <w:tcPr>
            <w:tcW w:w="2635" w:type="dxa"/>
            <w:tcBorders>
              <w:top w:val="single" w:color="auto" w:sz="4" w:space="0"/>
              <w:left w:val="single" w:color="auto" w:sz="4" w:space="0"/>
              <w:bottom w:val="single" w:color="auto" w:sz="4" w:space="0"/>
              <w:right w:val="single" w:color="auto" w:sz="4" w:space="0"/>
            </w:tcBorders>
            <w:vAlign w:val="center"/>
          </w:tcPr>
          <w:p w14:paraId="2D681A03">
            <w:pPr>
              <w:widowControl/>
              <w:jc w:val="center"/>
              <w:rPr>
                <w:rFonts w:hint="eastAsia" w:ascii="仿宋" w:hAnsi="仿宋" w:eastAsia="仿宋"/>
                <w:szCs w:val="21"/>
              </w:rPr>
            </w:pPr>
            <w:r>
              <w:rPr>
                <w:rFonts w:ascii="仿宋" w:hAnsi="仿宋" w:eastAsia="仿宋"/>
                <w:szCs w:val="21"/>
              </w:rPr>
              <w:t>海上升压站高桩承台混凝土腐蚀检测</w:t>
            </w:r>
          </w:p>
        </w:tc>
        <w:tc>
          <w:tcPr>
            <w:tcW w:w="767" w:type="dxa"/>
            <w:tcBorders>
              <w:top w:val="single" w:color="auto" w:sz="4" w:space="0"/>
              <w:left w:val="single" w:color="auto" w:sz="4" w:space="0"/>
              <w:bottom w:val="single" w:color="auto" w:sz="4" w:space="0"/>
              <w:right w:val="single" w:color="auto" w:sz="4" w:space="0"/>
            </w:tcBorders>
            <w:vAlign w:val="center"/>
          </w:tcPr>
          <w:p w14:paraId="0DBAB7AA">
            <w:pPr>
              <w:widowControl/>
              <w:jc w:val="center"/>
              <w:rPr>
                <w:rFonts w:hint="eastAsia" w:ascii="仿宋" w:hAnsi="仿宋" w:eastAsia="仿宋"/>
                <w:szCs w:val="21"/>
              </w:rPr>
            </w:pPr>
            <w:r>
              <w:rPr>
                <w:rFonts w:ascii="仿宋" w:hAnsi="仿宋" w:eastAsia="仿宋"/>
                <w:szCs w:val="21"/>
              </w:rPr>
              <w:t>1</w:t>
            </w:r>
          </w:p>
        </w:tc>
        <w:tc>
          <w:tcPr>
            <w:tcW w:w="851" w:type="dxa"/>
            <w:tcBorders>
              <w:top w:val="single" w:color="auto" w:sz="4" w:space="0"/>
              <w:left w:val="single" w:color="auto" w:sz="4" w:space="0"/>
              <w:bottom w:val="single" w:color="auto" w:sz="4" w:space="0"/>
              <w:right w:val="single" w:color="auto" w:sz="4" w:space="0"/>
            </w:tcBorders>
            <w:vAlign w:val="center"/>
          </w:tcPr>
          <w:p w14:paraId="4F24AEAD">
            <w:pPr>
              <w:widowControl/>
              <w:jc w:val="center"/>
              <w:rPr>
                <w:rFonts w:hint="eastAsia" w:ascii="宋体" w:hAnsi="宋体" w:cs="宋体"/>
                <w:szCs w:val="21"/>
              </w:rPr>
            </w:pPr>
            <w:r>
              <w:rPr>
                <w:rFonts w:hint="eastAsia" w:ascii="宋体" w:hAnsi="宋体" w:cs="宋体"/>
                <w:szCs w:val="21"/>
              </w:rPr>
              <w:t>座次</w:t>
            </w:r>
          </w:p>
        </w:tc>
        <w:tc>
          <w:tcPr>
            <w:tcW w:w="3458" w:type="dxa"/>
            <w:vAlign w:val="center"/>
          </w:tcPr>
          <w:p w14:paraId="4D4E0C59">
            <w:pPr>
              <w:widowControl/>
              <w:jc w:val="left"/>
              <w:rPr>
                <w:rFonts w:hint="eastAsia" w:ascii="仿宋" w:hAnsi="仿宋" w:eastAsia="仿宋"/>
                <w:color w:val="FF0000"/>
                <w:szCs w:val="21"/>
                <w:lang w:eastAsia="zh-CN"/>
              </w:rPr>
            </w:pPr>
            <w:r>
              <w:rPr>
                <w:rFonts w:hint="eastAsia" w:ascii="仿宋" w:hAnsi="仿宋" w:eastAsia="仿宋"/>
                <w:szCs w:val="21"/>
                <w:lang w:val="en-US" w:eastAsia="zh-CN"/>
              </w:rPr>
              <w:t>对</w:t>
            </w:r>
            <w:r>
              <w:rPr>
                <w:rFonts w:ascii="仿宋" w:hAnsi="仿宋" w:eastAsia="仿宋"/>
                <w:szCs w:val="21"/>
              </w:rPr>
              <w:t>海上升压站高桩承台混凝土</w:t>
            </w:r>
            <w:r>
              <w:rPr>
                <w:rFonts w:hint="eastAsia" w:ascii="仿宋" w:hAnsi="仿宋" w:eastAsia="仿宋"/>
                <w:szCs w:val="21"/>
                <w:lang w:val="en-US" w:eastAsia="zh-CN"/>
              </w:rPr>
              <w:t>进行</w:t>
            </w:r>
            <w:r>
              <w:rPr>
                <w:rFonts w:ascii="仿宋" w:hAnsi="仿宋" w:eastAsia="仿宋"/>
                <w:szCs w:val="21"/>
              </w:rPr>
              <w:t>腐蚀检测，并统计腐蚀部位及面积</w:t>
            </w:r>
            <w:r>
              <w:rPr>
                <w:rFonts w:hint="eastAsia" w:ascii="仿宋" w:hAnsi="仿宋" w:eastAsia="仿宋"/>
                <w:szCs w:val="21"/>
                <w:lang w:eastAsia="zh-CN"/>
              </w:rPr>
              <w:t>。</w:t>
            </w:r>
          </w:p>
        </w:tc>
      </w:tr>
      <w:tr w14:paraId="121F4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1A6A5636">
            <w:pPr>
              <w:widowControl/>
              <w:spacing w:line="360" w:lineRule="auto"/>
              <w:jc w:val="center"/>
              <w:rPr>
                <w:rFonts w:hint="eastAsia" w:ascii="仿宋" w:hAnsi="仿宋" w:eastAsia="仿宋"/>
                <w:szCs w:val="21"/>
              </w:rPr>
            </w:pPr>
            <w:r>
              <w:rPr>
                <w:rFonts w:hint="eastAsia" w:ascii="仿宋" w:hAnsi="仿宋" w:eastAsia="仿宋"/>
                <w:szCs w:val="21"/>
              </w:rPr>
              <w:t>4</w:t>
            </w:r>
          </w:p>
        </w:tc>
        <w:tc>
          <w:tcPr>
            <w:tcW w:w="2635" w:type="dxa"/>
            <w:tcBorders>
              <w:top w:val="single" w:color="auto" w:sz="4" w:space="0"/>
              <w:left w:val="single" w:color="auto" w:sz="4" w:space="0"/>
              <w:bottom w:val="single" w:color="auto" w:sz="4" w:space="0"/>
              <w:right w:val="single" w:color="auto" w:sz="4" w:space="0"/>
            </w:tcBorders>
            <w:vAlign w:val="center"/>
          </w:tcPr>
          <w:p w14:paraId="7C7A256A">
            <w:pPr>
              <w:widowControl/>
              <w:jc w:val="center"/>
              <w:rPr>
                <w:rFonts w:hint="eastAsia" w:ascii="仿宋" w:hAnsi="仿宋" w:eastAsia="仿宋"/>
                <w:szCs w:val="21"/>
              </w:rPr>
            </w:pPr>
            <w:r>
              <w:rPr>
                <w:rFonts w:ascii="仿宋" w:hAnsi="仿宋" w:eastAsia="仿宋"/>
                <w:szCs w:val="21"/>
              </w:rPr>
              <w:t>海上升压站钢管桩水下外观检查及腐蚀量检测</w:t>
            </w:r>
          </w:p>
        </w:tc>
        <w:tc>
          <w:tcPr>
            <w:tcW w:w="767" w:type="dxa"/>
            <w:tcBorders>
              <w:top w:val="single" w:color="auto" w:sz="4" w:space="0"/>
              <w:left w:val="single" w:color="auto" w:sz="4" w:space="0"/>
              <w:bottom w:val="single" w:color="auto" w:sz="4" w:space="0"/>
              <w:right w:val="single" w:color="auto" w:sz="4" w:space="0"/>
            </w:tcBorders>
            <w:vAlign w:val="center"/>
          </w:tcPr>
          <w:p w14:paraId="74FA3E81">
            <w:pPr>
              <w:widowControl/>
              <w:jc w:val="center"/>
              <w:rPr>
                <w:rFonts w:hint="eastAsia" w:ascii="仿宋" w:hAnsi="仿宋" w:eastAsia="仿宋"/>
                <w:szCs w:val="21"/>
              </w:rPr>
            </w:pPr>
            <w:r>
              <w:rPr>
                <w:rFonts w:hint="eastAsia" w:ascii="仿宋" w:hAnsi="仿宋" w:eastAsia="仿宋"/>
                <w:szCs w:val="21"/>
              </w:rPr>
              <w:t>1</w:t>
            </w:r>
          </w:p>
        </w:tc>
        <w:tc>
          <w:tcPr>
            <w:tcW w:w="851" w:type="dxa"/>
            <w:tcBorders>
              <w:top w:val="single" w:color="auto" w:sz="4" w:space="0"/>
              <w:left w:val="single" w:color="auto" w:sz="4" w:space="0"/>
              <w:bottom w:val="single" w:color="auto" w:sz="4" w:space="0"/>
              <w:right w:val="single" w:color="auto" w:sz="4" w:space="0"/>
            </w:tcBorders>
            <w:vAlign w:val="center"/>
          </w:tcPr>
          <w:p w14:paraId="3F3CC363">
            <w:pPr>
              <w:widowControl/>
              <w:jc w:val="center"/>
              <w:rPr>
                <w:rFonts w:hint="eastAsia" w:ascii="仿宋" w:hAnsi="仿宋" w:eastAsia="仿宋"/>
                <w:szCs w:val="21"/>
              </w:rPr>
            </w:pPr>
            <w:r>
              <w:rPr>
                <w:rFonts w:ascii="仿宋" w:hAnsi="仿宋" w:eastAsia="仿宋"/>
                <w:szCs w:val="21"/>
              </w:rPr>
              <w:t>座次</w:t>
            </w:r>
          </w:p>
        </w:tc>
        <w:tc>
          <w:tcPr>
            <w:tcW w:w="3458" w:type="dxa"/>
            <w:vAlign w:val="center"/>
          </w:tcPr>
          <w:p w14:paraId="192095CB">
            <w:pPr>
              <w:widowControl/>
              <w:jc w:val="left"/>
              <w:rPr>
                <w:rFonts w:hint="eastAsia" w:ascii="仿宋" w:hAnsi="仿宋" w:eastAsia="仿宋"/>
                <w:color w:val="FF0000"/>
                <w:szCs w:val="21"/>
                <w:lang w:eastAsia="zh-CN"/>
              </w:rPr>
            </w:pPr>
            <w:r>
              <w:rPr>
                <w:rFonts w:ascii="仿宋" w:hAnsi="仿宋" w:eastAsia="仿宋"/>
                <w:szCs w:val="21"/>
              </w:rPr>
              <w:t>检查每根钢管桩（全浸区）测4点厚度，共计</w:t>
            </w:r>
            <w:r>
              <w:rPr>
                <w:rFonts w:hint="eastAsia" w:ascii="仿宋" w:hAnsi="仿宋" w:eastAsia="仿宋"/>
                <w:szCs w:val="21"/>
                <w:lang w:val="en-US" w:eastAsia="zh-CN"/>
              </w:rPr>
              <w:t>80</w:t>
            </w:r>
            <w:r>
              <w:rPr>
                <w:rFonts w:ascii="仿宋" w:hAnsi="仿宋" w:eastAsia="仿宋"/>
                <w:szCs w:val="21"/>
              </w:rPr>
              <w:t>点</w:t>
            </w:r>
            <w:r>
              <w:rPr>
                <w:rFonts w:hint="eastAsia" w:ascii="仿宋" w:hAnsi="仿宋" w:eastAsia="仿宋"/>
                <w:szCs w:val="21"/>
                <w:lang w:eastAsia="zh-CN"/>
              </w:rPr>
              <w:t>。</w:t>
            </w:r>
          </w:p>
        </w:tc>
      </w:tr>
      <w:tr w14:paraId="66963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3A7922BC">
            <w:pPr>
              <w:widowControl/>
              <w:spacing w:line="360" w:lineRule="auto"/>
              <w:jc w:val="center"/>
              <w:rPr>
                <w:rFonts w:hint="eastAsia" w:ascii="仿宋" w:hAnsi="仿宋" w:eastAsia="仿宋"/>
                <w:szCs w:val="21"/>
                <w:lang w:val="en-US" w:eastAsia="zh-CN"/>
              </w:rPr>
            </w:pPr>
            <w:r>
              <w:rPr>
                <w:rFonts w:hint="eastAsia" w:ascii="仿宋" w:hAnsi="仿宋" w:eastAsia="仿宋"/>
                <w:szCs w:val="21"/>
                <w:lang w:val="en-US" w:eastAsia="zh-CN"/>
              </w:rPr>
              <w:t>5</w:t>
            </w:r>
          </w:p>
        </w:tc>
        <w:tc>
          <w:tcPr>
            <w:tcW w:w="2635" w:type="dxa"/>
            <w:tcBorders>
              <w:top w:val="single" w:color="auto" w:sz="4" w:space="0"/>
              <w:left w:val="single" w:color="auto" w:sz="4" w:space="0"/>
              <w:bottom w:val="single" w:color="auto" w:sz="4" w:space="0"/>
              <w:right w:val="single" w:color="auto" w:sz="4" w:space="0"/>
            </w:tcBorders>
            <w:vAlign w:val="center"/>
          </w:tcPr>
          <w:p w14:paraId="24C6183F">
            <w:pPr>
              <w:widowControl/>
              <w:jc w:val="center"/>
              <w:rPr>
                <w:rFonts w:ascii="仿宋" w:hAnsi="仿宋" w:eastAsia="仿宋"/>
                <w:szCs w:val="21"/>
              </w:rPr>
            </w:pPr>
            <w:r>
              <w:rPr>
                <w:rFonts w:ascii="仿宋" w:hAnsi="仿宋" w:eastAsia="仿宋"/>
                <w:szCs w:val="21"/>
              </w:rPr>
              <w:t>海上升压站</w:t>
            </w:r>
            <w:r>
              <w:rPr>
                <w:rFonts w:hint="eastAsia" w:ascii="仿宋" w:hAnsi="仿宋" w:eastAsia="仿宋"/>
                <w:szCs w:val="21"/>
              </w:rPr>
              <w:t>阳极</w:t>
            </w:r>
            <w:r>
              <w:rPr>
                <w:rFonts w:ascii="仿宋" w:hAnsi="仿宋" w:eastAsia="仿宋"/>
                <w:szCs w:val="21"/>
              </w:rPr>
              <w:t>外观检查及消耗量检测</w:t>
            </w:r>
          </w:p>
        </w:tc>
        <w:tc>
          <w:tcPr>
            <w:tcW w:w="767" w:type="dxa"/>
            <w:tcBorders>
              <w:top w:val="single" w:color="auto" w:sz="4" w:space="0"/>
              <w:left w:val="single" w:color="auto" w:sz="4" w:space="0"/>
              <w:bottom w:val="single" w:color="auto" w:sz="4" w:space="0"/>
              <w:right w:val="single" w:color="auto" w:sz="4" w:space="0"/>
            </w:tcBorders>
            <w:shd w:val="clear" w:color="auto" w:fill="auto"/>
            <w:vAlign w:val="center"/>
          </w:tcPr>
          <w:p w14:paraId="5EFAF9A3">
            <w:pPr>
              <w:widowControl/>
              <w:jc w:val="center"/>
              <w:rPr>
                <w:rFonts w:hint="eastAsia" w:ascii="仿宋" w:hAnsi="仿宋" w:eastAsia="仿宋" w:cs="Arial"/>
                <w:kern w:val="2"/>
                <w:sz w:val="21"/>
                <w:szCs w:val="21"/>
                <w:lang w:val="en-US" w:eastAsia="zh-CN" w:bidi="ar-SA"/>
              </w:rPr>
            </w:pPr>
            <w:r>
              <w:rPr>
                <w:rFonts w:hint="eastAsia" w:ascii="仿宋" w:hAnsi="仿宋" w:eastAsia="仿宋"/>
                <w:szCs w:val="21"/>
              </w:rPr>
              <w:t>1</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63074F97">
            <w:pPr>
              <w:widowControl/>
              <w:jc w:val="center"/>
              <w:rPr>
                <w:rFonts w:hint="eastAsia" w:ascii="仿宋" w:hAnsi="仿宋" w:eastAsia="仿宋" w:cs="Arial"/>
                <w:kern w:val="2"/>
                <w:sz w:val="21"/>
                <w:szCs w:val="21"/>
                <w:lang w:val="en-US" w:eastAsia="zh-CN" w:bidi="ar-SA"/>
              </w:rPr>
            </w:pPr>
            <w:r>
              <w:rPr>
                <w:rFonts w:ascii="仿宋" w:hAnsi="仿宋" w:eastAsia="仿宋"/>
                <w:szCs w:val="21"/>
              </w:rPr>
              <w:t>座次</w:t>
            </w:r>
          </w:p>
        </w:tc>
        <w:tc>
          <w:tcPr>
            <w:tcW w:w="3458" w:type="dxa"/>
            <w:vAlign w:val="center"/>
          </w:tcPr>
          <w:p w14:paraId="09D1E615">
            <w:pPr>
              <w:widowControl/>
              <w:jc w:val="left"/>
              <w:rPr>
                <w:rFonts w:hint="eastAsia" w:ascii="仿宋" w:hAnsi="仿宋" w:eastAsia="仿宋"/>
                <w:color w:val="FF0000"/>
                <w:szCs w:val="21"/>
                <w:lang w:eastAsia="zh-CN"/>
              </w:rPr>
            </w:pPr>
            <w:r>
              <w:rPr>
                <w:rFonts w:ascii="仿宋" w:hAnsi="仿宋" w:eastAsia="仿宋"/>
                <w:szCs w:val="21"/>
              </w:rPr>
              <w:t>检查阳极块数量，选取其中6块检查外观并测量尺寸</w:t>
            </w:r>
            <w:r>
              <w:rPr>
                <w:rFonts w:hint="eastAsia" w:ascii="仿宋" w:hAnsi="仿宋" w:eastAsia="仿宋"/>
                <w:szCs w:val="21"/>
                <w:lang w:eastAsia="zh-CN"/>
              </w:rPr>
              <w:t>。</w:t>
            </w:r>
          </w:p>
        </w:tc>
      </w:tr>
    </w:tbl>
    <w:p w14:paraId="549934BF">
      <w:pPr>
        <w:spacing w:line="360" w:lineRule="auto"/>
        <w:rPr>
          <w:rFonts w:hint="eastAsia" w:ascii="仿宋" w:hAnsi="仿宋" w:eastAsia="仿宋" w:cs="Times New Roman"/>
          <w:b/>
          <w:bCs/>
          <w:sz w:val="28"/>
          <w:szCs w:val="28"/>
        </w:rPr>
      </w:pPr>
      <w:r>
        <w:rPr>
          <w:rFonts w:ascii="仿宋" w:hAnsi="仿宋" w:eastAsia="仿宋" w:cs="Times New Roman"/>
          <w:b/>
          <w:bCs/>
          <w:sz w:val="28"/>
          <w:szCs w:val="28"/>
        </w:rPr>
        <w:t>4.2工作内容</w:t>
      </w:r>
    </w:p>
    <w:p w14:paraId="1489762E">
      <w:pPr>
        <w:spacing w:line="360" w:lineRule="auto"/>
        <w:rPr>
          <w:rFonts w:hint="eastAsia" w:ascii="仿宋" w:hAnsi="仿宋" w:eastAsia="仿宋" w:cs="Times New Roman"/>
          <w:sz w:val="28"/>
          <w:szCs w:val="28"/>
        </w:rPr>
      </w:pPr>
      <w:r>
        <w:rPr>
          <w:rFonts w:hint="eastAsia" w:ascii="仿宋" w:hAnsi="仿宋" w:eastAsia="仿宋" w:cs="Times New Roman"/>
          <w:sz w:val="28"/>
          <w:szCs w:val="28"/>
        </w:rPr>
        <w:t>1、作业开展前投标人应按照规范及招标人技术要求编写技术方案并提交招标人审核，经审核通过后方可开展检测工作。水下</w:t>
      </w:r>
      <w:r>
        <w:rPr>
          <w:rFonts w:ascii="仿宋" w:hAnsi="仿宋" w:eastAsia="仿宋" w:cs="Times New Roman"/>
          <w:sz w:val="28"/>
          <w:szCs w:val="28"/>
        </w:rPr>
        <w:t>检测</w:t>
      </w:r>
      <w:r>
        <w:rPr>
          <w:rFonts w:hint="eastAsia" w:ascii="仿宋" w:hAnsi="仿宋" w:eastAsia="仿宋" w:cs="Times New Roman"/>
          <w:sz w:val="28"/>
          <w:szCs w:val="28"/>
        </w:rPr>
        <w:t>作业前投标人应编制危大工程专项施工方案，按相关规定进行审查，并按审批同意后的专项施工方案进行作业和现场管理，不得擅自修改专项施工方案。</w:t>
      </w:r>
    </w:p>
    <w:p w14:paraId="788780AC">
      <w:pPr>
        <w:spacing w:line="360" w:lineRule="auto"/>
        <w:rPr>
          <w:rFonts w:hint="eastAsia" w:ascii="仿宋" w:hAnsi="仿宋" w:eastAsia="仿宋" w:cs="Times New Roman"/>
          <w:sz w:val="28"/>
          <w:szCs w:val="28"/>
        </w:rPr>
      </w:pPr>
      <w:r>
        <w:rPr>
          <w:rFonts w:ascii="仿宋" w:hAnsi="仿宋" w:eastAsia="仿宋" w:cs="Times New Roman"/>
          <w:sz w:val="28"/>
          <w:szCs w:val="28"/>
        </w:rPr>
        <w:t>2、</w:t>
      </w:r>
      <w:r>
        <w:rPr>
          <w:rFonts w:hint="eastAsia" w:ascii="仿宋" w:hAnsi="仿宋" w:eastAsia="仿宋" w:cs="Times New Roman"/>
          <w:sz w:val="28"/>
          <w:szCs w:val="28"/>
        </w:rPr>
        <w:t>投标人在服务期内</w:t>
      </w:r>
      <w:r>
        <w:rPr>
          <w:rFonts w:ascii="仿宋" w:hAnsi="仿宋" w:eastAsia="仿宋" w:cs="Times New Roman"/>
          <w:sz w:val="28"/>
          <w:szCs w:val="28"/>
        </w:rPr>
        <w:t>完成风机和海上升压站钢管桩的</w:t>
      </w:r>
      <w:r>
        <w:rPr>
          <w:rFonts w:hint="eastAsia" w:ascii="仿宋" w:hAnsi="仿宋" w:eastAsia="仿宋" w:cs="Times New Roman"/>
          <w:sz w:val="28"/>
          <w:szCs w:val="28"/>
        </w:rPr>
        <w:t>金属厚度测量</w:t>
      </w:r>
      <w:r>
        <w:rPr>
          <w:rFonts w:ascii="仿宋" w:hAnsi="仿宋" w:eastAsia="仿宋" w:cs="Times New Roman"/>
          <w:sz w:val="28"/>
          <w:szCs w:val="28"/>
        </w:rPr>
        <w:t>、牺牲阳极的外观检查及消耗量的检测</w:t>
      </w:r>
      <w:r>
        <w:rPr>
          <w:rFonts w:hint="eastAsia" w:ascii="仿宋" w:hAnsi="仿宋" w:eastAsia="仿宋" w:cs="Times New Roman"/>
          <w:sz w:val="28"/>
          <w:szCs w:val="28"/>
        </w:rPr>
        <w:t>。</w:t>
      </w:r>
    </w:p>
    <w:p w14:paraId="01604F02">
      <w:pPr>
        <w:spacing w:line="360" w:lineRule="auto"/>
        <w:rPr>
          <w:rFonts w:hint="eastAsia" w:ascii="仿宋" w:hAnsi="仿宋" w:eastAsia="仿宋" w:cs="Times New Roman"/>
          <w:sz w:val="28"/>
          <w:szCs w:val="28"/>
        </w:rPr>
      </w:pPr>
      <w:r>
        <w:rPr>
          <w:rFonts w:ascii="仿宋" w:hAnsi="仿宋" w:eastAsia="仿宋" w:cs="Times New Roman"/>
          <w:sz w:val="28"/>
          <w:szCs w:val="28"/>
        </w:rPr>
        <w:t>3</w:t>
      </w:r>
      <w:r>
        <w:rPr>
          <w:rFonts w:hint="eastAsia" w:ascii="仿宋" w:hAnsi="仿宋" w:eastAsia="仿宋" w:cs="Times New Roman"/>
          <w:sz w:val="28"/>
          <w:szCs w:val="28"/>
        </w:rPr>
        <w:t>、投标人应</w:t>
      </w:r>
      <w:r>
        <w:rPr>
          <w:rFonts w:ascii="仿宋" w:hAnsi="仿宋" w:eastAsia="仿宋" w:cs="Times New Roman"/>
          <w:sz w:val="28"/>
          <w:szCs w:val="28"/>
        </w:rPr>
        <w:t>在外业检测工作完成后进行防腐检测的报告编制，对检测数据进行分析</w:t>
      </w:r>
      <w:r>
        <w:rPr>
          <w:rFonts w:hint="eastAsia" w:ascii="仿宋" w:hAnsi="仿宋" w:eastAsia="仿宋" w:cs="Times New Roman"/>
          <w:sz w:val="28"/>
          <w:szCs w:val="28"/>
        </w:rPr>
        <w:t>，</w:t>
      </w:r>
      <w:r>
        <w:rPr>
          <w:rFonts w:ascii="仿宋" w:hAnsi="仿宋" w:eastAsia="仿宋" w:cs="Times New Roman"/>
          <w:sz w:val="28"/>
          <w:szCs w:val="28"/>
        </w:rPr>
        <w:t>及时</w:t>
      </w:r>
      <w:r>
        <w:rPr>
          <w:rFonts w:hint="eastAsia" w:ascii="仿宋" w:hAnsi="仿宋" w:eastAsia="仿宋" w:cs="Times New Roman"/>
          <w:sz w:val="28"/>
          <w:szCs w:val="28"/>
        </w:rPr>
        <w:t>掌握风机、海上升压站基础</w:t>
      </w:r>
      <w:r>
        <w:rPr>
          <w:rFonts w:ascii="仿宋" w:hAnsi="仿宋" w:eastAsia="仿宋" w:cs="Times New Roman"/>
          <w:sz w:val="28"/>
          <w:szCs w:val="28"/>
        </w:rPr>
        <w:t>腐蚀情况</w:t>
      </w:r>
      <w:r>
        <w:rPr>
          <w:rFonts w:hint="eastAsia" w:ascii="仿宋" w:hAnsi="仿宋" w:eastAsia="仿宋" w:cs="Times New Roman"/>
          <w:sz w:val="28"/>
          <w:szCs w:val="28"/>
        </w:rPr>
        <w:t>的状态变化，</w:t>
      </w:r>
      <w:r>
        <w:rPr>
          <w:rFonts w:ascii="仿宋" w:hAnsi="仿宋" w:eastAsia="仿宋" w:cs="Times New Roman"/>
          <w:sz w:val="28"/>
          <w:szCs w:val="28"/>
        </w:rPr>
        <w:t>如</w:t>
      </w:r>
      <w:r>
        <w:rPr>
          <w:rFonts w:hint="eastAsia" w:ascii="仿宋" w:hAnsi="仿宋" w:eastAsia="仿宋" w:cs="Times New Roman"/>
          <w:sz w:val="28"/>
          <w:szCs w:val="28"/>
        </w:rPr>
        <w:t>发现不正常迹象，</w:t>
      </w:r>
      <w:r>
        <w:rPr>
          <w:rFonts w:ascii="仿宋" w:hAnsi="仿宋" w:eastAsia="仿宋" w:cs="Times New Roman"/>
          <w:sz w:val="28"/>
          <w:szCs w:val="28"/>
        </w:rPr>
        <w:t>应</w:t>
      </w:r>
      <w:r>
        <w:rPr>
          <w:rFonts w:hint="eastAsia" w:ascii="仿宋" w:hAnsi="仿宋" w:eastAsia="仿宋" w:cs="Times New Roman"/>
          <w:sz w:val="28"/>
          <w:szCs w:val="28"/>
        </w:rPr>
        <w:t>分析原因</w:t>
      </w:r>
      <w:r>
        <w:rPr>
          <w:rFonts w:ascii="仿宋" w:hAnsi="仿宋" w:eastAsia="仿宋" w:cs="Times New Roman"/>
          <w:sz w:val="28"/>
          <w:szCs w:val="28"/>
        </w:rPr>
        <w:t>并</w:t>
      </w:r>
      <w:r>
        <w:rPr>
          <w:rFonts w:hint="eastAsia" w:ascii="仿宋" w:hAnsi="仿宋" w:eastAsia="仿宋" w:cs="Times New Roman"/>
          <w:sz w:val="28"/>
          <w:szCs w:val="28"/>
        </w:rPr>
        <w:t>提出措施意见，防止发生破坏事故，确保风电场安全稳定运行。</w:t>
      </w:r>
    </w:p>
    <w:p w14:paraId="66C3B167">
      <w:pPr>
        <w:widowControl/>
        <w:jc w:val="left"/>
        <w:outlineLvl w:val="0"/>
        <w:rPr>
          <w:rFonts w:hint="eastAsia" w:ascii="仿宋" w:hAnsi="仿宋" w:eastAsia="仿宋" w:cs="宋体"/>
          <w:b/>
          <w:kern w:val="0"/>
          <w:sz w:val="28"/>
          <w:szCs w:val="28"/>
        </w:rPr>
      </w:pPr>
      <w:r>
        <w:rPr>
          <w:rFonts w:ascii="仿宋" w:hAnsi="仿宋" w:eastAsia="仿宋" w:cs="宋体"/>
          <w:b/>
          <w:kern w:val="0"/>
          <w:sz w:val="28"/>
          <w:szCs w:val="28"/>
        </w:rPr>
        <w:t>五</w:t>
      </w:r>
      <w:r>
        <w:rPr>
          <w:rFonts w:hint="eastAsia" w:ascii="仿宋" w:hAnsi="仿宋" w:eastAsia="仿宋" w:cs="宋体"/>
          <w:b/>
          <w:kern w:val="0"/>
          <w:sz w:val="28"/>
          <w:szCs w:val="28"/>
        </w:rPr>
        <w:t>、</w:t>
      </w:r>
      <w:r>
        <w:rPr>
          <w:rFonts w:ascii="仿宋" w:hAnsi="仿宋" w:eastAsia="仿宋" w:cs="宋体"/>
          <w:b/>
          <w:kern w:val="0"/>
          <w:sz w:val="28"/>
          <w:szCs w:val="28"/>
        </w:rPr>
        <w:t>防腐检测</w:t>
      </w:r>
      <w:r>
        <w:rPr>
          <w:rFonts w:hint="eastAsia" w:ascii="仿宋" w:hAnsi="仿宋" w:eastAsia="仿宋" w:cs="宋体"/>
          <w:b/>
          <w:kern w:val="0"/>
          <w:sz w:val="28"/>
          <w:szCs w:val="28"/>
        </w:rPr>
        <w:t>服务要求</w:t>
      </w:r>
    </w:p>
    <w:p w14:paraId="7C79A6AA">
      <w:pPr>
        <w:widowControl/>
        <w:spacing w:before="60" w:after="60" w:line="360" w:lineRule="auto"/>
        <w:jc w:val="left"/>
        <w:rPr>
          <w:rFonts w:hint="eastAsia" w:ascii="仿宋" w:hAnsi="仿宋" w:eastAsia="仿宋"/>
          <w:b/>
          <w:sz w:val="28"/>
          <w:szCs w:val="28"/>
        </w:rPr>
      </w:pPr>
      <w:r>
        <w:rPr>
          <w:rFonts w:ascii="仿宋" w:hAnsi="仿宋" w:eastAsia="仿宋"/>
          <w:b/>
          <w:sz w:val="28"/>
          <w:szCs w:val="28"/>
        </w:rPr>
        <w:t>5</w:t>
      </w:r>
      <w:r>
        <w:rPr>
          <w:rFonts w:hint="eastAsia" w:ascii="仿宋" w:hAnsi="仿宋" w:eastAsia="仿宋"/>
          <w:b/>
          <w:sz w:val="28"/>
          <w:szCs w:val="28"/>
        </w:rPr>
        <w:t>.1遵循的规范标准</w:t>
      </w:r>
    </w:p>
    <w:p w14:paraId="61FBC2CA">
      <w:pPr>
        <w:widowControl/>
        <w:spacing w:before="60" w:after="60" w:line="360" w:lineRule="auto"/>
        <w:ind w:firstLine="495" w:firstLineChars="177"/>
        <w:jc w:val="left"/>
        <w:rPr>
          <w:rFonts w:hint="eastAsia" w:ascii="仿宋" w:hAnsi="仿宋" w:eastAsia="仿宋"/>
          <w:sz w:val="28"/>
          <w:szCs w:val="28"/>
        </w:rPr>
      </w:pPr>
      <w:r>
        <w:rPr>
          <w:rFonts w:hint="eastAsia" w:ascii="仿宋" w:hAnsi="仿宋" w:eastAsia="仿宋"/>
          <w:sz w:val="28"/>
          <w:szCs w:val="28"/>
        </w:rPr>
        <w:t>投标人应严格执行本文件所列法规</w:t>
      </w:r>
      <w:r>
        <w:rPr>
          <w:rFonts w:ascii="仿宋" w:hAnsi="仿宋" w:eastAsia="仿宋"/>
          <w:sz w:val="28"/>
          <w:szCs w:val="28"/>
        </w:rPr>
        <w:t>、</w:t>
      </w:r>
      <w:r>
        <w:rPr>
          <w:rFonts w:hint="eastAsia" w:ascii="仿宋" w:hAnsi="仿宋" w:eastAsia="仿宋"/>
          <w:sz w:val="28"/>
          <w:szCs w:val="28"/>
        </w:rPr>
        <w:t>标准、规范、规程，若招标人提出的法规、标准、</w:t>
      </w:r>
      <w:r>
        <w:rPr>
          <w:rFonts w:ascii="仿宋" w:hAnsi="仿宋" w:eastAsia="仿宋"/>
          <w:sz w:val="28"/>
          <w:szCs w:val="28"/>
        </w:rPr>
        <w:t>规范、规程等</w:t>
      </w:r>
      <w:r>
        <w:rPr>
          <w:rFonts w:hint="eastAsia" w:ascii="仿宋" w:hAnsi="仿宋" w:eastAsia="仿宋"/>
          <w:sz w:val="28"/>
          <w:szCs w:val="28"/>
        </w:rPr>
        <w:t>与本文件所列不一致时，应按较高法规</w:t>
      </w:r>
      <w:r>
        <w:rPr>
          <w:rFonts w:ascii="仿宋" w:hAnsi="仿宋" w:eastAsia="仿宋"/>
          <w:sz w:val="28"/>
          <w:szCs w:val="28"/>
        </w:rPr>
        <w:t>、</w:t>
      </w:r>
      <w:r>
        <w:rPr>
          <w:rFonts w:hint="eastAsia" w:ascii="仿宋" w:hAnsi="仿宋" w:eastAsia="仿宋"/>
          <w:sz w:val="28"/>
          <w:szCs w:val="28"/>
        </w:rPr>
        <w:t>标准、规范、规程要求执行。</w:t>
      </w:r>
    </w:p>
    <w:p w14:paraId="126CA31E">
      <w:pPr>
        <w:widowControl/>
        <w:spacing w:before="60" w:after="60" w:line="360" w:lineRule="auto"/>
        <w:ind w:firstLine="495" w:firstLineChars="177"/>
        <w:jc w:val="left"/>
        <w:rPr>
          <w:rFonts w:hint="eastAsia" w:ascii="仿宋" w:hAnsi="仿宋" w:eastAsia="仿宋"/>
          <w:sz w:val="28"/>
          <w:szCs w:val="28"/>
        </w:rPr>
      </w:pPr>
      <w:r>
        <w:rPr>
          <w:rFonts w:hint="eastAsia" w:ascii="仿宋" w:hAnsi="仿宋" w:eastAsia="仿宋"/>
          <w:sz w:val="28"/>
          <w:szCs w:val="28"/>
        </w:rPr>
        <w:t>如果某项标准或协议在本文件中未作规定，或投标人采用其它标准或协议，则投标人应详细说明其采用的标准或协议，并向招标人提供其采用标准或协议的中文版本。只有当其采用的标准或协议是国际公认的、惯用的，且不低于本文件的要求时，投标人采用的标准或协议才能被招标人认可。</w:t>
      </w:r>
    </w:p>
    <w:p w14:paraId="6CBA604E">
      <w:pPr>
        <w:widowControl/>
        <w:spacing w:before="60" w:after="60" w:line="360" w:lineRule="auto"/>
        <w:ind w:firstLine="495" w:firstLineChars="177"/>
        <w:jc w:val="left"/>
        <w:rPr>
          <w:rFonts w:hint="eastAsia" w:ascii="仿宋" w:hAnsi="仿宋" w:eastAsia="仿宋"/>
          <w:sz w:val="28"/>
          <w:szCs w:val="28"/>
        </w:rPr>
      </w:pPr>
      <w:r>
        <w:rPr>
          <w:rFonts w:hint="eastAsia" w:ascii="仿宋" w:hAnsi="仿宋" w:eastAsia="仿宋"/>
          <w:sz w:val="28"/>
          <w:szCs w:val="28"/>
        </w:rPr>
        <w:t>下列文件对于本文件的应用是必不可少的，凡是注日期的引用文件，仅注日期的版本适用于本文件，凡是不注日期的引用文件，其最新版本（包括所有的修改单）适用于本文件。</w:t>
      </w:r>
    </w:p>
    <w:p w14:paraId="450D8932">
      <w:pPr>
        <w:widowControl/>
        <w:spacing w:before="60" w:after="60" w:line="360" w:lineRule="auto"/>
        <w:jc w:val="left"/>
        <w:rPr>
          <w:rFonts w:hint="eastAsia" w:ascii="仿宋" w:hAnsi="仿宋" w:eastAsia="仿宋"/>
          <w:sz w:val="28"/>
          <w:szCs w:val="28"/>
        </w:rPr>
      </w:pPr>
      <w:r>
        <w:rPr>
          <w:rFonts w:hint="eastAsia" w:ascii="仿宋" w:hAnsi="仿宋" w:eastAsia="仿宋"/>
          <w:sz w:val="28"/>
          <w:szCs w:val="28"/>
        </w:rPr>
        <w:t>1、</w:t>
      </w:r>
      <w:r>
        <w:rPr>
          <w:rFonts w:ascii="仿宋" w:hAnsi="仿宋" w:eastAsia="仿宋"/>
          <w:sz w:val="28"/>
          <w:szCs w:val="28"/>
        </w:rPr>
        <w:t>《海上风电场风力发电机组基础维护技术规程》（NB/T 10218-2019）</w:t>
      </w:r>
      <w:r>
        <w:rPr>
          <w:rFonts w:hint="eastAsia" w:ascii="仿宋" w:hAnsi="仿宋" w:eastAsia="仿宋"/>
          <w:sz w:val="28"/>
          <w:szCs w:val="28"/>
        </w:rPr>
        <w:t>;</w:t>
      </w:r>
    </w:p>
    <w:p w14:paraId="33551C8E">
      <w:pPr>
        <w:widowControl/>
        <w:spacing w:before="60" w:after="60" w:line="360" w:lineRule="auto"/>
        <w:jc w:val="left"/>
        <w:rPr>
          <w:rFonts w:hint="eastAsia" w:ascii="仿宋" w:hAnsi="仿宋" w:eastAsia="仿宋"/>
          <w:sz w:val="28"/>
          <w:szCs w:val="28"/>
        </w:rPr>
      </w:pPr>
      <w:r>
        <w:rPr>
          <w:rFonts w:hint="eastAsia" w:ascii="仿宋" w:hAnsi="仿宋" w:eastAsia="仿宋"/>
          <w:sz w:val="28"/>
          <w:szCs w:val="28"/>
        </w:rPr>
        <w:t>2、</w:t>
      </w:r>
      <w:r>
        <w:rPr>
          <w:rFonts w:ascii="仿宋" w:hAnsi="仿宋" w:eastAsia="仿宋"/>
          <w:sz w:val="28"/>
          <w:szCs w:val="28"/>
        </w:rPr>
        <w:t>《海港工程混凝土结构防腐蚀技术规范》（JTJ 275-2000）；</w:t>
      </w:r>
    </w:p>
    <w:p w14:paraId="633541CF">
      <w:pPr>
        <w:widowControl/>
        <w:spacing w:before="60" w:after="60" w:line="360" w:lineRule="auto"/>
        <w:jc w:val="left"/>
        <w:rPr>
          <w:rFonts w:hint="eastAsia" w:ascii="仿宋" w:hAnsi="仿宋" w:eastAsia="仿宋"/>
          <w:sz w:val="28"/>
          <w:szCs w:val="28"/>
        </w:rPr>
      </w:pPr>
      <w:r>
        <w:rPr>
          <w:rFonts w:ascii="仿宋" w:hAnsi="仿宋" w:eastAsia="仿宋"/>
          <w:sz w:val="28"/>
          <w:szCs w:val="28"/>
        </w:rPr>
        <w:t>3</w:t>
      </w:r>
      <w:r>
        <w:rPr>
          <w:rFonts w:hint="eastAsia" w:ascii="仿宋" w:hAnsi="仿宋" w:eastAsia="仿宋"/>
          <w:sz w:val="28"/>
          <w:szCs w:val="28"/>
        </w:rPr>
        <w:t>、</w:t>
      </w:r>
      <w:r>
        <w:rPr>
          <w:rFonts w:ascii="仿宋" w:hAnsi="仿宋" w:eastAsia="仿宋"/>
          <w:sz w:val="28"/>
          <w:szCs w:val="28"/>
        </w:rPr>
        <w:t>《海上风电场钢结构防腐蚀技术标准》（NB/T 31006-2011）；</w:t>
      </w:r>
    </w:p>
    <w:p w14:paraId="0D2A9452">
      <w:pPr>
        <w:widowControl/>
        <w:spacing w:before="60" w:after="60" w:line="360" w:lineRule="auto"/>
        <w:jc w:val="left"/>
        <w:rPr>
          <w:rFonts w:hint="eastAsia" w:ascii="仿宋" w:hAnsi="仿宋" w:eastAsia="仿宋"/>
          <w:sz w:val="28"/>
          <w:szCs w:val="28"/>
        </w:rPr>
      </w:pPr>
      <w:r>
        <w:rPr>
          <w:rFonts w:ascii="仿宋" w:hAnsi="仿宋" w:eastAsia="仿宋"/>
          <w:sz w:val="28"/>
          <w:szCs w:val="28"/>
        </w:rPr>
        <w:t>4</w:t>
      </w:r>
      <w:r>
        <w:rPr>
          <w:rFonts w:hint="eastAsia" w:ascii="仿宋" w:hAnsi="仿宋" w:eastAsia="仿宋"/>
          <w:sz w:val="28"/>
          <w:szCs w:val="28"/>
        </w:rPr>
        <w:t>、</w:t>
      </w:r>
      <w:r>
        <w:rPr>
          <w:rFonts w:ascii="仿宋" w:hAnsi="仿宋" w:eastAsia="仿宋"/>
          <w:sz w:val="28"/>
          <w:szCs w:val="28"/>
        </w:rPr>
        <w:t>《沿海及海上风电机组防腐技术规范》（GB/T 33423-2016）；</w:t>
      </w:r>
    </w:p>
    <w:p w14:paraId="3588B367">
      <w:pPr>
        <w:widowControl/>
        <w:spacing w:before="60" w:after="60" w:line="360" w:lineRule="auto"/>
        <w:jc w:val="left"/>
        <w:rPr>
          <w:rFonts w:hint="eastAsia" w:ascii="仿宋" w:hAnsi="仿宋" w:eastAsia="仿宋"/>
          <w:sz w:val="28"/>
          <w:szCs w:val="28"/>
        </w:rPr>
      </w:pPr>
      <w:r>
        <w:rPr>
          <w:rFonts w:ascii="仿宋" w:hAnsi="仿宋" w:eastAsia="仿宋"/>
          <w:sz w:val="28"/>
          <w:szCs w:val="28"/>
        </w:rPr>
        <w:t>5、《铝-锌-铟系合金牺牲阳极》（GB/T 4948-2002）；</w:t>
      </w:r>
    </w:p>
    <w:p w14:paraId="5857574D">
      <w:pPr>
        <w:widowControl/>
        <w:spacing w:before="60" w:after="60" w:line="360" w:lineRule="auto"/>
        <w:jc w:val="left"/>
        <w:rPr>
          <w:rFonts w:hint="eastAsia" w:ascii="仿宋" w:hAnsi="仿宋" w:eastAsia="仿宋"/>
          <w:sz w:val="28"/>
          <w:szCs w:val="28"/>
        </w:rPr>
      </w:pPr>
      <w:r>
        <w:rPr>
          <w:rFonts w:ascii="仿宋" w:hAnsi="仿宋" w:eastAsia="仿宋"/>
          <w:sz w:val="28"/>
          <w:szCs w:val="28"/>
        </w:rPr>
        <w:t>6</w:t>
      </w:r>
      <w:r>
        <w:rPr>
          <w:rFonts w:hint="eastAsia" w:ascii="仿宋" w:hAnsi="仿宋" w:eastAsia="仿宋"/>
          <w:sz w:val="28"/>
          <w:szCs w:val="28"/>
        </w:rPr>
        <w:t>、</w:t>
      </w:r>
      <w:r>
        <w:rPr>
          <w:rFonts w:ascii="仿宋" w:hAnsi="仿宋" w:eastAsia="仿宋"/>
          <w:sz w:val="28"/>
          <w:szCs w:val="28"/>
        </w:rPr>
        <w:t>《</w:t>
      </w:r>
      <w:r>
        <w:rPr>
          <w:rFonts w:hint="eastAsia" w:ascii="仿宋" w:hAnsi="仿宋" w:eastAsia="仿宋"/>
          <w:sz w:val="28"/>
          <w:szCs w:val="28"/>
        </w:rPr>
        <w:t>港工设施牺牲阳极保护设计和安装</w:t>
      </w:r>
      <w:r>
        <w:rPr>
          <w:rFonts w:ascii="仿宋" w:hAnsi="仿宋" w:eastAsia="仿宋"/>
          <w:sz w:val="28"/>
          <w:szCs w:val="28"/>
        </w:rPr>
        <w:t>》（GJB-156A-2008）；</w:t>
      </w:r>
    </w:p>
    <w:p w14:paraId="29BCF97E">
      <w:pPr>
        <w:widowControl/>
        <w:spacing w:before="60" w:after="60" w:line="360" w:lineRule="auto"/>
        <w:jc w:val="left"/>
        <w:rPr>
          <w:rFonts w:hint="eastAsia" w:ascii="仿宋" w:hAnsi="仿宋" w:eastAsia="仿宋"/>
          <w:sz w:val="28"/>
          <w:szCs w:val="28"/>
        </w:rPr>
      </w:pPr>
      <w:r>
        <w:rPr>
          <w:rFonts w:ascii="仿宋" w:hAnsi="仿宋" w:eastAsia="仿宋"/>
          <w:sz w:val="28"/>
          <w:szCs w:val="28"/>
        </w:rPr>
        <w:t>7</w:t>
      </w:r>
      <w:r>
        <w:rPr>
          <w:rFonts w:hint="eastAsia" w:ascii="仿宋" w:hAnsi="仿宋" w:eastAsia="仿宋"/>
          <w:sz w:val="28"/>
          <w:szCs w:val="28"/>
        </w:rPr>
        <w:t>、</w:t>
      </w:r>
      <w:r>
        <w:rPr>
          <w:rFonts w:ascii="仿宋" w:hAnsi="仿宋" w:eastAsia="仿宋"/>
          <w:sz w:val="28"/>
          <w:szCs w:val="28"/>
        </w:rPr>
        <w:t>《中华人民共和国海上交通安全法》（2016年11月修正）；</w:t>
      </w:r>
    </w:p>
    <w:p w14:paraId="51BC2C6A">
      <w:pPr>
        <w:widowControl/>
        <w:spacing w:before="60" w:after="60" w:line="360" w:lineRule="auto"/>
        <w:jc w:val="left"/>
        <w:rPr>
          <w:rFonts w:hint="eastAsia" w:ascii="仿宋" w:hAnsi="仿宋" w:eastAsia="仿宋"/>
          <w:b/>
          <w:sz w:val="28"/>
          <w:szCs w:val="28"/>
        </w:rPr>
      </w:pPr>
      <w:r>
        <w:rPr>
          <w:rFonts w:ascii="仿宋" w:hAnsi="仿宋" w:eastAsia="仿宋"/>
          <w:b/>
          <w:sz w:val="28"/>
          <w:szCs w:val="28"/>
        </w:rPr>
        <w:t>5</w:t>
      </w:r>
      <w:r>
        <w:rPr>
          <w:rFonts w:hint="eastAsia" w:ascii="仿宋" w:hAnsi="仿宋" w:eastAsia="仿宋"/>
          <w:b/>
          <w:sz w:val="28"/>
          <w:szCs w:val="28"/>
        </w:rPr>
        <w:t>.</w:t>
      </w:r>
      <w:r>
        <w:rPr>
          <w:rFonts w:ascii="仿宋" w:hAnsi="仿宋" w:eastAsia="仿宋"/>
          <w:b/>
          <w:sz w:val="28"/>
          <w:szCs w:val="28"/>
        </w:rPr>
        <w:t>2</w:t>
      </w:r>
      <w:r>
        <w:rPr>
          <w:rFonts w:hint="eastAsia" w:ascii="仿宋" w:hAnsi="仿宋" w:eastAsia="仿宋"/>
          <w:b/>
          <w:sz w:val="28"/>
          <w:szCs w:val="28"/>
        </w:rPr>
        <w:t>服务期限</w:t>
      </w:r>
      <w:r>
        <w:rPr>
          <w:rFonts w:ascii="仿宋" w:hAnsi="仿宋" w:eastAsia="仿宋"/>
          <w:b/>
          <w:sz w:val="28"/>
          <w:szCs w:val="28"/>
        </w:rPr>
        <w:t>要求</w:t>
      </w:r>
    </w:p>
    <w:p w14:paraId="3B00CFF3">
      <w:pPr>
        <w:widowControl/>
        <w:spacing w:before="60" w:after="60" w:line="360" w:lineRule="auto"/>
        <w:ind w:firstLine="495" w:firstLineChars="177"/>
        <w:jc w:val="left"/>
        <w:rPr>
          <w:rFonts w:hint="eastAsia" w:ascii="仿宋" w:hAnsi="仿宋" w:eastAsia="仿宋"/>
          <w:sz w:val="28"/>
          <w:szCs w:val="28"/>
        </w:rPr>
      </w:pPr>
      <w:r>
        <w:rPr>
          <w:rFonts w:hint="eastAsia" w:ascii="仿宋" w:hAnsi="仿宋" w:eastAsia="仿宋"/>
          <w:sz w:val="28"/>
          <w:szCs w:val="28"/>
        </w:rPr>
        <w:t>服务期限：</w:t>
      </w:r>
      <w:r>
        <w:rPr>
          <w:rFonts w:ascii="仿宋" w:hAnsi="仿宋" w:eastAsia="仿宋"/>
          <w:sz w:val="28"/>
          <w:szCs w:val="28"/>
          <w:u w:val="single"/>
        </w:rPr>
        <w:t>自合同签订后3个月</w:t>
      </w:r>
      <w:r>
        <w:rPr>
          <w:rFonts w:hint="eastAsia" w:ascii="仿宋" w:hAnsi="仿宋" w:eastAsia="仿宋"/>
          <w:sz w:val="28"/>
          <w:szCs w:val="28"/>
        </w:rPr>
        <w:t>。</w:t>
      </w:r>
    </w:p>
    <w:p w14:paraId="29367745">
      <w:pPr>
        <w:widowControl/>
        <w:spacing w:before="60" w:after="60" w:line="360" w:lineRule="auto"/>
        <w:jc w:val="left"/>
        <w:rPr>
          <w:rFonts w:hint="eastAsia" w:ascii="仿宋" w:hAnsi="仿宋" w:eastAsia="仿宋"/>
          <w:b/>
          <w:sz w:val="28"/>
          <w:szCs w:val="28"/>
        </w:rPr>
      </w:pPr>
      <w:r>
        <w:rPr>
          <w:rFonts w:ascii="仿宋" w:hAnsi="仿宋" w:eastAsia="仿宋"/>
          <w:b/>
          <w:sz w:val="28"/>
          <w:szCs w:val="28"/>
        </w:rPr>
        <w:t>5</w:t>
      </w:r>
      <w:r>
        <w:rPr>
          <w:rFonts w:hint="eastAsia" w:ascii="仿宋" w:hAnsi="仿宋" w:eastAsia="仿宋"/>
          <w:b/>
          <w:sz w:val="28"/>
          <w:szCs w:val="28"/>
        </w:rPr>
        <w:t>.3</w:t>
      </w:r>
      <w:r>
        <w:rPr>
          <w:rFonts w:ascii="仿宋" w:hAnsi="仿宋" w:eastAsia="仿宋"/>
          <w:b/>
          <w:sz w:val="28"/>
          <w:szCs w:val="28"/>
        </w:rPr>
        <w:t>防腐检测</w:t>
      </w:r>
      <w:r>
        <w:rPr>
          <w:rFonts w:hint="eastAsia" w:ascii="仿宋" w:hAnsi="仿宋" w:eastAsia="仿宋"/>
          <w:b/>
          <w:sz w:val="28"/>
          <w:szCs w:val="28"/>
        </w:rPr>
        <w:t>要求</w:t>
      </w:r>
    </w:p>
    <w:p w14:paraId="298A4B50">
      <w:pPr>
        <w:widowControl/>
        <w:spacing w:before="60" w:after="60" w:line="360" w:lineRule="auto"/>
        <w:jc w:val="left"/>
        <w:rPr>
          <w:rFonts w:hint="eastAsia" w:ascii="仿宋" w:hAnsi="仿宋" w:eastAsia="仿宋"/>
          <w:sz w:val="28"/>
          <w:szCs w:val="28"/>
        </w:rPr>
      </w:pPr>
      <w:r>
        <w:rPr>
          <w:rFonts w:hint="eastAsia" w:ascii="仿宋" w:hAnsi="仿宋" w:eastAsia="仿宋"/>
          <w:sz w:val="28"/>
          <w:szCs w:val="28"/>
        </w:rPr>
        <w:t>1、投标人应对</w:t>
      </w:r>
      <w:r>
        <w:rPr>
          <w:rFonts w:ascii="仿宋" w:hAnsi="仿宋" w:eastAsia="仿宋"/>
          <w:sz w:val="28"/>
          <w:szCs w:val="28"/>
        </w:rPr>
        <w:t>防腐检测</w:t>
      </w:r>
      <w:r>
        <w:rPr>
          <w:rFonts w:hint="eastAsia" w:ascii="仿宋" w:hAnsi="仿宋" w:eastAsia="仿宋"/>
          <w:sz w:val="28"/>
          <w:szCs w:val="28"/>
        </w:rPr>
        <w:t>数据资料保密，除需上报给招标人外，不得将数据资料提供给其他单位和个人，否则应对由此造成的后果承担责任。</w:t>
      </w:r>
    </w:p>
    <w:p w14:paraId="39780D36">
      <w:pPr>
        <w:widowControl/>
        <w:spacing w:before="60" w:after="60" w:line="360" w:lineRule="auto"/>
        <w:jc w:val="left"/>
        <w:rPr>
          <w:rFonts w:hint="eastAsia" w:ascii="仿宋" w:hAnsi="仿宋" w:eastAsia="仿宋"/>
          <w:sz w:val="28"/>
          <w:szCs w:val="28"/>
        </w:rPr>
      </w:pPr>
      <w:r>
        <w:rPr>
          <w:rFonts w:hint="eastAsia" w:ascii="仿宋" w:hAnsi="仿宋" w:eastAsia="仿宋"/>
          <w:sz w:val="28"/>
          <w:szCs w:val="28"/>
        </w:rPr>
        <w:t>2、投标人应自行准备作业用船舶，并保障船舶相关证照齐全完备并在规定的有效期内，符合海事等主管部门的要求。</w:t>
      </w:r>
    </w:p>
    <w:p w14:paraId="4D9F9F97">
      <w:pPr>
        <w:widowControl/>
        <w:spacing w:before="60" w:after="60" w:line="360" w:lineRule="auto"/>
        <w:jc w:val="left"/>
        <w:rPr>
          <w:rFonts w:hint="eastAsia" w:ascii="仿宋" w:hAnsi="仿宋" w:eastAsia="仿宋"/>
          <w:sz w:val="28"/>
          <w:szCs w:val="28"/>
        </w:rPr>
      </w:pPr>
      <w:r>
        <w:rPr>
          <w:rFonts w:hint="eastAsia" w:ascii="仿宋" w:hAnsi="仿宋" w:eastAsia="仿宋"/>
          <w:sz w:val="28"/>
          <w:szCs w:val="28"/>
        </w:rPr>
        <w:t>3、投标人出海作业前应为船舶办理好符合海事等主管部门要求的相关检查及许可，作业过程中应服从海事等主管部门的管理。</w:t>
      </w:r>
    </w:p>
    <w:p w14:paraId="7FBA4EED">
      <w:pPr>
        <w:spacing w:line="360" w:lineRule="auto"/>
        <w:rPr>
          <w:rFonts w:hint="eastAsia" w:ascii="仿宋" w:hAnsi="仿宋" w:eastAsia="仿宋"/>
          <w:sz w:val="28"/>
          <w:szCs w:val="28"/>
        </w:rPr>
      </w:pPr>
      <w:r>
        <w:rPr>
          <w:rFonts w:hint="eastAsia" w:ascii="仿宋" w:hAnsi="仿宋" w:eastAsia="仿宋"/>
          <w:sz w:val="28"/>
          <w:szCs w:val="28"/>
        </w:rPr>
        <w:t>4、投标人应为出海作业人员办理好相关的手续及证书，保证符合海事等主管部门出海、作业的相关要求。</w:t>
      </w:r>
    </w:p>
    <w:p w14:paraId="2972C998">
      <w:pPr>
        <w:spacing w:line="360" w:lineRule="auto"/>
        <w:rPr>
          <w:rFonts w:hint="eastAsia" w:ascii="仿宋" w:hAnsi="仿宋" w:eastAsia="仿宋"/>
          <w:sz w:val="28"/>
          <w:szCs w:val="28"/>
        </w:rPr>
      </w:pPr>
      <w:r>
        <w:rPr>
          <w:rFonts w:ascii="仿宋" w:hAnsi="仿宋" w:eastAsia="仿宋" w:cs="Times New Roman"/>
          <w:sz w:val="28"/>
          <w:szCs w:val="28"/>
        </w:rPr>
        <w:t>5</w:t>
      </w:r>
      <w:r>
        <w:rPr>
          <w:rFonts w:hint="eastAsia" w:ascii="仿宋" w:hAnsi="仿宋" w:eastAsia="仿宋" w:cs="Times New Roman"/>
          <w:sz w:val="28"/>
          <w:szCs w:val="28"/>
        </w:rPr>
        <w:t>、投标人应自备满足</w:t>
      </w:r>
      <w:r>
        <w:rPr>
          <w:rFonts w:ascii="仿宋" w:hAnsi="仿宋" w:eastAsia="仿宋" w:cs="Times New Roman"/>
          <w:sz w:val="28"/>
          <w:szCs w:val="28"/>
        </w:rPr>
        <w:t>防腐检测</w:t>
      </w:r>
      <w:r>
        <w:rPr>
          <w:rFonts w:hint="eastAsia" w:ascii="仿宋" w:hAnsi="仿宋" w:eastAsia="仿宋" w:cs="Times New Roman"/>
          <w:sz w:val="28"/>
          <w:szCs w:val="28"/>
        </w:rPr>
        <w:t>服务所需的专业人员、设备</w:t>
      </w:r>
      <w:r>
        <w:rPr>
          <w:rFonts w:ascii="仿宋" w:hAnsi="仿宋" w:eastAsia="仿宋" w:cs="Times New Roman"/>
          <w:sz w:val="28"/>
          <w:szCs w:val="28"/>
        </w:rPr>
        <w:t>设施及</w:t>
      </w:r>
      <w:r>
        <w:rPr>
          <w:rFonts w:hint="eastAsia" w:ascii="仿宋" w:hAnsi="仿宋" w:eastAsia="仿宋" w:cs="Times New Roman"/>
          <w:sz w:val="28"/>
          <w:szCs w:val="28"/>
        </w:rPr>
        <w:t>工器具</w:t>
      </w:r>
      <w:r>
        <w:rPr>
          <w:rFonts w:ascii="仿宋" w:hAnsi="仿宋" w:eastAsia="仿宋" w:cs="Times New Roman"/>
          <w:sz w:val="28"/>
          <w:szCs w:val="28"/>
        </w:rPr>
        <w:t>，设备设施及工器具应在有效检定期内。</w:t>
      </w:r>
    </w:p>
    <w:p w14:paraId="33AC8A7C">
      <w:pPr>
        <w:widowControl/>
        <w:spacing w:before="60" w:after="60" w:line="360" w:lineRule="auto"/>
        <w:jc w:val="left"/>
        <w:rPr>
          <w:rFonts w:hint="eastAsia" w:ascii="仿宋" w:hAnsi="仿宋" w:eastAsia="仿宋"/>
          <w:sz w:val="28"/>
          <w:szCs w:val="28"/>
        </w:rPr>
      </w:pPr>
      <w:r>
        <w:rPr>
          <w:rFonts w:ascii="仿宋" w:hAnsi="仿宋" w:eastAsia="仿宋"/>
          <w:sz w:val="28"/>
          <w:szCs w:val="28"/>
        </w:rPr>
        <w:t>6</w:t>
      </w:r>
      <w:r>
        <w:rPr>
          <w:rFonts w:hint="eastAsia" w:ascii="仿宋" w:hAnsi="仿宋" w:eastAsia="仿宋"/>
          <w:sz w:val="28"/>
          <w:szCs w:val="28"/>
        </w:rPr>
        <w:t>、投标人应服从海事及招标人出海作业的相关要求，遇大风大浪等天气必须严格执行相关的通知要求，严禁私自进行作业。</w:t>
      </w:r>
    </w:p>
    <w:p w14:paraId="7D498EB6">
      <w:pPr>
        <w:widowControl/>
        <w:spacing w:before="60" w:after="60" w:line="360" w:lineRule="auto"/>
        <w:jc w:val="left"/>
        <w:rPr>
          <w:rFonts w:hint="eastAsia" w:ascii="仿宋" w:hAnsi="仿宋" w:eastAsia="仿宋"/>
          <w:sz w:val="28"/>
          <w:szCs w:val="28"/>
        </w:rPr>
      </w:pPr>
      <w:r>
        <w:rPr>
          <w:rFonts w:ascii="仿宋" w:hAnsi="仿宋" w:eastAsia="仿宋"/>
          <w:sz w:val="28"/>
          <w:szCs w:val="28"/>
        </w:rPr>
        <w:t>7</w:t>
      </w:r>
      <w:r>
        <w:rPr>
          <w:rFonts w:hint="eastAsia" w:ascii="仿宋" w:hAnsi="仿宋" w:eastAsia="仿宋"/>
          <w:sz w:val="28"/>
          <w:szCs w:val="28"/>
        </w:rPr>
        <w:t>、投标人作业过程中应严格执行相关的海洋环境保护的法律及规范要求，保护好风场及周边环境。</w:t>
      </w:r>
    </w:p>
    <w:p w14:paraId="09F4C9E4">
      <w:pPr>
        <w:widowControl/>
        <w:spacing w:before="60" w:after="60" w:line="360" w:lineRule="auto"/>
        <w:jc w:val="left"/>
        <w:rPr>
          <w:rFonts w:hint="eastAsia" w:ascii="仿宋" w:hAnsi="仿宋" w:eastAsia="仿宋"/>
          <w:sz w:val="28"/>
          <w:szCs w:val="28"/>
        </w:rPr>
      </w:pPr>
      <w:r>
        <w:rPr>
          <w:rFonts w:ascii="仿宋" w:hAnsi="仿宋" w:eastAsia="仿宋"/>
          <w:sz w:val="28"/>
          <w:szCs w:val="28"/>
        </w:rPr>
        <w:t>8</w:t>
      </w:r>
      <w:r>
        <w:rPr>
          <w:rFonts w:hint="eastAsia" w:ascii="仿宋" w:hAnsi="仿宋" w:eastAsia="仿宋"/>
          <w:sz w:val="28"/>
          <w:szCs w:val="28"/>
        </w:rPr>
        <w:t>、投标人</w:t>
      </w:r>
      <w:r>
        <w:rPr>
          <w:rFonts w:ascii="仿宋" w:hAnsi="仿宋" w:eastAsia="仿宋"/>
          <w:sz w:val="28"/>
          <w:szCs w:val="28"/>
        </w:rPr>
        <w:t>如需</w:t>
      </w:r>
      <w:r>
        <w:rPr>
          <w:rFonts w:hint="eastAsia" w:ascii="仿宋" w:hAnsi="仿宋" w:eastAsia="仿宋"/>
          <w:sz w:val="28"/>
          <w:szCs w:val="28"/>
        </w:rPr>
        <w:t>登风机进行</w:t>
      </w:r>
      <w:r>
        <w:rPr>
          <w:rFonts w:ascii="仿宋" w:hAnsi="仿宋" w:eastAsia="仿宋"/>
          <w:sz w:val="28"/>
          <w:szCs w:val="28"/>
        </w:rPr>
        <w:t>检测</w:t>
      </w:r>
      <w:r>
        <w:rPr>
          <w:rFonts w:hint="eastAsia" w:ascii="仿宋" w:hAnsi="仿宋" w:eastAsia="仿宋"/>
          <w:sz w:val="28"/>
          <w:szCs w:val="28"/>
        </w:rPr>
        <w:t>作业时，应提前3天上报招标人，待招标人许可后方能登风机进行作业</w:t>
      </w:r>
      <w:r>
        <w:rPr>
          <w:rFonts w:ascii="仿宋" w:hAnsi="仿宋" w:eastAsia="仿宋"/>
          <w:sz w:val="28"/>
          <w:szCs w:val="28"/>
        </w:rPr>
        <w:t>。</w:t>
      </w:r>
    </w:p>
    <w:p w14:paraId="0EF1E75A">
      <w:pPr>
        <w:spacing w:line="360" w:lineRule="auto"/>
        <w:ind w:firstLine="560" w:firstLineChars="200"/>
        <w:rPr>
          <w:rFonts w:hint="eastAsia" w:ascii="仿宋" w:hAnsi="仿宋" w:eastAsia="仿宋" w:cs="Times New Roman"/>
          <w:sz w:val="28"/>
          <w:szCs w:val="28"/>
        </w:rPr>
      </w:pPr>
      <w:r>
        <w:rPr>
          <w:rFonts w:ascii="仿宋" w:hAnsi="仿宋" w:eastAsia="仿宋" w:cs="Times New Roman"/>
          <w:sz w:val="28"/>
          <w:szCs w:val="28"/>
        </w:rPr>
        <w:t>9</w:t>
      </w:r>
      <w:r>
        <w:rPr>
          <w:rFonts w:hint="eastAsia" w:ascii="仿宋" w:hAnsi="仿宋" w:eastAsia="仿宋" w:cs="Times New Roman"/>
          <w:sz w:val="28"/>
          <w:szCs w:val="28"/>
        </w:rPr>
        <w:t>、投标人应及时对</w:t>
      </w:r>
      <w:r>
        <w:rPr>
          <w:rFonts w:ascii="仿宋" w:hAnsi="仿宋" w:eastAsia="仿宋" w:cs="Times New Roman"/>
          <w:sz w:val="28"/>
          <w:szCs w:val="28"/>
        </w:rPr>
        <w:t>检测</w:t>
      </w:r>
      <w:r>
        <w:rPr>
          <w:rFonts w:hint="eastAsia" w:ascii="仿宋" w:hAnsi="仿宋" w:eastAsia="仿宋" w:cs="Times New Roman"/>
          <w:sz w:val="28"/>
          <w:szCs w:val="28"/>
        </w:rPr>
        <w:t>数据进行整理、检查和分析并及时提供</w:t>
      </w:r>
      <w:r>
        <w:rPr>
          <w:rFonts w:ascii="仿宋" w:hAnsi="仿宋" w:eastAsia="仿宋" w:cs="Times New Roman"/>
          <w:sz w:val="28"/>
          <w:szCs w:val="28"/>
        </w:rPr>
        <w:t>成果报告</w:t>
      </w:r>
      <w:r>
        <w:rPr>
          <w:rFonts w:hint="eastAsia" w:ascii="仿宋" w:hAnsi="仿宋" w:eastAsia="仿宋" w:cs="Times New Roman"/>
          <w:sz w:val="28"/>
          <w:szCs w:val="28"/>
        </w:rPr>
        <w:t>。</w:t>
      </w:r>
    </w:p>
    <w:p w14:paraId="71453206">
      <w:pPr>
        <w:widowControl/>
        <w:spacing w:before="60" w:after="60" w:line="360" w:lineRule="auto"/>
        <w:jc w:val="left"/>
        <w:rPr>
          <w:rFonts w:hint="eastAsia" w:ascii="仿宋" w:hAnsi="仿宋" w:eastAsia="仿宋"/>
          <w:b/>
          <w:sz w:val="28"/>
          <w:szCs w:val="28"/>
        </w:rPr>
      </w:pPr>
      <w:r>
        <w:rPr>
          <w:rFonts w:ascii="仿宋" w:hAnsi="仿宋" w:eastAsia="仿宋"/>
          <w:b/>
          <w:sz w:val="28"/>
          <w:szCs w:val="28"/>
        </w:rPr>
        <w:t>5</w:t>
      </w:r>
      <w:r>
        <w:rPr>
          <w:rFonts w:hint="eastAsia" w:ascii="仿宋" w:hAnsi="仿宋" w:eastAsia="仿宋"/>
          <w:b/>
          <w:sz w:val="28"/>
          <w:szCs w:val="28"/>
        </w:rPr>
        <w:t>.</w:t>
      </w:r>
      <w:r>
        <w:rPr>
          <w:rFonts w:ascii="仿宋" w:hAnsi="仿宋" w:eastAsia="仿宋"/>
          <w:b/>
          <w:sz w:val="28"/>
          <w:szCs w:val="28"/>
        </w:rPr>
        <w:t>4</w:t>
      </w:r>
      <w:r>
        <w:rPr>
          <w:rFonts w:hint="eastAsia" w:ascii="仿宋" w:hAnsi="仿宋" w:eastAsia="仿宋"/>
          <w:b/>
          <w:sz w:val="28"/>
          <w:szCs w:val="28"/>
        </w:rPr>
        <w:t>成果报告</w:t>
      </w:r>
    </w:p>
    <w:p w14:paraId="069CF137">
      <w:pPr>
        <w:widowControl/>
        <w:spacing w:before="60" w:after="60" w:line="360" w:lineRule="auto"/>
        <w:ind w:firstLine="495" w:firstLineChars="177"/>
        <w:jc w:val="left"/>
        <w:rPr>
          <w:rFonts w:hint="eastAsia" w:ascii="仿宋" w:hAnsi="仿宋" w:eastAsia="仿宋"/>
          <w:sz w:val="28"/>
          <w:szCs w:val="28"/>
        </w:rPr>
      </w:pPr>
      <w:r>
        <w:rPr>
          <w:rFonts w:hint="eastAsia" w:ascii="仿宋" w:hAnsi="仿宋" w:eastAsia="仿宋"/>
          <w:sz w:val="28"/>
          <w:szCs w:val="28"/>
        </w:rPr>
        <w:t>要求投标人</w:t>
      </w:r>
      <w:r>
        <w:rPr>
          <w:rFonts w:ascii="仿宋" w:hAnsi="仿宋" w:eastAsia="仿宋"/>
          <w:sz w:val="28"/>
          <w:szCs w:val="28"/>
        </w:rPr>
        <w:t>在外业完成后1个月内提交海上构建筑物基础防腐检测</w:t>
      </w:r>
      <w:r>
        <w:rPr>
          <w:rFonts w:hint="eastAsia" w:ascii="仿宋" w:hAnsi="仿宋" w:eastAsia="仿宋"/>
          <w:sz w:val="28"/>
          <w:szCs w:val="28"/>
        </w:rPr>
        <w:t>报告，内容包括</w:t>
      </w:r>
      <w:r>
        <w:rPr>
          <w:rFonts w:ascii="仿宋" w:hAnsi="仿宋" w:eastAsia="仿宋"/>
          <w:sz w:val="28"/>
          <w:szCs w:val="28"/>
        </w:rPr>
        <w:t>海上构建筑物</w:t>
      </w:r>
      <w:r>
        <w:rPr>
          <w:rFonts w:hint="eastAsia" w:ascii="仿宋" w:hAnsi="仿宋" w:eastAsia="仿宋"/>
          <w:sz w:val="28"/>
          <w:szCs w:val="28"/>
        </w:rPr>
        <w:t>情况，</w:t>
      </w:r>
      <w:r>
        <w:rPr>
          <w:rFonts w:ascii="仿宋" w:hAnsi="仿宋" w:eastAsia="仿宋"/>
          <w:sz w:val="28"/>
          <w:szCs w:val="28"/>
        </w:rPr>
        <w:t>人员设备情况、风机和海上升压站钢管桩</w:t>
      </w:r>
      <w:r>
        <w:rPr>
          <w:rFonts w:hint="eastAsia" w:ascii="仿宋" w:hAnsi="仿宋" w:eastAsia="仿宋"/>
          <w:sz w:val="28"/>
          <w:szCs w:val="28"/>
        </w:rPr>
        <w:t>金属厚度测量成果，</w:t>
      </w:r>
      <w:r>
        <w:rPr>
          <w:rFonts w:ascii="仿宋" w:hAnsi="仿宋" w:eastAsia="仿宋"/>
          <w:sz w:val="28"/>
          <w:szCs w:val="28"/>
        </w:rPr>
        <w:t>风机和海上升压站牺牲阳极外观情况、缺失情况和消耗量检测情况，</w:t>
      </w:r>
      <w:r>
        <w:rPr>
          <w:rFonts w:hint="eastAsia" w:ascii="仿宋" w:hAnsi="仿宋" w:eastAsia="仿宋"/>
          <w:sz w:val="28"/>
          <w:szCs w:val="28"/>
        </w:rPr>
        <w:t>对</w:t>
      </w:r>
      <w:r>
        <w:rPr>
          <w:rFonts w:ascii="仿宋" w:hAnsi="仿宋" w:eastAsia="仿宋"/>
          <w:sz w:val="28"/>
          <w:szCs w:val="28"/>
        </w:rPr>
        <w:t>检测</w:t>
      </w:r>
      <w:r>
        <w:rPr>
          <w:rFonts w:hint="eastAsia" w:ascii="仿宋" w:hAnsi="仿宋" w:eastAsia="仿宋"/>
          <w:sz w:val="28"/>
          <w:szCs w:val="28"/>
        </w:rPr>
        <w:t>数据进行分析和判断，提出</w:t>
      </w:r>
      <w:r>
        <w:rPr>
          <w:rFonts w:ascii="仿宋" w:hAnsi="仿宋" w:eastAsia="仿宋"/>
          <w:sz w:val="28"/>
          <w:szCs w:val="28"/>
        </w:rPr>
        <w:t>海上构建</w:t>
      </w:r>
      <w:r>
        <w:rPr>
          <w:rFonts w:hint="eastAsia" w:ascii="仿宋" w:hAnsi="仿宋" w:eastAsia="仿宋"/>
          <w:sz w:val="28"/>
          <w:szCs w:val="28"/>
        </w:rPr>
        <w:t>筑物</w:t>
      </w:r>
      <w:r>
        <w:rPr>
          <w:rFonts w:ascii="仿宋" w:hAnsi="仿宋" w:eastAsia="仿宋"/>
          <w:sz w:val="28"/>
          <w:szCs w:val="28"/>
        </w:rPr>
        <w:t>基础</w:t>
      </w:r>
      <w:r>
        <w:rPr>
          <w:rFonts w:hint="eastAsia" w:ascii="仿宋" w:hAnsi="仿宋" w:eastAsia="仿宋"/>
          <w:sz w:val="28"/>
          <w:szCs w:val="28"/>
        </w:rPr>
        <w:t>的</w:t>
      </w:r>
      <w:r>
        <w:rPr>
          <w:rFonts w:ascii="仿宋" w:hAnsi="仿宋" w:eastAsia="仿宋"/>
          <w:sz w:val="28"/>
          <w:szCs w:val="28"/>
        </w:rPr>
        <w:t>腐蚀</w:t>
      </w:r>
      <w:r>
        <w:rPr>
          <w:rFonts w:hint="eastAsia" w:ascii="仿宋" w:hAnsi="仿宋" w:eastAsia="仿宋"/>
          <w:sz w:val="28"/>
          <w:szCs w:val="28"/>
        </w:rPr>
        <w:t>变化</w:t>
      </w:r>
      <w:r>
        <w:rPr>
          <w:rFonts w:ascii="仿宋" w:hAnsi="仿宋" w:eastAsia="仿宋"/>
          <w:sz w:val="28"/>
          <w:szCs w:val="28"/>
        </w:rPr>
        <w:t>情况及</w:t>
      </w:r>
      <w:r>
        <w:rPr>
          <w:rFonts w:hint="eastAsia" w:ascii="仿宋" w:hAnsi="仿宋" w:eastAsia="仿宋"/>
          <w:sz w:val="28"/>
          <w:szCs w:val="28"/>
        </w:rPr>
        <w:t>趋势，并</w:t>
      </w:r>
      <w:r>
        <w:rPr>
          <w:rFonts w:ascii="仿宋" w:hAnsi="仿宋" w:eastAsia="仿宋"/>
          <w:sz w:val="28"/>
          <w:szCs w:val="28"/>
        </w:rPr>
        <w:t>评估各项目的腐蚀状况，提出结论和建议</w:t>
      </w:r>
      <w:r>
        <w:rPr>
          <w:rFonts w:hint="eastAsia" w:ascii="仿宋" w:hAnsi="仿宋" w:eastAsia="仿宋"/>
          <w:sz w:val="28"/>
          <w:szCs w:val="28"/>
        </w:rPr>
        <w:t>。</w:t>
      </w:r>
      <w:r>
        <w:rPr>
          <w:rFonts w:ascii="仿宋" w:hAnsi="仿宋" w:eastAsia="仿宋"/>
          <w:sz w:val="28"/>
          <w:szCs w:val="28"/>
        </w:rPr>
        <w:t>提交</w:t>
      </w:r>
      <w:r>
        <w:rPr>
          <w:rFonts w:hint="eastAsia" w:ascii="仿宋" w:hAnsi="仿宋" w:eastAsia="仿宋"/>
          <w:sz w:val="28"/>
          <w:szCs w:val="28"/>
        </w:rPr>
        <w:t>报告应为单位盖章纸质版，</w:t>
      </w:r>
      <w:r>
        <w:rPr>
          <w:rFonts w:ascii="仿宋" w:hAnsi="仿宋" w:eastAsia="仿宋"/>
          <w:sz w:val="28"/>
          <w:szCs w:val="28"/>
        </w:rPr>
        <w:t>一式四份，</w:t>
      </w:r>
      <w:r>
        <w:rPr>
          <w:rFonts w:hint="eastAsia" w:ascii="仿宋" w:hAnsi="仿宋" w:eastAsia="仿宋"/>
          <w:sz w:val="28"/>
          <w:szCs w:val="28"/>
        </w:rPr>
        <w:t>并提供相应的电子版资料。</w:t>
      </w:r>
    </w:p>
    <w:p w14:paraId="39DF15E4">
      <w:pPr>
        <w:widowControl/>
        <w:spacing w:before="60" w:after="60" w:line="360" w:lineRule="auto"/>
        <w:jc w:val="left"/>
        <w:rPr>
          <w:rFonts w:hint="eastAsia" w:ascii="仿宋" w:hAnsi="仿宋" w:eastAsia="仿宋"/>
          <w:b/>
          <w:sz w:val="28"/>
          <w:szCs w:val="28"/>
        </w:rPr>
      </w:pPr>
      <w:r>
        <w:rPr>
          <w:rFonts w:ascii="仿宋" w:hAnsi="仿宋" w:eastAsia="仿宋"/>
          <w:b/>
          <w:sz w:val="28"/>
          <w:szCs w:val="28"/>
        </w:rPr>
        <w:t>六</w:t>
      </w:r>
      <w:r>
        <w:rPr>
          <w:rFonts w:hint="eastAsia" w:ascii="仿宋" w:hAnsi="仿宋" w:eastAsia="仿宋"/>
          <w:b/>
          <w:sz w:val="28"/>
          <w:szCs w:val="28"/>
        </w:rPr>
        <w:t>、</w:t>
      </w:r>
      <w:bookmarkStart w:id="13" w:name="_GoBack"/>
      <w:bookmarkEnd w:id="13"/>
      <w:r>
        <w:rPr>
          <w:rFonts w:hint="eastAsia" w:ascii="仿宋" w:hAnsi="仿宋" w:eastAsia="仿宋"/>
          <w:b/>
          <w:sz w:val="28"/>
          <w:szCs w:val="28"/>
        </w:rPr>
        <w:t>考核要求</w:t>
      </w:r>
    </w:p>
    <w:p w14:paraId="3E57AE5C">
      <w:pPr>
        <w:widowControl/>
        <w:spacing w:before="60" w:after="60" w:line="360" w:lineRule="auto"/>
        <w:jc w:val="left"/>
        <w:rPr>
          <w:rFonts w:hint="eastAsia" w:ascii="仿宋" w:hAnsi="仿宋" w:eastAsia="仿宋"/>
          <w:sz w:val="28"/>
          <w:szCs w:val="28"/>
        </w:rPr>
      </w:pPr>
      <w:r>
        <w:rPr>
          <w:rFonts w:hint="eastAsia" w:ascii="仿宋" w:hAnsi="仿宋" w:eastAsia="仿宋"/>
          <w:sz w:val="28"/>
          <w:szCs w:val="28"/>
        </w:rPr>
        <w:t>1、因投标人工作错误造成的损失，投标人除负责采取补救措施外，免收受损失部分的服务费，并根据损失程度向招标人赔偿实际损失。</w:t>
      </w:r>
    </w:p>
    <w:p w14:paraId="44C8D3CB">
      <w:pPr>
        <w:widowControl/>
        <w:spacing w:before="60" w:after="60" w:line="360" w:lineRule="auto"/>
        <w:jc w:val="left"/>
        <w:rPr>
          <w:rFonts w:hint="eastAsia" w:ascii="仿宋" w:hAnsi="仿宋" w:eastAsia="仿宋"/>
          <w:sz w:val="28"/>
          <w:szCs w:val="28"/>
        </w:rPr>
      </w:pPr>
      <w:r>
        <w:rPr>
          <w:rFonts w:hint="eastAsia" w:ascii="仿宋" w:hAnsi="仿宋" w:eastAsia="仿宋"/>
          <w:sz w:val="28"/>
          <w:szCs w:val="28"/>
        </w:rPr>
        <w:t>2、由于投标人自身的原因，延误了按本技术规范书规定的报告文件交付时间，每项文件每延误一天，减收服务总金额的千分之二。</w:t>
      </w:r>
    </w:p>
    <w:p w14:paraId="6771DA73">
      <w:pPr>
        <w:widowControl/>
        <w:spacing w:before="60" w:after="60" w:line="360" w:lineRule="auto"/>
        <w:jc w:val="left"/>
        <w:rPr>
          <w:rFonts w:hint="eastAsia" w:ascii="仿宋" w:hAnsi="仿宋" w:eastAsia="仿宋"/>
          <w:sz w:val="28"/>
          <w:szCs w:val="28"/>
        </w:rPr>
      </w:pPr>
    </w:p>
    <w:p w14:paraId="15D66777">
      <w:pPr>
        <w:widowControl/>
        <w:spacing w:before="60" w:after="60" w:line="360" w:lineRule="auto"/>
        <w:jc w:val="left"/>
        <w:rPr>
          <w:rFonts w:hint="eastAsia" w:ascii="仿宋" w:hAnsi="仿宋" w:eastAsia="仿宋"/>
          <w:sz w:val="28"/>
          <w:szCs w:val="28"/>
        </w:rPr>
      </w:pPr>
    </w:p>
    <w:p w14:paraId="5D4BF31B">
      <w:pPr>
        <w:widowControl/>
        <w:spacing w:before="60" w:after="60" w:line="360" w:lineRule="auto"/>
        <w:jc w:val="left"/>
        <w:rPr>
          <w:rFonts w:hint="eastAsia" w:ascii="仿宋" w:hAnsi="仿宋" w:eastAsia="仿宋"/>
          <w:sz w:val="28"/>
          <w:szCs w:val="28"/>
        </w:rPr>
      </w:pPr>
      <w:r>
        <w:rPr>
          <w:rFonts w:ascii="仿宋" w:hAnsi="仿宋" w:eastAsia="仿宋"/>
          <w:sz w:val="28"/>
          <w:szCs w:val="28"/>
        </w:rPr>
        <w:t>附件：</w:t>
      </w:r>
    </w:p>
    <w:p w14:paraId="45BA3976">
      <w:pPr>
        <w:widowControl/>
        <w:spacing w:before="60" w:after="60" w:line="360" w:lineRule="auto"/>
        <w:ind w:firstLine="495" w:firstLineChars="177"/>
        <w:jc w:val="center"/>
        <w:rPr>
          <w:rFonts w:hint="eastAsia" w:ascii="仿宋" w:hAnsi="仿宋" w:eastAsia="仿宋"/>
          <w:sz w:val="28"/>
          <w:szCs w:val="28"/>
        </w:rPr>
      </w:pPr>
      <w:r>
        <w:rPr>
          <w:rFonts w:ascii="仿宋" w:hAnsi="仿宋" w:eastAsia="仿宋"/>
          <w:sz w:val="28"/>
          <w:szCs w:val="28"/>
        </w:rPr>
        <w:t>危大工程清单</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3402"/>
        <w:gridCol w:w="2551"/>
        <w:gridCol w:w="1616"/>
      </w:tblGrid>
      <w:tr w14:paraId="7EA3E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43B37DD">
            <w:pPr>
              <w:widowControl/>
              <w:spacing w:before="60" w:after="60" w:line="360" w:lineRule="auto"/>
              <w:jc w:val="center"/>
              <w:rPr>
                <w:rFonts w:hint="eastAsia" w:ascii="仿宋" w:hAnsi="仿宋" w:eastAsia="仿宋"/>
                <w:sz w:val="28"/>
                <w:szCs w:val="28"/>
              </w:rPr>
            </w:pPr>
            <w:r>
              <w:rPr>
                <w:rFonts w:ascii="仿宋" w:hAnsi="仿宋" w:eastAsia="仿宋"/>
                <w:sz w:val="28"/>
                <w:szCs w:val="28"/>
              </w:rPr>
              <w:t>序号</w:t>
            </w:r>
          </w:p>
        </w:tc>
        <w:tc>
          <w:tcPr>
            <w:tcW w:w="3402" w:type="dxa"/>
          </w:tcPr>
          <w:p w14:paraId="3EDAE483">
            <w:pPr>
              <w:widowControl/>
              <w:spacing w:before="60" w:after="60" w:line="360" w:lineRule="auto"/>
              <w:jc w:val="center"/>
              <w:rPr>
                <w:rFonts w:hint="eastAsia" w:ascii="仿宋" w:hAnsi="仿宋" w:eastAsia="仿宋"/>
                <w:sz w:val="28"/>
                <w:szCs w:val="28"/>
              </w:rPr>
            </w:pPr>
            <w:r>
              <w:rPr>
                <w:rFonts w:ascii="仿宋" w:hAnsi="仿宋" w:eastAsia="仿宋"/>
                <w:sz w:val="28"/>
                <w:szCs w:val="28"/>
              </w:rPr>
              <w:t>危大工程名称</w:t>
            </w:r>
          </w:p>
        </w:tc>
        <w:tc>
          <w:tcPr>
            <w:tcW w:w="2551" w:type="dxa"/>
          </w:tcPr>
          <w:p w14:paraId="6E7D5D83">
            <w:pPr>
              <w:widowControl/>
              <w:spacing w:before="60" w:after="60" w:line="360" w:lineRule="auto"/>
              <w:jc w:val="center"/>
              <w:rPr>
                <w:rFonts w:hint="eastAsia" w:ascii="仿宋" w:hAnsi="仿宋" w:eastAsia="仿宋"/>
                <w:sz w:val="28"/>
                <w:szCs w:val="28"/>
              </w:rPr>
            </w:pPr>
            <w:r>
              <w:rPr>
                <w:rFonts w:ascii="仿宋" w:hAnsi="仿宋" w:eastAsia="仿宋"/>
                <w:sz w:val="28"/>
                <w:szCs w:val="28"/>
              </w:rPr>
              <w:t>工程内容</w:t>
            </w:r>
          </w:p>
        </w:tc>
        <w:tc>
          <w:tcPr>
            <w:tcW w:w="1616" w:type="dxa"/>
          </w:tcPr>
          <w:p w14:paraId="5A796851">
            <w:pPr>
              <w:widowControl/>
              <w:spacing w:before="60" w:after="60" w:line="360" w:lineRule="auto"/>
              <w:jc w:val="center"/>
              <w:rPr>
                <w:rFonts w:hint="eastAsia" w:ascii="仿宋" w:hAnsi="仿宋" w:eastAsia="仿宋"/>
                <w:sz w:val="28"/>
                <w:szCs w:val="28"/>
              </w:rPr>
            </w:pPr>
            <w:r>
              <w:rPr>
                <w:rFonts w:ascii="仿宋" w:hAnsi="仿宋" w:eastAsia="仿宋"/>
                <w:sz w:val="28"/>
                <w:szCs w:val="28"/>
              </w:rPr>
              <w:t>备注</w:t>
            </w:r>
          </w:p>
        </w:tc>
      </w:tr>
      <w:tr w14:paraId="0FEC1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0685E9B">
            <w:pPr>
              <w:widowControl/>
              <w:spacing w:before="60" w:after="60" w:line="360" w:lineRule="auto"/>
              <w:jc w:val="center"/>
              <w:rPr>
                <w:rFonts w:hint="eastAsia" w:ascii="仿宋" w:hAnsi="仿宋" w:eastAsia="仿宋"/>
                <w:sz w:val="28"/>
                <w:szCs w:val="28"/>
              </w:rPr>
            </w:pPr>
            <w:r>
              <w:rPr>
                <w:rFonts w:hint="eastAsia" w:ascii="仿宋" w:hAnsi="仿宋" w:eastAsia="仿宋"/>
                <w:sz w:val="28"/>
                <w:szCs w:val="28"/>
              </w:rPr>
              <w:t>1</w:t>
            </w:r>
          </w:p>
        </w:tc>
        <w:tc>
          <w:tcPr>
            <w:tcW w:w="3402" w:type="dxa"/>
            <w:tcBorders>
              <w:top w:val="single" w:color="auto" w:sz="4" w:space="0"/>
              <w:left w:val="single" w:color="auto" w:sz="4" w:space="0"/>
              <w:bottom w:val="single" w:color="auto" w:sz="4" w:space="0"/>
              <w:right w:val="single" w:color="auto" w:sz="4" w:space="0"/>
            </w:tcBorders>
          </w:tcPr>
          <w:p w14:paraId="6F0266CD">
            <w:pPr>
              <w:widowControl/>
              <w:spacing w:before="60" w:after="60" w:line="360" w:lineRule="auto"/>
              <w:jc w:val="left"/>
              <w:rPr>
                <w:rFonts w:hint="eastAsia" w:ascii="仿宋" w:hAnsi="仿宋" w:eastAsia="仿宋"/>
                <w:sz w:val="28"/>
                <w:szCs w:val="28"/>
              </w:rPr>
            </w:pPr>
            <w:r>
              <w:rPr>
                <w:rFonts w:ascii="仿宋" w:hAnsi="仿宋" w:eastAsia="仿宋"/>
                <w:sz w:val="28"/>
                <w:szCs w:val="28"/>
              </w:rPr>
              <w:t>水下作业工程</w:t>
            </w:r>
          </w:p>
        </w:tc>
        <w:tc>
          <w:tcPr>
            <w:tcW w:w="2551" w:type="dxa"/>
            <w:tcBorders>
              <w:top w:val="single" w:color="auto" w:sz="4" w:space="0"/>
              <w:left w:val="single" w:color="auto" w:sz="4" w:space="0"/>
              <w:bottom w:val="single" w:color="auto" w:sz="4" w:space="0"/>
              <w:right w:val="single" w:color="auto" w:sz="4" w:space="0"/>
            </w:tcBorders>
          </w:tcPr>
          <w:p w14:paraId="4A2EC879">
            <w:pPr>
              <w:widowControl/>
              <w:spacing w:before="60" w:after="60" w:line="360" w:lineRule="auto"/>
              <w:jc w:val="left"/>
              <w:rPr>
                <w:rFonts w:hint="eastAsia" w:ascii="仿宋" w:hAnsi="仿宋" w:eastAsia="仿宋"/>
                <w:sz w:val="28"/>
                <w:szCs w:val="28"/>
              </w:rPr>
            </w:pPr>
            <w:r>
              <w:rPr>
                <w:rFonts w:ascii="仿宋" w:hAnsi="仿宋" w:eastAsia="仿宋"/>
                <w:sz w:val="28"/>
                <w:szCs w:val="28"/>
              </w:rPr>
              <w:t>水下检测</w:t>
            </w:r>
            <w:r>
              <w:rPr>
                <w:rFonts w:hint="eastAsia" w:ascii="仿宋" w:hAnsi="仿宋" w:eastAsia="仿宋"/>
                <w:sz w:val="28"/>
                <w:szCs w:val="28"/>
              </w:rPr>
              <w:t>作业</w:t>
            </w:r>
          </w:p>
        </w:tc>
        <w:tc>
          <w:tcPr>
            <w:tcW w:w="1616" w:type="dxa"/>
          </w:tcPr>
          <w:p w14:paraId="7FCDA97D">
            <w:pPr>
              <w:widowControl/>
              <w:spacing w:before="60" w:after="60" w:line="360" w:lineRule="auto"/>
              <w:jc w:val="left"/>
              <w:rPr>
                <w:rFonts w:hint="eastAsia" w:ascii="仿宋" w:hAnsi="仿宋" w:eastAsia="仿宋"/>
                <w:sz w:val="28"/>
                <w:szCs w:val="28"/>
              </w:rPr>
            </w:pPr>
          </w:p>
        </w:tc>
      </w:tr>
      <w:tr w14:paraId="58F15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E5333E2">
            <w:pPr>
              <w:widowControl/>
              <w:spacing w:before="60" w:after="60" w:line="360" w:lineRule="auto"/>
              <w:jc w:val="left"/>
              <w:rPr>
                <w:rFonts w:hint="eastAsia" w:ascii="仿宋" w:hAnsi="仿宋" w:eastAsia="仿宋"/>
                <w:sz w:val="28"/>
                <w:szCs w:val="28"/>
              </w:rPr>
            </w:pPr>
          </w:p>
        </w:tc>
        <w:tc>
          <w:tcPr>
            <w:tcW w:w="3402" w:type="dxa"/>
            <w:tcBorders>
              <w:top w:val="single" w:color="auto" w:sz="4" w:space="0"/>
              <w:left w:val="single" w:color="auto" w:sz="4" w:space="0"/>
              <w:bottom w:val="single" w:color="auto" w:sz="4" w:space="0"/>
              <w:right w:val="single" w:color="auto" w:sz="4" w:space="0"/>
            </w:tcBorders>
          </w:tcPr>
          <w:p w14:paraId="08FA5DBD">
            <w:pPr>
              <w:widowControl/>
              <w:spacing w:before="60" w:after="60" w:line="360" w:lineRule="auto"/>
              <w:jc w:val="left"/>
              <w:rPr>
                <w:rFonts w:hint="eastAsia" w:ascii="仿宋" w:hAnsi="仿宋" w:eastAsia="仿宋"/>
                <w:sz w:val="28"/>
                <w:szCs w:val="28"/>
              </w:rPr>
            </w:pPr>
          </w:p>
        </w:tc>
        <w:tc>
          <w:tcPr>
            <w:tcW w:w="2551" w:type="dxa"/>
            <w:tcBorders>
              <w:top w:val="single" w:color="auto" w:sz="4" w:space="0"/>
              <w:left w:val="single" w:color="auto" w:sz="4" w:space="0"/>
              <w:bottom w:val="single" w:color="auto" w:sz="4" w:space="0"/>
              <w:right w:val="single" w:color="auto" w:sz="4" w:space="0"/>
            </w:tcBorders>
          </w:tcPr>
          <w:p w14:paraId="07EAE039">
            <w:pPr>
              <w:widowControl/>
              <w:spacing w:before="60" w:after="60" w:line="360" w:lineRule="auto"/>
              <w:jc w:val="left"/>
              <w:rPr>
                <w:rFonts w:hint="eastAsia" w:ascii="仿宋" w:hAnsi="仿宋" w:eastAsia="仿宋"/>
                <w:sz w:val="28"/>
                <w:szCs w:val="28"/>
              </w:rPr>
            </w:pPr>
          </w:p>
        </w:tc>
        <w:tc>
          <w:tcPr>
            <w:tcW w:w="1616" w:type="dxa"/>
          </w:tcPr>
          <w:p w14:paraId="58A8A5E6">
            <w:pPr>
              <w:widowControl/>
              <w:spacing w:before="60" w:after="60" w:line="360" w:lineRule="auto"/>
              <w:jc w:val="left"/>
              <w:rPr>
                <w:rFonts w:hint="eastAsia" w:ascii="仿宋" w:hAnsi="仿宋" w:eastAsia="仿宋"/>
                <w:sz w:val="28"/>
                <w:szCs w:val="28"/>
              </w:rPr>
            </w:pPr>
          </w:p>
        </w:tc>
      </w:tr>
    </w:tbl>
    <w:p w14:paraId="3AA73CB7">
      <w:pPr>
        <w:widowControl/>
        <w:spacing w:before="60" w:after="60" w:line="360" w:lineRule="auto"/>
        <w:jc w:val="left"/>
        <w:rPr>
          <w:rFonts w:hint="eastAsia" w:ascii="仿宋" w:hAnsi="仿宋" w:eastAsia="仿宋"/>
          <w:sz w:val="28"/>
          <w:szCs w:val="28"/>
        </w:rPr>
      </w:pPr>
    </w:p>
    <w:sectPr>
      <w:pgSz w:w="11906" w:h="16838"/>
      <w:pgMar w:top="1440" w:right="1797" w:bottom="1191"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4F9"/>
    <w:rsid w:val="00182999"/>
    <w:rsid w:val="0063771B"/>
    <w:rsid w:val="006834F9"/>
    <w:rsid w:val="006E5DBC"/>
    <w:rsid w:val="007F6F26"/>
    <w:rsid w:val="008B2AD7"/>
    <w:rsid w:val="00C01F24"/>
    <w:rsid w:val="0A907830"/>
    <w:rsid w:val="0EE76FC7"/>
    <w:rsid w:val="10066A65"/>
    <w:rsid w:val="1B3B50AE"/>
    <w:rsid w:val="218E406A"/>
    <w:rsid w:val="21E565BC"/>
    <w:rsid w:val="27EB190C"/>
    <w:rsid w:val="2A6A7F5C"/>
    <w:rsid w:val="2A8D3BE0"/>
    <w:rsid w:val="2F14517C"/>
    <w:rsid w:val="3ACC0876"/>
    <w:rsid w:val="3C9F722C"/>
    <w:rsid w:val="4036363D"/>
    <w:rsid w:val="4DE334F9"/>
    <w:rsid w:val="507A2D98"/>
    <w:rsid w:val="50E13E11"/>
    <w:rsid w:val="53AF777E"/>
    <w:rsid w:val="541B4D15"/>
    <w:rsid w:val="5EFF5970"/>
    <w:rsid w:val="622009B6"/>
    <w:rsid w:val="626F4BE2"/>
    <w:rsid w:val="62E96178"/>
    <w:rsid w:val="65804C4D"/>
    <w:rsid w:val="674A08BC"/>
    <w:rsid w:val="685C72BB"/>
    <w:rsid w:val="6E233FE5"/>
    <w:rsid w:val="6EE955D7"/>
    <w:rsid w:val="6F5002D8"/>
    <w:rsid w:val="761B6801"/>
    <w:rsid w:val="78331725"/>
    <w:rsid w:val="7F3F0C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uiPriority="99" w:name="Normal Table"/>
    <w:lsdException w:qFormat="1" w:unhideWhenUsed="0" w:uiPriority="0" w:semiHidden="0" w:name="annotation subject"/>
    <w:lsdException w:qFormat="1" w:uiPriority="0" w:name="Table Simple 1"/>
    <w:lsdException w:qFormat="1" w:uiPriority="0" w:name="Table Simple 2"/>
    <w:lsdException w:qFormat="1" w:uiPriority="0" w:name="Table Simple 3"/>
    <w:lsdException w:qFormat="1" w:uiPriority="0" w:name="Table Classic 1"/>
    <w:lsdException w:qFormat="1" w:uiPriority="0" w:name="Table Classic 2"/>
    <w:lsdException w:qFormat="1" w:uiPriority="0" w:name="Table Classic 3"/>
    <w:lsdException w:qFormat="1" w:uiPriority="0" w:name="Table Classic 4"/>
    <w:lsdException w:qFormat="1" w:uiPriority="0" w:name="Table Colorful 1"/>
    <w:lsdException w:qFormat="1" w:uiPriority="0" w:name="Table Colorful 2"/>
    <w:lsdException w:qFormat="1" w:uiPriority="0" w:name="Table Colorful 3"/>
    <w:lsdException w:qFormat="1" w:uiPriority="0" w:name="Table Columns 1"/>
    <w:lsdException w:qFormat="1" w:uiPriority="0" w:name="Table Columns 2"/>
    <w:lsdException w:qFormat="1" w:uiPriority="0" w:name="Table Columns 3"/>
    <w:lsdException w:qFormat="1" w:uiPriority="0" w:name="Table Columns 4"/>
    <w:lsdException w:qFormat="1" w:uiPriority="0" w:name="Table Columns 5"/>
    <w:lsdException w:qFormat="1" w:uiPriority="0" w:name="Table Grid 1"/>
    <w:lsdException w:qFormat="1" w:uiPriority="0" w:name="Table Grid 2"/>
    <w:lsdException w:qFormat="1" w:uiPriority="0" w:name="Table Grid 3"/>
    <w:lsdException w:qFormat="1" w:uiPriority="0" w:name="Table Grid 4"/>
    <w:lsdException w:qFormat="1" w:uiPriority="0" w:name="Table Grid 5"/>
    <w:lsdException w:qFormat="1" w:uiPriority="0" w:name="Table Grid 6"/>
    <w:lsdException w:qFormat="1" w:uiPriority="0" w:name="Table Grid 7"/>
    <w:lsdException w:qFormat="1" w:uiPriority="0" w:name="Table Grid 8"/>
    <w:lsdException w:qFormat="1" w:uiPriority="0" w:name="Table List 1"/>
    <w:lsdException w:qFormat="1" w:uiPriority="0" w:name="Table List 2"/>
    <w:lsdException w:qFormat="1" w:uiPriority="0" w:name="Table List 3"/>
    <w:lsdException w:qFormat="1" w:uiPriority="0" w:name="Table List 4"/>
    <w:lsdException w:qFormat="1" w:uiPriority="0" w:name="Table List 5"/>
    <w:lsdException w:qFormat="1" w:uiPriority="0" w:name="Table List 6"/>
    <w:lsdException w:qFormat="1" w:uiPriority="0" w:name="Table List 7"/>
    <w:lsdException w:qFormat="1" w:uiPriority="0" w:name="Table List 8"/>
    <w:lsdException w:qFormat="1" w:uiPriority="0" w:name="Table 3D effects 1"/>
    <w:lsdException w:qFormat="1" w:uiPriority="0" w:name="Table 3D effects 2"/>
    <w:lsdException w:qFormat="1" w:uiPriority="0" w:name="Table 3D effects 3"/>
    <w:lsdException w:qFormat="1" w:uiPriority="0" w:name="Table Contemporary"/>
    <w:lsdException w:qFormat="1" w:uiPriority="0" w:name="Table Elegant"/>
    <w:lsdException w:qFormat="1" w:uiPriority="0" w:name="Table Professional"/>
    <w:lsdException w:qFormat="1" w:uiPriority="0" w:name="Table Subtle 1"/>
    <w:lsdException w:qFormat="1" w:uiPriority="0" w:name="Table Subtle 2"/>
    <w:lsdException w:qFormat="1" w:uiPriority="0" w:name="Table Web 1"/>
    <w:lsdException w:qFormat="1" w:uiPriority="0" w:name="Table Web 2"/>
    <w:lsdException w:qFormat="1" w:uiPriority="0" w:name="Table Web 3"/>
    <w:lsdException w:qFormat="1" w:unhideWhenUsed="0" w:uiPriority="0" w:semiHidden="0" w:name="Balloon Text"/>
    <w:lsdException w:qFormat="1" w:unhideWhenUsed="0" w:uiPriority="0" w:semiHidden="0" w:name="Table Grid"/>
    <w:lsdException w:qFormat="1"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Times New Roman" w:eastAsia="宋体" w:cs="Arial"/>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360" w:lineRule="auto"/>
      <w:outlineLvl w:val="1"/>
    </w:pPr>
    <w:rPr>
      <w:rFonts w:ascii="Cambria" w:hAnsi="Cambria" w:cs="Times New Roman"/>
      <w:b/>
      <w:bCs/>
      <w:szCs w:val="32"/>
    </w:rPr>
  </w:style>
  <w:style w:type="paragraph" w:styleId="4">
    <w:name w:val="heading 3"/>
    <w:basedOn w:val="1"/>
    <w:next w:val="1"/>
    <w:qFormat/>
    <w:uiPriority w:val="0"/>
    <w:pPr>
      <w:keepNext/>
      <w:keepLines/>
      <w:spacing w:line="360" w:lineRule="auto"/>
      <w:jc w:val="left"/>
      <w:outlineLvl w:val="2"/>
    </w:pPr>
    <w:rPr>
      <w:rFonts w:ascii="Times New Roman" w:eastAsia="黑体" w:cs="Times New Roman"/>
      <w:sz w:val="28"/>
      <w:szCs w:val="20"/>
    </w:rPr>
  </w:style>
  <w:style w:type="paragraph" w:styleId="5">
    <w:name w:val="heading 4"/>
    <w:basedOn w:val="1"/>
    <w:next w:val="1"/>
    <w:qFormat/>
    <w:uiPriority w:val="0"/>
    <w:pPr>
      <w:keepNext/>
      <w:keepLines/>
      <w:spacing w:line="360" w:lineRule="auto"/>
      <w:jc w:val="left"/>
      <w:outlineLvl w:val="3"/>
    </w:pPr>
    <w:rPr>
      <w:rFonts w:ascii="Times New Roman" w:eastAsia="黑体" w:cs="Times New Roman"/>
      <w:bCs/>
      <w:sz w:val="24"/>
      <w:szCs w:val="28"/>
    </w:rPr>
  </w:style>
  <w:style w:type="character" w:default="1" w:styleId="22">
    <w:name w:val="Default Paragraph Font"/>
    <w:semiHidden/>
    <w:unhideWhenUsed/>
    <w:qFormat/>
    <w:uiPriority w:val="1"/>
  </w:style>
  <w:style w:type="table" w:default="1" w:styleId="21">
    <w:name w:val="Normal Table"/>
    <w:semiHidden/>
    <w:unhideWhenUsed/>
    <w:uiPriority w:val="99"/>
    <w:tblPr>
      <w:tblCellMar>
        <w:top w:w="0" w:type="dxa"/>
        <w:left w:w="108" w:type="dxa"/>
        <w:bottom w:w="0" w:type="dxa"/>
        <w:right w:w="108" w:type="dxa"/>
      </w:tblCellMar>
    </w:tblPr>
  </w:style>
  <w:style w:type="paragraph" w:styleId="6">
    <w:name w:val="Normal Indent"/>
    <w:basedOn w:val="1"/>
    <w:qFormat/>
    <w:uiPriority w:val="0"/>
    <w:pPr>
      <w:ind w:firstLine="420"/>
    </w:pPr>
  </w:style>
  <w:style w:type="paragraph" w:styleId="7">
    <w:name w:val="Document Map"/>
    <w:basedOn w:val="1"/>
    <w:qFormat/>
    <w:uiPriority w:val="0"/>
    <w:rPr>
      <w:rFonts w:ascii="宋体"/>
      <w:sz w:val="18"/>
      <w:szCs w:val="18"/>
    </w:rPr>
  </w:style>
  <w:style w:type="paragraph" w:styleId="8">
    <w:name w:val="annotation text"/>
    <w:basedOn w:val="1"/>
    <w:qFormat/>
    <w:uiPriority w:val="0"/>
    <w:pPr>
      <w:jc w:val="left"/>
    </w:pPr>
    <w:rPr>
      <w:rFonts w:ascii="Times New Roman" w:cs="Times New Roman"/>
    </w:rPr>
  </w:style>
  <w:style w:type="paragraph" w:styleId="9">
    <w:name w:val="toc 5"/>
    <w:basedOn w:val="1"/>
    <w:next w:val="1"/>
    <w:autoRedefine/>
    <w:qFormat/>
    <w:uiPriority w:val="0"/>
    <w:pPr>
      <w:ind w:left="1680"/>
    </w:pPr>
  </w:style>
  <w:style w:type="paragraph" w:styleId="10">
    <w:name w:val="toc 3"/>
    <w:basedOn w:val="1"/>
    <w:next w:val="1"/>
    <w:qFormat/>
    <w:uiPriority w:val="0"/>
    <w:pPr>
      <w:widowControl/>
      <w:spacing w:after="100" w:line="259" w:lineRule="auto"/>
      <w:ind w:left="440"/>
      <w:jc w:val="left"/>
    </w:pPr>
    <w:rPr>
      <w:rFonts w:cs="Times New Roman"/>
      <w:kern w:val="0"/>
      <w:sz w:val="22"/>
      <w:szCs w:val="22"/>
    </w:rPr>
  </w:style>
  <w:style w:type="paragraph" w:styleId="11">
    <w:name w:val="toc 8"/>
    <w:basedOn w:val="1"/>
    <w:next w:val="1"/>
    <w:autoRedefine/>
    <w:qFormat/>
    <w:uiPriority w:val="0"/>
    <w:pPr>
      <w:ind w:left="2940"/>
    </w:pPr>
  </w:style>
  <w:style w:type="paragraph" w:styleId="12">
    <w:name w:val="Date"/>
    <w:basedOn w:val="1"/>
    <w:next w:val="1"/>
    <w:qFormat/>
    <w:uiPriority w:val="0"/>
    <w:pPr>
      <w:ind w:left="2500" w:leftChars="2500"/>
    </w:pPr>
    <w:rPr>
      <w:szCs w:val="22"/>
    </w:rPr>
  </w:style>
  <w:style w:type="paragraph" w:styleId="13">
    <w:name w:val="Balloon Text"/>
    <w:basedOn w:val="1"/>
    <w:qFormat/>
    <w:uiPriority w:val="0"/>
    <w:rPr>
      <w:sz w:val="18"/>
      <w:szCs w:val="18"/>
    </w:rPr>
  </w:style>
  <w:style w:type="paragraph" w:styleId="14">
    <w:name w:val="footer"/>
    <w:basedOn w:val="1"/>
    <w:qFormat/>
    <w:uiPriority w:val="0"/>
    <w:pPr>
      <w:tabs>
        <w:tab w:val="center" w:pos="4153"/>
        <w:tab w:val="right" w:pos="8306"/>
      </w:tabs>
      <w:snapToGrid w:val="0"/>
      <w:jc w:val="left"/>
    </w:pPr>
    <w:rPr>
      <w:sz w:val="18"/>
      <w:szCs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0"/>
    <w:pPr>
      <w:widowControl/>
      <w:spacing w:after="100" w:line="259" w:lineRule="auto"/>
      <w:jc w:val="left"/>
    </w:pPr>
    <w:rPr>
      <w:rFonts w:cs="Times New Roman"/>
      <w:kern w:val="0"/>
      <w:sz w:val="22"/>
      <w:szCs w:val="22"/>
    </w:rPr>
  </w:style>
  <w:style w:type="paragraph" w:styleId="17">
    <w:name w:val="toc 4"/>
    <w:basedOn w:val="1"/>
    <w:next w:val="1"/>
    <w:autoRedefine/>
    <w:qFormat/>
    <w:uiPriority w:val="0"/>
    <w:pPr>
      <w:ind w:left="1260"/>
    </w:pPr>
  </w:style>
  <w:style w:type="paragraph" w:styleId="18">
    <w:name w:val="toc 2"/>
    <w:basedOn w:val="1"/>
    <w:next w:val="1"/>
    <w:qFormat/>
    <w:uiPriority w:val="0"/>
    <w:pPr>
      <w:widowControl/>
      <w:spacing w:after="100" w:line="259" w:lineRule="auto"/>
      <w:ind w:left="220"/>
      <w:jc w:val="left"/>
    </w:pPr>
    <w:rPr>
      <w:rFonts w:cs="Times New Roman"/>
      <w:kern w:val="0"/>
      <w:sz w:val="22"/>
      <w:szCs w:val="22"/>
    </w:rPr>
  </w:style>
  <w:style w:type="paragraph" w:styleId="19">
    <w:name w:val="Normal (Web)"/>
    <w:basedOn w:val="1"/>
    <w:qFormat/>
    <w:uiPriority w:val="0"/>
    <w:pPr>
      <w:spacing w:beforeAutospacing="1" w:afterAutospacing="1"/>
      <w:jc w:val="left"/>
    </w:pPr>
    <w:rPr>
      <w:rFonts w:cs="Times New Roman"/>
      <w:kern w:val="0"/>
      <w:sz w:val="24"/>
      <w:szCs w:val="22"/>
    </w:rPr>
  </w:style>
  <w:style w:type="paragraph" w:styleId="20">
    <w:name w:val="annotation subject"/>
    <w:basedOn w:val="8"/>
    <w:next w:val="8"/>
    <w:qFormat/>
    <w:uiPriority w:val="0"/>
    <w:pPr>
      <w:spacing w:line="360" w:lineRule="auto"/>
    </w:pPr>
    <w:rPr>
      <w:b/>
      <w:bCs/>
      <w:sz w:val="24"/>
    </w:rPr>
  </w:style>
  <w:style w:type="character" w:styleId="23">
    <w:name w:val="Hyperlink"/>
    <w:basedOn w:val="22"/>
    <w:qFormat/>
    <w:uiPriority w:val="0"/>
    <w:rPr>
      <w:color w:val="0563C1"/>
      <w:u w:val="single"/>
    </w:rPr>
  </w:style>
  <w:style w:type="character" w:styleId="24">
    <w:name w:val="annotation reference"/>
    <w:qFormat/>
    <w:uiPriority w:val="0"/>
    <w:rPr>
      <w:sz w:val="21"/>
      <w:szCs w:val="21"/>
    </w:rPr>
  </w:style>
  <w:style w:type="paragraph" w:customStyle="1" w:styleId="25">
    <w:name w:val="段"/>
    <w:basedOn w:val="1"/>
    <w:qFormat/>
    <w:uiPriority w:val="0"/>
    <w:pPr>
      <w:widowControl/>
      <w:autoSpaceDE w:val="0"/>
      <w:autoSpaceDN w:val="0"/>
      <w:ind w:firstLine="200" w:firstLineChars="200"/>
    </w:pPr>
    <w:rPr>
      <w:rFonts w:ascii="宋体" w:hAnsi="宋体" w:cs="Times New Roman"/>
      <w:kern w:val="0"/>
      <w:szCs w:val="21"/>
    </w:rPr>
  </w:style>
  <w:style w:type="paragraph" w:customStyle="1" w:styleId="26">
    <w:name w:val="正文1"/>
    <w:basedOn w:val="1"/>
    <w:qFormat/>
    <w:uiPriority w:val="0"/>
    <w:pPr>
      <w:spacing w:line="360" w:lineRule="auto"/>
      <w:ind w:firstLine="200" w:firstLineChars="200"/>
    </w:pPr>
    <w:rPr>
      <w:rFonts w:ascii="Times New Roman" w:cs="Times New Roman"/>
      <w:color w:val="000000"/>
      <w:sz w:val="24"/>
      <w:szCs w:val="20"/>
    </w:rPr>
  </w:style>
  <w:style w:type="paragraph" w:customStyle="1" w:styleId="27">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character" w:customStyle="1" w:styleId="28">
    <w:name w:val="fontstyle01"/>
    <w:basedOn w:val="22"/>
    <w:qFormat/>
    <w:uiPriority w:val="0"/>
    <w:rPr>
      <w:rFonts w:ascii="宋体" w:hAnsi="宋体" w:eastAsia="宋体"/>
      <w:color w:val="000000"/>
      <w:sz w:val="24"/>
      <w:szCs w:val="24"/>
    </w:rPr>
  </w:style>
  <w:style w:type="character" w:customStyle="1" w:styleId="29">
    <w:name w:val="fontstyle21"/>
    <w:basedOn w:val="22"/>
    <w:qFormat/>
    <w:uiPriority w:val="0"/>
    <w:rPr>
      <w:rFonts w:ascii="Times New Roman" w:hAnsi="Times New Roman" w:cs="Times New Roman"/>
      <w:i/>
      <w:iCs/>
      <w:color w:val="000000"/>
      <w:sz w:val="24"/>
      <w:szCs w:val="24"/>
    </w:rPr>
  </w:style>
  <w:style w:type="character" w:customStyle="1" w:styleId="30">
    <w:name w:val="fontstyle31"/>
    <w:basedOn w:val="22"/>
    <w:qFormat/>
    <w:uiPriority w:val="0"/>
    <w:rPr>
      <w:rFonts w:ascii="Times New Roman" w:hAnsi="Times New Roman" w:cs="Times New Roman"/>
      <w:color w:val="000000"/>
      <w:sz w:val="24"/>
      <w:szCs w:val="24"/>
    </w:rPr>
  </w:style>
  <w:style w:type="paragraph" w:styleId="31">
    <w:name w:val="List Paragraph"/>
    <w:basedOn w:val="1"/>
    <w:qFormat/>
    <w:uiPriority w:val="0"/>
    <w:pPr>
      <w:ind w:firstLine="200" w:firstLineChars="200"/>
    </w:pPr>
    <w:rPr>
      <w:rFonts w:ascii="Times New Roman" w:cs="Times New Roman"/>
    </w:rPr>
  </w:style>
  <w:style w:type="character" w:customStyle="1" w:styleId="32">
    <w:name w:val="fontstyle11"/>
    <w:basedOn w:val="22"/>
    <w:qFormat/>
    <w:uiPriority w:val="0"/>
    <w:rPr>
      <w:rFonts w:ascii="TimesNewRomanPSMT" w:hAnsi="TimesNewRomanPSMT"/>
      <w:color w:val="000000"/>
      <w:sz w:val="32"/>
      <w:szCs w:val="32"/>
    </w:rPr>
  </w:style>
  <w:style w:type="paragraph" w:customStyle="1" w:styleId="33">
    <w:name w:val="表名"/>
    <w:qFormat/>
    <w:uiPriority w:val="0"/>
    <w:pPr>
      <w:spacing w:before="50" w:beforeLines="50" w:after="50" w:afterLines="50"/>
      <w:jc w:val="center"/>
    </w:pPr>
    <w:rPr>
      <w:rFonts w:ascii="Times New Roman" w:hAnsi="Times New Roman" w:eastAsia="黑体" w:cs="Times New Roman"/>
      <w:kern w:val="2"/>
      <w:sz w:val="24"/>
      <w:szCs w:val="24"/>
      <w:lang w:val="en-US" w:eastAsia="zh-CN" w:bidi="ar-SA"/>
    </w:rPr>
  </w:style>
  <w:style w:type="paragraph" w:customStyle="1" w:styleId="34">
    <w:name w:val="表格"/>
    <w:qFormat/>
    <w:uiPriority w:val="0"/>
    <w:pPr>
      <w:jc w:val="center"/>
    </w:pPr>
    <w:rPr>
      <w:rFonts w:ascii="Times New Roman" w:hAnsi="Times New Roman" w:eastAsia="宋体" w:cs="Times New Roman"/>
      <w:kern w:val="2"/>
      <w:sz w:val="21"/>
      <w:szCs w:val="24"/>
      <w:lang w:val="en-US" w:eastAsia="zh-CN" w:bidi="ar-SA"/>
    </w:rPr>
  </w:style>
  <w:style w:type="character" w:customStyle="1" w:styleId="35">
    <w:name w:val="标题 2 Char1"/>
    <w:basedOn w:val="22"/>
    <w:qFormat/>
    <w:uiPriority w:val="0"/>
    <w:rPr>
      <w:rFonts w:ascii="Calibri Light" w:hAnsi="Calibri Light" w:eastAsia="宋体" w:cs="Times New Roman"/>
      <w:b/>
      <w:bCs/>
      <w:kern w:val="2"/>
      <w:sz w:val="32"/>
      <w:szCs w:val="32"/>
    </w:rPr>
  </w:style>
  <w:style w:type="paragraph" w:customStyle="1" w:styleId="36">
    <w:name w:val="WPSOffice手动目录 1"/>
    <w:qFormat/>
    <w:uiPriority w:val="0"/>
    <w:rPr>
      <w:rFonts w:ascii="Times New Roman" w:hAnsi="Times New Roman" w:eastAsia="宋体" w:cs="Times New Roman"/>
      <w:lang w:val="en-US" w:eastAsia="zh-CN" w:bidi="ar-SA"/>
    </w:rPr>
  </w:style>
  <w:style w:type="paragraph" w:customStyle="1" w:styleId="37">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38">
    <w:name w:val="font31"/>
    <w:basedOn w:val="22"/>
    <w:qFormat/>
    <w:uiPriority w:val="0"/>
    <w:rPr>
      <w:rFonts w:ascii="宋体" w:hAnsi="宋体" w:eastAsia="宋体" w:cs="宋体"/>
      <w:color w:val="000000"/>
      <w:sz w:val="20"/>
      <w:szCs w:val="20"/>
      <w:u w:val="none"/>
    </w:rPr>
  </w:style>
  <w:style w:type="character" w:customStyle="1" w:styleId="39">
    <w:name w:val="font11"/>
    <w:basedOn w:val="22"/>
    <w:qFormat/>
    <w:uiPriority w:val="0"/>
    <w:rPr>
      <w:rFonts w:ascii="Times New Roman" w:hAnsi="Times New Roman" w:cs="Times New Roman"/>
      <w:color w:val="000000"/>
      <w:sz w:val="20"/>
      <w:szCs w:val="20"/>
      <w:u w:val="none"/>
    </w:rPr>
  </w:style>
  <w:style w:type="character" w:customStyle="1" w:styleId="40">
    <w:name w:val="font21"/>
    <w:basedOn w:val="22"/>
    <w:qFormat/>
    <w:uiPriority w:val="0"/>
    <w:rPr>
      <w:rFonts w:ascii="Times New Roman" w:hAnsi="Times New Roman" w:cs="Times New Roman"/>
      <w:color w:val="000000"/>
      <w:sz w:val="20"/>
      <w:szCs w:val="20"/>
      <w:u w:val="none"/>
      <w:vertAlign w:val="superscript"/>
    </w:rPr>
  </w:style>
  <w:style w:type="paragraph" w:customStyle="1" w:styleId="41">
    <w:name w:val="TOC 标题1"/>
    <w:basedOn w:val="2"/>
    <w:next w:val="1"/>
    <w:qFormat/>
    <w:uiPriority w:val="0"/>
    <w:pPr>
      <w:widowControl/>
      <w:spacing w:before="240" w:after="0" w:line="259" w:lineRule="auto"/>
      <w:jc w:val="left"/>
      <w:outlineLvl w:val="9"/>
    </w:pPr>
    <w:rPr>
      <w:rFonts w:ascii="Calibri Light" w:hAnsi="Calibri Light" w:cs="Times New Roman"/>
      <w:b w:val="0"/>
      <w:bCs w:val="0"/>
      <w:color w:val="2E74B5"/>
      <w:kern w:val="0"/>
      <w:sz w:val="32"/>
      <w:szCs w:val="32"/>
    </w:rPr>
  </w:style>
  <w:style w:type="paragraph" w:customStyle="1" w:styleId="42">
    <w:name w:val="图名"/>
    <w:qFormat/>
    <w:uiPriority w:val="0"/>
    <w:pPr>
      <w:spacing w:line="360" w:lineRule="auto"/>
      <w:jc w:val="center"/>
    </w:pPr>
    <w:rPr>
      <w:rFonts w:ascii="Times New Roman" w:hAnsi="Times New Roman" w:eastAsia="黑体" w:cs="Times New Roman"/>
      <w:kern w:val="2"/>
      <w:sz w:val="24"/>
      <w:szCs w:val="24"/>
      <w:lang w:val="en-US" w:eastAsia="zh-CN" w:bidi="ar-SA"/>
    </w:rPr>
  </w:style>
  <w:style w:type="paragraph" w:customStyle="1" w:styleId="43">
    <w:name w:val="图"/>
    <w:basedOn w:val="34"/>
    <w:qFormat/>
    <w:uiPriority w:val="0"/>
    <w:pPr>
      <w:snapToGrid w:val="0"/>
    </w:pPr>
  </w:style>
  <w:style w:type="character" w:customStyle="1" w:styleId="44">
    <w:name w:val="font51"/>
    <w:qFormat/>
    <w:uiPriority w:val="0"/>
    <w:rPr>
      <w:rFonts w:ascii="宋体" w:hAnsi="宋体" w:eastAsia="宋体" w:cs="宋体"/>
      <w:b/>
      <w:color w:val="000000"/>
      <w:sz w:val="21"/>
      <w:szCs w:val="21"/>
      <w:u w:val="none"/>
    </w:rPr>
  </w:style>
  <w:style w:type="paragraph" w:customStyle="1" w:styleId="45">
    <w:name w:val="TOC 标题2"/>
    <w:basedOn w:val="2"/>
    <w:next w:val="1"/>
    <w:qFormat/>
    <w:uiPriority w:val="0"/>
    <w:pPr>
      <w:widowControl/>
      <w:spacing w:before="240" w:after="0" w:line="259" w:lineRule="auto"/>
      <w:jc w:val="left"/>
      <w:outlineLvl w:val="9"/>
    </w:pPr>
    <w:rPr>
      <w:rFonts w:ascii="Calibri Light" w:hAnsi="Calibri Light" w:cs="Times New Roman"/>
      <w:b w:val="0"/>
      <w:bCs w:val="0"/>
      <w:color w:val="2E74B5"/>
      <w:kern w:val="0"/>
      <w:sz w:val="32"/>
      <w:szCs w:val="32"/>
    </w:rPr>
  </w:style>
  <w:style w:type="paragraph" w:customStyle="1" w:styleId="46">
    <w:name w:val="石城正文"/>
    <w:basedOn w:val="1"/>
    <w:qFormat/>
    <w:uiPriority w:val="0"/>
    <w:pPr>
      <w:spacing w:line="360" w:lineRule="auto"/>
      <w:ind w:firstLine="200" w:firstLineChars="200"/>
    </w:pPr>
    <w:rPr>
      <w:rFonts w:ascii="Times New Roman" w:cs="Times New Roman"/>
      <w:kern w:val="0"/>
      <w:sz w:val="24"/>
      <w:szCs w:val="20"/>
    </w:rPr>
  </w:style>
  <w:style w:type="character" w:customStyle="1" w:styleId="47">
    <w:name w:val="font01"/>
    <w:basedOn w:val="22"/>
    <w:qFormat/>
    <w:uiPriority w:val="0"/>
    <w:rPr>
      <w:rFonts w:ascii="宋体" w:hAnsi="宋体" w:eastAsia="宋体" w:cs="宋体"/>
      <w:color w:val="000000"/>
      <w:sz w:val="22"/>
      <w:szCs w:val="22"/>
      <w:u w:val="none"/>
    </w:rPr>
  </w:style>
  <w:style w:type="paragraph" w:customStyle="1" w:styleId="48">
    <w:name w:val="石城图"/>
    <w:basedOn w:val="42"/>
    <w:qFormat/>
    <w:uiPriority w:val="0"/>
    <w:rPr>
      <w:rFonts w:cs="Arial"/>
      <w:b/>
      <w:sz w:val="21"/>
      <w:szCs w:val="21"/>
    </w:rPr>
  </w:style>
  <w:style w:type="paragraph" w:customStyle="1" w:styleId="49">
    <w:name w:val="Other|1"/>
    <w:basedOn w:val="1"/>
    <w:qFormat/>
    <w:uiPriority w:val="0"/>
    <w:pPr>
      <w:jc w:val="center"/>
    </w:pPr>
    <w:rPr>
      <w:rFonts w:ascii="宋体" w:hAnsi="宋体" w:cs="宋体"/>
      <w:sz w:val="20"/>
      <w:szCs w:val="20"/>
    </w:rPr>
  </w:style>
  <w:style w:type="paragraph" w:customStyle="1" w:styleId="50">
    <w:name w:val="白鹤滩正文"/>
    <w:basedOn w:val="1"/>
    <w:qFormat/>
    <w:uiPriority w:val="0"/>
    <w:pPr>
      <w:spacing w:line="360" w:lineRule="auto"/>
      <w:ind w:firstLine="480"/>
    </w:pPr>
    <w:rPr>
      <w:rFonts w:ascii="Times New Roman" w:cs="Times New Roman"/>
      <w:sz w:val="24"/>
      <w:lang w:val="zh-CN"/>
    </w:rPr>
  </w:style>
  <w:style w:type="paragraph" w:customStyle="1" w:styleId="51">
    <w:name w:val="Char Char Char Char Char Char Char"/>
    <w:basedOn w:val="1"/>
    <w:qFormat/>
    <w:uiPriority w:val="0"/>
    <w:rPr>
      <w:rFonts w:ascii="Times New Roman" w:cs="Times New Roman"/>
    </w:rPr>
  </w:style>
  <w:style w:type="paragraph" w:customStyle="1" w:styleId="52">
    <w:name w:val="Char Char Char Char Char Char Char1"/>
    <w:basedOn w:val="1"/>
    <w:qFormat/>
    <w:uiPriority w:val="0"/>
    <w:rPr>
      <w:rFonts w:ascii="Times New Roman" w:cs="Times New Roman"/>
    </w:rPr>
  </w:style>
  <w:style w:type="character" w:customStyle="1" w:styleId="53">
    <w:name w:val="样式 宋体 小三 加粗 黑色"/>
    <w:qFormat/>
    <w:uiPriority w:val="0"/>
    <w:rPr>
      <w:rFonts w:ascii="宋体" w:hAnsi="宋体" w:eastAsia="宋体"/>
      <w:b/>
      <w:bCs/>
      <w:color w:val="000000"/>
      <w:kern w:val="0"/>
      <w:sz w:val="30"/>
    </w:rPr>
  </w:style>
  <w:style w:type="paragraph" w:customStyle="1" w:styleId="54">
    <w:name w:val="公式样式 符号"/>
    <w:autoRedefine/>
    <w:qFormat/>
    <w:uiPriority w:val="0"/>
    <w:rPr>
      <w:rFonts w:ascii="Times New Roman" w:hAnsi="Times New Roman" w:eastAsia="宋体" w:cs="Arial"/>
      <w:lang w:val="en-US" w:eastAsia="zh-CN" w:bidi="ar-SA"/>
    </w:rPr>
  </w:style>
  <w:style w:type="paragraph" w:customStyle="1" w:styleId="55">
    <w:name w:val="Normal_1_0"/>
    <w:autoRedefine/>
    <w:qFormat/>
    <w:uiPriority w:val="0"/>
    <w:pPr>
      <w:widowControl w:val="0"/>
      <w:jc w:val="both"/>
    </w:pPr>
    <w:rPr>
      <w:rFonts w:ascii="Calibri" w:hAnsi="Calibri" w:eastAsia="宋体" w:cs="Times New Roman"/>
      <w:kern w:val="2"/>
      <w:sz w:val="21"/>
      <w:szCs w:val="24"/>
      <w:lang w:val="en-US" w:eastAsia="zh-CN" w:bidi="ar-SA"/>
    </w:rPr>
  </w:style>
  <w:style w:type="paragraph" w:customStyle="1" w:styleId="56">
    <w:name w:val="Heading 2_0"/>
    <w:basedOn w:val="1"/>
    <w:qFormat/>
    <w:uiPriority w:val="0"/>
    <w:pPr>
      <w:keepNext/>
      <w:keepLines/>
      <w:spacing w:before="260" w:after="260" w:line="360" w:lineRule="auto"/>
      <w:outlineLvl w:val="1"/>
    </w:pPr>
    <w:rPr>
      <w:rFonts w:ascii="Cambria" w:hAnsi="Cambria" w:cs="Times New Roman"/>
      <w:b/>
      <w:bCs/>
      <w:szCs w:val="32"/>
    </w:rPr>
  </w:style>
  <w:style w:type="paragraph" w:customStyle="1" w:styleId="57">
    <w:name w:val="Normal_1"/>
    <w:qFormat/>
    <w:uiPriority w:val="0"/>
    <w:pPr>
      <w:widowControl w:val="0"/>
      <w:spacing w:line="360" w:lineRule="auto"/>
    </w:pPr>
    <w:rPr>
      <w:rFonts w:ascii="Calibri" w:hAnsi="Calibri" w:eastAsia="宋体" w:cs="Times New Roman"/>
      <w:kern w:val="2"/>
      <w:sz w:val="21"/>
      <w:szCs w:val="22"/>
      <w:lang w:val="en-US" w:eastAsia="zh-CN" w:bidi="ar-SA"/>
    </w:rPr>
  </w:style>
  <w:style w:type="paragraph" w:customStyle="1" w:styleId="58">
    <w:name w:val="正文文本1"/>
    <w:basedOn w:val="1"/>
    <w:qFormat/>
    <w:uiPriority w:val="0"/>
    <w:pPr>
      <w:jc w:val="left"/>
    </w:pPr>
    <w:rPr>
      <w:rFonts w:ascii="宋体" w:hAnsi="宋体" w:cs="宋体"/>
      <w:kern w:val="0"/>
      <w:szCs w:val="21"/>
    </w:rPr>
  </w:style>
  <w:style w:type="paragraph" w:customStyle="1" w:styleId="59">
    <w:name w:val="Table Paragraph_0"/>
    <w:basedOn w:val="1"/>
    <w:qFormat/>
    <w:uiPriority w:val="0"/>
    <w:pPr>
      <w:snapToGrid w:val="0"/>
      <w:spacing w:line="440" w:lineRule="exact"/>
      <w:ind w:firstLine="200" w:firstLineChars="200"/>
      <w:jc w:val="left"/>
    </w:pPr>
    <w:rPr>
      <w:rFonts w:ascii="宋体" w:hAnsi="宋体" w:cs="宋体"/>
      <w:kern w:val="0"/>
      <w:sz w:val="24"/>
      <w:szCs w:val="22"/>
    </w:rPr>
  </w:style>
  <w:style w:type="paragraph" w:customStyle="1" w:styleId="60">
    <w:name w:val="Revision"/>
    <w:hidden/>
    <w:unhideWhenUsed/>
    <w:qFormat/>
    <w:uiPriority w:val="99"/>
    <w:rPr>
      <w:rFonts w:ascii="Calibri" w:hAnsi="Times New Roman" w:eastAsia="宋体" w:cs="Arial"/>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4253</Words>
  <Characters>4772</Characters>
  <Lines>37</Lines>
  <Paragraphs>10</Paragraphs>
  <TotalTime>1</TotalTime>
  <ScaleCrop>false</ScaleCrop>
  <LinksUpToDate>false</LinksUpToDate>
  <CharactersWithSpaces>4824</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2024-09-19T23:49:00Z</dcterms:created>
  <dc:creator>WPS_1591333281</dc:creator>
  <cp:lastModifiedBy>钟蔡泽</cp:lastModifiedBy>
  <cp:lastPrinted>2024-11-12T06:09:00Z</cp:lastPrinted>
  <dcterms:modified xsi:type="dcterms:W3CDTF">2024-12-06T05:30:35Z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9B31D00B8F5744359766B331ED905DA2</vt:lpwstr>
  </property>
</Properties>
</file>