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D3691">
      <w:pPr>
        <w:snapToGrid w:val="0"/>
        <w:spacing w:line="360" w:lineRule="auto"/>
        <w:jc w:val="center"/>
        <w:rPr>
          <w:rFonts w:ascii="宋体" w:eastAsia="宋体"/>
          <w:b/>
          <w:sz w:val="48"/>
        </w:rPr>
      </w:pPr>
    </w:p>
    <w:p w14:paraId="71E47BA6">
      <w:pPr>
        <w:autoSpaceDE w:val="0"/>
        <w:autoSpaceDN w:val="0"/>
        <w:adjustRightInd w:val="0"/>
        <w:spacing w:line="360" w:lineRule="auto"/>
        <w:jc w:val="center"/>
        <w:rPr>
          <w:rFonts w:hint="eastAsia" w:ascii="宋体" w:eastAsia="宋体"/>
          <w:b/>
          <w:sz w:val="52"/>
          <w:szCs w:val="52"/>
        </w:rPr>
      </w:pPr>
      <w:r>
        <w:rPr>
          <w:rFonts w:hint="eastAsia" w:ascii="宋体" w:eastAsia="宋体"/>
          <w:b/>
          <w:sz w:val="52"/>
          <w:szCs w:val="52"/>
          <w:lang w:val="en-US" w:eastAsia="zh-CN"/>
        </w:rPr>
        <w:t>乐清天达环保</w:t>
      </w:r>
      <w:r>
        <w:rPr>
          <w:rFonts w:hint="eastAsia" w:ascii="宋体" w:eastAsia="宋体"/>
          <w:b/>
          <w:sz w:val="52"/>
          <w:szCs w:val="52"/>
        </w:rPr>
        <w:t>有限公司</w:t>
      </w:r>
      <w:bookmarkStart w:id="45" w:name="_GoBack"/>
      <w:bookmarkEnd w:id="45"/>
    </w:p>
    <w:p w14:paraId="4EA6D8D8">
      <w:pPr>
        <w:autoSpaceDE w:val="0"/>
        <w:autoSpaceDN w:val="0"/>
        <w:adjustRightInd w:val="0"/>
        <w:spacing w:line="360" w:lineRule="auto"/>
        <w:jc w:val="center"/>
        <w:rPr>
          <w:rFonts w:hint="eastAsia" w:ascii="宋体" w:eastAsia="宋体"/>
          <w:b/>
          <w:sz w:val="52"/>
          <w:szCs w:val="52"/>
        </w:rPr>
      </w:pPr>
      <w:r>
        <w:rPr>
          <w:rFonts w:hint="eastAsia" w:ascii="宋体" w:eastAsia="宋体"/>
          <w:b/>
          <w:sz w:val="52"/>
          <w:szCs w:val="52"/>
        </w:rPr>
        <w:t>辅助运行</w:t>
      </w:r>
      <w:r>
        <w:rPr>
          <w:rFonts w:hint="eastAsia" w:ascii="宋体" w:eastAsia="宋体"/>
          <w:b/>
          <w:sz w:val="52"/>
          <w:szCs w:val="52"/>
        </w:rPr>
        <w:t>及维护检修服务项目</w:t>
      </w:r>
    </w:p>
    <w:p w14:paraId="70F9FCD8">
      <w:pPr>
        <w:autoSpaceDE w:val="0"/>
        <w:autoSpaceDN w:val="0"/>
        <w:adjustRightInd w:val="0"/>
        <w:spacing w:line="360" w:lineRule="auto"/>
        <w:jc w:val="center"/>
        <w:rPr>
          <w:rFonts w:hint="eastAsia" w:ascii="宋体" w:eastAsia="宋体"/>
          <w:b/>
          <w:sz w:val="52"/>
          <w:szCs w:val="52"/>
        </w:rPr>
      </w:pPr>
      <w:r>
        <w:rPr>
          <w:rFonts w:hint="eastAsia" w:ascii="宋体" w:eastAsia="宋体"/>
          <w:b/>
          <w:sz w:val="52"/>
          <w:szCs w:val="52"/>
        </w:rPr>
        <w:t>技术规范</w:t>
      </w:r>
    </w:p>
    <w:p w14:paraId="347FA8FB">
      <w:pPr>
        <w:snapToGrid w:val="0"/>
        <w:spacing w:line="360" w:lineRule="auto"/>
        <w:jc w:val="center"/>
        <w:rPr>
          <w:rFonts w:ascii="宋体" w:eastAsia="宋体"/>
          <w:b/>
          <w:sz w:val="48"/>
        </w:rPr>
      </w:pPr>
    </w:p>
    <w:p w14:paraId="0C393B2B">
      <w:pPr>
        <w:ind w:firstLine="2233" w:firstLineChars="695"/>
        <w:rPr>
          <w:rFonts w:ascii="宋体"/>
          <w:b/>
          <w:sz w:val="32"/>
          <w:szCs w:val="32"/>
        </w:rPr>
      </w:pPr>
      <w:r>
        <w:rPr>
          <w:rFonts w:hint="eastAsia" w:ascii="宋体"/>
          <w:b/>
          <w:sz w:val="32"/>
          <w:szCs w:val="32"/>
        </w:rPr>
        <w:t>编  制：</w:t>
      </w:r>
      <w:r>
        <w:rPr>
          <w:rFonts w:hint="eastAsia" w:ascii="宋体"/>
          <w:b/>
          <w:sz w:val="32"/>
          <w:szCs w:val="32"/>
          <w:u w:val="single"/>
        </w:rPr>
        <w:t xml:space="preserve">                </w:t>
      </w:r>
      <w:r>
        <w:rPr>
          <w:rFonts w:hint="eastAsia" w:ascii="宋体"/>
          <w:b/>
          <w:sz w:val="32"/>
          <w:szCs w:val="32"/>
        </w:rPr>
        <w:t xml:space="preserve">   </w:t>
      </w:r>
    </w:p>
    <w:p w14:paraId="557E5081">
      <w:pPr>
        <w:ind w:firstLine="1581" w:firstLineChars="492"/>
        <w:rPr>
          <w:rFonts w:ascii="宋体"/>
          <w:b/>
          <w:sz w:val="32"/>
          <w:szCs w:val="32"/>
        </w:rPr>
      </w:pPr>
    </w:p>
    <w:p w14:paraId="42893D18">
      <w:pPr>
        <w:ind w:firstLine="2223" w:firstLineChars="692"/>
        <w:rPr>
          <w:rFonts w:ascii="宋体"/>
          <w:b/>
          <w:sz w:val="32"/>
          <w:szCs w:val="32"/>
        </w:rPr>
      </w:pPr>
      <w:r>
        <w:rPr>
          <w:rFonts w:hint="eastAsia" w:ascii="宋体"/>
          <w:b/>
          <w:sz w:val="32"/>
          <w:szCs w:val="32"/>
        </w:rPr>
        <w:t>审  核：</w:t>
      </w:r>
      <w:r>
        <w:rPr>
          <w:rFonts w:hint="eastAsia" w:ascii="宋体"/>
          <w:b/>
          <w:sz w:val="32"/>
          <w:szCs w:val="32"/>
          <w:u w:val="single"/>
        </w:rPr>
        <w:t xml:space="preserve">                </w:t>
      </w:r>
      <w:r>
        <w:rPr>
          <w:rFonts w:hint="eastAsia" w:ascii="宋体"/>
          <w:b/>
          <w:sz w:val="32"/>
          <w:szCs w:val="32"/>
        </w:rPr>
        <w:t xml:space="preserve">        </w:t>
      </w:r>
    </w:p>
    <w:p w14:paraId="0C79F991">
      <w:pPr>
        <w:ind w:firstLine="1581" w:firstLineChars="492"/>
        <w:rPr>
          <w:rFonts w:ascii="宋体"/>
          <w:b/>
          <w:sz w:val="32"/>
          <w:szCs w:val="32"/>
        </w:rPr>
      </w:pPr>
    </w:p>
    <w:p w14:paraId="564F3105">
      <w:pPr>
        <w:ind w:firstLine="2223" w:firstLineChars="692"/>
        <w:rPr>
          <w:rFonts w:ascii="宋体"/>
          <w:b/>
          <w:sz w:val="32"/>
          <w:szCs w:val="32"/>
        </w:rPr>
      </w:pPr>
      <w:r>
        <w:rPr>
          <w:rFonts w:hint="eastAsia" w:ascii="宋体"/>
          <w:b/>
          <w:sz w:val="32"/>
          <w:szCs w:val="32"/>
        </w:rPr>
        <w:t>批  准：</w:t>
      </w:r>
      <w:r>
        <w:rPr>
          <w:rFonts w:hint="eastAsia" w:ascii="宋体"/>
          <w:b/>
          <w:sz w:val="32"/>
          <w:szCs w:val="32"/>
          <w:u w:val="single"/>
        </w:rPr>
        <w:t xml:space="preserve">                </w:t>
      </w:r>
      <w:r>
        <w:rPr>
          <w:rFonts w:hint="eastAsia" w:ascii="宋体"/>
          <w:b/>
          <w:sz w:val="32"/>
          <w:szCs w:val="32"/>
        </w:rPr>
        <w:t xml:space="preserve"> </w:t>
      </w:r>
    </w:p>
    <w:p w14:paraId="123532F0">
      <w:pPr>
        <w:spacing w:line="460" w:lineRule="exact"/>
      </w:pPr>
    </w:p>
    <w:p w14:paraId="24695436">
      <w:pPr>
        <w:spacing w:line="460" w:lineRule="exact"/>
      </w:pPr>
    </w:p>
    <w:p w14:paraId="4CB46916">
      <w:pPr>
        <w:spacing w:line="460" w:lineRule="exact"/>
      </w:pPr>
    </w:p>
    <w:p w14:paraId="6A430FED">
      <w:pPr>
        <w:spacing w:line="460" w:lineRule="exact"/>
      </w:pPr>
    </w:p>
    <w:p w14:paraId="363BDCE4">
      <w:pPr>
        <w:spacing w:line="460" w:lineRule="exact"/>
      </w:pPr>
    </w:p>
    <w:p w14:paraId="309C65C9">
      <w:pPr>
        <w:spacing w:line="460" w:lineRule="exact"/>
      </w:pPr>
    </w:p>
    <w:p w14:paraId="54B12A62">
      <w:pPr>
        <w:spacing w:line="460" w:lineRule="exact"/>
      </w:pPr>
    </w:p>
    <w:p w14:paraId="797D6592">
      <w:pPr>
        <w:spacing w:line="460" w:lineRule="exact"/>
        <w:jc w:val="center"/>
        <w:rPr>
          <w:rFonts w:ascii="黑体"/>
          <w:bCs/>
          <w:spacing w:val="52"/>
          <w:sz w:val="30"/>
          <w:szCs w:val="30"/>
        </w:rPr>
      </w:pPr>
      <w:r>
        <w:rPr>
          <w:rFonts w:hint="eastAsia" w:ascii="黑体"/>
          <w:bCs/>
          <w:spacing w:val="52"/>
          <w:sz w:val="30"/>
          <w:szCs w:val="30"/>
          <w:u w:val="single"/>
          <w:lang w:val="en-US" w:eastAsia="zh-CN"/>
        </w:rPr>
        <w:t>乐清天达环保</w:t>
      </w:r>
      <w:r>
        <w:rPr>
          <w:rFonts w:hint="eastAsia" w:ascii="黑体"/>
          <w:bCs/>
          <w:spacing w:val="52"/>
          <w:sz w:val="30"/>
          <w:szCs w:val="30"/>
        </w:rPr>
        <w:t>有限公司</w:t>
      </w:r>
    </w:p>
    <w:p w14:paraId="2C59F991">
      <w:pPr>
        <w:spacing w:line="460" w:lineRule="exact"/>
        <w:jc w:val="center"/>
        <w:rPr>
          <w:b/>
          <w:spacing w:val="14"/>
          <w:sz w:val="30"/>
          <w:szCs w:val="30"/>
        </w:rPr>
      </w:pPr>
    </w:p>
    <w:p w14:paraId="0335959C">
      <w:pPr>
        <w:spacing w:line="460" w:lineRule="exact"/>
        <w:jc w:val="center"/>
        <w:rPr>
          <w:rFonts w:hint="eastAsia" w:ascii="黑体"/>
          <w:bCs/>
          <w:spacing w:val="52"/>
          <w:sz w:val="30"/>
          <w:szCs w:val="30"/>
        </w:rPr>
      </w:pPr>
      <w:r>
        <w:rPr>
          <w:rFonts w:hint="eastAsia" w:ascii="黑体"/>
          <w:bCs/>
          <w:spacing w:val="52"/>
          <w:sz w:val="30"/>
          <w:szCs w:val="30"/>
          <w:lang w:val="en-US" w:eastAsia="zh-CN"/>
        </w:rPr>
        <w:t>2024</w:t>
      </w:r>
      <w:r>
        <w:rPr>
          <w:rFonts w:hint="eastAsia" w:ascii="黑体"/>
          <w:bCs/>
          <w:spacing w:val="52"/>
          <w:sz w:val="30"/>
          <w:szCs w:val="30"/>
        </w:rPr>
        <w:t>年</w:t>
      </w:r>
      <w:r>
        <w:rPr>
          <w:rFonts w:hint="eastAsia" w:ascii="黑体"/>
          <w:bCs/>
          <w:spacing w:val="52"/>
          <w:sz w:val="30"/>
          <w:szCs w:val="30"/>
          <w:lang w:val="en-US" w:eastAsia="zh-CN"/>
        </w:rPr>
        <w:t>9</w:t>
      </w:r>
      <w:r>
        <w:rPr>
          <w:rFonts w:hint="eastAsia" w:ascii="黑体"/>
          <w:bCs/>
          <w:spacing w:val="52"/>
          <w:sz w:val="30"/>
          <w:szCs w:val="30"/>
        </w:rPr>
        <w:t>月</w:t>
      </w:r>
    </w:p>
    <w:p w14:paraId="0EFC0CA5">
      <w:pPr>
        <w:snapToGrid w:val="0"/>
        <w:spacing w:line="360" w:lineRule="auto"/>
        <w:jc w:val="center"/>
        <w:rPr>
          <w:rFonts w:ascii="宋体" w:eastAsia="宋体"/>
          <w:b/>
          <w:sz w:val="32"/>
        </w:rPr>
      </w:pPr>
    </w:p>
    <w:p w14:paraId="7221BE62">
      <w:pPr>
        <w:snapToGrid w:val="0"/>
        <w:spacing w:line="360" w:lineRule="auto"/>
        <w:jc w:val="center"/>
        <w:rPr>
          <w:rFonts w:ascii="宋体" w:eastAsia="宋体"/>
          <w:b/>
          <w:sz w:val="32"/>
        </w:rPr>
      </w:pPr>
    </w:p>
    <w:p w14:paraId="29B0DA94">
      <w:pPr>
        <w:snapToGrid w:val="0"/>
        <w:spacing w:line="360" w:lineRule="auto"/>
        <w:jc w:val="both"/>
        <w:rPr>
          <w:rFonts w:ascii="宋体" w:eastAsia="宋体"/>
          <w:b/>
          <w:sz w:val="32"/>
        </w:rPr>
      </w:pPr>
      <w:r>
        <w:rPr>
          <w:rFonts w:hint="eastAsia" w:ascii="宋体" w:eastAsia="宋体"/>
          <w:b/>
          <w:sz w:val="32"/>
        </w:rPr>
        <w:t>1</w:t>
      </w:r>
      <w:r>
        <w:rPr>
          <w:rFonts w:ascii="宋体" w:eastAsia="宋体"/>
          <w:b/>
          <w:sz w:val="32"/>
        </w:rPr>
        <w:t>.总则</w:t>
      </w:r>
    </w:p>
    <w:p w14:paraId="7E0F4633">
      <w:pPr>
        <w:pStyle w:val="82"/>
        <w:widowControl w:val="0"/>
        <w:numPr>
          <w:ilvl w:val="1"/>
          <w:numId w:val="1"/>
        </w:numPr>
        <w:wordWrap/>
        <w:adjustRightInd w:val="0"/>
        <w:snapToGrid w:val="0"/>
        <w:spacing w:line="360" w:lineRule="auto"/>
        <w:ind w:left="0" w:firstLine="0"/>
        <w:textAlignment w:val="baseline"/>
        <w:outlineLvl w:val="9"/>
        <w:rPr>
          <w:szCs w:val="21"/>
        </w:rPr>
      </w:pPr>
      <w:r>
        <w:rPr>
          <w:rFonts w:hint="eastAsia"/>
          <w:szCs w:val="21"/>
        </w:rPr>
        <w:t>本技术规范适用于</w:t>
      </w:r>
      <w:r>
        <w:rPr>
          <w:rFonts w:hint="eastAsia"/>
          <w:szCs w:val="21"/>
          <w:lang w:val="en-US" w:eastAsia="zh-CN"/>
        </w:rPr>
        <w:t>乐清天达环保有限</w:t>
      </w:r>
      <w:r>
        <w:rPr>
          <w:rFonts w:hint="eastAsia"/>
          <w:szCs w:val="21"/>
        </w:rPr>
        <w:t>公司辅助运行及维护检修服务工作。</w:t>
      </w:r>
    </w:p>
    <w:p w14:paraId="78216F07">
      <w:pPr>
        <w:pStyle w:val="82"/>
        <w:widowControl w:val="0"/>
        <w:numPr>
          <w:ilvl w:val="1"/>
          <w:numId w:val="1"/>
        </w:numPr>
        <w:wordWrap/>
        <w:adjustRightInd w:val="0"/>
        <w:snapToGrid w:val="0"/>
        <w:spacing w:line="360" w:lineRule="auto"/>
        <w:ind w:left="0" w:firstLine="0"/>
        <w:textAlignment w:val="baseline"/>
        <w:outlineLvl w:val="9"/>
        <w:rPr>
          <w:szCs w:val="21"/>
        </w:rPr>
      </w:pPr>
      <w:r>
        <w:rPr>
          <w:rFonts w:hint="eastAsia"/>
          <w:szCs w:val="21"/>
        </w:rPr>
        <w:t>本技术规范仅提出了最低限度的技术要求，并未对一切技术细节做出详尽规定，也未充分引述有关标准和规范的条文。投标人应保证提供符合法律法规、标准和本技术规范要求的优质服务。</w:t>
      </w:r>
    </w:p>
    <w:p w14:paraId="2BA2661A">
      <w:pPr>
        <w:pStyle w:val="82"/>
        <w:widowControl w:val="0"/>
        <w:numPr>
          <w:ilvl w:val="1"/>
          <w:numId w:val="1"/>
        </w:numPr>
        <w:wordWrap/>
        <w:adjustRightInd w:val="0"/>
        <w:snapToGrid w:val="0"/>
        <w:spacing w:line="360" w:lineRule="auto"/>
        <w:ind w:left="0" w:firstLine="0"/>
        <w:textAlignment w:val="baseline"/>
        <w:outlineLvl w:val="9"/>
        <w:rPr>
          <w:szCs w:val="21"/>
        </w:rPr>
      </w:pPr>
      <w:r>
        <w:rPr>
          <w:rFonts w:hint="eastAsia"/>
          <w:szCs w:val="21"/>
        </w:rPr>
        <w:t>本技术规范所使用的标准如遇与投标人所执行的标准不一致时，按较高标准执行。</w:t>
      </w:r>
    </w:p>
    <w:p w14:paraId="6FAA789E">
      <w:pPr>
        <w:pStyle w:val="82"/>
        <w:widowControl w:val="0"/>
        <w:numPr>
          <w:ilvl w:val="1"/>
          <w:numId w:val="1"/>
        </w:numPr>
        <w:wordWrap/>
        <w:adjustRightInd w:val="0"/>
        <w:snapToGrid w:val="0"/>
        <w:spacing w:line="360" w:lineRule="auto"/>
        <w:ind w:left="0" w:firstLine="0"/>
        <w:textAlignment w:val="baseline"/>
        <w:outlineLvl w:val="9"/>
        <w:rPr>
          <w:szCs w:val="21"/>
        </w:rPr>
      </w:pPr>
      <w:r>
        <w:rPr>
          <w:rFonts w:hint="eastAsia"/>
          <w:szCs w:val="21"/>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差异表”中列出。</w:t>
      </w:r>
    </w:p>
    <w:p w14:paraId="71AEB7D8">
      <w:pPr>
        <w:pStyle w:val="82"/>
        <w:widowControl w:val="0"/>
        <w:numPr>
          <w:ilvl w:val="1"/>
          <w:numId w:val="1"/>
        </w:numPr>
        <w:wordWrap/>
        <w:adjustRightInd w:val="0"/>
        <w:snapToGrid w:val="0"/>
        <w:spacing w:line="360" w:lineRule="auto"/>
        <w:ind w:left="0" w:firstLine="0"/>
        <w:textAlignment w:val="baseline"/>
        <w:outlineLvl w:val="9"/>
        <w:rPr>
          <w:szCs w:val="21"/>
        </w:rPr>
      </w:pPr>
      <w:r>
        <w:rPr>
          <w:rFonts w:hint="eastAsia"/>
          <w:szCs w:val="21"/>
        </w:rPr>
        <w:t>投标人如对本招标文件有偏差</w:t>
      </w:r>
      <w:r>
        <w:rPr>
          <w:szCs w:val="21"/>
        </w:rPr>
        <w:t>(</w:t>
      </w:r>
      <w:r>
        <w:rPr>
          <w:rFonts w:hint="eastAsia"/>
          <w:szCs w:val="21"/>
        </w:rPr>
        <w:t>无论多少或微小</w:t>
      </w:r>
      <w:r>
        <w:rPr>
          <w:szCs w:val="21"/>
        </w:rPr>
        <w:t>)</w:t>
      </w:r>
      <w:r>
        <w:rPr>
          <w:rFonts w:hint="eastAsia"/>
          <w:szCs w:val="21"/>
        </w:rPr>
        <w:t>都必须清楚地表示在本招标文件的附件“技术差异表”中。否则招标人将认为投标人完全接受和同意本招标文件的要求。</w:t>
      </w:r>
    </w:p>
    <w:p w14:paraId="58CEEFB1">
      <w:pPr>
        <w:numPr>
          <w:ilvl w:val="0"/>
          <w:numId w:val="0"/>
        </w:numPr>
        <w:snapToGrid w:val="0"/>
        <w:spacing w:line="360" w:lineRule="auto"/>
        <w:ind w:left="0" w:firstLine="0"/>
        <w:jc w:val="both"/>
        <w:outlineLvl w:val="9"/>
        <w:rPr>
          <w:rFonts w:ascii="宋体" w:eastAsia="宋体"/>
          <w:b/>
          <w:bCs w:val="0"/>
          <w:color w:val="auto"/>
          <w:sz w:val="32"/>
          <w:szCs w:val="21"/>
          <w:highlight w:val="none"/>
        </w:rPr>
      </w:pPr>
      <w:bookmarkStart w:id="0" w:name="_Toc29305253"/>
      <w:r>
        <w:rPr>
          <w:rFonts w:ascii="宋体" w:eastAsia="宋体"/>
          <w:b/>
          <w:bCs w:val="0"/>
          <w:color w:val="auto"/>
          <w:sz w:val="32"/>
          <w:szCs w:val="21"/>
        </w:rPr>
        <w:t>2.</w:t>
      </w:r>
      <w:r>
        <w:rPr>
          <w:rFonts w:hint="eastAsia" w:ascii="宋体" w:eastAsia="宋体"/>
          <w:b/>
          <w:bCs w:val="0"/>
          <w:color w:val="auto"/>
          <w:sz w:val="32"/>
          <w:szCs w:val="21"/>
        </w:rPr>
        <w:t>项目</w:t>
      </w:r>
      <w:r>
        <w:rPr>
          <w:rFonts w:hint="eastAsia" w:ascii="宋体" w:eastAsia="宋体"/>
          <w:b/>
          <w:bCs w:val="0"/>
          <w:color w:val="auto"/>
          <w:sz w:val="32"/>
          <w:szCs w:val="21"/>
          <w:highlight w:val="none"/>
        </w:rPr>
        <w:t>概述</w:t>
      </w:r>
      <w:bookmarkEnd w:id="0"/>
    </w:p>
    <w:p w14:paraId="3B31B884">
      <w:pPr>
        <w:spacing w:line="360" w:lineRule="auto"/>
        <w:ind w:firstLine="420"/>
        <w:rPr>
          <w:rFonts w:ascii="宋体" w:eastAsia="宋体"/>
          <w:color w:val="000000"/>
          <w:sz w:val="21"/>
          <w:szCs w:val="21"/>
        </w:rPr>
      </w:pPr>
      <w:r>
        <w:rPr>
          <w:rFonts w:hint="eastAsia" w:ascii="宋体" w:eastAsia="宋体"/>
          <w:color w:val="000000"/>
          <w:sz w:val="21"/>
          <w:szCs w:val="21"/>
          <w:lang w:val="en-US" w:eastAsia="zh-CN"/>
        </w:rPr>
        <w:t>乐清天达环保有限公司</w:t>
      </w:r>
      <w:r>
        <w:rPr>
          <w:rFonts w:hint="eastAsia" w:ascii="宋体" w:eastAsia="宋体"/>
          <w:color w:val="000000"/>
          <w:sz w:val="21"/>
          <w:szCs w:val="21"/>
        </w:rPr>
        <w:t>（以下简称“</w:t>
      </w:r>
      <w:r>
        <w:rPr>
          <w:rFonts w:hint="eastAsia" w:ascii="宋体" w:eastAsia="宋体"/>
          <w:color w:val="000000"/>
          <w:sz w:val="21"/>
          <w:szCs w:val="21"/>
          <w:lang w:val="en-US" w:eastAsia="zh-CN"/>
        </w:rPr>
        <w:t>招标方</w:t>
      </w:r>
      <w:r>
        <w:rPr>
          <w:rFonts w:hint="eastAsia" w:ascii="宋体" w:eastAsia="宋体"/>
          <w:color w:val="000000"/>
          <w:sz w:val="21"/>
          <w:szCs w:val="21"/>
        </w:rPr>
        <w:t>”）厂址位于</w:t>
      </w:r>
      <w:r>
        <w:rPr>
          <w:rFonts w:hint="eastAsia" w:ascii="宋体" w:hAnsi="Times New Roman" w:eastAsia="宋体" w:cs="Times New Roman"/>
          <w:color w:val="000000"/>
          <w:sz w:val="21"/>
          <w:szCs w:val="21"/>
          <w:lang w:val="en-US" w:eastAsia="zh-CN"/>
        </w:rPr>
        <w:t xml:space="preserve">浙江乐清市南岳镇虹南大道8866号（浙能乐清电厂内）。承担浙能乐清电厂6台总装机量4640MW发电机组所需脱硫剂加工和固体废弃物处置业务。  </w:t>
      </w:r>
    </w:p>
    <w:p w14:paraId="6FF016E7">
      <w:pPr>
        <w:spacing w:line="360" w:lineRule="auto"/>
        <w:ind w:firstLine="420"/>
        <w:rPr>
          <w:rFonts w:hint="eastAsia" w:ascii="宋体" w:eastAsia="宋体"/>
          <w:color w:val="000000"/>
          <w:sz w:val="21"/>
          <w:szCs w:val="21"/>
        </w:rPr>
      </w:pPr>
      <w:r>
        <w:rPr>
          <w:rFonts w:hint="eastAsia" w:ascii="宋体" w:eastAsia="宋体"/>
          <w:color w:val="000000"/>
          <w:sz w:val="21"/>
          <w:szCs w:val="21"/>
        </w:rPr>
        <w:t>主要产业包括</w:t>
      </w:r>
      <w:r>
        <w:rPr>
          <w:rFonts w:hint="eastAsia" w:ascii="宋体" w:eastAsia="宋体"/>
          <w:color w:val="000000"/>
          <w:sz w:val="21"/>
          <w:szCs w:val="21"/>
          <w:lang w:val="en-US" w:eastAsia="zh-CN"/>
        </w:rPr>
        <w:t>磨石粉厂及其生产设备、固废堆棚、3套干灰分选设备、石灰石堆场、办公楼及其他附属构筑物、配套辅助设施等</w:t>
      </w:r>
      <w:r>
        <w:rPr>
          <w:rFonts w:hint="eastAsia" w:ascii="宋体" w:hAnsi="Times New Roman" w:eastAsia="宋体" w:cs="Times New Roman"/>
          <w:color w:val="000000"/>
          <w:sz w:val="21"/>
          <w:szCs w:val="21"/>
          <w:lang w:val="en-US" w:eastAsia="zh-CN"/>
        </w:rPr>
        <w:t>。</w:t>
      </w:r>
    </w:p>
    <w:p w14:paraId="5A402C62">
      <w:pPr>
        <w:widowControl/>
        <w:spacing w:before="156" w:beforeLines="50" w:after="156" w:afterLines="50" w:line="360" w:lineRule="auto"/>
        <w:jc w:val="both"/>
        <w:outlineLvl w:val="3"/>
        <w:rPr>
          <w:rFonts w:hint="eastAsia" w:ascii="宋体" w:hAnsi="宋体" w:eastAsia="宋体" w:cs="宋体"/>
          <w:b/>
          <w:bCs/>
          <w:sz w:val="21"/>
          <w:szCs w:val="21"/>
        </w:rPr>
      </w:pPr>
      <w:bookmarkStart w:id="1" w:name="_Toc31262"/>
      <w:bookmarkStart w:id="2" w:name="_Toc20866"/>
      <w:bookmarkStart w:id="3" w:name="_Toc1118"/>
      <w:bookmarkStart w:id="4" w:name="_Toc28952249"/>
      <w:bookmarkStart w:id="5" w:name="_Toc29305259"/>
      <w:r>
        <w:rPr>
          <w:rFonts w:hint="eastAsia" w:ascii="宋体" w:hAnsi="宋体" w:eastAsia="宋体" w:cs="宋体"/>
          <w:b/>
          <w:bCs/>
          <w:sz w:val="21"/>
          <w:szCs w:val="21"/>
        </w:rPr>
        <w:t>1.石灰石磨粉系统简介：</w:t>
      </w:r>
      <w:bookmarkEnd w:id="1"/>
      <w:bookmarkEnd w:id="2"/>
      <w:bookmarkEnd w:id="3"/>
      <w:bookmarkEnd w:id="4"/>
    </w:p>
    <w:p w14:paraId="3DA354B0">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系统总述：磨石粉车间于2007年6月开始动工，2008年9月11日投产。共设</w:t>
      </w:r>
      <w:r>
        <w:rPr>
          <w:rFonts w:hint="eastAsia" w:ascii="宋体" w:hAnsi="宋体" w:eastAsia="宋体" w:cs="宋体"/>
          <w:sz w:val="21"/>
          <w:szCs w:val="21"/>
          <w:lang w:val="en-US" w:eastAsia="zh-CN"/>
        </w:rPr>
        <w:t>2套石灰石磨粉系统</w:t>
      </w:r>
      <w:r>
        <w:rPr>
          <w:rFonts w:hint="eastAsia" w:ascii="宋体" w:hAnsi="宋体" w:eastAsia="宋体" w:cs="宋体"/>
          <w:sz w:val="21"/>
          <w:szCs w:val="21"/>
        </w:rPr>
        <w:t>，每套石灰石粉磨系统出力为18.9吨/小时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现</w:t>
      </w:r>
      <w:r>
        <w:rPr>
          <w:rFonts w:hint="eastAsia" w:ascii="宋体" w:hAnsi="宋体" w:eastAsia="宋体" w:cs="宋体"/>
          <w:sz w:val="21"/>
          <w:szCs w:val="21"/>
        </w:rPr>
        <w:t>用于浙能乐清电厂</w:t>
      </w:r>
      <w:r>
        <w:rPr>
          <w:rFonts w:hint="eastAsia" w:ascii="宋体" w:hAnsi="宋体" w:eastAsia="宋体" w:cs="宋体"/>
          <w:sz w:val="21"/>
          <w:szCs w:val="21"/>
          <w:lang w:val="en-US" w:eastAsia="zh-CN"/>
        </w:rPr>
        <w:t>6台总计4640</w:t>
      </w:r>
      <w:r>
        <w:rPr>
          <w:rFonts w:hint="eastAsia" w:ascii="宋体" w:hAnsi="宋体" w:eastAsia="宋体" w:cs="宋体"/>
          <w:sz w:val="21"/>
          <w:szCs w:val="21"/>
        </w:rPr>
        <w:t>MW</w:t>
      </w:r>
      <w:r>
        <w:rPr>
          <w:rFonts w:hint="eastAsia" w:ascii="宋体" w:hAnsi="宋体" w:eastAsia="宋体" w:cs="宋体"/>
          <w:sz w:val="21"/>
          <w:szCs w:val="21"/>
          <w:lang w:val="en-US" w:eastAsia="zh-CN"/>
        </w:rPr>
        <w:t>发电</w:t>
      </w:r>
      <w:r>
        <w:rPr>
          <w:rFonts w:hint="eastAsia" w:ascii="宋体" w:hAnsi="宋体" w:eastAsia="宋体" w:cs="宋体"/>
          <w:sz w:val="21"/>
          <w:szCs w:val="21"/>
        </w:rPr>
        <w:t>机组烟气脱硫所需石灰石粉的生产。</w:t>
      </w:r>
      <w:r>
        <w:rPr>
          <w:rFonts w:hint="eastAsia" w:ascii="宋体" w:hAnsi="宋体" w:eastAsia="宋体" w:cs="宋体"/>
          <w:sz w:val="21"/>
          <w:szCs w:val="21"/>
          <w:lang w:val="en-US" w:eastAsia="zh-CN"/>
        </w:rPr>
        <w:t>其主要工艺流程是由铲车将石料堆场石灰石铲至卸料间料斗内，石灰石经电磁振动给料机、斗式提升机、皮带输送机等输送设备进入磨机内，经碾磨后符合</w:t>
      </w:r>
      <w:r>
        <w:rPr>
          <w:rFonts w:hint="eastAsia" w:ascii="宋体" w:hAnsi="宋体" w:eastAsia="宋体" w:cs="宋体"/>
          <w:sz w:val="21"/>
          <w:szCs w:val="21"/>
        </w:rPr>
        <w:t>细度325目（90％以上通过）</w:t>
      </w:r>
      <w:r>
        <w:rPr>
          <w:rFonts w:hint="eastAsia" w:ascii="宋体" w:hAnsi="宋体" w:eastAsia="宋体" w:cs="宋体"/>
          <w:sz w:val="21"/>
          <w:szCs w:val="21"/>
          <w:lang w:val="en-US" w:eastAsia="zh-CN"/>
        </w:rPr>
        <w:t>的合格石灰石粉被循环风输送至主收尘器，</w:t>
      </w:r>
      <w:r>
        <w:rPr>
          <w:rFonts w:hint="eastAsia" w:ascii="宋体" w:hAnsi="宋体" w:eastAsia="宋体" w:cs="宋体"/>
          <w:sz w:val="21"/>
          <w:szCs w:val="21"/>
        </w:rPr>
        <w:t>经过主收尘器收集的合格成品粉通过 FU链式输送机</w:t>
      </w:r>
      <w:r>
        <w:rPr>
          <w:rFonts w:hint="eastAsia" w:ascii="宋体" w:hAnsi="宋体" w:eastAsia="宋体" w:cs="宋体"/>
          <w:sz w:val="21"/>
          <w:szCs w:val="21"/>
          <w:lang w:eastAsia="zh-CN"/>
        </w:rPr>
        <w:t>、</w:t>
      </w:r>
      <w:r>
        <w:rPr>
          <w:rFonts w:hint="eastAsia" w:ascii="宋体" w:hAnsi="宋体" w:eastAsia="宋体" w:cs="宋体"/>
          <w:sz w:val="21"/>
          <w:szCs w:val="21"/>
        </w:rPr>
        <w:t>斗式提升机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气化风机、空气斜槽等输送设备</w:t>
      </w:r>
      <w:r>
        <w:rPr>
          <w:rFonts w:hint="eastAsia" w:ascii="宋体" w:hAnsi="宋体" w:eastAsia="宋体" w:cs="宋体"/>
          <w:sz w:val="21"/>
          <w:szCs w:val="21"/>
        </w:rPr>
        <w:t>送入乐清电厂的两</w:t>
      </w:r>
      <w:r>
        <w:rPr>
          <w:rFonts w:hint="eastAsia" w:ascii="宋体" w:hAnsi="宋体" w:eastAsia="宋体" w:cs="宋体"/>
          <w:sz w:val="21"/>
          <w:szCs w:val="21"/>
          <w:lang w:val="en-US" w:eastAsia="zh-CN"/>
        </w:rPr>
        <w:t>只</w:t>
      </w:r>
      <w:r>
        <w:rPr>
          <w:rFonts w:hint="eastAsia" w:ascii="宋体" w:hAnsi="宋体" w:eastAsia="宋体" w:cs="宋体"/>
          <w:sz w:val="21"/>
          <w:szCs w:val="21"/>
        </w:rPr>
        <w:t>石灰石粉仓。</w:t>
      </w:r>
      <w:r>
        <w:rPr>
          <w:rFonts w:hint="eastAsia" w:ascii="宋体" w:hAnsi="宋体" w:eastAsia="宋体" w:cs="宋体"/>
          <w:sz w:val="21"/>
          <w:szCs w:val="21"/>
          <w:lang w:val="en-US" w:eastAsia="zh-CN"/>
        </w:rPr>
        <w:t xml:space="preserve">                                   </w:t>
      </w:r>
      <w:bookmarkStart w:id="6" w:name="_Toc234224482"/>
    </w:p>
    <w:p w14:paraId="227D7DCE">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石灰石上料系统</w:t>
      </w:r>
      <w:bookmarkEnd w:id="6"/>
      <w:r>
        <w:rPr>
          <w:rFonts w:hint="eastAsia" w:ascii="宋体" w:hAnsi="宋体" w:eastAsia="宋体" w:cs="宋体"/>
          <w:sz w:val="21"/>
          <w:szCs w:val="21"/>
        </w:rPr>
        <w:t>：</w:t>
      </w:r>
      <w:r>
        <w:rPr>
          <w:rFonts w:hint="eastAsia" w:ascii="宋体" w:hAnsi="宋体" w:eastAsia="宋体" w:cs="宋体"/>
          <w:sz w:val="21"/>
          <w:szCs w:val="21"/>
          <w:lang w:val="en-US" w:eastAsia="zh-CN"/>
        </w:rPr>
        <w:t>石灰石上料系统共两套设备，第一套上料系统于2008年9月11日投产，第二套上料系统于2024年12月底投产。两套系统公用一个石灰石堆场，</w:t>
      </w:r>
      <w:r>
        <w:rPr>
          <w:rFonts w:hint="eastAsia" w:ascii="宋体" w:hAnsi="宋体" w:eastAsia="宋体" w:cs="宋体"/>
          <w:sz w:val="21"/>
          <w:szCs w:val="21"/>
        </w:rPr>
        <w:t>石灰石堆料场贮量约为12000吨，石灰石粒径不大于40mm</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第一套上料系统工艺流程将</w:t>
      </w:r>
      <w:r>
        <w:rPr>
          <w:rFonts w:hint="eastAsia" w:ascii="宋体" w:hAnsi="宋体" w:eastAsia="宋体" w:cs="宋体"/>
          <w:sz w:val="21"/>
          <w:szCs w:val="21"/>
        </w:rPr>
        <w:t>堆场石灰石用铲斗车送至卸料间的料斗内，</w:t>
      </w:r>
      <w:r>
        <w:rPr>
          <w:rFonts w:hint="eastAsia" w:ascii="宋体" w:hAnsi="宋体" w:eastAsia="宋体" w:cs="宋体"/>
          <w:sz w:val="21"/>
          <w:szCs w:val="21"/>
          <w:lang w:val="en-US" w:eastAsia="zh-CN"/>
        </w:rPr>
        <w:t>经电磁振动给料机振动输送至石灰石上料提升机，</w:t>
      </w:r>
      <w:r>
        <w:rPr>
          <w:rFonts w:hint="eastAsia" w:ascii="宋体" w:hAnsi="宋体" w:eastAsia="宋体" w:cs="宋体"/>
          <w:sz w:val="21"/>
          <w:szCs w:val="21"/>
        </w:rPr>
        <w:t>通过石灰石上料提升机提升后，再通过耐磨正三通给料阀，分别送入到二只石灰石料仓内。</w:t>
      </w:r>
      <w:r>
        <w:rPr>
          <w:rFonts w:hint="eastAsia" w:ascii="宋体" w:hAnsi="宋体" w:eastAsia="宋体" w:cs="宋体"/>
          <w:sz w:val="21"/>
          <w:szCs w:val="21"/>
          <w:lang w:val="en-US" w:eastAsia="zh-CN"/>
        </w:rPr>
        <w:t>第二套上料系统较第一套上料系统在石灰石料仓顶增设一台全封闭式皮带输送机。</w:t>
      </w:r>
      <w:r>
        <w:rPr>
          <w:rFonts w:hint="eastAsia" w:ascii="宋体" w:hAnsi="宋体" w:eastAsia="宋体" w:cs="宋体"/>
          <w:sz w:val="21"/>
          <w:szCs w:val="21"/>
        </w:rPr>
        <w:t>石灰石料仓采用钢筋混凝土结构，贮量约400吨/只，单仓容量按四台锅炉在BMCR设计工况运行1天（每天按20小时计）的吸收剂耗量设计。</w:t>
      </w:r>
      <w:bookmarkStart w:id="7" w:name="_Toc234224483"/>
    </w:p>
    <w:p w14:paraId="3340B95E">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磨</w:t>
      </w:r>
      <w:bookmarkEnd w:id="7"/>
      <w:r>
        <w:rPr>
          <w:rFonts w:hint="eastAsia" w:ascii="宋体" w:hAnsi="宋体" w:eastAsia="宋体" w:cs="宋体"/>
          <w:sz w:val="21"/>
          <w:szCs w:val="21"/>
        </w:rPr>
        <w:t>机：磨机</w:t>
      </w:r>
      <w:r>
        <w:rPr>
          <w:rFonts w:hint="eastAsia" w:ascii="宋体" w:hAnsi="宋体" w:eastAsia="宋体" w:cs="宋体"/>
          <w:sz w:val="21"/>
          <w:szCs w:val="21"/>
          <w:lang w:val="en-US" w:eastAsia="zh-CN"/>
        </w:rPr>
        <w:t>共计2台，型号为</w:t>
      </w:r>
      <w:r>
        <w:rPr>
          <w:rFonts w:hint="eastAsia" w:ascii="宋体" w:hAnsi="宋体" w:eastAsia="宋体" w:cs="宋体"/>
          <w:kern w:val="2"/>
          <w:sz w:val="21"/>
          <w:szCs w:val="21"/>
          <w:lang w:val="en-US" w:eastAsia="zh-CN" w:bidi="ar-SA"/>
        </w:rPr>
        <w:t>HRM1700，</w:t>
      </w:r>
      <w:r>
        <w:rPr>
          <w:rFonts w:hint="eastAsia" w:ascii="宋体" w:hAnsi="宋体" w:eastAsia="宋体" w:cs="宋体"/>
          <w:sz w:val="21"/>
          <w:szCs w:val="21"/>
        </w:rPr>
        <w:t>是磨粉系统中的主体设备，</w:t>
      </w:r>
      <w:r>
        <w:rPr>
          <w:rFonts w:hint="eastAsia" w:ascii="宋体" w:hAnsi="宋体" w:eastAsia="宋体" w:cs="宋体"/>
          <w:sz w:val="21"/>
          <w:szCs w:val="21"/>
          <w:lang w:val="en-US" w:eastAsia="zh-CN"/>
        </w:rPr>
        <w:t>其主要工艺流是将</w:t>
      </w:r>
      <w:r>
        <w:rPr>
          <w:rFonts w:hint="eastAsia" w:ascii="宋体" w:hAnsi="宋体" w:eastAsia="宋体" w:cs="宋体"/>
          <w:sz w:val="21"/>
          <w:szCs w:val="21"/>
        </w:rPr>
        <w:t>石灰石料仓内的石灰石（≤40mm）经调速皮带称按工艺设定要求计量后，经磨机进料提升机、磨机进料锁气器喂入磨机内，石灰石经下料溜管落在磨盘的中间，由于磨盘的旋转带动磨辊转动，而石灰石在离心力的作用下向磨盘边缘移动，并被啮入磨辊底部而粉碎，同时继续向外运动并越过挡料圈落入风环，大颗粒由于重量太大，直接落入风环内，进入排渣口，经磨机进料提升机、磨机进料锁气器重新喂入磨机内。中、小颗粒被高速气流带起，中颗粒由于重力作用重新落到磨盘内，小颗粒被气流带入选粉机内，在回转风叶的作用下，进行分选。中颗粒重新返回磨盘再粉磨，合格的成品粉随着输送气流进入主收尘器内。经主收尘器收集后的石灰石粉通过链式输送机</w:t>
      </w:r>
      <w:r>
        <w:rPr>
          <w:rFonts w:hint="eastAsia" w:ascii="宋体" w:hAnsi="宋体" w:eastAsia="宋体" w:cs="宋体"/>
          <w:sz w:val="21"/>
          <w:szCs w:val="21"/>
          <w:lang w:eastAsia="zh-CN"/>
        </w:rPr>
        <w:t>、</w:t>
      </w:r>
      <w:r>
        <w:rPr>
          <w:rFonts w:hint="eastAsia" w:ascii="宋体" w:hAnsi="宋体" w:eastAsia="宋体" w:cs="宋体"/>
          <w:sz w:val="21"/>
          <w:szCs w:val="21"/>
        </w:rPr>
        <w:t>粉仓进料提升机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空气斜槽</w:t>
      </w:r>
      <w:r>
        <w:rPr>
          <w:rFonts w:hint="eastAsia" w:ascii="宋体" w:hAnsi="宋体" w:eastAsia="宋体" w:cs="宋体"/>
          <w:sz w:val="21"/>
          <w:szCs w:val="21"/>
        </w:rPr>
        <w:t>输送至乐清电厂石灰石粉仓内贮存。</w:t>
      </w:r>
    </w:p>
    <w:p w14:paraId="7E3AC9D7">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循环风系统：循环风机</w:t>
      </w:r>
      <w:r>
        <w:rPr>
          <w:rFonts w:hint="eastAsia" w:ascii="宋体" w:hAnsi="宋体" w:eastAsia="宋体" w:cs="宋体"/>
          <w:sz w:val="21"/>
          <w:szCs w:val="21"/>
          <w:lang w:val="en-US" w:eastAsia="zh-CN"/>
        </w:rPr>
        <w:t>共计两台，</w:t>
      </w:r>
      <w:r>
        <w:rPr>
          <w:rFonts w:hint="eastAsia" w:ascii="宋体" w:hAnsi="宋体" w:eastAsia="宋体" w:cs="宋体"/>
          <w:sz w:val="21"/>
          <w:szCs w:val="21"/>
        </w:rPr>
        <w:t>为整个磨粉系统中气粉运动的提供动力，主收尘器后的循环风经循环风机</w:t>
      </w:r>
      <w:r>
        <w:rPr>
          <w:rFonts w:hint="eastAsia" w:ascii="宋体" w:hAnsi="宋体" w:eastAsia="宋体" w:cs="宋体"/>
          <w:sz w:val="21"/>
          <w:szCs w:val="21"/>
          <w:lang w:val="en-US" w:eastAsia="zh-CN"/>
        </w:rPr>
        <w:t>通过</w:t>
      </w:r>
      <w:r>
        <w:rPr>
          <w:rFonts w:hint="eastAsia" w:ascii="宋体" w:hAnsi="宋体" w:eastAsia="宋体" w:cs="宋体"/>
          <w:sz w:val="21"/>
          <w:szCs w:val="21"/>
        </w:rPr>
        <w:t>循环风管重新进入磨机内，循环风系统设有外排乏气管和补风管，通过调节风门控制外排乏气量和补风量维持循环风的湿度，并且在磨机之前，设有循环风蒸汽加热器，当石灰石的含水率较大时，可使用热风交换器系统，石灰石在立式磨内同时完成粉磨和烘干，使石灰石粉的含水率达到≤1%的要求。</w:t>
      </w:r>
    </w:p>
    <w:p w14:paraId="42A397C0">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润滑油系统：</w:t>
      </w:r>
      <w:bookmarkStart w:id="8" w:name="_Toc234224492"/>
      <w:bookmarkStart w:id="9" w:name="_Toc232216229"/>
      <w:bookmarkStart w:id="10" w:name="_Toc232216738"/>
      <w:r>
        <w:rPr>
          <w:rFonts w:hint="eastAsia" w:ascii="宋体" w:hAnsi="宋体" w:eastAsia="宋体" w:cs="宋体"/>
          <w:sz w:val="21"/>
          <w:szCs w:val="21"/>
        </w:rPr>
        <w:t>润滑油系统</w:t>
      </w:r>
      <w:r>
        <w:rPr>
          <w:rFonts w:hint="eastAsia" w:ascii="宋体" w:hAnsi="宋体" w:eastAsia="宋体" w:cs="宋体"/>
          <w:sz w:val="21"/>
          <w:szCs w:val="21"/>
          <w:lang w:val="en-US" w:eastAsia="zh-CN"/>
        </w:rPr>
        <w:t>共计两套，</w:t>
      </w:r>
      <w:r>
        <w:rPr>
          <w:rFonts w:hint="eastAsia" w:ascii="宋体" w:hAnsi="宋体" w:eastAsia="宋体" w:cs="宋体"/>
          <w:sz w:val="21"/>
          <w:szCs w:val="21"/>
        </w:rPr>
        <w:t>为磨机减速机提供润滑、冷却用油，</w:t>
      </w:r>
      <w:r>
        <w:rPr>
          <w:rFonts w:hint="eastAsia" w:ascii="宋体" w:hAnsi="宋体" w:eastAsia="宋体" w:cs="宋体"/>
          <w:sz w:val="21"/>
          <w:szCs w:val="21"/>
          <w:lang w:val="en-US" w:eastAsia="zh-CN"/>
        </w:rPr>
        <w:t>每个</w:t>
      </w:r>
      <w:r>
        <w:rPr>
          <w:rFonts w:hint="eastAsia" w:ascii="宋体" w:hAnsi="宋体" w:eastAsia="宋体" w:cs="宋体"/>
          <w:sz w:val="21"/>
          <w:szCs w:val="21"/>
        </w:rPr>
        <w:t>润滑油站内设有二台润滑油泵，一用一备保证供油的可靠性，同时配置了加热与冷却装置控制油温在所需范围内。</w:t>
      </w:r>
      <w:bookmarkEnd w:id="8"/>
    </w:p>
    <w:p w14:paraId="7848B18E">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bookmarkStart w:id="11" w:name="_Toc234224493"/>
      <w:r>
        <w:rPr>
          <w:rFonts w:hint="eastAsia" w:ascii="宋体" w:hAnsi="宋体" w:eastAsia="宋体" w:cs="宋体"/>
          <w:sz w:val="21"/>
          <w:szCs w:val="21"/>
        </w:rPr>
        <w:t>液压油系统：液压油系统</w:t>
      </w:r>
      <w:r>
        <w:rPr>
          <w:rFonts w:hint="eastAsia" w:ascii="宋体" w:hAnsi="宋体" w:eastAsia="宋体" w:cs="宋体"/>
          <w:sz w:val="21"/>
          <w:szCs w:val="21"/>
          <w:lang w:val="en-US" w:eastAsia="zh-CN"/>
        </w:rPr>
        <w:t>共计两套，</w:t>
      </w:r>
      <w:r>
        <w:rPr>
          <w:rFonts w:hint="eastAsia" w:ascii="宋体" w:hAnsi="宋体" w:eastAsia="宋体" w:cs="宋体"/>
          <w:sz w:val="21"/>
          <w:szCs w:val="21"/>
        </w:rPr>
        <w:t>为磨机磨辊加压、抬辊提供动力源，同时又作为磨辊检修时翻转磨辊的用具，系统中配有蓄能器、电磁阀、高压油泵、液压油缸。</w:t>
      </w:r>
      <w:bookmarkEnd w:id="9"/>
      <w:bookmarkEnd w:id="10"/>
      <w:bookmarkEnd w:id="11"/>
    </w:p>
    <w:p w14:paraId="6CF1B0D1">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收尘系统：由二台主收尘器、二台料仓收尘器、二台粉仓收尘器、一台卸料间收尘器组成。各收尘器均为滤袋式收尘器。主收尘器是一级收尘设备，所有的成品粉都经过主收尘器收集下来。主收尘器的进口粉尘浓度可达500g/m</w:t>
      </w:r>
      <w:r>
        <w:rPr>
          <w:rFonts w:hint="eastAsia" w:ascii="宋体" w:hAnsi="宋体" w:eastAsia="宋体" w:cs="宋体"/>
          <w:sz w:val="21"/>
          <w:szCs w:val="21"/>
          <w:vertAlign w:val="superscript"/>
        </w:rPr>
        <w:t>3</w:t>
      </w:r>
      <w:r>
        <w:rPr>
          <w:rFonts w:hint="eastAsia" w:ascii="宋体" w:hAnsi="宋体" w:eastAsia="宋体" w:cs="宋体"/>
          <w:sz w:val="21"/>
          <w:szCs w:val="21"/>
        </w:rPr>
        <w:t>，出口浓度则较低，一般小于30mg/m3，所以外排气体完全能够满足环保要求，且配有一套完整的压缩空气清灰系统，能够保证系统的正常运行。</w:t>
      </w:r>
    </w:p>
    <w:p w14:paraId="3F281191">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bookmarkStart w:id="12" w:name="_Toc232216349"/>
      <w:bookmarkStart w:id="13" w:name="_Toc234224485"/>
      <w:bookmarkStart w:id="14" w:name="_Toc232216730"/>
      <w:bookmarkStart w:id="15" w:name="_Toc232216221"/>
      <w:r>
        <w:rPr>
          <w:rFonts w:hint="eastAsia" w:ascii="宋体" w:hAnsi="宋体" w:eastAsia="宋体" w:cs="宋体"/>
          <w:sz w:val="21"/>
          <w:szCs w:val="21"/>
        </w:rPr>
        <w:t>石灰石粉输送系统：石灰石粉输送系统</w:t>
      </w:r>
      <w:r>
        <w:rPr>
          <w:rFonts w:hint="eastAsia" w:ascii="宋体" w:hAnsi="宋体" w:eastAsia="宋体" w:cs="宋体"/>
          <w:sz w:val="21"/>
          <w:szCs w:val="21"/>
          <w:lang w:val="en-US" w:eastAsia="zh-CN"/>
        </w:rPr>
        <w:t>共计两套，两套系统共用一台链式输送机</w:t>
      </w:r>
      <w:r>
        <w:rPr>
          <w:rFonts w:hint="eastAsia" w:ascii="宋体" w:hAnsi="宋体" w:eastAsia="宋体" w:cs="宋体"/>
          <w:sz w:val="21"/>
          <w:szCs w:val="21"/>
        </w:rPr>
        <w:t>。</w:t>
      </w:r>
      <w:r>
        <w:rPr>
          <w:rFonts w:hint="eastAsia" w:ascii="宋体" w:hAnsi="宋体" w:eastAsia="宋体" w:cs="宋体"/>
          <w:sz w:val="21"/>
          <w:szCs w:val="21"/>
          <w:lang w:val="en-US" w:eastAsia="zh-CN"/>
        </w:rPr>
        <w:t>第一套</w:t>
      </w:r>
      <w:r>
        <w:rPr>
          <w:rFonts w:hint="eastAsia" w:ascii="宋体" w:hAnsi="宋体" w:eastAsia="宋体" w:cs="宋体"/>
          <w:sz w:val="21"/>
          <w:szCs w:val="21"/>
        </w:rPr>
        <w:t>由螺旋卸料机、出粉锁气器、链式输送机、粉仓进料提升机、溜管、粉仓电动三通给料阀组成</w:t>
      </w:r>
      <w:bookmarkEnd w:id="12"/>
      <w:bookmarkEnd w:id="13"/>
      <w:bookmarkEnd w:id="14"/>
      <w:bookmarkEnd w:id="15"/>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第二套系统由</w:t>
      </w:r>
      <w:r>
        <w:rPr>
          <w:rFonts w:hint="eastAsia" w:ascii="宋体" w:hAnsi="宋体" w:eastAsia="宋体" w:cs="宋体"/>
          <w:sz w:val="21"/>
          <w:szCs w:val="21"/>
        </w:rPr>
        <w:t>螺旋卸料机、出粉锁气器、链式输送机、</w:t>
      </w:r>
      <w:r>
        <w:rPr>
          <w:rFonts w:hint="eastAsia" w:ascii="宋体" w:hAnsi="宋体" w:eastAsia="宋体" w:cs="宋体"/>
          <w:sz w:val="21"/>
          <w:szCs w:val="21"/>
          <w:lang w:val="en-US" w:eastAsia="zh-CN"/>
        </w:rPr>
        <w:t>3台气化风机、</w:t>
      </w:r>
      <w:r>
        <w:rPr>
          <w:rFonts w:hint="eastAsia" w:ascii="宋体" w:hAnsi="宋体" w:eastAsia="宋体" w:cs="宋体"/>
          <w:sz w:val="21"/>
          <w:szCs w:val="21"/>
        </w:rPr>
        <w:t>粉仓进料提升机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2套气化斜槽、</w:t>
      </w:r>
      <w:r>
        <w:rPr>
          <w:rFonts w:hint="eastAsia" w:ascii="宋体" w:hAnsi="宋体" w:eastAsia="宋体" w:cs="宋体"/>
          <w:sz w:val="21"/>
          <w:szCs w:val="21"/>
        </w:rPr>
        <w:t>粉仓电动三通</w:t>
      </w:r>
      <w:r>
        <w:rPr>
          <w:rFonts w:hint="eastAsia" w:ascii="宋体" w:hAnsi="宋体" w:eastAsia="宋体" w:cs="宋体"/>
          <w:sz w:val="21"/>
          <w:szCs w:val="21"/>
          <w:lang w:val="en-US" w:eastAsia="zh-CN"/>
        </w:rPr>
        <w:t>分</w:t>
      </w:r>
      <w:r>
        <w:rPr>
          <w:rFonts w:hint="eastAsia" w:ascii="宋体" w:hAnsi="宋体" w:eastAsia="宋体" w:cs="宋体"/>
          <w:sz w:val="21"/>
          <w:szCs w:val="21"/>
        </w:rPr>
        <w:t>料阀</w:t>
      </w:r>
      <w:r>
        <w:rPr>
          <w:rFonts w:hint="eastAsia" w:ascii="宋体" w:hAnsi="宋体" w:eastAsia="宋体" w:cs="宋体"/>
          <w:sz w:val="21"/>
          <w:szCs w:val="21"/>
          <w:lang w:val="en-US" w:eastAsia="zh-CN"/>
        </w:rPr>
        <w:t>组成。</w:t>
      </w:r>
    </w:p>
    <w:p w14:paraId="4E6EC52E">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压缩空气系统</w:t>
      </w:r>
      <w:bookmarkStart w:id="16" w:name="_Toc232216735"/>
      <w:bookmarkStart w:id="17" w:name="_Toc232216226"/>
      <w:bookmarkStart w:id="18" w:name="_Toc234224489"/>
      <w:r>
        <w:rPr>
          <w:rFonts w:hint="eastAsia" w:ascii="宋体" w:hAnsi="宋体" w:eastAsia="宋体" w:cs="宋体"/>
          <w:sz w:val="21"/>
          <w:szCs w:val="21"/>
        </w:rPr>
        <w:t>：该系统设有二台空气压缩机、二台空气冷干机，一台储气罐、一用一备，为卸料间收尘器、料仓收尘器、主收尘器、粉仓收尘器提供吹扫空气，并作为外供粉仓出口气动插板阀、散装机风机出口气动阀、外供粉仓流化风、石灰石粉仓流化风、混合器干燥风及气动圆顶阀等提供动力气源。</w:t>
      </w:r>
      <w:bookmarkEnd w:id="16"/>
      <w:bookmarkEnd w:id="17"/>
      <w:bookmarkEnd w:id="18"/>
    </w:p>
    <w:p w14:paraId="510FEA31">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循环冷却水系统</w:t>
      </w:r>
      <w:bookmarkStart w:id="19" w:name="_Toc234224490"/>
      <w:bookmarkStart w:id="20" w:name="_Toc232216736"/>
      <w:bookmarkStart w:id="21" w:name="_Toc232216227"/>
      <w:r>
        <w:rPr>
          <w:rFonts w:hint="eastAsia" w:ascii="宋体" w:hAnsi="宋体" w:eastAsia="宋体" w:cs="宋体"/>
          <w:sz w:val="21"/>
          <w:szCs w:val="21"/>
        </w:rPr>
        <w:t>：该系统设有冷却塔冷却的闭式循环冷却水系统，循环冷却水量30m</w:t>
      </w:r>
      <w:r>
        <w:rPr>
          <w:rFonts w:hint="eastAsia" w:ascii="宋体" w:hAnsi="宋体" w:eastAsia="宋体" w:cs="宋体"/>
          <w:sz w:val="21"/>
          <w:szCs w:val="21"/>
          <w:vertAlign w:val="superscript"/>
        </w:rPr>
        <w:t>3</w:t>
      </w:r>
      <w:r>
        <w:rPr>
          <w:rFonts w:hint="eastAsia" w:ascii="宋体" w:hAnsi="宋体" w:eastAsia="宋体" w:cs="宋体"/>
          <w:sz w:val="21"/>
          <w:szCs w:val="21"/>
        </w:rPr>
        <w:t>/h。由二台循环冷却水泵，一用一备，供磨机润滑油冷油器、循环风机、疏水泵、空气压缩机冷却用水，回水经冷却塔冷却后回到循环冷却水池。</w:t>
      </w:r>
      <w:bookmarkEnd w:id="19"/>
      <w:bookmarkEnd w:id="20"/>
      <w:bookmarkEnd w:id="21"/>
    </w:p>
    <w:p w14:paraId="5433E2D5">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蒸汽加热疏水系统：</w:t>
      </w:r>
      <w:bookmarkStart w:id="22" w:name="_Toc232216228"/>
      <w:bookmarkStart w:id="23" w:name="_Toc232216737"/>
      <w:bookmarkStart w:id="24" w:name="_Toc234224491"/>
      <w:r>
        <w:rPr>
          <w:rFonts w:hint="eastAsia" w:ascii="宋体" w:hAnsi="宋体" w:eastAsia="宋体" w:cs="宋体"/>
          <w:sz w:val="21"/>
          <w:szCs w:val="21"/>
        </w:rPr>
        <w:t>蒸汽加热器的主要作用是加热系统循环风，用来干燥物料，使磨机出口风温在70℃以上（高于露点温度15～20℃）,保证主收尘器正常运行。蒸汽源为电厂厂用辅助蒸汽。热交换后的蒸汽变成冷凝水自流到疏水箱，疏水箱冷凝水采用直排以及电厂回收两种方式；疏水箱直排通过疏放箱底部疏放管至沉淀池中；电厂回收通过2台疏水泵（1用1备）打回电厂的凝结水回收系统。</w:t>
      </w:r>
      <w:bookmarkEnd w:id="22"/>
      <w:bookmarkEnd w:id="23"/>
      <w:bookmarkEnd w:id="24"/>
      <w:bookmarkStart w:id="25" w:name="_Toc234224494"/>
    </w:p>
    <w:p w14:paraId="6DBAE4C7">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供电系统</w:t>
      </w:r>
      <w:bookmarkEnd w:id="25"/>
      <w:r>
        <w:rPr>
          <w:rFonts w:hint="eastAsia" w:ascii="宋体" w:hAnsi="宋体" w:eastAsia="宋体" w:cs="宋体"/>
          <w:sz w:val="21"/>
          <w:szCs w:val="21"/>
        </w:rPr>
        <w:t>：磨石粉车间电源取自乐清电厂的厂用电，电压等级为6kV及380/220V。#1磨机、#1循环风机电源取自6KV输煤1段，#2磨机、#2循环风机电源取自6KV输煤2段。设有380V磨石粉厂MCC，布置在磨石粉车间的底层配电室内。380V磨石粉厂MCC工作电源取自380V输煤3段，备用电源取自380V输煤4段，正常运行方式下脱硫磨石粉车间MCC工作、备用电源馈线开关长期合闸，为防止2路电源并列，进线采用单刀双投负荷开关 。热控电源柜两路电源取自于380V磨石粉厂MCC，采用双电源自动转换开关进行切换，供各系统电动执行机构、仪控设备用电。磨石粉厂PLC两路电源取自于380V磨石粉厂MCC，采用双电源自动转换开关进行切换。</w:t>
      </w:r>
      <w:bookmarkStart w:id="26" w:name="_Toc234224495"/>
    </w:p>
    <w:p w14:paraId="149ED2D4">
      <w:pPr>
        <w:widowControl/>
        <w:numPr>
          <w:ilvl w:val="0"/>
          <w:numId w:val="2"/>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控制系统</w:t>
      </w:r>
      <w:bookmarkEnd w:id="26"/>
      <w:r>
        <w:rPr>
          <w:rFonts w:hint="eastAsia" w:ascii="宋体" w:hAnsi="宋体" w:eastAsia="宋体" w:cs="宋体"/>
          <w:sz w:val="21"/>
          <w:szCs w:val="21"/>
        </w:rPr>
        <w:t>：</w:t>
      </w:r>
      <w:bookmarkStart w:id="27" w:name="_Toc232216233"/>
      <w:bookmarkStart w:id="28" w:name="_Toc234224496"/>
      <w:bookmarkStart w:id="29" w:name="_Toc232216742"/>
      <w:r>
        <w:rPr>
          <w:rFonts w:hint="eastAsia" w:ascii="宋体" w:hAnsi="宋体" w:eastAsia="宋体" w:cs="宋体"/>
          <w:sz w:val="21"/>
          <w:szCs w:val="21"/>
        </w:rPr>
        <w:t>磨石粉厂自动化控制系统采用PLC（可编程序控制器）加PC监控站的系统模式构建。其中PLC采用罗克韦尔公司的1756 CONTROILOGIX系列PLC，CPU型号为1756-L61；监控站由2台DELL工业用计算机组成，装有GE公司开发的IFIX系统监控软件。PLC的功能包括：数据采集、存储、处理功能，运动控制、工业过程控制顺序控制等多种控制功能，通信联网功能，系统诊断功能。控制方式分远方控制与就地控制。</w:t>
      </w:r>
      <w:bookmarkEnd w:id="27"/>
      <w:bookmarkEnd w:id="28"/>
      <w:bookmarkEnd w:id="29"/>
    </w:p>
    <w:p w14:paraId="72EE8D4F">
      <w:pPr>
        <w:widowControl/>
        <w:spacing w:before="156" w:beforeLines="50" w:after="156" w:afterLines="50" w:line="360" w:lineRule="auto"/>
        <w:jc w:val="left"/>
        <w:outlineLvl w:val="3"/>
        <w:rPr>
          <w:rFonts w:hint="eastAsia" w:ascii="宋体" w:hAnsi="宋体" w:eastAsia="宋体" w:cs="宋体"/>
          <w:b/>
          <w:bCs/>
          <w:sz w:val="21"/>
          <w:szCs w:val="21"/>
        </w:rPr>
      </w:pPr>
      <w:r>
        <w:rPr>
          <w:rFonts w:hint="default" w:ascii="宋体" w:hAnsi="宋体" w:eastAsia="宋体" w:cs="宋体"/>
          <w:b/>
          <w:bCs/>
          <w:sz w:val="21"/>
          <w:szCs w:val="21"/>
        </w:rPr>
        <w:t>2.干灰</w:t>
      </w:r>
      <w:bookmarkStart w:id="30" w:name="_Toc23884"/>
      <w:bookmarkStart w:id="31" w:name="_Toc28952250"/>
      <w:bookmarkStart w:id="32" w:name="_Toc20049"/>
      <w:bookmarkStart w:id="33" w:name="_Toc4560"/>
      <w:r>
        <w:rPr>
          <w:rFonts w:hint="default" w:ascii="宋体" w:hAnsi="宋体" w:eastAsia="宋体" w:cs="宋体"/>
          <w:b/>
          <w:bCs/>
          <w:sz w:val="21"/>
          <w:szCs w:val="21"/>
        </w:rPr>
        <w:t>分选系统简介</w:t>
      </w:r>
    </w:p>
    <w:bookmarkEnd w:id="30"/>
    <w:bookmarkEnd w:id="31"/>
    <w:bookmarkEnd w:id="32"/>
    <w:bookmarkEnd w:id="33"/>
    <w:p w14:paraId="37015265">
      <w:pPr>
        <w:widowControl/>
        <w:numPr>
          <w:ilvl w:val="0"/>
          <w:numId w:val="3"/>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系统总述：共设置</w:t>
      </w:r>
      <w:r>
        <w:rPr>
          <w:rFonts w:hint="eastAsia" w:ascii="宋体" w:hAnsi="宋体" w:eastAsia="宋体" w:cs="宋体"/>
          <w:sz w:val="21"/>
          <w:szCs w:val="21"/>
          <w:lang w:val="en-US" w:eastAsia="zh-CN"/>
        </w:rPr>
        <w:t>三</w:t>
      </w:r>
      <w:r>
        <w:rPr>
          <w:rFonts w:hint="eastAsia" w:ascii="宋体" w:hAnsi="宋体" w:eastAsia="宋体" w:cs="宋体"/>
          <w:sz w:val="21"/>
          <w:szCs w:val="21"/>
        </w:rPr>
        <w:t>套干灰分选设备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其中一、二期灰库分选系统为相同型号，分选效率每小时40吨，三期灰库分选系统分选效率每小时100吨</w:t>
      </w:r>
      <w:r>
        <w:rPr>
          <w:rFonts w:hint="eastAsia" w:ascii="宋体" w:hAnsi="宋体" w:eastAsia="宋体" w:cs="宋体"/>
          <w:sz w:val="21"/>
          <w:szCs w:val="21"/>
        </w:rPr>
        <w:t>。其原理为分选系统从原灰库库底取灰，原灰库内的原状灰经过1台手动插板门、1台气动插板门和1台电动给料机送入分选系统的主风管中。进入系统主风管的原状灰在系统负压作用下达到灰气混合，并进入气流式分选机进行分选。分选后的粗灰穿过分选机下部的二次风幕经锁气卸料阀进入粗灰库储存。而分离后的细灰及从二次风吹回的细灰，因离心力无法克服涡流的负压而被吸入分选机二侧的蜗壳，随气流进入二台并联的高效旋风分离器，旋风分离器收集的细灰经锁气卸料阀进入细灰库储存。含有少量超细颗粒的气体经分选风机排出，其中95%左右的含尘气体经回风管返回下料点，形成闭路循环系统。另有不大于5%的含尘气流经电动放风门进入细灰库，经细灰库库顶原有的布袋除尘器净化后排入大气。</w:t>
      </w:r>
    </w:p>
    <w:p w14:paraId="40A7819B">
      <w:pPr>
        <w:widowControl/>
        <w:numPr>
          <w:ilvl w:val="0"/>
          <w:numId w:val="3"/>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设备组成：</w:t>
      </w:r>
      <w:r>
        <w:rPr>
          <w:rFonts w:hint="eastAsia" w:ascii="宋体" w:hAnsi="宋体" w:eastAsia="宋体" w:cs="宋体"/>
          <w:sz w:val="21"/>
          <w:szCs w:val="21"/>
          <w:lang w:val="en-US" w:eastAsia="zh-CN"/>
        </w:rPr>
        <w:t>一、二期灰库分选系统</w:t>
      </w:r>
      <w:r>
        <w:rPr>
          <w:rFonts w:hint="eastAsia" w:ascii="宋体" w:hAnsi="宋体" w:eastAsia="宋体" w:cs="宋体"/>
          <w:sz w:val="21"/>
          <w:szCs w:val="21"/>
        </w:rPr>
        <w:t>由二台GFX型涡流离心式分级机、四台CZT型高效旋风分离器、二台调速锁气给料机、二台高压耐磨离心风机、四台锁气卸料阀、气动阀、手动阀、管道等组成。</w:t>
      </w:r>
      <w:r>
        <w:rPr>
          <w:rFonts w:hint="eastAsia" w:ascii="宋体" w:hAnsi="宋体" w:eastAsia="宋体" w:cs="宋体"/>
          <w:sz w:val="21"/>
          <w:szCs w:val="21"/>
          <w:lang w:val="en-US" w:eastAsia="zh-CN"/>
        </w:rPr>
        <w:t>三期灰库分选系统由一台MTFX-100型分级机、两台CZT-16.0型旋风分离器、</w:t>
      </w:r>
      <w:r>
        <w:rPr>
          <w:rFonts w:hint="eastAsia" w:ascii="宋体" w:hAnsi="宋体" w:eastAsia="宋体" w:cs="宋体"/>
          <w:sz w:val="21"/>
          <w:szCs w:val="21"/>
        </w:rPr>
        <w:t>分级机锁气卸料阀</w:t>
      </w:r>
      <w:r>
        <w:rPr>
          <w:rFonts w:hint="eastAsia" w:ascii="宋体" w:hAnsi="宋体" w:eastAsia="宋体" w:cs="宋体"/>
          <w:sz w:val="21"/>
          <w:szCs w:val="21"/>
          <w:lang w:eastAsia="zh-CN"/>
        </w:rPr>
        <w:t>、</w:t>
      </w:r>
      <w:r>
        <w:rPr>
          <w:rFonts w:hint="eastAsia" w:ascii="宋体" w:hAnsi="宋体" w:eastAsia="宋体" w:cs="宋体"/>
          <w:sz w:val="21"/>
          <w:szCs w:val="21"/>
        </w:rPr>
        <w:t>分离器锁气卸料阀</w:t>
      </w:r>
      <w:r>
        <w:rPr>
          <w:rFonts w:hint="eastAsia" w:ascii="宋体" w:hAnsi="宋体" w:eastAsia="宋体" w:cs="宋体"/>
          <w:sz w:val="21"/>
          <w:szCs w:val="21"/>
          <w:lang w:eastAsia="zh-CN"/>
        </w:rPr>
        <w:t>、</w:t>
      </w:r>
      <w:r>
        <w:rPr>
          <w:rFonts w:hint="eastAsia" w:ascii="宋体" w:hAnsi="宋体" w:eastAsia="宋体" w:cs="宋体"/>
          <w:sz w:val="21"/>
          <w:szCs w:val="21"/>
        </w:rPr>
        <w:t>高压耐磨离心风机</w:t>
      </w:r>
      <w:r>
        <w:rPr>
          <w:rFonts w:hint="eastAsia" w:ascii="宋体" w:hAnsi="宋体" w:eastAsia="宋体" w:cs="宋体"/>
          <w:sz w:val="21"/>
          <w:szCs w:val="21"/>
          <w:lang w:eastAsia="zh-CN"/>
        </w:rPr>
        <w:t>、</w:t>
      </w:r>
      <w:r>
        <w:rPr>
          <w:rFonts w:hint="eastAsia" w:ascii="宋体" w:hAnsi="宋体" w:eastAsia="宋体" w:cs="宋体"/>
          <w:sz w:val="21"/>
          <w:szCs w:val="21"/>
        </w:rPr>
        <w:t>电动机</w:t>
      </w:r>
      <w:r>
        <w:rPr>
          <w:rFonts w:hint="eastAsia" w:ascii="宋体" w:hAnsi="宋体" w:eastAsia="宋体" w:cs="宋体"/>
          <w:sz w:val="21"/>
          <w:szCs w:val="21"/>
          <w:lang w:eastAsia="zh-CN"/>
        </w:rPr>
        <w:t>、</w:t>
      </w:r>
      <w:r>
        <w:rPr>
          <w:rFonts w:hint="eastAsia" w:ascii="宋体" w:hAnsi="宋体" w:eastAsia="宋体" w:cs="宋体"/>
          <w:sz w:val="21"/>
          <w:szCs w:val="21"/>
        </w:rPr>
        <w:t>风机入口电动调节风门</w:t>
      </w:r>
      <w:r>
        <w:rPr>
          <w:rFonts w:hint="eastAsia" w:ascii="宋体" w:hAnsi="宋体" w:eastAsia="宋体" w:cs="宋体"/>
          <w:sz w:val="21"/>
          <w:szCs w:val="21"/>
          <w:lang w:eastAsia="zh-CN"/>
        </w:rPr>
        <w:t>、</w:t>
      </w:r>
      <w:r>
        <w:rPr>
          <w:rFonts w:hint="eastAsia" w:ascii="宋体" w:hAnsi="宋体" w:eastAsia="宋体" w:cs="宋体"/>
          <w:sz w:val="21"/>
          <w:szCs w:val="21"/>
        </w:rPr>
        <w:t>变频调速锁气电动给料机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阀门、管道等组成。</w:t>
      </w:r>
    </w:p>
    <w:p w14:paraId="5A1D9A68">
      <w:pPr>
        <w:widowControl/>
        <w:numPr>
          <w:ilvl w:val="0"/>
          <w:numId w:val="3"/>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lang w:val="en-US" w:eastAsia="zh-CN"/>
        </w:rPr>
        <w:t>供电系统：一、二、期灰库</w:t>
      </w:r>
      <w:r>
        <w:rPr>
          <w:rFonts w:hint="eastAsia" w:ascii="宋体" w:hAnsi="宋体" w:eastAsia="宋体" w:cs="宋体"/>
          <w:sz w:val="21"/>
          <w:szCs w:val="21"/>
        </w:rPr>
        <w:t>分选系统采用交流380/220V低压供电方式；#01干灰分选MCC常用380V电源取自浙江浙能乐清发电责任有限公司除灰01A段母线#01干灰分选电源开关下桩头，无备用电源。#02干灰分选MCC常用380V电源取自浙江浙能乐清发电责任有限公司除灰02A段母线#02干灰分选电源开关下桩头，无备用电源。设#01干灰分选MCC，供#1高压离心风机、#1调速锁气给料机动力电源及PLC柜控制电源（一）。设#02干灰分选MCC，供#2高压离心风机、#2调速锁气给料机动力电源及PLC柜控制电源（二）。#01、#02干灰分选MCC柜上各设PLC电源（一）、（二）开关，为防止两电源并联，经PLC电源切换KK开关，供PLC柜控制电源。</w:t>
      </w:r>
      <w:r>
        <w:rPr>
          <w:rFonts w:hint="eastAsia" w:ascii="宋体" w:hAnsi="宋体" w:eastAsia="宋体" w:cs="宋体"/>
          <w:sz w:val="21"/>
          <w:szCs w:val="21"/>
          <w:lang w:val="en-US" w:eastAsia="zh-CN"/>
        </w:rPr>
        <w:t>三期灰库分选系统</w:t>
      </w:r>
      <w:r>
        <w:rPr>
          <w:rFonts w:hint="eastAsia" w:ascii="宋体" w:hAnsi="宋体" w:eastAsia="宋体" w:cs="宋体"/>
          <w:sz w:val="21"/>
          <w:szCs w:val="21"/>
        </w:rPr>
        <w:t>分选风机10KV电源取自电厂输煤配电楼10KV公用配电装置室（距离风机约150米），380/220V电源取自电厂脱硫综合楼（距离给料机等设备约150米）</w:t>
      </w:r>
      <w:r>
        <w:rPr>
          <w:rFonts w:hint="eastAsia" w:ascii="宋体" w:hAnsi="宋体" w:eastAsia="宋体" w:cs="宋体"/>
          <w:sz w:val="21"/>
          <w:szCs w:val="21"/>
          <w:lang w:eastAsia="zh-CN"/>
        </w:rPr>
        <w:t>。</w:t>
      </w:r>
      <w:r>
        <w:rPr>
          <w:rFonts w:hint="eastAsia" w:ascii="宋体" w:hAnsi="宋体" w:eastAsia="宋体" w:cs="宋体"/>
          <w:sz w:val="21"/>
          <w:szCs w:val="21"/>
        </w:rPr>
        <w:t>分选系统采用交流10kV</w:t>
      </w:r>
      <w:r>
        <w:rPr>
          <w:rFonts w:hint="eastAsia" w:ascii="宋体" w:hAnsi="宋体" w:eastAsia="宋体" w:cs="宋体"/>
          <w:sz w:val="21"/>
          <w:szCs w:val="21"/>
          <w:lang w:val="en-US" w:eastAsia="zh-CN"/>
        </w:rPr>
        <w:t>高压和</w:t>
      </w:r>
      <w:r>
        <w:rPr>
          <w:rFonts w:hint="eastAsia" w:ascii="宋体" w:hAnsi="宋体" w:eastAsia="宋体" w:cs="宋体"/>
          <w:sz w:val="21"/>
          <w:szCs w:val="21"/>
        </w:rPr>
        <w:t>380/220V低压供电方式</w:t>
      </w:r>
      <w:r>
        <w:rPr>
          <w:rFonts w:hint="eastAsia" w:ascii="宋体" w:hAnsi="宋体" w:eastAsia="宋体" w:cs="宋体"/>
          <w:sz w:val="21"/>
          <w:szCs w:val="21"/>
          <w:lang w:eastAsia="zh-CN"/>
        </w:rPr>
        <w:t>。</w:t>
      </w:r>
    </w:p>
    <w:p w14:paraId="144DC561">
      <w:pPr>
        <w:widowControl/>
        <w:numPr>
          <w:ilvl w:val="0"/>
          <w:numId w:val="3"/>
        </w:numPr>
        <w:spacing w:before="156" w:beforeLines="50" w:after="156" w:afterLines="50" w:line="360" w:lineRule="auto"/>
        <w:ind w:firstLine="403" w:firstLineChars="0"/>
        <w:jc w:val="left"/>
        <w:outlineLvl w:val="3"/>
        <w:rPr>
          <w:rFonts w:hint="eastAsia" w:ascii="宋体" w:hAnsi="宋体" w:eastAsia="宋体" w:cs="宋体"/>
          <w:sz w:val="21"/>
          <w:szCs w:val="21"/>
        </w:rPr>
      </w:pPr>
      <w:r>
        <w:rPr>
          <w:rFonts w:hint="eastAsia" w:ascii="宋体" w:hAnsi="宋体" w:eastAsia="宋体" w:cs="宋体"/>
          <w:sz w:val="21"/>
          <w:szCs w:val="21"/>
        </w:rPr>
        <w:t>控制系统：干灰分选系统采用PLC技术。</w:t>
      </w:r>
      <w:r>
        <w:rPr>
          <w:rFonts w:hint="eastAsia" w:ascii="宋体" w:hAnsi="宋体" w:eastAsia="宋体" w:cs="宋体"/>
          <w:sz w:val="21"/>
          <w:szCs w:val="21"/>
          <w:lang w:val="en-US" w:eastAsia="zh-CN"/>
        </w:rPr>
        <w:t>3</w:t>
      </w:r>
      <w:r>
        <w:rPr>
          <w:rFonts w:hint="eastAsia" w:ascii="宋体" w:hAnsi="宋体" w:eastAsia="宋体" w:cs="宋体"/>
          <w:sz w:val="21"/>
          <w:szCs w:val="21"/>
        </w:rPr>
        <w:t>套干灰分选系统的控制系统配置一套上位机，上位机配置冗余网络通讯适配卡，PLC系统的控制器采用单CPU双以太通讯模块配置。PLC配置一台以太网交换机，配置西门子电源。PLC系统留有用于全厂辅助的通讯接口以及飞灰输送控制系统必需的硬接线接口，硬接线接口信号为灰库料位信号。</w:t>
      </w:r>
    </w:p>
    <w:p w14:paraId="648D905A">
      <w:pPr>
        <w:widowControl/>
        <w:spacing w:before="156" w:beforeLines="50" w:after="156" w:afterLines="50" w:line="360" w:lineRule="auto"/>
        <w:jc w:val="left"/>
        <w:outlineLvl w:val="3"/>
        <w:rPr>
          <w:rFonts w:hint="default" w:ascii="宋体" w:hAnsi="宋体" w:eastAsia="宋体" w:cs="宋体"/>
          <w:b/>
          <w:bCs/>
          <w:sz w:val="21"/>
          <w:szCs w:val="21"/>
        </w:rPr>
      </w:pPr>
      <w:r>
        <w:rPr>
          <w:rFonts w:hint="default" w:ascii="宋体" w:hAnsi="宋体" w:eastAsia="宋体" w:cs="宋体"/>
          <w:b/>
          <w:bCs/>
          <w:sz w:val="21"/>
          <w:szCs w:val="21"/>
        </w:rPr>
        <w:t>3.外供粉系统简介</w:t>
      </w:r>
    </w:p>
    <w:p w14:paraId="08D84177">
      <w:pPr>
        <w:widowControl/>
        <w:spacing w:before="156" w:beforeLines="50" w:after="156" w:afterLines="50" w:line="360" w:lineRule="auto"/>
        <w:ind w:firstLine="386" w:firstLineChars="184"/>
        <w:jc w:val="left"/>
        <w:outlineLvl w:val="3"/>
        <w:rPr>
          <w:rFonts w:hint="eastAsia" w:ascii="宋体" w:hAnsi="宋体" w:eastAsia="宋体" w:cs="宋体"/>
          <w:sz w:val="21"/>
          <w:szCs w:val="21"/>
        </w:rPr>
      </w:pPr>
      <w:r>
        <w:rPr>
          <w:rFonts w:hint="eastAsia" w:ascii="宋体" w:hAnsi="宋体" w:eastAsia="宋体" w:cs="宋体"/>
          <w:sz w:val="21"/>
          <w:szCs w:val="21"/>
          <w:lang w:val="en-US" w:eastAsia="zh-CN"/>
        </w:rPr>
        <w:t>配备</w:t>
      </w:r>
      <w:r>
        <w:rPr>
          <w:rFonts w:hint="eastAsia" w:ascii="宋体" w:hAnsi="宋体" w:eastAsia="宋体" w:cs="宋体"/>
          <w:sz w:val="21"/>
          <w:szCs w:val="21"/>
        </w:rPr>
        <w:t>对外供应石灰石粉的一套设备。其流程为：石灰石粉从二台主收尘器底部中段取出，经外供粉FU输粉机进入外供粉提升机再进入外供粉粉仓。主要设备组成：插板阀、卸料头、输粉机、提升机、钢结构粉仓。</w:t>
      </w:r>
    </w:p>
    <w:p w14:paraId="509A2BD9">
      <w:pPr>
        <w:widowControl/>
        <w:spacing w:before="156" w:beforeLines="50" w:after="156" w:afterLines="50" w:line="360" w:lineRule="auto"/>
        <w:jc w:val="left"/>
        <w:outlineLvl w:val="3"/>
        <w:rPr>
          <w:rFonts w:hint="default" w:ascii="宋体" w:hAnsi="宋体" w:eastAsia="宋体" w:cs="宋体"/>
          <w:b/>
          <w:bCs/>
          <w:sz w:val="21"/>
          <w:szCs w:val="21"/>
        </w:rPr>
      </w:pPr>
      <w:r>
        <w:rPr>
          <w:rFonts w:hint="default" w:ascii="宋体" w:hAnsi="宋体" w:eastAsia="宋体" w:cs="宋体"/>
          <w:b/>
          <w:bCs/>
          <w:sz w:val="21"/>
          <w:szCs w:val="21"/>
        </w:rPr>
        <w:t>4.喷淋系统简介</w:t>
      </w:r>
    </w:p>
    <w:p w14:paraId="0BE68096">
      <w:pPr>
        <w:widowControl/>
        <w:spacing w:before="156" w:beforeLines="50" w:after="156" w:afterLines="50" w:line="360" w:lineRule="auto"/>
        <w:ind w:firstLine="386" w:firstLineChars="184"/>
        <w:jc w:val="left"/>
        <w:outlineLvl w:val="3"/>
        <w:rPr>
          <w:rFonts w:hint="eastAsia" w:ascii="宋体" w:hAnsi="宋体" w:eastAsia="宋体" w:cs="宋体"/>
          <w:sz w:val="21"/>
          <w:szCs w:val="21"/>
        </w:rPr>
      </w:pPr>
      <w:r>
        <w:rPr>
          <w:rFonts w:hint="eastAsia" w:ascii="宋体" w:hAnsi="宋体" w:eastAsia="宋体" w:cs="宋体"/>
          <w:sz w:val="21"/>
          <w:szCs w:val="21"/>
        </w:rPr>
        <w:t>为保证作业环境达到政府相关部门环保要求。在石灰石堆场设置一套喷淋系统，主要设备组成：</w:t>
      </w:r>
      <w:r>
        <w:rPr>
          <w:rFonts w:hint="eastAsia" w:ascii="宋体" w:hAnsi="宋体" w:eastAsia="宋体" w:cs="宋体"/>
          <w:sz w:val="21"/>
          <w:szCs w:val="21"/>
          <w:lang w:val="en-US" w:eastAsia="zh-CN"/>
        </w:rPr>
        <w:t>1座沉淀池、1台污水泵、6</w:t>
      </w:r>
      <w:r>
        <w:rPr>
          <w:rFonts w:hint="eastAsia" w:ascii="宋体" w:hAnsi="宋体" w:eastAsia="宋体" w:cs="宋体"/>
          <w:sz w:val="21"/>
          <w:szCs w:val="21"/>
        </w:rPr>
        <w:t>个喷枪、400米引水管、阀门</w:t>
      </w:r>
      <w:r>
        <w:rPr>
          <w:rFonts w:hint="eastAsia" w:ascii="宋体" w:hAnsi="宋体" w:eastAsia="宋体" w:cs="宋体"/>
          <w:sz w:val="21"/>
          <w:szCs w:val="21"/>
          <w:lang w:val="en-US" w:eastAsia="zh-CN"/>
        </w:rPr>
        <w:t>及污水泵电源</w:t>
      </w:r>
      <w:r>
        <w:rPr>
          <w:rFonts w:hint="eastAsia" w:ascii="宋体" w:hAnsi="宋体" w:eastAsia="宋体" w:cs="宋体"/>
          <w:sz w:val="21"/>
          <w:szCs w:val="21"/>
        </w:rPr>
        <w:t>。</w:t>
      </w:r>
    </w:p>
    <w:p w14:paraId="23508E6E">
      <w:pPr>
        <w:widowControl/>
        <w:spacing w:before="156" w:beforeLines="50" w:after="156" w:afterLines="50" w:line="360" w:lineRule="auto"/>
        <w:jc w:val="left"/>
        <w:outlineLvl w:val="3"/>
        <w:rPr>
          <w:rFonts w:hint="default" w:ascii="宋体" w:hAnsi="宋体" w:eastAsia="宋体" w:cs="宋体"/>
          <w:b/>
          <w:bCs/>
          <w:sz w:val="21"/>
          <w:szCs w:val="21"/>
        </w:rPr>
      </w:pPr>
      <w:r>
        <w:rPr>
          <w:rFonts w:hint="default" w:ascii="宋体" w:hAnsi="宋体" w:eastAsia="宋体" w:cs="宋体"/>
          <w:b/>
          <w:bCs/>
          <w:sz w:val="21"/>
          <w:szCs w:val="21"/>
        </w:rPr>
        <w:t>5.地磅简介</w:t>
      </w:r>
    </w:p>
    <w:p w14:paraId="2D65813A">
      <w:pPr>
        <w:widowControl/>
        <w:spacing w:before="156" w:beforeLines="50" w:after="156" w:afterLines="50" w:line="360" w:lineRule="auto"/>
        <w:ind w:firstLine="386" w:firstLineChars="184"/>
        <w:jc w:val="left"/>
        <w:outlineLvl w:val="3"/>
        <w:rPr>
          <w:rFonts w:hint="eastAsia" w:ascii="宋体" w:hAnsi="宋体" w:eastAsia="宋体" w:cs="宋体"/>
          <w:sz w:val="21"/>
          <w:szCs w:val="21"/>
        </w:rPr>
      </w:pPr>
      <w:r>
        <w:rPr>
          <w:rFonts w:hint="eastAsia" w:ascii="宋体" w:hAnsi="宋体" w:eastAsia="宋体" w:cs="宋体"/>
          <w:sz w:val="21"/>
          <w:szCs w:val="21"/>
          <w:lang w:val="en-US" w:eastAsia="zh-CN"/>
        </w:rPr>
        <w:t>公司</w:t>
      </w:r>
      <w:r>
        <w:rPr>
          <w:rFonts w:hint="eastAsia" w:ascii="宋体" w:hAnsi="宋体" w:eastAsia="宋体" w:cs="宋体"/>
          <w:sz w:val="21"/>
          <w:szCs w:val="21"/>
        </w:rPr>
        <w:t>为销售称重配置有120吨地磅</w:t>
      </w:r>
      <w:r>
        <w:rPr>
          <w:rFonts w:hint="eastAsia" w:ascii="宋体" w:hAnsi="宋体" w:eastAsia="宋体" w:cs="宋体"/>
          <w:sz w:val="21"/>
          <w:szCs w:val="21"/>
          <w:lang w:val="en-US" w:eastAsia="zh-CN"/>
        </w:rPr>
        <w:t>2</w:t>
      </w:r>
      <w:r>
        <w:rPr>
          <w:rFonts w:hint="eastAsia" w:ascii="宋体" w:hAnsi="宋体" w:eastAsia="宋体" w:cs="宋体"/>
          <w:sz w:val="21"/>
          <w:szCs w:val="21"/>
        </w:rPr>
        <w:t>套。其设备组成：汽车衡承重平台、数字式柱式传感器、承重显示仪表、称重管理系统等。</w:t>
      </w:r>
    </w:p>
    <w:p w14:paraId="16ABCE5C">
      <w:pPr>
        <w:widowControl/>
        <w:spacing w:before="156" w:beforeLines="50" w:after="156" w:afterLines="50" w:line="360" w:lineRule="auto"/>
        <w:jc w:val="left"/>
        <w:outlineLvl w:val="3"/>
        <w:rPr>
          <w:rFonts w:hint="default" w:ascii="宋体" w:hAnsi="宋体" w:eastAsia="宋体" w:cs="宋体"/>
          <w:b/>
          <w:bCs/>
          <w:sz w:val="21"/>
          <w:szCs w:val="21"/>
          <w:lang w:val="en-US" w:eastAsia="zh-CN"/>
        </w:rPr>
      </w:pPr>
      <w:r>
        <w:rPr>
          <w:rFonts w:hint="default" w:ascii="宋体" w:hAnsi="宋体" w:eastAsia="宋体" w:cs="宋体"/>
          <w:b/>
          <w:bCs/>
          <w:sz w:val="21"/>
          <w:szCs w:val="21"/>
          <w:lang w:val="en-US" w:eastAsia="zh-CN"/>
        </w:rPr>
        <w:t>6</w:t>
      </w:r>
      <w:r>
        <w:rPr>
          <w:rFonts w:hint="default" w:ascii="宋体" w:hAnsi="宋体" w:eastAsia="宋体" w:cs="宋体"/>
          <w:b/>
          <w:bCs/>
          <w:sz w:val="21"/>
          <w:szCs w:val="21"/>
        </w:rPr>
        <w:t>.</w:t>
      </w:r>
      <w:r>
        <w:rPr>
          <w:rFonts w:hint="default" w:ascii="宋体" w:hAnsi="宋体" w:eastAsia="宋体" w:cs="宋体"/>
          <w:b/>
          <w:bCs/>
          <w:sz w:val="21"/>
          <w:szCs w:val="21"/>
          <w:lang w:val="en-US" w:eastAsia="zh-CN"/>
        </w:rPr>
        <w:t>固废堆棚简介</w:t>
      </w:r>
    </w:p>
    <w:p w14:paraId="07D8828F">
      <w:pPr>
        <w:widowControl/>
        <w:spacing w:before="156" w:beforeLines="50" w:after="156" w:afterLines="50" w:line="360" w:lineRule="auto"/>
        <w:ind w:firstLine="386" w:firstLineChars="184"/>
        <w:jc w:val="left"/>
        <w:outlineLvl w:val="3"/>
        <w:rPr>
          <w:rFonts w:hint="eastAsia" w:ascii="宋体" w:hAnsi="宋体" w:eastAsia="宋体" w:cs="宋体"/>
          <w:color w:val="auto"/>
          <w:sz w:val="21"/>
          <w:szCs w:val="21"/>
          <w:u w:val="none"/>
        </w:rPr>
      </w:pPr>
      <w:r>
        <w:rPr>
          <w:rFonts w:hint="eastAsia" w:ascii="宋体" w:hAnsi="宋体" w:eastAsia="宋体" w:cs="宋体"/>
          <w:color w:val="auto"/>
          <w:sz w:val="21"/>
          <w:szCs w:val="21"/>
          <w:u w:val="none"/>
        </w:rPr>
        <w:t>固废堆棚</w:t>
      </w:r>
      <w:r>
        <w:rPr>
          <w:rFonts w:hint="eastAsia" w:ascii="宋体" w:hAnsi="宋体" w:eastAsia="宋体" w:cs="宋体"/>
          <w:color w:val="auto"/>
          <w:sz w:val="21"/>
          <w:szCs w:val="21"/>
          <w:u w:val="none"/>
          <w:lang w:eastAsia="zh-CN"/>
        </w:rPr>
        <w:t>是</w:t>
      </w:r>
      <w:r>
        <w:rPr>
          <w:rFonts w:hint="eastAsia" w:ascii="宋体" w:hAnsi="宋体" w:eastAsia="宋体" w:cs="宋体"/>
          <w:color w:val="auto"/>
          <w:sz w:val="21"/>
          <w:szCs w:val="21"/>
          <w:u w:val="none"/>
          <w:lang w:val="en-US" w:eastAsia="zh-CN"/>
        </w:rPr>
        <w:t>作为电厂</w:t>
      </w:r>
      <w:r>
        <w:rPr>
          <w:rFonts w:hint="eastAsia" w:ascii="宋体" w:hAnsi="宋体" w:eastAsia="宋体" w:cs="宋体"/>
          <w:color w:val="auto"/>
          <w:sz w:val="21"/>
          <w:szCs w:val="21"/>
          <w:u w:val="none"/>
        </w:rPr>
        <w:t>固</w:t>
      </w:r>
      <w:r>
        <w:rPr>
          <w:rFonts w:hint="eastAsia" w:ascii="宋体" w:hAnsi="宋体" w:eastAsia="宋体" w:cs="宋体"/>
          <w:color w:val="auto"/>
          <w:sz w:val="21"/>
          <w:szCs w:val="21"/>
          <w:u w:val="none"/>
          <w:lang w:val="en-US" w:eastAsia="zh-CN"/>
        </w:rPr>
        <w:t>废处置</w:t>
      </w:r>
      <w:r>
        <w:rPr>
          <w:rFonts w:hint="eastAsia" w:ascii="宋体" w:hAnsi="宋体" w:eastAsia="宋体" w:cs="宋体"/>
          <w:color w:val="auto"/>
          <w:sz w:val="21"/>
          <w:szCs w:val="21"/>
          <w:u w:val="none"/>
        </w:rPr>
        <w:t>临时堆</w:t>
      </w:r>
      <w:r>
        <w:rPr>
          <w:rFonts w:hint="eastAsia" w:ascii="宋体" w:hAnsi="宋体" w:eastAsia="宋体" w:cs="宋体"/>
          <w:color w:val="auto"/>
          <w:sz w:val="21"/>
          <w:szCs w:val="21"/>
          <w:u w:val="none"/>
          <w:lang w:val="en-US" w:eastAsia="zh-CN"/>
        </w:rPr>
        <w:t>放</w:t>
      </w:r>
      <w:r>
        <w:rPr>
          <w:rFonts w:hint="eastAsia" w:ascii="宋体" w:hAnsi="宋体" w:eastAsia="宋体" w:cs="宋体"/>
          <w:color w:val="auto"/>
          <w:sz w:val="21"/>
          <w:szCs w:val="21"/>
          <w:u w:val="none"/>
          <w:lang w:eastAsia="zh-CN"/>
        </w:rPr>
        <w:t>场</w:t>
      </w:r>
      <w:r>
        <w:rPr>
          <w:rFonts w:hint="eastAsia" w:ascii="宋体" w:hAnsi="宋体" w:eastAsia="宋体" w:cs="宋体"/>
          <w:color w:val="auto"/>
          <w:sz w:val="21"/>
          <w:szCs w:val="21"/>
          <w:u w:val="none"/>
          <w:lang w:val="en-US" w:eastAsia="zh-CN"/>
        </w:rPr>
        <w:t>所，其</w:t>
      </w:r>
      <w:r>
        <w:rPr>
          <w:rFonts w:hint="eastAsia" w:ascii="宋体" w:hAnsi="宋体" w:eastAsia="宋体" w:cs="宋体"/>
          <w:color w:val="auto"/>
          <w:sz w:val="21"/>
          <w:szCs w:val="21"/>
          <w:u w:val="none"/>
        </w:rPr>
        <w:t>建筑占地面积1665m</w:t>
      </w:r>
      <w:r>
        <w:rPr>
          <w:rFonts w:hint="eastAsia" w:ascii="宋体" w:hAnsi="宋体" w:eastAsia="宋体" w:cs="宋体"/>
          <w:color w:val="auto"/>
          <w:sz w:val="21"/>
          <w:szCs w:val="21"/>
          <w:u w:val="none"/>
          <w:vertAlign w:val="superscript"/>
        </w:rPr>
        <w:t>2</w:t>
      </w:r>
      <w:r>
        <w:rPr>
          <w:rFonts w:hint="eastAsia" w:ascii="宋体" w:hAnsi="宋体" w:eastAsia="宋体" w:cs="宋体"/>
          <w:color w:val="auto"/>
          <w:sz w:val="21"/>
          <w:szCs w:val="21"/>
          <w:u w:val="none"/>
        </w:rPr>
        <w:t>，建筑总面积1905.30m</w:t>
      </w:r>
      <w:r>
        <w:rPr>
          <w:rFonts w:hint="eastAsia" w:ascii="宋体" w:hAnsi="宋体" w:eastAsia="宋体" w:cs="宋体"/>
          <w:color w:val="auto"/>
          <w:sz w:val="21"/>
          <w:szCs w:val="21"/>
          <w:u w:val="none"/>
          <w:vertAlign w:val="superscript"/>
        </w:rPr>
        <w:t>2</w:t>
      </w:r>
      <w:r>
        <w:rPr>
          <w:rFonts w:hint="eastAsia" w:ascii="宋体" w:hAnsi="宋体" w:eastAsia="宋体" w:cs="宋体"/>
          <w:color w:val="auto"/>
          <w:sz w:val="21"/>
          <w:szCs w:val="21"/>
          <w:u w:val="none"/>
        </w:rPr>
        <w:t>（其中库房建筑面积为240.30m</w:t>
      </w:r>
      <w:r>
        <w:rPr>
          <w:rFonts w:hint="eastAsia" w:ascii="宋体" w:hAnsi="宋体" w:eastAsia="宋体" w:cs="宋体"/>
          <w:color w:val="auto"/>
          <w:sz w:val="21"/>
          <w:szCs w:val="21"/>
          <w:u w:val="none"/>
          <w:vertAlign w:val="superscript"/>
        </w:rPr>
        <w:t>2</w:t>
      </w:r>
      <w:r>
        <w:rPr>
          <w:rFonts w:hint="eastAsia" w:ascii="宋体" w:hAnsi="宋体" w:eastAsia="宋体" w:cs="宋体"/>
          <w:color w:val="auto"/>
          <w:sz w:val="21"/>
          <w:szCs w:val="21"/>
          <w:u w:val="none"/>
          <w:vertAlign w:val="baseline"/>
          <w:lang w:eastAsia="zh-CN"/>
        </w:rPr>
        <w:t>，</w:t>
      </w:r>
      <w:r>
        <w:rPr>
          <w:rFonts w:hint="eastAsia" w:ascii="宋体" w:hAnsi="宋体" w:eastAsia="宋体" w:cs="宋体"/>
          <w:color w:val="auto"/>
          <w:sz w:val="21"/>
          <w:szCs w:val="21"/>
          <w:u w:val="none"/>
          <w:vertAlign w:val="baseline"/>
          <w:lang w:val="en-US" w:eastAsia="zh-CN"/>
        </w:rPr>
        <w:t>2层</w:t>
      </w:r>
      <w:r>
        <w:rPr>
          <w:rFonts w:hint="eastAsia" w:ascii="宋体" w:hAnsi="宋体" w:eastAsia="宋体" w:cs="宋体"/>
          <w:color w:val="auto"/>
          <w:sz w:val="21"/>
          <w:szCs w:val="21"/>
          <w:u w:val="none"/>
        </w:rPr>
        <w:t>），为地上1层，建筑高度12.00m，建筑结构形式为门式钢架结构，使用性质为工业建筑（仓库），设计使用年限为25年。</w:t>
      </w:r>
      <w:r>
        <w:rPr>
          <w:rFonts w:hint="eastAsia" w:ascii="宋体" w:hAnsi="宋体" w:eastAsia="宋体" w:cs="宋体"/>
          <w:color w:val="auto"/>
          <w:sz w:val="21"/>
          <w:szCs w:val="21"/>
          <w:u w:val="none"/>
          <w:lang w:val="en-US" w:eastAsia="zh-CN"/>
        </w:rPr>
        <w:t>主要设备组成：</w:t>
      </w:r>
      <w:r>
        <w:rPr>
          <w:rFonts w:hint="eastAsia" w:ascii="宋体" w:hAnsi="宋体" w:eastAsia="宋体" w:cs="宋体"/>
          <w:color w:val="auto"/>
          <w:sz w:val="21"/>
          <w:szCs w:val="21"/>
          <w:u w:val="none"/>
        </w:rPr>
        <w:t>1栋固废堆棚</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u w:val="none"/>
        </w:rPr>
        <w:t>1座库房（与堆棚连体建造）</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u w:val="none"/>
        </w:rPr>
        <w:t>1座沉淀池</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u w:val="none"/>
          <w:lang w:val="en-US" w:eastAsia="zh-CN"/>
        </w:rPr>
        <w:t>2台冲洗水泵、2台潜水泵引水管、阀门、消防系统、网络系统、强弱电系统及洗车装置等</w:t>
      </w:r>
      <w:r>
        <w:rPr>
          <w:rFonts w:hint="eastAsia" w:ascii="宋体" w:hAnsi="宋体" w:eastAsia="宋体" w:cs="宋体"/>
          <w:color w:val="auto"/>
          <w:sz w:val="21"/>
          <w:szCs w:val="21"/>
          <w:u w:val="none"/>
        </w:rPr>
        <w:t>。</w:t>
      </w:r>
    </w:p>
    <w:p w14:paraId="68602EE1">
      <w:pPr>
        <w:widowControl/>
        <w:spacing w:before="156" w:beforeLines="50" w:after="156" w:afterLines="50" w:line="360" w:lineRule="auto"/>
        <w:jc w:val="left"/>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7.码头粉煤灰装船除尘系统</w:t>
      </w:r>
      <w:r>
        <w:rPr>
          <w:rFonts w:hint="default" w:ascii="宋体" w:hAnsi="宋体" w:eastAsia="宋体" w:cs="宋体"/>
          <w:b/>
          <w:bCs/>
          <w:sz w:val="21"/>
          <w:szCs w:val="21"/>
          <w:lang w:val="en-US" w:eastAsia="zh-CN"/>
        </w:rPr>
        <w:t>简介</w:t>
      </w:r>
    </w:p>
    <w:p w14:paraId="7B9C26DF">
      <w:pPr>
        <w:widowControl/>
        <w:spacing w:before="156" w:beforeLines="50" w:after="156" w:afterLines="50" w:line="360" w:lineRule="auto"/>
        <w:ind w:firstLine="386" w:firstLineChars="184"/>
        <w:jc w:val="left"/>
        <w:outlineLvl w:val="3"/>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公司为保证乐电综合码头粉煤灰装船时扬尘满足环保要求，于码头面安装一套收尘系统。该收尘系统主要由</w:t>
      </w:r>
      <w:r>
        <w:rPr>
          <w:rFonts w:hint="eastAsia" w:ascii="宋体" w:hAnsi="宋体" w:eastAsia="宋体" w:cs="宋体"/>
          <w:sz w:val="21"/>
          <w:szCs w:val="21"/>
        </w:rPr>
        <w:t>烧结板除尘器</w:t>
      </w:r>
      <w:r>
        <w:rPr>
          <w:rFonts w:hint="eastAsia" w:ascii="宋体" w:hAnsi="宋体" w:eastAsia="宋体" w:cs="宋体"/>
          <w:color w:val="auto"/>
          <w:sz w:val="21"/>
          <w:szCs w:val="21"/>
          <w:u w:val="none"/>
          <w:lang w:val="en-US" w:eastAsia="zh-CN"/>
        </w:rPr>
        <w:t>、离心风机、</w:t>
      </w:r>
      <w:r>
        <w:rPr>
          <w:rFonts w:hint="eastAsia" w:ascii="宋体" w:hAnsi="宋体" w:eastAsia="宋体" w:cs="宋体"/>
          <w:sz w:val="21"/>
          <w:szCs w:val="21"/>
        </w:rPr>
        <w:t>罗茨风机</w:t>
      </w:r>
      <w:r>
        <w:rPr>
          <w:rFonts w:hint="eastAsia" w:ascii="宋体" w:hAnsi="宋体" w:eastAsia="宋体" w:cs="宋体"/>
          <w:sz w:val="21"/>
          <w:szCs w:val="21"/>
          <w:lang w:eastAsia="zh-CN"/>
        </w:rPr>
        <w:t>、</w:t>
      </w:r>
      <w:r>
        <w:rPr>
          <w:rFonts w:hint="eastAsia" w:ascii="宋体" w:hAnsi="宋体" w:eastAsia="宋体" w:cs="宋体"/>
          <w:color w:val="auto"/>
          <w:sz w:val="21"/>
          <w:szCs w:val="21"/>
          <w:u w:val="none"/>
          <w:lang w:val="en-US" w:eastAsia="zh-CN"/>
        </w:rPr>
        <w:t>喷射泵、空压机、</w:t>
      </w:r>
      <w:r>
        <w:rPr>
          <w:rFonts w:hint="eastAsia" w:ascii="宋体" w:hAnsi="宋体" w:eastAsia="宋体" w:cs="宋体"/>
          <w:sz w:val="21"/>
          <w:szCs w:val="21"/>
        </w:rPr>
        <w:t>冷冻式干燥机</w:t>
      </w:r>
      <w:r>
        <w:rPr>
          <w:rFonts w:hint="eastAsia" w:ascii="宋体" w:hAnsi="宋体" w:eastAsia="宋体" w:cs="宋体"/>
          <w:color w:val="auto"/>
          <w:sz w:val="21"/>
          <w:szCs w:val="21"/>
          <w:u w:val="none"/>
          <w:lang w:val="en-US" w:eastAsia="zh-CN"/>
        </w:rPr>
        <w:t>、储气罐、电源、控制柜及收尘管道等设备组成。该系统电源取自乐电综合码头380V配电室OOBHF04GH02A备用间隔。</w:t>
      </w:r>
    </w:p>
    <w:p w14:paraId="42876034">
      <w:pPr>
        <w:widowControl/>
        <w:spacing w:before="156" w:beforeLines="50" w:after="156" w:afterLines="50" w:line="360" w:lineRule="auto"/>
        <w:jc w:val="left"/>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8.码头废水收集系统</w:t>
      </w:r>
      <w:r>
        <w:rPr>
          <w:rFonts w:hint="default" w:ascii="宋体" w:hAnsi="宋体" w:eastAsia="宋体" w:cs="宋体"/>
          <w:b/>
          <w:bCs/>
          <w:sz w:val="21"/>
          <w:szCs w:val="21"/>
          <w:lang w:val="en-US" w:eastAsia="zh-CN"/>
        </w:rPr>
        <w:t>简介</w:t>
      </w:r>
    </w:p>
    <w:p w14:paraId="1108B1D1">
      <w:pPr>
        <w:widowControl/>
        <w:spacing w:before="156" w:beforeLines="50" w:after="156" w:afterLines="50" w:line="360" w:lineRule="auto"/>
        <w:ind w:firstLine="386" w:firstLineChars="184"/>
        <w:jc w:val="left"/>
        <w:outlineLvl w:val="3"/>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公司为保证码头石膏、上料装卸后冲洗废水符合环保要求，于码头装卸区域装设一套废水手机系统，该系统主要由不锈钢集水井、不锈钢集污池、污水泵、增压泵、管道、电源、配电箱及控制器等设备组成。</w:t>
      </w:r>
    </w:p>
    <w:p w14:paraId="15D709CC">
      <w:pPr>
        <w:widowControl/>
        <w:spacing w:before="156" w:beforeLines="50" w:after="156" w:afterLines="50" w:line="360" w:lineRule="auto"/>
        <w:jc w:val="left"/>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9.三期停车场</w:t>
      </w:r>
      <w:r>
        <w:rPr>
          <w:rFonts w:hint="default" w:ascii="宋体" w:hAnsi="宋体" w:eastAsia="宋体" w:cs="宋体"/>
          <w:b/>
          <w:bCs/>
          <w:sz w:val="21"/>
          <w:szCs w:val="21"/>
          <w:lang w:val="en-US" w:eastAsia="zh-CN"/>
        </w:rPr>
        <w:t>简介</w:t>
      </w:r>
    </w:p>
    <w:p w14:paraId="2FB34183">
      <w:pPr>
        <w:widowControl/>
        <w:spacing w:before="156" w:beforeLines="50" w:after="156" w:afterLines="50" w:line="360" w:lineRule="auto"/>
        <w:ind w:firstLine="386" w:firstLineChars="184"/>
        <w:jc w:val="left"/>
        <w:outlineLvl w:val="3"/>
        <w:rPr>
          <w:rFonts w:hint="eastAsia" w:ascii="宋体" w:hAnsi="宋体" w:eastAsia="宋体" w:cs="Times New Roman"/>
          <w:color w:val="auto"/>
          <w:sz w:val="21"/>
          <w:szCs w:val="21"/>
          <w:u w:val="none"/>
          <w:lang w:val="en-US" w:eastAsia="zh-CN"/>
        </w:rPr>
      </w:pPr>
      <w:r>
        <w:rPr>
          <w:rFonts w:hint="eastAsia" w:ascii="宋体" w:hAnsi="宋体" w:eastAsia="宋体" w:cs="Times New Roman"/>
          <w:color w:val="auto"/>
          <w:sz w:val="21"/>
          <w:szCs w:val="21"/>
          <w:u w:val="none"/>
          <w:lang w:val="en-US" w:eastAsia="zh-CN"/>
        </w:rPr>
        <w:t>公司三期停车场主要用于固废运输车辆的冲洗，该停车场设备主要有污水池污水泵、喷淋枪、电子屏、电源、冲洗水管、管道及一座钢构楼梯等设备组成。</w:t>
      </w:r>
    </w:p>
    <w:p w14:paraId="7C678C67">
      <w:pPr>
        <w:widowControl/>
        <w:spacing w:before="156" w:beforeLines="50" w:after="156" w:afterLines="50" w:line="360" w:lineRule="auto"/>
        <w:jc w:val="left"/>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10.三期堆场</w:t>
      </w:r>
      <w:r>
        <w:rPr>
          <w:rFonts w:hint="default" w:ascii="宋体" w:hAnsi="宋体" w:eastAsia="宋体" w:cs="宋体"/>
          <w:b/>
          <w:bCs/>
          <w:sz w:val="21"/>
          <w:szCs w:val="21"/>
          <w:lang w:val="en-US" w:eastAsia="zh-CN"/>
        </w:rPr>
        <w:t>简介</w:t>
      </w:r>
    </w:p>
    <w:p w14:paraId="1A21D807">
      <w:pPr>
        <w:widowControl/>
        <w:spacing w:before="156" w:beforeLines="50" w:after="156" w:afterLines="50" w:line="360" w:lineRule="auto"/>
        <w:ind w:firstLine="386" w:firstLineChars="184"/>
        <w:jc w:val="left"/>
        <w:outlineLvl w:val="3"/>
        <w:rPr>
          <w:rFonts w:hint="default" w:ascii="宋体" w:hAnsi="宋体" w:eastAsia="宋体" w:cs="Times New Roman"/>
          <w:color w:val="auto"/>
          <w:sz w:val="21"/>
          <w:szCs w:val="21"/>
          <w:u w:val="none"/>
          <w:lang w:val="en-US" w:eastAsia="zh-CN"/>
        </w:rPr>
      </w:pPr>
      <w:r>
        <w:rPr>
          <w:rFonts w:hint="eastAsia" w:ascii="宋体" w:hAnsi="宋体" w:eastAsia="宋体" w:cs="Times New Roman"/>
          <w:color w:val="auto"/>
          <w:sz w:val="21"/>
          <w:szCs w:val="21"/>
          <w:u w:val="none"/>
          <w:lang w:val="en-US" w:eastAsia="zh-CN"/>
        </w:rPr>
        <w:t>三期堆场主要用于公司固体废弃物的堆放，该堆场主要设备有喷淋枪、冲洗水管、管道、</w:t>
      </w:r>
      <w:r>
        <w:rPr>
          <w:rFonts w:hint="eastAsia" w:ascii="宋体" w:eastAsia="宋体" w:cs="Times New Roman"/>
          <w:color w:val="auto"/>
          <w:sz w:val="21"/>
          <w:szCs w:val="21"/>
          <w:u w:val="none"/>
          <w:lang w:val="en-US" w:eastAsia="zh-CN"/>
        </w:rPr>
        <w:t>水池及增压泵等设备</w:t>
      </w:r>
      <w:r>
        <w:rPr>
          <w:rFonts w:hint="eastAsia" w:ascii="宋体" w:hAnsi="宋体" w:eastAsia="宋体" w:cs="Times New Roman"/>
          <w:color w:val="auto"/>
          <w:sz w:val="21"/>
          <w:szCs w:val="21"/>
          <w:u w:val="none"/>
          <w:lang w:val="en-US" w:eastAsia="zh-CN"/>
        </w:rPr>
        <w:t>组成。堆场水源取自浙能乐电三期4号煤场冲洗水。</w:t>
      </w:r>
    </w:p>
    <w:p w14:paraId="5BCBA69C">
      <w:pPr>
        <w:numPr>
          <w:ilvl w:val="0"/>
          <w:numId w:val="0"/>
        </w:numPr>
        <w:snapToGrid w:val="0"/>
        <w:spacing w:line="360" w:lineRule="auto"/>
        <w:ind w:left="0" w:firstLine="0"/>
        <w:jc w:val="both"/>
        <w:outlineLvl w:val="9"/>
        <w:rPr>
          <w:rFonts w:hint="eastAsia" w:ascii="宋体" w:eastAsia="宋体"/>
          <w:b/>
          <w:bCs w:val="0"/>
          <w:i w:val="0"/>
          <w:iCs/>
          <w:sz w:val="32"/>
          <w:szCs w:val="21"/>
          <w:highlight w:val="none"/>
        </w:rPr>
      </w:pPr>
      <w:r>
        <w:rPr>
          <w:rFonts w:ascii="宋体" w:eastAsia="宋体"/>
          <w:b/>
          <w:bCs w:val="0"/>
          <w:sz w:val="32"/>
          <w:szCs w:val="21"/>
          <w:highlight w:val="none"/>
        </w:rPr>
        <w:t>3.</w:t>
      </w:r>
      <w:r>
        <w:rPr>
          <w:rFonts w:hint="eastAsia" w:ascii="宋体" w:eastAsia="宋体"/>
          <w:b/>
          <w:bCs w:val="0"/>
          <w:sz w:val="32"/>
          <w:szCs w:val="21"/>
          <w:highlight w:val="none"/>
        </w:rPr>
        <w:t>范围及接口</w:t>
      </w:r>
      <w:bookmarkEnd w:id="5"/>
    </w:p>
    <w:p w14:paraId="3EF95298">
      <w:pPr>
        <w:spacing w:line="360" w:lineRule="auto"/>
        <w:rPr>
          <w:rFonts w:hint="default" w:ascii="宋体" w:eastAsia="宋体"/>
          <w:b/>
          <w:bCs/>
          <w:i/>
          <w:sz w:val="21"/>
          <w:szCs w:val="21"/>
          <w:highlight w:val="none"/>
          <w:lang w:val="en-US" w:eastAsia="zh-CN"/>
        </w:rPr>
      </w:pPr>
      <w:r>
        <w:rPr>
          <w:rFonts w:hint="eastAsia" w:ascii="宋体" w:eastAsia="宋体"/>
          <w:b/>
          <w:bCs/>
          <w:i w:val="0"/>
          <w:iCs/>
          <w:sz w:val="21"/>
          <w:szCs w:val="21"/>
          <w:highlight w:val="none"/>
          <w:lang w:val="en-US" w:eastAsia="zh-CN"/>
        </w:rPr>
        <w:t>3.1辅助运行工作范围</w:t>
      </w:r>
    </w:p>
    <w:p w14:paraId="61E20EEF">
      <w:pPr>
        <w:widowControl/>
        <w:spacing w:before="156" w:beforeLines="50" w:after="156" w:afterLines="50" w:line="360" w:lineRule="auto"/>
        <w:jc w:val="left"/>
        <w:outlineLvl w:val="3"/>
        <w:rPr>
          <w:rFonts w:hint="eastAsia" w:ascii="宋体" w:hAnsi="宋体" w:eastAsia="宋体" w:cs="Times New Roman"/>
          <w:color w:val="auto"/>
          <w:sz w:val="21"/>
          <w:szCs w:val="21"/>
          <w:u w:val="none"/>
          <w:lang w:val="en-US" w:eastAsia="zh-CN"/>
        </w:rPr>
      </w:pPr>
      <w:r>
        <w:rPr>
          <w:rFonts w:hint="eastAsia" w:ascii="宋体" w:hAnsi="宋体" w:eastAsia="宋体" w:cs="Times New Roman"/>
          <w:color w:val="auto"/>
          <w:sz w:val="21"/>
          <w:szCs w:val="21"/>
          <w:u w:val="none"/>
          <w:lang w:val="en-US" w:eastAsia="zh-CN"/>
        </w:rPr>
        <w:t xml:space="preserve">3.1.1 </w:t>
      </w:r>
      <w:r>
        <w:rPr>
          <w:rFonts w:hint="default" w:ascii="宋体" w:hAnsi="宋体" w:eastAsia="宋体" w:cs="Times New Roman"/>
          <w:color w:val="auto"/>
          <w:sz w:val="21"/>
          <w:szCs w:val="21"/>
          <w:u w:val="none"/>
          <w:lang w:val="en-US" w:eastAsia="zh-CN"/>
        </w:rPr>
        <w:t>灰库放灰的服务范围：</w:t>
      </w:r>
      <w:r>
        <w:rPr>
          <w:rFonts w:hint="eastAsia" w:ascii="宋体" w:eastAsia="宋体" w:cs="Times New Roman"/>
          <w:color w:val="auto"/>
          <w:sz w:val="21"/>
          <w:szCs w:val="21"/>
          <w:u w:val="none"/>
          <w:lang w:val="en-US" w:eastAsia="zh-CN"/>
        </w:rPr>
        <w:t>9个</w:t>
      </w:r>
      <w:r>
        <w:rPr>
          <w:rFonts w:hint="default" w:ascii="宋体" w:hAnsi="宋体" w:eastAsia="宋体" w:cs="Times New Roman"/>
          <w:color w:val="auto"/>
          <w:sz w:val="21"/>
          <w:szCs w:val="21"/>
          <w:u w:val="none"/>
          <w:lang w:val="en-US" w:eastAsia="zh-CN"/>
        </w:rPr>
        <w:t>灰库的放灰卸料操作，</w:t>
      </w:r>
      <w:r>
        <w:rPr>
          <w:rFonts w:hint="eastAsia" w:ascii="宋体" w:eastAsia="宋体" w:cs="Times New Roman"/>
          <w:color w:val="auto"/>
          <w:sz w:val="21"/>
          <w:szCs w:val="21"/>
          <w:u w:val="none"/>
          <w:lang w:val="en-US" w:eastAsia="zh-CN"/>
        </w:rPr>
        <w:t>应急</w:t>
      </w:r>
      <w:r>
        <w:rPr>
          <w:rFonts w:hint="eastAsia" w:ascii="宋体" w:hAnsi="宋体" w:eastAsia="宋体" w:cs="Times New Roman"/>
          <w:color w:val="auto"/>
          <w:sz w:val="21"/>
          <w:szCs w:val="21"/>
          <w:u w:val="none"/>
          <w:lang w:val="en-US" w:eastAsia="zh-CN"/>
        </w:rPr>
        <w:t>调湿</w:t>
      </w:r>
      <w:r>
        <w:rPr>
          <w:rFonts w:hint="eastAsia" w:ascii="宋体" w:eastAsia="宋体" w:cs="Times New Roman"/>
          <w:color w:val="auto"/>
          <w:sz w:val="21"/>
          <w:szCs w:val="21"/>
          <w:u w:val="none"/>
          <w:lang w:val="en-US" w:eastAsia="zh-CN"/>
        </w:rPr>
        <w:t>灰装车</w:t>
      </w:r>
      <w:r>
        <w:rPr>
          <w:rFonts w:hint="eastAsia" w:ascii="宋体" w:hAnsi="宋体" w:eastAsia="宋体" w:cs="Times New Roman"/>
          <w:color w:val="auto"/>
          <w:sz w:val="21"/>
          <w:szCs w:val="21"/>
          <w:u w:val="none"/>
          <w:lang w:val="en-US" w:eastAsia="zh-CN"/>
        </w:rPr>
        <w:t>操作</w:t>
      </w:r>
      <w:r>
        <w:rPr>
          <w:rFonts w:hint="eastAsia" w:ascii="宋体" w:eastAsia="宋体" w:cs="Times New Roman"/>
          <w:color w:val="auto"/>
          <w:sz w:val="21"/>
          <w:szCs w:val="21"/>
          <w:u w:val="none"/>
          <w:lang w:val="en-US" w:eastAsia="zh-CN"/>
        </w:rPr>
        <w:t>、</w:t>
      </w:r>
      <w:r>
        <w:rPr>
          <w:rFonts w:hint="eastAsia" w:ascii="宋体" w:hAnsi="宋体" w:eastAsia="宋体" w:cs="Times New Roman"/>
          <w:color w:val="auto"/>
          <w:sz w:val="21"/>
          <w:szCs w:val="21"/>
          <w:u w:val="none"/>
          <w:lang w:val="en-US" w:eastAsia="zh-CN"/>
        </w:rPr>
        <w:t>调湿灰设备冲洗</w:t>
      </w:r>
      <w:r>
        <w:rPr>
          <w:rFonts w:hint="eastAsia" w:ascii="宋体" w:eastAsia="宋体" w:cs="Times New Roman"/>
          <w:color w:val="auto"/>
          <w:sz w:val="21"/>
          <w:szCs w:val="21"/>
          <w:u w:val="none"/>
          <w:lang w:val="en-US" w:eastAsia="zh-CN"/>
        </w:rPr>
        <w:t>、灰库库位监测上报、设备巡检、缺陷填报、</w:t>
      </w:r>
      <w:r>
        <w:rPr>
          <w:rFonts w:hint="eastAsia" w:ascii="宋体" w:hAnsi="宋体" w:eastAsia="宋体" w:cs="Times New Roman"/>
          <w:color w:val="auto"/>
          <w:sz w:val="21"/>
          <w:szCs w:val="21"/>
          <w:u w:val="none"/>
          <w:lang w:val="en-US" w:eastAsia="zh-CN"/>
        </w:rPr>
        <w:t>现场安全监</w:t>
      </w:r>
      <w:r>
        <w:rPr>
          <w:rFonts w:hint="eastAsia" w:ascii="宋体" w:eastAsia="宋体" w:cs="Times New Roman"/>
          <w:color w:val="auto"/>
          <w:sz w:val="21"/>
          <w:szCs w:val="21"/>
          <w:u w:val="none"/>
          <w:lang w:val="en-US" w:eastAsia="zh-CN"/>
        </w:rPr>
        <w:t>管、粉煤灰装车取样送检、灰库投影面积内的打扫冲洗、</w:t>
      </w:r>
      <w:r>
        <w:rPr>
          <w:rFonts w:hint="default" w:ascii="宋体" w:hAnsi="宋体" w:eastAsia="宋体" w:cs="Times New Roman"/>
          <w:color w:val="auto"/>
          <w:sz w:val="21"/>
          <w:szCs w:val="21"/>
          <w:u w:val="none"/>
          <w:lang w:val="en-US" w:eastAsia="zh-CN"/>
        </w:rPr>
        <w:t>所属</w:t>
      </w:r>
      <w:r>
        <w:rPr>
          <w:rFonts w:hint="eastAsia" w:ascii="宋体" w:hAnsi="宋体" w:eastAsia="宋体" w:cs="Times New Roman"/>
          <w:color w:val="auto"/>
          <w:sz w:val="21"/>
          <w:szCs w:val="21"/>
          <w:u w:val="none"/>
          <w:lang w:val="en-US" w:eastAsia="zh-CN"/>
        </w:rPr>
        <w:t>区域文明卫生监管</w:t>
      </w:r>
      <w:r>
        <w:rPr>
          <w:rFonts w:hint="default" w:ascii="宋体" w:hAnsi="宋体" w:eastAsia="宋体" w:cs="Times New Roman"/>
          <w:color w:val="auto"/>
          <w:sz w:val="21"/>
          <w:szCs w:val="21"/>
          <w:u w:val="none"/>
          <w:lang w:val="en-US" w:eastAsia="zh-CN"/>
        </w:rPr>
        <w:t>。</w:t>
      </w:r>
    </w:p>
    <w:p w14:paraId="0998D9DC">
      <w:pPr>
        <w:widowControl/>
        <w:spacing w:before="156" w:beforeLines="50" w:after="156" w:afterLines="50" w:line="360" w:lineRule="auto"/>
        <w:jc w:val="left"/>
        <w:outlineLvl w:val="3"/>
        <w:rPr>
          <w:rFonts w:hint="default" w:ascii="宋体" w:hAnsi="宋体" w:eastAsia="宋体" w:cs="Times New Roman"/>
          <w:color w:val="auto"/>
          <w:sz w:val="21"/>
          <w:szCs w:val="21"/>
          <w:u w:val="none"/>
          <w:lang w:val="en-US" w:eastAsia="zh-CN"/>
        </w:rPr>
      </w:pPr>
      <w:r>
        <w:rPr>
          <w:rFonts w:hint="eastAsia" w:ascii="宋体" w:hAnsi="宋体" w:eastAsia="宋体" w:cs="Times New Roman"/>
          <w:color w:val="auto"/>
          <w:sz w:val="21"/>
          <w:szCs w:val="21"/>
          <w:u w:val="none"/>
          <w:lang w:val="en-US" w:eastAsia="zh-CN"/>
        </w:rPr>
        <w:t>3.1.2渣仓放渣的作业范围：6个渣仓放渣卸料操作、放渣设备冲洗，</w:t>
      </w:r>
      <w:r>
        <w:rPr>
          <w:rFonts w:hint="eastAsia" w:ascii="宋体" w:eastAsia="宋体" w:cs="Times New Roman"/>
          <w:color w:val="auto"/>
          <w:sz w:val="21"/>
          <w:szCs w:val="21"/>
          <w:u w:val="none"/>
          <w:lang w:val="en-US" w:eastAsia="zh-CN"/>
        </w:rPr>
        <w:t>渣仓库位监测上报、设备巡检、缺陷填报、</w:t>
      </w:r>
      <w:r>
        <w:rPr>
          <w:rFonts w:hint="eastAsia" w:ascii="宋体" w:hAnsi="宋体" w:eastAsia="宋体" w:cs="Times New Roman"/>
          <w:color w:val="auto"/>
          <w:sz w:val="21"/>
          <w:szCs w:val="21"/>
          <w:u w:val="none"/>
          <w:lang w:val="en-US" w:eastAsia="zh-CN"/>
        </w:rPr>
        <w:t>现场安全监</w:t>
      </w:r>
      <w:r>
        <w:rPr>
          <w:rFonts w:hint="eastAsia" w:ascii="宋体" w:eastAsia="宋体" w:cs="Times New Roman"/>
          <w:color w:val="auto"/>
          <w:sz w:val="21"/>
          <w:szCs w:val="21"/>
          <w:u w:val="none"/>
          <w:lang w:val="en-US" w:eastAsia="zh-CN"/>
        </w:rPr>
        <w:t>管、</w:t>
      </w:r>
      <w:r>
        <w:rPr>
          <w:rFonts w:hint="default" w:ascii="宋体" w:hAnsi="宋体" w:eastAsia="宋体" w:cs="Times New Roman"/>
          <w:color w:val="auto"/>
          <w:sz w:val="21"/>
          <w:szCs w:val="21"/>
          <w:u w:val="none"/>
          <w:lang w:val="en-US" w:eastAsia="zh-CN"/>
        </w:rPr>
        <w:t>所属</w:t>
      </w:r>
      <w:r>
        <w:rPr>
          <w:rFonts w:hint="eastAsia" w:ascii="宋体" w:hAnsi="宋体" w:eastAsia="宋体" w:cs="Times New Roman"/>
          <w:color w:val="auto"/>
          <w:sz w:val="21"/>
          <w:szCs w:val="21"/>
          <w:u w:val="none"/>
          <w:lang w:val="en-US" w:eastAsia="zh-CN"/>
        </w:rPr>
        <w:t>区域文明卫生监管</w:t>
      </w:r>
      <w:r>
        <w:rPr>
          <w:rFonts w:hint="default" w:ascii="宋体" w:hAnsi="宋体" w:eastAsia="宋体" w:cs="Times New Roman"/>
          <w:color w:val="auto"/>
          <w:sz w:val="21"/>
          <w:szCs w:val="21"/>
          <w:u w:val="none"/>
          <w:lang w:val="en-US" w:eastAsia="zh-CN"/>
        </w:rPr>
        <w:t>。</w:t>
      </w:r>
    </w:p>
    <w:p w14:paraId="01B2EE0F">
      <w:pPr>
        <w:widowControl/>
        <w:spacing w:before="156" w:beforeLines="50" w:after="156" w:afterLines="50" w:line="360" w:lineRule="auto"/>
        <w:jc w:val="left"/>
        <w:outlineLvl w:val="3"/>
        <w:rPr>
          <w:rFonts w:hint="default" w:ascii="宋体" w:hAnsi="宋体" w:eastAsia="宋体" w:cs="Times New Roman"/>
          <w:color w:val="auto"/>
          <w:sz w:val="21"/>
          <w:szCs w:val="21"/>
          <w:u w:val="none"/>
          <w:lang w:val="en-US" w:eastAsia="zh-CN"/>
        </w:rPr>
      </w:pPr>
      <w:r>
        <w:rPr>
          <w:rFonts w:hint="eastAsia" w:ascii="宋体" w:hAnsi="宋体" w:eastAsia="宋体" w:cs="Times New Roman"/>
          <w:color w:val="auto"/>
          <w:sz w:val="21"/>
          <w:szCs w:val="21"/>
          <w:u w:val="none"/>
          <w:lang w:val="en-US" w:eastAsia="zh-CN"/>
        </w:rPr>
        <w:t>3.1.3石膏仓放石膏作业范围：</w:t>
      </w:r>
      <w:r>
        <w:rPr>
          <w:rFonts w:hint="eastAsia" w:ascii="宋体" w:eastAsia="宋体" w:cs="Times New Roman"/>
          <w:color w:val="auto"/>
          <w:sz w:val="21"/>
          <w:szCs w:val="21"/>
          <w:u w:val="none"/>
          <w:lang w:val="en-US" w:eastAsia="zh-CN"/>
        </w:rPr>
        <w:t>一二期石膏库</w:t>
      </w:r>
      <w:r>
        <w:rPr>
          <w:rFonts w:hint="eastAsia" w:ascii="宋体" w:hAnsi="宋体" w:eastAsia="宋体" w:cs="Times New Roman"/>
          <w:color w:val="auto"/>
          <w:sz w:val="21"/>
          <w:szCs w:val="21"/>
          <w:u w:val="none"/>
          <w:lang w:val="en-US" w:eastAsia="zh-CN"/>
        </w:rPr>
        <w:t>石膏</w:t>
      </w:r>
      <w:r>
        <w:rPr>
          <w:rFonts w:hint="eastAsia" w:ascii="宋体" w:eastAsia="宋体" w:cs="Times New Roman"/>
          <w:color w:val="auto"/>
          <w:sz w:val="21"/>
          <w:szCs w:val="21"/>
          <w:u w:val="none"/>
          <w:lang w:val="en-US" w:eastAsia="zh-CN"/>
        </w:rPr>
        <w:t>卸料操作；一二三期石膏库库位监测上报、设备巡检、缺陷填报、</w:t>
      </w:r>
      <w:r>
        <w:rPr>
          <w:rFonts w:hint="eastAsia" w:ascii="宋体" w:hAnsi="宋体" w:eastAsia="宋体" w:cs="Times New Roman"/>
          <w:color w:val="auto"/>
          <w:sz w:val="21"/>
          <w:szCs w:val="21"/>
          <w:u w:val="none"/>
          <w:lang w:val="en-US" w:eastAsia="zh-CN"/>
        </w:rPr>
        <w:t>现场安全监</w:t>
      </w:r>
      <w:r>
        <w:rPr>
          <w:rFonts w:hint="eastAsia" w:ascii="宋体" w:eastAsia="宋体" w:cs="Times New Roman"/>
          <w:color w:val="auto"/>
          <w:sz w:val="21"/>
          <w:szCs w:val="21"/>
          <w:u w:val="none"/>
          <w:lang w:val="en-US" w:eastAsia="zh-CN"/>
        </w:rPr>
        <w:t>管</w:t>
      </w:r>
      <w:r>
        <w:rPr>
          <w:rFonts w:hint="eastAsia" w:ascii="宋体" w:hAnsi="宋体" w:eastAsia="宋体" w:cs="Times New Roman"/>
          <w:color w:val="auto"/>
          <w:sz w:val="21"/>
          <w:szCs w:val="21"/>
          <w:u w:val="none"/>
          <w:lang w:val="en-US" w:eastAsia="zh-CN"/>
        </w:rPr>
        <w:t>、</w:t>
      </w:r>
      <w:r>
        <w:rPr>
          <w:rFonts w:hint="eastAsia" w:ascii="宋体" w:eastAsia="宋体" w:cs="Times New Roman"/>
          <w:color w:val="auto"/>
          <w:sz w:val="21"/>
          <w:szCs w:val="21"/>
          <w:u w:val="none"/>
          <w:lang w:val="en-US" w:eastAsia="zh-CN"/>
        </w:rPr>
        <w:t>石膏取样送检、</w:t>
      </w:r>
      <w:r>
        <w:rPr>
          <w:rFonts w:hint="default" w:ascii="宋体" w:hAnsi="宋体" w:eastAsia="宋体" w:cs="Times New Roman"/>
          <w:color w:val="auto"/>
          <w:sz w:val="21"/>
          <w:szCs w:val="21"/>
          <w:u w:val="none"/>
          <w:lang w:val="en-US" w:eastAsia="zh-CN"/>
        </w:rPr>
        <w:t>所属</w:t>
      </w:r>
      <w:r>
        <w:rPr>
          <w:rFonts w:hint="eastAsia" w:ascii="宋体" w:hAnsi="宋体" w:eastAsia="宋体" w:cs="Times New Roman"/>
          <w:color w:val="auto"/>
          <w:sz w:val="21"/>
          <w:szCs w:val="21"/>
          <w:u w:val="none"/>
          <w:lang w:val="en-US" w:eastAsia="zh-CN"/>
        </w:rPr>
        <w:t>区域文明卫生监管</w:t>
      </w:r>
      <w:r>
        <w:rPr>
          <w:rFonts w:hint="default" w:ascii="宋体" w:hAnsi="宋体" w:eastAsia="宋体" w:cs="Times New Roman"/>
          <w:color w:val="auto"/>
          <w:sz w:val="21"/>
          <w:szCs w:val="21"/>
          <w:u w:val="none"/>
          <w:lang w:val="en-US" w:eastAsia="zh-CN"/>
        </w:rPr>
        <w:t>。</w:t>
      </w:r>
    </w:p>
    <w:p w14:paraId="2E3CFDF0">
      <w:pPr>
        <w:widowControl/>
        <w:spacing w:before="156" w:beforeLines="50" w:after="156" w:afterLines="50" w:line="360" w:lineRule="auto"/>
        <w:jc w:val="left"/>
        <w:outlineLvl w:val="3"/>
        <w:rPr>
          <w:rFonts w:hint="eastAsia"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3.1.4</w:t>
      </w:r>
      <w:r>
        <w:rPr>
          <w:rFonts w:hint="default" w:ascii="宋体" w:eastAsia="宋体" w:cs="Times New Roman"/>
          <w:color w:val="auto"/>
          <w:sz w:val="21"/>
          <w:szCs w:val="21"/>
          <w:u w:val="none"/>
          <w:lang w:val="en-US" w:eastAsia="zh-CN"/>
        </w:rPr>
        <w:t>干灰分选运行的服务范围：</w:t>
      </w:r>
      <w:r>
        <w:rPr>
          <w:rFonts w:hint="eastAsia" w:ascii="宋体" w:eastAsia="宋体" w:cs="Times New Roman"/>
          <w:color w:val="auto"/>
          <w:sz w:val="21"/>
          <w:szCs w:val="21"/>
          <w:u w:val="none"/>
          <w:lang w:val="en-US" w:eastAsia="zh-CN"/>
        </w:rPr>
        <w:t>3</w:t>
      </w:r>
      <w:r>
        <w:rPr>
          <w:rFonts w:hint="default" w:ascii="宋体" w:eastAsia="宋体" w:cs="Times New Roman"/>
          <w:color w:val="auto"/>
          <w:sz w:val="21"/>
          <w:szCs w:val="21"/>
          <w:u w:val="none"/>
          <w:lang w:val="en-US" w:eastAsia="zh-CN"/>
        </w:rPr>
        <w:t>套干灰分选系统的设备运行</w:t>
      </w:r>
      <w:r>
        <w:rPr>
          <w:rFonts w:hint="eastAsia" w:ascii="宋体" w:eastAsia="宋体" w:cs="Times New Roman"/>
          <w:color w:val="auto"/>
          <w:sz w:val="21"/>
          <w:szCs w:val="21"/>
          <w:u w:val="none"/>
          <w:lang w:val="en-US" w:eastAsia="zh-CN"/>
        </w:rPr>
        <w:t>、设备管理、设备巡检、缺陷填报、干灰分选产品取样送检。</w:t>
      </w:r>
    </w:p>
    <w:p w14:paraId="16FC7CB2">
      <w:pPr>
        <w:widowControl/>
        <w:spacing w:before="156" w:beforeLines="50" w:after="156" w:afterLines="50" w:line="360" w:lineRule="auto"/>
        <w:jc w:val="left"/>
        <w:outlineLvl w:val="3"/>
        <w:rPr>
          <w:rFonts w:hint="default"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3.1.5</w:t>
      </w:r>
      <w:r>
        <w:rPr>
          <w:rFonts w:hint="default" w:ascii="宋体" w:eastAsia="宋体" w:cs="Times New Roman"/>
          <w:color w:val="auto"/>
          <w:sz w:val="21"/>
          <w:szCs w:val="21"/>
          <w:u w:val="none"/>
          <w:lang w:val="en-US" w:eastAsia="zh-CN"/>
        </w:rPr>
        <w:t>车辆管理的服务范围：负责监督、指挥、协调外来车辆和厂内短驳车辆，按照交通法规、厂内规章制度对违规违章车辆进行取证、记录</w:t>
      </w:r>
      <w:r>
        <w:rPr>
          <w:rFonts w:hint="eastAsia" w:ascii="宋体" w:eastAsia="宋体" w:cs="Times New Roman"/>
          <w:color w:val="auto"/>
          <w:sz w:val="21"/>
          <w:szCs w:val="21"/>
          <w:u w:val="none"/>
          <w:lang w:val="en-US" w:eastAsia="zh-CN"/>
        </w:rPr>
        <w:t>并</w:t>
      </w:r>
      <w:r>
        <w:rPr>
          <w:rFonts w:hint="default" w:ascii="宋体" w:eastAsia="宋体" w:cs="Times New Roman"/>
          <w:color w:val="auto"/>
          <w:sz w:val="21"/>
          <w:szCs w:val="21"/>
          <w:u w:val="none"/>
          <w:lang w:val="en-US" w:eastAsia="zh-CN"/>
        </w:rPr>
        <w:t>报备发包方。</w:t>
      </w:r>
      <w:r>
        <w:rPr>
          <w:rFonts w:hint="eastAsia" w:ascii="宋体" w:eastAsia="宋体" w:cs="Times New Roman"/>
          <w:color w:val="auto"/>
          <w:sz w:val="21"/>
          <w:szCs w:val="21"/>
          <w:u w:val="none"/>
          <w:lang w:val="en-US" w:eastAsia="zh-CN"/>
        </w:rPr>
        <w:t>督促做好所有出库车辆的整洁。</w:t>
      </w:r>
    </w:p>
    <w:p w14:paraId="66CB5CFA">
      <w:pPr>
        <w:widowControl/>
        <w:spacing w:before="156" w:beforeLines="50" w:after="156" w:afterLines="50" w:line="360" w:lineRule="auto"/>
        <w:jc w:val="left"/>
        <w:outlineLvl w:val="3"/>
        <w:rPr>
          <w:rFonts w:hint="eastAsia"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3.1.6</w:t>
      </w:r>
      <w:r>
        <w:rPr>
          <w:rFonts w:hint="default" w:ascii="宋体" w:eastAsia="宋体" w:cs="Times New Roman"/>
          <w:color w:val="auto"/>
          <w:sz w:val="21"/>
          <w:szCs w:val="21"/>
          <w:u w:val="none"/>
          <w:lang w:val="en-US" w:eastAsia="zh-CN"/>
        </w:rPr>
        <w:t>上述工作范围内的运行常规工作</w:t>
      </w:r>
      <w:r>
        <w:rPr>
          <w:rFonts w:hint="eastAsia" w:ascii="宋体" w:eastAsia="宋体" w:cs="Times New Roman"/>
          <w:color w:val="auto"/>
          <w:sz w:val="21"/>
          <w:szCs w:val="21"/>
          <w:u w:val="none"/>
          <w:lang w:val="en-US" w:eastAsia="zh-CN"/>
        </w:rPr>
        <w:t>：</w:t>
      </w:r>
      <w:r>
        <w:rPr>
          <w:rFonts w:hint="default" w:ascii="宋体" w:eastAsia="宋体" w:cs="Times New Roman"/>
          <w:color w:val="auto"/>
          <w:sz w:val="21"/>
          <w:szCs w:val="21"/>
          <w:u w:val="none"/>
          <w:lang w:val="en-US" w:eastAsia="zh-CN"/>
        </w:rPr>
        <w:t>台帐</w:t>
      </w:r>
      <w:r>
        <w:rPr>
          <w:rFonts w:hint="eastAsia" w:ascii="宋体" w:eastAsia="宋体" w:cs="Times New Roman"/>
          <w:color w:val="auto"/>
          <w:sz w:val="21"/>
          <w:szCs w:val="21"/>
          <w:u w:val="none"/>
          <w:lang w:val="en-US" w:eastAsia="zh-CN"/>
        </w:rPr>
        <w:t>建档整理</w:t>
      </w:r>
      <w:r>
        <w:rPr>
          <w:rFonts w:hint="default" w:ascii="宋体" w:eastAsia="宋体" w:cs="Times New Roman"/>
          <w:color w:val="auto"/>
          <w:sz w:val="21"/>
          <w:szCs w:val="21"/>
          <w:u w:val="none"/>
          <w:lang w:val="en-US" w:eastAsia="zh-CN"/>
        </w:rPr>
        <w:t>填报、运行分析</w:t>
      </w:r>
      <w:r>
        <w:rPr>
          <w:rFonts w:hint="eastAsia" w:ascii="宋体" w:eastAsia="宋体" w:cs="Times New Roman"/>
          <w:color w:val="auto"/>
          <w:sz w:val="21"/>
          <w:szCs w:val="21"/>
          <w:u w:val="none"/>
          <w:lang w:val="en-US" w:eastAsia="zh-CN"/>
        </w:rPr>
        <w:t>、</w:t>
      </w:r>
      <w:r>
        <w:rPr>
          <w:rFonts w:hint="default" w:ascii="宋体" w:eastAsia="宋体" w:cs="Times New Roman"/>
          <w:color w:val="auto"/>
          <w:sz w:val="21"/>
          <w:szCs w:val="21"/>
          <w:u w:val="none"/>
          <w:lang w:val="en-US" w:eastAsia="zh-CN"/>
        </w:rPr>
        <w:t>月报报送</w:t>
      </w:r>
      <w:r>
        <w:rPr>
          <w:rFonts w:hint="eastAsia" w:ascii="宋体" w:eastAsia="宋体" w:cs="Times New Roman"/>
          <w:color w:val="auto"/>
          <w:sz w:val="21"/>
          <w:szCs w:val="21"/>
          <w:u w:val="none"/>
          <w:lang w:val="en-US" w:eastAsia="zh-CN"/>
        </w:rPr>
        <w:t>、</w:t>
      </w:r>
      <w:r>
        <w:rPr>
          <w:rFonts w:hint="default" w:ascii="宋体" w:eastAsia="宋体" w:cs="Times New Roman"/>
          <w:color w:val="auto"/>
          <w:sz w:val="21"/>
          <w:szCs w:val="21"/>
          <w:u w:val="none"/>
          <w:lang w:val="en-US" w:eastAsia="zh-CN"/>
        </w:rPr>
        <w:t>工作票许可以及发包方的其他生产管理要求。</w:t>
      </w:r>
    </w:p>
    <w:p w14:paraId="0EA876FA">
      <w:pPr>
        <w:spacing w:line="360" w:lineRule="auto"/>
        <w:rPr>
          <w:rFonts w:hint="eastAsia" w:ascii="宋体" w:eastAsia="宋体"/>
          <w:b/>
          <w:bCs/>
          <w:i w:val="0"/>
          <w:iCs/>
          <w:sz w:val="21"/>
          <w:szCs w:val="21"/>
          <w:highlight w:val="none"/>
          <w:lang w:val="en-US" w:eastAsia="zh-CN"/>
        </w:rPr>
      </w:pPr>
      <w:bookmarkStart w:id="34" w:name="_Toc29305261"/>
      <w:r>
        <w:rPr>
          <w:rFonts w:hint="eastAsia" w:ascii="宋体" w:eastAsia="宋体"/>
          <w:b/>
          <w:bCs/>
          <w:i w:val="0"/>
          <w:iCs/>
          <w:sz w:val="21"/>
          <w:szCs w:val="21"/>
          <w:highlight w:val="none"/>
          <w:lang w:val="en-US" w:eastAsia="zh-CN"/>
        </w:rPr>
        <w:t>3.2设备维护工作范围及接口</w:t>
      </w:r>
      <w:bookmarkEnd w:id="34"/>
      <w:r>
        <w:rPr>
          <w:rFonts w:hint="default" w:ascii="宋体" w:hAnsi="宋体" w:eastAsia="宋体" w:cs="Times New Roman"/>
          <w:b/>
          <w:bCs/>
          <w:color w:val="auto"/>
          <w:sz w:val="21"/>
          <w:szCs w:val="21"/>
        </w:rPr>
        <w:t>（</w:t>
      </w:r>
      <w:r>
        <w:rPr>
          <w:rFonts w:hint="eastAsia" w:ascii="宋体" w:hAnsi="宋体" w:eastAsia="宋体" w:cs="Times New Roman"/>
          <w:b/>
          <w:bCs/>
          <w:color w:val="auto"/>
          <w:sz w:val="21"/>
          <w:szCs w:val="21"/>
          <w:lang w:val="en-US" w:eastAsia="zh-CN"/>
        </w:rPr>
        <w:t>包括</w:t>
      </w:r>
      <w:r>
        <w:rPr>
          <w:rFonts w:hint="default" w:ascii="宋体" w:hAnsi="宋体" w:eastAsia="宋体" w:cs="Times New Roman"/>
          <w:b/>
          <w:bCs/>
          <w:color w:val="auto"/>
          <w:sz w:val="21"/>
          <w:szCs w:val="21"/>
        </w:rPr>
        <w:t>但不限于</w:t>
      </w:r>
      <w:r>
        <w:rPr>
          <w:rFonts w:hint="eastAsia" w:ascii="宋体" w:hAnsi="宋体" w:eastAsia="宋体" w:cs="Times New Roman"/>
          <w:b/>
          <w:bCs/>
          <w:color w:val="auto"/>
          <w:sz w:val="21"/>
          <w:szCs w:val="21"/>
          <w:lang w:val="en-US" w:eastAsia="zh-CN"/>
        </w:rPr>
        <w:t>以下服务范围</w:t>
      </w:r>
      <w:r>
        <w:rPr>
          <w:rFonts w:hint="default" w:ascii="宋体" w:hAnsi="宋体" w:eastAsia="宋体" w:cs="Times New Roman"/>
          <w:b/>
          <w:bCs/>
          <w:color w:val="auto"/>
          <w:sz w:val="21"/>
          <w:szCs w:val="21"/>
        </w:rPr>
        <w:t>）</w:t>
      </w:r>
    </w:p>
    <w:p w14:paraId="30594FC1">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3.2.1设备检修维护的工作范围：招标人与电厂签署的分工分界协议中归招标人负责维护检修的系统设备和生产经营所使用的设备，招标人自行建设运营的生产线及附属设备设施。</w:t>
      </w:r>
    </w:p>
    <w:p w14:paraId="18C180B3">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3.2.2主要包括2套磨粉系统及附属设施（不含2台空压机和2台冷干机）</w:t>
      </w:r>
      <w:r>
        <w:rPr>
          <w:rFonts w:hint="default" w:ascii="宋体" w:eastAsia="宋体" w:cs="Times New Roman"/>
          <w:color w:val="auto"/>
          <w:sz w:val="21"/>
          <w:szCs w:val="21"/>
          <w:u w:val="none"/>
          <w:lang w:val="en-US" w:eastAsia="zh-CN"/>
        </w:rPr>
        <w:t>、</w:t>
      </w:r>
      <w:r>
        <w:rPr>
          <w:rFonts w:hint="eastAsia" w:ascii="宋体" w:eastAsia="宋体" w:cs="Times New Roman"/>
          <w:color w:val="auto"/>
          <w:sz w:val="21"/>
          <w:szCs w:val="21"/>
          <w:u w:val="none"/>
          <w:lang w:val="en-US" w:eastAsia="zh-CN"/>
        </w:rPr>
        <w:t>3</w:t>
      </w:r>
      <w:r>
        <w:rPr>
          <w:rFonts w:hint="default" w:ascii="宋体" w:eastAsia="宋体" w:cs="Times New Roman"/>
          <w:color w:val="auto"/>
          <w:sz w:val="21"/>
          <w:szCs w:val="21"/>
          <w:u w:val="none"/>
          <w:lang w:val="en-US" w:eastAsia="zh-CN"/>
        </w:rPr>
        <w:t>套干灰分选系统、固废堆棚及附属设施、</w:t>
      </w:r>
      <w:r>
        <w:rPr>
          <w:rFonts w:hint="eastAsia" w:ascii="宋体" w:eastAsia="宋体" w:cs="Times New Roman"/>
          <w:color w:val="auto"/>
          <w:sz w:val="21"/>
          <w:szCs w:val="21"/>
          <w:u w:val="none"/>
          <w:lang w:val="en-US" w:eastAsia="zh-CN"/>
        </w:rPr>
        <w:t>一</w:t>
      </w:r>
      <w:r>
        <w:rPr>
          <w:rFonts w:hint="default" w:ascii="宋体" w:eastAsia="宋体" w:cs="Times New Roman"/>
          <w:color w:val="auto"/>
          <w:sz w:val="21"/>
          <w:szCs w:val="21"/>
          <w:u w:val="none"/>
          <w:lang w:val="en-US" w:eastAsia="zh-CN"/>
        </w:rPr>
        <w:t>套喷淋系统及附属设施、</w:t>
      </w:r>
      <w:r>
        <w:rPr>
          <w:rFonts w:hint="eastAsia" w:ascii="宋体" w:eastAsia="宋体" w:cs="Times New Roman"/>
          <w:color w:val="auto"/>
          <w:sz w:val="21"/>
          <w:szCs w:val="21"/>
          <w:u w:val="none"/>
          <w:lang w:val="en-US" w:eastAsia="zh-CN"/>
        </w:rPr>
        <w:t>2套</w:t>
      </w:r>
      <w:r>
        <w:rPr>
          <w:rFonts w:hint="default" w:ascii="宋体" w:eastAsia="宋体" w:cs="Times New Roman"/>
          <w:color w:val="auto"/>
          <w:sz w:val="21"/>
          <w:szCs w:val="21"/>
          <w:u w:val="none"/>
          <w:lang w:val="en-US" w:eastAsia="zh-CN"/>
        </w:rPr>
        <w:t>地磅</w:t>
      </w:r>
      <w:r>
        <w:rPr>
          <w:rFonts w:hint="eastAsia" w:ascii="宋体" w:eastAsia="宋体" w:cs="Times New Roman"/>
          <w:color w:val="auto"/>
          <w:sz w:val="21"/>
          <w:szCs w:val="21"/>
          <w:u w:val="none"/>
          <w:lang w:val="en-US" w:eastAsia="zh-CN"/>
        </w:rPr>
        <w:t>系统及三期停车场等</w:t>
      </w:r>
      <w:r>
        <w:rPr>
          <w:rFonts w:hint="default" w:ascii="宋体" w:eastAsia="宋体" w:cs="Times New Roman"/>
          <w:color w:val="auto"/>
          <w:sz w:val="21"/>
          <w:szCs w:val="21"/>
          <w:u w:val="none"/>
          <w:lang w:val="en-US" w:eastAsia="zh-CN"/>
        </w:rPr>
        <w:t>附属设施</w:t>
      </w:r>
      <w:r>
        <w:rPr>
          <w:rFonts w:hint="eastAsia" w:ascii="宋体" w:eastAsia="宋体" w:cs="Times New Roman"/>
          <w:color w:val="auto"/>
          <w:sz w:val="21"/>
          <w:szCs w:val="21"/>
          <w:u w:val="none"/>
          <w:lang w:val="en-US" w:eastAsia="zh-CN"/>
        </w:rPr>
        <w:t>（不含无人值守系统）、综合码头粉煤灰装船除尘系统、综合码头废水收集系统、三期堆场设施设备、</w:t>
      </w:r>
      <w:r>
        <w:rPr>
          <w:rFonts w:hint="default" w:ascii="宋体" w:eastAsia="宋体" w:cs="Times New Roman"/>
          <w:color w:val="auto"/>
          <w:sz w:val="21"/>
          <w:szCs w:val="21"/>
          <w:u w:val="none"/>
          <w:lang w:val="en-US" w:eastAsia="zh-CN"/>
        </w:rPr>
        <w:t>消防系统及附属设施、照明系统及附属设施、安全防护设施等。以上设备对应的</w:t>
      </w:r>
      <w:r>
        <w:rPr>
          <w:rFonts w:hint="eastAsia" w:ascii="宋体" w:eastAsia="宋体" w:cs="Times New Roman"/>
          <w:color w:val="auto"/>
          <w:sz w:val="21"/>
          <w:szCs w:val="21"/>
          <w:u w:val="none"/>
          <w:lang w:val="en-US" w:eastAsia="zh-CN"/>
        </w:rPr>
        <w:t>热控监测一次设备、</w:t>
      </w:r>
      <w:r>
        <w:rPr>
          <w:rFonts w:hint="default" w:ascii="宋体" w:eastAsia="宋体" w:cs="Times New Roman"/>
          <w:color w:val="auto"/>
          <w:sz w:val="21"/>
          <w:szCs w:val="21"/>
          <w:u w:val="none"/>
          <w:lang w:val="en-US" w:eastAsia="zh-CN"/>
        </w:rPr>
        <w:t>电气系统检修维护工作，均在本标段内。</w:t>
      </w:r>
    </w:p>
    <w:p w14:paraId="23F482BC">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3.2.3</w:t>
      </w:r>
      <w:r>
        <w:rPr>
          <w:rFonts w:hint="default" w:ascii="宋体" w:eastAsia="宋体" w:cs="Times New Roman"/>
          <w:color w:val="auto"/>
          <w:sz w:val="21"/>
          <w:szCs w:val="21"/>
          <w:u w:val="none"/>
          <w:lang w:val="en-US" w:eastAsia="zh-CN"/>
        </w:rPr>
        <w:t>上述设备检修维护所涉及的焊接、气割、外加工配合、保温、补漆、</w:t>
      </w:r>
      <w:r>
        <w:rPr>
          <w:rFonts w:hint="eastAsia" w:ascii="宋体" w:eastAsia="宋体" w:cs="Times New Roman"/>
          <w:color w:val="auto"/>
          <w:sz w:val="21"/>
          <w:szCs w:val="21"/>
          <w:u w:val="none"/>
          <w:lang w:val="en-US" w:eastAsia="zh-CN"/>
        </w:rPr>
        <w:t>移动式脚手架</w:t>
      </w:r>
      <w:r>
        <w:rPr>
          <w:rFonts w:hint="default" w:ascii="宋体" w:eastAsia="宋体" w:cs="Times New Roman"/>
          <w:color w:val="auto"/>
          <w:sz w:val="21"/>
          <w:szCs w:val="21"/>
          <w:u w:val="none"/>
          <w:lang w:val="en-US" w:eastAsia="zh-CN"/>
        </w:rPr>
        <w:t>、起重、检测、试验等工作均属本标段内。（发包方设备需政府相关部门检测、检验的除外）。</w:t>
      </w:r>
    </w:p>
    <w:p w14:paraId="692FD8C3">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3.2.4</w:t>
      </w:r>
      <w:r>
        <w:rPr>
          <w:rFonts w:hint="default" w:ascii="宋体" w:eastAsia="宋体" w:cs="Times New Roman"/>
          <w:color w:val="auto"/>
          <w:sz w:val="21"/>
          <w:szCs w:val="21"/>
          <w:u w:val="none"/>
          <w:lang w:val="en-US" w:eastAsia="zh-CN"/>
        </w:rPr>
        <w:t>上述设备检修维护所需开展的日常维护、保养、消缺、抢修、巡检、小技改、非计划检修、应急处理、设备整治内容均属本标段内。（发包方上级部门批准的计划性检修除外）。</w:t>
      </w:r>
    </w:p>
    <w:p w14:paraId="0992F3DB">
      <w:pPr>
        <w:numPr>
          <w:ilvl w:val="0"/>
          <w:numId w:val="0"/>
        </w:numPr>
        <w:snapToGrid w:val="0"/>
        <w:spacing w:line="360" w:lineRule="auto"/>
        <w:ind w:left="0" w:firstLine="0"/>
        <w:jc w:val="both"/>
        <w:outlineLvl w:val="9"/>
        <w:rPr>
          <w:rFonts w:ascii="宋体" w:eastAsia="宋体"/>
          <w:b/>
          <w:bCs w:val="0"/>
          <w:sz w:val="32"/>
          <w:szCs w:val="21"/>
          <w:highlight w:val="none"/>
        </w:rPr>
      </w:pPr>
      <w:bookmarkStart w:id="35" w:name="_Toc29305262"/>
      <w:r>
        <w:rPr>
          <w:rFonts w:ascii="宋体" w:eastAsia="宋体"/>
          <w:b/>
          <w:bCs w:val="0"/>
          <w:sz w:val="32"/>
          <w:szCs w:val="21"/>
          <w:highlight w:val="none"/>
        </w:rPr>
        <w:t>4.</w:t>
      </w:r>
      <w:r>
        <w:rPr>
          <w:rFonts w:hint="eastAsia" w:ascii="宋体" w:eastAsia="宋体"/>
          <w:b/>
          <w:sz w:val="32"/>
          <w:highlight w:val="none"/>
        </w:rPr>
        <w:t>投标人</w:t>
      </w:r>
      <w:r>
        <w:rPr>
          <w:rFonts w:hint="eastAsia" w:ascii="宋体" w:eastAsia="宋体"/>
          <w:b/>
          <w:bCs w:val="0"/>
          <w:sz w:val="32"/>
          <w:szCs w:val="21"/>
          <w:highlight w:val="none"/>
        </w:rPr>
        <w:t>的要求及服务的范围、职责</w:t>
      </w:r>
      <w:bookmarkEnd w:id="35"/>
    </w:p>
    <w:p w14:paraId="73CDADEA">
      <w:pPr>
        <w:spacing w:line="360" w:lineRule="auto"/>
        <w:rPr>
          <w:rFonts w:hint="eastAsia" w:ascii="宋体" w:eastAsia="宋体"/>
          <w:b/>
          <w:bCs/>
          <w:i w:val="0"/>
          <w:iCs/>
          <w:sz w:val="21"/>
          <w:szCs w:val="21"/>
          <w:highlight w:val="none"/>
          <w:lang w:val="en-US" w:eastAsia="zh-CN"/>
        </w:rPr>
      </w:pPr>
      <w:bookmarkStart w:id="36" w:name="_Toc29305264"/>
      <w:r>
        <w:rPr>
          <w:rFonts w:hint="eastAsia" w:ascii="宋体" w:eastAsia="宋体"/>
          <w:b/>
          <w:bCs/>
          <w:i w:val="0"/>
          <w:iCs/>
          <w:sz w:val="21"/>
          <w:szCs w:val="21"/>
          <w:highlight w:val="none"/>
          <w:lang w:val="en-US" w:eastAsia="zh-CN"/>
        </w:rPr>
        <w:t>4.1辅助运行工作内容及要求</w:t>
      </w:r>
      <w:bookmarkEnd w:id="36"/>
    </w:p>
    <w:p w14:paraId="4F16C27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rPr>
      </w:pPr>
      <w:r>
        <w:rPr>
          <w:rFonts w:hint="eastAsia" w:ascii="宋体" w:eastAsia="宋体" w:cs="Times New Roman"/>
          <w:color w:val="auto"/>
          <w:sz w:val="21"/>
          <w:szCs w:val="21"/>
          <w:u w:val="none"/>
          <w:lang w:val="en-US" w:eastAsia="zh-CN"/>
        </w:rPr>
        <w:t>4.1.1运行人员需掌握灰库放灰装车、灰库调湿灰、渣仓放渣、脱硫石膏仓放石膏、干灰分选设备启停等操作技能，严格遵守操作规程与运行规程要求。</w:t>
      </w:r>
    </w:p>
    <w:p w14:paraId="637769A2">
      <w:pPr>
        <w:widowControl/>
        <w:numPr>
          <w:ilvl w:val="0"/>
          <w:numId w:val="0"/>
        </w:numPr>
        <w:spacing w:before="156" w:beforeLines="50" w:after="156" w:afterLines="50" w:line="360" w:lineRule="auto"/>
        <w:jc w:val="left"/>
        <w:outlineLvl w:val="3"/>
        <w:rPr>
          <w:rFonts w:hint="default"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4.1.2负责9个灰库的卸料装车工作；装灰车辆管理、灰库放灰设备启停操作、一卡通智通化设备操作。控制放灰过程不发生跑灰、冒灰事件。</w:t>
      </w:r>
      <w:r>
        <w:rPr>
          <w:rFonts w:hint="eastAsia" w:ascii="宋体" w:eastAsia="宋体" w:cs="Times New Roman"/>
          <w:color w:val="auto"/>
          <w:sz w:val="21"/>
          <w:szCs w:val="21"/>
          <w:u w:val="none"/>
          <w:lang w:val="en-US" w:eastAsia="zh-CN" w:bidi="ar-SA"/>
        </w:rPr>
        <w:t>灰库投影面积范围内的保洁工作。</w:t>
      </w:r>
    </w:p>
    <w:p w14:paraId="383957AA">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4.1.3负责一、二期2个石膏仓的卸料装车工作；装石膏车辆管理、放石膏设备的启停操作、控制放石膏过程的车内石膏高度不超过车箱护栏。</w:t>
      </w:r>
      <w:r>
        <w:rPr>
          <w:rFonts w:hint="eastAsia" w:ascii="宋体" w:eastAsia="宋体" w:cs="Times New Roman"/>
          <w:color w:val="auto"/>
          <w:sz w:val="21"/>
          <w:szCs w:val="21"/>
          <w:u w:val="none"/>
          <w:lang w:val="en-US" w:eastAsia="zh-CN" w:bidi="ar-SA"/>
        </w:rPr>
        <w:t>由于运行人员操作失误引得石膏掉落由运行人员清理。</w:t>
      </w:r>
    </w:p>
    <w:p w14:paraId="1D76AA2F">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4.1.4负责6个渣仓的卸料装车工作；装渣车辆管理、放渣设备启停操作、控制放渣过程车内炉渣高度不超过车箱护栏；一二期渣仓放渣后与保洁人员共同清理闸板阀、水溜槽的清理</w:t>
      </w:r>
      <w:r>
        <w:rPr>
          <w:rFonts w:hint="eastAsia" w:ascii="宋体" w:eastAsia="宋体" w:cs="Times New Roman"/>
          <w:color w:val="auto"/>
          <w:sz w:val="21"/>
          <w:szCs w:val="21"/>
          <w:u w:val="none"/>
          <w:lang w:val="en-US" w:eastAsia="zh-CN" w:bidi="ar-SA"/>
        </w:rPr>
        <w:t>，三期渣仓每次放渣后运行人员自行清理调湿搅拌机。</w:t>
      </w:r>
    </w:p>
    <w:p w14:paraId="5E26779D">
      <w:pPr>
        <w:widowControl/>
        <w:numPr>
          <w:ilvl w:val="0"/>
          <w:numId w:val="0"/>
        </w:numPr>
        <w:spacing w:before="156" w:beforeLines="50" w:after="156" w:afterLines="50" w:line="360" w:lineRule="auto"/>
        <w:jc w:val="left"/>
        <w:outlineLvl w:val="3"/>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4.1.5负责3套干灰分选设备运行工作；开展启停操作、运行调整、异常分析、事故处理、设备停送电、检修工作时做好系统隔离、修后验收等工作。对干灰分选产品质量负全责。</w:t>
      </w:r>
    </w:p>
    <w:p w14:paraId="3F1CBDA0">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4.1.6负责应急期间干灰拌湿设备操作，卸料装车时控制车内湿灰高度不超过车箱护栏，控制湿灰湿度尽量不发生扬尘、扬灰。调湿灰结束后立即冲洗调试搅拌设备。</w:t>
      </w:r>
    </w:p>
    <w:p w14:paraId="1E930F4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4.1.7负责定时联系电厂核对各库仓料位，随时掌握各库仓料位，及时汇报发包方派车卸料；保证电厂各灰库、石膏仓、渣仓料位在正常范围内。</w:t>
      </w:r>
    </w:p>
    <w:p w14:paraId="57C69E82">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4.1.8负责规范记录填写各类台账，包括班组运行巡检记录、班组安全活动记录、班组技术问答记录等目前已有的台账以及业主新增加的各类台账。</w:t>
      </w:r>
    </w:p>
    <w:p w14:paraId="4FF07E6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4.1.9负责石膏、粉煤灰产品装车取样工作，并送检验室。</w:t>
      </w:r>
    </w:p>
    <w:p w14:paraId="5A6B83B1">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4.1.10负责干灰分选产品的取样工作，并送检验室。</w:t>
      </w:r>
    </w:p>
    <w:p w14:paraId="35CDA942">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4.1.11负责工作场所各设备、设施、产品的治安保卫工作，不被损坏、偷盗。</w:t>
      </w:r>
    </w:p>
    <w:p w14:paraId="78CC996A">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4.1.12负责工作场所巡回检查，发现缺陷后根据缺陷管理制度，正确填写缺陷单，并及时通知检修，对缺陷处理的进程进行跟踪和闭环。</w:t>
      </w:r>
    </w:p>
    <w:p w14:paraId="4ACE177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4.1.13负责定期开展灰库应急情况的处理培训、演练（如扬尘、跑灰等），并正确掌握，要求能达到独立处理。</w:t>
      </w:r>
    </w:p>
    <w:p w14:paraId="0531E476">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4.1.14完成发包方临时、特殊情况下安排的其他相关工作。</w:t>
      </w:r>
    </w:p>
    <w:p w14:paraId="35AE5BF6">
      <w:pPr>
        <w:widowControl w:val="0"/>
        <w:spacing w:line="360" w:lineRule="auto"/>
        <w:rPr>
          <w:rFonts w:hint="eastAsia" w:ascii="宋体" w:eastAsia="宋体"/>
          <w:b/>
          <w:bCs/>
          <w:sz w:val="21"/>
          <w:szCs w:val="21"/>
          <w:highlight w:val="none"/>
        </w:rPr>
      </w:pPr>
      <w:r>
        <w:rPr>
          <w:rFonts w:ascii="宋体" w:eastAsia="宋体"/>
          <w:b/>
          <w:bCs/>
          <w:sz w:val="21"/>
          <w:szCs w:val="21"/>
          <w:highlight w:val="none"/>
        </w:rPr>
        <w:t>4</w:t>
      </w:r>
      <w:r>
        <w:rPr>
          <w:rFonts w:hint="eastAsia" w:ascii="宋体" w:eastAsia="宋体"/>
          <w:b/>
          <w:bCs/>
          <w:sz w:val="21"/>
          <w:szCs w:val="21"/>
          <w:highlight w:val="none"/>
        </w:rPr>
        <w:t>.</w:t>
      </w:r>
      <w:r>
        <w:rPr>
          <w:rFonts w:ascii="宋体" w:eastAsia="宋体"/>
          <w:b/>
          <w:bCs/>
          <w:sz w:val="21"/>
          <w:szCs w:val="21"/>
          <w:highlight w:val="none"/>
        </w:rPr>
        <w:t>2</w:t>
      </w:r>
      <w:r>
        <w:rPr>
          <w:rFonts w:hint="eastAsia" w:ascii="宋体" w:eastAsia="宋体"/>
          <w:b/>
          <w:bCs/>
          <w:sz w:val="21"/>
          <w:szCs w:val="21"/>
          <w:highlight w:val="none"/>
        </w:rPr>
        <w:t xml:space="preserve"> 设备检修维护服务：</w:t>
      </w:r>
    </w:p>
    <w:p w14:paraId="1F58E85B">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负责检修维护服务范围内的设备消缺、消漏、临修:包括日常巡视检查、维修维护、保养、保洁、消缺和设备的临修、抢修工作，保证设备正常安全可靠运行。控制不发生石灰石磨粉系统设备原因引起外购粉事件，控制不发生干灰分选设备原因引起一级灰、二级灰产品产量不足、质量不合格事件；</w:t>
      </w:r>
    </w:p>
    <w:p w14:paraId="373BDC7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4.2.2检修维护服务范围内包括设备配套的仪控系统的检修维护工作：如热控监测一次元件/仪表（含测点、仪表阀门及仪表管）、化学仪表拆装、执行机构（含控制用仪用空气支管及附件）、程控柜、热控设备、就地控制柜/接线盒、电源柜、继电器柜、电磁阀柜、变频器及变频器柜、电气各类仪表、仪表柜、电缆及附件、就地设备所带的所有控制子系统等；</w:t>
      </w:r>
    </w:p>
    <w:p w14:paraId="59EC8B09">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4.2.3检修维护服务范围内包括设备配套的电气系统的检修维护工作：如6kV/10KV电缆、380V母线、380V开关、6kV/10KV电动机、380V电动机、各电表、接地系统、各控制箱、电动门、照明及其附属设备等；</w:t>
      </w:r>
    </w:p>
    <w:p w14:paraId="7B85764D">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4.2.4检修维护服务范围内包括设备配套的安全、环保、消防设备的检修维护工作：如标识标牌、消防管、消防阀、消防栓、除尘器、通风设备、金属护栏、金属楼梯、金属平台等；</w:t>
      </w:r>
    </w:p>
    <w:p w14:paraId="1D8A03AE">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4.2.5负责公司所辖设备的现场日常文明卫生清扫、保洁工作，要求做到设备见本色；</w:t>
      </w:r>
    </w:p>
    <w:p w14:paraId="43BBB8B6">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4.2.6负责检修维护日志及各台账的录入工作；</w:t>
      </w:r>
    </w:p>
    <w:p w14:paraId="7BD30023">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4.2.7负责设备检修维护所需的备品配件的月度物资需求计划进行编报，并送至发包方审核；</w:t>
      </w:r>
    </w:p>
    <w:p w14:paraId="6B3E5BD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4.2.8负责协助发包方做好各种应急事件处理、各种防御措施；</w:t>
      </w:r>
    </w:p>
    <w:p w14:paraId="74DBE49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4.2.9负责发包方为完成达标、评级和上级检查等工作而进行的设备治理工作和基础管理工作；</w:t>
      </w:r>
    </w:p>
    <w:p w14:paraId="17B8987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4.2.10负责节假日、特殊重大活动等期间配备人员值班；</w:t>
      </w:r>
    </w:p>
    <w:p w14:paraId="77B0A25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4.2.11承包方应按发包方的要求每月上报月度检修情况分析报告、班组工作总结；</w:t>
      </w:r>
    </w:p>
    <w:p w14:paraId="31AE1BD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4.2.12负责备品配件到货时的入库验收、搬运；</w:t>
      </w:r>
    </w:p>
    <w:p w14:paraId="2DF856A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4.2.13负责设备维护保养(含设备常规防腐处理)，定期油脂更换；</w:t>
      </w:r>
    </w:p>
    <w:p w14:paraId="5C2B868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4.2.14负责设备及专用工器具需定期进行的各项检查、各项定期试验、各项检修及维护；</w:t>
      </w:r>
    </w:p>
    <w:p w14:paraId="67281F5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4.2.15负责设备的日常巡视检查及合理化建议；</w:t>
      </w:r>
    </w:p>
    <w:p w14:paraId="55671FD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4.2.16负责新增系统设备的上述所列各项工作；</w:t>
      </w:r>
    </w:p>
    <w:p w14:paraId="7FB2768E">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4.2.17负责编制设备维护、临时检修项目的安全技术方案；</w:t>
      </w:r>
    </w:p>
    <w:p w14:paraId="28372083">
      <w:pPr>
        <w:widowControl/>
        <w:numPr>
          <w:ilvl w:val="0"/>
          <w:numId w:val="0"/>
        </w:numPr>
        <w:spacing w:before="156" w:beforeLines="50" w:after="156" w:afterLines="50" w:line="360" w:lineRule="auto"/>
        <w:jc w:val="left"/>
        <w:outlineLvl w:val="3"/>
        <w:rPr>
          <w:rFonts w:hint="eastAsia" w:ascii="宋体" w:eastAsia="宋体"/>
          <w:b/>
          <w:bCs/>
          <w:sz w:val="21"/>
          <w:szCs w:val="21"/>
          <w:highlight w:val="none"/>
        </w:rPr>
      </w:pPr>
      <w:r>
        <w:rPr>
          <w:rFonts w:hint="eastAsia" w:ascii="宋体" w:eastAsia="宋体" w:cs="Times New Roman"/>
          <w:color w:val="auto"/>
          <w:sz w:val="21"/>
          <w:szCs w:val="21"/>
          <w:u w:val="none"/>
          <w:lang w:val="en-US" w:eastAsia="zh-CN" w:bidi="ar-SA"/>
        </w:rPr>
        <w:t>4.2.18完成发包方临时、特殊情况下安排的其他相关工作。</w:t>
      </w:r>
    </w:p>
    <w:p w14:paraId="3807B933">
      <w:pPr>
        <w:snapToGrid w:val="0"/>
        <w:spacing w:line="360" w:lineRule="auto"/>
        <w:jc w:val="both"/>
        <w:rPr>
          <w:rFonts w:ascii="宋体" w:eastAsia="宋体"/>
          <w:sz w:val="32"/>
          <w:szCs w:val="24"/>
          <w:highlight w:val="none"/>
        </w:rPr>
      </w:pPr>
      <w:bookmarkStart w:id="37" w:name="_Toc29305265"/>
      <w:r>
        <w:rPr>
          <w:rFonts w:ascii="宋体" w:eastAsia="宋体"/>
          <w:b/>
          <w:sz w:val="32"/>
          <w:szCs w:val="24"/>
          <w:highlight w:val="none"/>
        </w:rPr>
        <w:t>5.</w:t>
      </w:r>
      <w:r>
        <w:rPr>
          <w:rFonts w:hint="eastAsia" w:ascii="宋体" w:eastAsia="宋体"/>
          <w:b/>
          <w:sz w:val="32"/>
          <w:szCs w:val="24"/>
          <w:highlight w:val="none"/>
        </w:rPr>
        <w:t>岗位配置及任职要求</w:t>
      </w:r>
      <w:bookmarkEnd w:id="37"/>
    </w:p>
    <w:p w14:paraId="6B73A087">
      <w:pPr>
        <w:spacing w:line="360" w:lineRule="auto"/>
        <w:rPr>
          <w:rFonts w:ascii="宋体" w:eastAsia="宋体"/>
          <w:bCs/>
          <w:sz w:val="21"/>
          <w:szCs w:val="21"/>
          <w:highlight w:val="none"/>
        </w:rPr>
      </w:pPr>
      <w:bookmarkStart w:id="38" w:name="_Toc29305267"/>
      <w:r>
        <w:rPr>
          <w:rFonts w:ascii="宋体" w:eastAsia="宋体"/>
          <w:b/>
          <w:bCs/>
          <w:sz w:val="21"/>
          <w:szCs w:val="21"/>
          <w:highlight w:val="none"/>
        </w:rPr>
        <w:t>5.1</w:t>
      </w:r>
      <w:r>
        <w:rPr>
          <w:rFonts w:hint="eastAsia" w:ascii="宋体" w:eastAsia="宋体"/>
          <w:b/>
          <w:bCs/>
          <w:sz w:val="21"/>
          <w:szCs w:val="21"/>
          <w:highlight w:val="none"/>
        </w:rPr>
        <w:t>岗位配置</w:t>
      </w:r>
      <w:bookmarkEnd w:id="38"/>
    </w:p>
    <w:p w14:paraId="0F491BC7">
      <w:pPr>
        <w:pStyle w:val="82"/>
        <w:spacing w:line="360" w:lineRule="auto"/>
        <w:ind w:left="0" w:firstLine="420" w:firstLineChars="200"/>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投标人应设立项目部，明确项目经理/项目负责人，配置：技术员、安全员、各一人（班长、副班长可兼任技术员），岗位配置人数 3</w:t>
      </w:r>
      <w:r>
        <w:rPr>
          <w:rFonts w:hint="eastAsia" w:cs="Times New Roman"/>
          <w:color w:val="auto"/>
          <w:sz w:val="21"/>
          <w:szCs w:val="21"/>
          <w:u w:val="none"/>
          <w:lang w:val="en-US" w:eastAsia="zh-CN" w:bidi="ar-SA"/>
        </w:rPr>
        <w:t>4</w:t>
      </w:r>
      <w:r>
        <w:rPr>
          <w:rFonts w:hint="eastAsia" w:ascii="宋体" w:eastAsia="宋体" w:cs="Times New Roman"/>
          <w:color w:val="auto"/>
          <w:sz w:val="21"/>
          <w:szCs w:val="21"/>
          <w:u w:val="none"/>
          <w:lang w:val="en-US" w:eastAsia="zh-CN" w:bidi="ar-SA"/>
        </w:rPr>
        <w:t>人（管理人员</w:t>
      </w:r>
      <w:r>
        <w:rPr>
          <w:rFonts w:hint="eastAsia" w:cs="Times New Roman"/>
          <w:color w:val="auto"/>
          <w:sz w:val="21"/>
          <w:szCs w:val="21"/>
          <w:u w:val="single"/>
          <w:lang w:val="en-US" w:eastAsia="zh-CN" w:bidi="ar-SA"/>
        </w:rPr>
        <w:t xml:space="preserve"> 1 </w:t>
      </w:r>
      <w:r>
        <w:rPr>
          <w:rFonts w:hint="eastAsia" w:ascii="宋体" w:eastAsia="宋体" w:cs="Times New Roman"/>
          <w:color w:val="auto"/>
          <w:sz w:val="21"/>
          <w:szCs w:val="21"/>
          <w:u w:val="none"/>
          <w:lang w:val="en-US" w:eastAsia="zh-CN" w:bidi="ar-SA"/>
        </w:rPr>
        <w:t>人、</w:t>
      </w:r>
      <w:r>
        <w:rPr>
          <w:rFonts w:hint="eastAsia" w:cs="Times New Roman"/>
          <w:color w:val="auto"/>
          <w:sz w:val="21"/>
          <w:szCs w:val="21"/>
          <w:u w:val="none"/>
          <w:lang w:val="en-US" w:eastAsia="zh-CN" w:bidi="ar-SA"/>
        </w:rPr>
        <w:t>专职安全员</w:t>
      </w:r>
      <w:r>
        <w:rPr>
          <w:rFonts w:hint="eastAsia" w:cs="Times New Roman"/>
          <w:color w:val="auto"/>
          <w:sz w:val="21"/>
          <w:szCs w:val="21"/>
          <w:u w:val="single"/>
          <w:lang w:val="en-US" w:eastAsia="zh-CN" w:bidi="ar-SA"/>
        </w:rPr>
        <w:t xml:space="preserve"> 1 </w:t>
      </w:r>
      <w:r>
        <w:rPr>
          <w:rFonts w:hint="eastAsia" w:ascii="宋体" w:eastAsia="宋体" w:cs="Times New Roman"/>
          <w:color w:val="auto"/>
          <w:sz w:val="21"/>
          <w:szCs w:val="21"/>
          <w:u w:val="none"/>
          <w:lang w:val="en-US" w:eastAsia="zh-CN" w:bidi="ar-SA"/>
        </w:rPr>
        <w:t>人</w:t>
      </w:r>
      <w:r>
        <w:rPr>
          <w:rFonts w:hint="eastAsia" w:cs="Times New Roman"/>
          <w:color w:val="auto"/>
          <w:sz w:val="21"/>
          <w:szCs w:val="21"/>
          <w:u w:val="none"/>
          <w:lang w:val="en-US" w:eastAsia="zh-CN" w:bidi="ar-SA"/>
        </w:rPr>
        <w:t>、</w:t>
      </w:r>
      <w:r>
        <w:rPr>
          <w:rFonts w:hint="eastAsia" w:ascii="宋体" w:eastAsia="宋体" w:cs="Times New Roman"/>
          <w:color w:val="auto"/>
          <w:sz w:val="21"/>
          <w:szCs w:val="21"/>
          <w:u w:val="none"/>
          <w:lang w:val="en-US" w:eastAsia="zh-CN" w:bidi="ar-SA"/>
        </w:rPr>
        <w:t>辅助运行</w:t>
      </w:r>
      <w:r>
        <w:rPr>
          <w:rFonts w:hint="eastAsia" w:ascii="宋体" w:eastAsia="宋体" w:cs="Times New Roman"/>
          <w:color w:val="auto"/>
          <w:sz w:val="21"/>
          <w:szCs w:val="21"/>
          <w:u w:val="single"/>
          <w:lang w:val="en-US" w:eastAsia="zh-CN" w:bidi="ar-SA"/>
        </w:rPr>
        <w:t>2</w:t>
      </w:r>
      <w:r>
        <w:rPr>
          <w:rFonts w:hint="eastAsia" w:cs="Times New Roman"/>
          <w:color w:val="auto"/>
          <w:sz w:val="21"/>
          <w:szCs w:val="21"/>
          <w:u w:val="single"/>
          <w:lang w:val="en-US" w:eastAsia="zh-CN" w:bidi="ar-SA"/>
        </w:rPr>
        <w:t>4</w:t>
      </w:r>
      <w:r>
        <w:rPr>
          <w:rFonts w:hint="eastAsia" w:ascii="宋体" w:eastAsia="宋体" w:cs="Times New Roman"/>
          <w:color w:val="auto"/>
          <w:sz w:val="21"/>
          <w:szCs w:val="21"/>
          <w:u w:val="none"/>
          <w:lang w:val="en-US" w:eastAsia="zh-CN" w:bidi="ar-SA"/>
        </w:rPr>
        <w:t xml:space="preserve"> 人、检修维护</w:t>
      </w:r>
      <w:r>
        <w:rPr>
          <w:rFonts w:hint="eastAsia" w:cs="Times New Roman"/>
          <w:color w:val="auto"/>
          <w:sz w:val="21"/>
          <w:szCs w:val="21"/>
          <w:u w:val="single"/>
          <w:lang w:val="en-US" w:eastAsia="zh-CN" w:bidi="ar-SA"/>
        </w:rPr>
        <w:t xml:space="preserve"> </w:t>
      </w:r>
      <w:r>
        <w:rPr>
          <w:rFonts w:hint="eastAsia" w:ascii="宋体" w:eastAsia="宋体" w:cs="Times New Roman"/>
          <w:color w:val="auto"/>
          <w:sz w:val="21"/>
          <w:szCs w:val="21"/>
          <w:u w:val="single"/>
          <w:lang w:val="en-US" w:eastAsia="zh-CN" w:bidi="ar-SA"/>
        </w:rPr>
        <w:t>8</w:t>
      </w:r>
      <w:r>
        <w:rPr>
          <w:rFonts w:hint="eastAsia" w:ascii="宋体" w:eastAsia="宋体" w:cs="Times New Roman"/>
          <w:color w:val="auto"/>
          <w:sz w:val="21"/>
          <w:szCs w:val="21"/>
          <w:u w:val="none"/>
          <w:lang w:val="en-US" w:eastAsia="zh-CN" w:bidi="ar-SA"/>
        </w:rPr>
        <w:t>人）。</w:t>
      </w:r>
    </w:p>
    <w:p w14:paraId="652ACDA8">
      <w:pPr>
        <w:pStyle w:val="82"/>
        <w:spacing w:line="360" w:lineRule="auto"/>
        <w:ind w:left="0" w:firstLine="420" w:firstLineChars="200"/>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各车间运行人员及检修人员的岗位、岗位数、工作时间段及工作内容具体要求如下表：</w:t>
      </w:r>
    </w:p>
    <w:tbl>
      <w:tblPr>
        <w:tblStyle w:val="55"/>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992"/>
        <w:gridCol w:w="4012"/>
        <w:gridCol w:w="2367"/>
      </w:tblGrid>
      <w:tr w14:paraId="56CD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5097E54">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岗位</w:t>
            </w:r>
          </w:p>
        </w:tc>
        <w:tc>
          <w:tcPr>
            <w:tcW w:w="992" w:type="dxa"/>
            <w:vAlign w:val="center"/>
          </w:tcPr>
          <w:p w14:paraId="4B3F5519">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岗位数</w:t>
            </w:r>
          </w:p>
        </w:tc>
        <w:tc>
          <w:tcPr>
            <w:tcW w:w="4012" w:type="dxa"/>
            <w:vAlign w:val="center"/>
          </w:tcPr>
          <w:p w14:paraId="3A82E046">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工作内容</w:t>
            </w:r>
          </w:p>
        </w:tc>
        <w:tc>
          <w:tcPr>
            <w:tcW w:w="2367" w:type="dxa"/>
            <w:vAlign w:val="center"/>
          </w:tcPr>
          <w:p w14:paraId="6DA4A4CC">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备注</w:t>
            </w:r>
          </w:p>
        </w:tc>
      </w:tr>
      <w:tr w14:paraId="52EC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4BB39C9">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项目经理</w:t>
            </w:r>
          </w:p>
        </w:tc>
        <w:tc>
          <w:tcPr>
            <w:tcW w:w="992" w:type="dxa"/>
            <w:vAlign w:val="center"/>
          </w:tcPr>
          <w:p w14:paraId="1F819ECE">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1</w:t>
            </w:r>
          </w:p>
        </w:tc>
        <w:tc>
          <w:tcPr>
            <w:tcW w:w="4012" w:type="dxa"/>
            <w:vAlign w:val="center"/>
          </w:tcPr>
          <w:p w14:paraId="4E779483">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负责服务项目整体协调、</w:t>
            </w:r>
            <w:r>
              <w:rPr>
                <w:rFonts w:hint="eastAsia" w:ascii="宋体" w:eastAsia="宋体" w:cs="Times New Roman"/>
                <w:color w:val="auto"/>
                <w:sz w:val="21"/>
                <w:szCs w:val="21"/>
                <w:u w:val="none"/>
                <w:lang w:val="en-US" w:eastAsia="zh-CN" w:bidi="ar-SA"/>
              </w:rPr>
              <w:t>管理工作</w:t>
            </w:r>
          </w:p>
        </w:tc>
        <w:tc>
          <w:tcPr>
            <w:tcW w:w="2367" w:type="dxa"/>
            <w:vAlign w:val="center"/>
          </w:tcPr>
          <w:p w14:paraId="576C8976">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04347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1271" w:type="dxa"/>
            <w:vAlign w:val="center"/>
          </w:tcPr>
          <w:p w14:paraId="55A19CBB">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辅助</w:t>
            </w:r>
            <w:r>
              <w:rPr>
                <w:rFonts w:hint="eastAsia" w:ascii="宋体" w:hAnsi="宋体" w:eastAsia="宋体" w:cs="Times New Roman"/>
                <w:color w:val="auto"/>
                <w:sz w:val="21"/>
                <w:szCs w:val="21"/>
                <w:u w:val="none"/>
                <w:lang w:val="en-US" w:eastAsia="zh-CN" w:bidi="ar-SA"/>
              </w:rPr>
              <w:t>运行班长（兼技术员</w:t>
            </w:r>
            <w:r>
              <w:rPr>
                <w:rFonts w:hint="eastAsia" w:ascii="宋体" w:eastAsia="宋体" w:cs="Times New Roman"/>
                <w:color w:val="auto"/>
                <w:sz w:val="21"/>
                <w:szCs w:val="21"/>
                <w:u w:val="none"/>
                <w:lang w:val="en-US" w:eastAsia="zh-CN" w:bidi="ar-SA"/>
              </w:rPr>
              <w:t>、</w:t>
            </w:r>
            <w:r>
              <w:rPr>
                <w:rFonts w:hint="eastAsia" w:ascii="宋体" w:hAnsi="宋体" w:eastAsia="宋体" w:cs="Times New Roman"/>
                <w:color w:val="auto"/>
                <w:sz w:val="21"/>
                <w:szCs w:val="21"/>
                <w:u w:val="none"/>
                <w:lang w:val="en-US" w:eastAsia="zh-CN" w:bidi="ar-SA"/>
              </w:rPr>
              <w:t>备员）</w:t>
            </w:r>
          </w:p>
        </w:tc>
        <w:tc>
          <w:tcPr>
            <w:tcW w:w="992" w:type="dxa"/>
            <w:vAlign w:val="center"/>
          </w:tcPr>
          <w:p w14:paraId="0D1431B2">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1</w:t>
            </w:r>
          </w:p>
        </w:tc>
        <w:tc>
          <w:tcPr>
            <w:tcW w:w="4012" w:type="dxa"/>
            <w:vAlign w:val="center"/>
          </w:tcPr>
          <w:p w14:paraId="2B324213">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负责服务项目整体安全管理工作，包括安全台账的建立、健全工作，部门通知、发收文等工作</w:t>
            </w:r>
          </w:p>
        </w:tc>
        <w:tc>
          <w:tcPr>
            <w:tcW w:w="2367" w:type="dxa"/>
            <w:vAlign w:val="center"/>
          </w:tcPr>
          <w:p w14:paraId="5853D6F9">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761B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271" w:type="dxa"/>
            <w:vAlign w:val="center"/>
          </w:tcPr>
          <w:p w14:paraId="79FD20D4">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辅助</w:t>
            </w:r>
            <w:r>
              <w:rPr>
                <w:rFonts w:hint="eastAsia" w:ascii="宋体" w:hAnsi="宋体" w:eastAsia="宋体" w:cs="Times New Roman"/>
                <w:color w:val="auto"/>
                <w:sz w:val="21"/>
                <w:szCs w:val="21"/>
                <w:u w:val="none"/>
                <w:lang w:val="en-US" w:eastAsia="zh-CN" w:bidi="ar-SA"/>
              </w:rPr>
              <w:t>运行副班长（</w:t>
            </w:r>
            <w:r>
              <w:rPr>
                <w:rFonts w:hint="eastAsia" w:ascii="宋体" w:eastAsia="宋体" w:cs="Times New Roman"/>
                <w:color w:val="auto"/>
                <w:sz w:val="21"/>
                <w:szCs w:val="21"/>
                <w:u w:val="none"/>
                <w:lang w:val="en-US" w:eastAsia="zh-CN" w:bidi="ar-SA"/>
              </w:rPr>
              <w:t>兼</w:t>
            </w:r>
            <w:r>
              <w:rPr>
                <w:rFonts w:hint="eastAsia" w:ascii="宋体" w:hAnsi="宋体" w:eastAsia="宋体" w:cs="Times New Roman"/>
                <w:color w:val="auto"/>
                <w:sz w:val="21"/>
                <w:szCs w:val="21"/>
                <w:u w:val="none"/>
                <w:lang w:val="en-US" w:eastAsia="zh-CN" w:bidi="ar-SA"/>
              </w:rPr>
              <w:t>备员）</w:t>
            </w:r>
          </w:p>
        </w:tc>
        <w:tc>
          <w:tcPr>
            <w:tcW w:w="992" w:type="dxa"/>
            <w:vAlign w:val="center"/>
          </w:tcPr>
          <w:p w14:paraId="7E4701AD">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1</w:t>
            </w:r>
          </w:p>
        </w:tc>
        <w:tc>
          <w:tcPr>
            <w:tcW w:w="4012" w:type="dxa"/>
            <w:vAlign w:val="center"/>
          </w:tcPr>
          <w:p w14:paraId="561CDF3E">
            <w:pPr>
              <w:widowControl/>
              <w:spacing w:line="360" w:lineRule="auto"/>
              <w:jc w:val="left"/>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负责服务项目的沟通协调工作，同时负责服务工作完成后的自检及申请验收工作、教育培训、考勤统计、劳保发放等工作</w:t>
            </w:r>
          </w:p>
        </w:tc>
        <w:tc>
          <w:tcPr>
            <w:tcW w:w="2367" w:type="dxa"/>
            <w:vAlign w:val="center"/>
          </w:tcPr>
          <w:p w14:paraId="66AB9AAC">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060F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271" w:type="dxa"/>
            <w:vAlign w:val="center"/>
          </w:tcPr>
          <w:p w14:paraId="59BA5E4F">
            <w:pPr>
              <w:widowControl/>
              <w:spacing w:line="360" w:lineRule="auto"/>
              <w:jc w:val="center"/>
              <w:rPr>
                <w:rFonts w:hint="default"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专职安全员</w:t>
            </w:r>
          </w:p>
        </w:tc>
        <w:tc>
          <w:tcPr>
            <w:tcW w:w="992" w:type="dxa"/>
            <w:vAlign w:val="center"/>
          </w:tcPr>
          <w:p w14:paraId="1A5ED1AE">
            <w:pPr>
              <w:widowControl/>
              <w:spacing w:line="360" w:lineRule="auto"/>
              <w:jc w:val="center"/>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1</w:t>
            </w:r>
          </w:p>
        </w:tc>
        <w:tc>
          <w:tcPr>
            <w:tcW w:w="4012" w:type="dxa"/>
            <w:vAlign w:val="center"/>
          </w:tcPr>
          <w:p w14:paraId="75B162BC">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负责项目实施过程中教育培训、应急演练、制止和纠正违章行为、开展隐患排查、环保等安全管理工作并建立相关台账；按招标方要求做好其他安全工作事项。</w:t>
            </w:r>
          </w:p>
        </w:tc>
        <w:tc>
          <w:tcPr>
            <w:tcW w:w="2367" w:type="dxa"/>
            <w:vAlign w:val="center"/>
          </w:tcPr>
          <w:p w14:paraId="3DC8FFA5">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4534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1271" w:type="dxa"/>
            <w:vAlign w:val="center"/>
          </w:tcPr>
          <w:p w14:paraId="60E5E2DF">
            <w:pPr>
              <w:widowControl/>
              <w:spacing w:line="360" w:lineRule="auto"/>
              <w:jc w:val="center"/>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辅助</w:t>
            </w:r>
            <w:r>
              <w:rPr>
                <w:rFonts w:hint="eastAsia" w:ascii="宋体" w:hAnsi="宋体" w:eastAsia="宋体" w:cs="Times New Roman"/>
                <w:color w:val="auto"/>
                <w:sz w:val="21"/>
                <w:szCs w:val="21"/>
                <w:u w:val="none"/>
                <w:lang w:val="en-US" w:eastAsia="zh-CN" w:bidi="ar-SA"/>
              </w:rPr>
              <w:t>运行</w:t>
            </w:r>
            <w:r>
              <w:rPr>
                <w:rFonts w:hint="eastAsia" w:ascii="宋体" w:eastAsia="宋体" w:cs="Times New Roman"/>
                <w:color w:val="auto"/>
                <w:sz w:val="21"/>
                <w:szCs w:val="21"/>
                <w:u w:val="none"/>
                <w:lang w:val="en-US" w:eastAsia="zh-CN" w:bidi="ar-SA"/>
              </w:rPr>
              <w:t>人员</w:t>
            </w:r>
          </w:p>
        </w:tc>
        <w:tc>
          <w:tcPr>
            <w:tcW w:w="992" w:type="dxa"/>
            <w:vAlign w:val="center"/>
          </w:tcPr>
          <w:p w14:paraId="5146EE0B">
            <w:pPr>
              <w:widowControl/>
              <w:spacing w:line="360" w:lineRule="auto"/>
              <w:jc w:val="center"/>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22</w:t>
            </w:r>
          </w:p>
        </w:tc>
        <w:tc>
          <w:tcPr>
            <w:tcW w:w="4012" w:type="dxa"/>
            <w:vAlign w:val="center"/>
          </w:tcPr>
          <w:p w14:paraId="7B6E1B28">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负责灰库装车放灰、应急调湿灰、渣仓卸料、石膏仓卸料等工作</w:t>
            </w:r>
          </w:p>
        </w:tc>
        <w:tc>
          <w:tcPr>
            <w:tcW w:w="2367" w:type="dxa"/>
            <w:vAlign w:val="center"/>
          </w:tcPr>
          <w:p w14:paraId="681A5812">
            <w:pPr>
              <w:widowControl/>
              <w:spacing w:line="360" w:lineRule="auto"/>
              <w:jc w:val="left"/>
              <w:rPr>
                <w:rFonts w:hint="default" w:ascii="宋体" w:hAnsi="宋体" w:eastAsia="宋体" w:cs="Times New Roman"/>
                <w:color w:val="auto"/>
                <w:sz w:val="21"/>
                <w:szCs w:val="21"/>
                <w:u w:val="none"/>
                <w:lang w:val="en-US" w:eastAsia="zh-CN" w:bidi="ar-SA"/>
              </w:rPr>
            </w:pPr>
          </w:p>
        </w:tc>
      </w:tr>
      <w:tr w14:paraId="151D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71" w:type="dxa"/>
            <w:vAlign w:val="center"/>
          </w:tcPr>
          <w:p w14:paraId="0C70FEFA">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维护班长</w:t>
            </w:r>
          </w:p>
        </w:tc>
        <w:tc>
          <w:tcPr>
            <w:tcW w:w="992" w:type="dxa"/>
            <w:vAlign w:val="center"/>
          </w:tcPr>
          <w:p w14:paraId="24A0ACA1">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1</w:t>
            </w:r>
          </w:p>
        </w:tc>
        <w:tc>
          <w:tcPr>
            <w:tcW w:w="4012" w:type="dxa"/>
            <w:vAlign w:val="center"/>
          </w:tcPr>
          <w:p w14:paraId="0B6EE2A3">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维护班管理工作，统筹负责班组设备消缺、检修台账、安全培训、技术指导等工作</w:t>
            </w:r>
          </w:p>
        </w:tc>
        <w:tc>
          <w:tcPr>
            <w:tcW w:w="2367" w:type="dxa"/>
            <w:vAlign w:val="center"/>
          </w:tcPr>
          <w:p w14:paraId="761E5166">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0841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C4B2F87">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机务</w:t>
            </w:r>
          </w:p>
        </w:tc>
        <w:tc>
          <w:tcPr>
            <w:tcW w:w="992" w:type="dxa"/>
            <w:vAlign w:val="center"/>
          </w:tcPr>
          <w:p w14:paraId="1BF433E9">
            <w:pPr>
              <w:widowControl/>
              <w:spacing w:line="360" w:lineRule="auto"/>
              <w:jc w:val="center"/>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w:t>
            </w:r>
          </w:p>
        </w:tc>
        <w:tc>
          <w:tcPr>
            <w:tcW w:w="4012" w:type="dxa"/>
            <w:vAlign w:val="center"/>
          </w:tcPr>
          <w:p w14:paraId="6E7041E3">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机务类检修、消缺、巡检等工作</w:t>
            </w:r>
          </w:p>
        </w:tc>
        <w:tc>
          <w:tcPr>
            <w:tcW w:w="2367" w:type="dxa"/>
            <w:vAlign w:val="center"/>
          </w:tcPr>
          <w:p w14:paraId="51C939BA">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5081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6F70A7A">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电仪</w:t>
            </w:r>
          </w:p>
        </w:tc>
        <w:tc>
          <w:tcPr>
            <w:tcW w:w="992" w:type="dxa"/>
            <w:vAlign w:val="center"/>
          </w:tcPr>
          <w:p w14:paraId="4413B38F">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2</w:t>
            </w:r>
          </w:p>
        </w:tc>
        <w:tc>
          <w:tcPr>
            <w:tcW w:w="4012" w:type="dxa"/>
            <w:vAlign w:val="center"/>
          </w:tcPr>
          <w:p w14:paraId="32E0DA6B">
            <w:pPr>
              <w:widowControl/>
              <w:spacing w:line="360" w:lineRule="auto"/>
              <w:jc w:val="left"/>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电仪类检修、消缺、巡检等工作</w:t>
            </w:r>
          </w:p>
        </w:tc>
        <w:tc>
          <w:tcPr>
            <w:tcW w:w="2367" w:type="dxa"/>
            <w:vAlign w:val="center"/>
          </w:tcPr>
          <w:p w14:paraId="5EBC3614">
            <w:pPr>
              <w:widowControl/>
              <w:spacing w:line="360" w:lineRule="auto"/>
              <w:jc w:val="center"/>
              <w:rPr>
                <w:rFonts w:hint="eastAsia" w:ascii="宋体" w:hAnsi="宋体" w:eastAsia="宋体" w:cs="Times New Roman"/>
                <w:color w:val="auto"/>
                <w:sz w:val="21"/>
                <w:szCs w:val="21"/>
                <w:u w:val="none"/>
                <w:lang w:val="en-US" w:eastAsia="zh-CN" w:bidi="ar-SA"/>
              </w:rPr>
            </w:pPr>
          </w:p>
        </w:tc>
      </w:tr>
      <w:tr w14:paraId="68A26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77E8E3A">
            <w:pPr>
              <w:widowControl/>
              <w:spacing w:line="360" w:lineRule="auto"/>
              <w:jc w:val="center"/>
              <w:rPr>
                <w:rFonts w:hint="eastAsia" w:ascii="宋体" w:hAnsi="宋体" w:eastAsia="宋体" w:cs="Times New Roman"/>
                <w:color w:val="auto"/>
                <w:sz w:val="21"/>
                <w:szCs w:val="21"/>
                <w:u w:val="none"/>
                <w:lang w:val="en-US" w:eastAsia="zh-CN" w:bidi="ar-SA"/>
              </w:rPr>
            </w:pPr>
            <w:r>
              <w:rPr>
                <w:rFonts w:hint="eastAsia" w:ascii="宋体" w:hAnsi="宋体" w:eastAsia="宋体" w:cs="Times New Roman"/>
                <w:color w:val="auto"/>
                <w:sz w:val="21"/>
                <w:szCs w:val="21"/>
                <w:u w:val="none"/>
                <w:lang w:val="en-US" w:eastAsia="zh-CN" w:bidi="ar-SA"/>
              </w:rPr>
              <w:t>合计</w:t>
            </w:r>
          </w:p>
        </w:tc>
        <w:tc>
          <w:tcPr>
            <w:tcW w:w="992" w:type="dxa"/>
            <w:vAlign w:val="center"/>
          </w:tcPr>
          <w:p w14:paraId="2ED1A096">
            <w:pPr>
              <w:widowControl/>
              <w:spacing w:line="360" w:lineRule="auto"/>
              <w:jc w:val="center"/>
              <w:rPr>
                <w:rFonts w:hint="default" w:ascii="宋体" w:hAns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34</w:t>
            </w:r>
          </w:p>
        </w:tc>
        <w:tc>
          <w:tcPr>
            <w:tcW w:w="6379" w:type="dxa"/>
            <w:gridSpan w:val="2"/>
            <w:vAlign w:val="center"/>
          </w:tcPr>
          <w:p w14:paraId="108312AC">
            <w:pPr>
              <w:widowControl/>
              <w:spacing w:line="360" w:lineRule="auto"/>
              <w:jc w:val="left"/>
              <w:rPr>
                <w:rFonts w:hint="default" w:ascii="宋体" w:hAnsi="宋体" w:eastAsia="宋体" w:cs="Times New Roman"/>
                <w:color w:val="auto"/>
                <w:sz w:val="21"/>
                <w:szCs w:val="21"/>
                <w:u w:val="none"/>
                <w:lang w:val="en-US" w:eastAsia="zh-CN" w:bidi="ar-SA"/>
              </w:rPr>
            </w:pPr>
          </w:p>
        </w:tc>
      </w:tr>
    </w:tbl>
    <w:p w14:paraId="4507E2A5">
      <w:pPr>
        <w:widowControl/>
        <w:spacing w:line="360" w:lineRule="auto"/>
        <w:ind w:firstLine="420" w:firstLineChars="200"/>
        <w:rPr>
          <w:rFonts w:ascii="宋体" w:eastAsia="宋体"/>
          <w:sz w:val="21"/>
          <w:szCs w:val="21"/>
          <w:highlight w:val="none"/>
        </w:rPr>
      </w:pPr>
    </w:p>
    <w:p w14:paraId="4A9C21D8">
      <w:pPr>
        <w:spacing w:line="360" w:lineRule="auto"/>
        <w:rPr>
          <w:b/>
          <w:bCs/>
          <w:szCs w:val="21"/>
          <w:highlight w:val="none"/>
        </w:rPr>
      </w:pPr>
      <w:r>
        <w:rPr>
          <w:rFonts w:ascii="宋体" w:eastAsia="宋体"/>
          <w:b/>
          <w:bCs/>
          <w:sz w:val="21"/>
          <w:szCs w:val="21"/>
          <w:highlight w:val="none"/>
        </w:rPr>
        <w:t>5.</w:t>
      </w:r>
      <w:r>
        <w:rPr>
          <w:rFonts w:hint="eastAsia" w:ascii="宋体" w:eastAsia="宋体"/>
          <w:b/>
          <w:bCs/>
          <w:sz w:val="21"/>
          <w:szCs w:val="21"/>
          <w:highlight w:val="none"/>
          <w:lang w:val="en-US" w:eastAsia="zh-CN"/>
        </w:rPr>
        <w:t>2</w:t>
      </w:r>
      <w:r>
        <w:rPr>
          <w:rFonts w:ascii="宋体" w:eastAsia="宋体"/>
          <w:b/>
          <w:bCs/>
          <w:sz w:val="21"/>
          <w:szCs w:val="21"/>
          <w:highlight w:val="none"/>
        </w:rPr>
        <w:t>任职要求</w:t>
      </w:r>
    </w:p>
    <w:p w14:paraId="174748E9">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5.2.1项目负责人必须具备相应的运行或检修经验，特殊工种作业人员还必须具备相应的作业资格证。</w:t>
      </w:r>
    </w:p>
    <w:p w14:paraId="34B263BB">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5.2.2辅助运行班长、副班长年龄必须在45周岁以下，高中学历或以上学历，班长、副班长需取得低压电工证、安全管理证，要求2年以上工作年限，熟悉上述设备，具有生产、安全管理理论与实践知识，具有一定的分析处理问题的能力。</w:t>
      </w:r>
    </w:p>
    <w:p w14:paraId="1D553C8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5.2.3辅助运行人员年龄50周岁以下，高中学历或以上学历，要求1年以上工作年限，工作人员要求身体健康、遵纪守法、忠于职守、工作严谨，具有团队合作精神和服务意识。</w:t>
      </w:r>
    </w:p>
    <w:p w14:paraId="4024582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5.2.4维护班长必须具备相应检修经验，特殊工种作业人员还必须具备相应的作业资格证。年龄必须在45周岁以下，高中学历或以上学历，要求2年以上工作年限，需持安全管理证，熟悉上述设备，具有检修、安全管理理论与实践知识，具有一定的分析处理问题的能力。</w:t>
      </w:r>
    </w:p>
    <w:p w14:paraId="6884C2C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5.2.5机务检修人员必须具备招标方同类型设备的维修经验，年龄必须在45周岁以下，高中学历或以上学历，要求2年以上工作年限，特殊岗位专业技术人员如电焊工、起重司索工、起重工等需持证上岗，特殊岗位专业技术人员配备需满足日常检修所需。</w:t>
      </w:r>
    </w:p>
    <w:p w14:paraId="76DF9326">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5.2.6电仪检修人员必须具备招标方同类型设备的维修经验，年龄必须在45周岁以下，高中学历或以上学历，要求2年以上工作年限，需持高、底压电工操作证。</w:t>
      </w:r>
    </w:p>
    <w:p w14:paraId="764AD5AE">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5.2.7 专职安全员必须具备初级注册安全工程师或以上资格证书，大专或以上学历，要求2年以上安全相关工作年限，按照相关法律法规及招标方同质化管理要求开展安全生产管理工作。</w:t>
      </w:r>
    </w:p>
    <w:p w14:paraId="0FCF5376">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5.3.8投标人应确保招标人生产工作正常进行，灰库、石膏库、渣仓不发生影响电厂安全生产事件，不发生环境污染等不安全事件。</w:t>
      </w:r>
    </w:p>
    <w:p w14:paraId="57B65A80">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5.3.9投标人人员确定后上报招标人。</w:t>
      </w:r>
    </w:p>
    <w:p w14:paraId="05CB07D3">
      <w:pPr>
        <w:widowControl/>
        <w:numPr>
          <w:ilvl w:val="0"/>
          <w:numId w:val="0"/>
        </w:numPr>
        <w:spacing w:before="156" w:beforeLines="50" w:after="156" w:afterLines="50" w:line="360" w:lineRule="auto"/>
        <w:jc w:val="left"/>
        <w:outlineLvl w:val="3"/>
        <w:rPr>
          <w:sz w:val="21"/>
          <w:szCs w:val="21"/>
          <w:highlight w:val="none"/>
        </w:rPr>
      </w:pPr>
      <w:r>
        <w:rPr>
          <w:rFonts w:hint="eastAsia" w:ascii="宋体" w:eastAsia="宋体" w:cs="Times New Roman"/>
          <w:color w:val="auto"/>
          <w:sz w:val="21"/>
          <w:szCs w:val="21"/>
          <w:u w:val="none"/>
          <w:lang w:val="en-US" w:eastAsia="zh-CN" w:bidi="ar-SA"/>
        </w:rPr>
        <w:t>5.3.10新上岗人员必须进行岗前培训，合格后方可上岗</w:t>
      </w:r>
      <w:r>
        <w:rPr>
          <w:rFonts w:ascii="宋体" w:eastAsia="宋体"/>
          <w:sz w:val="21"/>
          <w:szCs w:val="21"/>
          <w:highlight w:val="none"/>
        </w:rPr>
        <w:t>。</w:t>
      </w:r>
    </w:p>
    <w:p w14:paraId="30161394">
      <w:pPr>
        <w:snapToGrid w:val="0"/>
        <w:spacing w:line="360" w:lineRule="auto"/>
        <w:jc w:val="both"/>
        <w:rPr>
          <w:rFonts w:ascii="宋体" w:eastAsia="宋体"/>
          <w:b/>
          <w:sz w:val="32"/>
          <w:szCs w:val="24"/>
          <w:highlight w:val="none"/>
        </w:rPr>
      </w:pPr>
      <w:bookmarkStart w:id="39" w:name="_Toc12100"/>
      <w:bookmarkStart w:id="40" w:name="_Toc29305273"/>
      <w:r>
        <w:rPr>
          <w:rFonts w:ascii="宋体" w:eastAsia="宋体"/>
          <w:b/>
          <w:sz w:val="32"/>
          <w:szCs w:val="24"/>
          <w:highlight w:val="none"/>
        </w:rPr>
        <w:t>6.</w:t>
      </w:r>
      <w:r>
        <w:rPr>
          <w:rFonts w:hint="eastAsia" w:ascii="宋体" w:eastAsia="宋体"/>
          <w:b/>
          <w:sz w:val="32"/>
          <w:szCs w:val="24"/>
          <w:highlight w:val="none"/>
        </w:rPr>
        <w:t>招标人及投标人的职责权利与义务</w:t>
      </w:r>
      <w:bookmarkEnd w:id="39"/>
    </w:p>
    <w:p w14:paraId="1D6E883F">
      <w:pPr>
        <w:spacing w:line="360" w:lineRule="auto"/>
        <w:rPr>
          <w:rFonts w:hint="eastAsia" w:ascii="宋体" w:eastAsia="宋体"/>
          <w:b/>
          <w:bCs/>
          <w:sz w:val="21"/>
          <w:szCs w:val="21"/>
          <w:highlight w:val="none"/>
        </w:rPr>
      </w:pPr>
      <w:r>
        <w:rPr>
          <w:rFonts w:ascii="宋体" w:eastAsia="宋体"/>
          <w:b/>
          <w:bCs/>
          <w:sz w:val="21"/>
          <w:szCs w:val="21"/>
          <w:highlight w:val="none"/>
        </w:rPr>
        <w:t>6.1</w:t>
      </w:r>
      <w:r>
        <w:rPr>
          <w:rFonts w:hint="eastAsia" w:ascii="宋体" w:eastAsia="宋体"/>
          <w:b/>
          <w:bCs/>
          <w:sz w:val="21"/>
          <w:szCs w:val="21"/>
          <w:highlight w:val="none"/>
        </w:rPr>
        <w:t>招标人的权利和义务</w:t>
      </w:r>
      <w:bookmarkEnd w:id="40"/>
    </w:p>
    <w:p w14:paraId="4AE36339">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6.1.1有权按公司的管理制度进行管理。</w:t>
      </w:r>
    </w:p>
    <w:p w14:paraId="37B6B1FF">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6.1.2监督和检查合同范围内承包方的管理工作，负责督促承包方履行合同义务。</w:t>
      </w:r>
    </w:p>
    <w:p w14:paraId="2AFDCED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6.1.3向承包方及时提供有关设备运行及管理的相关制度、图纸、资料，向承包方提供所有记录表单。</w:t>
      </w:r>
    </w:p>
    <w:p w14:paraId="2BA9E024">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6.1.4组织设备重大运行操作方案制订、实施、验收工作。</w:t>
      </w:r>
    </w:p>
    <w:p w14:paraId="1C791D0F">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6.1.5有权按管理制度要求对承包方进行考核。</w:t>
      </w:r>
    </w:p>
    <w:p w14:paraId="7006F3A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6.1.6本规范书的工作范围以外的事项，发包方以联系单的形式另行委托承包方，费用另计。</w:t>
      </w:r>
    </w:p>
    <w:p w14:paraId="6096397B">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6.1.7监督和检查合同范围内承包方运行生产的管理工作，负责督促承包方履行合同义务。</w:t>
      </w:r>
    </w:p>
    <w:p w14:paraId="752B0617">
      <w:pPr>
        <w:widowControl/>
        <w:numPr>
          <w:ilvl w:val="0"/>
          <w:numId w:val="0"/>
        </w:numPr>
        <w:spacing w:before="156" w:beforeLines="50" w:after="156" w:afterLines="50" w:line="360" w:lineRule="auto"/>
        <w:jc w:val="left"/>
        <w:outlineLvl w:val="3"/>
        <w:rPr>
          <w:rFonts w:hint="eastAsia" w:ascii="宋体" w:eastAsia="宋体" w:cs="Times New Roman"/>
          <w:b/>
          <w:bCs/>
          <w:color w:val="auto"/>
          <w:sz w:val="21"/>
          <w:szCs w:val="21"/>
          <w:u w:val="none"/>
          <w:lang w:val="en-US" w:eastAsia="zh-CN" w:bidi="ar-SA"/>
        </w:rPr>
      </w:pPr>
      <w:r>
        <w:rPr>
          <w:rFonts w:hint="eastAsia" w:ascii="宋体" w:eastAsia="宋体" w:cs="Times New Roman"/>
          <w:b/>
          <w:bCs/>
          <w:color w:val="auto"/>
          <w:sz w:val="21"/>
          <w:szCs w:val="21"/>
          <w:u w:val="none"/>
          <w:lang w:val="en-US" w:eastAsia="zh-CN" w:bidi="ar-SA"/>
        </w:rPr>
        <w:t>6.2 承包方权利和义务</w:t>
      </w:r>
    </w:p>
    <w:p w14:paraId="607AFB3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6.2.1严格遵守发包方管理制度、操作规程等管理要求。</w:t>
      </w:r>
    </w:p>
    <w:p w14:paraId="3C6AB113">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6.2.2接受发包方的管理，人员变动及组织机构变化应上报发包方。</w:t>
      </w:r>
    </w:p>
    <w:p w14:paraId="5E3D6EA1">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6.2.3确保所管辖设备的安全、经济、正常运行。</w:t>
      </w:r>
    </w:p>
    <w:p w14:paraId="7F30F975">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6.2.4做好车辆及设备运行的台帐（包括设备运行日志、设备维护日志、缺陷记录、安全台账、原材料、日报表、工作票台帐、设备给加油记录、设备定期检查记录等台账等台账），于每月底交给发包方的生产部门。</w:t>
      </w:r>
    </w:p>
    <w:p w14:paraId="6C2FFBFD">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6.2.5承包方应遵守国家、电力行业、发包方及上属公司的有关安全生产的法令、法规、规程及规章制度。</w:t>
      </w:r>
    </w:p>
    <w:p w14:paraId="3F5D38B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6.2.6承包方应承担自身的原因而带来的任何索赔、责任、损失和开支。</w:t>
      </w:r>
    </w:p>
    <w:p w14:paraId="036DAB69">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6.2.7承包方应全面负责所辖设备运行等过程中的环境保护、工业卫生、劳动保护等管理工作。</w:t>
      </w:r>
    </w:p>
    <w:p w14:paraId="48FE1481">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6.2.8承包方应对运行时所管辖系统的设备安全、环境安全和人身安全负责，负责检修范围内所有设备的日常巡检、日常维护保养、消缺、抢修工作。</w:t>
      </w:r>
    </w:p>
    <w:p w14:paraId="23A15FC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6.2.9工作现场，承包方应严格遵守发包方安全生产各项制度，安全生产接受发包方监督和考核。</w:t>
      </w:r>
    </w:p>
    <w:p w14:paraId="2AE52D7B">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6.2.10负责上述运行范围内所有设备的日常巡检工作，负责设备运行、检修期间的运行、检修值班工作。</w:t>
      </w:r>
    </w:p>
    <w:p w14:paraId="3997360D">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6.2.11负责对上述运行、检修范围内设备的各项定期检验、试验、运行切换工作（国家、地方规定必须送相关部门检验、试验的设备除外）。</w:t>
      </w:r>
    </w:p>
    <w:p w14:paraId="441640B7">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6.2.12负责上述合同范围内的设备日常保洁；负责受托范围热控、电气现场盘柜内外的卫生；负责现场热控、电气设备、控制设备和元器件的卫生；负责生产厂区因运行、检修责任原因造成的污染清理。</w:t>
      </w:r>
    </w:p>
    <w:p w14:paraId="29715D32">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6.2.13负责对上述运行范围内设备外委工作的配合工作。</w:t>
      </w:r>
    </w:p>
    <w:p w14:paraId="0D66F3B3">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6.2.14承包方应按发包方的要求每月上报月度运行分析报告等。</w:t>
      </w:r>
    </w:p>
    <w:p w14:paraId="6D02F869">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6.2.15承包方必须储备足够的人员和装备以处理突发事件的处理工作。</w:t>
      </w:r>
    </w:p>
    <w:p w14:paraId="6ABC194E">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6.2.16承包方应建立相关工作人员的职业健康档案，并向发包方提供所有工作人员符合相关法规要求的保险证明。</w:t>
      </w:r>
    </w:p>
    <w:p w14:paraId="7DD4F16F">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6.2.17承包方自行承担所有人员的食宿费用。</w:t>
      </w:r>
    </w:p>
    <w:p w14:paraId="013C0666">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6.2.18承包方必须按照发包方同质化管理要求进行管理。</w:t>
      </w:r>
    </w:p>
    <w:p w14:paraId="41557CAC">
      <w:pPr>
        <w:widowControl/>
        <w:numPr>
          <w:ilvl w:val="0"/>
          <w:numId w:val="0"/>
        </w:numPr>
        <w:spacing w:before="156" w:beforeLines="50" w:after="156" w:afterLines="50" w:line="360" w:lineRule="auto"/>
        <w:jc w:val="left"/>
        <w:outlineLvl w:val="3"/>
        <w:rPr>
          <w:rFonts w:hint="eastAsia"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6.2.19承包方应自行提供服务期内的所需工器具及其耗材，如扳手、螺丝刀、电焊机、角磨机、氧气、乙炔、焊条等。</w:t>
      </w:r>
    </w:p>
    <w:p w14:paraId="7D678942">
      <w:pPr>
        <w:widowControl/>
        <w:numPr>
          <w:ilvl w:val="0"/>
          <w:numId w:val="0"/>
        </w:numPr>
        <w:spacing w:before="156" w:beforeLines="50" w:after="156" w:afterLines="50" w:line="360" w:lineRule="auto"/>
        <w:jc w:val="left"/>
        <w:outlineLvl w:val="3"/>
        <w:rPr>
          <w:rFonts w:hint="default" w:ascii="宋体" w:eastAsia="宋体" w:cs="Times New Roman"/>
          <w:color w:val="auto"/>
          <w:sz w:val="21"/>
          <w:szCs w:val="21"/>
          <w:u w:val="none"/>
          <w:lang w:val="en-US" w:eastAsia="zh-CN" w:bidi="ar-SA"/>
        </w:rPr>
      </w:pPr>
      <w:r>
        <w:rPr>
          <w:rFonts w:hint="eastAsia" w:ascii="宋体" w:eastAsia="宋体" w:cs="Times New Roman"/>
          <w:color w:val="auto"/>
          <w:sz w:val="21"/>
          <w:szCs w:val="21"/>
          <w:u w:val="none"/>
          <w:lang w:val="en-US" w:eastAsia="zh-CN" w:bidi="ar-SA"/>
        </w:rPr>
        <w:t>6.1.8 承包方应按照招标方外包单位同质化管理要求，推进班组建设及7S管理工作，不断提升班组评级。</w:t>
      </w:r>
    </w:p>
    <w:p w14:paraId="1D3F19CE">
      <w:pPr>
        <w:snapToGrid w:val="0"/>
        <w:spacing w:line="360" w:lineRule="auto"/>
        <w:jc w:val="both"/>
        <w:rPr>
          <w:b/>
          <w:sz w:val="32"/>
          <w:highlight w:val="none"/>
        </w:rPr>
      </w:pPr>
      <w:bookmarkStart w:id="41" w:name="_Toc29305275"/>
      <w:r>
        <w:rPr>
          <w:rFonts w:ascii="宋体" w:eastAsia="宋体"/>
          <w:b/>
          <w:bCs/>
          <w:sz w:val="32"/>
          <w:szCs w:val="28"/>
          <w:highlight w:val="none"/>
        </w:rPr>
        <w:t>7.</w:t>
      </w:r>
      <w:r>
        <w:rPr>
          <w:rFonts w:hint="eastAsia" w:ascii="宋体" w:eastAsia="宋体"/>
          <w:b/>
          <w:sz w:val="32"/>
          <w:highlight w:val="none"/>
        </w:rPr>
        <w:t>考核</w:t>
      </w:r>
      <w:bookmarkEnd w:id="41"/>
    </w:p>
    <w:p w14:paraId="32C11612">
      <w:pPr>
        <w:widowControl/>
        <w:numPr>
          <w:ilvl w:val="0"/>
          <w:numId w:val="0"/>
        </w:numPr>
        <w:spacing w:before="156" w:beforeLines="50" w:after="156" w:afterLines="50" w:line="360" w:lineRule="auto"/>
        <w:ind w:firstLine="420" w:firstLineChars="200"/>
        <w:jc w:val="left"/>
        <w:outlineLvl w:val="3"/>
        <w:rPr>
          <w:szCs w:val="21"/>
          <w:highlight w:val="none"/>
        </w:rPr>
      </w:pPr>
      <w:r>
        <w:rPr>
          <w:rFonts w:hint="eastAsia" w:ascii="宋体" w:eastAsia="宋体" w:cs="Times New Roman"/>
          <w:color w:val="auto"/>
          <w:sz w:val="21"/>
          <w:szCs w:val="21"/>
          <w:u w:val="none"/>
          <w:lang w:val="en-US" w:eastAsia="zh-CN" w:bidi="ar-SA"/>
        </w:rPr>
        <w:t>由招标人按公司考核管理制度对投标人运行管理、检修管理、安全文明生产工作进行考核。考核按月进行，次月5日前将上月的考核结果通报投标人，相关考核标准如下：</w:t>
      </w:r>
    </w:p>
    <w:tbl>
      <w:tblPr>
        <w:tblStyle w:val="54"/>
        <w:tblW w:w="874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84"/>
        <w:gridCol w:w="2432"/>
        <w:gridCol w:w="4393"/>
        <w:gridCol w:w="1131"/>
      </w:tblGrid>
      <w:tr w14:paraId="01488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1B82FC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2432" w:type="dxa"/>
            <w:tcMar>
              <w:top w:w="15" w:type="dxa"/>
              <w:left w:w="15" w:type="dxa"/>
              <w:bottom w:w="0" w:type="dxa"/>
              <w:right w:w="15" w:type="dxa"/>
            </w:tcMar>
            <w:vAlign w:val="center"/>
          </w:tcPr>
          <w:p w14:paraId="54C053E5">
            <w:pPr>
              <w:ind w:left="48" w:leftChars="20" w:right="62" w:rightChars="26"/>
              <w:jc w:val="center"/>
              <w:rPr>
                <w:rFonts w:hint="eastAsia" w:ascii="宋体" w:hAnsi="宋体" w:eastAsia="宋体" w:cs="宋体"/>
                <w:sz w:val="21"/>
                <w:szCs w:val="21"/>
              </w:rPr>
            </w:pPr>
            <w:r>
              <w:rPr>
                <w:rFonts w:hint="eastAsia" w:ascii="宋体" w:hAnsi="宋体" w:eastAsia="宋体" w:cs="宋体"/>
                <w:sz w:val="21"/>
                <w:szCs w:val="21"/>
              </w:rPr>
              <w:t>考核内容</w:t>
            </w:r>
          </w:p>
        </w:tc>
        <w:tc>
          <w:tcPr>
            <w:tcW w:w="4393" w:type="dxa"/>
            <w:tcMar>
              <w:top w:w="15" w:type="dxa"/>
              <w:left w:w="15" w:type="dxa"/>
              <w:bottom w:w="0" w:type="dxa"/>
              <w:right w:w="15" w:type="dxa"/>
            </w:tcMar>
            <w:vAlign w:val="center"/>
          </w:tcPr>
          <w:p w14:paraId="0F69441F">
            <w:pPr>
              <w:ind w:left="125" w:leftChars="52" w:right="144" w:rightChars="60"/>
              <w:jc w:val="center"/>
              <w:rPr>
                <w:rFonts w:hint="eastAsia" w:ascii="宋体" w:hAnsi="宋体" w:eastAsia="宋体" w:cs="宋体"/>
                <w:sz w:val="21"/>
                <w:szCs w:val="21"/>
              </w:rPr>
            </w:pPr>
            <w:r>
              <w:rPr>
                <w:rFonts w:hint="eastAsia" w:ascii="宋体" w:hAnsi="宋体" w:eastAsia="宋体" w:cs="宋体"/>
                <w:sz w:val="21"/>
                <w:szCs w:val="21"/>
              </w:rPr>
              <w:t>扣奖金额（元）</w:t>
            </w:r>
          </w:p>
        </w:tc>
        <w:tc>
          <w:tcPr>
            <w:tcW w:w="1131" w:type="dxa"/>
            <w:vAlign w:val="top"/>
          </w:tcPr>
          <w:p w14:paraId="4DD50E2D">
            <w:pPr>
              <w:jc w:val="center"/>
              <w:rPr>
                <w:rFonts w:hint="eastAsia" w:ascii="宋体" w:hAnsi="宋体" w:eastAsia="宋体" w:cs="宋体"/>
                <w:sz w:val="21"/>
                <w:szCs w:val="21"/>
              </w:rPr>
            </w:pPr>
            <w:r>
              <w:rPr>
                <w:rFonts w:hint="eastAsia" w:ascii="宋体" w:hAnsi="宋体" w:eastAsia="宋体" w:cs="宋体"/>
                <w:sz w:val="21"/>
                <w:szCs w:val="21"/>
              </w:rPr>
              <w:t>违章记分</w:t>
            </w:r>
          </w:p>
        </w:tc>
      </w:tr>
      <w:tr w14:paraId="58190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61604577">
            <w:pPr>
              <w:ind w:left="125" w:leftChars="52" w:right="144" w:rightChars="60" w:firstLine="105" w:firstLineChars="50"/>
              <w:rPr>
                <w:rFonts w:hint="eastAsia" w:ascii="宋体" w:hAnsi="宋体" w:eastAsia="宋体" w:cs="宋体"/>
                <w:sz w:val="21"/>
                <w:szCs w:val="21"/>
              </w:rPr>
            </w:pPr>
            <w:r>
              <w:rPr>
                <w:rFonts w:hint="eastAsia" w:ascii="宋体" w:hAnsi="宋体" w:eastAsia="宋体" w:cs="宋体"/>
                <w:sz w:val="21"/>
                <w:szCs w:val="21"/>
              </w:rPr>
              <w:t>1、人身事故、事件</w:t>
            </w:r>
          </w:p>
        </w:tc>
        <w:tc>
          <w:tcPr>
            <w:tcW w:w="1131" w:type="dxa"/>
            <w:vAlign w:val="top"/>
          </w:tcPr>
          <w:p w14:paraId="06F9CE31">
            <w:pPr>
              <w:ind w:firstLine="105" w:firstLineChars="50"/>
              <w:rPr>
                <w:rFonts w:hint="eastAsia" w:ascii="宋体" w:hAnsi="宋体" w:eastAsia="宋体" w:cs="宋体"/>
                <w:sz w:val="21"/>
                <w:szCs w:val="21"/>
              </w:rPr>
            </w:pPr>
          </w:p>
        </w:tc>
      </w:tr>
      <w:tr w14:paraId="2429FB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29D7C3D">
            <w:pPr>
              <w:numPr>
                <w:ilvl w:val="0"/>
                <w:numId w:val="4"/>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9AF93E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发生死亡事故。</w:t>
            </w:r>
          </w:p>
        </w:tc>
        <w:tc>
          <w:tcPr>
            <w:tcW w:w="4393" w:type="dxa"/>
            <w:tcMar>
              <w:top w:w="15" w:type="dxa"/>
              <w:left w:w="15" w:type="dxa"/>
              <w:bottom w:w="0" w:type="dxa"/>
              <w:right w:w="15" w:type="dxa"/>
            </w:tcMar>
            <w:vAlign w:val="center"/>
          </w:tcPr>
          <w:p w14:paraId="401DDC0F">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根据乙方的责任，每死亡一人扣款3～10万元。</w:t>
            </w:r>
          </w:p>
        </w:tc>
        <w:tc>
          <w:tcPr>
            <w:tcW w:w="1131" w:type="dxa"/>
            <w:vAlign w:val="top"/>
          </w:tcPr>
          <w:p w14:paraId="57D2993B">
            <w:pPr>
              <w:jc w:val="center"/>
              <w:rPr>
                <w:rFonts w:hint="eastAsia" w:ascii="宋体" w:hAnsi="宋体" w:eastAsia="宋体" w:cs="宋体"/>
                <w:sz w:val="21"/>
                <w:szCs w:val="21"/>
              </w:rPr>
            </w:pPr>
            <w:r>
              <w:rPr>
                <w:rFonts w:hint="eastAsia" w:ascii="宋体" w:hAnsi="宋体" w:eastAsia="宋体" w:cs="宋体"/>
                <w:sz w:val="21"/>
                <w:szCs w:val="21"/>
              </w:rPr>
              <w:t>－15</w:t>
            </w:r>
          </w:p>
        </w:tc>
      </w:tr>
      <w:tr w14:paraId="744F2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70AA36A">
            <w:pPr>
              <w:numPr>
                <w:ilvl w:val="0"/>
                <w:numId w:val="4"/>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1F5668C">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发生重伤事故。</w:t>
            </w:r>
          </w:p>
        </w:tc>
        <w:tc>
          <w:tcPr>
            <w:tcW w:w="4393" w:type="dxa"/>
            <w:tcMar>
              <w:top w:w="15" w:type="dxa"/>
              <w:left w:w="15" w:type="dxa"/>
              <w:bottom w:w="0" w:type="dxa"/>
              <w:right w:w="15" w:type="dxa"/>
            </w:tcMar>
            <w:vAlign w:val="center"/>
          </w:tcPr>
          <w:p w14:paraId="0B18A596">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根据乙方的责任，每重伤一人次，扣款1.5</w:t>
            </w:r>
            <w:r>
              <w:rPr>
                <w:rFonts w:hint="eastAsia" w:ascii="宋体" w:hAnsi="宋体" w:eastAsia="宋体" w:cs="宋体"/>
                <w:sz w:val="21"/>
                <w:szCs w:val="21"/>
              </w:rPr>
              <w:softHyphen/>
            </w:r>
            <w:r>
              <w:rPr>
                <w:rFonts w:hint="eastAsia" w:ascii="宋体" w:hAnsi="宋体" w:eastAsia="宋体" w:cs="宋体"/>
                <w:sz w:val="21"/>
                <w:szCs w:val="21"/>
              </w:rPr>
              <w:t>～5万。</w:t>
            </w:r>
          </w:p>
        </w:tc>
        <w:tc>
          <w:tcPr>
            <w:tcW w:w="1131" w:type="dxa"/>
            <w:vAlign w:val="top"/>
          </w:tcPr>
          <w:p w14:paraId="17E990F8">
            <w:pPr>
              <w:jc w:val="center"/>
              <w:rPr>
                <w:rFonts w:hint="eastAsia" w:ascii="宋体" w:hAnsi="宋体" w:eastAsia="宋体" w:cs="宋体"/>
                <w:sz w:val="21"/>
                <w:szCs w:val="21"/>
              </w:rPr>
            </w:pPr>
            <w:r>
              <w:rPr>
                <w:rFonts w:hint="eastAsia" w:ascii="宋体" w:hAnsi="宋体" w:eastAsia="宋体" w:cs="宋体"/>
                <w:sz w:val="21"/>
                <w:szCs w:val="21"/>
              </w:rPr>
              <w:t>－15</w:t>
            </w:r>
          </w:p>
        </w:tc>
      </w:tr>
      <w:tr w14:paraId="1427F7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A163C10">
            <w:pPr>
              <w:numPr>
                <w:ilvl w:val="0"/>
                <w:numId w:val="4"/>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127F447">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发生人身轻伤。</w:t>
            </w:r>
          </w:p>
        </w:tc>
        <w:tc>
          <w:tcPr>
            <w:tcW w:w="4393" w:type="dxa"/>
            <w:tcMar>
              <w:top w:w="15" w:type="dxa"/>
              <w:left w:w="15" w:type="dxa"/>
              <w:bottom w:w="0" w:type="dxa"/>
              <w:right w:w="15" w:type="dxa"/>
            </w:tcMar>
            <w:vAlign w:val="center"/>
          </w:tcPr>
          <w:p w14:paraId="559B00B3">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根据乙方的责任，每轻伤一人次，扣款1000～5000元。</w:t>
            </w:r>
          </w:p>
        </w:tc>
        <w:tc>
          <w:tcPr>
            <w:tcW w:w="1131" w:type="dxa"/>
            <w:vAlign w:val="top"/>
          </w:tcPr>
          <w:p w14:paraId="4150D55E">
            <w:pPr>
              <w:jc w:val="center"/>
              <w:rPr>
                <w:rFonts w:hint="eastAsia" w:ascii="宋体" w:hAnsi="宋体" w:eastAsia="宋体" w:cs="宋体"/>
                <w:sz w:val="21"/>
                <w:szCs w:val="21"/>
              </w:rPr>
            </w:pPr>
            <w:r>
              <w:rPr>
                <w:rFonts w:hint="eastAsia" w:ascii="宋体" w:hAnsi="宋体" w:eastAsia="宋体" w:cs="宋体"/>
                <w:sz w:val="21"/>
                <w:szCs w:val="21"/>
              </w:rPr>
              <w:t>－10</w:t>
            </w:r>
          </w:p>
        </w:tc>
      </w:tr>
      <w:tr w14:paraId="100E5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7A5A316">
            <w:pPr>
              <w:numPr>
                <w:ilvl w:val="0"/>
                <w:numId w:val="4"/>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E382A4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发生未遂事件。</w:t>
            </w:r>
          </w:p>
        </w:tc>
        <w:tc>
          <w:tcPr>
            <w:tcW w:w="4393" w:type="dxa"/>
            <w:tcMar>
              <w:top w:w="15" w:type="dxa"/>
              <w:left w:w="15" w:type="dxa"/>
              <w:bottom w:w="0" w:type="dxa"/>
              <w:right w:w="15" w:type="dxa"/>
            </w:tcMar>
            <w:vAlign w:val="center"/>
          </w:tcPr>
          <w:p w14:paraId="471A239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根据乙方的责任及事件情节，每次扣款500～3000元。</w:t>
            </w:r>
          </w:p>
        </w:tc>
        <w:tc>
          <w:tcPr>
            <w:tcW w:w="1131" w:type="dxa"/>
            <w:vAlign w:val="top"/>
          </w:tcPr>
          <w:p w14:paraId="6EDCD1F1">
            <w:pPr>
              <w:jc w:val="center"/>
              <w:rPr>
                <w:rFonts w:hint="eastAsia" w:ascii="宋体" w:hAnsi="宋体" w:eastAsia="宋体" w:cs="宋体"/>
                <w:sz w:val="21"/>
                <w:szCs w:val="21"/>
              </w:rPr>
            </w:pPr>
            <w:r>
              <w:rPr>
                <w:rFonts w:hint="eastAsia" w:ascii="宋体" w:hAnsi="宋体" w:eastAsia="宋体" w:cs="宋体"/>
                <w:sz w:val="21"/>
                <w:szCs w:val="21"/>
              </w:rPr>
              <w:t>－3</w:t>
            </w:r>
          </w:p>
        </w:tc>
      </w:tr>
      <w:tr w14:paraId="532195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963DAC0">
            <w:pPr>
              <w:numPr>
                <w:ilvl w:val="0"/>
                <w:numId w:val="4"/>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8AF576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发生人员滋事、斗殴造成的治安事件</w:t>
            </w:r>
          </w:p>
        </w:tc>
        <w:tc>
          <w:tcPr>
            <w:tcW w:w="4393" w:type="dxa"/>
            <w:tcMar>
              <w:top w:w="15" w:type="dxa"/>
              <w:left w:w="15" w:type="dxa"/>
              <w:bottom w:w="0" w:type="dxa"/>
              <w:right w:w="15" w:type="dxa"/>
            </w:tcMar>
            <w:vAlign w:val="center"/>
          </w:tcPr>
          <w:p w14:paraId="0D10C6B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根据乙方的责任及事件情节，每次扣款500～2000元</w:t>
            </w:r>
          </w:p>
        </w:tc>
        <w:tc>
          <w:tcPr>
            <w:tcW w:w="1131" w:type="dxa"/>
            <w:vAlign w:val="top"/>
          </w:tcPr>
          <w:p w14:paraId="359B0AD2">
            <w:pPr>
              <w:jc w:val="center"/>
              <w:rPr>
                <w:rFonts w:hint="eastAsia" w:ascii="宋体" w:hAnsi="宋体" w:eastAsia="宋体" w:cs="宋体"/>
                <w:sz w:val="21"/>
                <w:szCs w:val="21"/>
              </w:rPr>
            </w:pPr>
            <w:r>
              <w:rPr>
                <w:rFonts w:hint="eastAsia" w:ascii="宋体" w:hAnsi="宋体" w:eastAsia="宋体" w:cs="宋体"/>
                <w:sz w:val="21"/>
                <w:szCs w:val="21"/>
              </w:rPr>
              <w:t>－3</w:t>
            </w:r>
          </w:p>
        </w:tc>
      </w:tr>
      <w:tr w14:paraId="73101E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24303155">
            <w:pPr>
              <w:ind w:left="125" w:leftChars="52" w:right="144" w:rightChars="60" w:firstLine="105" w:firstLineChars="50"/>
              <w:rPr>
                <w:rFonts w:hint="eastAsia" w:ascii="宋体" w:hAnsi="宋体" w:eastAsia="宋体" w:cs="宋体"/>
                <w:sz w:val="21"/>
                <w:szCs w:val="21"/>
              </w:rPr>
            </w:pPr>
            <w:r>
              <w:rPr>
                <w:rFonts w:hint="eastAsia" w:ascii="宋体" w:hAnsi="宋体" w:eastAsia="宋体" w:cs="宋体"/>
                <w:sz w:val="21"/>
                <w:szCs w:val="21"/>
              </w:rPr>
              <w:t>2、设备及环境事故、事件</w:t>
            </w:r>
          </w:p>
        </w:tc>
        <w:tc>
          <w:tcPr>
            <w:tcW w:w="1131" w:type="dxa"/>
            <w:vAlign w:val="top"/>
          </w:tcPr>
          <w:p w14:paraId="1DE7B909">
            <w:pPr>
              <w:ind w:firstLine="105" w:firstLineChars="50"/>
              <w:jc w:val="center"/>
              <w:rPr>
                <w:rFonts w:hint="eastAsia" w:ascii="宋体" w:hAnsi="宋体" w:eastAsia="宋体" w:cs="宋体"/>
                <w:sz w:val="21"/>
                <w:szCs w:val="21"/>
              </w:rPr>
            </w:pPr>
          </w:p>
        </w:tc>
      </w:tr>
      <w:tr w14:paraId="41BB60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CA2FD18">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3F944DE">
            <w:pPr>
              <w:pStyle w:val="177"/>
              <w:widowControl w:val="0"/>
              <w:pBdr>
                <w:bottom w:val="none" w:color="auto" w:sz="0" w:space="0"/>
                <w:right w:val="none" w:color="auto" w:sz="0" w:space="0"/>
              </w:pBdr>
              <w:spacing w:before="0" w:beforeAutospacing="0" w:after="0" w:afterAutospacing="0"/>
              <w:ind w:left="48" w:leftChars="20" w:right="62" w:rightChars="26"/>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发生设备事故。</w:t>
            </w:r>
          </w:p>
        </w:tc>
        <w:tc>
          <w:tcPr>
            <w:tcW w:w="4393" w:type="dxa"/>
            <w:tcMar>
              <w:top w:w="15" w:type="dxa"/>
              <w:left w:w="15" w:type="dxa"/>
              <w:bottom w:w="0" w:type="dxa"/>
              <w:right w:w="15" w:type="dxa"/>
            </w:tcMar>
            <w:vAlign w:val="center"/>
          </w:tcPr>
          <w:p w14:paraId="77AD403F">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根据乙方的责任及经济损失情况，每次扣款4～10万元。</w:t>
            </w:r>
          </w:p>
        </w:tc>
        <w:tc>
          <w:tcPr>
            <w:tcW w:w="1131" w:type="dxa"/>
            <w:vAlign w:val="top"/>
          </w:tcPr>
          <w:p w14:paraId="11D67403">
            <w:pPr>
              <w:jc w:val="center"/>
              <w:rPr>
                <w:rFonts w:hint="eastAsia" w:ascii="宋体" w:hAnsi="宋体" w:eastAsia="宋体" w:cs="宋体"/>
                <w:sz w:val="21"/>
                <w:szCs w:val="21"/>
              </w:rPr>
            </w:pPr>
            <w:r>
              <w:rPr>
                <w:rFonts w:hint="eastAsia" w:ascii="宋体" w:hAnsi="宋体" w:eastAsia="宋体" w:cs="宋体"/>
                <w:sz w:val="21"/>
                <w:szCs w:val="21"/>
              </w:rPr>
              <w:t>－15</w:t>
            </w:r>
          </w:p>
        </w:tc>
      </w:tr>
      <w:tr w14:paraId="05D250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438862E">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FF10FDA">
            <w:pPr>
              <w:pStyle w:val="177"/>
              <w:widowControl w:val="0"/>
              <w:pBdr>
                <w:bottom w:val="none" w:color="auto" w:sz="0" w:space="0"/>
                <w:right w:val="none" w:color="auto" w:sz="0" w:space="0"/>
              </w:pBdr>
              <w:spacing w:before="0" w:beforeAutospacing="0" w:after="0" w:afterAutospacing="0"/>
              <w:ind w:left="48" w:leftChars="20" w:right="62" w:rightChars="26"/>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发生设备考核障碍。</w:t>
            </w:r>
          </w:p>
        </w:tc>
        <w:tc>
          <w:tcPr>
            <w:tcW w:w="4393" w:type="dxa"/>
            <w:tcMar>
              <w:top w:w="15" w:type="dxa"/>
              <w:left w:w="15" w:type="dxa"/>
              <w:bottom w:w="0" w:type="dxa"/>
              <w:right w:w="15" w:type="dxa"/>
            </w:tcMar>
            <w:vAlign w:val="center"/>
          </w:tcPr>
          <w:p w14:paraId="2065F89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根据乙方的责任及经济损失情况，每次扣款2～4万元。</w:t>
            </w:r>
          </w:p>
        </w:tc>
        <w:tc>
          <w:tcPr>
            <w:tcW w:w="1131" w:type="dxa"/>
            <w:vAlign w:val="top"/>
          </w:tcPr>
          <w:p w14:paraId="590C9BA2">
            <w:pPr>
              <w:jc w:val="center"/>
              <w:rPr>
                <w:rFonts w:hint="eastAsia" w:ascii="宋体" w:hAnsi="宋体" w:eastAsia="宋体" w:cs="宋体"/>
                <w:sz w:val="21"/>
                <w:szCs w:val="21"/>
              </w:rPr>
            </w:pPr>
            <w:r>
              <w:rPr>
                <w:rFonts w:hint="eastAsia" w:ascii="宋体" w:hAnsi="宋体" w:eastAsia="宋体" w:cs="宋体"/>
                <w:sz w:val="21"/>
                <w:szCs w:val="21"/>
              </w:rPr>
              <w:t>－15</w:t>
            </w:r>
          </w:p>
        </w:tc>
      </w:tr>
      <w:tr w14:paraId="4D568A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1D9BF69">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E9E221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发生一类障碍。</w:t>
            </w:r>
          </w:p>
        </w:tc>
        <w:tc>
          <w:tcPr>
            <w:tcW w:w="4393" w:type="dxa"/>
            <w:tcMar>
              <w:top w:w="15" w:type="dxa"/>
              <w:left w:w="15" w:type="dxa"/>
              <w:bottom w:w="0" w:type="dxa"/>
              <w:right w:w="15" w:type="dxa"/>
            </w:tcMar>
            <w:vAlign w:val="center"/>
          </w:tcPr>
          <w:p w14:paraId="386B0426">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根据乙方的责任及经济损失情况，每次扣款1～2万元。</w:t>
            </w:r>
          </w:p>
        </w:tc>
        <w:tc>
          <w:tcPr>
            <w:tcW w:w="1131" w:type="dxa"/>
            <w:vAlign w:val="top"/>
          </w:tcPr>
          <w:p w14:paraId="4DB82753">
            <w:pPr>
              <w:jc w:val="center"/>
              <w:rPr>
                <w:rFonts w:hint="eastAsia" w:ascii="宋体" w:hAnsi="宋体" w:eastAsia="宋体" w:cs="宋体"/>
                <w:sz w:val="21"/>
                <w:szCs w:val="21"/>
              </w:rPr>
            </w:pPr>
            <w:r>
              <w:rPr>
                <w:rFonts w:hint="eastAsia" w:ascii="宋体" w:hAnsi="宋体" w:eastAsia="宋体" w:cs="宋体"/>
                <w:sz w:val="21"/>
                <w:szCs w:val="21"/>
              </w:rPr>
              <w:t>－10</w:t>
            </w:r>
          </w:p>
        </w:tc>
      </w:tr>
      <w:tr w14:paraId="066E3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4B0D086">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314581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发生二类障碍。</w:t>
            </w:r>
          </w:p>
        </w:tc>
        <w:tc>
          <w:tcPr>
            <w:tcW w:w="4393" w:type="dxa"/>
            <w:tcMar>
              <w:top w:w="15" w:type="dxa"/>
              <w:left w:w="15" w:type="dxa"/>
              <w:bottom w:w="0" w:type="dxa"/>
              <w:right w:w="15" w:type="dxa"/>
            </w:tcMar>
            <w:vAlign w:val="center"/>
          </w:tcPr>
          <w:p w14:paraId="4364272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根据乙方的责任及经济损失情况，每次扣款1000～5000元。</w:t>
            </w:r>
          </w:p>
        </w:tc>
        <w:tc>
          <w:tcPr>
            <w:tcW w:w="1131" w:type="dxa"/>
            <w:vAlign w:val="top"/>
          </w:tcPr>
          <w:p w14:paraId="62C199CB">
            <w:pPr>
              <w:jc w:val="center"/>
              <w:rPr>
                <w:rFonts w:hint="eastAsia" w:ascii="宋体" w:hAnsi="宋体" w:eastAsia="宋体" w:cs="宋体"/>
                <w:sz w:val="21"/>
                <w:szCs w:val="21"/>
              </w:rPr>
            </w:pPr>
            <w:r>
              <w:rPr>
                <w:rFonts w:hint="eastAsia" w:ascii="宋体" w:hAnsi="宋体" w:eastAsia="宋体" w:cs="宋体"/>
                <w:sz w:val="21"/>
                <w:szCs w:val="21"/>
              </w:rPr>
              <w:t>－5</w:t>
            </w:r>
          </w:p>
        </w:tc>
      </w:tr>
      <w:tr w14:paraId="6C6D4F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FF28B42">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E693C9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发生异常事件。</w:t>
            </w:r>
          </w:p>
        </w:tc>
        <w:tc>
          <w:tcPr>
            <w:tcW w:w="4393" w:type="dxa"/>
            <w:tcMar>
              <w:top w:w="15" w:type="dxa"/>
              <w:left w:w="15" w:type="dxa"/>
              <w:bottom w:w="0" w:type="dxa"/>
              <w:right w:w="15" w:type="dxa"/>
            </w:tcMar>
            <w:vAlign w:val="center"/>
          </w:tcPr>
          <w:p w14:paraId="63F27EDE">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根据乙方的责任及经济损失情况，每次扣款500～3000元。</w:t>
            </w:r>
          </w:p>
        </w:tc>
        <w:tc>
          <w:tcPr>
            <w:tcW w:w="1131" w:type="dxa"/>
            <w:vAlign w:val="top"/>
          </w:tcPr>
          <w:p w14:paraId="4B921AA8">
            <w:pPr>
              <w:jc w:val="center"/>
              <w:rPr>
                <w:rFonts w:hint="eastAsia" w:ascii="宋体" w:hAnsi="宋体" w:eastAsia="宋体" w:cs="宋体"/>
                <w:sz w:val="21"/>
                <w:szCs w:val="21"/>
              </w:rPr>
            </w:pPr>
            <w:r>
              <w:rPr>
                <w:rFonts w:hint="eastAsia" w:ascii="宋体" w:hAnsi="宋体" w:eastAsia="宋体" w:cs="宋体"/>
                <w:sz w:val="21"/>
                <w:szCs w:val="21"/>
              </w:rPr>
              <w:t>－3</w:t>
            </w:r>
          </w:p>
        </w:tc>
      </w:tr>
      <w:tr w14:paraId="1C3C7D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6B79C20">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0B7E36D">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作业导致环境事件。</w:t>
            </w:r>
          </w:p>
        </w:tc>
        <w:tc>
          <w:tcPr>
            <w:tcW w:w="4393" w:type="dxa"/>
            <w:tcMar>
              <w:top w:w="15" w:type="dxa"/>
              <w:left w:w="15" w:type="dxa"/>
              <w:bottom w:w="0" w:type="dxa"/>
              <w:right w:w="15" w:type="dxa"/>
            </w:tcMar>
            <w:vAlign w:val="center"/>
          </w:tcPr>
          <w:p w14:paraId="1D49220B">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每次扣款20000～100000元。</w:t>
            </w:r>
          </w:p>
        </w:tc>
        <w:tc>
          <w:tcPr>
            <w:tcW w:w="1131" w:type="dxa"/>
            <w:vAlign w:val="top"/>
          </w:tcPr>
          <w:p w14:paraId="624513A4">
            <w:pPr>
              <w:jc w:val="center"/>
              <w:rPr>
                <w:rFonts w:hint="eastAsia" w:ascii="宋体" w:hAnsi="宋体" w:eastAsia="宋体" w:cs="宋体"/>
                <w:sz w:val="21"/>
                <w:szCs w:val="21"/>
              </w:rPr>
            </w:pPr>
            <w:r>
              <w:rPr>
                <w:rFonts w:hint="eastAsia" w:ascii="宋体" w:hAnsi="宋体" w:eastAsia="宋体" w:cs="宋体"/>
                <w:sz w:val="21"/>
                <w:szCs w:val="21"/>
              </w:rPr>
              <w:t>－10</w:t>
            </w:r>
          </w:p>
        </w:tc>
      </w:tr>
      <w:tr w14:paraId="6FB3F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3039F72">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E12420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作业导致有效环境投诉。</w:t>
            </w:r>
          </w:p>
        </w:tc>
        <w:tc>
          <w:tcPr>
            <w:tcW w:w="4393" w:type="dxa"/>
            <w:tcMar>
              <w:top w:w="15" w:type="dxa"/>
              <w:left w:w="15" w:type="dxa"/>
              <w:bottom w:w="0" w:type="dxa"/>
              <w:right w:w="15" w:type="dxa"/>
            </w:tcMar>
            <w:vAlign w:val="center"/>
          </w:tcPr>
          <w:p w14:paraId="4B3DABF3">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每次扣款500～5000元。</w:t>
            </w:r>
          </w:p>
        </w:tc>
        <w:tc>
          <w:tcPr>
            <w:tcW w:w="1131" w:type="dxa"/>
            <w:vAlign w:val="top"/>
          </w:tcPr>
          <w:p w14:paraId="429792A2">
            <w:pPr>
              <w:jc w:val="center"/>
              <w:rPr>
                <w:rFonts w:hint="eastAsia" w:ascii="宋体" w:hAnsi="宋体" w:eastAsia="宋体" w:cs="宋体"/>
                <w:sz w:val="21"/>
                <w:szCs w:val="21"/>
              </w:rPr>
            </w:pPr>
            <w:r>
              <w:rPr>
                <w:rFonts w:hint="eastAsia" w:ascii="宋体" w:hAnsi="宋体" w:eastAsia="宋体" w:cs="宋体"/>
                <w:sz w:val="21"/>
                <w:szCs w:val="21"/>
              </w:rPr>
              <w:t>－5</w:t>
            </w:r>
          </w:p>
        </w:tc>
      </w:tr>
      <w:tr w14:paraId="29A3FC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44" w:hRule="atLeast"/>
          <w:tblHeader/>
        </w:trPr>
        <w:tc>
          <w:tcPr>
            <w:tcW w:w="784" w:type="dxa"/>
            <w:tcMar>
              <w:top w:w="15" w:type="dxa"/>
              <w:left w:w="15" w:type="dxa"/>
              <w:bottom w:w="0" w:type="dxa"/>
              <w:right w:w="15" w:type="dxa"/>
            </w:tcMar>
            <w:vAlign w:val="center"/>
          </w:tcPr>
          <w:p w14:paraId="0BBDB1BF">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BDBB13E">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直接经济损失1万以上10万以下火灾事故</w:t>
            </w:r>
          </w:p>
        </w:tc>
        <w:tc>
          <w:tcPr>
            <w:tcW w:w="4393" w:type="dxa"/>
            <w:tcMar>
              <w:top w:w="15" w:type="dxa"/>
              <w:left w:w="15" w:type="dxa"/>
              <w:bottom w:w="0" w:type="dxa"/>
              <w:right w:w="15" w:type="dxa"/>
            </w:tcMar>
            <w:vAlign w:val="center"/>
          </w:tcPr>
          <w:p w14:paraId="21C9C37B">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每次扣款5000～10000元</w:t>
            </w:r>
          </w:p>
        </w:tc>
        <w:tc>
          <w:tcPr>
            <w:tcW w:w="1131" w:type="dxa"/>
            <w:vAlign w:val="top"/>
          </w:tcPr>
          <w:p w14:paraId="77BE469F">
            <w:pPr>
              <w:jc w:val="center"/>
              <w:rPr>
                <w:rFonts w:hint="eastAsia" w:ascii="宋体" w:hAnsi="宋体" w:eastAsia="宋体" w:cs="宋体"/>
                <w:sz w:val="21"/>
                <w:szCs w:val="21"/>
              </w:rPr>
            </w:pPr>
            <w:r>
              <w:rPr>
                <w:rFonts w:hint="eastAsia" w:ascii="宋体" w:hAnsi="宋体" w:eastAsia="宋体" w:cs="宋体"/>
                <w:sz w:val="21"/>
                <w:szCs w:val="21"/>
              </w:rPr>
              <w:t>－15</w:t>
            </w:r>
          </w:p>
        </w:tc>
      </w:tr>
      <w:tr w14:paraId="5525D7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6130CAD">
            <w:pPr>
              <w:numPr>
                <w:ilvl w:val="0"/>
                <w:numId w:val="5"/>
              </w:numPr>
              <w:jc w:val="center"/>
              <w:rPr>
                <w:rFonts w:hint="eastAsia" w:ascii="宋体" w:hAnsi="宋体" w:eastAsia="宋体" w:cs="宋体"/>
                <w:color w:val="auto"/>
                <w:sz w:val="21"/>
                <w:szCs w:val="21"/>
              </w:rPr>
            </w:pPr>
          </w:p>
        </w:tc>
        <w:tc>
          <w:tcPr>
            <w:tcW w:w="2432" w:type="dxa"/>
            <w:tcMar>
              <w:top w:w="15" w:type="dxa"/>
              <w:left w:w="15" w:type="dxa"/>
              <w:bottom w:w="0" w:type="dxa"/>
              <w:right w:w="15" w:type="dxa"/>
            </w:tcMar>
            <w:vAlign w:val="center"/>
          </w:tcPr>
          <w:p w14:paraId="0A69035A">
            <w:pPr>
              <w:ind w:left="48" w:leftChars="20" w:right="62" w:rightChars="26"/>
              <w:rPr>
                <w:rFonts w:hint="eastAsia" w:ascii="宋体" w:hAnsi="宋体" w:eastAsia="宋体" w:cs="宋体"/>
                <w:color w:val="auto"/>
                <w:sz w:val="21"/>
                <w:szCs w:val="21"/>
              </w:rPr>
            </w:pPr>
            <w:r>
              <w:rPr>
                <w:rFonts w:hint="eastAsia" w:ascii="宋体" w:hAnsi="宋体" w:eastAsia="宋体" w:cs="宋体"/>
                <w:color w:val="auto"/>
                <w:sz w:val="21"/>
                <w:szCs w:val="21"/>
              </w:rPr>
              <w:t>直接经济损失1万以下火灾事故</w:t>
            </w:r>
          </w:p>
        </w:tc>
        <w:tc>
          <w:tcPr>
            <w:tcW w:w="4393" w:type="dxa"/>
            <w:tcMar>
              <w:top w:w="15" w:type="dxa"/>
              <w:left w:w="15" w:type="dxa"/>
              <w:bottom w:w="0" w:type="dxa"/>
              <w:right w:w="15" w:type="dxa"/>
            </w:tcMar>
            <w:vAlign w:val="center"/>
          </w:tcPr>
          <w:p w14:paraId="15A94F33">
            <w:pPr>
              <w:ind w:left="125" w:leftChars="52" w:right="144" w:rightChars="60"/>
              <w:rPr>
                <w:rFonts w:hint="eastAsia" w:ascii="宋体" w:hAnsi="宋体" w:eastAsia="宋体" w:cs="宋体"/>
                <w:color w:val="auto"/>
                <w:sz w:val="21"/>
                <w:szCs w:val="21"/>
              </w:rPr>
            </w:pPr>
            <w:r>
              <w:rPr>
                <w:rFonts w:hint="eastAsia" w:ascii="宋体" w:hAnsi="宋体" w:eastAsia="宋体" w:cs="宋体"/>
                <w:color w:val="auto"/>
                <w:sz w:val="21"/>
                <w:szCs w:val="21"/>
              </w:rPr>
              <w:t>每次扣款2000～5000元</w:t>
            </w:r>
          </w:p>
        </w:tc>
        <w:tc>
          <w:tcPr>
            <w:tcW w:w="1131" w:type="dxa"/>
            <w:vAlign w:val="top"/>
          </w:tcPr>
          <w:p w14:paraId="2FA0A5C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r>
      <w:tr w14:paraId="08F8F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B786E84">
            <w:pPr>
              <w:numPr>
                <w:ilvl w:val="0"/>
                <w:numId w:val="5"/>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A028D1F">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发生火险</w:t>
            </w:r>
          </w:p>
        </w:tc>
        <w:tc>
          <w:tcPr>
            <w:tcW w:w="4393" w:type="dxa"/>
            <w:tcMar>
              <w:top w:w="15" w:type="dxa"/>
              <w:left w:w="15" w:type="dxa"/>
              <w:bottom w:w="0" w:type="dxa"/>
              <w:right w:w="15" w:type="dxa"/>
            </w:tcMar>
            <w:vAlign w:val="center"/>
          </w:tcPr>
          <w:p w14:paraId="0B45B95C">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每次扣款500～1000元。</w:t>
            </w:r>
          </w:p>
        </w:tc>
        <w:tc>
          <w:tcPr>
            <w:tcW w:w="1131" w:type="dxa"/>
            <w:vAlign w:val="top"/>
          </w:tcPr>
          <w:p w14:paraId="3669E064">
            <w:pPr>
              <w:jc w:val="center"/>
              <w:rPr>
                <w:rFonts w:hint="eastAsia" w:ascii="宋体" w:hAnsi="宋体" w:eastAsia="宋体" w:cs="宋体"/>
                <w:sz w:val="21"/>
                <w:szCs w:val="21"/>
              </w:rPr>
            </w:pPr>
            <w:r>
              <w:rPr>
                <w:rFonts w:hint="eastAsia" w:ascii="宋体" w:hAnsi="宋体" w:eastAsia="宋体" w:cs="宋体"/>
                <w:sz w:val="21"/>
                <w:szCs w:val="21"/>
              </w:rPr>
              <w:t>－3</w:t>
            </w:r>
          </w:p>
        </w:tc>
      </w:tr>
      <w:tr w14:paraId="755E25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6E523EEF">
            <w:pPr>
              <w:ind w:left="125" w:leftChars="52" w:right="144" w:rightChars="60" w:firstLine="105" w:firstLineChars="50"/>
              <w:rPr>
                <w:rFonts w:hint="eastAsia" w:ascii="宋体" w:hAnsi="宋体" w:eastAsia="宋体" w:cs="宋体"/>
                <w:sz w:val="21"/>
                <w:szCs w:val="21"/>
              </w:rPr>
            </w:pPr>
            <w:r>
              <w:rPr>
                <w:rFonts w:hint="eastAsia" w:ascii="宋体" w:hAnsi="宋体" w:eastAsia="宋体" w:cs="宋体"/>
                <w:sz w:val="21"/>
                <w:szCs w:val="21"/>
              </w:rPr>
              <w:t>3、违章事件</w:t>
            </w:r>
          </w:p>
        </w:tc>
        <w:tc>
          <w:tcPr>
            <w:tcW w:w="1131" w:type="dxa"/>
            <w:vAlign w:val="top"/>
          </w:tcPr>
          <w:p w14:paraId="1A200FC3">
            <w:pPr>
              <w:ind w:firstLine="105" w:firstLineChars="50"/>
              <w:jc w:val="center"/>
              <w:rPr>
                <w:rFonts w:hint="eastAsia" w:ascii="宋体" w:hAnsi="宋体" w:eastAsia="宋体" w:cs="宋体"/>
                <w:sz w:val="21"/>
                <w:szCs w:val="21"/>
              </w:rPr>
            </w:pPr>
          </w:p>
        </w:tc>
      </w:tr>
      <w:tr w14:paraId="5A0A9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4FBA824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3.1、职业健康安全</w:t>
            </w:r>
          </w:p>
        </w:tc>
        <w:tc>
          <w:tcPr>
            <w:tcW w:w="1131" w:type="dxa"/>
            <w:vAlign w:val="top"/>
          </w:tcPr>
          <w:p w14:paraId="160BEC7F">
            <w:pPr>
              <w:jc w:val="center"/>
              <w:rPr>
                <w:rFonts w:hint="eastAsia" w:ascii="宋体" w:hAnsi="宋体" w:eastAsia="宋体" w:cs="宋体"/>
                <w:sz w:val="21"/>
                <w:szCs w:val="21"/>
              </w:rPr>
            </w:pPr>
          </w:p>
        </w:tc>
      </w:tr>
      <w:tr w14:paraId="156EBD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F03FE0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97AE77E">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进入生产现场不戴安全帽或不系帽带。</w:t>
            </w:r>
          </w:p>
        </w:tc>
        <w:tc>
          <w:tcPr>
            <w:tcW w:w="4393" w:type="dxa"/>
            <w:tcMar>
              <w:top w:w="15" w:type="dxa"/>
              <w:left w:w="15" w:type="dxa"/>
              <w:bottom w:w="0" w:type="dxa"/>
              <w:right w:w="15" w:type="dxa"/>
            </w:tcMar>
            <w:vAlign w:val="center"/>
          </w:tcPr>
          <w:p w14:paraId="23D92063">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每人次扣款100元。</w:t>
            </w:r>
          </w:p>
        </w:tc>
        <w:tc>
          <w:tcPr>
            <w:tcW w:w="1131" w:type="dxa"/>
            <w:vAlign w:val="top"/>
          </w:tcPr>
          <w:p w14:paraId="77CF522C">
            <w:pPr>
              <w:jc w:val="center"/>
              <w:rPr>
                <w:rFonts w:hint="eastAsia" w:ascii="宋体" w:hAnsi="宋体" w:eastAsia="宋体" w:cs="宋体"/>
                <w:sz w:val="21"/>
                <w:szCs w:val="21"/>
              </w:rPr>
            </w:pPr>
            <w:r>
              <w:rPr>
                <w:rFonts w:hint="eastAsia" w:ascii="宋体" w:hAnsi="宋体" w:eastAsia="宋体" w:cs="宋体"/>
                <w:sz w:val="21"/>
                <w:szCs w:val="21"/>
              </w:rPr>
              <w:t>－2</w:t>
            </w:r>
          </w:p>
        </w:tc>
      </w:tr>
      <w:tr w14:paraId="7FEE3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C13DEA8">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E670B3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作业时未按规定着装。</w:t>
            </w:r>
          </w:p>
        </w:tc>
        <w:tc>
          <w:tcPr>
            <w:tcW w:w="4393" w:type="dxa"/>
            <w:tcMar>
              <w:top w:w="15" w:type="dxa"/>
              <w:left w:w="15" w:type="dxa"/>
              <w:bottom w:w="0" w:type="dxa"/>
              <w:right w:w="15" w:type="dxa"/>
            </w:tcMar>
            <w:vAlign w:val="center"/>
          </w:tcPr>
          <w:p w14:paraId="2FBE73EA">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每人次扣款50～150元。</w:t>
            </w:r>
          </w:p>
        </w:tc>
        <w:tc>
          <w:tcPr>
            <w:tcW w:w="1131" w:type="dxa"/>
            <w:vAlign w:val="top"/>
          </w:tcPr>
          <w:p w14:paraId="300A3B40">
            <w:pPr>
              <w:jc w:val="center"/>
              <w:rPr>
                <w:rFonts w:hint="eastAsia" w:ascii="宋体" w:hAnsi="宋体" w:eastAsia="宋体" w:cs="宋体"/>
                <w:sz w:val="21"/>
                <w:szCs w:val="21"/>
              </w:rPr>
            </w:pPr>
            <w:r>
              <w:rPr>
                <w:rFonts w:hint="eastAsia" w:ascii="宋体" w:hAnsi="宋体" w:eastAsia="宋体" w:cs="宋体"/>
                <w:sz w:val="21"/>
                <w:szCs w:val="21"/>
              </w:rPr>
              <w:t>-1～－3</w:t>
            </w:r>
          </w:p>
        </w:tc>
      </w:tr>
      <w:tr w14:paraId="19414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905A13A">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9757778">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安全带不按规定使用。</w:t>
            </w:r>
          </w:p>
        </w:tc>
        <w:tc>
          <w:tcPr>
            <w:tcW w:w="4393" w:type="dxa"/>
            <w:tcMar>
              <w:top w:w="15" w:type="dxa"/>
              <w:left w:w="15" w:type="dxa"/>
              <w:bottom w:w="0" w:type="dxa"/>
              <w:right w:w="15" w:type="dxa"/>
            </w:tcMar>
            <w:vAlign w:val="center"/>
          </w:tcPr>
          <w:p w14:paraId="6D995314">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每次扣款50～150元。</w:t>
            </w:r>
          </w:p>
        </w:tc>
        <w:tc>
          <w:tcPr>
            <w:tcW w:w="1131" w:type="dxa"/>
            <w:vAlign w:val="top"/>
          </w:tcPr>
          <w:p w14:paraId="4ED9D8A7">
            <w:pPr>
              <w:jc w:val="center"/>
              <w:rPr>
                <w:rFonts w:hint="eastAsia" w:ascii="宋体" w:hAnsi="宋体" w:eastAsia="宋体" w:cs="宋体"/>
                <w:sz w:val="21"/>
                <w:szCs w:val="21"/>
              </w:rPr>
            </w:pPr>
            <w:r>
              <w:rPr>
                <w:rFonts w:hint="eastAsia" w:ascii="宋体" w:hAnsi="宋体" w:eastAsia="宋体" w:cs="宋体"/>
                <w:sz w:val="21"/>
                <w:szCs w:val="21"/>
              </w:rPr>
              <w:t>-1～－3</w:t>
            </w:r>
          </w:p>
        </w:tc>
      </w:tr>
      <w:tr w14:paraId="1482F6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EA511CB">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F1AFE5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在生产区域内吸烟（指定的吸烟点、室除外）。</w:t>
            </w:r>
          </w:p>
        </w:tc>
        <w:tc>
          <w:tcPr>
            <w:tcW w:w="4393" w:type="dxa"/>
            <w:tcMar>
              <w:top w:w="15" w:type="dxa"/>
              <w:left w:w="15" w:type="dxa"/>
              <w:bottom w:w="0" w:type="dxa"/>
              <w:right w:w="15" w:type="dxa"/>
            </w:tcMar>
            <w:vAlign w:val="center"/>
          </w:tcPr>
          <w:p w14:paraId="2BBCAF9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每个烟头扣款100元。</w:t>
            </w:r>
          </w:p>
        </w:tc>
        <w:tc>
          <w:tcPr>
            <w:tcW w:w="1131" w:type="dxa"/>
            <w:vAlign w:val="top"/>
          </w:tcPr>
          <w:p w14:paraId="67719D92">
            <w:pPr>
              <w:rPr>
                <w:rFonts w:hint="eastAsia" w:ascii="宋体" w:hAnsi="宋体" w:eastAsia="宋体" w:cs="宋体"/>
                <w:sz w:val="21"/>
                <w:szCs w:val="21"/>
              </w:rPr>
            </w:pPr>
            <w:r>
              <w:rPr>
                <w:rFonts w:hint="eastAsia" w:ascii="宋体" w:hAnsi="宋体" w:eastAsia="宋体" w:cs="宋体"/>
                <w:sz w:val="21"/>
                <w:szCs w:val="21"/>
              </w:rPr>
              <w:t xml:space="preserve">     －2</w:t>
            </w:r>
          </w:p>
        </w:tc>
      </w:tr>
      <w:tr w14:paraId="0D565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FB616C1">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936A8A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工作票不合格或违反工作票管理程序。</w:t>
            </w:r>
          </w:p>
        </w:tc>
        <w:tc>
          <w:tcPr>
            <w:tcW w:w="4393" w:type="dxa"/>
            <w:tcMar>
              <w:top w:w="15" w:type="dxa"/>
              <w:left w:w="15" w:type="dxa"/>
              <w:bottom w:w="0" w:type="dxa"/>
              <w:right w:w="15" w:type="dxa"/>
            </w:tcMar>
            <w:vAlign w:val="center"/>
          </w:tcPr>
          <w:p w14:paraId="59FCEC3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每次扣款100元。</w:t>
            </w:r>
          </w:p>
        </w:tc>
        <w:tc>
          <w:tcPr>
            <w:tcW w:w="1131" w:type="dxa"/>
            <w:vAlign w:val="top"/>
          </w:tcPr>
          <w:p w14:paraId="7E0197F5">
            <w:pPr>
              <w:jc w:val="center"/>
              <w:rPr>
                <w:rFonts w:hint="eastAsia" w:ascii="宋体" w:hAnsi="宋体" w:eastAsia="宋体" w:cs="宋体"/>
                <w:sz w:val="21"/>
                <w:szCs w:val="21"/>
              </w:rPr>
            </w:pPr>
            <w:r>
              <w:rPr>
                <w:rFonts w:hint="eastAsia" w:ascii="宋体" w:hAnsi="宋体" w:eastAsia="宋体" w:cs="宋体"/>
                <w:sz w:val="21"/>
                <w:szCs w:val="21"/>
              </w:rPr>
              <w:t>－2</w:t>
            </w:r>
          </w:p>
        </w:tc>
      </w:tr>
      <w:tr w14:paraId="63B93D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763148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63FBCC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作业中安全措施不到位，或工作结束未及时封堵孔洞、盖好沟道盖板。</w:t>
            </w:r>
          </w:p>
        </w:tc>
        <w:tc>
          <w:tcPr>
            <w:tcW w:w="4393" w:type="dxa"/>
            <w:tcMar>
              <w:top w:w="15" w:type="dxa"/>
              <w:left w:w="15" w:type="dxa"/>
              <w:bottom w:w="0" w:type="dxa"/>
              <w:right w:w="15" w:type="dxa"/>
            </w:tcMar>
            <w:vAlign w:val="center"/>
          </w:tcPr>
          <w:p w14:paraId="2628939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每次扣款50～150元。</w:t>
            </w:r>
          </w:p>
        </w:tc>
        <w:tc>
          <w:tcPr>
            <w:tcW w:w="1131" w:type="dxa"/>
            <w:vAlign w:val="top"/>
          </w:tcPr>
          <w:p w14:paraId="4FE5F72C">
            <w:pPr>
              <w:jc w:val="center"/>
              <w:rPr>
                <w:rFonts w:hint="eastAsia" w:ascii="宋体" w:hAnsi="宋体" w:eastAsia="宋体" w:cs="宋体"/>
                <w:sz w:val="21"/>
                <w:szCs w:val="21"/>
              </w:rPr>
            </w:pPr>
            <w:r>
              <w:rPr>
                <w:rFonts w:hint="eastAsia" w:ascii="宋体" w:hAnsi="宋体" w:eastAsia="宋体" w:cs="宋体"/>
                <w:sz w:val="21"/>
                <w:szCs w:val="21"/>
              </w:rPr>
              <w:t>-1～－3</w:t>
            </w:r>
          </w:p>
        </w:tc>
      </w:tr>
      <w:tr w14:paraId="5ACC0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A4EB92C">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D50361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不按工种或作业要求佩带、使用安全用具。</w:t>
            </w:r>
          </w:p>
        </w:tc>
        <w:tc>
          <w:tcPr>
            <w:tcW w:w="4393" w:type="dxa"/>
            <w:tcMar>
              <w:top w:w="15" w:type="dxa"/>
              <w:left w:w="15" w:type="dxa"/>
              <w:bottom w:w="0" w:type="dxa"/>
              <w:right w:w="15" w:type="dxa"/>
            </w:tcMar>
            <w:vAlign w:val="center"/>
          </w:tcPr>
          <w:p w14:paraId="124F27B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w:t>
            </w:r>
            <w:r>
              <w:rPr>
                <w:rFonts w:hint="eastAsia" w:ascii="宋体" w:hAnsi="宋体" w:eastAsia="宋体" w:cs="宋体"/>
                <w:sz w:val="21"/>
                <w:szCs w:val="21"/>
              </w:rPr>
              <w:softHyphen/>
            </w:r>
            <w:r>
              <w:rPr>
                <w:rFonts w:hint="eastAsia" w:ascii="宋体" w:hAnsi="宋体" w:eastAsia="宋体" w:cs="宋体"/>
                <w:sz w:val="21"/>
                <w:szCs w:val="21"/>
              </w:rPr>
              <w:t>～150元。</w:t>
            </w:r>
          </w:p>
        </w:tc>
        <w:tc>
          <w:tcPr>
            <w:tcW w:w="1131" w:type="dxa"/>
            <w:vAlign w:val="top"/>
          </w:tcPr>
          <w:p w14:paraId="3B50E58C">
            <w:pPr>
              <w:jc w:val="center"/>
              <w:rPr>
                <w:rFonts w:hint="eastAsia" w:ascii="宋体" w:hAnsi="宋体" w:eastAsia="宋体" w:cs="宋体"/>
                <w:sz w:val="21"/>
                <w:szCs w:val="21"/>
              </w:rPr>
            </w:pPr>
            <w:r>
              <w:rPr>
                <w:rFonts w:hint="eastAsia" w:ascii="宋体" w:hAnsi="宋体" w:eastAsia="宋体" w:cs="宋体"/>
                <w:sz w:val="21"/>
                <w:szCs w:val="21"/>
              </w:rPr>
              <w:t>-1～－3</w:t>
            </w:r>
          </w:p>
        </w:tc>
      </w:tr>
      <w:tr w14:paraId="7AB45A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5ADD3CD">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35449D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使用中的防护用品不符合国家有关标准。</w:t>
            </w:r>
          </w:p>
        </w:tc>
        <w:tc>
          <w:tcPr>
            <w:tcW w:w="4393" w:type="dxa"/>
            <w:tcMar>
              <w:top w:w="15" w:type="dxa"/>
              <w:left w:w="15" w:type="dxa"/>
              <w:bottom w:w="0" w:type="dxa"/>
              <w:right w:w="15" w:type="dxa"/>
            </w:tcMar>
            <w:vAlign w:val="center"/>
          </w:tcPr>
          <w:p w14:paraId="2F1BF5F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每次扣款50～150元。</w:t>
            </w:r>
          </w:p>
        </w:tc>
        <w:tc>
          <w:tcPr>
            <w:tcW w:w="1131" w:type="dxa"/>
            <w:vAlign w:val="top"/>
          </w:tcPr>
          <w:p w14:paraId="736076D1">
            <w:pPr>
              <w:jc w:val="center"/>
              <w:rPr>
                <w:rFonts w:hint="eastAsia" w:ascii="宋体" w:hAnsi="宋体" w:eastAsia="宋体" w:cs="宋体"/>
                <w:sz w:val="21"/>
                <w:szCs w:val="21"/>
              </w:rPr>
            </w:pPr>
            <w:r>
              <w:rPr>
                <w:rFonts w:hint="eastAsia" w:ascii="宋体" w:hAnsi="宋体" w:eastAsia="宋体" w:cs="宋体"/>
                <w:sz w:val="21"/>
                <w:szCs w:val="21"/>
              </w:rPr>
              <w:t>-1～－3</w:t>
            </w:r>
          </w:p>
        </w:tc>
      </w:tr>
      <w:tr w14:paraId="5A5950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0990CAC">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528CB8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未经入场教育即参与施工作业。</w:t>
            </w:r>
          </w:p>
        </w:tc>
        <w:tc>
          <w:tcPr>
            <w:tcW w:w="4393" w:type="dxa"/>
            <w:tcMar>
              <w:top w:w="15" w:type="dxa"/>
              <w:left w:w="15" w:type="dxa"/>
              <w:bottom w:w="0" w:type="dxa"/>
              <w:right w:w="15" w:type="dxa"/>
            </w:tcMar>
            <w:vAlign w:val="center"/>
          </w:tcPr>
          <w:p w14:paraId="1981670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每人次扣款100～300元。</w:t>
            </w:r>
          </w:p>
        </w:tc>
        <w:tc>
          <w:tcPr>
            <w:tcW w:w="1131" w:type="dxa"/>
            <w:vAlign w:val="top"/>
          </w:tcPr>
          <w:p w14:paraId="721801F4">
            <w:pPr>
              <w:jc w:val="center"/>
              <w:rPr>
                <w:rFonts w:hint="eastAsia" w:ascii="宋体" w:hAnsi="宋体" w:eastAsia="宋体" w:cs="宋体"/>
                <w:sz w:val="21"/>
                <w:szCs w:val="21"/>
              </w:rPr>
            </w:pPr>
            <w:r>
              <w:rPr>
                <w:rFonts w:hint="eastAsia" w:ascii="宋体" w:hAnsi="宋体" w:eastAsia="宋体" w:cs="宋体"/>
                <w:sz w:val="21"/>
                <w:szCs w:val="21"/>
              </w:rPr>
              <w:t>-2～－6</w:t>
            </w:r>
          </w:p>
        </w:tc>
      </w:tr>
      <w:tr w14:paraId="089ED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093444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738DD2C">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脚手架未验收、未签字或未挂验收牌即投入使用。</w:t>
            </w:r>
          </w:p>
        </w:tc>
        <w:tc>
          <w:tcPr>
            <w:tcW w:w="4393" w:type="dxa"/>
            <w:tcMar>
              <w:top w:w="15" w:type="dxa"/>
              <w:left w:w="15" w:type="dxa"/>
              <w:bottom w:w="0" w:type="dxa"/>
              <w:right w:w="15" w:type="dxa"/>
            </w:tcMar>
            <w:vAlign w:val="center"/>
          </w:tcPr>
          <w:p w14:paraId="09BB3AE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每人次扣款50～150元。</w:t>
            </w:r>
          </w:p>
        </w:tc>
        <w:tc>
          <w:tcPr>
            <w:tcW w:w="1131" w:type="dxa"/>
            <w:vAlign w:val="top"/>
          </w:tcPr>
          <w:p w14:paraId="1432854E">
            <w:pPr>
              <w:jc w:val="center"/>
              <w:rPr>
                <w:rFonts w:hint="eastAsia" w:ascii="宋体" w:hAnsi="宋体" w:eastAsia="宋体" w:cs="宋体"/>
                <w:sz w:val="21"/>
                <w:szCs w:val="21"/>
              </w:rPr>
            </w:pPr>
            <w:r>
              <w:rPr>
                <w:rFonts w:hint="eastAsia" w:ascii="宋体" w:hAnsi="宋体" w:eastAsia="宋体" w:cs="宋体"/>
                <w:sz w:val="21"/>
                <w:szCs w:val="21"/>
              </w:rPr>
              <w:t>-1～－3</w:t>
            </w:r>
          </w:p>
        </w:tc>
      </w:tr>
      <w:tr w14:paraId="5A4FC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A37ED16">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C625A95">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非火警擅自启用消防器材及设施。</w:t>
            </w:r>
          </w:p>
        </w:tc>
        <w:tc>
          <w:tcPr>
            <w:tcW w:w="4393" w:type="dxa"/>
            <w:tcMar>
              <w:top w:w="15" w:type="dxa"/>
              <w:left w:w="15" w:type="dxa"/>
              <w:bottom w:w="0" w:type="dxa"/>
              <w:right w:w="15" w:type="dxa"/>
            </w:tcMar>
            <w:vAlign w:val="center"/>
          </w:tcPr>
          <w:p w14:paraId="647211B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654CBB6E">
            <w:pPr>
              <w:jc w:val="center"/>
              <w:rPr>
                <w:rFonts w:hint="eastAsia" w:ascii="宋体" w:hAnsi="宋体" w:eastAsia="宋体" w:cs="宋体"/>
                <w:sz w:val="21"/>
                <w:szCs w:val="21"/>
              </w:rPr>
            </w:pPr>
            <w:r>
              <w:rPr>
                <w:rFonts w:hint="eastAsia" w:ascii="宋体" w:hAnsi="宋体" w:eastAsia="宋体" w:cs="宋体"/>
                <w:sz w:val="21"/>
                <w:szCs w:val="21"/>
              </w:rPr>
              <w:t>-2～－6</w:t>
            </w:r>
          </w:p>
        </w:tc>
      </w:tr>
      <w:tr w14:paraId="59D699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1EA0F0E">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4D9A428">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未经申请使用临时检修电源或乱拉乱接。</w:t>
            </w:r>
          </w:p>
        </w:tc>
        <w:tc>
          <w:tcPr>
            <w:tcW w:w="4393" w:type="dxa"/>
            <w:tcMar>
              <w:top w:w="15" w:type="dxa"/>
              <w:left w:w="15" w:type="dxa"/>
              <w:bottom w:w="0" w:type="dxa"/>
              <w:right w:w="15" w:type="dxa"/>
            </w:tcMar>
            <w:vAlign w:val="center"/>
          </w:tcPr>
          <w:p w14:paraId="475A4795">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4BD6B8EE">
            <w:pPr>
              <w:jc w:val="center"/>
              <w:rPr>
                <w:rFonts w:hint="eastAsia" w:ascii="宋体" w:hAnsi="宋体" w:eastAsia="宋体" w:cs="宋体"/>
                <w:sz w:val="21"/>
                <w:szCs w:val="21"/>
              </w:rPr>
            </w:pPr>
            <w:r>
              <w:rPr>
                <w:rFonts w:hint="eastAsia" w:ascii="宋体" w:hAnsi="宋体" w:eastAsia="宋体" w:cs="宋体"/>
                <w:sz w:val="21"/>
                <w:szCs w:val="21"/>
              </w:rPr>
              <w:t>-2～－6</w:t>
            </w:r>
          </w:p>
        </w:tc>
      </w:tr>
      <w:tr w14:paraId="3C12F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8853574">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DC80594">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不按规定使用安全电压电源。</w:t>
            </w:r>
          </w:p>
        </w:tc>
        <w:tc>
          <w:tcPr>
            <w:tcW w:w="4393" w:type="dxa"/>
            <w:tcMar>
              <w:top w:w="15" w:type="dxa"/>
              <w:left w:w="15" w:type="dxa"/>
              <w:bottom w:w="0" w:type="dxa"/>
              <w:right w:w="15" w:type="dxa"/>
            </w:tcMar>
            <w:vAlign w:val="center"/>
          </w:tcPr>
          <w:p w14:paraId="2D702A4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22A72AD7">
            <w:pPr>
              <w:jc w:val="center"/>
              <w:rPr>
                <w:rFonts w:hint="eastAsia" w:ascii="宋体" w:hAnsi="宋体" w:eastAsia="宋体" w:cs="宋体"/>
                <w:sz w:val="21"/>
                <w:szCs w:val="21"/>
              </w:rPr>
            </w:pPr>
            <w:r>
              <w:rPr>
                <w:rFonts w:hint="eastAsia" w:ascii="宋体" w:hAnsi="宋体" w:eastAsia="宋体" w:cs="宋体"/>
                <w:sz w:val="21"/>
                <w:szCs w:val="21"/>
              </w:rPr>
              <w:t>-2～－6</w:t>
            </w:r>
          </w:p>
        </w:tc>
      </w:tr>
      <w:tr w14:paraId="16EC7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9E5C57D">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A69AC8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在粉尘区域作业，没有采取防尘措施，或措施不全。</w:t>
            </w:r>
          </w:p>
        </w:tc>
        <w:tc>
          <w:tcPr>
            <w:tcW w:w="4393" w:type="dxa"/>
            <w:tcMar>
              <w:top w:w="15" w:type="dxa"/>
              <w:left w:w="15" w:type="dxa"/>
              <w:bottom w:w="0" w:type="dxa"/>
              <w:right w:w="15" w:type="dxa"/>
            </w:tcMar>
            <w:vAlign w:val="center"/>
          </w:tcPr>
          <w:p w14:paraId="2E85C6A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每次扣款100～300元。</w:t>
            </w:r>
          </w:p>
        </w:tc>
        <w:tc>
          <w:tcPr>
            <w:tcW w:w="1131" w:type="dxa"/>
            <w:vAlign w:val="top"/>
          </w:tcPr>
          <w:p w14:paraId="7119B946">
            <w:pPr>
              <w:jc w:val="center"/>
              <w:rPr>
                <w:rFonts w:hint="eastAsia" w:ascii="宋体" w:hAnsi="宋体" w:eastAsia="宋体" w:cs="宋体"/>
                <w:sz w:val="21"/>
                <w:szCs w:val="21"/>
              </w:rPr>
            </w:pPr>
            <w:r>
              <w:rPr>
                <w:rFonts w:hint="eastAsia" w:ascii="宋体" w:hAnsi="宋体" w:eastAsia="宋体" w:cs="宋体"/>
                <w:sz w:val="21"/>
                <w:szCs w:val="21"/>
              </w:rPr>
              <w:t>-2～－6</w:t>
            </w:r>
          </w:p>
        </w:tc>
      </w:tr>
      <w:tr w14:paraId="72AD32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2EAACD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282CE5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工作负责人（监护人）离开作业现场而未指定其他监护人。</w:t>
            </w:r>
          </w:p>
        </w:tc>
        <w:tc>
          <w:tcPr>
            <w:tcW w:w="4393" w:type="dxa"/>
            <w:tcMar>
              <w:top w:w="15" w:type="dxa"/>
              <w:left w:w="15" w:type="dxa"/>
              <w:bottom w:w="0" w:type="dxa"/>
              <w:right w:w="15" w:type="dxa"/>
            </w:tcMar>
            <w:vAlign w:val="center"/>
          </w:tcPr>
          <w:p w14:paraId="0F19E6AC">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每次扣款100～300元。</w:t>
            </w:r>
          </w:p>
        </w:tc>
        <w:tc>
          <w:tcPr>
            <w:tcW w:w="1131" w:type="dxa"/>
            <w:vAlign w:val="top"/>
          </w:tcPr>
          <w:p w14:paraId="1BA00AC6">
            <w:pPr>
              <w:jc w:val="center"/>
              <w:rPr>
                <w:rFonts w:hint="eastAsia" w:ascii="宋体" w:hAnsi="宋体" w:eastAsia="宋体" w:cs="宋体"/>
                <w:sz w:val="21"/>
                <w:szCs w:val="21"/>
              </w:rPr>
            </w:pPr>
            <w:r>
              <w:rPr>
                <w:rFonts w:hint="eastAsia" w:ascii="宋体" w:hAnsi="宋体" w:eastAsia="宋体" w:cs="宋体"/>
                <w:sz w:val="21"/>
                <w:szCs w:val="21"/>
              </w:rPr>
              <w:t>-2～－6</w:t>
            </w:r>
          </w:p>
        </w:tc>
      </w:tr>
      <w:tr w14:paraId="3340DF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7D2C29E">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98FDFAB">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使用不合格或未经检验合格工器具或不按规定使用。</w:t>
            </w:r>
          </w:p>
        </w:tc>
        <w:tc>
          <w:tcPr>
            <w:tcW w:w="4393" w:type="dxa"/>
            <w:tcMar>
              <w:top w:w="15" w:type="dxa"/>
              <w:left w:w="15" w:type="dxa"/>
              <w:bottom w:w="0" w:type="dxa"/>
              <w:right w:w="15" w:type="dxa"/>
            </w:tcMar>
            <w:vAlign w:val="center"/>
          </w:tcPr>
          <w:p w14:paraId="6848E466">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每人次扣款100～300元。</w:t>
            </w:r>
          </w:p>
        </w:tc>
        <w:tc>
          <w:tcPr>
            <w:tcW w:w="1131" w:type="dxa"/>
            <w:vAlign w:val="top"/>
          </w:tcPr>
          <w:p w14:paraId="5B49670C">
            <w:pPr>
              <w:jc w:val="center"/>
              <w:rPr>
                <w:rFonts w:hint="eastAsia" w:ascii="宋体" w:hAnsi="宋体" w:eastAsia="宋体" w:cs="宋体"/>
                <w:sz w:val="21"/>
                <w:szCs w:val="21"/>
              </w:rPr>
            </w:pPr>
            <w:r>
              <w:rPr>
                <w:rFonts w:hint="eastAsia" w:ascii="宋体" w:hAnsi="宋体" w:eastAsia="宋体" w:cs="宋体"/>
                <w:sz w:val="21"/>
                <w:szCs w:val="21"/>
              </w:rPr>
              <w:t>-2～－6</w:t>
            </w:r>
          </w:p>
        </w:tc>
      </w:tr>
      <w:tr w14:paraId="0FA66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EB27FCA">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34FAEC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高处作业随意抛掷工具、材料杂物、垃圾或造成施工现场污染。</w:t>
            </w:r>
          </w:p>
        </w:tc>
        <w:tc>
          <w:tcPr>
            <w:tcW w:w="4393" w:type="dxa"/>
            <w:tcMar>
              <w:top w:w="15" w:type="dxa"/>
              <w:left w:w="15" w:type="dxa"/>
              <w:bottom w:w="0" w:type="dxa"/>
              <w:right w:w="15" w:type="dxa"/>
            </w:tcMar>
            <w:vAlign w:val="center"/>
          </w:tcPr>
          <w:p w14:paraId="5757F64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每次扣款200～500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368FF3DC">
            <w:pPr>
              <w:jc w:val="center"/>
              <w:rPr>
                <w:rFonts w:hint="eastAsia" w:ascii="宋体" w:hAnsi="宋体" w:eastAsia="宋体" w:cs="宋体"/>
                <w:sz w:val="21"/>
                <w:szCs w:val="21"/>
              </w:rPr>
            </w:pPr>
            <w:r>
              <w:rPr>
                <w:rFonts w:hint="eastAsia" w:ascii="宋体" w:hAnsi="宋体" w:eastAsia="宋体" w:cs="宋体"/>
                <w:sz w:val="21"/>
                <w:szCs w:val="21"/>
              </w:rPr>
              <w:t>-4～－10</w:t>
            </w:r>
          </w:p>
        </w:tc>
      </w:tr>
      <w:tr w14:paraId="367A5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DDC28FA">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2C41A4C">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高处作业未使用安全带或使用不规范。</w:t>
            </w:r>
          </w:p>
        </w:tc>
        <w:tc>
          <w:tcPr>
            <w:tcW w:w="4393" w:type="dxa"/>
            <w:tcMar>
              <w:top w:w="15" w:type="dxa"/>
              <w:left w:w="15" w:type="dxa"/>
              <w:bottom w:w="0" w:type="dxa"/>
              <w:right w:w="15" w:type="dxa"/>
            </w:tcMar>
            <w:vAlign w:val="center"/>
          </w:tcPr>
          <w:p w14:paraId="15A0CC3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56297836">
            <w:pPr>
              <w:jc w:val="center"/>
              <w:rPr>
                <w:rFonts w:hint="eastAsia" w:ascii="宋体" w:hAnsi="宋体" w:eastAsia="宋体" w:cs="宋体"/>
                <w:sz w:val="21"/>
                <w:szCs w:val="21"/>
              </w:rPr>
            </w:pPr>
            <w:r>
              <w:rPr>
                <w:rFonts w:hint="eastAsia" w:ascii="宋体" w:hAnsi="宋体" w:eastAsia="宋体" w:cs="宋体"/>
                <w:sz w:val="21"/>
                <w:szCs w:val="21"/>
              </w:rPr>
              <w:t>-2～－6</w:t>
            </w:r>
          </w:p>
        </w:tc>
      </w:tr>
      <w:tr w14:paraId="3A333C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6E62B5B">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D678310">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无证人员（包括证件过期）从事特种作业。</w:t>
            </w:r>
          </w:p>
        </w:tc>
        <w:tc>
          <w:tcPr>
            <w:tcW w:w="4393" w:type="dxa"/>
            <w:tcMar>
              <w:top w:w="15" w:type="dxa"/>
              <w:left w:w="15" w:type="dxa"/>
              <w:bottom w:w="0" w:type="dxa"/>
              <w:right w:w="15" w:type="dxa"/>
            </w:tcMar>
            <w:vAlign w:val="center"/>
          </w:tcPr>
          <w:p w14:paraId="6102D7B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30D32ED1">
            <w:pPr>
              <w:jc w:val="center"/>
              <w:rPr>
                <w:rFonts w:hint="eastAsia" w:ascii="宋体" w:hAnsi="宋体" w:eastAsia="宋体" w:cs="宋体"/>
                <w:sz w:val="21"/>
                <w:szCs w:val="21"/>
              </w:rPr>
            </w:pPr>
            <w:r>
              <w:rPr>
                <w:rFonts w:hint="eastAsia" w:ascii="宋体" w:hAnsi="宋体" w:eastAsia="宋体" w:cs="宋体"/>
                <w:sz w:val="21"/>
                <w:szCs w:val="21"/>
              </w:rPr>
              <w:t>-2～－6</w:t>
            </w:r>
          </w:p>
        </w:tc>
      </w:tr>
      <w:tr w14:paraId="1A958D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24303D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DD19571">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在转动的机械、皮带上从事清除作业。</w:t>
            </w:r>
          </w:p>
        </w:tc>
        <w:tc>
          <w:tcPr>
            <w:tcW w:w="4393" w:type="dxa"/>
            <w:tcMar>
              <w:top w:w="15" w:type="dxa"/>
              <w:left w:w="15" w:type="dxa"/>
              <w:bottom w:w="0" w:type="dxa"/>
              <w:right w:w="15" w:type="dxa"/>
            </w:tcMar>
            <w:vAlign w:val="center"/>
          </w:tcPr>
          <w:p w14:paraId="78BE1BF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每人次扣款100～300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768C2D2C">
            <w:pPr>
              <w:jc w:val="center"/>
              <w:rPr>
                <w:rFonts w:hint="eastAsia" w:ascii="宋体" w:hAnsi="宋体" w:eastAsia="宋体" w:cs="宋体"/>
                <w:sz w:val="21"/>
                <w:szCs w:val="21"/>
              </w:rPr>
            </w:pPr>
            <w:r>
              <w:rPr>
                <w:rFonts w:hint="eastAsia" w:ascii="宋体" w:hAnsi="宋体" w:eastAsia="宋体" w:cs="宋体"/>
                <w:sz w:val="21"/>
                <w:szCs w:val="21"/>
              </w:rPr>
              <w:t>-2～－6</w:t>
            </w:r>
          </w:p>
        </w:tc>
      </w:tr>
      <w:tr w14:paraId="358A5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A5A30B9">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9CF43DD">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在禁止使用无线通讯设备场所使用无线通讯设备。</w:t>
            </w:r>
          </w:p>
        </w:tc>
        <w:tc>
          <w:tcPr>
            <w:tcW w:w="4393" w:type="dxa"/>
            <w:tcMar>
              <w:top w:w="15" w:type="dxa"/>
              <w:left w:w="15" w:type="dxa"/>
              <w:bottom w:w="0" w:type="dxa"/>
              <w:right w:w="15" w:type="dxa"/>
            </w:tcMar>
            <w:vAlign w:val="center"/>
          </w:tcPr>
          <w:p w14:paraId="0378109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1424ABF9">
            <w:pPr>
              <w:jc w:val="center"/>
              <w:rPr>
                <w:rFonts w:hint="eastAsia" w:ascii="宋体" w:hAnsi="宋体" w:eastAsia="宋体" w:cs="宋体"/>
                <w:sz w:val="21"/>
                <w:szCs w:val="21"/>
              </w:rPr>
            </w:pPr>
            <w:r>
              <w:rPr>
                <w:rFonts w:hint="eastAsia" w:ascii="宋体" w:hAnsi="宋体" w:eastAsia="宋体" w:cs="宋体"/>
                <w:sz w:val="21"/>
                <w:szCs w:val="21"/>
              </w:rPr>
              <w:t>-2～－6</w:t>
            </w:r>
          </w:p>
        </w:tc>
      </w:tr>
      <w:tr w14:paraId="458987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94E2BBD">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A0FEB7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脚手架搭设不符合安全要求。</w:t>
            </w:r>
          </w:p>
        </w:tc>
        <w:tc>
          <w:tcPr>
            <w:tcW w:w="4393" w:type="dxa"/>
            <w:tcMar>
              <w:top w:w="15" w:type="dxa"/>
              <w:left w:w="15" w:type="dxa"/>
              <w:bottom w:w="0" w:type="dxa"/>
              <w:right w:w="15" w:type="dxa"/>
            </w:tcMar>
            <w:vAlign w:val="center"/>
          </w:tcPr>
          <w:p w14:paraId="1FD897C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3BEF7EFA">
            <w:pPr>
              <w:jc w:val="center"/>
              <w:rPr>
                <w:rFonts w:hint="eastAsia" w:ascii="宋体" w:hAnsi="宋体" w:eastAsia="宋体" w:cs="宋体"/>
                <w:sz w:val="21"/>
                <w:szCs w:val="21"/>
              </w:rPr>
            </w:pPr>
            <w:r>
              <w:rPr>
                <w:rFonts w:hint="eastAsia" w:ascii="宋体" w:hAnsi="宋体" w:eastAsia="宋体" w:cs="宋体"/>
                <w:sz w:val="21"/>
                <w:szCs w:val="21"/>
              </w:rPr>
              <w:t>-2～－6</w:t>
            </w:r>
          </w:p>
        </w:tc>
      </w:tr>
      <w:tr w14:paraId="26AD5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3AF2A9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E7D013F">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脚手架搭设、拆除未做好防护措施。</w:t>
            </w:r>
          </w:p>
        </w:tc>
        <w:tc>
          <w:tcPr>
            <w:tcW w:w="4393" w:type="dxa"/>
            <w:tcMar>
              <w:top w:w="15" w:type="dxa"/>
              <w:left w:w="15" w:type="dxa"/>
              <w:bottom w:w="0" w:type="dxa"/>
              <w:right w:w="15" w:type="dxa"/>
            </w:tcMar>
            <w:vAlign w:val="center"/>
          </w:tcPr>
          <w:p w14:paraId="4BAD3FDA">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每次扣款100～300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3B43C240">
            <w:pPr>
              <w:jc w:val="center"/>
              <w:rPr>
                <w:rFonts w:hint="eastAsia" w:ascii="宋体" w:hAnsi="宋体" w:eastAsia="宋体" w:cs="宋体"/>
                <w:sz w:val="21"/>
                <w:szCs w:val="21"/>
              </w:rPr>
            </w:pPr>
            <w:r>
              <w:rPr>
                <w:rFonts w:hint="eastAsia" w:ascii="宋体" w:hAnsi="宋体" w:eastAsia="宋体" w:cs="宋体"/>
                <w:sz w:val="21"/>
                <w:szCs w:val="21"/>
              </w:rPr>
              <w:t>-2～－6</w:t>
            </w:r>
          </w:p>
        </w:tc>
      </w:tr>
      <w:tr w14:paraId="0550E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F3658BF">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1EE310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施工中乱堆放物件，阻碍通道和人员正常通行。</w:t>
            </w:r>
          </w:p>
        </w:tc>
        <w:tc>
          <w:tcPr>
            <w:tcW w:w="4393" w:type="dxa"/>
            <w:tcMar>
              <w:top w:w="15" w:type="dxa"/>
              <w:left w:w="15" w:type="dxa"/>
              <w:bottom w:w="0" w:type="dxa"/>
              <w:right w:w="15" w:type="dxa"/>
            </w:tcMar>
            <w:vAlign w:val="center"/>
          </w:tcPr>
          <w:p w14:paraId="3AD8E689">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每处扣款100～300元。</w:t>
            </w:r>
          </w:p>
        </w:tc>
        <w:tc>
          <w:tcPr>
            <w:tcW w:w="1131" w:type="dxa"/>
            <w:vAlign w:val="top"/>
          </w:tcPr>
          <w:p w14:paraId="54BDD047">
            <w:pPr>
              <w:jc w:val="center"/>
              <w:rPr>
                <w:rFonts w:hint="eastAsia" w:ascii="宋体" w:hAnsi="宋体" w:eastAsia="宋体" w:cs="宋体"/>
                <w:sz w:val="21"/>
                <w:szCs w:val="21"/>
              </w:rPr>
            </w:pPr>
            <w:r>
              <w:rPr>
                <w:rFonts w:hint="eastAsia" w:ascii="宋体" w:hAnsi="宋体" w:eastAsia="宋体" w:cs="宋体"/>
                <w:sz w:val="21"/>
                <w:szCs w:val="21"/>
              </w:rPr>
              <w:t>-2～－6</w:t>
            </w:r>
          </w:p>
        </w:tc>
      </w:tr>
      <w:tr w14:paraId="799713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6B4284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4F8FB2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不执行安全确认制度。</w:t>
            </w:r>
          </w:p>
        </w:tc>
        <w:tc>
          <w:tcPr>
            <w:tcW w:w="4393" w:type="dxa"/>
            <w:tcMar>
              <w:top w:w="15" w:type="dxa"/>
              <w:left w:w="15" w:type="dxa"/>
              <w:bottom w:w="0" w:type="dxa"/>
              <w:right w:w="15" w:type="dxa"/>
            </w:tcMar>
            <w:vAlign w:val="center"/>
          </w:tcPr>
          <w:p w14:paraId="5AEDA30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每次扣款200元。</w:t>
            </w:r>
          </w:p>
        </w:tc>
        <w:tc>
          <w:tcPr>
            <w:tcW w:w="1131" w:type="dxa"/>
            <w:vAlign w:val="top"/>
          </w:tcPr>
          <w:p w14:paraId="46E7B9A2">
            <w:pPr>
              <w:jc w:val="center"/>
              <w:rPr>
                <w:rFonts w:hint="eastAsia" w:ascii="宋体" w:hAnsi="宋体" w:eastAsia="宋体" w:cs="宋体"/>
                <w:sz w:val="21"/>
                <w:szCs w:val="21"/>
              </w:rPr>
            </w:pPr>
            <w:r>
              <w:rPr>
                <w:rFonts w:hint="eastAsia" w:ascii="宋体" w:hAnsi="宋体" w:eastAsia="宋体" w:cs="宋体"/>
                <w:sz w:val="21"/>
                <w:szCs w:val="21"/>
              </w:rPr>
              <w:t>－4</w:t>
            </w:r>
          </w:p>
        </w:tc>
      </w:tr>
      <w:tr w14:paraId="3009B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DE0A2D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9F0E88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违反动火作业管理规定。</w:t>
            </w:r>
          </w:p>
        </w:tc>
        <w:tc>
          <w:tcPr>
            <w:tcW w:w="4393" w:type="dxa"/>
            <w:tcMar>
              <w:top w:w="15" w:type="dxa"/>
              <w:left w:w="15" w:type="dxa"/>
              <w:bottom w:w="0" w:type="dxa"/>
              <w:right w:w="15" w:type="dxa"/>
            </w:tcMar>
            <w:vAlign w:val="center"/>
          </w:tcPr>
          <w:p w14:paraId="4629CA1B">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每次扣款200元～600元。</w:t>
            </w:r>
          </w:p>
        </w:tc>
        <w:tc>
          <w:tcPr>
            <w:tcW w:w="1131" w:type="dxa"/>
            <w:vAlign w:val="top"/>
          </w:tcPr>
          <w:p w14:paraId="5818AF11">
            <w:pPr>
              <w:jc w:val="center"/>
              <w:rPr>
                <w:rFonts w:hint="eastAsia" w:ascii="宋体" w:hAnsi="宋体" w:eastAsia="宋体" w:cs="宋体"/>
                <w:sz w:val="21"/>
                <w:szCs w:val="21"/>
              </w:rPr>
            </w:pPr>
            <w:r>
              <w:rPr>
                <w:rFonts w:hint="eastAsia" w:ascii="宋体" w:hAnsi="宋体" w:eastAsia="宋体" w:cs="宋体"/>
                <w:sz w:val="21"/>
                <w:szCs w:val="21"/>
              </w:rPr>
              <w:t>-4～－10</w:t>
            </w:r>
          </w:p>
        </w:tc>
      </w:tr>
      <w:tr w14:paraId="0DF05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FBBADC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BC5CBC5">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气瓶使用不符合安规及管理制度要求。</w:t>
            </w:r>
          </w:p>
        </w:tc>
        <w:tc>
          <w:tcPr>
            <w:tcW w:w="4393" w:type="dxa"/>
            <w:tcMar>
              <w:top w:w="15" w:type="dxa"/>
              <w:left w:w="15" w:type="dxa"/>
              <w:bottom w:w="0" w:type="dxa"/>
              <w:right w:w="15" w:type="dxa"/>
            </w:tcMar>
            <w:vAlign w:val="center"/>
          </w:tcPr>
          <w:p w14:paraId="08EDE8F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每次扣款200元。</w:t>
            </w:r>
          </w:p>
        </w:tc>
        <w:tc>
          <w:tcPr>
            <w:tcW w:w="1131" w:type="dxa"/>
            <w:vAlign w:val="top"/>
          </w:tcPr>
          <w:p w14:paraId="10C164AC">
            <w:pPr>
              <w:jc w:val="center"/>
              <w:rPr>
                <w:rFonts w:hint="eastAsia" w:ascii="宋体" w:hAnsi="宋体" w:eastAsia="宋体" w:cs="宋体"/>
                <w:sz w:val="21"/>
                <w:szCs w:val="21"/>
              </w:rPr>
            </w:pPr>
            <w:r>
              <w:rPr>
                <w:rFonts w:hint="eastAsia" w:ascii="宋体" w:hAnsi="宋体" w:eastAsia="宋体" w:cs="宋体"/>
                <w:sz w:val="21"/>
                <w:szCs w:val="21"/>
              </w:rPr>
              <w:t>－4</w:t>
            </w:r>
          </w:p>
        </w:tc>
      </w:tr>
      <w:tr w14:paraId="679501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55487A2">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BE89B8E">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违反规定进行电焊作业。</w:t>
            </w:r>
          </w:p>
        </w:tc>
        <w:tc>
          <w:tcPr>
            <w:tcW w:w="4393" w:type="dxa"/>
            <w:tcMar>
              <w:top w:w="15" w:type="dxa"/>
              <w:left w:w="15" w:type="dxa"/>
              <w:bottom w:w="0" w:type="dxa"/>
              <w:right w:w="15" w:type="dxa"/>
            </w:tcMar>
            <w:vAlign w:val="center"/>
          </w:tcPr>
          <w:p w14:paraId="5BCFB1A4">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每次扣款100元。</w:t>
            </w:r>
          </w:p>
        </w:tc>
        <w:tc>
          <w:tcPr>
            <w:tcW w:w="1131" w:type="dxa"/>
            <w:vAlign w:val="top"/>
          </w:tcPr>
          <w:p w14:paraId="4C1475E6">
            <w:pPr>
              <w:jc w:val="center"/>
              <w:rPr>
                <w:rFonts w:hint="eastAsia" w:ascii="宋体" w:hAnsi="宋体" w:eastAsia="宋体" w:cs="宋体"/>
                <w:sz w:val="21"/>
                <w:szCs w:val="21"/>
              </w:rPr>
            </w:pPr>
            <w:r>
              <w:rPr>
                <w:rFonts w:hint="eastAsia" w:ascii="宋体" w:hAnsi="宋体" w:eastAsia="宋体" w:cs="宋体"/>
                <w:sz w:val="21"/>
                <w:szCs w:val="21"/>
              </w:rPr>
              <w:t>－2</w:t>
            </w:r>
          </w:p>
        </w:tc>
      </w:tr>
      <w:tr w14:paraId="3F169D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A09D283">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BD7045D">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违反起重安全管理规定。</w:t>
            </w:r>
          </w:p>
        </w:tc>
        <w:tc>
          <w:tcPr>
            <w:tcW w:w="4393" w:type="dxa"/>
            <w:tcMar>
              <w:top w:w="15" w:type="dxa"/>
              <w:left w:w="15" w:type="dxa"/>
              <w:bottom w:w="0" w:type="dxa"/>
              <w:right w:w="15" w:type="dxa"/>
            </w:tcMar>
            <w:vAlign w:val="center"/>
          </w:tcPr>
          <w:p w14:paraId="4EBF07C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每次扣款500元。</w:t>
            </w:r>
          </w:p>
        </w:tc>
        <w:tc>
          <w:tcPr>
            <w:tcW w:w="1131" w:type="dxa"/>
            <w:vAlign w:val="top"/>
          </w:tcPr>
          <w:p w14:paraId="6A445496">
            <w:pPr>
              <w:jc w:val="center"/>
              <w:rPr>
                <w:rFonts w:hint="eastAsia" w:ascii="宋体" w:hAnsi="宋体" w:eastAsia="宋体" w:cs="宋体"/>
                <w:sz w:val="21"/>
                <w:szCs w:val="21"/>
              </w:rPr>
            </w:pPr>
            <w:r>
              <w:rPr>
                <w:rFonts w:hint="eastAsia" w:ascii="宋体" w:hAnsi="宋体" w:eastAsia="宋体" w:cs="宋体"/>
                <w:sz w:val="21"/>
                <w:szCs w:val="21"/>
              </w:rPr>
              <w:t>－10</w:t>
            </w:r>
          </w:p>
        </w:tc>
      </w:tr>
      <w:tr w14:paraId="0D86ED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074AFA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EA4EC81">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未签订《承发包工程安健环及文明施工协议》，擅自开始检修作业。</w:t>
            </w:r>
          </w:p>
        </w:tc>
        <w:tc>
          <w:tcPr>
            <w:tcW w:w="4393" w:type="dxa"/>
            <w:tcMar>
              <w:top w:w="15" w:type="dxa"/>
              <w:left w:w="15" w:type="dxa"/>
              <w:bottom w:w="0" w:type="dxa"/>
              <w:right w:w="15" w:type="dxa"/>
            </w:tcMar>
            <w:vAlign w:val="center"/>
          </w:tcPr>
          <w:p w14:paraId="0567A59A">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每次扣款1000元。</w:t>
            </w:r>
          </w:p>
        </w:tc>
        <w:tc>
          <w:tcPr>
            <w:tcW w:w="1131" w:type="dxa"/>
            <w:vAlign w:val="top"/>
          </w:tcPr>
          <w:p w14:paraId="24FD650D">
            <w:pPr>
              <w:jc w:val="center"/>
              <w:rPr>
                <w:rFonts w:hint="eastAsia" w:ascii="宋体" w:hAnsi="宋体" w:eastAsia="宋体" w:cs="宋体"/>
                <w:sz w:val="21"/>
                <w:szCs w:val="21"/>
              </w:rPr>
            </w:pPr>
            <w:r>
              <w:rPr>
                <w:rFonts w:hint="eastAsia" w:ascii="宋体" w:hAnsi="宋体" w:eastAsia="宋体" w:cs="宋体"/>
                <w:sz w:val="21"/>
                <w:szCs w:val="21"/>
              </w:rPr>
              <w:t>－10</w:t>
            </w:r>
          </w:p>
        </w:tc>
      </w:tr>
      <w:tr w14:paraId="138BBF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4205C8F">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A42669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不按规定进行安全监护。</w:t>
            </w:r>
          </w:p>
        </w:tc>
        <w:tc>
          <w:tcPr>
            <w:tcW w:w="4393" w:type="dxa"/>
            <w:tcMar>
              <w:top w:w="15" w:type="dxa"/>
              <w:left w:w="15" w:type="dxa"/>
              <w:bottom w:w="0" w:type="dxa"/>
              <w:right w:w="15" w:type="dxa"/>
            </w:tcMar>
            <w:vAlign w:val="center"/>
          </w:tcPr>
          <w:p w14:paraId="35D3ECC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每次扣款100元。</w:t>
            </w:r>
          </w:p>
        </w:tc>
        <w:tc>
          <w:tcPr>
            <w:tcW w:w="1131" w:type="dxa"/>
            <w:vAlign w:val="top"/>
          </w:tcPr>
          <w:p w14:paraId="2D822DFB">
            <w:pPr>
              <w:jc w:val="center"/>
              <w:rPr>
                <w:rFonts w:hint="eastAsia" w:ascii="宋体" w:hAnsi="宋体" w:eastAsia="宋体" w:cs="宋体"/>
                <w:sz w:val="21"/>
                <w:szCs w:val="21"/>
              </w:rPr>
            </w:pPr>
            <w:r>
              <w:rPr>
                <w:rFonts w:hint="eastAsia" w:ascii="宋体" w:hAnsi="宋体" w:eastAsia="宋体" w:cs="宋体"/>
                <w:sz w:val="21"/>
                <w:szCs w:val="21"/>
              </w:rPr>
              <w:t>－2</w:t>
            </w:r>
          </w:p>
        </w:tc>
      </w:tr>
      <w:tr w14:paraId="65FEDB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2EC5BD7">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5776CF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有限空间作业不符合安全管理要求。</w:t>
            </w:r>
          </w:p>
        </w:tc>
        <w:tc>
          <w:tcPr>
            <w:tcW w:w="4393" w:type="dxa"/>
            <w:tcMar>
              <w:top w:w="15" w:type="dxa"/>
              <w:left w:w="15" w:type="dxa"/>
              <w:bottom w:w="0" w:type="dxa"/>
              <w:right w:w="15" w:type="dxa"/>
            </w:tcMar>
            <w:vAlign w:val="center"/>
          </w:tcPr>
          <w:p w14:paraId="46F8ABD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每次扣款500元。</w:t>
            </w:r>
          </w:p>
        </w:tc>
        <w:tc>
          <w:tcPr>
            <w:tcW w:w="1131" w:type="dxa"/>
            <w:vAlign w:val="top"/>
          </w:tcPr>
          <w:p w14:paraId="1A40932D">
            <w:pPr>
              <w:jc w:val="center"/>
              <w:rPr>
                <w:rFonts w:hint="eastAsia" w:ascii="宋体" w:hAnsi="宋体" w:eastAsia="宋体" w:cs="宋体"/>
                <w:sz w:val="21"/>
                <w:szCs w:val="21"/>
              </w:rPr>
            </w:pPr>
            <w:r>
              <w:rPr>
                <w:rFonts w:hint="eastAsia" w:ascii="宋体" w:hAnsi="宋体" w:eastAsia="宋体" w:cs="宋体"/>
                <w:sz w:val="21"/>
                <w:szCs w:val="21"/>
              </w:rPr>
              <w:t>－10</w:t>
            </w:r>
          </w:p>
        </w:tc>
      </w:tr>
      <w:tr w14:paraId="2DBFD7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1B730E4">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D6882EF">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酒后作业。</w:t>
            </w:r>
          </w:p>
        </w:tc>
        <w:tc>
          <w:tcPr>
            <w:tcW w:w="4393" w:type="dxa"/>
            <w:tcMar>
              <w:top w:w="15" w:type="dxa"/>
              <w:left w:w="15" w:type="dxa"/>
              <w:bottom w:w="0" w:type="dxa"/>
              <w:right w:w="15" w:type="dxa"/>
            </w:tcMar>
            <w:vAlign w:val="center"/>
          </w:tcPr>
          <w:p w14:paraId="69CE13FA">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每次扣款500元。</w:t>
            </w:r>
          </w:p>
        </w:tc>
        <w:tc>
          <w:tcPr>
            <w:tcW w:w="1131" w:type="dxa"/>
            <w:vAlign w:val="top"/>
          </w:tcPr>
          <w:p w14:paraId="2374218B">
            <w:pPr>
              <w:jc w:val="center"/>
              <w:rPr>
                <w:rFonts w:hint="eastAsia" w:ascii="宋体" w:hAnsi="宋体" w:eastAsia="宋体" w:cs="宋体"/>
                <w:sz w:val="21"/>
                <w:szCs w:val="21"/>
              </w:rPr>
            </w:pPr>
            <w:r>
              <w:rPr>
                <w:rFonts w:hint="eastAsia" w:ascii="宋体" w:hAnsi="宋体" w:eastAsia="宋体" w:cs="宋体"/>
                <w:sz w:val="21"/>
                <w:szCs w:val="21"/>
              </w:rPr>
              <w:t>－10</w:t>
            </w:r>
          </w:p>
        </w:tc>
      </w:tr>
      <w:tr w14:paraId="26686A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85434CD">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1EE2D2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 xml:space="preserve">未办妥开工手续即擅自开工。 </w:t>
            </w:r>
          </w:p>
        </w:tc>
        <w:tc>
          <w:tcPr>
            <w:tcW w:w="4393" w:type="dxa"/>
            <w:tcMar>
              <w:top w:w="15" w:type="dxa"/>
              <w:left w:w="15" w:type="dxa"/>
              <w:bottom w:w="0" w:type="dxa"/>
              <w:right w:w="15" w:type="dxa"/>
            </w:tcMar>
            <w:vAlign w:val="center"/>
          </w:tcPr>
          <w:p w14:paraId="17DC391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每次扣款1500元。</w:t>
            </w:r>
          </w:p>
        </w:tc>
        <w:tc>
          <w:tcPr>
            <w:tcW w:w="1131" w:type="dxa"/>
            <w:vAlign w:val="top"/>
          </w:tcPr>
          <w:p w14:paraId="034B83EA">
            <w:pPr>
              <w:jc w:val="center"/>
              <w:rPr>
                <w:rFonts w:hint="eastAsia" w:ascii="宋体" w:hAnsi="宋体" w:eastAsia="宋体" w:cs="宋体"/>
                <w:sz w:val="21"/>
                <w:szCs w:val="21"/>
              </w:rPr>
            </w:pPr>
            <w:r>
              <w:rPr>
                <w:rFonts w:hint="eastAsia" w:ascii="宋体" w:hAnsi="宋体" w:eastAsia="宋体" w:cs="宋体"/>
                <w:sz w:val="21"/>
                <w:szCs w:val="21"/>
              </w:rPr>
              <w:t>－10</w:t>
            </w:r>
          </w:p>
        </w:tc>
      </w:tr>
      <w:tr w14:paraId="6FB47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C0857D5">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2786144">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无工作票进行作业。</w:t>
            </w:r>
          </w:p>
        </w:tc>
        <w:tc>
          <w:tcPr>
            <w:tcW w:w="4393" w:type="dxa"/>
            <w:tcMar>
              <w:top w:w="15" w:type="dxa"/>
              <w:left w:w="15" w:type="dxa"/>
              <w:bottom w:w="0" w:type="dxa"/>
              <w:right w:w="15" w:type="dxa"/>
            </w:tcMar>
            <w:vAlign w:val="center"/>
          </w:tcPr>
          <w:p w14:paraId="25267D2E">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每次扣款300～600</w:t>
            </w:r>
            <w:r>
              <w:rPr>
                <w:rFonts w:hint="eastAsia" w:ascii="宋体" w:hAnsi="宋体" w:eastAsia="宋体" w:cs="宋体"/>
                <w:sz w:val="21"/>
                <w:szCs w:val="21"/>
              </w:rPr>
              <w:softHyphen/>
            </w:r>
            <w:r>
              <w:rPr>
                <w:rFonts w:hint="eastAsia" w:ascii="宋体" w:hAnsi="宋体" w:eastAsia="宋体" w:cs="宋体"/>
                <w:sz w:val="21"/>
                <w:szCs w:val="21"/>
              </w:rPr>
              <w:t>元。</w:t>
            </w:r>
          </w:p>
        </w:tc>
        <w:tc>
          <w:tcPr>
            <w:tcW w:w="1131" w:type="dxa"/>
            <w:vAlign w:val="top"/>
          </w:tcPr>
          <w:p w14:paraId="622604BC">
            <w:pPr>
              <w:jc w:val="center"/>
              <w:rPr>
                <w:rFonts w:hint="eastAsia" w:ascii="宋体" w:hAnsi="宋体" w:eastAsia="宋体" w:cs="宋体"/>
                <w:sz w:val="21"/>
                <w:szCs w:val="21"/>
              </w:rPr>
            </w:pPr>
            <w:r>
              <w:rPr>
                <w:rFonts w:hint="eastAsia" w:ascii="宋体" w:hAnsi="宋体" w:eastAsia="宋体" w:cs="宋体"/>
                <w:sz w:val="21"/>
                <w:szCs w:val="21"/>
              </w:rPr>
              <w:t>-6～－10</w:t>
            </w:r>
          </w:p>
        </w:tc>
      </w:tr>
      <w:tr w14:paraId="4C123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488F67F">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AA76DE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擅自拆除或改变安全设施，或擅自变更或拆除其他单位脚手架。</w:t>
            </w:r>
          </w:p>
        </w:tc>
        <w:tc>
          <w:tcPr>
            <w:tcW w:w="4393" w:type="dxa"/>
            <w:tcMar>
              <w:top w:w="15" w:type="dxa"/>
              <w:left w:w="15" w:type="dxa"/>
              <w:bottom w:w="0" w:type="dxa"/>
              <w:right w:w="15" w:type="dxa"/>
            </w:tcMar>
            <w:vAlign w:val="center"/>
          </w:tcPr>
          <w:p w14:paraId="62A0B6DB">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每次扣款300</w:t>
            </w:r>
            <w:r>
              <w:rPr>
                <w:rFonts w:hint="eastAsia" w:ascii="宋体" w:hAnsi="宋体" w:eastAsia="宋体" w:cs="宋体"/>
                <w:sz w:val="21"/>
                <w:szCs w:val="21"/>
              </w:rPr>
              <w:softHyphen/>
            </w:r>
            <w:r>
              <w:rPr>
                <w:rFonts w:hint="eastAsia" w:ascii="宋体" w:hAnsi="宋体" w:eastAsia="宋体" w:cs="宋体"/>
                <w:sz w:val="21"/>
                <w:szCs w:val="21"/>
              </w:rPr>
              <w:t>～600元。</w:t>
            </w:r>
          </w:p>
        </w:tc>
        <w:tc>
          <w:tcPr>
            <w:tcW w:w="1131" w:type="dxa"/>
            <w:vAlign w:val="top"/>
          </w:tcPr>
          <w:p w14:paraId="12DAE57D">
            <w:pPr>
              <w:jc w:val="center"/>
              <w:rPr>
                <w:rFonts w:hint="eastAsia" w:ascii="宋体" w:hAnsi="宋体" w:eastAsia="宋体" w:cs="宋体"/>
                <w:sz w:val="21"/>
                <w:szCs w:val="21"/>
              </w:rPr>
            </w:pPr>
            <w:r>
              <w:rPr>
                <w:rFonts w:hint="eastAsia" w:ascii="宋体" w:hAnsi="宋体" w:eastAsia="宋体" w:cs="宋体"/>
                <w:sz w:val="21"/>
                <w:szCs w:val="21"/>
              </w:rPr>
              <w:t>-6～－10</w:t>
            </w:r>
          </w:p>
        </w:tc>
      </w:tr>
      <w:tr w14:paraId="7BAEA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CD7A69D">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DCB0591">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擅自变更工作票上要求的安全措施。</w:t>
            </w:r>
          </w:p>
        </w:tc>
        <w:tc>
          <w:tcPr>
            <w:tcW w:w="4393" w:type="dxa"/>
            <w:tcMar>
              <w:top w:w="15" w:type="dxa"/>
              <w:left w:w="15" w:type="dxa"/>
              <w:bottom w:w="0" w:type="dxa"/>
              <w:right w:w="15" w:type="dxa"/>
            </w:tcMar>
            <w:vAlign w:val="center"/>
          </w:tcPr>
          <w:p w14:paraId="7C7C753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每次扣款300～600元。</w:t>
            </w:r>
          </w:p>
        </w:tc>
        <w:tc>
          <w:tcPr>
            <w:tcW w:w="1131" w:type="dxa"/>
            <w:vAlign w:val="top"/>
          </w:tcPr>
          <w:p w14:paraId="5D13100C">
            <w:pPr>
              <w:jc w:val="center"/>
              <w:rPr>
                <w:rFonts w:hint="eastAsia" w:ascii="宋体" w:hAnsi="宋体" w:eastAsia="宋体" w:cs="宋体"/>
                <w:sz w:val="21"/>
                <w:szCs w:val="21"/>
              </w:rPr>
            </w:pPr>
            <w:r>
              <w:rPr>
                <w:rFonts w:hint="eastAsia" w:ascii="宋体" w:hAnsi="宋体" w:eastAsia="宋体" w:cs="宋体"/>
                <w:sz w:val="21"/>
                <w:szCs w:val="21"/>
              </w:rPr>
              <w:t>-6～－10</w:t>
            </w:r>
          </w:p>
        </w:tc>
      </w:tr>
      <w:tr w14:paraId="78DA8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61B02FA">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A775714">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超出范围作业，或擅自出入重要生产场所。</w:t>
            </w:r>
          </w:p>
        </w:tc>
        <w:tc>
          <w:tcPr>
            <w:tcW w:w="4393" w:type="dxa"/>
            <w:tcMar>
              <w:top w:w="15" w:type="dxa"/>
              <w:left w:w="15" w:type="dxa"/>
              <w:bottom w:w="0" w:type="dxa"/>
              <w:right w:w="15" w:type="dxa"/>
            </w:tcMar>
            <w:vAlign w:val="center"/>
          </w:tcPr>
          <w:p w14:paraId="6B111FB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每次扣款300～600元。</w:t>
            </w:r>
          </w:p>
        </w:tc>
        <w:tc>
          <w:tcPr>
            <w:tcW w:w="1131" w:type="dxa"/>
            <w:vAlign w:val="top"/>
          </w:tcPr>
          <w:p w14:paraId="73F12988">
            <w:pPr>
              <w:jc w:val="center"/>
              <w:rPr>
                <w:rFonts w:hint="eastAsia" w:ascii="宋体" w:hAnsi="宋体" w:eastAsia="宋体" w:cs="宋体"/>
                <w:sz w:val="21"/>
                <w:szCs w:val="21"/>
              </w:rPr>
            </w:pPr>
            <w:r>
              <w:rPr>
                <w:rFonts w:hint="eastAsia" w:ascii="宋体" w:hAnsi="宋体" w:eastAsia="宋体" w:cs="宋体"/>
                <w:sz w:val="21"/>
                <w:szCs w:val="21"/>
              </w:rPr>
              <w:t>-6～－10</w:t>
            </w:r>
          </w:p>
        </w:tc>
      </w:tr>
      <w:tr w14:paraId="3B0DF8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AC031DA">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96E2B45">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停工整顿一次。</w:t>
            </w:r>
          </w:p>
        </w:tc>
        <w:tc>
          <w:tcPr>
            <w:tcW w:w="4393" w:type="dxa"/>
            <w:tcMar>
              <w:top w:w="15" w:type="dxa"/>
              <w:left w:w="15" w:type="dxa"/>
              <w:bottom w:w="0" w:type="dxa"/>
              <w:right w:w="15" w:type="dxa"/>
            </w:tcMar>
            <w:vAlign w:val="center"/>
          </w:tcPr>
          <w:p w14:paraId="6F64244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每次扣款1000～5000元。</w:t>
            </w:r>
          </w:p>
        </w:tc>
        <w:tc>
          <w:tcPr>
            <w:tcW w:w="1131" w:type="dxa"/>
            <w:vAlign w:val="top"/>
          </w:tcPr>
          <w:p w14:paraId="2678CEBD">
            <w:pPr>
              <w:jc w:val="center"/>
              <w:rPr>
                <w:rFonts w:hint="eastAsia" w:ascii="宋体" w:hAnsi="宋体" w:eastAsia="宋体" w:cs="宋体"/>
                <w:sz w:val="21"/>
                <w:szCs w:val="21"/>
              </w:rPr>
            </w:pPr>
            <w:r>
              <w:rPr>
                <w:rFonts w:hint="eastAsia" w:ascii="宋体" w:hAnsi="宋体" w:eastAsia="宋体" w:cs="宋体"/>
                <w:sz w:val="21"/>
                <w:szCs w:val="21"/>
              </w:rPr>
              <w:t>－10</w:t>
            </w:r>
          </w:p>
        </w:tc>
      </w:tr>
      <w:tr w14:paraId="367D3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D1E7F2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5A11D3F">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作业前未对作业者进行安健环交底。</w:t>
            </w:r>
          </w:p>
        </w:tc>
        <w:tc>
          <w:tcPr>
            <w:tcW w:w="4393" w:type="dxa"/>
            <w:tcMar>
              <w:top w:w="15" w:type="dxa"/>
              <w:left w:w="15" w:type="dxa"/>
              <w:bottom w:w="0" w:type="dxa"/>
              <w:right w:w="15" w:type="dxa"/>
            </w:tcMar>
            <w:vAlign w:val="center"/>
          </w:tcPr>
          <w:p w14:paraId="40CE2950">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每次扣款50～500元。</w:t>
            </w:r>
          </w:p>
        </w:tc>
        <w:tc>
          <w:tcPr>
            <w:tcW w:w="1131" w:type="dxa"/>
            <w:vAlign w:val="top"/>
          </w:tcPr>
          <w:p w14:paraId="542F204A">
            <w:pPr>
              <w:jc w:val="center"/>
              <w:rPr>
                <w:rFonts w:hint="eastAsia" w:ascii="宋体" w:hAnsi="宋体" w:eastAsia="宋体" w:cs="宋体"/>
                <w:sz w:val="21"/>
                <w:szCs w:val="21"/>
              </w:rPr>
            </w:pPr>
            <w:r>
              <w:rPr>
                <w:rFonts w:hint="eastAsia" w:ascii="宋体" w:hAnsi="宋体" w:eastAsia="宋体" w:cs="宋体"/>
                <w:sz w:val="21"/>
                <w:szCs w:val="21"/>
              </w:rPr>
              <w:t>-1～－10</w:t>
            </w:r>
          </w:p>
        </w:tc>
      </w:tr>
      <w:tr w14:paraId="65EB85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5D43F40">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1947440">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作业中发生人员中毒。</w:t>
            </w:r>
          </w:p>
        </w:tc>
        <w:tc>
          <w:tcPr>
            <w:tcW w:w="4393" w:type="dxa"/>
            <w:tcMar>
              <w:top w:w="15" w:type="dxa"/>
              <w:left w:w="15" w:type="dxa"/>
              <w:bottom w:w="0" w:type="dxa"/>
              <w:right w:w="15" w:type="dxa"/>
            </w:tcMar>
            <w:vAlign w:val="center"/>
          </w:tcPr>
          <w:p w14:paraId="2EC70C6C">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每人次款扣2000元。</w:t>
            </w:r>
          </w:p>
        </w:tc>
        <w:tc>
          <w:tcPr>
            <w:tcW w:w="1131" w:type="dxa"/>
            <w:vAlign w:val="top"/>
          </w:tcPr>
          <w:p w14:paraId="0B4EA2B3">
            <w:pPr>
              <w:jc w:val="center"/>
              <w:rPr>
                <w:rFonts w:hint="eastAsia" w:ascii="宋体" w:hAnsi="宋体" w:eastAsia="宋体" w:cs="宋体"/>
                <w:sz w:val="21"/>
                <w:szCs w:val="21"/>
              </w:rPr>
            </w:pPr>
            <w:r>
              <w:rPr>
                <w:rFonts w:hint="eastAsia" w:ascii="宋体" w:hAnsi="宋体" w:eastAsia="宋体" w:cs="宋体"/>
                <w:sz w:val="21"/>
                <w:szCs w:val="21"/>
              </w:rPr>
              <w:t>－10</w:t>
            </w:r>
          </w:p>
        </w:tc>
      </w:tr>
      <w:tr w14:paraId="7AF03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2A104A5">
            <w:pPr>
              <w:numPr>
                <w:ilvl w:val="0"/>
                <w:numId w:val="6"/>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2C6B1B7">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未按规定为作业者发放合格的劳动防护用品。</w:t>
            </w:r>
          </w:p>
        </w:tc>
        <w:tc>
          <w:tcPr>
            <w:tcW w:w="4393" w:type="dxa"/>
            <w:tcMar>
              <w:top w:w="15" w:type="dxa"/>
              <w:left w:w="15" w:type="dxa"/>
              <w:bottom w:w="0" w:type="dxa"/>
              <w:right w:w="15" w:type="dxa"/>
            </w:tcMar>
            <w:vAlign w:val="center"/>
          </w:tcPr>
          <w:p w14:paraId="171F4503">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每次扣款500～1500元。</w:t>
            </w:r>
          </w:p>
        </w:tc>
        <w:tc>
          <w:tcPr>
            <w:tcW w:w="1131" w:type="dxa"/>
            <w:vAlign w:val="top"/>
          </w:tcPr>
          <w:p w14:paraId="3EA6C8F2">
            <w:pPr>
              <w:jc w:val="center"/>
              <w:rPr>
                <w:rFonts w:hint="eastAsia" w:ascii="宋体" w:hAnsi="宋体" w:eastAsia="宋体" w:cs="宋体"/>
                <w:sz w:val="21"/>
                <w:szCs w:val="21"/>
              </w:rPr>
            </w:pPr>
            <w:r>
              <w:rPr>
                <w:rFonts w:hint="eastAsia" w:ascii="宋体" w:hAnsi="宋体" w:eastAsia="宋体" w:cs="宋体"/>
                <w:sz w:val="21"/>
                <w:szCs w:val="21"/>
              </w:rPr>
              <w:t>－10</w:t>
            </w:r>
          </w:p>
        </w:tc>
      </w:tr>
      <w:tr w14:paraId="0B725A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71D93D1C">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3.2、环保</w:t>
            </w:r>
          </w:p>
        </w:tc>
        <w:tc>
          <w:tcPr>
            <w:tcW w:w="1131" w:type="dxa"/>
            <w:vAlign w:val="top"/>
          </w:tcPr>
          <w:p w14:paraId="1BABA233">
            <w:pPr>
              <w:jc w:val="center"/>
              <w:rPr>
                <w:rFonts w:hint="eastAsia" w:ascii="宋体" w:hAnsi="宋体" w:eastAsia="宋体" w:cs="宋体"/>
                <w:sz w:val="21"/>
                <w:szCs w:val="21"/>
              </w:rPr>
            </w:pPr>
          </w:p>
        </w:tc>
      </w:tr>
      <w:tr w14:paraId="00D2B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0B9535D">
            <w:pPr>
              <w:numPr>
                <w:ilvl w:val="0"/>
                <w:numId w:val="7"/>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EC37553">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未按规定分类暂存危险废物。</w:t>
            </w:r>
          </w:p>
        </w:tc>
        <w:tc>
          <w:tcPr>
            <w:tcW w:w="4393" w:type="dxa"/>
            <w:tcMar>
              <w:top w:w="15" w:type="dxa"/>
              <w:left w:w="15" w:type="dxa"/>
              <w:bottom w:w="0" w:type="dxa"/>
              <w:right w:w="15" w:type="dxa"/>
            </w:tcMar>
            <w:vAlign w:val="center"/>
          </w:tcPr>
          <w:p w14:paraId="25531976">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每次扣款500～1500元。</w:t>
            </w:r>
          </w:p>
        </w:tc>
        <w:tc>
          <w:tcPr>
            <w:tcW w:w="1131" w:type="dxa"/>
            <w:vAlign w:val="top"/>
          </w:tcPr>
          <w:p w14:paraId="00BC450F">
            <w:pPr>
              <w:jc w:val="center"/>
              <w:rPr>
                <w:rFonts w:hint="eastAsia" w:ascii="宋体" w:hAnsi="宋体" w:eastAsia="宋体" w:cs="宋体"/>
                <w:sz w:val="21"/>
                <w:szCs w:val="21"/>
              </w:rPr>
            </w:pPr>
            <w:r>
              <w:rPr>
                <w:rFonts w:hint="eastAsia" w:ascii="宋体" w:hAnsi="宋体" w:eastAsia="宋体" w:cs="宋体"/>
                <w:sz w:val="21"/>
                <w:szCs w:val="21"/>
              </w:rPr>
              <w:t>－10</w:t>
            </w:r>
          </w:p>
        </w:tc>
      </w:tr>
      <w:tr w14:paraId="0624F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90782DA">
            <w:pPr>
              <w:numPr>
                <w:ilvl w:val="0"/>
                <w:numId w:val="7"/>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D73AC24">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未按规定分类存放一般废物。</w:t>
            </w:r>
          </w:p>
        </w:tc>
        <w:tc>
          <w:tcPr>
            <w:tcW w:w="4393" w:type="dxa"/>
            <w:tcMar>
              <w:top w:w="15" w:type="dxa"/>
              <w:left w:w="15" w:type="dxa"/>
              <w:bottom w:w="0" w:type="dxa"/>
              <w:right w:w="15" w:type="dxa"/>
            </w:tcMar>
            <w:vAlign w:val="center"/>
          </w:tcPr>
          <w:p w14:paraId="79D734CF">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每次扣款50～300元。</w:t>
            </w:r>
          </w:p>
        </w:tc>
        <w:tc>
          <w:tcPr>
            <w:tcW w:w="1131" w:type="dxa"/>
            <w:vAlign w:val="top"/>
          </w:tcPr>
          <w:p w14:paraId="074900BD">
            <w:pPr>
              <w:jc w:val="center"/>
              <w:rPr>
                <w:rFonts w:hint="eastAsia" w:ascii="宋体" w:hAnsi="宋体" w:eastAsia="宋体" w:cs="宋体"/>
                <w:sz w:val="21"/>
                <w:szCs w:val="21"/>
              </w:rPr>
            </w:pPr>
            <w:r>
              <w:rPr>
                <w:rFonts w:hint="eastAsia" w:ascii="宋体" w:hAnsi="宋体" w:eastAsia="宋体" w:cs="宋体"/>
                <w:sz w:val="21"/>
                <w:szCs w:val="21"/>
              </w:rPr>
              <w:t>-1～－6</w:t>
            </w:r>
          </w:p>
        </w:tc>
      </w:tr>
      <w:tr w14:paraId="0D9B07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4B021EE">
            <w:pPr>
              <w:numPr>
                <w:ilvl w:val="0"/>
                <w:numId w:val="7"/>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4ADEB15">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进行粉尘性作业时，未实施有效的抑尘措施，导致较大扬尘。</w:t>
            </w:r>
          </w:p>
        </w:tc>
        <w:tc>
          <w:tcPr>
            <w:tcW w:w="4393" w:type="dxa"/>
            <w:tcMar>
              <w:top w:w="15" w:type="dxa"/>
              <w:left w:w="15" w:type="dxa"/>
              <w:bottom w:w="0" w:type="dxa"/>
              <w:right w:w="15" w:type="dxa"/>
            </w:tcMar>
            <w:vAlign w:val="center"/>
          </w:tcPr>
          <w:p w14:paraId="63A1B23E">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每次扣款200～500元。</w:t>
            </w:r>
          </w:p>
        </w:tc>
        <w:tc>
          <w:tcPr>
            <w:tcW w:w="1131" w:type="dxa"/>
            <w:vAlign w:val="top"/>
          </w:tcPr>
          <w:p w14:paraId="52DEA821">
            <w:pPr>
              <w:jc w:val="center"/>
              <w:rPr>
                <w:rFonts w:hint="eastAsia" w:ascii="宋体" w:hAnsi="宋体" w:eastAsia="宋体" w:cs="宋体"/>
                <w:sz w:val="21"/>
                <w:szCs w:val="21"/>
              </w:rPr>
            </w:pPr>
            <w:r>
              <w:rPr>
                <w:rFonts w:hint="eastAsia" w:ascii="宋体" w:hAnsi="宋体" w:eastAsia="宋体" w:cs="宋体"/>
                <w:sz w:val="21"/>
                <w:szCs w:val="21"/>
              </w:rPr>
              <w:t>-4～－10</w:t>
            </w:r>
          </w:p>
        </w:tc>
      </w:tr>
      <w:tr w14:paraId="40225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1835003">
            <w:pPr>
              <w:numPr>
                <w:ilvl w:val="0"/>
                <w:numId w:val="7"/>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5B1C2DE">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随意倾倒各类废油或含油废水。</w:t>
            </w:r>
          </w:p>
        </w:tc>
        <w:tc>
          <w:tcPr>
            <w:tcW w:w="4393" w:type="dxa"/>
            <w:tcMar>
              <w:top w:w="15" w:type="dxa"/>
              <w:left w:w="15" w:type="dxa"/>
              <w:bottom w:w="0" w:type="dxa"/>
              <w:right w:w="15" w:type="dxa"/>
            </w:tcMar>
            <w:vAlign w:val="center"/>
          </w:tcPr>
          <w:p w14:paraId="1F7B8EC5">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每次扣款100～500元。</w:t>
            </w:r>
          </w:p>
        </w:tc>
        <w:tc>
          <w:tcPr>
            <w:tcW w:w="1131" w:type="dxa"/>
            <w:vAlign w:val="top"/>
          </w:tcPr>
          <w:p w14:paraId="75CA1802">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00BC76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3043477">
            <w:pPr>
              <w:numPr>
                <w:ilvl w:val="0"/>
                <w:numId w:val="7"/>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69405ED">
            <w:pPr>
              <w:ind w:left="48" w:leftChars="20" w:right="62" w:rightChars="26"/>
              <w:jc w:val="left"/>
              <w:rPr>
                <w:rFonts w:hint="eastAsia" w:ascii="宋体" w:hAnsi="宋体" w:eastAsia="宋体" w:cs="宋体"/>
                <w:sz w:val="21"/>
                <w:szCs w:val="21"/>
              </w:rPr>
            </w:pPr>
            <w:r>
              <w:rPr>
                <w:rFonts w:hint="eastAsia" w:ascii="宋体" w:hAnsi="宋体" w:eastAsia="宋体" w:cs="宋体"/>
                <w:sz w:val="21"/>
                <w:szCs w:val="21"/>
              </w:rPr>
              <w:t xml:space="preserve">将煤粉、灰渣及污泥（废水）排入雨水管路。 </w:t>
            </w:r>
          </w:p>
        </w:tc>
        <w:tc>
          <w:tcPr>
            <w:tcW w:w="4393" w:type="dxa"/>
            <w:tcMar>
              <w:top w:w="15" w:type="dxa"/>
              <w:left w:w="15" w:type="dxa"/>
              <w:bottom w:w="0" w:type="dxa"/>
              <w:right w:w="15" w:type="dxa"/>
            </w:tcMar>
            <w:vAlign w:val="center"/>
          </w:tcPr>
          <w:p w14:paraId="097FB78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每次扣款100～1000元。</w:t>
            </w:r>
          </w:p>
        </w:tc>
        <w:tc>
          <w:tcPr>
            <w:tcW w:w="1131" w:type="dxa"/>
            <w:vAlign w:val="top"/>
          </w:tcPr>
          <w:p w14:paraId="1075CAA2">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6FA637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4FE255A1">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3.3、文明生产</w:t>
            </w:r>
          </w:p>
        </w:tc>
        <w:tc>
          <w:tcPr>
            <w:tcW w:w="1131" w:type="dxa"/>
            <w:vAlign w:val="top"/>
          </w:tcPr>
          <w:p w14:paraId="10E2AC71">
            <w:pPr>
              <w:jc w:val="center"/>
              <w:rPr>
                <w:rFonts w:hint="eastAsia" w:ascii="宋体" w:hAnsi="宋体" w:eastAsia="宋体" w:cs="宋体"/>
                <w:sz w:val="21"/>
                <w:szCs w:val="21"/>
              </w:rPr>
            </w:pPr>
          </w:p>
        </w:tc>
      </w:tr>
      <w:tr w14:paraId="2E8AF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9C508B5">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21E108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移交资料有撕页、缺页、乱涂乱画现象。</w:t>
            </w:r>
          </w:p>
        </w:tc>
        <w:tc>
          <w:tcPr>
            <w:tcW w:w="4393" w:type="dxa"/>
            <w:tcMar>
              <w:top w:w="15" w:type="dxa"/>
              <w:left w:w="15" w:type="dxa"/>
              <w:bottom w:w="0" w:type="dxa"/>
              <w:right w:w="15" w:type="dxa"/>
            </w:tcMar>
            <w:vAlign w:val="center"/>
          </w:tcPr>
          <w:p w14:paraId="7D32709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扣100元/份。</w:t>
            </w:r>
          </w:p>
        </w:tc>
        <w:tc>
          <w:tcPr>
            <w:tcW w:w="1131" w:type="dxa"/>
            <w:vAlign w:val="top"/>
          </w:tcPr>
          <w:p w14:paraId="1005F5FA">
            <w:pPr>
              <w:jc w:val="center"/>
              <w:rPr>
                <w:rFonts w:hint="eastAsia" w:ascii="宋体" w:hAnsi="宋体" w:eastAsia="宋体" w:cs="宋体"/>
                <w:sz w:val="21"/>
                <w:szCs w:val="21"/>
              </w:rPr>
            </w:pPr>
            <w:r>
              <w:rPr>
                <w:rFonts w:hint="eastAsia" w:ascii="宋体" w:hAnsi="宋体" w:eastAsia="宋体" w:cs="宋体"/>
                <w:sz w:val="21"/>
                <w:szCs w:val="21"/>
              </w:rPr>
              <w:t>－2</w:t>
            </w:r>
          </w:p>
        </w:tc>
      </w:tr>
      <w:tr w14:paraId="4BDF08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22589DF">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0CAF0E0">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台、屏、柜上坐人，台面上乱放物品。</w:t>
            </w:r>
          </w:p>
        </w:tc>
        <w:tc>
          <w:tcPr>
            <w:tcW w:w="4393" w:type="dxa"/>
            <w:tcMar>
              <w:top w:w="15" w:type="dxa"/>
              <w:left w:w="15" w:type="dxa"/>
              <w:bottom w:w="0" w:type="dxa"/>
              <w:right w:w="15" w:type="dxa"/>
            </w:tcMar>
            <w:vAlign w:val="center"/>
          </w:tcPr>
          <w:p w14:paraId="2EF16D9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28CBB5B6">
            <w:pPr>
              <w:jc w:val="center"/>
              <w:rPr>
                <w:rFonts w:hint="eastAsia" w:ascii="宋体" w:hAnsi="宋体" w:eastAsia="宋体" w:cs="宋体"/>
                <w:sz w:val="21"/>
                <w:szCs w:val="21"/>
              </w:rPr>
            </w:pPr>
            <w:r>
              <w:rPr>
                <w:rFonts w:hint="eastAsia" w:ascii="宋体" w:hAnsi="宋体" w:eastAsia="宋体" w:cs="宋体"/>
                <w:sz w:val="21"/>
                <w:szCs w:val="21"/>
              </w:rPr>
              <w:t>－4</w:t>
            </w:r>
          </w:p>
        </w:tc>
      </w:tr>
      <w:tr w14:paraId="22020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625115C">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024570C0">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随地便溺。</w:t>
            </w:r>
          </w:p>
        </w:tc>
        <w:tc>
          <w:tcPr>
            <w:tcW w:w="4393" w:type="dxa"/>
            <w:tcMar>
              <w:top w:w="15" w:type="dxa"/>
              <w:left w:w="15" w:type="dxa"/>
              <w:bottom w:w="0" w:type="dxa"/>
              <w:right w:w="15" w:type="dxa"/>
            </w:tcMar>
            <w:vAlign w:val="center"/>
          </w:tcPr>
          <w:p w14:paraId="3AA4DFF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扣100～500元。</w:t>
            </w:r>
          </w:p>
        </w:tc>
        <w:tc>
          <w:tcPr>
            <w:tcW w:w="1131" w:type="dxa"/>
            <w:vAlign w:val="top"/>
          </w:tcPr>
          <w:p w14:paraId="356EBA72">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75577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D8CE37F">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1145074">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未采取防护措施进行有损坏地面或污染的作业。</w:t>
            </w:r>
          </w:p>
        </w:tc>
        <w:tc>
          <w:tcPr>
            <w:tcW w:w="4393" w:type="dxa"/>
            <w:tcMar>
              <w:top w:w="15" w:type="dxa"/>
              <w:left w:w="15" w:type="dxa"/>
              <w:bottom w:w="0" w:type="dxa"/>
              <w:right w:w="15" w:type="dxa"/>
            </w:tcMar>
            <w:vAlign w:val="center"/>
          </w:tcPr>
          <w:p w14:paraId="0A76592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扣200～1000元。</w:t>
            </w:r>
          </w:p>
        </w:tc>
        <w:tc>
          <w:tcPr>
            <w:tcW w:w="1131" w:type="dxa"/>
            <w:vAlign w:val="top"/>
          </w:tcPr>
          <w:p w14:paraId="0822F394">
            <w:pPr>
              <w:jc w:val="center"/>
              <w:rPr>
                <w:rFonts w:hint="eastAsia" w:ascii="宋体" w:hAnsi="宋体" w:eastAsia="宋体" w:cs="宋体"/>
                <w:sz w:val="21"/>
                <w:szCs w:val="21"/>
              </w:rPr>
            </w:pPr>
            <w:r>
              <w:rPr>
                <w:rFonts w:hint="eastAsia" w:ascii="宋体" w:hAnsi="宋体" w:eastAsia="宋体" w:cs="宋体"/>
                <w:sz w:val="21"/>
                <w:szCs w:val="21"/>
              </w:rPr>
              <w:t>-4～－10</w:t>
            </w:r>
          </w:p>
        </w:tc>
      </w:tr>
      <w:tr w14:paraId="4A8E8B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31CD41D">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6286F0F">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废弃物未按规定处置或清理中沿途撒落、垃圾堆积等。</w:t>
            </w:r>
          </w:p>
        </w:tc>
        <w:tc>
          <w:tcPr>
            <w:tcW w:w="4393" w:type="dxa"/>
            <w:tcMar>
              <w:top w:w="15" w:type="dxa"/>
              <w:left w:w="15" w:type="dxa"/>
              <w:bottom w:w="0" w:type="dxa"/>
              <w:right w:w="15" w:type="dxa"/>
            </w:tcMar>
            <w:vAlign w:val="center"/>
          </w:tcPr>
          <w:p w14:paraId="367B976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扣100～300元并承担所需清洁费、搬运费。</w:t>
            </w:r>
          </w:p>
        </w:tc>
        <w:tc>
          <w:tcPr>
            <w:tcW w:w="1131" w:type="dxa"/>
            <w:vAlign w:val="top"/>
          </w:tcPr>
          <w:p w14:paraId="11D21E47">
            <w:pPr>
              <w:jc w:val="center"/>
              <w:rPr>
                <w:rFonts w:hint="eastAsia" w:ascii="宋体" w:hAnsi="宋体" w:eastAsia="宋体" w:cs="宋体"/>
                <w:sz w:val="21"/>
                <w:szCs w:val="21"/>
              </w:rPr>
            </w:pPr>
            <w:r>
              <w:rPr>
                <w:rFonts w:hint="eastAsia" w:ascii="宋体" w:hAnsi="宋体" w:eastAsia="宋体" w:cs="宋体"/>
                <w:sz w:val="21"/>
                <w:szCs w:val="21"/>
              </w:rPr>
              <w:t>-2～－6</w:t>
            </w:r>
          </w:p>
        </w:tc>
      </w:tr>
      <w:tr w14:paraId="7398A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561D62B">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B1E3DA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 xml:space="preserve">施工作业现场积灰、积水、积粉、积垃圾。 </w:t>
            </w:r>
          </w:p>
        </w:tc>
        <w:tc>
          <w:tcPr>
            <w:tcW w:w="4393" w:type="dxa"/>
            <w:tcMar>
              <w:top w:w="15" w:type="dxa"/>
              <w:left w:w="15" w:type="dxa"/>
              <w:bottom w:w="0" w:type="dxa"/>
              <w:right w:w="15" w:type="dxa"/>
            </w:tcMar>
            <w:vAlign w:val="center"/>
          </w:tcPr>
          <w:p w14:paraId="04D37CB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扣100～200元。</w:t>
            </w:r>
          </w:p>
        </w:tc>
        <w:tc>
          <w:tcPr>
            <w:tcW w:w="1131" w:type="dxa"/>
            <w:vAlign w:val="top"/>
          </w:tcPr>
          <w:p w14:paraId="6445C7EB">
            <w:pPr>
              <w:jc w:val="center"/>
              <w:rPr>
                <w:rFonts w:hint="eastAsia" w:ascii="宋体" w:hAnsi="宋体" w:eastAsia="宋体" w:cs="宋体"/>
                <w:sz w:val="21"/>
                <w:szCs w:val="21"/>
              </w:rPr>
            </w:pPr>
            <w:r>
              <w:rPr>
                <w:rFonts w:hint="eastAsia" w:ascii="宋体" w:hAnsi="宋体" w:eastAsia="宋体" w:cs="宋体"/>
                <w:sz w:val="21"/>
                <w:szCs w:val="21"/>
              </w:rPr>
              <w:t>-2～－4</w:t>
            </w:r>
          </w:p>
        </w:tc>
      </w:tr>
      <w:tr w14:paraId="495F48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9219317">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F591421">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室外场地堆放杂物或有垃圾。</w:t>
            </w:r>
          </w:p>
        </w:tc>
        <w:tc>
          <w:tcPr>
            <w:tcW w:w="4393" w:type="dxa"/>
            <w:tcMar>
              <w:top w:w="15" w:type="dxa"/>
              <w:left w:w="15" w:type="dxa"/>
              <w:bottom w:w="0" w:type="dxa"/>
              <w:right w:w="15" w:type="dxa"/>
            </w:tcMar>
            <w:vAlign w:val="center"/>
          </w:tcPr>
          <w:p w14:paraId="246321A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扣100～300元。</w:t>
            </w:r>
          </w:p>
        </w:tc>
        <w:tc>
          <w:tcPr>
            <w:tcW w:w="1131" w:type="dxa"/>
            <w:vAlign w:val="top"/>
          </w:tcPr>
          <w:p w14:paraId="081EC771">
            <w:pPr>
              <w:jc w:val="center"/>
              <w:rPr>
                <w:rFonts w:hint="eastAsia" w:ascii="宋体" w:hAnsi="宋体" w:eastAsia="宋体" w:cs="宋体"/>
                <w:sz w:val="21"/>
                <w:szCs w:val="21"/>
              </w:rPr>
            </w:pPr>
            <w:r>
              <w:rPr>
                <w:rFonts w:hint="eastAsia" w:ascii="宋体" w:hAnsi="宋体" w:eastAsia="宋体" w:cs="宋体"/>
                <w:sz w:val="21"/>
                <w:szCs w:val="21"/>
              </w:rPr>
              <w:t>-2～－6</w:t>
            </w:r>
          </w:p>
        </w:tc>
      </w:tr>
      <w:tr w14:paraId="5ADAA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C8C1AB8">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5BEA4F4">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厂区乱倒垃圾；有残值弃物或可作废品回收的物品随意丢弃垃圾箱。</w:t>
            </w:r>
          </w:p>
        </w:tc>
        <w:tc>
          <w:tcPr>
            <w:tcW w:w="4393" w:type="dxa"/>
            <w:tcMar>
              <w:top w:w="15" w:type="dxa"/>
              <w:left w:w="15" w:type="dxa"/>
              <w:bottom w:w="0" w:type="dxa"/>
              <w:right w:w="15" w:type="dxa"/>
            </w:tcMar>
            <w:vAlign w:val="center"/>
          </w:tcPr>
          <w:p w14:paraId="2E0E015C">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扣100～300元。</w:t>
            </w:r>
          </w:p>
        </w:tc>
        <w:tc>
          <w:tcPr>
            <w:tcW w:w="1131" w:type="dxa"/>
            <w:vAlign w:val="top"/>
          </w:tcPr>
          <w:p w14:paraId="77D4DFF4">
            <w:pPr>
              <w:jc w:val="center"/>
              <w:rPr>
                <w:rFonts w:hint="eastAsia" w:ascii="宋体" w:hAnsi="宋体" w:eastAsia="宋体" w:cs="宋体"/>
                <w:sz w:val="21"/>
                <w:szCs w:val="21"/>
              </w:rPr>
            </w:pPr>
            <w:r>
              <w:rPr>
                <w:rFonts w:hint="eastAsia" w:ascii="宋体" w:hAnsi="宋体" w:eastAsia="宋体" w:cs="宋体"/>
                <w:sz w:val="21"/>
                <w:szCs w:val="21"/>
              </w:rPr>
              <w:t>-2～－6</w:t>
            </w:r>
          </w:p>
        </w:tc>
      </w:tr>
      <w:tr w14:paraId="3C32C1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D65546F">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61E5E9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施工现场保持整洁，每天收工前未及时清扫、整理的。</w:t>
            </w:r>
          </w:p>
        </w:tc>
        <w:tc>
          <w:tcPr>
            <w:tcW w:w="4393" w:type="dxa"/>
            <w:tcMar>
              <w:top w:w="15" w:type="dxa"/>
              <w:left w:w="15" w:type="dxa"/>
              <w:bottom w:w="0" w:type="dxa"/>
              <w:right w:w="15" w:type="dxa"/>
            </w:tcMar>
            <w:vAlign w:val="center"/>
          </w:tcPr>
          <w:p w14:paraId="7F123C7F">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扣100～500元。</w:t>
            </w:r>
          </w:p>
        </w:tc>
        <w:tc>
          <w:tcPr>
            <w:tcW w:w="1131" w:type="dxa"/>
            <w:vAlign w:val="top"/>
          </w:tcPr>
          <w:p w14:paraId="3BA61EAD">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2D52B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D28E259">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C3D32DE">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生产现场设备上挂放与该设备无关物件或烘晒衣物。</w:t>
            </w:r>
          </w:p>
        </w:tc>
        <w:tc>
          <w:tcPr>
            <w:tcW w:w="4393" w:type="dxa"/>
            <w:tcMar>
              <w:top w:w="15" w:type="dxa"/>
              <w:left w:w="15" w:type="dxa"/>
              <w:bottom w:w="0" w:type="dxa"/>
              <w:right w:w="15" w:type="dxa"/>
            </w:tcMar>
            <w:vAlign w:val="center"/>
          </w:tcPr>
          <w:p w14:paraId="69237F3F">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扣100～500元。</w:t>
            </w:r>
          </w:p>
        </w:tc>
        <w:tc>
          <w:tcPr>
            <w:tcW w:w="1131" w:type="dxa"/>
            <w:vAlign w:val="top"/>
          </w:tcPr>
          <w:p w14:paraId="0A5EFC57">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6ADAA9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AEA6A66">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457C34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私用电炉、电暖器，乱丢垃圾、杂物。</w:t>
            </w:r>
          </w:p>
        </w:tc>
        <w:tc>
          <w:tcPr>
            <w:tcW w:w="4393" w:type="dxa"/>
            <w:tcMar>
              <w:top w:w="15" w:type="dxa"/>
              <w:left w:w="15" w:type="dxa"/>
              <w:bottom w:w="0" w:type="dxa"/>
              <w:right w:w="15" w:type="dxa"/>
            </w:tcMar>
            <w:vAlign w:val="center"/>
          </w:tcPr>
          <w:p w14:paraId="0628F62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扣100～500元。</w:t>
            </w:r>
          </w:p>
        </w:tc>
        <w:tc>
          <w:tcPr>
            <w:tcW w:w="1131" w:type="dxa"/>
            <w:vAlign w:val="top"/>
          </w:tcPr>
          <w:p w14:paraId="3F70F1A3">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452A83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784DD97">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AAFD897">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 xml:space="preserve">在宣传栏、广告栏以外的地方张贴、涂写。 </w:t>
            </w:r>
          </w:p>
        </w:tc>
        <w:tc>
          <w:tcPr>
            <w:tcW w:w="4393" w:type="dxa"/>
            <w:tcMar>
              <w:top w:w="15" w:type="dxa"/>
              <w:left w:w="15" w:type="dxa"/>
              <w:bottom w:w="0" w:type="dxa"/>
              <w:right w:w="15" w:type="dxa"/>
            </w:tcMar>
            <w:vAlign w:val="center"/>
          </w:tcPr>
          <w:p w14:paraId="02556E5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w:t>
            </w:r>
          </w:p>
        </w:tc>
        <w:tc>
          <w:tcPr>
            <w:tcW w:w="1131" w:type="dxa"/>
            <w:vAlign w:val="top"/>
          </w:tcPr>
          <w:p w14:paraId="5D2DC08B">
            <w:pPr>
              <w:jc w:val="center"/>
              <w:rPr>
                <w:rFonts w:hint="eastAsia" w:ascii="宋体" w:hAnsi="宋体" w:eastAsia="宋体" w:cs="宋体"/>
                <w:sz w:val="21"/>
                <w:szCs w:val="21"/>
              </w:rPr>
            </w:pPr>
            <w:r>
              <w:rPr>
                <w:rFonts w:hint="eastAsia" w:ascii="宋体" w:hAnsi="宋体" w:eastAsia="宋体" w:cs="宋体"/>
                <w:sz w:val="21"/>
                <w:szCs w:val="21"/>
              </w:rPr>
              <w:t>－2</w:t>
            </w:r>
          </w:p>
        </w:tc>
      </w:tr>
      <w:tr w14:paraId="7D144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1A4EFE4">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14744C5">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检修完成后移交的设备存在油污、积尘积灰。</w:t>
            </w:r>
          </w:p>
        </w:tc>
        <w:tc>
          <w:tcPr>
            <w:tcW w:w="4393" w:type="dxa"/>
            <w:tcMar>
              <w:top w:w="15" w:type="dxa"/>
              <w:left w:w="15" w:type="dxa"/>
              <w:bottom w:w="0" w:type="dxa"/>
              <w:right w:w="15" w:type="dxa"/>
            </w:tcMar>
            <w:vAlign w:val="center"/>
          </w:tcPr>
          <w:p w14:paraId="109517FB">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w:t>
            </w:r>
          </w:p>
        </w:tc>
        <w:tc>
          <w:tcPr>
            <w:tcW w:w="1131" w:type="dxa"/>
            <w:vAlign w:val="top"/>
          </w:tcPr>
          <w:p w14:paraId="2B6ACBE3">
            <w:pPr>
              <w:jc w:val="center"/>
              <w:rPr>
                <w:rFonts w:hint="eastAsia" w:ascii="宋体" w:hAnsi="宋体" w:eastAsia="宋体" w:cs="宋体"/>
                <w:sz w:val="21"/>
                <w:szCs w:val="21"/>
              </w:rPr>
            </w:pPr>
            <w:r>
              <w:rPr>
                <w:rFonts w:hint="eastAsia" w:ascii="宋体" w:hAnsi="宋体" w:eastAsia="宋体" w:cs="宋体"/>
                <w:sz w:val="21"/>
                <w:szCs w:val="21"/>
              </w:rPr>
              <w:t>－2</w:t>
            </w:r>
          </w:p>
        </w:tc>
      </w:tr>
      <w:tr w14:paraId="56C1E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CA3E2BD">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829687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电、气焊作业时，损坏地面、墙面设施。</w:t>
            </w:r>
          </w:p>
        </w:tc>
        <w:tc>
          <w:tcPr>
            <w:tcW w:w="4393" w:type="dxa"/>
            <w:tcMar>
              <w:top w:w="15" w:type="dxa"/>
              <w:left w:w="15" w:type="dxa"/>
              <w:bottom w:w="0" w:type="dxa"/>
              <w:right w:w="15" w:type="dxa"/>
            </w:tcMar>
            <w:vAlign w:val="center"/>
          </w:tcPr>
          <w:p w14:paraId="1040174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扣300元。</w:t>
            </w:r>
          </w:p>
        </w:tc>
        <w:tc>
          <w:tcPr>
            <w:tcW w:w="1131" w:type="dxa"/>
            <w:vAlign w:val="top"/>
          </w:tcPr>
          <w:p w14:paraId="0A6967F7">
            <w:pPr>
              <w:jc w:val="center"/>
              <w:rPr>
                <w:rFonts w:hint="eastAsia" w:ascii="宋体" w:hAnsi="宋体" w:eastAsia="宋体" w:cs="宋体"/>
                <w:sz w:val="21"/>
                <w:szCs w:val="21"/>
              </w:rPr>
            </w:pPr>
            <w:r>
              <w:rPr>
                <w:rFonts w:hint="eastAsia" w:ascii="宋体" w:hAnsi="宋体" w:eastAsia="宋体" w:cs="宋体"/>
                <w:sz w:val="21"/>
                <w:szCs w:val="21"/>
              </w:rPr>
              <w:t>－6</w:t>
            </w:r>
          </w:p>
        </w:tc>
      </w:tr>
      <w:tr w14:paraId="121D27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D47699C">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4FE0912">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施工作业未按规定进行定置或未采取隔离措施，道路作业未设置隔离、夜间警示灯。</w:t>
            </w:r>
          </w:p>
        </w:tc>
        <w:tc>
          <w:tcPr>
            <w:tcW w:w="4393" w:type="dxa"/>
            <w:tcMar>
              <w:top w:w="15" w:type="dxa"/>
              <w:left w:w="15" w:type="dxa"/>
              <w:bottom w:w="0" w:type="dxa"/>
              <w:right w:w="15" w:type="dxa"/>
            </w:tcMar>
            <w:vAlign w:val="center"/>
          </w:tcPr>
          <w:p w14:paraId="722C95F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707EAD81">
            <w:pPr>
              <w:jc w:val="center"/>
              <w:rPr>
                <w:rFonts w:hint="eastAsia" w:ascii="宋体" w:hAnsi="宋体" w:eastAsia="宋体" w:cs="宋体"/>
                <w:sz w:val="21"/>
                <w:szCs w:val="21"/>
              </w:rPr>
            </w:pPr>
            <w:r>
              <w:rPr>
                <w:rFonts w:hint="eastAsia" w:ascii="宋体" w:hAnsi="宋体" w:eastAsia="宋体" w:cs="宋体"/>
                <w:sz w:val="21"/>
                <w:szCs w:val="21"/>
              </w:rPr>
              <w:t>－4</w:t>
            </w:r>
          </w:p>
        </w:tc>
      </w:tr>
      <w:tr w14:paraId="52303B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89A162C">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012F5A8">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施工现场隔离不符合要求。</w:t>
            </w:r>
          </w:p>
        </w:tc>
        <w:tc>
          <w:tcPr>
            <w:tcW w:w="4393" w:type="dxa"/>
            <w:tcMar>
              <w:top w:w="15" w:type="dxa"/>
              <w:left w:w="15" w:type="dxa"/>
              <w:bottom w:w="0" w:type="dxa"/>
              <w:right w:w="15" w:type="dxa"/>
            </w:tcMar>
            <w:vAlign w:val="center"/>
          </w:tcPr>
          <w:p w14:paraId="5B1F89EA">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w:t>
            </w:r>
          </w:p>
        </w:tc>
        <w:tc>
          <w:tcPr>
            <w:tcW w:w="1131" w:type="dxa"/>
            <w:vAlign w:val="top"/>
          </w:tcPr>
          <w:p w14:paraId="590CA223">
            <w:pPr>
              <w:jc w:val="center"/>
              <w:rPr>
                <w:rFonts w:hint="eastAsia" w:ascii="宋体" w:hAnsi="宋体" w:eastAsia="宋体" w:cs="宋体"/>
                <w:sz w:val="21"/>
                <w:szCs w:val="21"/>
              </w:rPr>
            </w:pPr>
            <w:r>
              <w:rPr>
                <w:rFonts w:hint="eastAsia" w:ascii="宋体" w:hAnsi="宋体" w:eastAsia="宋体" w:cs="宋体"/>
                <w:sz w:val="21"/>
                <w:szCs w:val="21"/>
              </w:rPr>
              <w:t>－2</w:t>
            </w:r>
          </w:p>
        </w:tc>
      </w:tr>
      <w:tr w14:paraId="3DABCF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29C6367">
            <w:pPr>
              <w:numPr>
                <w:ilvl w:val="0"/>
                <w:numId w:val="8"/>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A719A1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作业造成标志牌遗失无法恢复或未恢复。</w:t>
            </w:r>
          </w:p>
        </w:tc>
        <w:tc>
          <w:tcPr>
            <w:tcW w:w="4393" w:type="dxa"/>
            <w:tcMar>
              <w:top w:w="15" w:type="dxa"/>
              <w:left w:w="15" w:type="dxa"/>
              <w:bottom w:w="0" w:type="dxa"/>
              <w:right w:w="15" w:type="dxa"/>
            </w:tcMar>
            <w:vAlign w:val="center"/>
          </w:tcPr>
          <w:p w14:paraId="2B16386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扣100元/块。</w:t>
            </w:r>
          </w:p>
        </w:tc>
        <w:tc>
          <w:tcPr>
            <w:tcW w:w="1131" w:type="dxa"/>
            <w:vAlign w:val="top"/>
          </w:tcPr>
          <w:p w14:paraId="1670FC54">
            <w:pPr>
              <w:jc w:val="center"/>
              <w:rPr>
                <w:rFonts w:hint="eastAsia" w:ascii="宋体" w:hAnsi="宋体" w:eastAsia="宋体" w:cs="宋体"/>
                <w:sz w:val="21"/>
                <w:szCs w:val="21"/>
              </w:rPr>
            </w:pPr>
            <w:r>
              <w:rPr>
                <w:rFonts w:hint="eastAsia" w:ascii="宋体" w:hAnsi="宋体" w:eastAsia="宋体" w:cs="宋体"/>
                <w:sz w:val="21"/>
                <w:szCs w:val="21"/>
              </w:rPr>
              <w:t>－2</w:t>
            </w:r>
          </w:p>
        </w:tc>
      </w:tr>
      <w:tr w14:paraId="0AB30F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09536D94">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3.4、交通管理</w:t>
            </w:r>
          </w:p>
        </w:tc>
        <w:tc>
          <w:tcPr>
            <w:tcW w:w="1131" w:type="dxa"/>
            <w:vAlign w:val="top"/>
          </w:tcPr>
          <w:p w14:paraId="389F5A61">
            <w:pPr>
              <w:jc w:val="center"/>
              <w:rPr>
                <w:rFonts w:hint="eastAsia" w:ascii="宋体" w:hAnsi="宋体" w:eastAsia="宋体" w:cs="宋体"/>
                <w:sz w:val="21"/>
                <w:szCs w:val="21"/>
              </w:rPr>
            </w:pPr>
          </w:p>
        </w:tc>
      </w:tr>
      <w:tr w14:paraId="299B5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CBD00D1">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B9202DC">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车辆在厂区内超速、超载、超限行驶。</w:t>
            </w:r>
          </w:p>
        </w:tc>
        <w:tc>
          <w:tcPr>
            <w:tcW w:w="4393" w:type="dxa"/>
            <w:tcMar>
              <w:top w:w="15" w:type="dxa"/>
              <w:left w:w="15" w:type="dxa"/>
              <w:bottom w:w="0" w:type="dxa"/>
              <w:right w:w="15" w:type="dxa"/>
            </w:tcMar>
            <w:vAlign w:val="center"/>
          </w:tcPr>
          <w:p w14:paraId="3A6CFE59">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每次扣200元。</w:t>
            </w:r>
          </w:p>
        </w:tc>
        <w:tc>
          <w:tcPr>
            <w:tcW w:w="1131" w:type="dxa"/>
            <w:vAlign w:val="top"/>
          </w:tcPr>
          <w:p w14:paraId="5C4665E2">
            <w:pPr>
              <w:jc w:val="center"/>
              <w:rPr>
                <w:rFonts w:hint="eastAsia" w:ascii="宋体" w:hAnsi="宋体" w:eastAsia="宋体" w:cs="宋体"/>
                <w:sz w:val="21"/>
                <w:szCs w:val="21"/>
              </w:rPr>
            </w:pPr>
            <w:r>
              <w:rPr>
                <w:rFonts w:hint="eastAsia" w:ascii="宋体" w:hAnsi="宋体" w:eastAsia="宋体" w:cs="宋体"/>
                <w:sz w:val="21"/>
                <w:szCs w:val="21"/>
              </w:rPr>
              <w:t>－4</w:t>
            </w:r>
          </w:p>
        </w:tc>
      </w:tr>
      <w:tr w14:paraId="5A9843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9AE0ABC">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F9E79DE">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损坏交通标志及路名标牌。</w:t>
            </w:r>
          </w:p>
        </w:tc>
        <w:tc>
          <w:tcPr>
            <w:tcW w:w="4393" w:type="dxa"/>
            <w:tcMar>
              <w:top w:w="15" w:type="dxa"/>
              <w:left w:w="15" w:type="dxa"/>
              <w:bottom w:w="0" w:type="dxa"/>
              <w:right w:w="15" w:type="dxa"/>
            </w:tcMar>
            <w:vAlign w:val="center"/>
          </w:tcPr>
          <w:p w14:paraId="672EEBF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按设施恢复价格的2 倍考核。</w:t>
            </w:r>
          </w:p>
        </w:tc>
        <w:tc>
          <w:tcPr>
            <w:tcW w:w="1131" w:type="dxa"/>
            <w:vAlign w:val="top"/>
          </w:tcPr>
          <w:p w14:paraId="7A89E15F">
            <w:pPr>
              <w:jc w:val="center"/>
              <w:rPr>
                <w:rFonts w:hint="eastAsia" w:ascii="宋体" w:hAnsi="宋体" w:eastAsia="宋体" w:cs="宋体"/>
                <w:sz w:val="21"/>
                <w:szCs w:val="21"/>
              </w:rPr>
            </w:pPr>
          </w:p>
        </w:tc>
      </w:tr>
      <w:tr w14:paraId="5ABC5B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F8E6FB1">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B1A1DD0">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在厂区道路违反禁令标志、乱装卸货等。</w:t>
            </w:r>
          </w:p>
        </w:tc>
        <w:tc>
          <w:tcPr>
            <w:tcW w:w="4393" w:type="dxa"/>
            <w:tcMar>
              <w:top w:w="15" w:type="dxa"/>
              <w:left w:w="15" w:type="dxa"/>
              <w:bottom w:w="0" w:type="dxa"/>
              <w:right w:w="15" w:type="dxa"/>
            </w:tcMar>
            <w:vAlign w:val="center"/>
          </w:tcPr>
          <w:p w14:paraId="0E773C9D">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扣50～200元。</w:t>
            </w:r>
          </w:p>
        </w:tc>
        <w:tc>
          <w:tcPr>
            <w:tcW w:w="1131" w:type="dxa"/>
            <w:vAlign w:val="top"/>
          </w:tcPr>
          <w:p w14:paraId="40B62566">
            <w:pPr>
              <w:jc w:val="center"/>
              <w:rPr>
                <w:rFonts w:hint="eastAsia" w:ascii="宋体" w:hAnsi="宋体" w:eastAsia="宋体" w:cs="宋体"/>
                <w:sz w:val="21"/>
                <w:szCs w:val="21"/>
              </w:rPr>
            </w:pPr>
            <w:r>
              <w:rPr>
                <w:rFonts w:hint="eastAsia" w:ascii="宋体" w:hAnsi="宋体" w:eastAsia="宋体" w:cs="宋体"/>
                <w:sz w:val="21"/>
                <w:szCs w:val="21"/>
              </w:rPr>
              <w:t>-1～－4</w:t>
            </w:r>
          </w:p>
        </w:tc>
      </w:tr>
      <w:tr w14:paraId="5C506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1F5F0F3B">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EB77C3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不服从管理，在禁行时间和路段内强行通行、私家车未经批准进入生产区域、施工作业现场的。</w:t>
            </w:r>
          </w:p>
        </w:tc>
        <w:tc>
          <w:tcPr>
            <w:tcW w:w="4393" w:type="dxa"/>
            <w:tcMar>
              <w:top w:w="15" w:type="dxa"/>
              <w:left w:w="15" w:type="dxa"/>
              <w:bottom w:w="0" w:type="dxa"/>
              <w:right w:w="15" w:type="dxa"/>
            </w:tcMar>
            <w:vAlign w:val="center"/>
          </w:tcPr>
          <w:p w14:paraId="19CE638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扣50～100元。</w:t>
            </w:r>
          </w:p>
        </w:tc>
        <w:tc>
          <w:tcPr>
            <w:tcW w:w="1131" w:type="dxa"/>
            <w:vAlign w:val="top"/>
          </w:tcPr>
          <w:p w14:paraId="106B8FDC">
            <w:pPr>
              <w:jc w:val="center"/>
              <w:rPr>
                <w:rFonts w:hint="eastAsia" w:ascii="宋体" w:hAnsi="宋体" w:eastAsia="宋体" w:cs="宋体"/>
                <w:sz w:val="21"/>
                <w:szCs w:val="21"/>
              </w:rPr>
            </w:pPr>
            <w:r>
              <w:rPr>
                <w:rFonts w:hint="eastAsia" w:ascii="宋体" w:hAnsi="宋体" w:eastAsia="宋体" w:cs="宋体"/>
                <w:sz w:val="21"/>
                <w:szCs w:val="21"/>
              </w:rPr>
              <w:t>-1～－2</w:t>
            </w:r>
          </w:p>
        </w:tc>
      </w:tr>
      <w:tr w14:paraId="61D8C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35C036A3">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73B79E5F">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机动车未按规定停放。</w:t>
            </w:r>
          </w:p>
        </w:tc>
        <w:tc>
          <w:tcPr>
            <w:tcW w:w="4393" w:type="dxa"/>
            <w:tcMar>
              <w:top w:w="15" w:type="dxa"/>
              <w:left w:w="15" w:type="dxa"/>
              <w:bottom w:w="0" w:type="dxa"/>
              <w:right w:w="15" w:type="dxa"/>
            </w:tcMar>
            <w:vAlign w:val="center"/>
          </w:tcPr>
          <w:p w14:paraId="21C0FB45">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扣100元。</w:t>
            </w:r>
          </w:p>
        </w:tc>
        <w:tc>
          <w:tcPr>
            <w:tcW w:w="1131" w:type="dxa"/>
            <w:vAlign w:val="top"/>
          </w:tcPr>
          <w:p w14:paraId="304B7C22">
            <w:pPr>
              <w:jc w:val="center"/>
              <w:rPr>
                <w:rFonts w:hint="eastAsia" w:ascii="宋体" w:hAnsi="宋体" w:eastAsia="宋体" w:cs="宋体"/>
                <w:sz w:val="21"/>
                <w:szCs w:val="21"/>
              </w:rPr>
            </w:pPr>
            <w:r>
              <w:rPr>
                <w:rFonts w:hint="eastAsia" w:ascii="宋体" w:hAnsi="宋体" w:eastAsia="宋体" w:cs="宋体"/>
                <w:sz w:val="21"/>
                <w:szCs w:val="21"/>
              </w:rPr>
              <w:t>－2</w:t>
            </w:r>
          </w:p>
        </w:tc>
      </w:tr>
      <w:tr w14:paraId="121D47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4762194F">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13D44D9">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非作业车辆进入主厂房的。</w:t>
            </w:r>
          </w:p>
        </w:tc>
        <w:tc>
          <w:tcPr>
            <w:tcW w:w="4393" w:type="dxa"/>
            <w:tcMar>
              <w:top w:w="15" w:type="dxa"/>
              <w:left w:w="15" w:type="dxa"/>
              <w:bottom w:w="0" w:type="dxa"/>
              <w:right w:w="15" w:type="dxa"/>
            </w:tcMar>
            <w:vAlign w:val="center"/>
          </w:tcPr>
          <w:p w14:paraId="08A32CB9">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28AC441F">
            <w:pPr>
              <w:jc w:val="center"/>
              <w:rPr>
                <w:rFonts w:hint="eastAsia" w:ascii="宋体" w:hAnsi="宋体" w:eastAsia="宋体" w:cs="宋体"/>
                <w:sz w:val="21"/>
                <w:szCs w:val="21"/>
              </w:rPr>
            </w:pPr>
            <w:r>
              <w:rPr>
                <w:rFonts w:hint="eastAsia" w:ascii="宋体" w:hAnsi="宋体" w:eastAsia="宋体" w:cs="宋体"/>
                <w:sz w:val="21"/>
                <w:szCs w:val="21"/>
              </w:rPr>
              <w:t>－4</w:t>
            </w:r>
          </w:p>
        </w:tc>
      </w:tr>
      <w:tr w14:paraId="73FC7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CDE28B8">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49BFC253">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随意在厂区道路上堆物，影响正常通行的。</w:t>
            </w:r>
          </w:p>
        </w:tc>
        <w:tc>
          <w:tcPr>
            <w:tcW w:w="4393" w:type="dxa"/>
            <w:tcMar>
              <w:top w:w="15" w:type="dxa"/>
              <w:left w:w="15" w:type="dxa"/>
              <w:bottom w:w="0" w:type="dxa"/>
              <w:right w:w="15" w:type="dxa"/>
            </w:tcMar>
            <w:vAlign w:val="center"/>
          </w:tcPr>
          <w:p w14:paraId="5B55B891">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51FC3117">
            <w:pPr>
              <w:jc w:val="center"/>
              <w:rPr>
                <w:rFonts w:hint="eastAsia" w:ascii="宋体" w:hAnsi="宋体" w:eastAsia="宋体" w:cs="宋体"/>
                <w:sz w:val="21"/>
                <w:szCs w:val="21"/>
              </w:rPr>
            </w:pPr>
            <w:r>
              <w:rPr>
                <w:rFonts w:hint="eastAsia" w:ascii="宋体" w:hAnsi="宋体" w:eastAsia="宋体" w:cs="宋体"/>
                <w:sz w:val="21"/>
                <w:szCs w:val="21"/>
              </w:rPr>
              <w:t>－4</w:t>
            </w:r>
          </w:p>
        </w:tc>
      </w:tr>
      <w:tr w14:paraId="6A9A23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AE15A80">
            <w:pPr>
              <w:numPr>
                <w:ilvl w:val="0"/>
                <w:numId w:val="9"/>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2C570AEB">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未经审批随意在厂区道路上挖沟（坑）、开凿或已办审批未设置警示标志等防护措施。</w:t>
            </w:r>
          </w:p>
        </w:tc>
        <w:tc>
          <w:tcPr>
            <w:tcW w:w="4393" w:type="dxa"/>
            <w:tcMar>
              <w:top w:w="15" w:type="dxa"/>
              <w:left w:w="15" w:type="dxa"/>
              <w:bottom w:w="0" w:type="dxa"/>
              <w:right w:w="15" w:type="dxa"/>
            </w:tcMar>
            <w:vAlign w:val="center"/>
          </w:tcPr>
          <w:p w14:paraId="106DFAC2">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扣500～1000元。</w:t>
            </w:r>
          </w:p>
        </w:tc>
        <w:tc>
          <w:tcPr>
            <w:tcW w:w="1131" w:type="dxa"/>
            <w:vAlign w:val="top"/>
          </w:tcPr>
          <w:p w14:paraId="3D5CAD30">
            <w:pPr>
              <w:jc w:val="center"/>
              <w:rPr>
                <w:rFonts w:hint="eastAsia" w:ascii="宋体" w:hAnsi="宋体" w:eastAsia="宋体" w:cs="宋体"/>
                <w:sz w:val="21"/>
                <w:szCs w:val="21"/>
              </w:rPr>
            </w:pPr>
            <w:r>
              <w:rPr>
                <w:rFonts w:hint="eastAsia" w:ascii="宋体" w:hAnsi="宋体" w:eastAsia="宋体" w:cs="宋体"/>
                <w:sz w:val="21"/>
                <w:szCs w:val="21"/>
              </w:rPr>
              <w:t>－10</w:t>
            </w:r>
          </w:p>
        </w:tc>
      </w:tr>
      <w:tr w14:paraId="4A436B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1754BA3B">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3.5、保卫</w:t>
            </w:r>
          </w:p>
        </w:tc>
        <w:tc>
          <w:tcPr>
            <w:tcW w:w="1131" w:type="dxa"/>
            <w:vAlign w:val="top"/>
          </w:tcPr>
          <w:p w14:paraId="2B7E270D">
            <w:pPr>
              <w:jc w:val="center"/>
              <w:rPr>
                <w:rFonts w:hint="eastAsia" w:ascii="宋体" w:hAnsi="宋体" w:eastAsia="宋体" w:cs="宋体"/>
                <w:sz w:val="21"/>
                <w:szCs w:val="21"/>
              </w:rPr>
            </w:pPr>
          </w:p>
        </w:tc>
      </w:tr>
      <w:tr w14:paraId="4D56A5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2264B760">
            <w:pPr>
              <w:numPr>
                <w:ilvl w:val="0"/>
                <w:numId w:val="10"/>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CA034AA">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侵占财物。</w:t>
            </w:r>
          </w:p>
        </w:tc>
        <w:tc>
          <w:tcPr>
            <w:tcW w:w="4393" w:type="dxa"/>
            <w:tcMar>
              <w:top w:w="15" w:type="dxa"/>
              <w:left w:w="15" w:type="dxa"/>
              <w:bottom w:w="0" w:type="dxa"/>
              <w:right w:w="15" w:type="dxa"/>
            </w:tcMar>
            <w:vAlign w:val="center"/>
          </w:tcPr>
          <w:p w14:paraId="0190B5A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扣100～3000元。</w:t>
            </w:r>
          </w:p>
        </w:tc>
        <w:tc>
          <w:tcPr>
            <w:tcW w:w="1131" w:type="dxa"/>
            <w:vAlign w:val="top"/>
          </w:tcPr>
          <w:p w14:paraId="496423C4">
            <w:pPr>
              <w:jc w:val="center"/>
              <w:rPr>
                <w:rFonts w:hint="eastAsia" w:ascii="宋体" w:hAnsi="宋体" w:eastAsia="宋体" w:cs="宋体"/>
                <w:sz w:val="21"/>
                <w:szCs w:val="21"/>
              </w:rPr>
            </w:pPr>
            <w:r>
              <w:rPr>
                <w:rFonts w:hint="eastAsia" w:ascii="宋体" w:hAnsi="宋体" w:eastAsia="宋体" w:cs="宋体"/>
                <w:sz w:val="21"/>
                <w:szCs w:val="21"/>
              </w:rPr>
              <w:t>-2～－10</w:t>
            </w:r>
          </w:p>
        </w:tc>
      </w:tr>
      <w:tr w14:paraId="7ACAD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AAF6F70">
            <w:pPr>
              <w:numPr>
                <w:ilvl w:val="0"/>
                <w:numId w:val="10"/>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285B5E3">
            <w:pPr>
              <w:pStyle w:val="20"/>
              <w:spacing w:line="260" w:lineRule="exact"/>
              <w:ind w:left="48" w:leftChars="20" w:right="62" w:rightChars="2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违反门卫制度，妨碍门卫执勤的。</w:t>
            </w:r>
          </w:p>
        </w:tc>
        <w:tc>
          <w:tcPr>
            <w:tcW w:w="4393" w:type="dxa"/>
            <w:tcMar>
              <w:top w:w="15" w:type="dxa"/>
              <w:left w:w="15" w:type="dxa"/>
              <w:bottom w:w="0" w:type="dxa"/>
              <w:right w:w="15" w:type="dxa"/>
            </w:tcMar>
            <w:vAlign w:val="center"/>
          </w:tcPr>
          <w:p w14:paraId="3CBA660E">
            <w:pPr>
              <w:pStyle w:val="20"/>
              <w:spacing w:line="260" w:lineRule="exact"/>
              <w:ind w:left="125" w:leftChars="52" w:right="144" w:rightChars="6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扣100～500元/次。</w:t>
            </w:r>
          </w:p>
        </w:tc>
        <w:tc>
          <w:tcPr>
            <w:tcW w:w="1131" w:type="dxa"/>
            <w:vAlign w:val="top"/>
          </w:tcPr>
          <w:p w14:paraId="57DCC261">
            <w:pPr>
              <w:pStyle w:val="20"/>
              <w:spacing w:line="2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w:t>
            </w:r>
          </w:p>
        </w:tc>
      </w:tr>
      <w:tr w14:paraId="63131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5C1A0340">
            <w:pPr>
              <w:numPr>
                <w:ilvl w:val="0"/>
                <w:numId w:val="10"/>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37B988C8">
            <w:pPr>
              <w:pStyle w:val="20"/>
              <w:spacing w:line="260" w:lineRule="exact"/>
              <w:ind w:left="48" w:leftChars="20" w:right="62" w:rightChars="2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冒用他人证件进出厂门。</w:t>
            </w:r>
          </w:p>
        </w:tc>
        <w:tc>
          <w:tcPr>
            <w:tcW w:w="4393" w:type="dxa"/>
            <w:tcMar>
              <w:top w:w="15" w:type="dxa"/>
              <w:left w:w="15" w:type="dxa"/>
              <w:bottom w:w="0" w:type="dxa"/>
              <w:right w:w="15" w:type="dxa"/>
            </w:tcMar>
            <w:vAlign w:val="center"/>
          </w:tcPr>
          <w:p w14:paraId="55AF4DB8">
            <w:pPr>
              <w:pStyle w:val="20"/>
              <w:spacing w:line="260" w:lineRule="exact"/>
              <w:ind w:left="125" w:leftChars="52" w:right="144" w:rightChars="6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扣500元/次</w:t>
            </w:r>
          </w:p>
        </w:tc>
        <w:tc>
          <w:tcPr>
            <w:tcW w:w="1131" w:type="dxa"/>
            <w:vAlign w:val="top"/>
          </w:tcPr>
          <w:p w14:paraId="45A7FC1C">
            <w:pPr>
              <w:pStyle w:val="20"/>
              <w:spacing w:line="2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14:paraId="1D937D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609" w:type="dxa"/>
            <w:gridSpan w:val="3"/>
            <w:tcMar>
              <w:top w:w="15" w:type="dxa"/>
              <w:left w:w="15" w:type="dxa"/>
              <w:bottom w:w="0" w:type="dxa"/>
              <w:right w:w="15" w:type="dxa"/>
            </w:tcMar>
            <w:vAlign w:val="center"/>
          </w:tcPr>
          <w:p w14:paraId="7613ADEB">
            <w:pPr>
              <w:ind w:left="125" w:leftChars="52" w:right="144" w:rightChars="60"/>
              <w:jc w:val="left"/>
              <w:rPr>
                <w:rFonts w:hint="eastAsia" w:ascii="宋体" w:hAnsi="宋体" w:eastAsia="宋体" w:cs="宋体"/>
                <w:sz w:val="21"/>
                <w:szCs w:val="21"/>
              </w:rPr>
            </w:pPr>
            <w:r>
              <w:rPr>
                <w:rFonts w:hint="eastAsia" w:ascii="宋体" w:hAnsi="宋体" w:eastAsia="宋体" w:cs="宋体"/>
                <w:sz w:val="21"/>
                <w:szCs w:val="21"/>
              </w:rPr>
              <w:t>3.6、其他</w:t>
            </w:r>
          </w:p>
        </w:tc>
        <w:tc>
          <w:tcPr>
            <w:tcW w:w="1131" w:type="dxa"/>
            <w:vAlign w:val="top"/>
          </w:tcPr>
          <w:p w14:paraId="448D1FF0">
            <w:pPr>
              <w:jc w:val="center"/>
              <w:rPr>
                <w:rFonts w:hint="eastAsia" w:ascii="宋体" w:hAnsi="宋体" w:eastAsia="宋体" w:cs="宋体"/>
                <w:sz w:val="21"/>
                <w:szCs w:val="21"/>
              </w:rPr>
            </w:pPr>
          </w:p>
        </w:tc>
      </w:tr>
      <w:tr w14:paraId="741D25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482B417">
            <w:pPr>
              <w:numPr>
                <w:ilvl w:val="0"/>
                <w:numId w:val="11"/>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1B50AEAB">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未按文明生产整改单所列要求及时整改（提出整改计划，并经同意除外）。</w:t>
            </w:r>
          </w:p>
        </w:tc>
        <w:tc>
          <w:tcPr>
            <w:tcW w:w="4393" w:type="dxa"/>
            <w:tcMar>
              <w:top w:w="15" w:type="dxa"/>
              <w:left w:w="15" w:type="dxa"/>
              <w:bottom w:w="0" w:type="dxa"/>
              <w:right w:w="15" w:type="dxa"/>
            </w:tcMar>
            <w:vAlign w:val="center"/>
          </w:tcPr>
          <w:p w14:paraId="01A38520">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654B648D">
            <w:pPr>
              <w:jc w:val="center"/>
              <w:rPr>
                <w:rFonts w:hint="eastAsia" w:ascii="宋体" w:hAnsi="宋体" w:eastAsia="宋体" w:cs="宋体"/>
                <w:sz w:val="21"/>
                <w:szCs w:val="21"/>
              </w:rPr>
            </w:pPr>
            <w:r>
              <w:rPr>
                <w:rFonts w:hint="eastAsia" w:ascii="宋体" w:hAnsi="宋体" w:eastAsia="宋体" w:cs="宋体"/>
                <w:sz w:val="21"/>
                <w:szCs w:val="21"/>
              </w:rPr>
              <w:t>－4</w:t>
            </w:r>
          </w:p>
        </w:tc>
      </w:tr>
      <w:tr w14:paraId="29369C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61529FF7">
            <w:pPr>
              <w:numPr>
                <w:ilvl w:val="0"/>
                <w:numId w:val="11"/>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BD000B6">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违章行为被指正仍坚决不改的。</w:t>
            </w:r>
          </w:p>
        </w:tc>
        <w:tc>
          <w:tcPr>
            <w:tcW w:w="4393" w:type="dxa"/>
            <w:tcMar>
              <w:top w:w="15" w:type="dxa"/>
              <w:left w:w="15" w:type="dxa"/>
              <w:bottom w:w="0" w:type="dxa"/>
              <w:right w:w="15" w:type="dxa"/>
            </w:tcMar>
            <w:vAlign w:val="center"/>
          </w:tcPr>
          <w:p w14:paraId="0C79EDE8">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按违章行为相应条款加倍考核。</w:t>
            </w:r>
          </w:p>
        </w:tc>
        <w:tc>
          <w:tcPr>
            <w:tcW w:w="1131" w:type="dxa"/>
            <w:vAlign w:val="top"/>
          </w:tcPr>
          <w:p w14:paraId="75F7537B">
            <w:pPr>
              <w:jc w:val="center"/>
              <w:rPr>
                <w:rFonts w:hint="eastAsia" w:ascii="宋体" w:hAnsi="宋体" w:eastAsia="宋体" w:cs="宋体"/>
                <w:sz w:val="21"/>
                <w:szCs w:val="21"/>
              </w:rPr>
            </w:pPr>
          </w:p>
        </w:tc>
      </w:tr>
      <w:tr w14:paraId="180DCD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01FD3D62">
            <w:pPr>
              <w:numPr>
                <w:ilvl w:val="0"/>
                <w:numId w:val="11"/>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67D13D67">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整改单未按时回复。</w:t>
            </w:r>
          </w:p>
        </w:tc>
        <w:tc>
          <w:tcPr>
            <w:tcW w:w="4393" w:type="dxa"/>
            <w:tcMar>
              <w:top w:w="15" w:type="dxa"/>
              <w:left w:w="15" w:type="dxa"/>
              <w:bottom w:w="0" w:type="dxa"/>
              <w:right w:w="15" w:type="dxa"/>
            </w:tcMar>
            <w:vAlign w:val="center"/>
          </w:tcPr>
          <w:p w14:paraId="0B21E917">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扣200元。</w:t>
            </w:r>
          </w:p>
        </w:tc>
        <w:tc>
          <w:tcPr>
            <w:tcW w:w="1131" w:type="dxa"/>
            <w:vAlign w:val="top"/>
          </w:tcPr>
          <w:p w14:paraId="151C1A65">
            <w:pPr>
              <w:jc w:val="center"/>
              <w:rPr>
                <w:rFonts w:hint="eastAsia" w:ascii="宋体" w:hAnsi="宋体" w:eastAsia="宋体" w:cs="宋体"/>
                <w:sz w:val="21"/>
                <w:szCs w:val="21"/>
              </w:rPr>
            </w:pPr>
            <w:r>
              <w:rPr>
                <w:rFonts w:hint="eastAsia" w:ascii="宋体" w:hAnsi="宋体" w:eastAsia="宋体" w:cs="宋体"/>
                <w:sz w:val="21"/>
                <w:szCs w:val="21"/>
              </w:rPr>
              <w:t>－4</w:t>
            </w:r>
          </w:p>
        </w:tc>
      </w:tr>
      <w:tr w14:paraId="23EA71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trPr>
        <w:tc>
          <w:tcPr>
            <w:tcW w:w="784" w:type="dxa"/>
            <w:tcMar>
              <w:top w:w="15" w:type="dxa"/>
              <w:left w:w="15" w:type="dxa"/>
              <w:bottom w:w="0" w:type="dxa"/>
              <w:right w:w="15" w:type="dxa"/>
            </w:tcMar>
            <w:vAlign w:val="center"/>
          </w:tcPr>
          <w:p w14:paraId="7DD8CF61">
            <w:pPr>
              <w:numPr>
                <w:ilvl w:val="0"/>
                <w:numId w:val="11"/>
              </w:numPr>
              <w:jc w:val="center"/>
              <w:rPr>
                <w:rFonts w:hint="eastAsia" w:ascii="宋体" w:hAnsi="宋体" w:eastAsia="宋体" w:cs="宋体"/>
                <w:sz w:val="21"/>
                <w:szCs w:val="21"/>
              </w:rPr>
            </w:pPr>
          </w:p>
        </w:tc>
        <w:tc>
          <w:tcPr>
            <w:tcW w:w="2432" w:type="dxa"/>
            <w:tcMar>
              <w:top w:w="15" w:type="dxa"/>
              <w:left w:w="15" w:type="dxa"/>
              <w:bottom w:w="0" w:type="dxa"/>
              <w:right w:w="15" w:type="dxa"/>
            </w:tcMar>
            <w:vAlign w:val="center"/>
          </w:tcPr>
          <w:p w14:paraId="509ECDBB">
            <w:pPr>
              <w:ind w:left="48" w:leftChars="20" w:right="62" w:rightChars="26"/>
              <w:rPr>
                <w:rFonts w:hint="eastAsia" w:ascii="宋体" w:hAnsi="宋体" w:eastAsia="宋体" w:cs="宋体"/>
                <w:sz w:val="21"/>
                <w:szCs w:val="21"/>
              </w:rPr>
            </w:pPr>
            <w:r>
              <w:rPr>
                <w:rFonts w:hint="eastAsia" w:ascii="宋体" w:hAnsi="宋体" w:eastAsia="宋体" w:cs="宋体"/>
                <w:sz w:val="21"/>
                <w:szCs w:val="21"/>
              </w:rPr>
              <w:t>其他违反安健环及文明生产管理标准行为，根据甲方有关规定视情节。</w:t>
            </w:r>
          </w:p>
        </w:tc>
        <w:tc>
          <w:tcPr>
            <w:tcW w:w="4393" w:type="dxa"/>
            <w:tcMar>
              <w:top w:w="15" w:type="dxa"/>
              <w:left w:w="15" w:type="dxa"/>
              <w:bottom w:w="0" w:type="dxa"/>
              <w:right w:w="15" w:type="dxa"/>
            </w:tcMar>
            <w:vAlign w:val="center"/>
          </w:tcPr>
          <w:p w14:paraId="2ECB583C">
            <w:pPr>
              <w:ind w:left="125" w:leftChars="52" w:right="144" w:rightChars="60"/>
              <w:rPr>
                <w:rFonts w:hint="eastAsia" w:ascii="宋体" w:hAnsi="宋体" w:eastAsia="宋体" w:cs="宋体"/>
                <w:sz w:val="21"/>
                <w:szCs w:val="21"/>
              </w:rPr>
            </w:pPr>
            <w:r>
              <w:rPr>
                <w:rFonts w:hint="eastAsia" w:ascii="宋体" w:hAnsi="宋体" w:eastAsia="宋体" w:cs="宋体"/>
                <w:sz w:val="21"/>
                <w:szCs w:val="21"/>
              </w:rPr>
              <w:t>每次扣款100～1000元。</w:t>
            </w:r>
          </w:p>
        </w:tc>
        <w:tc>
          <w:tcPr>
            <w:tcW w:w="1131" w:type="dxa"/>
            <w:vAlign w:val="top"/>
          </w:tcPr>
          <w:p w14:paraId="4F93DDB4">
            <w:pPr>
              <w:jc w:val="center"/>
              <w:rPr>
                <w:rFonts w:hint="eastAsia" w:ascii="宋体" w:hAnsi="宋体" w:eastAsia="宋体" w:cs="宋体"/>
                <w:sz w:val="21"/>
                <w:szCs w:val="21"/>
              </w:rPr>
            </w:pPr>
            <w:r>
              <w:rPr>
                <w:rFonts w:hint="eastAsia" w:ascii="宋体" w:hAnsi="宋体" w:eastAsia="宋体" w:cs="宋体"/>
                <w:sz w:val="21"/>
                <w:szCs w:val="21"/>
              </w:rPr>
              <w:t>-2～－10</w:t>
            </w:r>
          </w:p>
        </w:tc>
      </w:tr>
    </w:tbl>
    <w:p w14:paraId="34C0CDD0">
      <w:pPr>
        <w:spacing w:line="360" w:lineRule="auto"/>
        <w:rPr>
          <w:rFonts w:ascii="宋体" w:eastAsia="宋体"/>
          <w:szCs w:val="24"/>
          <w:highlight w:val="none"/>
        </w:rPr>
      </w:pPr>
    </w:p>
    <w:p w14:paraId="17EFEB6F">
      <w:pPr>
        <w:pStyle w:val="20"/>
        <w:spacing w:line="360" w:lineRule="auto"/>
        <w:outlineLvl w:val="0"/>
        <w:rPr>
          <w:rFonts w:ascii="宋体" w:eastAsia="宋体"/>
          <w:b/>
          <w:sz w:val="24"/>
          <w:szCs w:val="24"/>
          <w:highlight w:val="none"/>
        </w:rPr>
      </w:pPr>
      <w:r>
        <w:rPr>
          <w:rFonts w:hint="eastAsia" w:ascii="宋体" w:eastAsia="宋体"/>
          <w:b/>
          <w:sz w:val="24"/>
          <w:szCs w:val="24"/>
          <w:highlight w:val="none"/>
        </w:rPr>
        <w:t>附件一： 检修时限性要求</w:t>
      </w:r>
    </w:p>
    <w:p w14:paraId="5A26E03A">
      <w:pPr>
        <w:pStyle w:val="20"/>
        <w:spacing w:line="360" w:lineRule="auto"/>
        <w:outlineLvl w:val="0"/>
        <w:rPr>
          <w:rFonts w:ascii="宋体" w:eastAsia="宋体"/>
          <w:szCs w:val="21"/>
          <w:highlight w:val="none"/>
        </w:rPr>
      </w:pPr>
      <w:bookmarkStart w:id="42" w:name="_Toc29469567"/>
      <w:bookmarkStart w:id="43" w:name="_Toc29469466"/>
      <w:r>
        <w:rPr>
          <w:rFonts w:hint="eastAsia" w:ascii="宋体" w:eastAsia="宋体"/>
          <w:szCs w:val="21"/>
          <w:highlight w:val="none"/>
        </w:rPr>
        <w:t>设备发生故障时，投标人应在规定的时间内完成消缺情况，具体检修时限见下表：</w:t>
      </w:r>
      <w:bookmarkEnd w:id="42"/>
      <w:bookmarkEnd w:id="43"/>
    </w:p>
    <w:tbl>
      <w:tblPr>
        <w:tblStyle w:val="54"/>
        <w:tblW w:w="8522" w:type="dxa"/>
        <w:jc w:val="center"/>
        <w:tblLayout w:type="fixed"/>
        <w:tblCellMar>
          <w:top w:w="0" w:type="dxa"/>
          <w:left w:w="108" w:type="dxa"/>
          <w:bottom w:w="0" w:type="dxa"/>
          <w:right w:w="108" w:type="dxa"/>
        </w:tblCellMar>
      </w:tblPr>
      <w:tblGrid>
        <w:gridCol w:w="576"/>
        <w:gridCol w:w="1126"/>
        <w:gridCol w:w="2270"/>
        <w:gridCol w:w="3440"/>
        <w:gridCol w:w="1110"/>
      </w:tblGrid>
      <w:tr w14:paraId="677894DA">
        <w:tblPrEx>
          <w:tblCellMar>
            <w:top w:w="0" w:type="dxa"/>
            <w:left w:w="108" w:type="dxa"/>
            <w:bottom w:w="0" w:type="dxa"/>
            <w:right w:w="108" w:type="dxa"/>
          </w:tblCellMar>
        </w:tblPrEx>
        <w:trPr>
          <w:trHeight w:val="340" w:hRule="exact"/>
          <w:jc w:val="center"/>
        </w:trPr>
        <w:tc>
          <w:tcPr>
            <w:tcW w:w="85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47F1064">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磨石粉厂设备</w:t>
            </w:r>
            <w:r>
              <w:rPr>
                <w:rFonts w:hint="eastAsia" w:ascii="宋体" w:hAnsi="宋体" w:eastAsia="宋体" w:cs="宋体"/>
                <w:i w:val="0"/>
                <w:iCs/>
                <w:sz w:val="21"/>
                <w:szCs w:val="21"/>
              </w:rPr>
              <w:t>检修时限标准</w:t>
            </w:r>
          </w:p>
        </w:tc>
      </w:tr>
      <w:tr w14:paraId="4845CE7B">
        <w:tblPrEx>
          <w:tblCellMar>
            <w:top w:w="0" w:type="dxa"/>
            <w:left w:w="108" w:type="dxa"/>
            <w:bottom w:w="0" w:type="dxa"/>
            <w:right w:w="108" w:type="dxa"/>
          </w:tblCellMar>
        </w:tblPrEx>
        <w:trPr>
          <w:trHeight w:val="340" w:hRule="exact"/>
          <w:jc w:val="center"/>
        </w:trPr>
        <w:tc>
          <w:tcPr>
            <w:tcW w:w="576" w:type="dxa"/>
            <w:tcBorders>
              <w:top w:val="nil"/>
              <w:left w:val="single" w:color="auto" w:sz="4" w:space="0"/>
              <w:bottom w:val="single" w:color="auto" w:sz="4" w:space="0"/>
              <w:right w:val="single" w:color="auto" w:sz="4" w:space="0"/>
            </w:tcBorders>
            <w:shd w:val="clear" w:color="auto" w:fill="auto"/>
            <w:vAlign w:val="center"/>
          </w:tcPr>
          <w:p w14:paraId="080821D0">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序号</w:t>
            </w:r>
          </w:p>
        </w:tc>
        <w:tc>
          <w:tcPr>
            <w:tcW w:w="1126" w:type="dxa"/>
            <w:tcBorders>
              <w:top w:val="nil"/>
              <w:left w:val="nil"/>
              <w:bottom w:val="single" w:color="auto" w:sz="4" w:space="0"/>
              <w:right w:val="single" w:color="auto" w:sz="4" w:space="0"/>
            </w:tcBorders>
            <w:shd w:val="clear" w:color="auto" w:fill="auto"/>
            <w:vAlign w:val="center"/>
          </w:tcPr>
          <w:p w14:paraId="7BD2D34E">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工段</w:t>
            </w:r>
          </w:p>
        </w:tc>
        <w:tc>
          <w:tcPr>
            <w:tcW w:w="2270" w:type="dxa"/>
            <w:tcBorders>
              <w:top w:val="nil"/>
              <w:left w:val="nil"/>
              <w:bottom w:val="single" w:color="auto" w:sz="4" w:space="0"/>
              <w:right w:val="single" w:color="auto" w:sz="4" w:space="0"/>
            </w:tcBorders>
            <w:shd w:val="clear" w:color="auto" w:fill="auto"/>
            <w:vAlign w:val="center"/>
          </w:tcPr>
          <w:p w14:paraId="151BC27F">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设备名称</w:t>
            </w:r>
          </w:p>
        </w:tc>
        <w:tc>
          <w:tcPr>
            <w:tcW w:w="3440" w:type="dxa"/>
            <w:tcBorders>
              <w:top w:val="nil"/>
              <w:left w:val="nil"/>
              <w:bottom w:val="single" w:color="auto" w:sz="4" w:space="0"/>
              <w:right w:val="single" w:color="auto" w:sz="4" w:space="0"/>
            </w:tcBorders>
            <w:shd w:val="clear" w:color="auto" w:fill="auto"/>
            <w:vAlign w:val="center"/>
          </w:tcPr>
          <w:p w14:paraId="155F9EF2">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缺陷</w:t>
            </w:r>
          </w:p>
        </w:tc>
        <w:tc>
          <w:tcPr>
            <w:tcW w:w="1110" w:type="dxa"/>
            <w:tcBorders>
              <w:top w:val="nil"/>
              <w:left w:val="nil"/>
              <w:bottom w:val="single" w:color="auto" w:sz="4" w:space="0"/>
              <w:right w:val="single" w:color="auto" w:sz="4" w:space="0"/>
            </w:tcBorders>
            <w:shd w:val="clear" w:color="auto" w:fill="auto"/>
            <w:vAlign w:val="center"/>
          </w:tcPr>
          <w:p w14:paraId="33CB550A">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恢复时限</w:t>
            </w:r>
          </w:p>
        </w:tc>
      </w:tr>
      <w:tr w14:paraId="4145CE38">
        <w:tblPrEx>
          <w:tblCellMar>
            <w:top w:w="0" w:type="dxa"/>
            <w:left w:w="108" w:type="dxa"/>
            <w:bottom w:w="0" w:type="dxa"/>
            <w:right w:w="108" w:type="dxa"/>
          </w:tblCellMar>
        </w:tblPrEx>
        <w:trPr>
          <w:trHeight w:val="340" w:hRule="exact"/>
          <w:jc w:val="center"/>
        </w:trPr>
        <w:tc>
          <w:tcPr>
            <w:tcW w:w="576" w:type="dxa"/>
            <w:vMerge w:val="restart"/>
            <w:tcBorders>
              <w:top w:val="single" w:color="auto" w:sz="4" w:space="0"/>
              <w:left w:val="single" w:color="auto" w:sz="4" w:space="0"/>
              <w:right w:val="single" w:color="auto" w:sz="4" w:space="0"/>
            </w:tcBorders>
            <w:shd w:val="clear" w:color="auto" w:fill="auto"/>
            <w:vAlign w:val="center"/>
          </w:tcPr>
          <w:p w14:paraId="2F939FBC">
            <w:pPr>
              <w:widowControl/>
              <w:spacing w:line="360" w:lineRule="auto"/>
              <w:jc w:val="center"/>
              <w:rPr>
                <w:rFonts w:hint="eastAsia" w:ascii="宋体" w:hAnsi="宋体" w:eastAsia="宋体" w:cs="宋体"/>
                <w:i w:val="0"/>
                <w:iCs/>
                <w:sz w:val="21"/>
                <w:szCs w:val="21"/>
              </w:rPr>
            </w:pPr>
            <w:r>
              <w:rPr>
                <w:rFonts w:hint="eastAsia" w:ascii="宋体" w:hAnsi="宋体" w:eastAsia="宋体" w:cs="宋体"/>
                <w:i w:val="0"/>
                <w:iCs/>
                <w:sz w:val="21"/>
                <w:szCs w:val="21"/>
              </w:rPr>
              <w:t>1</w:t>
            </w:r>
          </w:p>
        </w:tc>
        <w:tc>
          <w:tcPr>
            <w:tcW w:w="1126" w:type="dxa"/>
            <w:vMerge w:val="restart"/>
            <w:tcBorders>
              <w:top w:val="single" w:color="auto" w:sz="4" w:space="0"/>
              <w:left w:val="single" w:color="auto" w:sz="4" w:space="0"/>
              <w:right w:val="single" w:color="auto" w:sz="4" w:space="0"/>
            </w:tcBorders>
            <w:shd w:val="clear" w:color="auto" w:fill="auto"/>
            <w:vAlign w:val="center"/>
          </w:tcPr>
          <w:p w14:paraId="661C58B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上料系统</w:t>
            </w:r>
          </w:p>
        </w:tc>
        <w:tc>
          <w:tcPr>
            <w:tcW w:w="2270" w:type="dxa"/>
            <w:tcBorders>
              <w:top w:val="single" w:color="auto" w:sz="4" w:space="0"/>
              <w:left w:val="single" w:color="auto" w:sz="4" w:space="0"/>
              <w:bottom w:val="single" w:color="auto" w:sz="4" w:space="0"/>
              <w:right w:val="single" w:color="auto" w:sz="4" w:space="0"/>
            </w:tcBorders>
            <w:shd w:val="clear" w:color="auto" w:fill="auto"/>
            <w:vAlign w:val="center"/>
          </w:tcPr>
          <w:p w14:paraId="6795094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进料格栅</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3B5BC28">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格栅钢材磨损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FACC4F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7F6AB13C">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68175D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608E95D">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40824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电磁振动给料机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58A4BE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振动电机故障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DCD488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5CC6F6A6">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A0778B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2CB03450">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1400C35">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0D7A7B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机架磨损漏料</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FB12088">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375F854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1050B85">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2FC82DCF">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958E403">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7960967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弹簧更换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2DE839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1.5h</w:t>
            </w:r>
          </w:p>
        </w:tc>
      </w:tr>
      <w:tr w14:paraId="5617C99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792F6A5">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86C7127">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BE73E67">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3CE1FC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就地控制柜电气原件故障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BA01F4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68530879">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5011612">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03C390E5">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F6F00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石灰石上料提升机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A3DB34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料斗变形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2FE00E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42194A1D">
        <w:tblPrEx>
          <w:tblCellMar>
            <w:top w:w="0" w:type="dxa"/>
            <w:left w:w="108" w:type="dxa"/>
            <w:bottom w:w="0" w:type="dxa"/>
            <w:right w:w="108" w:type="dxa"/>
          </w:tblCellMar>
        </w:tblPrEx>
        <w:trPr>
          <w:trHeight w:val="342" w:hRule="exact"/>
          <w:jc w:val="center"/>
        </w:trPr>
        <w:tc>
          <w:tcPr>
            <w:tcW w:w="576" w:type="dxa"/>
            <w:vMerge w:val="continue"/>
            <w:tcBorders>
              <w:left w:val="single" w:color="auto" w:sz="4" w:space="0"/>
              <w:right w:val="single" w:color="auto" w:sz="4" w:space="0"/>
            </w:tcBorders>
            <w:vAlign w:val="center"/>
          </w:tcPr>
          <w:p w14:paraId="3DAACCE5">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47E0CE8">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5F1C17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A70DB1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料斗销轴断裂</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36B49E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120BF54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87E28E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8D4DF2B">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835277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66BF0F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减速机故障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10EF31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12h</w:t>
            </w:r>
          </w:p>
        </w:tc>
      </w:tr>
      <w:tr w14:paraId="5C588DF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D2368A5">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5F9BB94">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6C22ED5">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974718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96537B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30A50D9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3C4CAB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6250AD4">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5DE5044">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46D6753D">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联轴器尼龙棒磨损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B187D83">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582559B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5E1321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10F731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2FE75FE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0328B788">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轴承损坏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B62A6FD">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3D46152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21FF44C">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02C9219B">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FA4E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进料三通电动阀</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75A68D5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挡板磨损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64B13D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7278A11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E0180AA">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72C2ABA">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E76F9B">
            <w:pPr>
              <w:widowControl/>
              <w:spacing w:line="360" w:lineRule="auto"/>
              <w:jc w:val="center"/>
              <w:rPr>
                <w:rFonts w:hint="eastAsia" w:ascii="宋体" w:hAns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455581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执行机构故障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5886245">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70402D4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6F7EAD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F378C07">
            <w:pPr>
              <w:widowControl/>
              <w:spacing w:line="360" w:lineRule="auto"/>
              <w:rPr>
                <w:rFonts w:hint="eastAsia" w:ascii="宋体" w:hAnsi="宋体" w:eastAsia="宋体" w:cs="宋体"/>
                <w:i w:val="0"/>
                <w:iCs/>
                <w:sz w:val="21"/>
                <w:szCs w:val="21"/>
              </w:rPr>
            </w:pPr>
          </w:p>
        </w:tc>
        <w:tc>
          <w:tcPr>
            <w:tcW w:w="2270" w:type="dxa"/>
            <w:tcBorders>
              <w:top w:val="single" w:color="auto" w:sz="4" w:space="0"/>
              <w:left w:val="single" w:color="auto" w:sz="4" w:space="0"/>
              <w:bottom w:val="single" w:color="auto" w:sz="4" w:space="0"/>
              <w:right w:val="single" w:color="auto" w:sz="4" w:space="0"/>
            </w:tcBorders>
            <w:vAlign w:val="center"/>
          </w:tcPr>
          <w:p w14:paraId="0F184669">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进料溜槽</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745ABB1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进料溜槽漏料</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4C6A649">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1.5h</w:t>
            </w:r>
          </w:p>
        </w:tc>
      </w:tr>
      <w:tr w14:paraId="3A3D057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AC0CC9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6C38C4B">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14117E38">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收尘器</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2C3EAD6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脉冲阀漏气、不动作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D80D996">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0.5h</w:t>
            </w:r>
          </w:p>
        </w:tc>
      </w:tr>
      <w:tr w14:paraId="09F8B03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3969D65">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06366E7E">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14F6CA6">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42B033D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减速器（带电机）故障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6F2FC2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7899243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BE078F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964F6FE">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93D7537">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3D01D30E">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滤袋破损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762B41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4040DBE6">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5B7A2818">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3DCBE205">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590FA3">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0E7D9988">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袋笼变形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5746398">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0E9F027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5E4FD76">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D390C1F">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9C2A27F">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623D9428">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气缸漏气</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E05EC78">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7A3655E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D667418">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352CB38">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3DA2D61">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18BBF6E2">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三联件空气过滤减压阀损坏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C3F662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0.5h</w:t>
            </w:r>
          </w:p>
        </w:tc>
      </w:tr>
      <w:tr w14:paraId="3468E91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14433D2">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D134594">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5D1BD2F8">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48D8B885">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排尘风机故障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6B76E1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23FEBDB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2FE9B4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DE50591">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right w:val="single" w:color="auto" w:sz="4" w:space="0"/>
            </w:tcBorders>
            <w:vAlign w:val="center"/>
          </w:tcPr>
          <w:p w14:paraId="362EF628">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石料皮带输送机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482C2862">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减速机（电机故障）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A5E1903">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010257F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0E9F0A6">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3A04E65">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0033F362">
            <w:pPr>
              <w:widowControl/>
              <w:spacing w:line="360" w:lineRule="auto"/>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28F3F6D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皮带破损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B0C7A56">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20h</w:t>
            </w:r>
          </w:p>
        </w:tc>
      </w:tr>
      <w:tr w14:paraId="76B188D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bottom w:val="single" w:color="auto" w:sz="4" w:space="0"/>
              <w:right w:val="single" w:color="auto" w:sz="4" w:space="0"/>
            </w:tcBorders>
            <w:vAlign w:val="center"/>
          </w:tcPr>
          <w:p w14:paraId="4160267F">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bottom w:val="single" w:color="auto" w:sz="4" w:space="0"/>
              <w:right w:val="single" w:color="auto" w:sz="4" w:space="0"/>
            </w:tcBorders>
            <w:vAlign w:val="center"/>
          </w:tcPr>
          <w:p w14:paraId="1139BE75">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bottom w:val="single" w:color="auto" w:sz="4" w:space="0"/>
              <w:right w:val="single" w:color="auto" w:sz="4" w:space="0"/>
            </w:tcBorders>
            <w:vAlign w:val="center"/>
          </w:tcPr>
          <w:p w14:paraId="2670CB28">
            <w:pPr>
              <w:widowControl/>
              <w:spacing w:line="360" w:lineRule="auto"/>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0BA71CFB">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托辊更换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7720A49">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6454B4FC">
        <w:tblPrEx>
          <w:tblCellMar>
            <w:top w:w="0" w:type="dxa"/>
            <w:left w:w="108" w:type="dxa"/>
            <w:bottom w:w="0" w:type="dxa"/>
            <w:right w:w="108" w:type="dxa"/>
          </w:tblCellMar>
        </w:tblPrEx>
        <w:trPr>
          <w:trHeight w:val="340" w:hRule="exact"/>
          <w:jc w:val="center"/>
        </w:trPr>
        <w:tc>
          <w:tcPr>
            <w:tcW w:w="576" w:type="dxa"/>
            <w:vMerge w:val="restart"/>
            <w:tcBorders>
              <w:top w:val="single" w:color="auto" w:sz="4" w:space="0"/>
              <w:left w:val="single" w:color="auto" w:sz="4" w:space="0"/>
              <w:right w:val="single" w:color="auto" w:sz="4" w:space="0"/>
            </w:tcBorders>
            <w:shd w:val="clear" w:color="auto" w:fill="auto"/>
            <w:vAlign w:val="center"/>
          </w:tcPr>
          <w:p w14:paraId="2F997BA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 xml:space="preserve">2 </w:t>
            </w:r>
          </w:p>
        </w:tc>
        <w:tc>
          <w:tcPr>
            <w:tcW w:w="1126" w:type="dxa"/>
            <w:vMerge w:val="restart"/>
            <w:tcBorders>
              <w:top w:val="single" w:color="auto" w:sz="4" w:space="0"/>
              <w:left w:val="single" w:color="auto" w:sz="4" w:space="0"/>
              <w:right w:val="single" w:color="auto" w:sz="4" w:space="0"/>
            </w:tcBorders>
            <w:shd w:val="clear" w:color="auto" w:fill="auto"/>
            <w:vAlign w:val="center"/>
          </w:tcPr>
          <w:p w14:paraId="3A076A3A">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磨粉系统</w:t>
            </w: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617BE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料仓插棒门</w:t>
            </w:r>
          </w:p>
        </w:tc>
        <w:tc>
          <w:tcPr>
            <w:tcW w:w="3440" w:type="dxa"/>
            <w:tcBorders>
              <w:top w:val="single" w:color="auto" w:sz="4" w:space="0"/>
              <w:left w:val="nil"/>
              <w:bottom w:val="single" w:color="auto" w:sz="4" w:space="0"/>
              <w:right w:val="single" w:color="auto" w:sz="4" w:space="0"/>
            </w:tcBorders>
            <w:shd w:val="clear" w:color="auto" w:fill="auto"/>
            <w:vAlign w:val="center"/>
          </w:tcPr>
          <w:p w14:paraId="4FF87EFA">
            <w:pPr>
              <w:spacing w:line="360" w:lineRule="auto"/>
              <w:jc w:val="center"/>
              <w:outlineLvl w:val="9"/>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插棒阀断裂</w:t>
            </w:r>
          </w:p>
        </w:tc>
        <w:tc>
          <w:tcPr>
            <w:tcW w:w="1110" w:type="dxa"/>
            <w:tcBorders>
              <w:top w:val="single" w:color="auto" w:sz="4" w:space="0"/>
              <w:left w:val="nil"/>
              <w:bottom w:val="single" w:color="auto" w:sz="4" w:space="0"/>
              <w:right w:val="single" w:color="auto" w:sz="4" w:space="0"/>
            </w:tcBorders>
            <w:shd w:val="clear" w:color="auto" w:fill="auto"/>
            <w:vAlign w:val="center"/>
          </w:tcPr>
          <w:p w14:paraId="3531D606">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7D7B52F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CCEFA32">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56D65FD">
            <w:pPr>
              <w:widowControl/>
              <w:spacing w:line="360" w:lineRule="auto"/>
              <w:rPr>
                <w:rFonts w:hint="eastAsia" w:ascii="宋体" w:hAnsi="宋体" w:eastAsia="宋体" w:cs="宋体"/>
                <w:i w:val="0"/>
                <w:iCs/>
                <w:sz w:val="21"/>
                <w:szCs w:val="21"/>
              </w:rPr>
            </w:pPr>
          </w:p>
        </w:tc>
        <w:tc>
          <w:tcPr>
            <w:tcW w:w="2270" w:type="dxa"/>
            <w:vMerge w:val="continue"/>
            <w:tcBorders>
              <w:top w:val="nil"/>
              <w:left w:val="single" w:color="auto" w:sz="4" w:space="0"/>
              <w:bottom w:val="single" w:color="auto" w:sz="4" w:space="0"/>
              <w:right w:val="single" w:color="auto" w:sz="4" w:space="0"/>
            </w:tcBorders>
            <w:vAlign w:val="center"/>
          </w:tcPr>
          <w:p w14:paraId="5C08D267">
            <w:pPr>
              <w:widowControl/>
              <w:spacing w:line="360" w:lineRule="auto"/>
              <w:rPr>
                <w:rFonts w:hint="eastAsia" w:ascii="宋体" w:hAnsi="宋体" w:eastAsia="宋体" w:cs="宋体"/>
                <w:i w:val="0"/>
                <w:iCs/>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EC042BC">
            <w:pPr>
              <w:spacing w:line="360" w:lineRule="auto"/>
              <w:jc w:val="center"/>
              <w:outlineLvl w:val="9"/>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插棒门壳体磨损漏料</w:t>
            </w:r>
          </w:p>
        </w:tc>
        <w:tc>
          <w:tcPr>
            <w:tcW w:w="1110" w:type="dxa"/>
            <w:tcBorders>
              <w:top w:val="nil"/>
              <w:left w:val="nil"/>
              <w:bottom w:val="single" w:color="auto" w:sz="4" w:space="0"/>
              <w:right w:val="single" w:color="auto" w:sz="4" w:space="0"/>
            </w:tcBorders>
            <w:shd w:val="clear" w:color="auto" w:fill="auto"/>
            <w:vAlign w:val="center"/>
          </w:tcPr>
          <w:p w14:paraId="34A4158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1.5h</w:t>
            </w:r>
          </w:p>
        </w:tc>
      </w:tr>
      <w:tr w14:paraId="641A909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DC9273A">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B9132F9">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8BA56D">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称重皮带机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A856738">
            <w:pPr>
              <w:spacing w:line="360" w:lineRule="auto"/>
              <w:jc w:val="center"/>
              <w:outlineLvl w:val="9"/>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皮带破损更换</w:t>
            </w:r>
          </w:p>
        </w:tc>
        <w:tc>
          <w:tcPr>
            <w:tcW w:w="1110" w:type="dxa"/>
            <w:tcBorders>
              <w:top w:val="nil"/>
              <w:left w:val="nil"/>
              <w:bottom w:val="single" w:color="auto" w:sz="4" w:space="0"/>
              <w:right w:val="single" w:color="auto" w:sz="4" w:space="0"/>
            </w:tcBorders>
            <w:shd w:val="clear" w:color="auto" w:fill="auto"/>
            <w:vAlign w:val="center"/>
          </w:tcPr>
          <w:p w14:paraId="2EDB13B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10h</w:t>
            </w:r>
          </w:p>
        </w:tc>
      </w:tr>
      <w:tr w14:paraId="200665D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5678C01">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4072812">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7E0684A4">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BB1A59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托辊卡涩更换</w:t>
            </w:r>
          </w:p>
        </w:tc>
        <w:tc>
          <w:tcPr>
            <w:tcW w:w="1110" w:type="dxa"/>
            <w:tcBorders>
              <w:top w:val="nil"/>
              <w:left w:val="nil"/>
              <w:bottom w:val="single" w:color="auto" w:sz="4" w:space="0"/>
              <w:right w:val="single" w:color="auto" w:sz="4" w:space="0"/>
            </w:tcBorders>
            <w:shd w:val="clear" w:color="auto" w:fill="auto"/>
            <w:vAlign w:val="center"/>
          </w:tcPr>
          <w:p w14:paraId="058027C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15FE06B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73B6D4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4B35BB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09A72F4">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02BC23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清扫机减速机（电机）故障</w:t>
            </w:r>
          </w:p>
        </w:tc>
        <w:tc>
          <w:tcPr>
            <w:tcW w:w="1110" w:type="dxa"/>
            <w:tcBorders>
              <w:top w:val="nil"/>
              <w:left w:val="nil"/>
              <w:bottom w:val="single" w:color="auto" w:sz="4" w:space="0"/>
              <w:right w:val="single" w:color="auto" w:sz="4" w:space="0"/>
            </w:tcBorders>
            <w:shd w:val="clear" w:color="auto" w:fill="auto"/>
            <w:vAlign w:val="center"/>
          </w:tcPr>
          <w:p w14:paraId="2EC223F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203435B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BDA69B7">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FC5BDB4">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06C36F">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4B8F3DA6">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皮带输送减速机（电机）故障</w:t>
            </w:r>
          </w:p>
        </w:tc>
        <w:tc>
          <w:tcPr>
            <w:tcW w:w="1110" w:type="dxa"/>
            <w:tcBorders>
              <w:top w:val="nil"/>
              <w:left w:val="nil"/>
              <w:bottom w:val="single" w:color="auto" w:sz="4" w:space="0"/>
              <w:right w:val="single" w:color="auto" w:sz="4" w:space="0"/>
            </w:tcBorders>
            <w:shd w:val="clear" w:color="auto" w:fill="auto"/>
            <w:vAlign w:val="center"/>
          </w:tcPr>
          <w:p w14:paraId="2503290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1E80823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8BC9D3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A2B64A5">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8C3D96D">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E60B8AD">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清扫机链条脱落</w:t>
            </w:r>
          </w:p>
        </w:tc>
        <w:tc>
          <w:tcPr>
            <w:tcW w:w="1110" w:type="dxa"/>
            <w:tcBorders>
              <w:top w:val="nil"/>
              <w:left w:val="nil"/>
              <w:bottom w:val="single" w:color="auto" w:sz="4" w:space="0"/>
              <w:right w:val="single" w:color="auto" w:sz="4" w:space="0"/>
            </w:tcBorders>
            <w:shd w:val="clear" w:color="auto" w:fill="auto"/>
            <w:vAlign w:val="center"/>
          </w:tcPr>
          <w:p w14:paraId="4414D57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61F17B61">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8E3EDD2">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764D089">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EE3987C">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3CB5EC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主动、从动滚筒、轴承损坏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12A196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40E2421F">
        <w:tblPrEx>
          <w:tblCellMar>
            <w:top w:w="0" w:type="dxa"/>
            <w:left w:w="108" w:type="dxa"/>
            <w:bottom w:w="0" w:type="dxa"/>
            <w:right w:w="108" w:type="dxa"/>
          </w:tblCellMar>
        </w:tblPrEx>
        <w:trPr>
          <w:trHeight w:val="941" w:hRule="exact"/>
          <w:jc w:val="center"/>
        </w:trPr>
        <w:tc>
          <w:tcPr>
            <w:tcW w:w="576" w:type="dxa"/>
            <w:vMerge w:val="continue"/>
            <w:tcBorders>
              <w:left w:val="single" w:color="auto" w:sz="4" w:space="0"/>
              <w:right w:val="single" w:color="auto" w:sz="4" w:space="0"/>
            </w:tcBorders>
            <w:vAlign w:val="center"/>
          </w:tcPr>
          <w:p w14:paraId="238060F8">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0E41DAB">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9D34FF">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nil"/>
              <w:bottom w:val="single" w:color="auto" w:sz="4" w:space="0"/>
              <w:right w:val="single" w:color="auto" w:sz="4" w:space="0"/>
            </w:tcBorders>
            <w:shd w:val="clear" w:color="auto" w:fill="auto"/>
            <w:vAlign w:val="center"/>
          </w:tcPr>
          <w:p w14:paraId="5F74C76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清扫机链条主动、从动、架链轴轴承损坏</w:t>
            </w:r>
          </w:p>
        </w:tc>
        <w:tc>
          <w:tcPr>
            <w:tcW w:w="1110" w:type="dxa"/>
            <w:tcBorders>
              <w:top w:val="single" w:color="auto" w:sz="4" w:space="0"/>
              <w:left w:val="nil"/>
              <w:bottom w:val="single" w:color="auto" w:sz="4" w:space="0"/>
              <w:right w:val="single" w:color="auto" w:sz="4" w:space="0"/>
            </w:tcBorders>
            <w:shd w:val="clear" w:color="auto" w:fill="auto"/>
            <w:vAlign w:val="center"/>
          </w:tcPr>
          <w:p w14:paraId="46422FC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5D82422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4BE504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A5756FF">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right w:val="single" w:color="auto" w:sz="4" w:space="0"/>
            </w:tcBorders>
            <w:shd w:val="clear" w:color="auto" w:fill="auto"/>
            <w:vAlign w:val="center"/>
          </w:tcPr>
          <w:p w14:paraId="0B0E692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进料提升机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0C3506C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料斗变形</w:t>
            </w:r>
          </w:p>
        </w:tc>
        <w:tc>
          <w:tcPr>
            <w:tcW w:w="1110" w:type="dxa"/>
            <w:tcBorders>
              <w:top w:val="nil"/>
              <w:left w:val="nil"/>
              <w:bottom w:val="single" w:color="auto" w:sz="4" w:space="0"/>
              <w:right w:val="single" w:color="auto" w:sz="4" w:space="0"/>
            </w:tcBorders>
            <w:shd w:val="clear" w:color="auto" w:fill="auto"/>
            <w:vAlign w:val="center"/>
          </w:tcPr>
          <w:p w14:paraId="520AA41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6h</w:t>
            </w:r>
          </w:p>
        </w:tc>
      </w:tr>
      <w:tr w14:paraId="41C3A9B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556729E">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897BF6C">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788F7745">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04838B18">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料斗销轴断裂</w:t>
            </w:r>
          </w:p>
        </w:tc>
        <w:tc>
          <w:tcPr>
            <w:tcW w:w="1110" w:type="dxa"/>
            <w:tcBorders>
              <w:top w:val="nil"/>
              <w:left w:val="nil"/>
              <w:bottom w:val="single" w:color="auto" w:sz="4" w:space="0"/>
              <w:right w:val="single" w:color="auto" w:sz="4" w:space="0"/>
            </w:tcBorders>
            <w:shd w:val="clear" w:color="auto" w:fill="auto"/>
            <w:vAlign w:val="center"/>
          </w:tcPr>
          <w:p w14:paraId="5E11AF97">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4h</w:t>
            </w:r>
          </w:p>
        </w:tc>
      </w:tr>
      <w:tr w14:paraId="60C51C3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8F225AC">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44AF0D4">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2C7CD48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C037116">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减速机故障</w:t>
            </w:r>
          </w:p>
        </w:tc>
        <w:tc>
          <w:tcPr>
            <w:tcW w:w="1110" w:type="dxa"/>
            <w:tcBorders>
              <w:top w:val="nil"/>
              <w:left w:val="nil"/>
              <w:bottom w:val="single" w:color="auto" w:sz="4" w:space="0"/>
              <w:right w:val="single" w:color="auto" w:sz="4" w:space="0"/>
            </w:tcBorders>
            <w:shd w:val="clear" w:color="auto" w:fill="auto"/>
            <w:vAlign w:val="center"/>
          </w:tcPr>
          <w:p w14:paraId="0A966906">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12h</w:t>
            </w:r>
          </w:p>
        </w:tc>
      </w:tr>
      <w:tr w14:paraId="7F9389E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591A20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589B9AA">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30B42D83">
            <w:pPr>
              <w:widowControl/>
              <w:spacing w:line="360" w:lineRule="auto"/>
              <w:rPr>
                <w:rFonts w:hint="eastAsia" w:ascii="宋体" w:hAnsi="宋体" w:eastAsia="宋体" w:cs="宋体"/>
                <w:i w:val="0"/>
                <w:iCs/>
                <w:sz w:val="21"/>
                <w:szCs w:val="21"/>
              </w:rPr>
            </w:pPr>
          </w:p>
        </w:tc>
        <w:tc>
          <w:tcPr>
            <w:tcW w:w="3440" w:type="dxa"/>
            <w:tcBorders>
              <w:top w:val="single" w:color="auto" w:sz="4" w:space="0"/>
              <w:left w:val="nil"/>
              <w:bottom w:val="single" w:color="auto" w:sz="4" w:space="0"/>
              <w:right w:val="single" w:color="auto" w:sz="4" w:space="0"/>
            </w:tcBorders>
            <w:shd w:val="clear" w:color="auto" w:fill="auto"/>
            <w:vAlign w:val="center"/>
          </w:tcPr>
          <w:p w14:paraId="05FBA987">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电机故障</w:t>
            </w:r>
          </w:p>
        </w:tc>
        <w:tc>
          <w:tcPr>
            <w:tcW w:w="1110" w:type="dxa"/>
            <w:tcBorders>
              <w:top w:val="nil"/>
              <w:left w:val="nil"/>
              <w:bottom w:val="single" w:color="auto" w:sz="4" w:space="0"/>
              <w:right w:val="single" w:color="auto" w:sz="4" w:space="0"/>
            </w:tcBorders>
            <w:shd w:val="clear" w:color="auto" w:fill="auto"/>
            <w:vAlign w:val="center"/>
          </w:tcPr>
          <w:p w14:paraId="7B5CC443">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6h</w:t>
            </w:r>
          </w:p>
        </w:tc>
      </w:tr>
      <w:tr w14:paraId="5FAB0DC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F7CA04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A6CE581">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shd w:val="clear" w:color="auto" w:fill="auto"/>
            <w:vAlign w:val="center"/>
          </w:tcPr>
          <w:p w14:paraId="5653649E">
            <w:pPr>
              <w:widowControl/>
              <w:spacing w:line="360" w:lineRule="auto"/>
              <w:jc w:val="center"/>
              <w:rPr>
                <w:rFonts w:hint="eastAsia" w:ascii="宋体" w:hAnsi="宋体" w:eastAsia="宋体" w:cs="宋体"/>
                <w:i w:val="0"/>
                <w:iCs/>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0084546">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联轴器尼龙棒磨损</w:t>
            </w:r>
          </w:p>
        </w:tc>
        <w:tc>
          <w:tcPr>
            <w:tcW w:w="1110" w:type="dxa"/>
            <w:tcBorders>
              <w:top w:val="nil"/>
              <w:left w:val="nil"/>
              <w:bottom w:val="single" w:color="auto" w:sz="4" w:space="0"/>
              <w:right w:val="single" w:color="auto" w:sz="4" w:space="0"/>
            </w:tcBorders>
            <w:shd w:val="clear" w:color="auto" w:fill="auto"/>
            <w:vAlign w:val="center"/>
          </w:tcPr>
          <w:p w14:paraId="753060C8">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2h</w:t>
            </w:r>
          </w:p>
        </w:tc>
      </w:tr>
      <w:tr w14:paraId="5216463C">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CCA1E4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6CD75AE">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bottom w:val="single" w:color="auto" w:sz="4" w:space="0"/>
              <w:right w:val="single" w:color="auto" w:sz="4" w:space="0"/>
            </w:tcBorders>
            <w:vAlign w:val="center"/>
          </w:tcPr>
          <w:p w14:paraId="310F7753">
            <w:pPr>
              <w:widowControl/>
              <w:spacing w:line="360" w:lineRule="auto"/>
              <w:rPr>
                <w:rFonts w:hint="eastAsia" w:ascii="宋体" w:hAnsi="宋体" w:eastAsia="宋体" w:cs="宋体"/>
                <w:i w:val="0"/>
                <w:iCs/>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0BDA1552">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轴承损坏</w:t>
            </w:r>
          </w:p>
        </w:tc>
        <w:tc>
          <w:tcPr>
            <w:tcW w:w="1110" w:type="dxa"/>
            <w:tcBorders>
              <w:top w:val="nil"/>
              <w:left w:val="nil"/>
              <w:bottom w:val="single" w:color="auto" w:sz="4" w:space="0"/>
              <w:right w:val="single" w:color="auto" w:sz="4" w:space="0"/>
            </w:tcBorders>
            <w:shd w:val="clear" w:color="auto" w:fill="auto"/>
            <w:vAlign w:val="center"/>
          </w:tcPr>
          <w:p w14:paraId="088CCDB6">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3h</w:t>
            </w:r>
          </w:p>
        </w:tc>
      </w:tr>
      <w:tr w14:paraId="570C12A1">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15FBFA8A">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3A197CD9">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D003E1">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004339E9">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链条断裂</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431085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5A07AF8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D769BE6">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ABB6772">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523CA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进料锁气器</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DD3AD8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减速机故障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FD02E3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4740D07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55A3E1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1C222CA">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CD90206">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00E54D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9319AC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2BA1FD6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10C3F6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D210915">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855997F">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411DD6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转子磨损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6BAC5E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58854DD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0B6A81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D5F5660">
            <w:pPr>
              <w:widowControl/>
              <w:spacing w:line="360" w:lineRule="auto"/>
              <w:rPr>
                <w:rFonts w:hint="eastAsia" w:ascii="宋体" w:hAnsi="宋体" w:eastAsia="宋体" w:cs="宋体"/>
                <w:i w:val="0"/>
                <w:iCs/>
                <w:sz w:val="21"/>
                <w:szCs w:val="21"/>
              </w:rPr>
            </w:pPr>
          </w:p>
        </w:tc>
        <w:tc>
          <w:tcPr>
            <w:tcW w:w="2270" w:type="dxa"/>
            <w:tcBorders>
              <w:top w:val="single" w:color="auto" w:sz="4" w:space="0"/>
              <w:left w:val="single" w:color="auto" w:sz="4" w:space="0"/>
              <w:bottom w:val="single" w:color="auto" w:sz="4" w:space="0"/>
              <w:right w:val="single" w:color="auto" w:sz="4" w:space="0"/>
            </w:tcBorders>
            <w:shd w:val="clear" w:color="auto" w:fill="auto"/>
            <w:vAlign w:val="center"/>
          </w:tcPr>
          <w:p w14:paraId="332FC9C5">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进料溜槽</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99A4065">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进料溜槽漏料</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813BC23">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4h</w:t>
            </w:r>
          </w:p>
        </w:tc>
      </w:tr>
      <w:tr w14:paraId="004823C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3084FB20">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3B58EDA7">
            <w:pPr>
              <w:widowControl/>
              <w:spacing w:line="360" w:lineRule="auto"/>
              <w:jc w:val="center"/>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9B286A">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磨机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6C41118">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进风口堵塞清理</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A336E8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1333B946">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2C3212F">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402520F">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2684C41E">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C7107A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回料口堵塞</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8F5DCF6">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0DBBE49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37B75DF">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93D6216">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46284F">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EACBA8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限位螺栓断裂</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9CAB30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1B33F1F5">
        <w:tblPrEx>
          <w:tblCellMar>
            <w:top w:w="0" w:type="dxa"/>
            <w:left w:w="108" w:type="dxa"/>
            <w:bottom w:w="0" w:type="dxa"/>
            <w:right w:w="108" w:type="dxa"/>
          </w:tblCellMar>
        </w:tblPrEx>
        <w:trPr>
          <w:trHeight w:val="342" w:hRule="exact"/>
          <w:jc w:val="center"/>
        </w:trPr>
        <w:tc>
          <w:tcPr>
            <w:tcW w:w="576" w:type="dxa"/>
            <w:vMerge w:val="continue"/>
            <w:tcBorders>
              <w:left w:val="single" w:color="auto" w:sz="4" w:space="0"/>
              <w:right w:val="single" w:color="auto" w:sz="4" w:space="0"/>
            </w:tcBorders>
            <w:vAlign w:val="center"/>
          </w:tcPr>
          <w:p w14:paraId="5633BFF8">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BF8EBE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DBBDE3B">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9FE0AA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上、下轴瓦磨损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82DA02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66F1870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044519A2">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3F4167C1">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5246F">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726B15F5">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磨辊轴承损坏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586730D">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120h</w:t>
            </w:r>
          </w:p>
        </w:tc>
      </w:tr>
      <w:tr w14:paraId="45E8868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7E02FFCD">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79F20B27">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9C9C58">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51389D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减速机联轴器磨损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AEF60D1">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1.5h</w:t>
            </w:r>
          </w:p>
        </w:tc>
      </w:tr>
      <w:tr w14:paraId="7002C301">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EBC5C8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7AB0293">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67270">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选粉机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1E5B68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选粉机电机故障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377976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20D1AA0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318C2E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6DB44C2">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8C19565">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5473B3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选粉机减速机故障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9919D4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2081DB4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0E0DBA89">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7D564DA1">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63D812">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08FDA7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联轴器尼龙棒磨损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E3B55FB">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1h</w:t>
            </w:r>
          </w:p>
        </w:tc>
      </w:tr>
      <w:tr w14:paraId="3CB5CF6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CE0FA2A">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47236F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25F54065">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514C5F7">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选粉机上下调心滚子轴承损坏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146A5A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96h</w:t>
            </w:r>
          </w:p>
        </w:tc>
      </w:tr>
      <w:tr w14:paraId="115A3BF8">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ED46F0F">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256F62C3">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C96A6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循环风机</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C3742C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风管漏风</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5EBAD4F">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3E6E931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DAE9748">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BED4A7B">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77198B44">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3634A9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风机叶轮磨损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842A0C2">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20h</w:t>
            </w:r>
          </w:p>
        </w:tc>
      </w:tr>
      <w:tr w14:paraId="54E8B53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BDACD5F">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27EA1FD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1300C9D">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EDEE2A4">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轴承损坏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41042D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48h</w:t>
            </w:r>
          </w:p>
        </w:tc>
      </w:tr>
      <w:tr w14:paraId="7C4DF2C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81A774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45C13ADC">
            <w:pPr>
              <w:widowControl/>
              <w:spacing w:line="360" w:lineRule="auto"/>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0B6AC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主收尘器</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062E2CE3">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脉冲阀漏气、不动作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289CB0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0.5h</w:t>
            </w:r>
          </w:p>
        </w:tc>
      </w:tr>
      <w:tr w14:paraId="267DE110">
        <w:tblPrEx>
          <w:tblCellMar>
            <w:top w:w="0" w:type="dxa"/>
            <w:left w:w="108" w:type="dxa"/>
            <w:bottom w:w="0" w:type="dxa"/>
            <w:right w:w="108" w:type="dxa"/>
          </w:tblCellMar>
        </w:tblPrEx>
        <w:trPr>
          <w:trHeight w:val="318" w:hRule="exact"/>
          <w:jc w:val="center"/>
        </w:trPr>
        <w:tc>
          <w:tcPr>
            <w:tcW w:w="576" w:type="dxa"/>
            <w:vMerge w:val="continue"/>
            <w:tcBorders>
              <w:left w:val="single" w:color="auto" w:sz="4" w:space="0"/>
              <w:right w:val="single" w:color="auto" w:sz="4" w:space="0"/>
            </w:tcBorders>
            <w:vAlign w:val="center"/>
          </w:tcPr>
          <w:p w14:paraId="6ACE7B46">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56B95AB">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454839E">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0824A18E">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螺旋输送机减速器或故障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3C878F9">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6h</w:t>
            </w:r>
          </w:p>
        </w:tc>
      </w:tr>
      <w:tr w14:paraId="4B702E8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4584227">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3946E3F">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5C52028B">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386F606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滤袋破损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E1BF104">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2h</w:t>
            </w:r>
          </w:p>
        </w:tc>
      </w:tr>
      <w:tr w14:paraId="7E5B8A0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97770A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1FDC3E9A">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6D3D35">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3215530E">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袋笼变形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9D5AFE4">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2h</w:t>
            </w:r>
          </w:p>
        </w:tc>
      </w:tr>
      <w:tr w14:paraId="1B4E804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038E9A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2EA8D0F">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B747F7">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7512916E">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气缸漏气</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F1FEF55">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1h</w:t>
            </w:r>
          </w:p>
        </w:tc>
      </w:tr>
      <w:tr w14:paraId="0DE9678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6E00250">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A6DB701">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7C3C38D">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5670BF9F">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三联件空气过滤减压阀损坏</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6CA8F66">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0.5h</w:t>
            </w:r>
          </w:p>
        </w:tc>
      </w:tr>
      <w:tr w14:paraId="255B42E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7E1C1BD">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702F744A">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582A5606">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top"/>
          </w:tcPr>
          <w:p w14:paraId="2FF2E50E">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出粉锁气器减速器或故障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59429D8">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4h</w:t>
            </w:r>
          </w:p>
        </w:tc>
      </w:tr>
      <w:tr w14:paraId="34F23B8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3FA20E66">
            <w:pPr>
              <w:widowControl/>
              <w:spacing w:line="360" w:lineRule="auto"/>
              <w:jc w:val="center"/>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shd w:val="clear" w:color="auto" w:fill="auto"/>
            <w:vAlign w:val="center"/>
          </w:tcPr>
          <w:p w14:paraId="603035B2">
            <w:pPr>
              <w:widowControl/>
              <w:spacing w:line="360" w:lineRule="auto"/>
              <w:jc w:val="center"/>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8946B9">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蒸汽辅管及蒸汽加热器</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F4AF9B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管道破损</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A2EAAB3">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26ED44B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057258B">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2E85A68">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50BAA08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F053A6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阀门漏汽</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0462D2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348E298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bottom w:val="single" w:color="auto" w:sz="4" w:space="0"/>
              <w:right w:val="single" w:color="auto" w:sz="4" w:space="0"/>
            </w:tcBorders>
            <w:vAlign w:val="center"/>
          </w:tcPr>
          <w:p w14:paraId="68595863">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bottom w:val="single" w:color="auto" w:sz="4" w:space="0"/>
              <w:right w:val="single" w:color="auto" w:sz="4" w:space="0"/>
            </w:tcBorders>
            <w:vAlign w:val="center"/>
          </w:tcPr>
          <w:p w14:paraId="323CC494">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2270B6D">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AF58A1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蒸汽加热器腐蚀漏气</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E826F4B">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4h</w:t>
            </w:r>
          </w:p>
          <w:p w14:paraId="4C4E1A89">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h</w:t>
            </w:r>
          </w:p>
        </w:tc>
      </w:tr>
      <w:tr w14:paraId="310EEB04">
        <w:tblPrEx>
          <w:tblCellMar>
            <w:top w:w="0" w:type="dxa"/>
            <w:left w:w="108" w:type="dxa"/>
            <w:bottom w:w="0" w:type="dxa"/>
            <w:right w:w="108" w:type="dxa"/>
          </w:tblCellMar>
        </w:tblPrEx>
        <w:trPr>
          <w:trHeight w:val="340" w:hRule="exact"/>
          <w:jc w:val="center"/>
        </w:trPr>
        <w:tc>
          <w:tcPr>
            <w:tcW w:w="576" w:type="dxa"/>
            <w:vMerge w:val="restart"/>
            <w:tcBorders>
              <w:top w:val="single" w:color="auto" w:sz="4" w:space="0"/>
              <w:left w:val="single" w:color="auto" w:sz="4" w:space="0"/>
              <w:right w:val="single" w:color="auto" w:sz="4" w:space="0"/>
            </w:tcBorders>
            <w:shd w:val="clear" w:color="auto" w:fill="auto"/>
            <w:vAlign w:val="center"/>
          </w:tcPr>
          <w:p w14:paraId="69B2259B">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3</w:t>
            </w:r>
          </w:p>
        </w:tc>
        <w:tc>
          <w:tcPr>
            <w:tcW w:w="1126" w:type="dxa"/>
            <w:vMerge w:val="restart"/>
            <w:tcBorders>
              <w:top w:val="single" w:color="auto" w:sz="4" w:space="0"/>
              <w:left w:val="single" w:color="auto" w:sz="4" w:space="0"/>
              <w:right w:val="single" w:color="auto" w:sz="4" w:space="0"/>
            </w:tcBorders>
            <w:shd w:val="clear" w:color="auto" w:fill="auto"/>
            <w:vAlign w:val="center"/>
          </w:tcPr>
          <w:p w14:paraId="5E40AFEC">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液压油系统</w:t>
            </w:r>
          </w:p>
        </w:tc>
        <w:tc>
          <w:tcPr>
            <w:tcW w:w="2270" w:type="dxa"/>
            <w:vMerge w:val="restart"/>
            <w:tcBorders>
              <w:top w:val="single" w:color="auto" w:sz="4" w:space="0"/>
              <w:left w:val="single" w:color="auto" w:sz="4" w:space="0"/>
              <w:right w:val="single" w:color="auto" w:sz="4" w:space="0"/>
            </w:tcBorders>
            <w:shd w:val="clear" w:color="auto" w:fill="auto"/>
            <w:vAlign w:val="center"/>
          </w:tcPr>
          <w:p w14:paraId="7F624EA5">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液压油站</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2E5D90D">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工作油缸漏油</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D5D1C02">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8h</w:t>
            </w:r>
          </w:p>
        </w:tc>
      </w:tr>
      <w:tr w14:paraId="33DAA3EE">
        <w:tblPrEx>
          <w:tblCellMar>
            <w:top w:w="0" w:type="dxa"/>
            <w:left w:w="108" w:type="dxa"/>
            <w:bottom w:w="0" w:type="dxa"/>
            <w:right w:w="108" w:type="dxa"/>
          </w:tblCellMar>
        </w:tblPrEx>
        <w:trPr>
          <w:trHeight w:val="330" w:hRule="exact"/>
          <w:jc w:val="center"/>
        </w:trPr>
        <w:tc>
          <w:tcPr>
            <w:tcW w:w="576" w:type="dxa"/>
            <w:vMerge w:val="continue"/>
            <w:tcBorders>
              <w:left w:val="single" w:color="auto" w:sz="4" w:space="0"/>
              <w:right w:val="single" w:color="auto" w:sz="4" w:space="0"/>
            </w:tcBorders>
            <w:vAlign w:val="center"/>
          </w:tcPr>
          <w:p w14:paraId="4BA271E9">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00EA36E1">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71AB0576">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2464AED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管路漏油</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DBB12A7">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4h</w:t>
            </w:r>
          </w:p>
        </w:tc>
      </w:tr>
      <w:tr w14:paraId="0890554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57BD96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D15694C">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69A986B1">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0EC092A">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电磁阀故障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BC7F63C">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2h</w:t>
            </w:r>
          </w:p>
        </w:tc>
      </w:tr>
      <w:tr w14:paraId="5833020C">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E9515C7">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58C221FD">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7D208F3F">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4D71BA2E">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蓄能器压力不足</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34F0242">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2h</w:t>
            </w:r>
          </w:p>
        </w:tc>
      </w:tr>
      <w:tr w14:paraId="23666D4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EDA23D4">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60F88CF5">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7FF3907E">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6F6A7DD1">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齿轮泵故障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32086F8">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5h</w:t>
            </w:r>
          </w:p>
        </w:tc>
      </w:tr>
      <w:tr w14:paraId="11405846">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3442E77">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right w:val="single" w:color="auto" w:sz="4" w:space="0"/>
            </w:tcBorders>
            <w:vAlign w:val="center"/>
          </w:tcPr>
          <w:p w14:paraId="34D7090B">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right w:val="single" w:color="auto" w:sz="4" w:space="0"/>
            </w:tcBorders>
            <w:vAlign w:val="center"/>
          </w:tcPr>
          <w:p w14:paraId="42AD641A">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319C8B68">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B93947B">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3h</w:t>
            </w:r>
          </w:p>
        </w:tc>
      </w:tr>
      <w:tr w14:paraId="42CA8FF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bottom w:val="single" w:color="auto" w:sz="4" w:space="0"/>
              <w:right w:val="single" w:color="auto" w:sz="4" w:space="0"/>
            </w:tcBorders>
            <w:vAlign w:val="center"/>
          </w:tcPr>
          <w:p w14:paraId="745D19B8">
            <w:pPr>
              <w:widowControl/>
              <w:spacing w:line="360" w:lineRule="auto"/>
              <w:rPr>
                <w:rFonts w:hint="eastAsia" w:ascii="宋体" w:hAnsi="宋体" w:eastAsia="宋体" w:cs="宋体"/>
                <w:i w:val="0"/>
                <w:iCs/>
                <w:sz w:val="21"/>
                <w:szCs w:val="21"/>
              </w:rPr>
            </w:pPr>
          </w:p>
        </w:tc>
        <w:tc>
          <w:tcPr>
            <w:tcW w:w="1126" w:type="dxa"/>
            <w:vMerge w:val="continue"/>
            <w:tcBorders>
              <w:left w:val="single" w:color="auto" w:sz="4" w:space="0"/>
              <w:bottom w:val="single" w:color="auto" w:sz="4" w:space="0"/>
              <w:right w:val="single" w:color="auto" w:sz="4" w:space="0"/>
            </w:tcBorders>
            <w:vAlign w:val="center"/>
          </w:tcPr>
          <w:p w14:paraId="5CF10864">
            <w:pPr>
              <w:widowControl/>
              <w:spacing w:line="360" w:lineRule="auto"/>
              <w:rPr>
                <w:rFonts w:hint="eastAsia" w:ascii="宋体" w:hAnsi="宋体" w:eastAsia="宋体" w:cs="宋体"/>
                <w:i w:val="0"/>
                <w:iCs/>
                <w:sz w:val="21"/>
                <w:szCs w:val="21"/>
              </w:rPr>
            </w:pPr>
          </w:p>
        </w:tc>
        <w:tc>
          <w:tcPr>
            <w:tcW w:w="2270" w:type="dxa"/>
            <w:vMerge w:val="continue"/>
            <w:tcBorders>
              <w:left w:val="single" w:color="auto" w:sz="4" w:space="0"/>
              <w:bottom w:val="single" w:color="auto" w:sz="4" w:space="0"/>
              <w:right w:val="single" w:color="auto" w:sz="4" w:space="0"/>
            </w:tcBorders>
            <w:vAlign w:val="center"/>
          </w:tcPr>
          <w:p w14:paraId="41528636">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5669852E">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滤油器更换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A6538B9">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598F9435">
        <w:tblPrEx>
          <w:tblCellMar>
            <w:top w:w="0" w:type="dxa"/>
            <w:left w:w="108" w:type="dxa"/>
            <w:bottom w:w="0" w:type="dxa"/>
            <w:right w:w="108" w:type="dxa"/>
          </w:tblCellMar>
        </w:tblPrEx>
        <w:trPr>
          <w:trHeight w:val="340" w:hRule="exact"/>
          <w:jc w:val="center"/>
        </w:trPr>
        <w:tc>
          <w:tcPr>
            <w:tcW w:w="576" w:type="dxa"/>
            <w:vMerge w:val="restart"/>
            <w:tcBorders>
              <w:top w:val="single" w:color="auto" w:sz="4" w:space="0"/>
              <w:left w:val="single" w:color="auto" w:sz="4" w:space="0"/>
              <w:bottom w:val="single" w:color="auto" w:sz="4" w:space="0"/>
              <w:right w:val="single" w:color="auto" w:sz="4" w:space="0"/>
            </w:tcBorders>
            <w:vAlign w:val="center"/>
          </w:tcPr>
          <w:p w14:paraId="7EDCD4C8">
            <w:pPr>
              <w:widowControl/>
              <w:spacing w:line="360" w:lineRule="auto"/>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4</w:t>
            </w:r>
          </w:p>
        </w:tc>
        <w:tc>
          <w:tcPr>
            <w:tcW w:w="1126" w:type="dxa"/>
            <w:vMerge w:val="restart"/>
            <w:tcBorders>
              <w:top w:val="single" w:color="auto" w:sz="4" w:space="0"/>
              <w:left w:val="single" w:color="auto" w:sz="4" w:space="0"/>
              <w:bottom w:val="single" w:color="auto" w:sz="4" w:space="0"/>
              <w:right w:val="single" w:color="auto" w:sz="4" w:space="0"/>
            </w:tcBorders>
            <w:vAlign w:val="center"/>
          </w:tcPr>
          <w:p w14:paraId="3D2FDAFC">
            <w:pPr>
              <w:widowControl/>
              <w:spacing w:line="360" w:lineRule="auto"/>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润滑油系统</w:t>
            </w: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00951921">
            <w:pPr>
              <w:widowControl/>
              <w:spacing w:line="360" w:lineRule="auto"/>
              <w:jc w:val="center"/>
              <w:rPr>
                <w:rFonts w:hint="eastAsia" w:ascii="宋体" w:hAnsi="宋体" w:eastAsia="宋体" w:cs="宋体"/>
                <w:i w:val="0"/>
                <w:iCs/>
                <w:sz w:val="21"/>
                <w:szCs w:val="21"/>
              </w:rPr>
            </w:pPr>
            <w:r>
              <w:rPr>
                <w:rFonts w:hint="eastAsia" w:ascii="宋体" w:eastAsia="宋体" w:cs="宋体"/>
                <w:i w:val="0"/>
                <w:iCs/>
                <w:sz w:val="21"/>
                <w:szCs w:val="21"/>
                <w:lang w:val="en-US" w:eastAsia="zh-CN"/>
              </w:rPr>
              <w:t>润滑油站</w:t>
            </w:r>
          </w:p>
        </w:tc>
        <w:tc>
          <w:tcPr>
            <w:tcW w:w="3440" w:type="dxa"/>
            <w:tcBorders>
              <w:top w:val="single" w:color="auto" w:sz="4" w:space="0"/>
              <w:left w:val="single" w:color="auto" w:sz="4" w:space="0"/>
              <w:bottom w:val="single" w:color="auto" w:sz="4" w:space="0"/>
              <w:right w:val="single" w:color="auto" w:sz="4" w:space="0"/>
            </w:tcBorders>
            <w:shd w:val="clear" w:color="auto" w:fill="auto"/>
            <w:vAlign w:val="center"/>
          </w:tcPr>
          <w:p w14:paraId="1F2D9218">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滤油器堵塞更换</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EC5B2E6">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570DC01A">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7F286715">
            <w:pPr>
              <w:widowControl/>
              <w:spacing w:line="360" w:lineRule="auto"/>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tcPr>
          <w:p w14:paraId="1AC326C6">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38B0F4C">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1CBF5002">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齿轮泵故障更换</w:t>
            </w:r>
          </w:p>
        </w:tc>
        <w:tc>
          <w:tcPr>
            <w:tcW w:w="1110" w:type="dxa"/>
            <w:tcBorders>
              <w:top w:val="single" w:color="auto" w:sz="4" w:space="0"/>
              <w:left w:val="single" w:color="auto" w:sz="4" w:space="0"/>
              <w:bottom w:val="single" w:color="auto" w:sz="4" w:space="0"/>
              <w:right w:val="single" w:color="auto" w:sz="4" w:space="0"/>
            </w:tcBorders>
            <w:vAlign w:val="center"/>
          </w:tcPr>
          <w:p w14:paraId="5D7C06DF">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2BE8DBAC">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7DB3ACC7">
            <w:pPr>
              <w:widowControl/>
              <w:spacing w:line="360" w:lineRule="auto"/>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tcPr>
          <w:p w14:paraId="2552A4BE">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2F449BF">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12FF7067">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板式换热器密封不严</w:t>
            </w:r>
          </w:p>
        </w:tc>
        <w:tc>
          <w:tcPr>
            <w:tcW w:w="1110" w:type="dxa"/>
            <w:tcBorders>
              <w:top w:val="single" w:color="auto" w:sz="4" w:space="0"/>
              <w:left w:val="single" w:color="auto" w:sz="4" w:space="0"/>
              <w:bottom w:val="single" w:color="auto" w:sz="4" w:space="0"/>
              <w:right w:val="single" w:color="auto" w:sz="4" w:space="0"/>
            </w:tcBorders>
            <w:vAlign w:val="center"/>
          </w:tcPr>
          <w:p w14:paraId="04D59084">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5h</w:t>
            </w:r>
          </w:p>
        </w:tc>
      </w:tr>
      <w:tr w14:paraId="69CA4C1B">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7A621403">
            <w:pPr>
              <w:widowControl/>
              <w:spacing w:line="360" w:lineRule="auto"/>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tcPr>
          <w:p w14:paraId="62867E7D">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0FF97ECE">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669660EB">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22B9AAA4">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3039C50A">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421EB328">
            <w:pPr>
              <w:widowControl/>
              <w:spacing w:line="360" w:lineRule="auto"/>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tcPr>
          <w:p w14:paraId="7D64BEEB">
            <w:pPr>
              <w:widowControl/>
              <w:spacing w:line="360" w:lineRule="auto"/>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6A183C3">
            <w:pPr>
              <w:widowControl/>
              <w:spacing w:line="360" w:lineRule="auto"/>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3FD12981">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法兰接口漏油</w:t>
            </w:r>
          </w:p>
        </w:tc>
        <w:tc>
          <w:tcPr>
            <w:tcW w:w="1110" w:type="dxa"/>
            <w:tcBorders>
              <w:top w:val="single" w:color="auto" w:sz="4" w:space="0"/>
              <w:left w:val="single" w:color="auto" w:sz="4" w:space="0"/>
              <w:bottom w:val="single" w:color="auto" w:sz="4" w:space="0"/>
              <w:right w:val="single" w:color="auto" w:sz="4" w:space="0"/>
            </w:tcBorders>
            <w:vAlign w:val="center"/>
          </w:tcPr>
          <w:p w14:paraId="23B5C082">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2F7DD8DB">
        <w:tblPrEx>
          <w:tblCellMar>
            <w:top w:w="0" w:type="dxa"/>
            <w:left w:w="108" w:type="dxa"/>
            <w:bottom w:w="0" w:type="dxa"/>
            <w:right w:w="108" w:type="dxa"/>
          </w:tblCellMar>
        </w:tblPrEx>
        <w:trPr>
          <w:trHeight w:val="331" w:hRule="exact"/>
          <w:jc w:val="center"/>
        </w:trPr>
        <w:tc>
          <w:tcPr>
            <w:tcW w:w="576" w:type="dxa"/>
            <w:vMerge w:val="restart"/>
            <w:tcBorders>
              <w:top w:val="single" w:color="auto" w:sz="4" w:space="0"/>
              <w:left w:val="single" w:color="auto" w:sz="4" w:space="0"/>
              <w:bottom w:val="single" w:color="auto" w:sz="4" w:space="0"/>
              <w:right w:val="single" w:color="auto" w:sz="4" w:space="0"/>
            </w:tcBorders>
            <w:vAlign w:val="center"/>
          </w:tcPr>
          <w:p w14:paraId="31BBEE09">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5</w:t>
            </w:r>
          </w:p>
        </w:tc>
        <w:tc>
          <w:tcPr>
            <w:tcW w:w="1126" w:type="dxa"/>
            <w:vMerge w:val="restart"/>
            <w:tcBorders>
              <w:top w:val="single" w:color="auto" w:sz="4" w:space="0"/>
              <w:left w:val="single" w:color="auto" w:sz="4" w:space="0"/>
              <w:bottom w:val="single" w:color="auto" w:sz="4" w:space="0"/>
              <w:right w:val="single" w:color="auto" w:sz="4" w:space="0"/>
            </w:tcBorders>
            <w:vAlign w:val="center"/>
          </w:tcPr>
          <w:p w14:paraId="6020DDA0">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循环冷却水系统</w:t>
            </w:r>
          </w:p>
        </w:tc>
        <w:tc>
          <w:tcPr>
            <w:tcW w:w="2270" w:type="dxa"/>
            <w:tcBorders>
              <w:top w:val="single" w:color="auto" w:sz="4" w:space="0"/>
              <w:left w:val="single" w:color="auto" w:sz="4" w:space="0"/>
              <w:bottom w:val="single" w:color="auto" w:sz="4" w:space="0"/>
              <w:right w:val="single" w:color="auto" w:sz="4" w:space="0"/>
            </w:tcBorders>
            <w:vAlign w:val="center"/>
          </w:tcPr>
          <w:p w14:paraId="50C45801">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冷却水池</w:t>
            </w:r>
          </w:p>
        </w:tc>
        <w:tc>
          <w:tcPr>
            <w:tcW w:w="3440" w:type="dxa"/>
            <w:tcBorders>
              <w:top w:val="single" w:color="auto" w:sz="4" w:space="0"/>
              <w:left w:val="single" w:color="auto" w:sz="4" w:space="0"/>
              <w:bottom w:val="single" w:color="auto" w:sz="4" w:space="0"/>
              <w:right w:val="single" w:color="auto" w:sz="4" w:space="0"/>
            </w:tcBorders>
            <w:vAlign w:val="center"/>
          </w:tcPr>
          <w:p w14:paraId="35CF8ADE">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水池清理</w:t>
            </w:r>
          </w:p>
        </w:tc>
        <w:tc>
          <w:tcPr>
            <w:tcW w:w="1110" w:type="dxa"/>
            <w:tcBorders>
              <w:top w:val="single" w:color="auto" w:sz="4" w:space="0"/>
              <w:left w:val="single" w:color="auto" w:sz="4" w:space="0"/>
              <w:bottom w:val="single" w:color="auto" w:sz="4" w:space="0"/>
              <w:right w:val="single" w:color="auto" w:sz="4" w:space="0"/>
            </w:tcBorders>
            <w:vAlign w:val="center"/>
          </w:tcPr>
          <w:p w14:paraId="0E3B0516">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17AE4C00">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1EE1064B">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51C60325">
            <w:pPr>
              <w:widowControl/>
              <w:spacing w:line="360" w:lineRule="auto"/>
              <w:jc w:val="center"/>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09FE4BD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冷却塔</w:t>
            </w:r>
          </w:p>
        </w:tc>
        <w:tc>
          <w:tcPr>
            <w:tcW w:w="3440" w:type="dxa"/>
            <w:tcBorders>
              <w:top w:val="single" w:color="auto" w:sz="4" w:space="0"/>
              <w:left w:val="single" w:color="auto" w:sz="4" w:space="0"/>
              <w:bottom w:val="single" w:color="auto" w:sz="4" w:space="0"/>
              <w:right w:val="single" w:color="auto" w:sz="4" w:space="0"/>
            </w:tcBorders>
            <w:vAlign w:val="center"/>
          </w:tcPr>
          <w:p w14:paraId="7BC705D0">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012FEC4C">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1A3DD446">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64569787">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42AFE98B">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06F0C11">
            <w:pPr>
              <w:widowControl/>
              <w:spacing w:line="360" w:lineRule="auto"/>
              <w:jc w:val="center"/>
              <w:rPr>
                <w:rFonts w:hint="default" w:ascii="宋体" w:hAns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6A155C75">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冷却塔风叶脱落或破损</w:t>
            </w:r>
          </w:p>
        </w:tc>
        <w:tc>
          <w:tcPr>
            <w:tcW w:w="1110" w:type="dxa"/>
            <w:tcBorders>
              <w:top w:val="single" w:color="auto" w:sz="4" w:space="0"/>
              <w:left w:val="single" w:color="auto" w:sz="4" w:space="0"/>
              <w:bottom w:val="single" w:color="auto" w:sz="4" w:space="0"/>
              <w:right w:val="single" w:color="auto" w:sz="4" w:space="0"/>
            </w:tcBorders>
            <w:vAlign w:val="center"/>
          </w:tcPr>
          <w:p w14:paraId="000E71A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6421687C">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7BF73C97">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313CAB7E">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2014827A">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29212612">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冷却塔外壳腐蚀</w:t>
            </w:r>
          </w:p>
        </w:tc>
        <w:tc>
          <w:tcPr>
            <w:tcW w:w="1110" w:type="dxa"/>
            <w:tcBorders>
              <w:top w:val="single" w:color="auto" w:sz="4" w:space="0"/>
              <w:left w:val="single" w:color="auto" w:sz="4" w:space="0"/>
              <w:bottom w:val="single" w:color="auto" w:sz="4" w:space="0"/>
              <w:right w:val="single" w:color="auto" w:sz="4" w:space="0"/>
            </w:tcBorders>
            <w:vAlign w:val="center"/>
          </w:tcPr>
          <w:p w14:paraId="05E851A0">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38B48982">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12AA883C">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29F991DB">
            <w:pPr>
              <w:widowControl/>
              <w:spacing w:line="360" w:lineRule="auto"/>
              <w:jc w:val="center"/>
              <w:rPr>
                <w:rFonts w:hint="eastAsia" w:ascii="宋体" w:hAnsi="宋体" w:eastAsia="宋体" w:cs="宋体"/>
                <w:i w:val="0"/>
                <w:iCs/>
                <w:sz w:val="21"/>
                <w:szCs w:val="21"/>
              </w:rPr>
            </w:pP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23C6B376">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00A04C7A">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循环冷却水泵故障</w:t>
            </w:r>
          </w:p>
        </w:tc>
        <w:tc>
          <w:tcPr>
            <w:tcW w:w="1110" w:type="dxa"/>
            <w:tcBorders>
              <w:top w:val="single" w:color="auto" w:sz="4" w:space="0"/>
              <w:left w:val="single" w:color="auto" w:sz="4" w:space="0"/>
              <w:bottom w:val="single" w:color="auto" w:sz="4" w:space="0"/>
              <w:right w:val="single" w:color="auto" w:sz="4" w:space="0"/>
            </w:tcBorders>
            <w:vAlign w:val="center"/>
          </w:tcPr>
          <w:p w14:paraId="0C1F6365">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063C1315">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2B24E63B">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09E24EAA">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0743FF1">
            <w:pPr>
              <w:widowControl/>
              <w:spacing w:line="360" w:lineRule="auto"/>
              <w:jc w:val="center"/>
              <w:rPr>
                <w:rFonts w:hint="eastAsia" w:ascii="宋体" w:hAnsi="宋体" w:eastAsia="宋体" w:cs="宋体"/>
                <w:i w:val="0"/>
                <w:iCs/>
                <w:sz w:val="21"/>
                <w:szCs w:val="21"/>
              </w:rPr>
            </w:pPr>
          </w:p>
        </w:tc>
        <w:tc>
          <w:tcPr>
            <w:tcW w:w="3440" w:type="dxa"/>
            <w:tcBorders>
              <w:top w:val="single" w:color="auto" w:sz="4" w:space="0"/>
              <w:left w:val="single" w:color="auto" w:sz="4" w:space="0"/>
              <w:bottom w:val="single" w:color="auto" w:sz="4" w:space="0"/>
              <w:right w:val="single" w:color="auto" w:sz="4" w:space="0"/>
            </w:tcBorders>
            <w:vAlign w:val="center"/>
          </w:tcPr>
          <w:p w14:paraId="0D81373E">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循环冷却水泵电机故障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69BB2E3B">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0944C142">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65A84666">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174E71F7">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5048C8F">
            <w:pPr>
              <w:widowControl/>
              <w:spacing w:line="360" w:lineRule="auto"/>
              <w:jc w:val="center"/>
              <w:rPr>
                <w:rFonts w:hint="eastAsia" w:ascii="宋体" w:hAns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1B5344A4">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阀门故障</w:t>
            </w:r>
          </w:p>
        </w:tc>
        <w:tc>
          <w:tcPr>
            <w:tcW w:w="1110" w:type="dxa"/>
            <w:tcBorders>
              <w:top w:val="single" w:color="auto" w:sz="4" w:space="0"/>
              <w:left w:val="single" w:color="auto" w:sz="4" w:space="0"/>
              <w:bottom w:val="single" w:color="auto" w:sz="4" w:space="0"/>
              <w:right w:val="single" w:color="auto" w:sz="4" w:space="0"/>
            </w:tcBorders>
            <w:vAlign w:val="center"/>
          </w:tcPr>
          <w:p w14:paraId="00980704">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23A22D0D">
        <w:tblPrEx>
          <w:tblCellMar>
            <w:top w:w="0" w:type="dxa"/>
            <w:left w:w="108" w:type="dxa"/>
            <w:bottom w:w="0" w:type="dxa"/>
            <w:right w:w="108" w:type="dxa"/>
          </w:tblCellMar>
        </w:tblPrEx>
        <w:trPr>
          <w:trHeight w:val="34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33BED51F">
            <w:pPr>
              <w:widowControl/>
              <w:spacing w:line="360" w:lineRule="auto"/>
              <w:jc w:val="center"/>
              <w:rPr>
                <w:rFonts w:hint="eastAsia" w:ascii="宋体" w:hAnsi="宋体" w:eastAsia="宋体" w:cs="宋体"/>
                <w:i w:val="0"/>
                <w:iCs/>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03A76287">
            <w:pPr>
              <w:widowControl/>
              <w:spacing w:line="360" w:lineRule="auto"/>
              <w:jc w:val="center"/>
              <w:rPr>
                <w:rFonts w:hint="eastAsia" w:ascii="宋体" w:hAnsi="宋体" w:eastAsia="宋体" w:cs="宋体"/>
                <w:i w:val="0"/>
                <w:iCs/>
                <w:sz w:val="21"/>
                <w:szCs w:val="21"/>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F292B17">
            <w:pPr>
              <w:widowControl/>
              <w:spacing w:line="360" w:lineRule="auto"/>
              <w:jc w:val="center"/>
              <w:rPr>
                <w:rFonts w:hint="eastAsia" w:ascii="宋体" w:hAns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3427D3A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管路故障</w:t>
            </w:r>
          </w:p>
        </w:tc>
        <w:tc>
          <w:tcPr>
            <w:tcW w:w="1110" w:type="dxa"/>
            <w:tcBorders>
              <w:top w:val="single" w:color="auto" w:sz="4" w:space="0"/>
              <w:left w:val="single" w:color="auto" w:sz="4" w:space="0"/>
              <w:bottom w:val="single" w:color="auto" w:sz="4" w:space="0"/>
              <w:right w:val="single" w:color="auto" w:sz="4" w:space="0"/>
            </w:tcBorders>
            <w:vAlign w:val="center"/>
          </w:tcPr>
          <w:p w14:paraId="50B6349B">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37777FF7">
        <w:tblPrEx>
          <w:tblCellMar>
            <w:top w:w="0" w:type="dxa"/>
            <w:left w:w="108" w:type="dxa"/>
            <w:bottom w:w="0" w:type="dxa"/>
            <w:right w:w="108" w:type="dxa"/>
          </w:tblCellMar>
        </w:tblPrEx>
        <w:trPr>
          <w:trHeight w:val="324" w:hRule="atLeast"/>
          <w:jc w:val="center"/>
        </w:trPr>
        <w:tc>
          <w:tcPr>
            <w:tcW w:w="576" w:type="dxa"/>
            <w:vMerge w:val="restart"/>
            <w:tcBorders>
              <w:top w:val="single" w:color="auto" w:sz="4" w:space="0"/>
              <w:left w:val="single" w:color="auto" w:sz="4" w:space="0"/>
              <w:bottom w:val="single" w:color="auto" w:sz="4" w:space="0"/>
              <w:right w:val="single" w:color="auto" w:sz="4" w:space="0"/>
            </w:tcBorders>
            <w:vAlign w:val="center"/>
          </w:tcPr>
          <w:p w14:paraId="4A285FA3">
            <w:pPr>
              <w:widowControl/>
              <w:spacing w:line="360" w:lineRule="auto"/>
              <w:jc w:val="center"/>
              <w:rPr>
                <w:rFonts w:hint="eastAsia" w:ascii="宋体" w:hAnsi="宋体" w:eastAsia="宋体" w:cs="宋体"/>
                <w:i w:val="0"/>
                <w:iCs/>
                <w:sz w:val="21"/>
                <w:szCs w:val="21"/>
                <w:lang w:val="en-US" w:eastAsia="zh-CN"/>
              </w:rPr>
            </w:pPr>
            <w:r>
              <w:rPr>
                <w:rFonts w:hint="eastAsia" w:ascii="宋体" w:eastAsia="宋体" w:cs="宋体"/>
                <w:i w:val="0"/>
                <w:iCs/>
                <w:sz w:val="21"/>
                <w:szCs w:val="21"/>
                <w:lang w:val="en-US" w:eastAsia="zh-CN"/>
              </w:rPr>
              <w:t>6</w:t>
            </w:r>
          </w:p>
        </w:tc>
        <w:tc>
          <w:tcPr>
            <w:tcW w:w="1126" w:type="dxa"/>
            <w:vMerge w:val="restart"/>
            <w:tcBorders>
              <w:top w:val="single" w:color="auto" w:sz="4" w:space="0"/>
              <w:left w:val="single" w:color="auto" w:sz="4" w:space="0"/>
              <w:bottom w:val="single" w:color="auto" w:sz="4" w:space="0"/>
              <w:right w:val="single" w:color="auto" w:sz="4" w:space="0"/>
            </w:tcBorders>
            <w:vAlign w:val="center"/>
          </w:tcPr>
          <w:p w14:paraId="5F53F5D9">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粉输送系统</w:t>
            </w: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64BEA7BA">
            <w:pPr>
              <w:widowControl/>
              <w:spacing w:line="360" w:lineRule="auto"/>
              <w:jc w:val="center"/>
              <w:rPr>
                <w:rFonts w:hint="default" w:ascii="宋体" w:hAnsi="宋体" w:eastAsia="宋体" w:cs="宋体"/>
                <w:i w:val="0"/>
                <w:iCs/>
                <w:sz w:val="21"/>
                <w:szCs w:val="21"/>
                <w:lang w:val="en-US" w:eastAsia="zh-CN"/>
              </w:rPr>
            </w:pPr>
            <w:r>
              <w:rPr>
                <w:rFonts w:hint="eastAsia" w:ascii="宋体" w:eastAsia="宋体" w:cs="宋体"/>
                <w:i w:val="0"/>
                <w:iCs/>
                <w:sz w:val="21"/>
                <w:szCs w:val="21"/>
                <w:lang w:val="en-US" w:eastAsia="zh-CN"/>
              </w:rPr>
              <w:t>链式输送机</w:t>
            </w:r>
          </w:p>
        </w:tc>
        <w:tc>
          <w:tcPr>
            <w:tcW w:w="3440" w:type="dxa"/>
            <w:tcBorders>
              <w:top w:val="single" w:color="auto" w:sz="4" w:space="0"/>
              <w:left w:val="single" w:color="auto" w:sz="4" w:space="0"/>
              <w:bottom w:val="single" w:color="auto" w:sz="4" w:space="0"/>
              <w:right w:val="single" w:color="auto" w:sz="4" w:space="0"/>
            </w:tcBorders>
            <w:vAlign w:val="center"/>
          </w:tcPr>
          <w:p w14:paraId="65CABFF1">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2413EB9C">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5h</w:t>
            </w:r>
          </w:p>
        </w:tc>
      </w:tr>
      <w:tr w14:paraId="75B15239">
        <w:tblPrEx>
          <w:tblCellMar>
            <w:top w:w="0" w:type="dxa"/>
            <w:left w:w="108" w:type="dxa"/>
            <w:bottom w:w="0" w:type="dxa"/>
            <w:right w:w="108" w:type="dxa"/>
          </w:tblCellMar>
        </w:tblPrEx>
        <w:trPr>
          <w:trHeight w:val="407" w:hRule="atLeas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132B11C3">
            <w:pPr>
              <w:widowControl/>
              <w:spacing w:line="360" w:lineRule="auto"/>
              <w:jc w:val="cente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3EBA0557">
            <w:pPr>
              <w:widowControl/>
              <w:spacing w:line="360" w:lineRule="auto"/>
              <w:jc w:val="cente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2B32542F">
            <w:pPr>
              <w:widowControl/>
              <w:spacing w:line="360" w:lineRule="auto"/>
              <w:jc w:val="center"/>
            </w:pPr>
          </w:p>
        </w:tc>
        <w:tc>
          <w:tcPr>
            <w:tcW w:w="3440" w:type="dxa"/>
            <w:tcBorders>
              <w:top w:val="single" w:color="auto" w:sz="4" w:space="0"/>
              <w:left w:val="single" w:color="auto" w:sz="4" w:space="0"/>
              <w:bottom w:val="single" w:color="auto" w:sz="4" w:space="0"/>
              <w:right w:val="single" w:color="auto" w:sz="4" w:space="0"/>
            </w:tcBorders>
            <w:vAlign w:val="center"/>
          </w:tcPr>
          <w:p w14:paraId="744B8E81">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减速机故障</w:t>
            </w:r>
          </w:p>
        </w:tc>
        <w:tc>
          <w:tcPr>
            <w:tcW w:w="1110" w:type="dxa"/>
            <w:tcBorders>
              <w:top w:val="single" w:color="auto" w:sz="4" w:space="0"/>
              <w:left w:val="single" w:color="auto" w:sz="4" w:space="0"/>
              <w:bottom w:val="single" w:color="auto" w:sz="4" w:space="0"/>
              <w:right w:val="single" w:color="auto" w:sz="4" w:space="0"/>
            </w:tcBorders>
            <w:vAlign w:val="center"/>
          </w:tcPr>
          <w:p w14:paraId="0F4A156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037E8BFD">
        <w:tblPrEx>
          <w:tblCellMar>
            <w:top w:w="0" w:type="dxa"/>
            <w:left w:w="108" w:type="dxa"/>
            <w:bottom w:w="0" w:type="dxa"/>
            <w:right w:w="108" w:type="dxa"/>
          </w:tblCellMar>
        </w:tblPrEx>
        <w:trPr>
          <w:trHeight w:val="417" w:hRule="atLeas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6F021B74">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3739457E">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70B72A4">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444074D8">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传动链条断裂或脱落</w:t>
            </w:r>
          </w:p>
        </w:tc>
        <w:tc>
          <w:tcPr>
            <w:tcW w:w="1110" w:type="dxa"/>
            <w:tcBorders>
              <w:top w:val="single" w:color="auto" w:sz="4" w:space="0"/>
              <w:left w:val="single" w:color="auto" w:sz="4" w:space="0"/>
              <w:bottom w:val="single" w:color="auto" w:sz="4" w:space="0"/>
              <w:right w:val="single" w:color="auto" w:sz="4" w:space="0"/>
            </w:tcBorders>
            <w:vAlign w:val="center"/>
          </w:tcPr>
          <w:p w14:paraId="52FFB563">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076CC9D2">
        <w:tblPrEx>
          <w:tblCellMar>
            <w:top w:w="0" w:type="dxa"/>
            <w:left w:w="108" w:type="dxa"/>
            <w:bottom w:w="0" w:type="dxa"/>
            <w:right w:w="108" w:type="dxa"/>
          </w:tblCellMar>
        </w:tblPrEx>
        <w:trPr>
          <w:trHeight w:val="359"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2BAAE555">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76F3CF26">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935DE7E">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07778410">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外壳磨损修复</w:t>
            </w:r>
          </w:p>
        </w:tc>
        <w:tc>
          <w:tcPr>
            <w:tcW w:w="1110" w:type="dxa"/>
            <w:tcBorders>
              <w:top w:val="single" w:color="auto" w:sz="4" w:space="0"/>
              <w:left w:val="single" w:color="auto" w:sz="4" w:space="0"/>
              <w:bottom w:val="single" w:color="auto" w:sz="4" w:space="0"/>
              <w:right w:val="single" w:color="auto" w:sz="4" w:space="0"/>
            </w:tcBorders>
            <w:vAlign w:val="center"/>
          </w:tcPr>
          <w:p w14:paraId="1A64B633">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45883C5B">
        <w:tblPrEx>
          <w:tblCellMar>
            <w:top w:w="0" w:type="dxa"/>
            <w:left w:w="108" w:type="dxa"/>
            <w:bottom w:w="0" w:type="dxa"/>
            <w:right w:w="108" w:type="dxa"/>
          </w:tblCellMar>
        </w:tblPrEx>
        <w:trPr>
          <w:trHeight w:val="441"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57AD919D">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76D2814E">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4433D24A">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31C181CE">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链条断裂</w:t>
            </w:r>
          </w:p>
        </w:tc>
        <w:tc>
          <w:tcPr>
            <w:tcW w:w="1110" w:type="dxa"/>
            <w:tcBorders>
              <w:top w:val="single" w:color="auto" w:sz="4" w:space="0"/>
              <w:left w:val="single" w:color="auto" w:sz="4" w:space="0"/>
              <w:bottom w:val="single" w:color="auto" w:sz="4" w:space="0"/>
              <w:right w:val="single" w:color="auto" w:sz="4" w:space="0"/>
            </w:tcBorders>
            <w:vAlign w:val="center"/>
          </w:tcPr>
          <w:p w14:paraId="05C0F2BD">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8h</w:t>
            </w:r>
          </w:p>
        </w:tc>
      </w:tr>
      <w:tr w14:paraId="075B96DC">
        <w:tblPrEx>
          <w:tblCellMar>
            <w:top w:w="0" w:type="dxa"/>
            <w:left w:w="108" w:type="dxa"/>
            <w:bottom w:w="0" w:type="dxa"/>
            <w:right w:w="108" w:type="dxa"/>
          </w:tblCellMar>
        </w:tblPrEx>
        <w:trPr>
          <w:trHeight w:val="39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3D6A80AD">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53F99C4F">
            <w:pPr>
              <w:widowControl/>
              <w:spacing w:line="360" w:lineRule="auto"/>
              <w:jc w:val="center"/>
              <w:rPr>
                <w:rFonts w:hint="eastAsia" w:ascii="宋体" w:eastAsia="宋体" w:cs="宋体"/>
                <w:i w:val="0"/>
                <w:iCs/>
                <w:sz w:val="21"/>
                <w:szCs w:val="21"/>
                <w:lang w:val="en-US" w:eastAsia="zh-CN"/>
              </w:rPr>
            </w:pPr>
          </w:p>
        </w:tc>
        <w:tc>
          <w:tcPr>
            <w:tcW w:w="2270" w:type="dxa"/>
            <w:vMerge w:val="restart"/>
            <w:tcBorders>
              <w:top w:val="single" w:color="auto" w:sz="4" w:space="0"/>
              <w:left w:val="single" w:color="auto" w:sz="4" w:space="0"/>
              <w:bottom w:val="single" w:color="auto" w:sz="4" w:space="0"/>
              <w:right w:val="single" w:color="auto" w:sz="4" w:space="0"/>
            </w:tcBorders>
            <w:vAlign w:val="center"/>
          </w:tcPr>
          <w:p w14:paraId="6FAAEDB5">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粉仓进料提升机</w:t>
            </w:r>
          </w:p>
        </w:tc>
        <w:tc>
          <w:tcPr>
            <w:tcW w:w="3440" w:type="dxa"/>
            <w:tcBorders>
              <w:top w:val="single" w:color="auto" w:sz="4" w:space="0"/>
              <w:left w:val="single" w:color="auto" w:sz="4" w:space="0"/>
              <w:bottom w:val="single" w:color="auto" w:sz="4" w:space="0"/>
              <w:right w:val="single" w:color="auto" w:sz="4" w:space="0"/>
            </w:tcBorders>
            <w:vAlign w:val="center"/>
          </w:tcPr>
          <w:p w14:paraId="59DE69BF">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料斗变形</w:t>
            </w:r>
          </w:p>
        </w:tc>
        <w:tc>
          <w:tcPr>
            <w:tcW w:w="1110" w:type="dxa"/>
            <w:tcBorders>
              <w:top w:val="single" w:color="auto" w:sz="4" w:space="0"/>
              <w:left w:val="single" w:color="auto" w:sz="4" w:space="0"/>
              <w:bottom w:val="single" w:color="auto" w:sz="4" w:space="0"/>
              <w:right w:val="single" w:color="auto" w:sz="4" w:space="0"/>
            </w:tcBorders>
            <w:vAlign w:val="center"/>
          </w:tcPr>
          <w:p w14:paraId="5B79E68F">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0EEC745C">
        <w:tblPrEx>
          <w:tblCellMar>
            <w:top w:w="0" w:type="dxa"/>
            <w:left w:w="108" w:type="dxa"/>
            <w:bottom w:w="0" w:type="dxa"/>
            <w:right w:w="108" w:type="dxa"/>
          </w:tblCellMar>
        </w:tblPrEx>
        <w:trPr>
          <w:trHeight w:val="41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00802AC7">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66DF6568">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6211DE01">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54C25880">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料斗销轴断裂</w:t>
            </w:r>
          </w:p>
        </w:tc>
        <w:tc>
          <w:tcPr>
            <w:tcW w:w="1110" w:type="dxa"/>
            <w:tcBorders>
              <w:top w:val="single" w:color="auto" w:sz="4" w:space="0"/>
              <w:left w:val="single" w:color="auto" w:sz="4" w:space="0"/>
              <w:bottom w:val="single" w:color="auto" w:sz="4" w:space="0"/>
              <w:right w:val="single" w:color="auto" w:sz="4" w:space="0"/>
            </w:tcBorders>
            <w:vAlign w:val="center"/>
          </w:tcPr>
          <w:p w14:paraId="71FE2FBE">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77282739">
        <w:tblPrEx>
          <w:tblCellMar>
            <w:top w:w="0" w:type="dxa"/>
            <w:left w:w="108" w:type="dxa"/>
            <w:bottom w:w="0" w:type="dxa"/>
            <w:right w:w="108" w:type="dxa"/>
          </w:tblCellMar>
        </w:tblPrEx>
        <w:trPr>
          <w:trHeight w:val="42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32E55650">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7CFCE3FD">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3BAF9832">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703EAF8E">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减速机故障</w:t>
            </w:r>
          </w:p>
        </w:tc>
        <w:tc>
          <w:tcPr>
            <w:tcW w:w="1110" w:type="dxa"/>
            <w:tcBorders>
              <w:top w:val="single" w:color="auto" w:sz="4" w:space="0"/>
              <w:left w:val="single" w:color="auto" w:sz="4" w:space="0"/>
              <w:bottom w:val="single" w:color="auto" w:sz="4" w:space="0"/>
              <w:right w:val="single" w:color="auto" w:sz="4" w:space="0"/>
            </w:tcBorders>
            <w:vAlign w:val="center"/>
          </w:tcPr>
          <w:p w14:paraId="1DF492B0">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12h</w:t>
            </w:r>
          </w:p>
        </w:tc>
      </w:tr>
      <w:tr w14:paraId="3C012AB6">
        <w:tblPrEx>
          <w:tblCellMar>
            <w:top w:w="0" w:type="dxa"/>
            <w:left w:w="108" w:type="dxa"/>
            <w:bottom w:w="0" w:type="dxa"/>
            <w:right w:w="108" w:type="dxa"/>
          </w:tblCellMar>
        </w:tblPrEx>
        <w:trPr>
          <w:trHeight w:val="400" w:hRule="exact"/>
          <w:jc w:val="center"/>
        </w:trPr>
        <w:tc>
          <w:tcPr>
            <w:tcW w:w="576" w:type="dxa"/>
            <w:vMerge w:val="continue"/>
            <w:tcBorders>
              <w:top w:val="single" w:color="auto" w:sz="4" w:space="0"/>
              <w:left w:val="single" w:color="auto" w:sz="4" w:space="0"/>
              <w:bottom w:val="single" w:color="auto" w:sz="4" w:space="0"/>
              <w:right w:val="single" w:color="auto" w:sz="4" w:space="0"/>
            </w:tcBorders>
            <w:vAlign w:val="center"/>
          </w:tcPr>
          <w:p w14:paraId="5BF0E625">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14:paraId="349F58D8">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vAlign w:val="center"/>
          </w:tcPr>
          <w:p w14:paraId="180942B1">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7AFE3BCF">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2D2B3869">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36801B5E">
        <w:tblPrEx>
          <w:tblCellMar>
            <w:top w:w="0" w:type="dxa"/>
            <w:left w:w="108" w:type="dxa"/>
            <w:bottom w:w="0" w:type="dxa"/>
            <w:right w:w="108" w:type="dxa"/>
          </w:tblCellMar>
        </w:tblPrEx>
        <w:trPr>
          <w:trHeight w:val="389"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6372C44F">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tcPr>
          <w:p w14:paraId="670B089E">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tcPr>
          <w:p w14:paraId="7BEE81E1">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385B9768">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联轴器尼龙棒磨损</w:t>
            </w:r>
          </w:p>
        </w:tc>
        <w:tc>
          <w:tcPr>
            <w:tcW w:w="1110" w:type="dxa"/>
            <w:tcBorders>
              <w:top w:val="single" w:color="auto" w:sz="4" w:space="0"/>
              <w:left w:val="single" w:color="auto" w:sz="4" w:space="0"/>
              <w:bottom w:val="single" w:color="auto" w:sz="4" w:space="0"/>
              <w:right w:val="single" w:color="auto" w:sz="4" w:space="0"/>
            </w:tcBorders>
            <w:vAlign w:val="center"/>
          </w:tcPr>
          <w:p w14:paraId="322D803A">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2h</w:t>
            </w:r>
          </w:p>
        </w:tc>
      </w:tr>
      <w:tr w14:paraId="1686134E">
        <w:tblPrEx>
          <w:tblCellMar>
            <w:top w:w="0" w:type="dxa"/>
            <w:left w:w="108" w:type="dxa"/>
            <w:bottom w:w="0" w:type="dxa"/>
            <w:right w:w="108" w:type="dxa"/>
          </w:tblCellMar>
        </w:tblPrEx>
        <w:trPr>
          <w:trHeight w:val="410"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5D8DF5FF">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tcPr>
          <w:p w14:paraId="14309C82">
            <w:pPr>
              <w:widowControl/>
              <w:spacing w:line="360" w:lineRule="auto"/>
              <w:jc w:val="center"/>
              <w:rPr>
                <w:rFonts w:hint="eastAsia" w:ascii="宋体" w:eastAsia="宋体" w:cs="宋体"/>
                <w:i w:val="0"/>
                <w:iCs/>
                <w:sz w:val="21"/>
                <w:szCs w:val="21"/>
                <w:lang w:val="en-US" w:eastAsia="zh-CN"/>
              </w:rPr>
            </w:pPr>
          </w:p>
        </w:tc>
        <w:tc>
          <w:tcPr>
            <w:tcW w:w="2270" w:type="dxa"/>
            <w:vMerge w:val="continue"/>
            <w:tcBorders>
              <w:top w:val="single" w:color="auto" w:sz="4" w:space="0"/>
              <w:left w:val="single" w:color="auto" w:sz="4" w:space="0"/>
              <w:bottom w:val="single" w:color="auto" w:sz="4" w:space="0"/>
              <w:right w:val="single" w:color="auto" w:sz="4" w:space="0"/>
            </w:tcBorders>
          </w:tcPr>
          <w:p w14:paraId="7277E322">
            <w:pPr>
              <w:widowControl/>
              <w:spacing w:line="360" w:lineRule="auto"/>
              <w:jc w:val="center"/>
              <w:rPr>
                <w:rFonts w:hint="eastAsia" w:ascii="宋体" w:eastAsia="宋体" w:cs="宋体"/>
                <w:i w:val="0"/>
                <w:iCs/>
                <w:sz w:val="21"/>
                <w:szCs w:val="21"/>
                <w:lang w:val="en-US" w:eastAsia="zh-CN"/>
              </w:rPr>
            </w:pPr>
          </w:p>
        </w:tc>
        <w:tc>
          <w:tcPr>
            <w:tcW w:w="3440" w:type="dxa"/>
            <w:tcBorders>
              <w:top w:val="single" w:color="auto" w:sz="4" w:space="0"/>
              <w:left w:val="single" w:color="auto" w:sz="4" w:space="0"/>
              <w:bottom w:val="single" w:color="auto" w:sz="4" w:space="0"/>
              <w:right w:val="single" w:color="auto" w:sz="4" w:space="0"/>
            </w:tcBorders>
            <w:vAlign w:val="center"/>
          </w:tcPr>
          <w:p w14:paraId="6A1C4569">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轴承损坏</w:t>
            </w:r>
          </w:p>
        </w:tc>
        <w:tc>
          <w:tcPr>
            <w:tcW w:w="1110" w:type="dxa"/>
            <w:tcBorders>
              <w:top w:val="single" w:color="auto" w:sz="4" w:space="0"/>
              <w:left w:val="single" w:color="auto" w:sz="4" w:space="0"/>
              <w:bottom w:val="single" w:color="auto" w:sz="4" w:space="0"/>
              <w:right w:val="single" w:color="auto" w:sz="4" w:space="0"/>
            </w:tcBorders>
            <w:vAlign w:val="center"/>
          </w:tcPr>
          <w:p w14:paraId="3A8AE307">
            <w:pPr>
              <w:widowControl/>
              <w:spacing w:line="360" w:lineRule="auto"/>
              <w:jc w:val="center"/>
              <w:rPr>
                <w:rFonts w:hint="eastAsia"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r w14:paraId="5CAC84A4">
        <w:tblPrEx>
          <w:tblCellMar>
            <w:top w:w="0" w:type="dxa"/>
            <w:left w:w="108" w:type="dxa"/>
            <w:bottom w:w="0" w:type="dxa"/>
            <w:right w:w="108" w:type="dxa"/>
          </w:tblCellMar>
        </w:tblPrEx>
        <w:trPr>
          <w:trHeight w:val="431"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7347E2A5">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tcPr>
          <w:p w14:paraId="5EA5235C">
            <w:pPr>
              <w:widowControl/>
              <w:spacing w:line="360" w:lineRule="auto"/>
              <w:jc w:val="center"/>
              <w:rPr>
                <w:rFonts w:hint="eastAsia" w:ascii="宋体" w:eastAsia="宋体" w:cs="宋体"/>
                <w:i w:val="0"/>
                <w:iCs/>
                <w:sz w:val="21"/>
                <w:szCs w:val="21"/>
                <w:lang w:val="en-US" w:eastAsia="zh-CN"/>
              </w:rPr>
            </w:pPr>
          </w:p>
        </w:tc>
        <w:tc>
          <w:tcPr>
            <w:tcW w:w="2270" w:type="dxa"/>
            <w:tcBorders>
              <w:top w:val="single" w:color="auto" w:sz="4" w:space="0"/>
              <w:left w:val="single" w:color="auto" w:sz="4" w:space="0"/>
              <w:bottom w:val="single" w:color="auto" w:sz="4" w:space="0"/>
              <w:right w:val="single" w:color="auto" w:sz="4" w:space="0"/>
            </w:tcBorders>
          </w:tcPr>
          <w:p w14:paraId="7FCD97DC">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罗茨风机</w:t>
            </w:r>
          </w:p>
        </w:tc>
        <w:tc>
          <w:tcPr>
            <w:tcW w:w="3440" w:type="dxa"/>
            <w:tcBorders>
              <w:top w:val="single" w:color="auto" w:sz="4" w:space="0"/>
              <w:left w:val="single" w:color="auto" w:sz="4" w:space="0"/>
              <w:bottom w:val="single" w:color="auto" w:sz="4" w:space="0"/>
              <w:right w:val="single" w:color="auto" w:sz="4" w:space="0"/>
            </w:tcBorders>
            <w:vAlign w:val="center"/>
          </w:tcPr>
          <w:p w14:paraId="5A6B9222">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罗茨风机减速机、电机故障</w:t>
            </w:r>
          </w:p>
        </w:tc>
        <w:tc>
          <w:tcPr>
            <w:tcW w:w="1110" w:type="dxa"/>
            <w:tcBorders>
              <w:top w:val="single" w:color="auto" w:sz="4" w:space="0"/>
              <w:left w:val="single" w:color="auto" w:sz="4" w:space="0"/>
              <w:bottom w:val="single" w:color="auto" w:sz="4" w:space="0"/>
              <w:right w:val="single" w:color="auto" w:sz="4" w:space="0"/>
            </w:tcBorders>
            <w:vAlign w:val="center"/>
          </w:tcPr>
          <w:p w14:paraId="55F9B2B3">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4h</w:t>
            </w:r>
          </w:p>
        </w:tc>
      </w:tr>
      <w:tr w14:paraId="1A6CDA8F">
        <w:tblPrEx>
          <w:tblCellMar>
            <w:top w:w="0" w:type="dxa"/>
            <w:left w:w="108" w:type="dxa"/>
            <w:bottom w:w="0" w:type="dxa"/>
            <w:right w:w="108" w:type="dxa"/>
          </w:tblCellMar>
        </w:tblPrEx>
        <w:trPr>
          <w:trHeight w:val="399"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6621737E">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tcPr>
          <w:p w14:paraId="69C2CFB0">
            <w:pPr>
              <w:widowControl/>
              <w:spacing w:line="360" w:lineRule="auto"/>
              <w:jc w:val="center"/>
              <w:rPr>
                <w:rFonts w:hint="eastAsia" w:ascii="宋体" w:eastAsia="宋体" w:cs="宋体"/>
                <w:i w:val="0"/>
                <w:iCs/>
                <w:sz w:val="21"/>
                <w:szCs w:val="21"/>
                <w:lang w:val="en-US" w:eastAsia="zh-CN"/>
              </w:rPr>
            </w:pPr>
          </w:p>
        </w:tc>
        <w:tc>
          <w:tcPr>
            <w:tcW w:w="2270" w:type="dxa"/>
            <w:tcBorders>
              <w:top w:val="single" w:color="auto" w:sz="4" w:space="0"/>
              <w:left w:val="single" w:color="auto" w:sz="4" w:space="0"/>
              <w:bottom w:val="single" w:color="auto" w:sz="4" w:space="0"/>
              <w:right w:val="single" w:color="auto" w:sz="4" w:space="0"/>
            </w:tcBorders>
          </w:tcPr>
          <w:p w14:paraId="1CBE3C87">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气化斜槽</w:t>
            </w:r>
          </w:p>
        </w:tc>
        <w:tc>
          <w:tcPr>
            <w:tcW w:w="3440" w:type="dxa"/>
            <w:tcBorders>
              <w:top w:val="single" w:color="auto" w:sz="4" w:space="0"/>
              <w:left w:val="single" w:color="auto" w:sz="4" w:space="0"/>
              <w:bottom w:val="single" w:color="auto" w:sz="4" w:space="0"/>
              <w:right w:val="single" w:color="auto" w:sz="4" w:space="0"/>
            </w:tcBorders>
            <w:vAlign w:val="center"/>
          </w:tcPr>
          <w:p w14:paraId="3841148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气化斜槽检修</w:t>
            </w:r>
          </w:p>
        </w:tc>
        <w:tc>
          <w:tcPr>
            <w:tcW w:w="1110" w:type="dxa"/>
            <w:tcBorders>
              <w:top w:val="single" w:color="auto" w:sz="4" w:space="0"/>
              <w:left w:val="single" w:color="auto" w:sz="4" w:space="0"/>
              <w:bottom w:val="single" w:color="auto" w:sz="4" w:space="0"/>
              <w:right w:val="single" w:color="auto" w:sz="4" w:space="0"/>
            </w:tcBorders>
            <w:vAlign w:val="center"/>
          </w:tcPr>
          <w:p w14:paraId="66B862ED">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6h</w:t>
            </w:r>
          </w:p>
        </w:tc>
      </w:tr>
      <w:tr w14:paraId="765B45A9">
        <w:tblPrEx>
          <w:tblCellMar>
            <w:top w:w="0" w:type="dxa"/>
            <w:left w:w="108" w:type="dxa"/>
            <w:bottom w:w="0" w:type="dxa"/>
            <w:right w:w="108" w:type="dxa"/>
          </w:tblCellMar>
        </w:tblPrEx>
        <w:trPr>
          <w:trHeight w:val="399" w:hRule="exact"/>
          <w:jc w:val="center"/>
        </w:trPr>
        <w:tc>
          <w:tcPr>
            <w:tcW w:w="576" w:type="dxa"/>
            <w:vMerge w:val="continue"/>
            <w:tcBorders>
              <w:top w:val="single" w:color="auto" w:sz="4" w:space="0"/>
              <w:left w:val="single" w:color="auto" w:sz="4" w:space="0"/>
              <w:bottom w:val="single" w:color="auto" w:sz="4" w:space="0"/>
              <w:right w:val="single" w:color="auto" w:sz="4" w:space="0"/>
            </w:tcBorders>
          </w:tcPr>
          <w:p w14:paraId="7853E9C9">
            <w:pPr>
              <w:widowControl/>
              <w:spacing w:line="360" w:lineRule="auto"/>
              <w:jc w:val="center"/>
              <w:rPr>
                <w:rFonts w:hint="eastAsia" w:ascii="宋体" w:eastAsia="宋体" w:cs="宋体"/>
                <w:i w:val="0"/>
                <w:iCs/>
                <w:sz w:val="21"/>
                <w:szCs w:val="21"/>
                <w:lang w:val="en-US" w:eastAsia="zh-CN"/>
              </w:rPr>
            </w:pPr>
          </w:p>
        </w:tc>
        <w:tc>
          <w:tcPr>
            <w:tcW w:w="1126" w:type="dxa"/>
            <w:vMerge w:val="continue"/>
            <w:tcBorders>
              <w:top w:val="single" w:color="auto" w:sz="4" w:space="0"/>
              <w:left w:val="single" w:color="auto" w:sz="4" w:space="0"/>
              <w:bottom w:val="single" w:color="auto" w:sz="4" w:space="0"/>
              <w:right w:val="single" w:color="auto" w:sz="4" w:space="0"/>
            </w:tcBorders>
          </w:tcPr>
          <w:p w14:paraId="17E00DB8">
            <w:pPr>
              <w:widowControl/>
              <w:spacing w:line="360" w:lineRule="auto"/>
              <w:jc w:val="center"/>
              <w:rPr>
                <w:rFonts w:hint="eastAsia" w:ascii="宋体" w:eastAsia="宋体" w:cs="宋体"/>
                <w:i w:val="0"/>
                <w:iCs/>
                <w:sz w:val="21"/>
                <w:szCs w:val="21"/>
                <w:lang w:val="en-US" w:eastAsia="zh-CN"/>
              </w:rPr>
            </w:pPr>
          </w:p>
        </w:tc>
        <w:tc>
          <w:tcPr>
            <w:tcW w:w="2270" w:type="dxa"/>
            <w:tcBorders>
              <w:top w:val="single" w:color="auto" w:sz="4" w:space="0"/>
              <w:left w:val="single" w:color="auto" w:sz="4" w:space="0"/>
              <w:bottom w:val="single" w:color="auto" w:sz="4" w:space="0"/>
              <w:right w:val="single" w:color="auto" w:sz="4" w:space="0"/>
            </w:tcBorders>
          </w:tcPr>
          <w:p w14:paraId="5B3547B9">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溜槽</w:t>
            </w:r>
          </w:p>
        </w:tc>
        <w:tc>
          <w:tcPr>
            <w:tcW w:w="3440" w:type="dxa"/>
            <w:tcBorders>
              <w:top w:val="single" w:color="auto" w:sz="4" w:space="0"/>
              <w:left w:val="single" w:color="auto" w:sz="4" w:space="0"/>
              <w:bottom w:val="single" w:color="auto" w:sz="4" w:space="0"/>
              <w:right w:val="single" w:color="auto" w:sz="4" w:space="0"/>
            </w:tcBorders>
            <w:vAlign w:val="center"/>
          </w:tcPr>
          <w:p w14:paraId="64D38559">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进料溜槽磨损漏料</w:t>
            </w:r>
          </w:p>
        </w:tc>
        <w:tc>
          <w:tcPr>
            <w:tcW w:w="1110" w:type="dxa"/>
            <w:tcBorders>
              <w:top w:val="single" w:color="auto" w:sz="4" w:space="0"/>
              <w:left w:val="single" w:color="auto" w:sz="4" w:space="0"/>
              <w:bottom w:val="single" w:color="auto" w:sz="4" w:space="0"/>
              <w:right w:val="single" w:color="auto" w:sz="4" w:space="0"/>
            </w:tcBorders>
            <w:vAlign w:val="center"/>
          </w:tcPr>
          <w:p w14:paraId="51170B0F">
            <w:pPr>
              <w:widowControl/>
              <w:spacing w:line="360" w:lineRule="auto"/>
              <w:jc w:val="center"/>
              <w:rPr>
                <w:rFonts w:hint="default" w:ascii="宋体" w:eastAsia="宋体" w:cs="宋体"/>
                <w:i w:val="0"/>
                <w:iCs/>
                <w:sz w:val="21"/>
                <w:szCs w:val="21"/>
                <w:lang w:val="en-US" w:eastAsia="zh-CN"/>
              </w:rPr>
            </w:pPr>
            <w:r>
              <w:rPr>
                <w:rFonts w:hint="eastAsia" w:ascii="宋体" w:eastAsia="宋体" w:cs="宋体"/>
                <w:i w:val="0"/>
                <w:iCs/>
                <w:sz w:val="21"/>
                <w:szCs w:val="21"/>
                <w:lang w:val="en-US" w:eastAsia="zh-CN"/>
              </w:rPr>
              <w:t>3h</w:t>
            </w:r>
          </w:p>
        </w:tc>
      </w:tr>
    </w:tbl>
    <w:p w14:paraId="22C50CE2">
      <w:pPr>
        <w:pStyle w:val="20"/>
        <w:spacing w:line="360" w:lineRule="auto"/>
        <w:rPr>
          <w:rFonts w:ascii="宋体" w:eastAsia="宋体"/>
          <w:sz w:val="24"/>
          <w:szCs w:val="24"/>
        </w:rPr>
      </w:pPr>
    </w:p>
    <w:p w14:paraId="19BB984F">
      <w:pPr>
        <w:pStyle w:val="20"/>
        <w:spacing w:line="360" w:lineRule="auto"/>
        <w:rPr>
          <w:rFonts w:ascii="宋体" w:eastAsia="宋体"/>
          <w:sz w:val="24"/>
          <w:szCs w:val="24"/>
        </w:rPr>
      </w:pPr>
    </w:p>
    <w:tbl>
      <w:tblPr>
        <w:tblStyle w:val="5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2794"/>
        <w:gridCol w:w="3409"/>
        <w:gridCol w:w="1705"/>
      </w:tblGrid>
      <w:tr w14:paraId="0A9A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0390506E">
            <w:pPr>
              <w:pStyle w:val="20"/>
              <w:spacing w:line="360" w:lineRule="auto"/>
              <w:jc w:val="center"/>
              <w:rPr>
                <w:rFonts w:hint="default" w:ascii="宋体" w:eastAsia="宋体"/>
                <w:sz w:val="24"/>
                <w:szCs w:val="24"/>
                <w:vertAlign w:val="baseline"/>
                <w:lang w:val="en-US" w:eastAsia="zh-CN"/>
              </w:rPr>
            </w:pPr>
            <w:r>
              <w:rPr>
                <w:rFonts w:hint="eastAsia" w:ascii="宋体" w:hAnsi="宋体" w:eastAsia="宋体" w:cs="宋体"/>
                <w:i w:val="0"/>
                <w:iCs/>
                <w:sz w:val="21"/>
                <w:szCs w:val="21"/>
                <w:lang w:val="en-US" w:eastAsia="zh-CN"/>
              </w:rPr>
              <w:t>干灰分选系统</w:t>
            </w:r>
            <w:r>
              <w:rPr>
                <w:rFonts w:hint="eastAsia" w:ascii="宋体" w:eastAsia="宋体" w:cs="宋体"/>
                <w:i w:val="0"/>
                <w:iCs/>
                <w:sz w:val="21"/>
                <w:szCs w:val="21"/>
                <w:lang w:val="en-US" w:eastAsia="zh-CN"/>
              </w:rPr>
              <w:t>设备</w:t>
            </w:r>
            <w:r>
              <w:rPr>
                <w:rFonts w:hint="eastAsia" w:ascii="宋体" w:hAnsi="宋体" w:eastAsia="宋体" w:cs="宋体"/>
                <w:i w:val="0"/>
                <w:iCs/>
                <w:sz w:val="21"/>
                <w:szCs w:val="21"/>
              </w:rPr>
              <w:t>检修时限标准</w:t>
            </w:r>
          </w:p>
        </w:tc>
      </w:tr>
      <w:tr w14:paraId="2A69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Align w:val="center"/>
          </w:tcPr>
          <w:p w14:paraId="66BD65F8">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序</w:t>
            </w:r>
          </w:p>
        </w:tc>
        <w:tc>
          <w:tcPr>
            <w:tcW w:w="2794" w:type="dxa"/>
            <w:vAlign w:val="center"/>
          </w:tcPr>
          <w:p w14:paraId="7728676F">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设备名称</w:t>
            </w:r>
          </w:p>
        </w:tc>
        <w:tc>
          <w:tcPr>
            <w:tcW w:w="3409" w:type="dxa"/>
            <w:vAlign w:val="center"/>
          </w:tcPr>
          <w:p w14:paraId="5D46AD6A">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缺陷</w:t>
            </w:r>
          </w:p>
        </w:tc>
        <w:tc>
          <w:tcPr>
            <w:tcW w:w="1705" w:type="dxa"/>
            <w:vAlign w:val="center"/>
          </w:tcPr>
          <w:p w14:paraId="5953766D">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恢复时限</w:t>
            </w:r>
          </w:p>
        </w:tc>
      </w:tr>
      <w:tr w14:paraId="76F6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14" w:type="dxa"/>
            <w:vMerge w:val="restart"/>
            <w:vAlign w:val="center"/>
          </w:tcPr>
          <w:p w14:paraId="28B8E26A">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1</w:t>
            </w:r>
          </w:p>
        </w:tc>
        <w:tc>
          <w:tcPr>
            <w:tcW w:w="2794" w:type="dxa"/>
            <w:vMerge w:val="restart"/>
            <w:vAlign w:val="center"/>
          </w:tcPr>
          <w:p w14:paraId="53BAB063">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高压离心风机</w:t>
            </w:r>
          </w:p>
        </w:tc>
        <w:tc>
          <w:tcPr>
            <w:tcW w:w="3409" w:type="dxa"/>
            <w:vAlign w:val="center"/>
          </w:tcPr>
          <w:p w14:paraId="07F5FE97">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风机轴承损坏</w:t>
            </w:r>
          </w:p>
        </w:tc>
        <w:tc>
          <w:tcPr>
            <w:tcW w:w="1705" w:type="dxa"/>
            <w:vAlign w:val="center"/>
          </w:tcPr>
          <w:p w14:paraId="6318AB70">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20h</w:t>
            </w:r>
          </w:p>
        </w:tc>
      </w:tr>
      <w:tr w14:paraId="3364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14" w:type="dxa"/>
            <w:vMerge w:val="continue"/>
            <w:vAlign w:val="center"/>
          </w:tcPr>
          <w:p w14:paraId="581C8EE2">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669978A6">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292789ED">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风机风叶磨损</w:t>
            </w:r>
          </w:p>
        </w:tc>
        <w:tc>
          <w:tcPr>
            <w:tcW w:w="1705" w:type="dxa"/>
            <w:vAlign w:val="center"/>
          </w:tcPr>
          <w:p w14:paraId="548C6237">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15h</w:t>
            </w:r>
          </w:p>
        </w:tc>
      </w:tr>
      <w:tr w14:paraId="0E92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restart"/>
            <w:vAlign w:val="center"/>
          </w:tcPr>
          <w:p w14:paraId="695D808C">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2</w:t>
            </w:r>
          </w:p>
        </w:tc>
        <w:tc>
          <w:tcPr>
            <w:tcW w:w="2794" w:type="dxa"/>
            <w:vMerge w:val="restart"/>
            <w:vAlign w:val="center"/>
          </w:tcPr>
          <w:p w14:paraId="7D68C0CB">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进口电动风门</w:t>
            </w:r>
          </w:p>
        </w:tc>
        <w:tc>
          <w:tcPr>
            <w:tcW w:w="3409" w:type="dxa"/>
            <w:vAlign w:val="center"/>
          </w:tcPr>
          <w:p w14:paraId="6C7B92B5">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执行机构故障</w:t>
            </w:r>
          </w:p>
        </w:tc>
        <w:tc>
          <w:tcPr>
            <w:tcW w:w="1705" w:type="dxa"/>
            <w:vAlign w:val="center"/>
          </w:tcPr>
          <w:p w14:paraId="3F7DBC15">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8</w:t>
            </w:r>
          </w:p>
        </w:tc>
      </w:tr>
      <w:tr w14:paraId="08F6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14" w:type="dxa"/>
            <w:vMerge w:val="continue"/>
            <w:vAlign w:val="center"/>
          </w:tcPr>
          <w:p w14:paraId="6676098B">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39256F83">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5DA037E4">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阀门故障</w:t>
            </w:r>
          </w:p>
        </w:tc>
        <w:tc>
          <w:tcPr>
            <w:tcW w:w="1705" w:type="dxa"/>
            <w:vAlign w:val="center"/>
          </w:tcPr>
          <w:p w14:paraId="3287C363">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16</w:t>
            </w:r>
          </w:p>
        </w:tc>
      </w:tr>
      <w:tr w14:paraId="0A92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Align w:val="center"/>
          </w:tcPr>
          <w:p w14:paraId="42CE2233">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3</w:t>
            </w:r>
          </w:p>
        </w:tc>
        <w:tc>
          <w:tcPr>
            <w:tcW w:w="2794" w:type="dxa"/>
            <w:vAlign w:val="center"/>
          </w:tcPr>
          <w:p w14:paraId="4EA458F5">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分选管道</w:t>
            </w:r>
          </w:p>
        </w:tc>
        <w:tc>
          <w:tcPr>
            <w:tcW w:w="3409" w:type="dxa"/>
            <w:vAlign w:val="center"/>
          </w:tcPr>
          <w:p w14:paraId="776784F6">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分选管道磨损</w:t>
            </w:r>
          </w:p>
        </w:tc>
        <w:tc>
          <w:tcPr>
            <w:tcW w:w="1705" w:type="dxa"/>
            <w:vAlign w:val="center"/>
          </w:tcPr>
          <w:p w14:paraId="57D53EEE">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3h</w:t>
            </w:r>
          </w:p>
        </w:tc>
      </w:tr>
      <w:tr w14:paraId="2DE9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restart"/>
            <w:vAlign w:val="center"/>
          </w:tcPr>
          <w:p w14:paraId="6D42CFE1">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4</w:t>
            </w:r>
          </w:p>
        </w:tc>
        <w:tc>
          <w:tcPr>
            <w:tcW w:w="2794" w:type="dxa"/>
            <w:vMerge w:val="restart"/>
            <w:vAlign w:val="center"/>
          </w:tcPr>
          <w:p w14:paraId="7D6D962C">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分级机</w:t>
            </w:r>
          </w:p>
        </w:tc>
        <w:tc>
          <w:tcPr>
            <w:tcW w:w="3409" w:type="dxa"/>
            <w:vAlign w:val="center"/>
          </w:tcPr>
          <w:p w14:paraId="3DC5EE83">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分级机外壳磨损</w:t>
            </w:r>
          </w:p>
        </w:tc>
        <w:tc>
          <w:tcPr>
            <w:tcW w:w="1705" w:type="dxa"/>
            <w:vAlign w:val="center"/>
          </w:tcPr>
          <w:p w14:paraId="4E61DF06">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2h</w:t>
            </w:r>
          </w:p>
        </w:tc>
      </w:tr>
      <w:tr w14:paraId="23EC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continue"/>
            <w:vAlign w:val="center"/>
          </w:tcPr>
          <w:p w14:paraId="0C66AADD">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26F62953">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2E38386D">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分级机挡板磨损</w:t>
            </w:r>
          </w:p>
        </w:tc>
        <w:tc>
          <w:tcPr>
            <w:tcW w:w="1705" w:type="dxa"/>
            <w:vAlign w:val="center"/>
          </w:tcPr>
          <w:p w14:paraId="61BB42C0">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6h</w:t>
            </w:r>
          </w:p>
        </w:tc>
      </w:tr>
      <w:tr w14:paraId="1365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Align w:val="center"/>
          </w:tcPr>
          <w:p w14:paraId="2399895C">
            <w:pPr>
              <w:widowControl/>
              <w:spacing w:line="360" w:lineRule="auto"/>
              <w:jc w:val="center"/>
              <w:rPr>
                <w:rFonts w:hint="eastAsia"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5</w:t>
            </w:r>
          </w:p>
        </w:tc>
        <w:tc>
          <w:tcPr>
            <w:tcW w:w="2794" w:type="dxa"/>
            <w:vAlign w:val="center"/>
          </w:tcPr>
          <w:p w14:paraId="39730258">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分离器</w:t>
            </w:r>
          </w:p>
        </w:tc>
        <w:tc>
          <w:tcPr>
            <w:tcW w:w="3409" w:type="dxa"/>
            <w:vAlign w:val="center"/>
          </w:tcPr>
          <w:p w14:paraId="57DE3096">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分离器故障</w:t>
            </w:r>
          </w:p>
        </w:tc>
        <w:tc>
          <w:tcPr>
            <w:tcW w:w="1705" w:type="dxa"/>
            <w:vAlign w:val="center"/>
          </w:tcPr>
          <w:p w14:paraId="3C4936F9">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4h</w:t>
            </w:r>
          </w:p>
        </w:tc>
      </w:tr>
      <w:tr w14:paraId="359B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restart"/>
            <w:vAlign w:val="center"/>
          </w:tcPr>
          <w:p w14:paraId="65C24F5F">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6</w:t>
            </w:r>
          </w:p>
        </w:tc>
        <w:tc>
          <w:tcPr>
            <w:tcW w:w="2794" w:type="dxa"/>
            <w:vMerge w:val="restart"/>
            <w:vAlign w:val="center"/>
          </w:tcPr>
          <w:p w14:paraId="41A2517E">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调速给料机</w:t>
            </w:r>
          </w:p>
        </w:tc>
        <w:tc>
          <w:tcPr>
            <w:tcW w:w="3409" w:type="dxa"/>
            <w:vAlign w:val="center"/>
          </w:tcPr>
          <w:p w14:paraId="6DAA070C">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电机故障</w:t>
            </w:r>
          </w:p>
        </w:tc>
        <w:tc>
          <w:tcPr>
            <w:tcW w:w="1705" w:type="dxa"/>
            <w:vAlign w:val="center"/>
          </w:tcPr>
          <w:p w14:paraId="08AF9F80">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5h</w:t>
            </w:r>
          </w:p>
        </w:tc>
      </w:tr>
      <w:tr w14:paraId="652F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continue"/>
            <w:vAlign w:val="center"/>
          </w:tcPr>
          <w:p w14:paraId="321AB998">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69F44FDE">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568276B9">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减速机故障</w:t>
            </w:r>
          </w:p>
        </w:tc>
        <w:tc>
          <w:tcPr>
            <w:tcW w:w="1705" w:type="dxa"/>
            <w:vAlign w:val="center"/>
          </w:tcPr>
          <w:p w14:paraId="3BD913A7">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8h</w:t>
            </w:r>
          </w:p>
        </w:tc>
      </w:tr>
      <w:tr w14:paraId="14D7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continue"/>
            <w:vAlign w:val="center"/>
          </w:tcPr>
          <w:p w14:paraId="3BCB79CB">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051142E3">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2C3E6C68">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传动链条故障</w:t>
            </w:r>
          </w:p>
        </w:tc>
        <w:tc>
          <w:tcPr>
            <w:tcW w:w="1705" w:type="dxa"/>
            <w:vAlign w:val="center"/>
          </w:tcPr>
          <w:p w14:paraId="6E71F829">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3h</w:t>
            </w:r>
          </w:p>
        </w:tc>
      </w:tr>
      <w:tr w14:paraId="1CEC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restart"/>
            <w:vAlign w:val="center"/>
          </w:tcPr>
          <w:p w14:paraId="01D4850C">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7</w:t>
            </w:r>
          </w:p>
        </w:tc>
        <w:tc>
          <w:tcPr>
            <w:tcW w:w="2794" w:type="dxa"/>
            <w:vMerge w:val="restart"/>
            <w:vAlign w:val="center"/>
          </w:tcPr>
          <w:p w14:paraId="6E107C9F">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电动二次风门</w:t>
            </w:r>
          </w:p>
        </w:tc>
        <w:tc>
          <w:tcPr>
            <w:tcW w:w="3409" w:type="dxa"/>
            <w:vAlign w:val="center"/>
          </w:tcPr>
          <w:p w14:paraId="00B08D45">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电动执行机构故障</w:t>
            </w:r>
          </w:p>
        </w:tc>
        <w:tc>
          <w:tcPr>
            <w:tcW w:w="1705" w:type="dxa"/>
            <w:vAlign w:val="center"/>
          </w:tcPr>
          <w:p w14:paraId="7573BAE9">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4h</w:t>
            </w:r>
          </w:p>
        </w:tc>
      </w:tr>
      <w:tr w14:paraId="2505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dxa"/>
            <w:vMerge w:val="continue"/>
            <w:vAlign w:val="center"/>
          </w:tcPr>
          <w:p w14:paraId="2E33DEC0">
            <w:pPr>
              <w:widowControl/>
              <w:spacing w:line="360" w:lineRule="auto"/>
              <w:jc w:val="center"/>
              <w:rPr>
                <w:rFonts w:hint="eastAsia" w:ascii="宋体" w:hAnsi="宋体" w:eastAsia="宋体" w:cs="宋体"/>
                <w:i w:val="0"/>
                <w:iCs/>
                <w:sz w:val="21"/>
                <w:szCs w:val="21"/>
                <w:lang w:val="en-US" w:eastAsia="zh-CN" w:bidi="ar-SA"/>
              </w:rPr>
            </w:pPr>
          </w:p>
        </w:tc>
        <w:tc>
          <w:tcPr>
            <w:tcW w:w="2794" w:type="dxa"/>
            <w:vMerge w:val="continue"/>
            <w:vAlign w:val="center"/>
          </w:tcPr>
          <w:p w14:paraId="72912C71">
            <w:pPr>
              <w:widowControl/>
              <w:spacing w:line="360" w:lineRule="auto"/>
              <w:jc w:val="center"/>
              <w:rPr>
                <w:rFonts w:hint="eastAsia" w:ascii="宋体" w:hAnsi="宋体" w:eastAsia="宋体" w:cs="宋体"/>
                <w:i w:val="0"/>
                <w:iCs/>
                <w:sz w:val="21"/>
                <w:szCs w:val="21"/>
                <w:lang w:val="en-US" w:eastAsia="zh-CN" w:bidi="ar-SA"/>
              </w:rPr>
            </w:pPr>
          </w:p>
        </w:tc>
        <w:tc>
          <w:tcPr>
            <w:tcW w:w="3409" w:type="dxa"/>
            <w:vAlign w:val="center"/>
          </w:tcPr>
          <w:p w14:paraId="62A2E302">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阀门故障</w:t>
            </w:r>
          </w:p>
        </w:tc>
        <w:tc>
          <w:tcPr>
            <w:tcW w:w="1705" w:type="dxa"/>
            <w:vAlign w:val="center"/>
          </w:tcPr>
          <w:p w14:paraId="332BF3BE">
            <w:pPr>
              <w:widowControl/>
              <w:spacing w:line="360" w:lineRule="auto"/>
              <w:jc w:val="center"/>
              <w:rPr>
                <w:rFonts w:hint="default" w:ascii="宋体" w:hAnsi="宋体" w:eastAsia="宋体" w:cs="宋体"/>
                <w:i w:val="0"/>
                <w:iCs/>
                <w:sz w:val="21"/>
                <w:szCs w:val="21"/>
                <w:lang w:val="en-US" w:eastAsia="zh-CN" w:bidi="ar-SA"/>
              </w:rPr>
            </w:pPr>
            <w:r>
              <w:rPr>
                <w:rFonts w:hint="eastAsia" w:ascii="宋体" w:hAnsi="宋体" w:eastAsia="宋体" w:cs="宋体"/>
                <w:i w:val="0"/>
                <w:iCs/>
                <w:sz w:val="21"/>
                <w:szCs w:val="21"/>
                <w:lang w:val="en-US" w:eastAsia="zh-CN" w:bidi="ar-SA"/>
              </w:rPr>
              <w:t>6h</w:t>
            </w:r>
          </w:p>
        </w:tc>
      </w:tr>
    </w:tbl>
    <w:p w14:paraId="03E196F4">
      <w:pPr>
        <w:rPr>
          <w:rFonts w:ascii="宋体" w:eastAsia="宋体"/>
          <w:sz w:val="24"/>
          <w:szCs w:val="24"/>
        </w:rPr>
      </w:pPr>
      <w:bookmarkStart w:id="44" w:name="_Toc153985154"/>
    </w:p>
    <w:p w14:paraId="3CE05466">
      <w:pPr>
        <w:pStyle w:val="2"/>
        <w:keepNext/>
        <w:keepLines/>
        <w:numPr>
          <w:ilvl w:val="0"/>
          <w:numId w:val="0"/>
        </w:numPr>
        <w:adjustRightInd w:val="0"/>
        <w:spacing w:before="0" w:after="0" w:line="360" w:lineRule="auto"/>
        <w:jc w:val="left"/>
        <w:textAlignment w:val="baseline"/>
        <w:rPr>
          <w:rFonts w:ascii="宋体" w:eastAsia="宋体"/>
          <w:b/>
          <w:bCs w:val="0"/>
          <w:kern w:val="0"/>
          <w:sz w:val="24"/>
          <w:szCs w:val="24"/>
        </w:rPr>
      </w:pPr>
      <w:r>
        <w:rPr>
          <w:rFonts w:hint="eastAsia" w:ascii="宋体" w:eastAsia="宋体"/>
          <w:b/>
          <w:sz w:val="24"/>
          <w:szCs w:val="24"/>
        </w:rPr>
        <w:t>附件二：</w:t>
      </w:r>
      <w:r>
        <w:rPr>
          <w:rFonts w:hint="eastAsia" w:ascii="宋体" w:eastAsia="宋体"/>
          <w:bCs w:val="0"/>
          <w:kern w:val="0"/>
          <w:sz w:val="24"/>
          <w:szCs w:val="24"/>
        </w:rPr>
        <w:t>技术差异表</w:t>
      </w:r>
      <w:bookmarkEnd w:id="44"/>
    </w:p>
    <w:p w14:paraId="3E6BB8C3">
      <w:pPr>
        <w:pStyle w:val="31"/>
        <w:spacing w:line="440" w:lineRule="exact"/>
        <w:ind w:firstLine="480" w:firstLineChars="200"/>
        <w:jc w:val="left"/>
        <w:rPr>
          <w:rFonts w:ascii="宋体" w:eastAsia="宋体"/>
        </w:rPr>
      </w:pPr>
      <w:r>
        <w:rPr>
          <w:rFonts w:hint="eastAsia" w:ascii="宋体" w:eastAsia="宋体"/>
        </w:rPr>
        <w:t>投标人要将投标文件和招标文件的差异之处汇集成表。技术部分和商务部分要单独列表。</w:t>
      </w:r>
    </w:p>
    <w:p w14:paraId="0BB2B69E">
      <w:pPr>
        <w:pStyle w:val="31"/>
        <w:spacing w:line="500" w:lineRule="exact"/>
        <w:jc w:val="center"/>
        <w:rPr>
          <w:rFonts w:ascii="宋体" w:eastAsia="宋体"/>
        </w:rPr>
      </w:pPr>
      <w:r>
        <w:rPr>
          <w:rFonts w:ascii="宋体" w:eastAsia="宋体"/>
        </w:rPr>
        <w:t>差   异   表</w:t>
      </w:r>
    </w:p>
    <w:tbl>
      <w:tblPr>
        <w:tblStyle w:val="54"/>
        <w:tblW w:w="8916" w:type="dxa"/>
        <w:jc w:val="center"/>
        <w:tblLayout w:type="fixed"/>
        <w:tblCellMar>
          <w:top w:w="0" w:type="dxa"/>
          <w:left w:w="28" w:type="dxa"/>
          <w:bottom w:w="0" w:type="dxa"/>
          <w:right w:w="28" w:type="dxa"/>
        </w:tblCellMar>
      </w:tblPr>
      <w:tblGrid>
        <w:gridCol w:w="840"/>
        <w:gridCol w:w="965"/>
        <w:gridCol w:w="2995"/>
        <w:gridCol w:w="960"/>
        <w:gridCol w:w="3156"/>
      </w:tblGrid>
      <w:tr w14:paraId="050116FF">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bottom w:val="nil"/>
              <w:right w:val="single" w:color="auto" w:sz="6" w:space="0"/>
            </w:tcBorders>
            <w:vAlign w:val="center"/>
          </w:tcPr>
          <w:p w14:paraId="5EDC3710">
            <w:pPr>
              <w:pStyle w:val="31"/>
              <w:spacing w:line="500" w:lineRule="exact"/>
              <w:ind w:firstLine="0"/>
              <w:jc w:val="center"/>
              <w:rPr>
                <w:rFonts w:ascii="宋体" w:eastAsia="宋体"/>
                <w:szCs w:val="24"/>
              </w:rPr>
            </w:pPr>
            <w:r>
              <w:rPr>
                <w:rFonts w:ascii="宋体" w:eastAsia="宋体"/>
                <w:szCs w:val="24"/>
              </w:rPr>
              <w:t>序号</w:t>
            </w:r>
          </w:p>
        </w:tc>
        <w:tc>
          <w:tcPr>
            <w:tcW w:w="3960" w:type="dxa"/>
            <w:gridSpan w:val="2"/>
            <w:tcBorders>
              <w:top w:val="single" w:color="auto" w:sz="6" w:space="0"/>
              <w:left w:val="nil"/>
              <w:bottom w:val="nil"/>
              <w:right w:val="single" w:color="auto" w:sz="6" w:space="0"/>
            </w:tcBorders>
            <w:vAlign w:val="center"/>
          </w:tcPr>
          <w:p w14:paraId="07B03CD2">
            <w:pPr>
              <w:pStyle w:val="31"/>
              <w:spacing w:line="500" w:lineRule="exact"/>
              <w:ind w:left="480"/>
              <w:jc w:val="center"/>
              <w:rPr>
                <w:rFonts w:ascii="宋体" w:eastAsia="宋体"/>
                <w:szCs w:val="24"/>
              </w:rPr>
            </w:pPr>
            <w:r>
              <w:rPr>
                <w:rFonts w:ascii="宋体" w:eastAsia="宋体"/>
                <w:szCs w:val="24"/>
              </w:rPr>
              <w:t>招 标 文 件</w:t>
            </w:r>
          </w:p>
        </w:tc>
        <w:tc>
          <w:tcPr>
            <w:tcW w:w="4116" w:type="dxa"/>
            <w:gridSpan w:val="2"/>
            <w:tcBorders>
              <w:top w:val="single" w:color="auto" w:sz="6" w:space="0"/>
              <w:left w:val="nil"/>
              <w:bottom w:val="nil"/>
              <w:right w:val="single" w:color="auto" w:sz="6" w:space="0"/>
            </w:tcBorders>
            <w:vAlign w:val="center"/>
          </w:tcPr>
          <w:p w14:paraId="3746BA2B">
            <w:pPr>
              <w:pStyle w:val="31"/>
              <w:spacing w:line="500" w:lineRule="exact"/>
              <w:ind w:left="480"/>
              <w:jc w:val="center"/>
              <w:rPr>
                <w:rFonts w:ascii="宋体" w:eastAsia="宋体"/>
                <w:szCs w:val="24"/>
              </w:rPr>
            </w:pPr>
            <w:r>
              <w:rPr>
                <w:rFonts w:ascii="宋体" w:eastAsia="宋体"/>
                <w:szCs w:val="24"/>
              </w:rPr>
              <w:t>投 标 文 件</w:t>
            </w:r>
          </w:p>
        </w:tc>
      </w:tr>
      <w:tr w14:paraId="3FFFE35F">
        <w:tblPrEx>
          <w:tblCellMar>
            <w:top w:w="0" w:type="dxa"/>
            <w:left w:w="28" w:type="dxa"/>
            <w:bottom w:w="0" w:type="dxa"/>
            <w:right w:w="28" w:type="dxa"/>
          </w:tblCellMar>
        </w:tblPrEx>
        <w:trPr>
          <w:cantSplit/>
          <w:jc w:val="center"/>
        </w:trPr>
        <w:tc>
          <w:tcPr>
            <w:tcW w:w="840" w:type="dxa"/>
            <w:vMerge w:val="continue"/>
            <w:tcBorders>
              <w:top w:val="single" w:color="auto" w:sz="6" w:space="0"/>
              <w:left w:val="single" w:color="auto" w:sz="6" w:space="0"/>
              <w:bottom w:val="nil"/>
              <w:right w:val="single" w:color="auto" w:sz="6" w:space="0"/>
            </w:tcBorders>
            <w:vAlign w:val="center"/>
          </w:tcPr>
          <w:p w14:paraId="060B00BC">
            <w:pPr>
              <w:pStyle w:val="31"/>
              <w:spacing w:line="500" w:lineRule="exact"/>
              <w:ind w:left="480"/>
              <w:jc w:val="center"/>
              <w:rPr>
                <w:rFonts w:ascii="宋体" w:eastAsia="宋体"/>
                <w:szCs w:val="24"/>
              </w:rPr>
            </w:pPr>
          </w:p>
        </w:tc>
        <w:tc>
          <w:tcPr>
            <w:tcW w:w="965" w:type="dxa"/>
            <w:tcBorders>
              <w:top w:val="single" w:color="auto" w:sz="6" w:space="0"/>
              <w:left w:val="nil"/>
              <w:bottom w:val="nil"/>
              <w:right w:val="single" w:color="auto" w:sz="6" w:space="0"/>
            </w:tcBorders>
            <w:vAlign w:val="center"/>
          </w:tcPr>
          <w:p w14:paraId="38611245">
            <w:pPr>
              <w:pStyle w:val="31"/>
              <w:spacing w:line="500" w:lineRule="exact"/>
              <w:ind w:firstLine="0"/>
              <w:jc w:val="center"/>
              <w:rPr>
                <w:rFonts w:ascii="宋体" w:eastAsia="宋体"/>
                <w:szCs w:val="24"/>
              </w:rPr>
            </w:pPr>
            <w:r>
              <w:rPr>
                <w:rFonts w:ascii="宋体" w:eastAsia="宋体"/>
                <w:szCs w:val="24"/>
              </w:rPr>
              <w:t>条目</w:t>
            </w:r>
          </w:p>
        </w:tc>
        <w:tc>
          <w:tcPr>
            <w:tcW w:w="2995" w:type="dxa"/>
            <w:tcBorders>
              <w:top w:val="single" w:color="auto" w:sz="6" w:space="0"/>
              <w:left w:val="nil"/>
              <w:bottom w:val="nil"/>
              <w:right w:val="single" w:color="auto" w:sz="6" w:space="0"/>
            </w:tcBorders>
            <w:vAlign w:val="center"/>
          </w:tcPr>
          <w:p w14:paraId="770FFDAE">
            <w:pPr>
              <w:pStyle w:val="31"/>
              <w:spacing w:line="500" w:lineRule="exact"/>
              <w:ind w:firstLine="0"/>
              <w:jc w:val="center"/>
              <w:rPr>
                <w:rFonts w:ascii="宋体" w:eastAsia="宋体"/>
                <w:szCs w:val="24"/>
              </w:rPr>
            </w:pPr>
            <w:r>
              <w:rPr>
                <w:rFonts w:ascii="宋体" w:eastAsia="宋体"/>
                <w:szCs w:val="24"/>
              </w:rPr>
              <w:t>简要内容</w:t>
            </w:r>
          </w:p>
        </w:tc>
        <w:tc>
          <w:tcPr>
            <w:tcW w:w="960" w:type="dxa"/>
            <w:tcBorders>
              <w:top w:val="single" w:color="auto" w:sz="6" w:space="0"/>
              <w:left w:val="nil"/>
              <w:bottom w:val="nil"/>
              <w:right w:val="single" w:color="auto" w:sz="6" w:space="0"/>
            </w:tcBorders>
            <w:vAlign w:val="center"/>
          </w:tcPr>
          <w:p w14:paraId="75C6C842">
            <w:pPr>
              <w:pStyle w:val="31"/>
              <w:spacing w:line="500" w:lineRule="exact"/>
              <w:ind w:firstLine="0"/>
              <w:jc w:val="center"/>
              <w:rPr>
                <w:rFonts w:ascii="宋体" w:eastAsia="宋体"/>
                <w:szCs w:val="24"/>
              </w:rPr>
            </w:pPr>
            <w:r>
              <w:rPr>
                <w:rFonts w:ascii="宋体" w:eastAsia="宋体"/>
                <w:szCs w:val="24"/>
              </w:rPr>
              <w:t>条目</w:t>
            </w:r>
          </w:p>
        </w:tc>
        <w:tc>
          <w:tcPr>
            <w:tcW w:w="3156" w:type="dxa"/>
            <w:tcBorders>
              <w:top w:val="single" w:color="auto" w:sz="6" w:space="0"/>
              <w:left w:val="nil"/>
              <w:bottom w:val="nil"/>
              <w:right w:val="single" w:color="auto" w:sz="6" w:space="0"/>
            </w:tcBorders>
            <w:vAlign w:val="center"/>
          </w:tcPr>
          <w:p w14:paraId="06D5B97E">
            <w:pPr>
              <w:pStyle w:val="31"/>
              <w:spacing w:line="500" w:lineRule="exact"/>
              <w:ind w:firstLine="0"/>
              <w:jc w:val="center"/>
              <w:rPr>
                <w:rFonts w:ascii="宋体" w:eastAsia="宋体"/>
                <w:szCs w:val="24"/>
              </w:rPr>
            </w:pPr>
            <w:r>
              <w:rPr>
                <w:rFonts w:ascii="宋体" w:eastAsia="宋体"/>
                <w:szCs w:val="24"/>
              </w:rPr>
              <w:t>简要内容</w:t>
            </w:r>
          </w:p>
        </w:tc>
      </w:tr>
      <w:tr w14:paraId="436440E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7FF5457A">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3A890D0F">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1EB14B37">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458020C9">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98196A7">
            <w:pPr>
              <w:spacing w:line="500" w:lineRule="exact"/>
              <w:ind w:firstLine="567"/>
              <w:jc w:val="center"/>
              <w:rPr>
                <w:rFonts w:ascii="宋体" w:eastAsia="宋体"/>
                <w:sz w:val="24"/>
                <w:szCs w:val="24"/>
              </w:rPr>
            </w:pPr>
          </w:p>
        </w:tc>
      </w:tr>
      <w:tr w14:paraId="2D109F8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2AA32A7">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713C4BCD">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5525BA60">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7B90F7B9">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104653A2">
            <w:pPr>
              <w:spacing w:line="500" w:lineRule="exact"/>
              <w:ind w:firstLine="567"/>
              <w:jc w:val="center"/>
              <w:rPr>
                <w:rFonts w:ascii="宋体" w:eastAsia="宋体"/>
                <w:sz w:val="24"/>
                <w:szCs w:val="24"/>
              </w:rPr>
            </w:pPr>
          </w:p>
        </w:tc>
      </w:tr>
      <w:tr w14:paraId="2D625CA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D708DFD">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18D2FB3A">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0F164AC3">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6DFC7E45">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05BFE84">
            <w:pPr>
              <w:spacing w:line="500" w:lineRule="exact"/>
              <w:ind w:firstLine="567"/>
              <w:jc w:val="center"/>
              <w:rPr>
                <w:rFonts w:ascii="宋体" w:eastAsia="宋体"/>
                <w:sz w:val="24"/>
                <w:szCs w:val="24"/>
              </w:rPr>
            </w:pPr>
          </w:p>
        </w:tc>
      </w:tr>
      <w:tr w14:paraId="7D832D3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EA9F1F9">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196EB18D">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625866C5">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5F65861F">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A131737">
            <w:pPr>
              <w:spacing w:line="500" w:lineRule="exact"/>
              <w:ind w:firstLine="567"/>
              <w:jc w:val="center"/>
              <w:rPr>
                <w:rFonts w:ascii="宋体" w:eastAsia="宋体"/>
                <w:sz w:val="24"/>
                <w:szCs w:val="24"/>
              </w:rPr>
            </w:pPr>
          </w:p>
        </w:tc>
      </w:tr>
      <w:tr w14:paraId="4F57BEE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8DE5CB6">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48867D47">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09D64C78">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331E3EE2">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4B922C12">
            <w:pPr>
              <w:spacing w:line="500" w:lineRule="exact"/>
              <w:ind w:firstLine="567"/>
              <w:jc w:val="center"/>
              <w:rPr>
                <w:rFonts w:ascii="宋体" w:eastAsia="宋体"/>
                <w:sz w:val="24"/>
                <w:szCs w:val="24"/>
              </w:rPr>
            </w:pPr>
          </w:p>
        </w:tc>
      </w:tr>
      <w:tr w14:paraId="3333010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3E0452C0">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4502E0A1">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029E03FD">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78E43EF1">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1F216143">
            <w:pPr>
              <w:spacing w:line="500" w:lineRule="exact"/>
              <w:ind w:firstLine="567"/>
              <w:jc w:val="center"/>
              <w:rPr>
                <w:rFonts w:ascii="宋体" w:eastAsia="宋体"/>
                <w:sz w:val="24"/>
                <w:szCs w:val="24"/>
              </w:rPr>
            </w:pPr>
          </w:p>
        </w:tc>
      </w:tr>
      <w:tr w14:paraId="2DCA3B5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8EFEC42">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601607E5">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11598E10">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09D673E5">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4671FEAD">
            <w:pPr>
              <w:spacing w:line="500" w:lineRule="exact"/>
              <w:ind w:firstLine="567"/>
              <w:jc w:val="center"/>
              <w:rPr>
                <w:rFonts w:ascii="宋体" w:eastAsia="宋体"/>
                <w:sz w:val="24"/>
                <w:szCs w:val="24"/>
              </w:rPr>
            </w:pPr>
          </w:p>
        </w:tc>
      </w:tr>
      <w:tr w14:paraId="585B8D1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1CA4A9C">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0B35A440">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5207BC97">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14D23A97">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02EA75D8">
            <w:pPr>
              <w:spacing w:line="500" w:lineRule="exact"/>
              <w:ind w:firstLine="567"/>
              <w:jc w:val="center"/>
              <w:rPr>
                <w:rFonts w:ascii="宋体" w:eastAsia="宋体"/>
                <w:sz w:val="24"/>
                <w:szCs w:val="24"/>
              </w:rPr>
            </w:pPr>
          </w:p>
        </w:tc>
      </w:tr>
      <w:tr w14:paraId="0F4B177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E4D7AA6">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1C12C1F9">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17ED4B71">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6D8159B2">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62C8F9B6">
            <w:pPr>
              <w:spacing w:line="500" w:lineRule="exact"/>
              <w:ind w:firstLine="567"/>
              <w:jc w:val="center"/>
              <w:rPr>
                <w:rFonts w:ascii="宋体" w:eastAsia="宋体"/>
                <w:sz w:val="24"/>
                <w:szCs w:val="24"/>
              </w:rPr>
            </w:pPr>
          </w:p>
        </w:tc>
      </w:tr>
    </w:tbl>
    <w:p w14:paraId="63974D95">
      <w:pPr>
        <w:spacing w:line="360" w:lineRule="auto"/>
        <w:rPr>
          <w:rFonts w:ascii="宋体" w:eastAsia="宋体"/>
          <w:szCs w:val="24"/>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2615929"/>
      <w:docPartObj>
        <w:docPartGallery w:val="autotext"/>
      </w:docPartObj>
    </w:sdtPr>
    <w:sdtContent>
      <w:p w14:paraId="36D31876">
        <w:pPr>
          <w:pStyle w:val="33"/>
          <w:jc w:val="center"/>
        </w:pPr>
        <w:r>
          <w:fldChar w:fldCharType="begin"/>
        </w:r>
        <w:r>
          <w:instrText xml:space="preserve"> PAGE   \* MERGEFORMAT </w:instrText>
        </w:r>
        <w:r>
          <w:fldChar w:fldCharType="separate"/>
        </w:r>
        <w:r>
          <w:rPr>
            <w:lang w:val="zh-CN"/>
          </w:rPr>
          <w:t>23</w:t>
        </w:r>
        <w:r>
          <w:fldChar w:fldCharType="end"/>
        </w:r>
      </w:p>
    </w:sdtContent>
  </w:sdt>
  <w:p w14:paraId="26A83578">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suff w:val="nothing"/>
      <w:lvlText w:val="1.%1．"/>
      <w:lvlJc w:val="left"/>
      <w:pPr>
        <w:ind w:left="0" w:firstLine="403"/>
      </w:pPr>
      <w:rPr>
        <w:rFonts w:hint="default"/>
      </w:rPr>
    </w:lvl>
  </w:abstractNum>
  <w:abstractNum w:abstractNumId="1">
    <w:nsid w:val="00000016"/>
    <w:multiLevelType w:val="singleLevel"/>
    <w:tmpl w:val="00000016"/>
    <w:lvl w:ilvl="0" w:tentative="0">
      <w:start w:val="1"/>
      <w:numFmt w:val="decimal"/>
      <w:suff w:val="nothing"/>
      <w:lvlText w:val="2.%1．"/>
      <w:lvlJc w:val="left"/>
      <w:pPr>
        <w:ind w:left="0" w:firstLine="403"/>
      </w:pPr>
      <w:rPr>
        <w:rFonts w:hint="default"/>
      </w:rPr>
    </w:lvl>
  </w:abstractNum>
  <w:abstractNum w:abstractNumId="2">
    <w:nsid w:val="01A537E7"/>
    <w:multiLevelType w:val="multilevel"/>
    <w:tmpl w:val="01A537E7"/>
    <w:lvl w:ilvl="0" w:tentative="0">
      <w:start w:val="1"/>
      <w:numFmt w:val="decimal"/>
      <w:lvlText w:val="2.%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3FC1144"/>
    <w:multiLevelType w:val="multilevel"/>
    <w:tmpl w:val="03FC1144"/>
    <w:lvl w:ilvl="0" w:tentative="0">
      <w:start w:val="1"/>
      <w:numFmt w:val="decimal"/>
      <w:lvlText w:val="3.2.%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5A64EA5"/>
    <w:multiLevelType w:val="multilevel"/>
    <w:tmpl w:val="05A64EA5"/>
    <w:lvl w:ilvl="0" w:tentative="0">
      <w:start w:val="1"/>
      <w:numFmt w:val="decimal"/>
      <w:lvlText w:val="3.5.%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C87466D"/>
    <w:multiLevelType w:val="multilevel"/>
    <w:tmpl w:val="0C87466D"/>
    <w:lvl w:ilvl="0" w:tentative="0">
      <w:start w:val="1"/>
      <w:numFmt w:val="decimal"/>
      <w:lvlText w:val="3.6.%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96450AF"/>
    <w:multiLevelType w:val="multilevel"/>
    <w:tmpl w:val="196450AF"/>
    <w:lvl w:ilvl="0" w:tentative="0">
      <w:start w:val="1"/>
      <w:numFmt w:val="decimal"/>
      <w:lvlText w:val="3.3.%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E973DC1"/>
    <w:multiLevelType w:val="multilevel"/>
    <w:tmpl w:val="1E973DC1"/>
    <w:lvl w:ilvl="0" w:tentative="0">
      <w:start w:val="1"/>
      <w:numFmt w:val="decimal"/>
      <w:lvlText w:val="%1"/>
      <w:lvlJc w:val="left"/>
      <w:pPr>
        <w:ind w:left="0" w:firstLine="0"/>
      </w:pPr>
      <w:rPr>
        <w:rFonts w:hint="default"/>
      </w:rPr>
    </w:lvl>
    <w:lvl w:ilvl="1" w:tentative="0">
      <w:start w:val="1"/>
      <w:numFmt w:val="decimal"/>
      <w:lvlText w:val="%1.%2"/>
      <w:lvlJc w:val="left"/>
      <w:pPr>
        <w:ind w:left="367" w:firstLine="200"/>
      </w:pPr>
      <w:rPr>
        <w:rFonts w:hint="default" w:ascii="宋体" w:hAnsi="宋体" w:eastAsia="宋体" w:cs="宋体"/>
        <w:b w:val="0"/>
        <w:i w:val="0"/>
        <w:caps w:val="0"/>
        <w:strike w:val="0"/>
        <w:dstrike w:val="0"/>
        <w:vanish w:val="0"/>
        <w:color w:val="000000"/>
        <w:sz w:val="21"/>
        <w:szCs w:val="21"/>
        <w:vertAlign w:val="baseline"/>
      </w:rPr>
    </w:lvl>
    <w:lvl w:ilvl="2" w:tentative="0">
      <w:start w:val="1"/>
      <w:numFmt w:val="decimal"/>
      <w:lvlText w:val="%1.%2.%3"/>
      <w:lvlJc w:val="left"/>
      <w:pPr>
        <w:ind w:left="0" w:firstLine="400"/>
      </w:pPr>
      <w:rPr>
        <w:rFonts w:hint="default"/>
        <w:b w:val="0"/>
      </w:rPr>
    </w:lvl>
    <w:lvl w:ilvl="3" w:tentative="0">
      <w:start w:val="1"/>
      <w:numFmt w:val="decimal"/>
      <w:lvlText w:val="%1.%2.%3.%4"/>
      <w:lvlJc w:val="left"/>
      <w:pPr>
        <w:ind w:left="0" w:firstLine="400"/>
      </w:pPr>
      <w:rPr>
        <w:rFonts w:hint="default"/>
        <w:b w:val="0"/>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8">
    <w:nsid w:val="228E6478"/>
    <w:multiLevelType w:val="multilevel"/>
    <w:tmpl w:val="228E6478"/>
    <w:lvl w:ilvl="0" w:tentative="0">
      <w:start w:val="1"/>
      <w:numFmt w:val="decimal"/>
      <w:lvlText w:val="1.%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7C75435"/>
    <w:multiLevelType w:val="multilevel"/>
    <w:tmpl w:val="47C75435"/>
    <w:lvl w:ilvl="0" w:tentative="0">
      <w:start w:val="1"/>
      <w:numFmt w:val="decimal"/>
      <w:lvlText w:val="3.1.%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13B0B4C"/>
    <w:multiLevelType w:val="multilevel"/>
    <w:tmpl w:val="513B0B4C"/>
    <w:lvl w:ilvl="0" w:tentative="0">
      <w:start w:val="1"/>
      <w:numFmt w:val="decimal"/>
      <w:lvlText w:val="3.4.%1"/>
      <w:lvlJc w:val="center"/>
      <w:pPr>
        <w:tabs>
          <w:tab w:val="left" w:pos="420"/>
        </w:tabs>
        <w:ind w:left="420"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0"/>
  </w:num>
  <w:num w:numId="3">
    <w:abstractNumId w:val="1"/>
  </w:num>
  <w:num w:numId="4">
    <w:abstractNumId w:val="8"/>
  </w:num>
  <w:num w:numId="5">
    <w:abstractNumId w:val="2"/>
  </w:num>
  <w:num w:numId="6">
    <w:abstractNumId w:val="9"/>
  </w:num>
  <w:num w:numId="7">
    <w:abstractNumId w:val="3"/>
  </w:num>
  <w:num w:numId="8">
    <w:abstractNumId w:val="6"/>
  </w:num>
  <w:num w:numId="9">
    <w:abstractNumId w:val="1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hYzNjYmYxNDAwODVjOWVlY2RlYTMxNGZjNTFhYTEifQ=="/>
  </w:docVars>
  <w:rsids>
    <w:rsidRoot w:val="00F17660"/>
    <w:rsid w:val="000008E9"/>
    <w:rsid w:val="000061D3"/>
    <w:rsid w:val="000100B6"/>
    <w:rsid w:val="00012D35"/>
    <w:rsid w:val="000145C3"/>
    <w:rsid w:val="00026258"/>
    <w:rsid w:val="00032A67"/>
    <w:rsid w:val="0003397B"/>
    <w:rsid w:val="00035174"/>
    <w:rsid w:val="000372BE"/>
    <w:rsid w:val="000416A9"/>
    <w:rsid w:val="000428AA"/>
    <w:rsid w:val="00044DAA"/>
    <w:rsid w:val="00051C63"/>
    <w:rsid w:val="00055845"/>
    <w:rsid w:val="00064C35"/>
    <w:rsid w:val="00070EA5"/>
    <w:rsid w:val="00071F57"/>
    <w:rsid w:val="000729F7"/>
    <w:rsid w:val="00072CD8"/>
    <w:rsid w:val="00074FB7"/>
    <w:rsid w:val="00080093"/>
    <w:rsid w:val="00081F7E"/>
    <w:rsid w:val="00084957"/>
    <w:rsid w:val="00085272"/>
    <w:rsid w:val="000901A5"/>
    <w:rsid w:val="00097FEF"/>
    <w:rsid w:val="000B1246"/>
    <w:rsid w:val="000B1799"/>
    <w:rsid w:val="000B1C01"/>
    <w:rsid w:val="000B4998"/>
    <w:rsid w:val="000B5DFC"/>
    <w:rsid w:val="000C4F1E"/>
    <w:rsid w:val="000D6710"/>
    <w:rsid w:val="000E00B0"/>
    <w:rsid w:val="000E3262"/>
    <w:rsid w:val="000F51EC"/>
    <w:rsid w:val="00105A32"/>
    <w:rsid w:val="001258B5"/>
    <w:rsid w:val="0013365B"/>
    <w:rsid w:val="00134B95"/>
    <w:rsid w:val="00137098"/>
    <w:rsid w:val="00145F4C"/>
    <w:rsid w:val="00146E13"/>
    <w:rsid w:val="0015099D"/>
    <w:rsid w:val="00161349"/>
    <w:rsid w:val="00162EF8"/>
    <w:rsid w:val="001673C2"/>
    <w:rsid w:val="00167EE1"/>
    <w:rsid w:val="00180195"/>
    <w:rsid w:val="0018028A"/>
    <w:rsid w:val="00183AF5"/>
    <w:rsid w:val="00183F17"/>
    <w:rsid w:val="00186263"/>
    <w:rsid w:val="00187FFC"/>
    <w:rsid w:val="001900B5"/>
    <w:rsid w:val="00195F03"/>
    <w:rsid w:val="001A2D84"/>
    <w:rsid w:val="001A2E31"/>
    <w:rsid w:val="001A7B36"/>
    <w:rsid w:val="001B2402"/>
    <w:rsid w:val="001B4788"/>
    <w:rsid w:val="001C0216"/>
    <w:rsid w:val="001C0E1B"/>
    <w:rsid w:val="001C585D"/>
    <w:rsid w:val="001D054A"/>
    <w:rsid w:val="001D0F0B"/>
    <w:rsid w:val="001D14AC"/>
    <w:rsid w:val="001E0817"/>
    <w:rsid w:val="00203128"/>
    <w:rsid w:val="0020338F"/>
    <w:rsid w:val="002039EF"/>
    <w:rsid w:val="00211E9B"/>
    <w:rsid w:val="00214257"/>
    <w:rsid w:val="0021662F"/>
    <w:rsid w:val="0022624D"/>
    <w:rsid w:val="0023102E"/>
    <w:rsid w:val="00235260"/>
    <w:rsid w:val="0024113E"/>
    <w:rsid w:val="00242BE0"/>
    <w:rsid w:val="00244428"/>
    <w:rsid w:val="00245A8B"/>
    <w:rsid w:val="002460BD"/>
    <w:rsid w:val="0024619A"/>
    <w:rsid w:val="00254B05"/>
    <w:rsid w:val="0025691A"/>
    <w:rsid w:val="002654F1"/>
    <w:rsid w:val="0027375F"/>
    <w:rsid w:val="00280913"/>
    <w:rsid w:val="00281378"/>
    <w:rsid w:val="002B6559"/>
    <w:rsid w:val="002B6907"/>
    <w:rsid w:val="002C2875"/>
    <w:rsid w:val="002C756F"/>
    <w:rsid w:val="002C7E2E"/>
    <w:rsid w:val="002D2357"/>
    <w:rsid w:val="002E0004"/>
    <w:rsid w:val="002E0498"/>
    <w:rsid w:val="002E6F74"/>
    <w:rsid w:val="002F27A2"/>
    <w:rsid w:val="00314982"/>
    <w:rsid w:val="00324612"/>
    <w:rsid w:val="00327557"/>
    <w:rsid w:val="0033625C"/>
    <w:rsid w:val="00346A00"/>
    <w:rsid w:val="0035008C"/>
    <w:rsid w:val="00361B72"/>
    <w:rsid w:val="00362C5C"/>
    <w:rsid w:val="0036406F"/>
    <w:rsid w:val="003845BF"/>
    <w:rsid w:val="0039776A"/>
    <w:rsid w:val="003A00C2"/>
    <w:rsid w:val="003A43F1"/>
    <w:rsid w:val="003B19A9"/>
    <w:rsid w:val="003B292D"/>
    <w:rsid w:val="003B7D98"/>
    <w:rsid w:val="003D059B"/>
    <w:rsid w:val="003D0C4E"/>
    <w:rsid w:val="003D5F5E"/>
    <w:rsid w:val="003E30CC"/>
    <w:rsid w:val="003F0224"/>
    <w:rsid w:val="00402509"/>
    <w:rsid w:val="00405E56"/>
    <w:rsid w:val="00414002"/>
    <w:rsid w:val="00421B9E"/>
    <w:rsid w:val="00424CE0"/>
    <w:rsid w:val="0043289B"/>
    <w:rsid w:val="00440F34"/>
    <w:rsid w:val="004477E3"/>
    <w:rsid w:val="004524CE"/>
    <w:rsid w:val="00453ACA"/>
    <w:rsid w:val="0046434D"/>
    <w:rsid w:val="00464B2E"/>
    <w:rsid w:val="00464DCB"/>
    <w:rsid w:val="0047665C"/>
    <w:rsid w:val="00480024"/>
    <w:rsid w:val="004852D7"/>
    <w:rsid w:val="004901BA"/>
    <w:rsid w:val="00494546"/>
    <w:rsid w:val="004A5071"/>
    <w:rsid w:val="004B1612"/>
    <w:rsid w:val="004D27EC"/>
    <w:rsid w:val="004E153F"/>
    <w:rsid w:val="004E6BD7"/>
    <w:rsid w:val="004F4F18"/>
    <w:rsid w:val="004F594F"/>
    <w:rsid w:val="004F789B"/>
    <w:rsid w:val="005119E4"/>
    <w:rsid w:val="00512783"/>
    <w:rsid w:val="00515052"/>
    <w:rsid w:val="0051683B"/>
    <w:rsid w:val="00516DDD"/>
    <w:rsid w:val="00522A94"/>
    <w:rsid w:val="00526E98"/>
    <w:rsid w:val="00527980"/>
    <w:rsid w:val="00540315"/>
    <w:rsid w:val="00554172"/>
    <w:rsid w:val="00556FBE"/>
    <w:rsid w:val="00566F2F"/>
    <w:rsid w:val="0057607A"/>
    <w:rsid w:val="0058270E"/>
    <w:rsid w:val="00583BD6"/>
    <w:rsid w:val="005862DE"/>
    <w:rsid w:val="0059199B"/>
    <w:rsid w:val="00592E79"/>
    <w:rsid w:val="0059400B"/>
    <w:rsid w:val="00594D31"/>
    <w:rsid w:val="005A2A73"/>
    <w:rsid w:val="005B1DB4"/>
    <w:rsid w:val="005B5AF2"/>
    <w:rsid w:val="005B64BA"/>
    <w:rsid w:val="005C369E"/>
    <w:rsid w:val="005C7B1C"/>
    <w:rsid w:val="005D57D6"/>
    <w:rsid w:val="005E037A"/>
    <w:rsid w:val="005E26E8"/>
    <w:rsid w:val="005E5A69"/>
    <w:rsid w:val="005F0E8E"/>
    <w:rsid w:val="005F2A47"/>
    <w:rsid w:val="006001D8"/>
    <w:rsid w:val="00600F98"/>
    <w:rsid w:val="00601C52"/>
    <w:rsid w:val="00602138"/>
    <w:rsid w:val="00607676"/>
    <w:rsid w:val="0061004B"/>
    <w:rsid w:val="00615A80"/>
    <w:rsid w:val="006216D9"/>
    <w:rsid w:val="00621D1F"/>
    <w:rsid w:val="00622ECF"/>
    <w:rsid w:val="00624EC2"/>
    <w:rsid w:val="0063288C"/>
    <w:rsid w:val="00647E48"/>
    <w:rsid w:val="00661C0B"/>
    <w:rsid w:val="00662021"/>
    <w:rsid w:val="00667C64"/>
    <w:rsid w:val="00667EDA"/>
    <w:rsid w:val="00671FB0"/>
    <w:rsid w:val="00674586"/>
    <w:rsid w:val="00675DC5"/>
    <w:rsid w:val="00686DED"/>
    <w:rsid w:val="006A0012"/>
    <w:rsid w:val="006A5096"/>
    <w:rsid w:val="006B0744"/>
    <w:rsid w:val="006D136F"/>
    <w:rsid w:val="006D1AC4"/>
    <w:rsid w:val="006D1B49"/>
    <w:rsid w:val="006D3071"/>
    <w:rsid w:val="006D6462"/>
    <w:rsid w:val="006E3F27"/>
    <w:rsid w:val="006E440D"/>
    <w:rsid w:val="006E71D2"/>
    <w:rsid w:val="006F1097"/>
    <w:rsid w:val="00706755"/>
    <w:rsid w:val="00711A20"/>
    <w:rsid w:val="00717F8A"/>
    <w:rsid w:val="00722ED0"/>
    <w:rsid w:val="00726EA1"/>
    <w:rsid w:val="00734DC7"/>
    <w:rsid w:val="00736243"/>
    <w:rsid w:val="00747D53"/>
    <w:rsid w:val="00751B55"/>
    <w:rsid w:val="00753C46"/>
    <w:rsid w:val="00765DE2"/>
    <w:rsid w:val="00780672"/>
    <w:rsid w:val="00793B4D"/>
    <w:rsid w:val="007A0129"/>
    <w:rsid w:val="007B1495"/>
    <w:rsid w:val="007B49C8"/>
    <w:rsid w:val="007B4DFE"/>
    <w:rsid w:val="007C1C3F"/>
    <w:rsid w:val="007C64E4"/>
    <w:rsid w:val="007D1A6D"/>
    <w:rsid w:val="007D2058"/>
    <w:rsid w:val="007D5260"/>
    <w:rsid w:val="007D54D6"/>
    <w:rsid w:val="007E7492"/>
    <w:rsid w:val="00800DA8"/>
    <w:rsid w:val="00804276"/>
    <w:rsid w:val="008125EF"/>
    <w:rsid w:val="008205BC"/>
    <w:rsid w:val="008312B9"/>
    <w:rsid w:val="008355AC"/>
    <w:rsid w:val="00835E8E"/>
    <w:rsid w:val="00837BD1"/>
    <w:rsid w:val="00844AAF"/>
    <w:rsid w:val="008464A9"/>
    <w:rsid w:val="00855FEE"/>
    <w:rsid w:val="00860AD5"/>
    <w:rsid w:val="00861094"/>
    <w:rsid w:val="008637CF"/>
    <w:rsid w:val="00877081"/>
    <w:rsid w:val="00877425"/>
    <w:rsid w:val="008776DA"/>
    <w:rsid w:val="0088723C"/>
    <w:rsid w:val="008930F7"/>
    <w:rsid w:val="0089373E"/>
    <w:rsid w:val="008A0A3A"/>
    <w:rsid w:val="008A4617"/>
    <w:rsid w:val="008A65F9"/>
    <w:rsid w:val="008B0130"/>
    <w:rsid w:val="008B0556"/>
    <w:rsid w:val="008B132D"/>
    <w:rsid w:val="008B1800"/>
    <w:rsid w:val="008B5C72"/>
    <w:rsid w:val="008C360E"/>
    <w:rsid w:val="008C73D3"/>
    <w:rsid w:val="008D1A2A"/>
    <w:rsid w:val="008D4754"/>
    <w:rsid w:val="008D5026"/>
    <w:rsid w:val="008E119A"/>
    <w:rsid w:val="008F2696"/>
    <w:rsid w:val="008F4D5C"/>
    <w:rsid w:val="00901D50"/>
    <w:rsid w:val="00903AA2"/>
    <w:rsid w:val="00933FFC"/>
    <w:rsid w:val="00947E08"/>
    <w:rsid w:val="00947FAF"/>
    <w:rsid w:val="00964603"/>
    <w:rsid w:val="00965291"/>
    <w:rsid w:val="00967371"/>
    <w:rsid w:val="00971D3D"/>
    <w:rsid w:val="009A16E8"/>
    <w:rsid w:val="009B111E"/>
    <w:rsid w:val="009B3F9C"/>
    <w:rsid w:val="009B512C"/>
    <w:rsid w:val="009D2DC2"/>
    <w:rsid w:val="009D37C9"/>
    <w:rsid w:val="009E48D9"/>
    <w:rsid w:val="009E5CFD"/>
    <w:rsid w:val="009F0EDC"/>
    <w:rsid w:val="009F3282"/>
    <w:rsid w:val="00A01477"/>
    <w:rsid w:val="00A01A2E"/>
    <w:rsid w:val="00A03FD7"/>
    <w:rsid w:val="00A07483"/>
    <w:rsid w:val="00A1744D"/>
    <w:rsid w:val="00A218A2"/>
    <w:rsid w:val="00A222EC"/>
    <w:rsid w:val="00A27B7A"/>
    <w:rsid w:val="00A37EA1"/>
    <w:rsid w:val="00A4114F"/>
    <w:rsid w:val="00A43DCD"/>
    <w:rsid w:val="00A4766B"/>
    <w:rsid w:val="00A479F1"/>
    <w:rsid w:val="00A71B15"/>
    <w:rsid w:val="00A75050"/>
    <w:rsid w:val="00A75455"/>
    <w:rsid w:val="00A77D80"/>
    <w:rsid w:val="00A81B97"/>
    <w:rsid w:val="00A83EDB"/>
    <w:rsid w:val="00A872E3"/>
    <w:rsid w:val="00A9474D"/>
    <w:rsid w:val="00AA30C2"/>
    <w:rsid w:val="00AD1AAD"/>
    <w:rsid w:val="00AD1F36"/>
    <w:rsid w:val="00AD71D8"/>
    <w:rsid w:val="00AE11A1"/>
    <w:rsid w:val="00AE1996"/>
    <w:rsid w:val="00AE20AC"/>
    <w:rsid w:val="00AF7A57"/>
    <w:rsid w:val="00AF7ABB"/>
    <w:rsid w:val="00B05083"/>
    <w:rsid w:val="00B1545F"/>
    <w:rsid w:val="00B22B1F"/>
    <w:rsid w:val="00B2319A"/>
    <w:rsid w:val="00B303D7"/>
    <w:rsid w:val="00B36546"/>
    <w:rsid w:val="00B43FB1"/>
    <w:rsid w:val="00B5025A"/>
    <w:rsid w:val="00B54E33"/>
    <w:rsid w:val="00B63BD2"/>
    <w:rsid w:val="00B64BB6"/>
    <w:rsid w:val="00B66AD4"/>
    <w:rsid w:val="00B80058"/>
    <w:rsid w:val="00B85D24"/>
    <w:rsid w:val="00B9439E"/>
    <w:rsid w:val="00BA3A31"/>
    <w:rsid w:val="00BA5044"/>
    <w:rsid w:val="00BA7B29"/>
    <w:rsid w:val="00BB08D6"/>
    <w:rsid w:val="00BB2C0A"/>
    <w:rsid w:val="00BC614F"/>
    <w:rsid w:val="00BD7876"/>
    <w:rsid w:val="00BD7A51"/>
    <w:rsid w:val="00BE0A00"/>
    <w:rsid w:val="00BF6683"/>
    <w:rsid w:val="00BF67DF"/>
    <w:rsid w:val="00C030C1"/>
    <w:rsid w:val="00C21A02"/>
    <w:rsid w:val="00C2752C"/>
    <w:rsid w:val="00C425CA"/>
    <w:rsid w:val="00C452ED"/>
    <w:rsid w:val="00C50FFD"/>
    <w:rsid w:val="00C61143"/>
    <w:rsid w:val="00C63338"/>
    <w:rsid w:val="00C704C6"/>
    <w:rsid w:val="00C7069B"/>
    <w:rsid w:val="00C77343"/>
    <w:rsid w:val="00C835AF"/>
    <w:rsid w:val="00C85C30"/>
    <w:rsid w:val="00C86A26"/>
    <w:rsid w:val="00C93D32"/>
    <w:rsid w:val="00C93E3B"/>
    <w:rsid w:val="00C95499"/>
    <w:rsid w:val="00C95EFF"/>
    <w:rsid w:val="00C9722B"/>
    <w:rsid w:val="00CA5BBA"/>
    <w:rsid w:val="00CA7189"/>
    <w:rsid w:val="00CB02C4"/>
    <w:rsid w:val="00CB1259"/>
    <w:rsid w:val="00CD1051"/>
    <w:rsid w:val="00CD54EF"/>
    <w:rsid w:val="00CE485A"/>
    <w:rsid w:val="00CF3BF2"/>
    <w:rsid w:val="00D0511A"/>
    <w:rsid w:val="00D23F14"/>
    <w:rsid w:val="00D24DE8"/>
    <w:rsid w:val="00D2569B"/>
    <w:rsid w:val="00D30A0C"/>
    <w:rsid w:val="00D37A1E"/>
    <w:rsid w:val="00D406CF"/>
    <w:rsid w:val="00D50192"/>
    <w:rsid w:val="00D56D4B"/>
    <w:rsid w:val="00D57899"/>
    <w:rsid w:val="00D61861"/>
    <w:rsid w:val="00D70127"/>
    <w:rsid w:val="00D74CA3"/>
    <w:rsid w:val="00D74EF4"/>
    <w:rsid w:val="00D91E81"/>
    <w:rsid w:val="00D942EC"/>
    <w:rsid w:val="00D964E4"/>
    <w:rsid w:val="00DB018B"/>
    <w:rsid w:val="00DB5A9D"/>
    <w:rsid w:val="00DB69E0"/>
    <w:rsid w:val="00DD23E6"/>
    <w:rsid w:val="00DD448D"/>
    <w:rsid w:val="00DD472F"/>
    <w:rsid w:val="00DD5EEA"/>
    <w:rsid w:val="00DD758D"/>
    <w:rsid w:val="00DE5A07"/>
    <w:rsid w:val="00DE6D0C"/>
    <w:rsid w:val="00DE7DCC"/>
    <w:rsid w:val="00DF35D7"/>
    <w:rsid w:val="00DF3EDB"/>
    <w:rsid w:val="00E026CC"/>
    <w:rsid w:val="00E028F9"/>
    <w:rsid w:val="00E067D2"/>
    <w:rsid w:val="00E06B5F"/>
    <w:rsid w:val="00E16CA9"/>
    <w:rsid w:val="00E17A28"/>
    <w:rsid w:val="00E254D6"/>
    <w:rsid w:val="00E26467"/>
    <w:rsid w:val="00E36F0F"/>
    <w:rsid w:val="00E41024"/>
    <w:rsid w:val="00E4150B"/>
    <w:rsid w:val="00E41595"/>
    <w:rsid w:val="00E439E5"/>
    <w:rsid w:val="00E47991"/>
    <w:rsid w:val="00E47A19"/>
    <w:rsid w:val="00E51624"/>
    <w:rsid w:val="00E52345"/>
    <w:rsid w:val="00E61780"/>
    <w:rsid w:val="00E64C73"/>
    <w:rsid w:val="00E724A3"/>
    <w:rsid w:val="00E81C9E"/>
    <w:rsid w:val="00E93FA0"/>
    <w:rsid w:val="00E9711D"/>
    <w:rsid w:val="00EA6D4E"/>
    <w:rsid w:val="00EB2529"/>
    <w:rsid w:val="00EC7253"/>
    <w:rsid w:val="00ED0A1D"/>
    <w:rsid w:val="00ED0E97"/>
    <w:rsid w:val="00ED40EC"/>
    <w:rsid w:val="00EE0EE7"/>
    <w:rsid w:val="00EE3444"/>
    <w:rsid w:val="00EF1810"/>
    <w:rsid w:val="00EF7F1F"/>
    <w:rsid w:val="00F052DD"/>
    <w:rsid w:val="00F05F51"/>
    <w:rsid w:val="00F07E65"/>
    <w:rsid w:val="00F11C27"/>
    <w:rsid w:val="00F13787"/>
    <w:rsid w:val="00F16469"/>
    <w:rsid w:val="00F17660"/>
    <w:rsid w:val="00F23876"/>
    <w:rsid w:val="00F238C8"/>
    <w:rsid w:val="00F26823"/>
    <w:rsid w:val="00F26D30"/>
    <w:rsid w:val="00F31EB4"/>
    <w:rsid w:val="00F326FE"/>
    <w:rsid w:val="00F42FFF"/>
    <w:rsid w:val="00F462CB"/>
    <w:rsid w:val="00F55E0B"/>
    <w:rsid w:val="00F65323"/>
    <w:rsid w:val="00F659ED"/>
    <w:rsid w:val="00F76C64"/>
    <w:rsid w:val="00F868C4"/>
    <w:rsid w:val="00FA50FD"/>
    <w:rsid w:val="00FB1287"/>
    <w:rsid w:val="00FB4718"/>
    <w:rsid w:val="00FC0A2F"/>
    <w:rsid w:val="00FC1CAF"/>
    <w:rsid w:val="00FC3A69"/>
    <w:rsid w:val="00FC7F00"/>
    <w:rsid w:val="00FE0BCE"/>
    <w:rsid w:val="00FE43DE"/>
    <w:rsid w:val="03466997"/>
    <w:rsid w:val="047332A1"/>
    <w:rsid w:val="07510CD1"/>
    <w:rsid w:val="12E066EF"/>
    <w:rsid w:val="13175601"/>
    <w:rsid w:val="164B31B4"/>
    <w:rsid w:val="18814AC2"/>
    <w:rsid w:val="19897720"/>
    <w:rsid w:val="19926899"/>
    <w:rsid w:val="1FBA4086"/>
    <w:rsid w:val="2003162C"/>
    <w:rsid w:val="20DC01B5"/>
    <w:rsid w:val="2841227E"/>
    <w:rsid w:val="29A013EB"/>
    <w:rsid w:val="29BC6286"/>
    <w:rsid w:val="3451492F"/>
    <w:rsid w:val="37BD2814"/>
    <w:rsid w:val="381E5E4A"/>
    <w:rsid w:val="38A35CCA"/>
    <w:rsid w:val="3B992C22"/>
    <w:rsid w:val="3C03375B"/>
    <w:rsid w:val="3DA15BF2"/>
    <w:rsid w:val="3FF1755B"/>
    <w:rsid w:val="43DF6D92"/>
    <w:rsid w:val="440D1FF8"/>
    <w:rsid w:val="47424D9C"/>
    <w:rsid w:val="48BD044E"/>
    <w:rsid w:val="4C5B0C46"/>
    <w:rsid w:val="4D3D7151"/>
    <w:rsid w:val="4FFE5BD2"/>
    <w:rsid w:val="54360ECC"/>
    <w:rsid w:val="56D751F1"/>
    <w:rsid w:val="5AD4580E"/>
    <w:rsid w:val="5B2D5B9E"/>
    <w:rsid w:val="5FDF20F7"/>
    <w:rsid w:val="61F914B3"/>
    <w:rsid w:val="62FF4B4C"/>
    <w:rsid w:val="649A2907"/>
    <w:rsid w:val="707324D0"/>
    <w:rsid w:val="712511B4"/>
    <w:rsid w:val="724E167C"/>
    <w:rsid w:val="7428537F"/>
    <w:rsid w:val="74F03EA0"/>
    <w:rsid w:val="76285B0A"/>
    <w:rsid w:val="7870474E"/>
    <w:rsid w:val="7D0E6A86"/>
    <w:rsid w:val="7DEA0C48"/>
    <w:rsid w:val="7E801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pPr>
    <w:rPr>
      <w:rFonts w:ascii="Courier New" w:hAnsi="宋体" w:eastAsia="黑体" w:cs="宋体"/>
      <w:sz w:val="24"/>
      <w:lang w:val="en-US" w:eastAsia="zh-CN" w:bidi="ar-SA"/>
    </w:rPr>
  </w:style>
  <w:style w:type="paragraph" w:styleId="2">
    <w:name w:val="heading 1"/>
    <w:basedOn w:val="1"/>
    <w:next w:val="1"/>
    <w:link w:val="63"/>
    <w:qFormat/>
    <w:uiPriority w:val="0"/>
    <w:pPr>
      <w:spacing w:before="340" w:after="330" w:line="576" w:lineRule="auto"/>
      <w:jc w:val="both"/>
      <w:outlineLvl w:val="0"/>
    </w:pPr>
    <w:rPr>
      <w:b/>
      <w:sz w:val="44"/>
    </w:rPr>
  </w:style>
  <w:style w:type="paragraph" w:styleId="3">
    <w:name w:val="heading 2"/>
    <w:basedOn w:val="1"/>
    <w:next w:val="1"/>
    <w:link w:val="64"/>
    <w:qFormat/>
    <w:uiPriority w:val="0"/>
    <w:pPr>
      <w:spacing w:before="260" w:after="260" w:line="416" w:lineRule="atLeast"/>
      <w:outlineLvl w:val="1"/>
    </w:pPr>
    <w:rPr>
      <w:rFonts w:ascii="黑体"/>
      <w:b/>
      <w:sz w:val="28"/>
    </w:rPr>
  </w:style>
  <w:style w:type="paragraph" w:styleId="4">
    <w:name w:val="heading 3"/>
    <w:basedOn w:val="1"/>
    <w:next w:val="1"/>
    <w:link w:val="65"/>
    <w:qFormat/>
    <w:uiPriority w:val="0"/>
    <w:pPr>
      <w:spacing w:before="260" w:after="260" w:line="416" w:lineRule="atLeast"/>
      <w:outlineLvl w:val="2"/>
    </w:pPr>
    <w:rPr>
      <w:b/>
      <w:sz w:val="32"/>
    </w:rPr>
  </w:style>
  <w:style w:type="paragraph" w:styleId="5">
    <w:name w:val="heading 4"/>
    <w:basedOn w:val="1"/>
    <w:next w:val="1"/>
    <w:link w:val="66"/>
    <w:qFormat/>
    <w:uiPriority w:val="0"/>
    <w:pPr>
      <w:spacing w:line="360" w:lineRule="auto"/>
      <w:ind w:left="454"/>
      <w:outlineLvl w:val="3"/>
    </w:pPr>
    <w:rPr>
      <w:rFonts w:ascii="黑体"/>
      <w:i/>
    </w:rPr>
  </w:style>
  <w:style w:type="paragraph" w:styleId="6">
    <w:name w:val="heading 5"/>
    <w:basedOn w:val="1"/>
    <w:next w:val="1"/>
    <w:link w:val="67"/>
    <w:qFormat/>
    <w:uiPriority w:val="0"/>
    <w:pPr>
      <w:spacing w:line="460" w:lineRule="exact"/>
      <w:ind w:left="2775" w:firstLine="510"/>
      <w:outlineLvl w:val="4"/>
    </w:pPr>
  </w:style>
  <w:style w:type="paragraph" w:styleId="7">
    <w:name w:val="heading 6"/>
    <w:basedOn w:val="1"/>
    <w:next w:val="1"/>
    <w:link w:val="68"/>
    <w:qFormat/>
    <w:uiPriority w:val="0"/>
    <w:pPr>
      <w:spacing w:line="460" w:lineRule="exact"/>
      <w:ind w:left="3195" w:firstLine="510"/>
      <w:outlineLvl w:val="5"/>
    </w:pPr>
  </w:style>
  <w:style w:type="paragraph" w:styleId="8">
    <w:name w:val="heading 7"/>
    <w:basedOn w:val="1"/>
    <w:next w:val="1"/>
    <w:link w:val="69"/>
    <w:qFormat/>
    <w:uiPriority w:val="0"/>
    <w:pPr>
      <w:spacing w:line="460" w:lineRule="exact"/>
      <w:ind w:left="964" w:hanging="340"/>
      <w:outlineLvl w:val="6"/>
    </w:pPr>
  </w:style>
  <w:style w:type="paragraph" w:styleId="9">
    <w:name w:val="heading 8"/>
    <w:basedOn w:val="1"/>
    <w:next w:val="1"/>
    <w:link w:val="70"/>
    <w:qFormat/>
    <w:uiPriority w:val="0"/>
    <w:pPr>
      <w:spacing w:line="460" w:lineRule="exact"/>
      <w:ind w:left="1021" w:hanging="284"/>
      <w:outlineLvl w:val="7"/>
    </w:pPr>
  </w:style>
  <w:style w:type="paragraph" w:styleId="10">
    <w:name w:val="heading 9"/>
    <w:basedOn w:val="1"/>
    <w:next w:val="1"/>
    <w:link w:val="71"/>
    <w:qFormat/>
    <w:uiPriority w:val="0"/>
    <w:pPr>
      <w:spacing w:before="240" w:after="64" w:line="320" w:lineRule="atLeast"/>
      <w:ind w:left="4455" w:hanging="420"/>
      <w:outlineLvl w:val="8"/>
    </w:pPr>
    <w:rPr>
      <w:rFonts w:ascii="Garamond" w:eastAsia="Wingdings"/>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440"/>
    </w:pPr>
    <w:rPr>
      <w:sz w:val="18"/>
    </w:rPr>
  </w:style>
  <w:style w:type="paragraph" w:styleId="12">
    <w:name w:val="index 8"/>
    <w:basedOn w:val="1"/>
    <w:next w:val="1"/>
    <w:qFormat/>
    <w:uiPriority w:val="0"/>
    <w:pPr>
      <w:spacing w:line="240" w:lineRule="auto"/>
      <w:ind w:left="1680" w:hanging="210"/>
    </w:pPr>
    <w:rPr>
      <w:sz w:val="21"/>
    </w:rPr>
  </w:style>
  <w:style w:type="paragraph" w:styleId="13">
    <w:name w:val="Normal Indent"/>
    <w:basedOn w:val="1"/>
    <w:qFormat/>
    <w:uiPriority w:val="0"/>
    <w:pPr>
      <w:ind w:firstLine="420"/>
    </w:pPr>
  </w:style>
  <w:style w:type="paragraph" w:styleId="14">
    <w:name w:val="caption"/>
    <w:basedOn w:val="1"/>
    <w:next w:val="1"/>
    <w:qFormat/>
    <w:uiPriority w:val="0"/>
    <w:pPr>
      <w:widowControl/>
      <w:spacing w:line="240" w:lineRule="auto"/>
      <w:jc w:val="both"/>
    </w:pPr>
    <w:rPr>
      <w:rFonts w:ascii="Times New Roman"/>
      <w:i/>
      <w:sz w:val="21"/>
    </w:rPr>
  </w:style>
  <w:style w:type="paragraph" w:styleId="15">
    <w:name w:val="index 5"/>
    <w:basedOn w:val="1"/>
    <w:next w:val="1"/>
    <w:qFormat/>
    <w:uiPriority w:val="0"/>
    <w:pPr>
      <w:spacing w:line="240" w:lineRule="auto"/>
      <w:ind w:left="1050" w:hanging="210"/>
    </w:pPr>
    <w:rPr>
      <w:sz w:val="21"/>
    </w:rPr>
  </w:style>
  <w:style w:type="paragraph" w:styleId="16">
    <w:name w:val="Document Map"/>
    <w:basedOn w:val="1"/>
    <w:link w:val="115"/>
    <w:qFormat/>
    <w:uiPriority w:val="0"/>
    <w:pPr>
      <w:shd w:val="clear" w:color="000000" w:fill="000080"/>
    </w:pPr>
  </w:style>
  <w:style w:type="paragraph" w:styleId="17">
    <w:name w:val="annotation text"/>
    <w:basedOn w:val="1"/>
    <w:link w:val="112"/>
    <w:unhideWhenUsed/>
    <w:qFormat/>
    <w:uiPriority w:val="0"/>
  </w:style>
  <w:style w:type="paragraph" w:styleId="18">
    <w:name w:val="index 6"/>
    <w:basedOn w:val="1"/>
    <w:next w:val="1"/>
    <w:qFormat/>
    <w:uiPriority w:val="0"/>
    <w:pPr>
      <w:spacing w:line="240" w:lineRule="auto"/>
      <w:ind w:left="1260" w:hanging="210"/>
    </w:pPr>
    <w:rPr>
      <w:sz w:val="21"/>
    </w:rPr>
  </w:style>
  <w:style w:type="paragraph" w:styleId="19">
    <w:name w:val="Body Text 3"/>
    <w:basedOn w:val="1"/>
    <w:next w:val="20"/>
    <w:link w:val="125"/>
    <w:qFormat/>
    <w:uiPriority w:val="0"/>
    <w:pPr>
      <w:widowControl/>
      <w:autoSpaceDE w:val="0"/>
      <w:autoSpaceDN w:val="0"/>
      <w:spacing w:line="460" w:lineRule="exact"/>
      <w:jc w:val="center"/>
    </w:pPr>
    <w:rPr>
      <w:rFonts w:ascii="黑体"/>
      <w:sz w:val="28"/>
    </w:rPr>
  </w:style>
  <w:style w:type="paragraph" w:styleId="20">
    <w:name w:val="Plain Text"/>
    <w:basedOn w:val="1"/>
    <w:link w:val="119"/>
    <w:qFormat/>
    <w:uiPriority w:val="0"/>
    <w:pPr>
      <w:spacing w:line="240" w:lineRule="auto"/>
      <w:jc w:val="both"/>
    </w:pPr>
    <w:rPr>
      <w:rFonts w:ascii="黑体"/>
      <w:sz w:val="21"/>
    </w:rPr>
  </w:style>
  <w:style w:type="paragraph" w:styleId="21">
    <w:name w:val="Body Text"/>
    <w:basedOn w:val="1"/>
    <w:link w:val="118"/>
    <w:qFormat/>
    <w:uiPriority w:val="0"/>
    <w:pPr>
      <w:spacing w:after="120"/>
    </w:pPr>
  </w:style>
  <w:style w:type="paragraph" w:styleId="22">
    <w:name w:val="Body Text Indent"/>
    <w:basedOn w:val="1"/>
    <w:next w:val="23"/>
    <w:link w:val="122"/>
    <w:qFormat/>
    <w:uiPriority w:val="0"/>
    <w:pPr>
      <w:spacing w:line="280" w:lineRule="atLeast"/>
      <w:ind w:left="900" w:hanging="50"/>
      <w:jc w:val="both"/>
    </w:pPr>
  </w:style>
  <w:style w:type="paragraph" w:styleId="23">
    <w:name w:val="Date"/>
    <w:basedOn w:val="1"/>
    <w:next w:val="1"/>
    <w:link w:val="117"/>
    <w:qFormat/>
    <w:uiPriority w:val="0"/>
    <w:pPr>
      <w:jc w:val="both"/>
    </w:pPr>
    <w:rPr>
      <w:rFonts w:ascii="黑体"/>
    </w:rPr>
  </w:style>
  <w:style w:type="paragraph" w:styleId="24">
    <w:name w:val="Block Text"/>
    <w:basedOn w:val="1"/>
    <w:next w:val="25"/>
    <w:qFormat/>
    <w:uiPriority w:val="0"/>
    <w:pPr>
      <w:spacing w:before="60" w:after="120" w:line="320" w:lineRule="exact"/>
      <w:ind w:left="420" w:right="-357"/>
      <w:jc w:val="both"/>
    </w:pPr>
    <w:rPr>
      <w:rFonts w:ascii="黑体"/>
      <w:color w:val="000000"/>
      <w:sz w:val="28"/>
    </w:rPr>
  </w:style>
  <w:style w:type="paragraph" w:styleId="25">
    <w:name w:val="header"/>
    <w:basedOn w:val="1"/>
    <w:link w:val="116"/>
    <w:qFormat/>
    <w:uiPriority w:val="99"/>
    <w:pPr>
      <w:spacing w:line="240" w:lineRule="atLeast"/>
      <w:jc w:val="center"/>
    </w:pPr>
    <w:rPr>
      <w:sz w:val="18"/>
    </w:rPr>
  </w:style>
  <w:style w:type="paragraph" w:styleId="26">
    <w:name w:val="index 4"/>
    <w:basedOn w:val="1"/>
    <w:next w:val="1"/>
    <w:qFormat/>
    <w:uiPriority w:val="0"/>
    <w:pPr>
      <w:spacing w:line="240" w:lineRule="auto"/>
      <w:ind w:left="840" w:hanging="210"/>
    </w:pPr>
    <w:rPr>
      <w:sz w:val="21"/>
    </w:rPr>
  </w:style>
  <w:style w:type="paragraph" w:styleId="27">
    <w:name w:val="toc 5"/>
    <w:basedOn w:val="1"/>
    <w:next w:val="1"/>
    <w:qFormat/>
    <w:uiPriority w:val="0"/>
    <w:pPr>
      <w:ind w:left="960"/>
    </w:pPr>
    <w:rPr>
      <w:sz w:val="18"/>
    </w:rPr>
  </w:style>
  <w:style w:type="paragraph" w:styleId="28">
    <w:name w:val="toc 3"/>
    <w:basedOn w:val="1"/>
    <w:next w:val="1"/>
    <w:qFormat/>
    <w:uiPriority w:val="0"/>
    <w:pPr>
      <w:ind w:left="480"/>
    </w:pPr>
    <w:rPr>
      <w:i/>
      <w:sz w:val="20"/>
    </w:rPr>
  </w:style>
  <w:style w:type="paragraph" w:styleId="29">
    <w:name w:val="toc 8"/>
    <w:basedOn w:val="1"/>
    <w:next w:val="1"/>
    <w:qFormat/>
    <w:uiPriority w:val="0"/>
    <w:pPr>
      <w:ind w:left="1680"/>
    </w:pPr>
    <w:rPr>
      <w:sz w:val="18"/>
    </w:rPr>
  </w:style>
  <w:style w:type="paragraph" w:styleId="30">
    <w:name w:val="index 3"/>
    <w:basedOn w:val="1"/>
    <w:next w:val="1"/>
    <w:qFormat/>
    <w:uiPriority w:val="0"/>
    <w:pPr>
      <w:spacing w:line="240" w:lineRule="auto"/>
      <w:ind w:left="630" w:hanging="210"/>
    </w:pPr>
    <w:rPr>
      <w:sz w:val="21"/>
    </w:rPr>
  </w:style>
  <w:style w:type="paragraph" w:styleId="31">
    <w:name w:val="Body Text Indent 2"/>
    <w:basedOn w:val="1"/>
    <w:next w:val="30"/>
    <w:link w:val="124"/>
    <w:qFormat/>
    <w:uiPriority w:val="0"/>
    <w:pPr>
      <w:spacing w:line="280" w:lineRule="atLeast"/>
      <w:ind w:firstLine="435"/>
      <w:jc w:val="both"/>
    </w:pPr>
  </w:style>
  <w:style w:type="paragraph" w:styleId="32">
    <w:name w:val="Balloon Text"/>
    <w:basedOn w:val="1"/>
    <w:link w:val="111"/>
    <w:qFormat/>
    <w:uiPriority w:val="0"/>
    <w:rPr>
      <w:sz w:val="18"/>
    </w:rPr>
  </w:style>
  <w:style w:type="paragraph" w:styleId="33">
    <w:name w:val="footer"/>
    <w:basedOn w:val="1"/>
    <w:next w:val="29"/>
    <w:link w:val="126"/>
    <w:qFormat/>
    <w:uiPriority w:val="99"/>
    <w:pPr>
      <w:spacing w:line="240" w:lineRule="atLeast"/>
    </w:pPr>
    <w:rPr>
      <w:sz w:val="18"/>
    </w:rPr>
  </w:style>
  <w:style w:type="paragraph" w:styleId="34">
    <w:name w:val="toc 1"/>
    <w:basedOn w:val="1"/>
    <w:next w:val="1"/>
    <w:qFormat/>
    <w:uiPriority w:val="39"/>
    <w:pPr>
      <w:spacing w:before="120" w:after="120"/>
    </w:pPr>
    <w:rPr>
      <w:b/>
      <w:caps/>
      <w:sz w:val="20"/>
    </w:rPr>
  </w:style>
  <w:style w:type="paragraph" w:styleId="35">
    <w:name w:val="toc 4"/>
    <w:basedOn w:val="1"/>
    <w:next w:val="1"/>
    <w:qFormat/>
    <w:uiPriority w:val="0"/>
    <w:pPr>
      <w:ind w:left="720"/>
    </w:pPr>
    <w:rPr>
      <w:sz w:val="18"/>
    </w:rPr>
  </w:style>
  <w:style w:type="paragraph" w:styleId="36">
    <w:name w:val="index heading"/>
    <w:basedOn w:val="1"/>
    <w:next w:val="37"/>
    <w:qFormat/>
    <w:uiPriority w:val="0"/>
    <w:pPr>
      <w:spacing w:before="120" w:after="120" w:line="240" w:lineRule="auto"/>
    </w:pPr>
    <w:rPr>
      <w:b/>
      <w:i/>
      <w:sz w:val="21"/>
    </w:rPr>
  </w:style>
  <w:style w:type="paragraph" w:styleId="37">
    <w:name w:val="Normal (Web)"/>
    <w:basedOn w:val="1"/>
    <w:qFormat/>
    <w:uiPriority w:val="99"/>
    <w:pPr>
      <w:widowControl/>
      <w:spacing w:before="100" w:after="100" w:line="240" w:lineRule="auto"/>
    </w:pPr>
    <w:rPr>
      <w:rFonts w:ascii="黑体"/>
    </w:rPr>
  </w:style>
  <w:style w:type="paragraph" w:styleId="38">
    <w:name w:val="Subtitle"/>
    <w:next w:val="1"/>
    <w:link w:val="72"/>
    <w:qFormat/>
    <w:uiPriority w:val="0"/>
    <w:pPr>
      <w:wordWrap w:val="0"/>
      <w:spacing w:after="60"/>
      <w:jc w:val="center"/>
    </w:pPr>
    <w:rPr>
      <w:rFonts w:ascii="宋体" w:hAnsi="宋体" w:eastAsia="宋体" w:cs="宋体"/>
      <w:sz w:val="24"/>
      <w:lang w:val="en-US" w:eastAsia="zh-CN" w:bidi="ar-SA"/>
    </w:rPr>
  </w:style>
  <w:style w:type="paragraph" w:styleId="39">
    <w:name w:val="footnote text"/>
    <w:basedOn w:val="1"/>
    <w:next w:val="21"/>
    <w:link w:val="123"/>
    <w:qFormat/>
    <w:uiPriority w:val="0"/>
    <w:pPr>
      <w:spacing w:line="240" w:lineRule="auto"/>
    </w:pPr>
    <w:rPr>
      <w:rFonts w:eastAsia="宋体"/>
      <w:sz w:val="18"/>
    </w:rPr>
  </w:style>
  <w:style w:type="paragraph" w:styleId="40">
    <w:name w:val="toc 6"/>
    <w:basedOn w:val="1"/>
    <w:next w:val="1"/>
    <w:qFormat/>
    <w:uiPriority w:val="0"/>
    <w:pPr>
      <w:ind w:left="1200"/>
    </w:pPr>
    <w:rPr>
      <w:sz w:val="18"/>
    </w:rPr>
  </w:style>
  <w:style w:type="paragraph" w:styleId="41">
    <w:name w:val="Body Text Indent 3"/>
    <w:basedOn w:val="1"/>
    <w:link w:val="114"/>
    <w:qFormat/>
    <w:uiPriority w:val="0"/>
    <w:pPr>
      <w:spacing w:line="280" w:lineRule="atLeast"/>
      <w:ind w:left="900" w:hanging="40"/>
      <w:jc w:val="both"/>
    </w:pPr>
  </w:style>
  <w:style w:type="paragraph" w:styleId="42">
    <w:name w:val="index 7"/>
    <w:basedOn w:val="1"/>
    <w:next w:val="1"/>
    <w:qFormat/>
    <w:uiPriority w:val="0"/>
    <w:pPr>
      <w:spacing w:line="240" w:lineRule="auto"/>
      <w:ind w:left="1470" w:hanging="210"/>
    </w:pPr>
    <w:rPr>
      <w:sz w:val="21"/>
    </w:rPr>
  </w:style>
  <w:style w:type="paragraph" w:styleId="43">
    <w:name w:val="index 9"/>
    <w:basedOn w:val="1"/>
    <w:next w:val="1"/>
    <w:qFormat/>
    <w:uiPriority w:val="0"/>
    <w:pPr>
      <w:spacing w:line="240" w:lineRule="auto"/>
      <w:ind w:left="1890" w:hanging="210"/>
    </w:pPr>
    <w:rPr>
      <w:sz w:val="21"/>
    </w:rPr>
  </w:style>
  <w:style w:type="paragraph" w:styleId="44">
    <w:name w:val="toc 2"/>
    <w:basedOn w:val="1"/>
    <w:next w:val="1"/>
    <w:qFormat/>
    <w:uiPriority w:val="39"/>
    <w:pPr>
      <w:ind w:left="240"/>
    </w:pPr>
    <w:rPr>
      <w:smallCaps/>
      <w:sz w:val="20"/>
    </w:rPr>
  </w:style>
  <w:style w:type="paragraph" w:styleId="45">
    <w:name w:val="toc 9"/>
    <w:basedOn w:val="1"/>
    <w:next w:val="1"/>
    <w:qFormat/>
    <w:uiPriority w:val="0"/>
    <w:pPr>
      <w:ind w:left="1920"/>
    </w:pPr>
    <w:rPr>
      <w:sz w:val="18"/>
    </w:rPr>
  </w:style>
  <w:style w:type="paragraph" w:styleId="46">
    <w:name w:val="Body Text 2"/>
    <w:basedOn w:val="1"/>
    <w:next w:val="14"/>
    <w:link w:val="121"/>
    <w:qFormat/>
    <w:uiPriority w:val="0"/>
    <w:pPr>
      <w:spacing w:after="120" w:line="480" w:lineRule="auto"/>
    </w:pPr>
  </w:style>
  <w:style w:type="paragraph" w:styleId="47">
    <w:name w:val="index 1"/>
    <w:basedOn w:val="1"/>
    <w:next w:val="1"/>
    <w:qFormat/>
    <w:uiPriority w:val="0"/>
    <w:pPr>
      <w:spacing w:line="240" w:lineRule="auto"/>
      <w:ind w:left="210" w:hanging="210"/>
    </w:pPr>
    <w:rPr>
      <w:sz w:val="21"/>
    </w:rPr>
  </w:style>
  <w:style w:type="paragraph" w:styleId="48">
    <w:name w:val="index 2"/>
    <w:basedOn w:val="1"/>
    <w:next w:val="1"/>
    <w:qFormat/>
    <w:uiPriority w:val="0"/>
    <w:pPr>
      <w:spacing w:line="240" w:lineRule="auto"/>
      <w:ind w:left="420" w:hanging="210"/>
    </w:pPr>
    <w:rPr>
      <w:sz w:val="21"/>
    </w:rPr>
  </w:style>
  <w:style w:type="paragraph" w:styleId="49">
    <w:name w:val="Title"/>
    <w:basedOn w:val="1"/>
    <w:link w:val="172"/>
    <w:qFormat/>
    <w:uiPriority w:val="0"/>
    <w:pPr>
      <w:spacing w:before="240" w:after="60" w:line="240" w:lineRule="auto"/>
      <w:jc w:val="center"/>
      <w:outlineLvl w:val="0"/>
    </w:pPr>
    <w:rPr>
      <w:rFonts w:ascii="Arial" w:hAnsi="Arial" w:eastAsia="宋体" w:cs="Times New Roman"/>
      <w:b/>
      <w:kern w:val="2"/>
      <w:sz w:val="32"/>
    </w:rPr>
  </w:style>
  <w:style w:type="paragraph" w:styleId="50">
    <w:name w:val="annotation subject"/>
    <w:next w:val="26"/>
    <w:link w:val="113"/>
    <w:qFormat/>
    <w:uiPriority w:val="0"/>
    <w:pPr>
      <w:widowControl w:val="0"/>
      <w:spacing w:line="360" w:lineRule="atLeast"/>
    </w:pPr>
    <w:rPr>
      <w:rFonts w:ascii="Courier New" w:hAnsi="宋体" w:eastAsia="黑体" w:cs="宋体"/>
      <w:b/>
      <w:sz w:val="24"/>
      <w:lang w:val="en-US" w:eastAsia="zh-CN" w:bidi="ar-SA"/>
    </w:rPr>
  </w:style>
  <w:style w:type="paragraph" w:styleId="51">
    <w:name w:val="Body Text First Indent"/>
    <w:next w:val="52"/>
    <w:link w:val="166"/>
    <w:qFormat/>
    <w:uiPriority w:val="0"/>
    <w:pPr>
      <w:widowControl w:val="0"/>
      <w:spacing w:after="120" w:line="360" w:lineRule="atLeast"/>
      <w:ind w:firstLine="420"/>
    </w:pPr>
    <w:rPr>
      <w:rFonts w:ascii="宋体" w:hAnsi="宋体" w:eastAsia="宋体" w:cs="宋体"/>
      <w:sz w:val="24"/>
      <w:lang w:val="en-US" w:eastAsia="zh-CN" w:bidi="ar-SA"/>
    </w:rPr>
  </w:style>
  <w:style w:type="paragraph" w:customStyle="1" w:styleId="52">
    <w:name w:val="Char Char Char Char Char Char"/>
    <w:basedOn w:val="1"/>
    <w:next w:val="53"/>
    <w:qFormat/>
    <w:uiPriority w:val="0"/>
    <w:pPr>
      <w:spacing w:line="240" w:lineRule="auto"/>
      <w:jc w:val="both"/>
    </w:pPr>
    <w:rPr>
      <w:sz w:val="21"/>
    </w:rPr>
  </w:style>
  <w:style w:type="paragraph" w:customStyle="1" w:styleId="53">
    <w:name w:val="正文1"/>
    <w:basedOn w:val="1"/>
    <w:next w:val="48"/>
    <w:qFormat/>
    <w:uiPriority w:val="0"/>
    <w:rPr>
      <w:rFonts w:ascii="黑体"/>
    </w:rPr>
  </w:style>
  <w:style w:type="table" w:styleId="55">
    <w:name w:val="Table Grid"/>
    <w:basedOn w:val="54"/>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22"/>
    <w:rPr>
      <w:b/>
      <w:sz w:val="20"/>
    </w:rPr>
  </w:style>
  <w:style w:type="character" w:styleId="58">
    <w:name w:val="page number"/>
    <w:qFormat/>
    <w:uiPriority w:val="0"/>
    <w:rPr>
      <w:sz w:val="20"/>
    </w:rPr>
  </w:style>
  <w:style w:type="character" w:styleId="59">
    <w:name w:val="Emphasis"/>
    <w:qFormat/>
    <w:uiPriority w:val="0"/>
    <w:rPr>
      <w:i/>
      <w:sz w:val="21"/>
    </w:rPr>
  </w:style>
  <w:style w:type="character" w:styleId="60">
    <w:name w:val="Hyperlink"/>
    <w:qFormat/>
    <w:uiPriority w:val="99"/>
    <w:rPr>
      <w:color w:val="0000FF"/>
      <w:sz w:val="20"/>
      <w:u w:val="single"/>
    </w:rPr>
  </w:style>
  <w:style w:type="character" w:styleId="61">
    <w:name w:val="annotation reference"/>
    <w:qFormat/>
    <w:uiPriority w:val="0"/>
    <w:rPr>
      <w:sz w:val="20"/>
    </w:rPr>
  </w:style>
  <w:style w:type="character" w:styleId="62">
    <w:name w:val="footnote reference"/>
    <w:qFormat/>
    <w:uiPriority w:val="0"/>
    <w:rPr>
      <w:sz w:val="20"/>
      <w:vertAlign w:val="superscript"/>
    </w:rPr>
  </w:style>
  <w:style w:type="character" w:customStyle="1" w:styleId="63">
    <w:name w:val="标题 1 Char"/>
    <w:basedOn w:val="56"/>
    <w:link w:val="2"/>
    <w:qFormat/>
    <w:uiPriority w:val="0"/>
    <w:rPr>
      <w:rFonts w:ascii="Courier New" w:hAnsi="宋体" w:eastAsia="黑体" w:cs="宋体"/>
      <w:b/>
      <w:kern w:val="0"/>
      <w:sz w:val="44"/>
      <w:szCs w:val="20"/>
    </w:rPr>
  </w:style>
  <w:style w:type="character" w:customStyle="1" w:styleId="64">
    <w:name w:val="标题 2 Char"/>
    <w:basedOn w:val="56"/>
    <w:link w:val="3"/>
    <w:qFormat/>
    <w:uiPriority w:val="0"/>
    <w:rPr>
      <w:rFonts w:ascii="黑体" w:hAnsi="宋体" w:eastAsia="黑体" w:cs="宋体"/>
      <w:b/>
      <w:kern w:val="0"/>
      <w:sz w:val="28"/>
      <w:szCs w:val="20"/>
    </w:rPr>
  </w:style>
  <w:style w:type="character" w:customStyle="1" w:styleId="65">
    <w:name w:val="标题 3 Char"/>
    <w:basedOn w:val="56"/>
    <w:link w:val="4"/>
    <w:qFormat/>
    <w:uiPriority w:val="0"/>
    <w:rPr>
      <w:rFonts w:ascii="Courier New" w:hAnsi="宋体" w:eastAsia="黑体" w:cs="宋体"/>
      <w:b/>
      <w:kern w:val="0"/>
      <w:sz w:val="32"/>
      <w:szCs w:val="20"/>
    </w:rPr>
  </w:style>
  <w:style w:type="character" w:customStyle="1" w:styleId="66">
    <w:name w:val="标题 4 Char"/>
    <w:basedOn w:val="56"/>
    <w:link w:val="5"/>
    <w:qFormat/>
    <w:uiPriority w:val="0"/>
    <w:rPr>
      <w:rFonts w:ascii="黑体" w:hAnsi="宋体" w:eastAsia="黑体" w:cs="宋体"/>
      <w:i/>
      <w:kern w:val="0"/>
      <w:sz w:val="24"/>
      <w:szCs w:val="20"/>
    </w:rPr>
  </w:style>
  <w:style w:type="character" w:customStyle="1" w:styleId="67">
    <w:name w:val="标题 5 Char"/>
    <w:basedOn w:val="56"/>
    <w:link w:val="6"/>
    <w:qFormat/>
    <w:uiPriority w:val="0"/>
    <w:rPr>
      <w:rFonts w:ascii="Courier New" w:hAnsi="宋体" w:eastAsia="黑体" w:cs="宋体"/>
      <w:kern w:val="0"/>
      <w:sz w:val="24"/>
      <w:szCs w:val="20"/>
    </w:rPr>
  </w:style>
  <w:style w:type="character" w:customStyle="1" w:styleId="68">
    <w:name w:val="标题 6 Char"/>
    <w:basedOn w:val="56"/>
    <w:link w:val="7"/>
    <w:qFormat/>
    <w:uiPriority w:val="0"/>
    <w:rPr>
      <w:rFonts w:ascii="Courier New" w:hAnsi="宋体" w:eastAsia="黑体" w:cs="宋体"/>
      <w:kern w:val="0"/>
      <w:sz w:val="24"/>
      <w:szCs w:val="20"/>
    </w:rPr>
  </w:style>
  <w:style w:type="character" w:customStyle="1" w:styleId="69">
    <w:name w:val="标题 7 Char"/>
    <w:basedOn w:val="56"/>
    <w:link w:val="8"/>
    <w:qFormat/>
    <w:uiPriority w:val="0"/>
    <w:rPr>
      <w:rFonts w:ascii="Courier New" w:hAnsi="宋体" w:eastAsia="黑体" w:cs="宋体"/>
      <w:kern w:val="0"/>
      <w:sz w:val="24"/>
      <w:szCs w:val="20"/>
    </w:rPr>
  </w:style>
  <w:style w:type="character" w:customStyle="1" w:styleId="70">
    <w:name w:val="标题 8 Char"/>
    <w:basedOn w:val="56"/>
    <w:link w:val="9"/>
    <w:qFormat/>
    <w:uiPriority w:val="0"/>
    <w:rPr>
      <w:rFonts w:ascii="Courier New" w:hAnsi="宋体" w:eastAsia="黑体" w:cs="宋体"/>
      <w:kern w:val="0"/>
      <w:sz w:val="24"/>
      <w:szCs w:val="20"/>
    </w:rPr>
  </w:style>
  <w:style w:type="character" w:customStyle="1" w:styleId="71">
    <w:name w:val="标题 9 Char"/>
    <w:basedOn w:val="56"/>
    <w:link w:val="10"/>
    <w:qFormat/>
    <w:uiPriority w:val="0"/>
    <w:rPr>
      <w:rFonts w:ascii="Garamond" w:hAnsi="宋体" w:eastAsia="Wingdings" w:cs="宋体"/>
      <w:kern w:val="0"/>
      <w:sz w:val="24"/>
      <w:szCs w:val="20"/>
    </w:rPr>
  </w:style>
  <w:style w:type="character" w:customStyle="1" w:styleId="72">
    <w:name w:val="副标题 Char"/>
    <w:basedOn w:val="56"/>
    <w:link w:val="38"/>
    <w:qFormat/>
    <w:uiPriority w:val="0"/>
    <w:rPr>
      <w:rFonts w:ascii="宋体" w:hAnsi="宋体" w:eastAsia="宋体" w:cs="宋体"/>
      <w:kern w:val="0"/>
      <w:sz w:val="24"/>
      <w:szCs w:val="20"/>
    </w:rPr>
  </w:style>
  <w:style w:type="character" w:customStyle="1" w:styleId="73">
    <w:name w:val="不明显强调1"/>
    <w:qFormat/>
    <w:uiPriority w:val="0"/>
    <w:rPr>
      <w:i/>
      <w:color w:val="404040"/>
      <w:sz w:val="21"/>
    </w:rPr>
  </w:style>
  <w:style w:type="character" w:customStyle="1" w:styleId="74">
    <w:name w:val="明显强调1"/>
    <w:qFormat/>
    <w:uiPriority w:val="0"/>
    <w:rPr>
      <w:i/>
      <w:color w:val="5B9BD5"/>
      <w:sz w:val="21"/>
    </w:rPr>
  </w:style>
  <w:style w:type="paragraph" w:styleId="75">
    <w:name w:val="Quote"/>
    <w:next w:val="1"/>
    <w:link w:val="76"/>
    <w:qFormat/>
    <w:uiPriority w:val="0"/>
    <w:pPr>
      <w:wordWrap w:val="0"/>
      <w:spacing w:before="200" w:after="160"/>
      <w:ind w:left="864" w:right="864"/>
      <w:jc w:val="center"/>
    </w:pPr>
    <w:rPr>
      <w:rFonts w:ascii="宋体" w:hAnsi="宋体" w:eastAsia="宋体" w:cs="宋体"/>
      <w:i/>
      <w:color w:val="404040"/>
      <w:sz w:val="21"/>
      <w:lang w:val="en-US" w:eastAsia="zh-CN" w:bidi="ar-SA"/>
    </w:rPr>
  </w:style>
  <w:style w:type="character" w:customStyle="1" w:styleId="76">
    <w:name w:val="引用 Char"/>
    <w:basedOn w:val="56"/>
    <w:link w:val="75"/>
    <w:qFormat/>
    <w:uiPriority w:val="0"/>
    <w:rPr>
      <w:rFonts w:ascii="宋体" w:hAnsi="宋体" w:eastAsia="宋体" w:cs="宋体"/>
      <w:i/>
      <w:color w:val="404040"/>
      <w:kern w:val="0"/>
      <w:szCs w:val="20"/>
    </w:rPr>
  </w:style>
  <w:style w:type="paragraph" w:styleId="77">
    <w:name w:val="Intense Quote"/>
    <w:next w:val="1"/>
    <w:link w:val="78"/>
    <w:qFormat/>
    <w:uiPriority w:val="0"/>
    <w:pPr>
      <w:wordWrap w:val="0"/>
      <w:spacing w:before="360" w:after="360"/>
      <w:ind w:left="950" w:right="950"/>
      <w:jc w:val="center"/>
    </w:pPr>
    <w:rPr>
      <w:rFonts w:ascii="宋体" w:hAnsi="宋体" w:eastAsia="宋体" w:cs="宋体"/>
      <w:i/>
      <w:color w:val="5B9BD5"/>
      <w:sz w:val="21"/>
      <w:lang w:val="en-US" w:eastAsia="zh-CN" w:bidi="ar-SA"/>
    </w:rPr>
  </w:style>
  <w:style w:type="character" w:customStyle="1" w:styleId="78">
    <w:name w:val="明显引用 Char"/>
    <w:basedOn w:val="56"/>
    <w:link w:val="77"/>
    <w:qFormat/>
    <w:uiPriority w:val="0"/>
    <w:rPr>
      <w:rFonts w:ascii="宋体" w:hAnsi="宋体" w:eastAsia="宋体" w:cs="宋体"/>
      <w:i/>
      <w:color w:val="5B9BD5"/>
      <w:kern w:val="0"/>
      <w:szCs w:val="20"/>
    </w:rPr>
  </w:style>
  <w:style w:type="character" w:customStyle="1" w:styleId="79">
    <w:name w:val="不明显参考1"/>
    <w:qFormat/>
    <w:uiPriority w:val="0"/>
    <w:rPr>
      <w:color w:val="5A5A5A"/>
      <w:sz w:val="21"/>
    </w:rPr>
  </w:style>
  <w:style w:type="character" w:customStyle="1" w:styleId="80">
    <w:name w:val="明显参考1"/>
    <w:qFormat/>
    <w:uiPriority w:val="0"/>
    <w:rPr>
      <w:b/>
      <w:color w:val="5B9BD5"/>
      <w:sz w:val="21"/>
    </w:rPr>
  </w:style>
  <w:style w:type="character" w:customStyle="1" w:styleId="81">
    <w:name w:val="书籍标题1"/>
    <w:qFormat/>
    <w:uiPriority w:val="0"/>
    <w:rPr>
      <w:b/>
      <w:i/>
      <w:sz w:val="21"/>
    </w:rPr>
  </w:style>
  <w:style w:type="paragraph" w:styleId="82">
    <w:name w:val="List Paragraph"/>
    <w:next w:val="1"/>
    <w:qFormat/>
    <w:uiPriority w:val="34"/>
    <w:pPr>
      <w:wordWrap w:val="0"/>
      <w:ind w:left="850"/>
      <w:jc w:val="both"/>
    </w:pPr>
    <w:rPr>
      <w:rFonts w:ascii="宋体" w:hAnsi="宋体" w:eastAsia="宋体" w:cs="宋体"/>
      <w:sz w:val="21"/>
      <w:lang w:val="en-US" w:eastAsia="zh-CN" w:bidi="ar-SA"/>
    </w:rPr>
  </w:style>
  <w:style w:type="paragraph" w:customStyle="1" w:styleId="83">
    <w:name w:val="TOC 标题1"/>
    <w:next w:val="1"/>
    <w:qFormat/>
    <w:uiPriority w:val="0"/>
    <w:pPr>
      <w:wordWrap w:val="0"/>
    </w:pPr>
    <w:rPr>
      <w:rFonts w:ascii="宋体" w:hAnsi="宋体" w:eastAsia="宋体" w:cs="宋体"/>
      <w:color w:val="2E74B5"/>
      <w:sz w:val="32"/>
      <w:lang w:val="en-US" w:eastAsia="zh-CN" w:bidi="ar-SA"/>
    </w:rPr>
  </w:style>
  <w:style w:type="paragraph" w:customStyle="1" w:styleId="84">
    <w:name w:val="目录 21"/>
    <w:next w:val="1"/>
    <w:qFormat/>
    <w:uiPriority w:val="0"/>
    <w:pPr>
      <w:wordWrap w:val="0"/>
      <w:jc w:val="both"/>
    </w:pPr>
    <w:rPr>
      <w:rFonts w:ascii="宋体" w:hAnsi="宋体" w:eastAsia="宋体" w:cs="宋体"/>
      <w:sz w:val="21"/>
      <w:lang w:val="en-US" w:eastAsia="zh-CN" w:bidi="ar-SA"/>
    </w:rPr>
  </w:style>
  <w:style w:type="paragraph" w:customStyle="1" w:styleId="85">
    <w:name w:val="目录 31"/>
    <w:next w:val="1"/>
    <w:qFormat/>
    <w:uiPriority w:val="0"/>
    <w:pPr>
      <w:wordWrap w:val="0"/>
      <w:ind w:left="425"/>
      <w:jc w:val="both"/>
    </w:pPr>
    <w:rPr>
      <w:rFonts w:ascii="宋体" w:hAnsi="宋体" w:eastAsia="宋体" w:cs="宋体"/>
      <w:sz w:val="21"/>
      <w:lang w:val="en-US" w:eastAsia="zh-CN" w:bidi="ar-SA"/>
    </w:rPr>
  </w:style>
  <w:style w:type="paragraph" w:customStyle="1" w:styleId="86">
    <w:name w:val="目录 41"/>
    <w:next w:val="1"/>
    <w:qFormat/>
    <w:uiPriority w:val="0"/>
    <w:pPr>
      <w:wordWrap w:val="0"/>
      <w:ind w:left="850"/>
      <w:jc w:val="both"/>
    </w:pPr>
    <w:rPr>
      <w:rFonts w:ascii="宋体" w:hAnsi="宋体" w:eastAsia="宋体" w:cs="宋体"/>
      <w:sz w:val="21"/>
      <w:lang w:val="en-US" w:eastAsia="zh-CN" w:bidi="ar-SA"/>
    </w:rPr>
  </w:style>
  <w:style w:type="paragraph" w:customStyle="1" w:styleId="87">
    <w:name w:val="目录 51"/>
    <w:next w:val="1"/>
    <w:qFormat/>
    <w:uiPriority w:val="0"/>
    <w:pPr>
      <w:wordWrap w:val="0"/>
      <w:ind w:left="1275"/>
      <w:jc w:val="both"/>
    </w:pPr>
    <w:rPr>
      <w:rFonts w:ascii="宋体" w:hAnsi="宋体" w:eastAsia="宋体" w:cs="宋体"/>
      <w:sz w:val="21"/>
      <w:lang w:val="en-US" w:eastAsia="zh-CN" w:bidi="ar-SA"/>
    </w:rPr>
  </w:style>
  <w:style w:type="paragraph" w:customStyle="1" w:styleId="88">
    <w:name w:val="目录 61"/>
    <w:next w:val="1"/>
    <w:qFormat/>
    <w:uiPriority w:val="0"/>
    <w:pPr>
      <w:wordWrap w:val="0"/>
      <w:ind w:left="1700"/>
      <w:jc w:val="both"/>
    </w:pPr>
    <w:rPr>
      <w:rFonts w:ascii="宋体" w:hAnsi="宋体" w:eastAsia="宋体" w:cs="宋体"/>
      <w:sz w:val="21"/>
      <w:lang w:val="en-US" w:eastAsia="zh-CN" w:bidi="ar-SA"/>
    </w:rPr>
  </w:style>
  <w:style w:type="paragraph" w:customStyle="1" w:styleId="89">
    <w:name w:val="目录 71"/>
    <w:next w:val="1"/>
    <w:qFormat/>
    <w:uiPriority w:val="0"/>
    <w:pPr>
      <w:wordWrap w:val="0"/>
      <w:ind w:left="2125"/>
      <w:jc w:val="both"/>
    </w:pPr>
    <w:rPr>
      <w:rFonts w:ascii="宋体" w:hAnsi="宋体" w:eastAsia="宋体" w:cs="宋体"/>
      <w:sz w:val="21"/>
      <w:lang w:val="en-US" w:eastAsia="zh-CN" w:bidi="ar-SA"/>
    </w:rPr>
  </w:style>
  <w:style w:type="paragraph" w:customStyle="1" w:styleId="90">
    <w:name w:val="目录 81"/>
    <w:next w:val="1"/>
    <w:qFormat/>
    <w:uiPriority w:val="0"/>
    <w:pPr>
      <w:wordWrap w:val="0"/>
      <w:ind w:left="2550"/>
      <w:jc w:val="both"/>
    </w:pPr>
    <w:rPr>
      <w:rFonts w:ascii="宋体" w:hAnsi="宋体" w:eastAsia="宋体" w:cs="宋体"/>
      <w:sz w:val="21"/>
      <w:lang w:val="en-US" w:eastAsia="zh-CN" w:bidi="ar-SA"/>
    </w:rPr>
  </w:style>
  <w:style w:type="paragraph" w:customStyle="1" w:styleId="91">
    <w:name w:val="目录 91"/>
    <w:next w:val="1"/>
    <w:qFormat/>
    <w:uiPriority w:val="0"/>
    <w:pPr>
      <w:wordWrap w:val="0"/>
      <w:ind w:left="2975"/>
      <w:jc w:val="both"/>
    </w:pPr>
    <w:rPr>
      <w:rFonts w:ascii="宋体" w:hAnsi="宋体" w:eastAsia="宋体" w:cs="宋体"/>
      <w:sz w:val="21"/>
      <w:lang w:val="en-US" w:eastAsia="zh-CN" w:bidi="ar-SA"/>
    </w:rPr>
  </w:style>
  <w:style w:type="paragraph" w:customStyle="1" w:styleId="92">
    <w:name w:val="正文缩进2"/>
    <w:next w:val="1"/>
    <w:qFormat/>
    <w:uiPriority w:val="0"/>
    <w:pPr>
      <w:wordWrap w:val="0"/>
      <w:ind w:left="3400"/>
      <w:jc w:val="both"/>
    </w:pPr>
    <w:rPr>
      <w:rFonts w:ascii="宋体" w:hAnsi="宋体" w:eastAsia="宋体" w:cs="宋体"/>
      <w:sz w:val="21"/>
      <w:lang w:val="en-US" w:eastAsia="zh-CN" w:bidi="ar-SA"/>
    </w:rPr>
  </w:style>
  <w:style w:type="character" w:customStyle="1" w:styleId="93">
    <w:name w:val="页脚 Char"/>
    <w:qFormat/>
    <w:uiPriority w:val="99"/>
    <w:rPr>
      <w:sz w:val="20"/>
    </w:rPr>
  </w:style>
  <w:style w:type="character" w:customStyle="1" w:styleId="94">
    <w:name w:val="Char Char11"/>
    <w:qFormat/>
    <w:uiPriority w:val="0"/>
    <w:rPr>
      <w:b/>
      <w:sz w:val="20"/>
    </w:rPr>
  </w:style>
  <w:style w:type="character" w:customStyle="1" w:styleId="95">
    <w:name w:val="日期 Char"/>
    <w:qFormat/>
    <w:uiPriority w:val="0"/>
    <w:rPr>
      <w:sz w:val="20"/>
    </w:rPr>
  </w:style>
  <w:style w:type="character" w:customStyle="1" w:styleId="96">
    <w:name w:val="页眉 Char"/>
    <w:qFormat/>
    <w:uiPriority w:val="99"/>
    <w:rPr>
      <w:sz w:val="20"/>
    </w:rPr>
  </w:style>
  <w:style w:type="character" w:customStyle="1" w:styleId="97">
    <w:name w:val="正文缩进 Char"/>
    <w:qFormat/>
    <w:uiPriority w:val="0"/>
    <w:rPr>
      <w:sz w:val="20"/>
    </w:rPr>
  </w:style>
  <w:style w:type="character" w:customStyle="1" w:styleId="98">
    <w:name w:val="正文文本 3 Char"/>
    <w:qFormat/>
    <w:uiPriority w:val="0"/>
    <w:rPr>
      <w:sz w:val="20"/>
    </w:rPr>
  </w:style>
  <w:style w:type="character" w:customStyle="1" w:styleId="99">
    <w:name w:val="纯文本 Char"/>
    <w:qFormat/>
    <w:uiPriority w:val="0"/>
    <w:rPr>
      <w:sz w:val="20"/>
    </w:rPr>
  </w:style>
  <w:style w:type="character" w:customStyle="1" w:styleId="100">
    <w:name w:val="首行缩进:  2 字符 Char"/>
    <w:qFormat/>
    <w:uiPriority w:val="0"/>
    <w:rPr>
      <w:sz w:val="20"/>
    </w:rPr>
  </w:style>
  <w:style w:type="character" w:customStyle="1" w:styleId="101">
    <w:name w:val="脚注文本 Char"/>
    <w:qFormat/>
    <w:uiPriority w:val="0"/>
    <w:rPr>
      <w:sz w:val="20"/>
    </w:rPr>
  </w:style>
  <w:style w:type="character" w:customStyle="1" w:styleId="102">
    <w:name w:val="脚注文本 Char1"/>
    <w:qFormat/>
    <w:uiPriority w:val="0"/>
    <w:rPr>
      <w:sz w:val="20"/>
    </w:rPr>
  </w:style>
  <w:style w:type="character" w:customStyle="1" w:styleId="103">
    <w:name w:val="正文文本 Char"/>
    <w:qFormat/>
    <w:uiPriority w:val="0"/>
    <w:rPr>
      <w:sz w:val="20"/>
    </w:rPr>
  </w:style>
  <w:style w:type="character" w:customStyle="1" w:styleId="104">
    <w:name w:val="正文文本 Char1"/>
    <w:qFormat/>
    <w:uiPriority w:val="0"/>
    <w:rPr>
      <w:sz w:val="20"/>
    </w:rPr>
  </w:style>
  <w:style w:type="character" w:customStyle="1" w:styleId="105">
    <w:name w:val="正文文本缩进 Char"/>
    <w:qFormat/>
    <w:uiPriority w:val="0"/>
    <w:rPr>
      <w:sz w:val="20"/>
    </w:rPr>
  </w:style>
  <w:style w:type="character" w:customStyle="1" w:styleId="106">
    <w:name w:val="正文文本缩进 Char1"/>
    <w:qFormat/>
    <w:uiPriority w:val="0"/>
    <w:rPr>
      <w:sz w:val="20"/>
    </w:rPr>
  </w:style>
  <w:style w:type="character" w:customStyle="1" w:styleId="107">
    <w:name w:val="文档结构图 Char"/>
    <w:qFormat/>
    <w:uiPriority w:val="0"/>
    <w:rPr>
      <w:sz w:val="20"/>
    </w:rPr>
  </w:style>
  <w:style w:type="character" w:customStyle="1" w:styleId="108">
    <w:name w:val="批注框文本 Char"/>
    <w:qFormat/>
    <w:uiPriority w:val="0"/>
    <w:rPr>
      <w:sz w:val="20"/>
    </w:rPr>
  </w:style>
  <w:style w:type="character" w:customStyle="1" w:styleId="109">
    <w:name w:val="无间距字符"/>
    <w:qFormat/>
    <w:uiPriority w:val="0"/>
    <w:rPr>
      <w:sz w:val="20"/>
    </w:rPr>
  </w:style>
  <w:style w:type="character" w:customStyle="1" w:styleId="110">
    <w:name w:val="正文 加粗"/>
    <w:qFormat/>
    <w:uiPriority w:val="0"/>
    <w:rPr>
      <w:b/>
      <w:sz w:val="20"/>
    </w:rPr>
  </w:style>
  <w:style w:type="character" w:customStyle="1" w:styleId="111">
    <w:name w:val="批注框文本 Char1"/>
    <w:basedOn w:val="56"/>
    <w:link w:val="32"/>
    <w:qFormat/>
    <w:uiPriority w:val="0"/>
    <w:rPr>
      <w:rFonts w:ascii="Courier New" w:hAnsi="宋体" w:eastAsia="黑体" w:cs="宋体"/>
      <w:kern w:val="0"/>
      <w:sz w:val="18"/>
      <w:szCs w:val="20"/>
    </w:rPr>
  </w:style>
  <w:style w:type="character" w:customStyle="1" w:styleId="112">
    <w:name w:val="批注文字 Char"/>
    <w:basedOn w:val="56"/>
    <w:link w:val="17"/>
    <w:qFormat/>
    <w:uiPriority w:val="0"/>
    <w:rPr>
      <w:rFonts w:ascii="Courier New" w:hAnsi="宋体" w:eastAsia="黑体" w:cs="宋体"/>
      <w:kern w:val="0"/>
      <w:sz w:val="24"/>
      <w:szCs w:val="20"/>
    </w:rPr>
  </w:style>
  <w:style w:type="character" w:customStyle="1" w:styleId="113">
    <w:name w:val="批注主题 Char"/>
    <w:basedOn w:val="112"/>
    <w:link w:val="50"/>
    <w:qFormat/>
    <w:uiPriority w:val="0"/>
    <w:rPr>
      <w:rFonts w:ascii="Courier New" w:hAnsi="宋体" w:eastAsia="黑体" w:cs="宋体"/>
      <w:b/>
      <w:kern w:val="0"/>
      <w:sz w:val="24"/>
      <w:szCs w:val="20"/>
    </w:rPr>
  </w:style>
  <w:style w:type="character" w:customStyle="1" w:styleId="114">
    <w:name w:val="正文文本缩进 3 Char"/>
    <w:basedOn w:val="56"/>
    <w:link w:val="41"/>
    <w:qFormat/>
    <w:uiPriority w:val="0"/>
    <w:rPr>
      <w:rFonts w:ascii="Courier New" w:hAnsi="宋体" w:eastAsia="黑体" w:cs="宋体"/>
      <w:kern w:val="0"/>
      <w:sz w:val="24"/>
      <w:szCs w:val="20"/>
    </w:rPr>
  </w:style>
  <w:style w:type="character" w:customStyle="1" w:styleId="115">
    <w:name w:val="文档结构图 Char1"/>
    <w:basedOn w:val="56"/>
    <w:link w:val="16"/>
    <w:qFormat/>
    <w:uiPriority w:val="0"/>
    <w:rPr>
      <w:rFonts w:ascii="Courier New" w:hAnsi="宋体" w:eastAsia="黑体" w:cs="宋体"/>
      <w:kern w:val="0"/>
      <w:sz w:val="24"/>
      <w:szCs w:val="20"/>
      <w:shd w:val="clear" w:color="000000" w:fill="000080"/>
    </w:rPr>
  </w:style>
  <w:style w:type="character" w:customStyle="1" w:styleId="116">
    <w:name w:val="页眉 Char1"/>
    <w:basedOn w:val="56"/>
    <w:link w:val="25"/>
    <w:qFormat/>
    <w:uiPriority w:val="99"/>
    <w:rPr>
      <w:rFonts w:ascii="Courier New" w:hAnsi="宋体" w:eastAsia="黑体" w:cs="宋体"/>
      <w:kern w:val="0"/>
      <w:sz w:val="18"/>
      <w:szCs w:val="20"/>
    </w:rPr>
  </w:style>
  <w:style w:type="character" w:customStyle="1" w:styleId="117">
    <w:name w:val="日期 Char1"/>
    <w:basedOn w:val="56"/>
    <w:link w:val="23"/>
    <w:qFormat/>
    <w:uiPriority w:val="0"/>
    <w:rPr>
      <w:rFonts w:ascii="黑体" w:hAnsi="宋体" w:eastAsia="黑体" w:cs="宋体"/>
      <w:kern w:val="0"/>
      <w:sz w:val="24"/>
      <w:szCs w:val="20"/>
    </w:rPr>
  </w:style>
  <w:style w:type="character" w:customStyle="1" w:styleId="118">
    <w:name w:val="正文文本 Char2"/>
    <w:basedOn w:val="56"/>
    <w:link w:val="21"/>
    <w:qFormat/>
    <w:uiPriority w:val="0"/>
    <w:rPr>
      <w:rFonts w:ascii="Courier New" w:hAnsi="宋体" w:eastAsia="黑体" w:cs="宋体"/>
      <w:kern w:val="0"/>
      <w:sz w:val="24"/>
      <w:szCs w:val="20"/>
    </w:rPr>
  </w:style>
  <w:style w:type="character" w:customStyle="1" w:styleId="119">
    <w:name w:val="纯文本 Char1"/>
    <w:basedOn w:val="56"/>
    <w:link w:val="20"/>
    <w:qFormat/>
    <w:uiPriority w:val="0"/>
    <w:rPr>
      <w:rFonts w:ascii="黑体" w:hAnsi="宋体" w:eastAsia="黑体" w:cs="宋体"/>
      <w:kern w:val="0"/>
      <w:szCs w:val="20"/>
    </w:rPr>
  </w:style>
  <w:style w:type="paragraph" w:customStyle="1" w:styleId="120">
    <w:name w:val="1 Char"/>
    <w:basedOn w:val="1"/>
    <w:qFormat/>
    <w:uiPriority w:val="0"/>
    <w:pPr>
      <w:spacing w:line="240" w:lineRule="auto"/>
      <w:ind w:left="-48"/>
      <w:jc w:val="both"/>
    </w:pPr>
    <w:rPr>
      <w:sz w:val="21"/>
    </w:rPr>
  </w:style>
  <w:style w:type="character" w:customStyle="1" w:styleId="121">
    <w:name w:val="正文文本 2 Char"/>
    <w:basedOn w:val="56"/>
    <w:link w:val="46"/>
    <w:qFormat/>
    <w:uiPriority w:val="0"/>
    <w:rPr>
      <w:rFonts w:ascii="Courier New" w:hAnsi="宋体" w:eastAsia="黑体" w:cs="宋体"/>
      <w:kern w:val="0"/>
      <w:sz w:val="24"/>
      <w:szCs w:val="20"/>
    </w:rPr>
  </w:style>
  <w:style w:type="character" w:customStyle="1" w:styleId="122">
    <w:name w:val="正文文本缩进 Char2"/>
    <w:basedOn w:val="56"/>
    <w:link w:val="22"/>
    <w:qFormat/>
    <w:uiPriority w:val="0"/>
    <w:rPr>
      <w:rFonts w:ascii="Courier New" w:hAnsi="宋体" w:eastAsia="黑体" w:cs="宋体"/>
      <w:kern w:val="0"/>
      <w:sz w:val="24"/>
      <w:szCs w:val="20"/>
    </w:rPr>
  </w:style>
  <w:style w:type="character" w:customStyle="1" w:styleId="123">
    <w:name w:val="脚注文本 Char2"/>
    <w:basedOn w:val="56"/>
    <w:link w:val="39"/>
    <w:qFormat/>
    <w:uiPriority w:val="0"/>
    <w:rPr>
      <w:rFonts w:ascii="Courier New" w:hAnsi="宋体" w:eastAsia="宋体" w:cs="宋体"/>
      <w:kern w:val="0"/>
      <w:sz w:val="18"/>
      <w:szCs w:val="20"/>
    </w:rPr>
  </w:style>
  <w:style w:type="character" w:customStyle="1" w:styleId="124">
    <w:name w:val="正文文本缩进 2 Char"/>
    <w:basedOn w:val="56"/>
    <w:link w:val="31"/>
    <w:qFormat/>
    <w:uiPriority w:val="0"/>
    <w:rPr>
      <w:rFonts w:ascii="Courier New" w:hAnsi="宋体" w:eastAsia="黑体" w:cs="宋体"/>
      <w:kern w:val="0"/>
      <w:sz w:val="24"/>
      <w:szCs w:val="20"/>
    </w:rPr>
  </w:style>
  <w:style w:type="character" w:customStyle="1" w:styleId="125">
    <w:name w:val="正文文本 3 Char1"/>
    <w:basedOn w:val="56"/>
    <w:link w:val="19"/>
    <w:qFormat/>
    <w:uiPriority w:val="0"/>
    <w:rPr>
      <w:rFonts w:ascii="黑体" w:hAnsi="宋体" w:eastAsia="黑体" w:cs="宋体"/>
      <w:kern w:val="0"/>
      <w:sz w:val="28"/>
      <w:szCs w:val="20"/>
    </w:rPr>
  </w:style>
  <w:style w:type="character" w:customStyle="1" w:styleId="126">
    <w:name w:val="页脚 Char1"/>
    <w:basedOn w:val="56"/>
    <w:link w:val="33"/>
    <w:qFormat/>
    <w:uiPriority w:val="99"/>
    <w:rPr>
      <w:rFonts w:ascii="Courier New" w:hAnsi="宋体" w:eastAsia="黑体" w:cs="宋体"/>
      <w:kern w:val="0"/>
      <w:sz w:val="18"/>
      <w:szCs w:val="20"/>
    </w:rPr>
  </w:style>
  <w:style w:type="paragraph" w:customStyle="1" w:styleId="127">
    <w:name w:val="批注框文本 Char Char"/>
    <w:basedOn w:val="1"/>
    <w:next w:val="120"/>
    <w:qFormat/>
    <w:uiPriority w:val="0"/>
    <w:pPr>
      <w:autoSpaceDE w:val="0"/>
      <w:autoSpaceDN w:val="0"/>
      <w:spacing w:line="240" w:lineRule="auto"/>
    </w:pPr>
    <w:rPr>
      <w:rFonts w:ascii="黑体"/>
      <w:sz w:val="18"/>
    </w:rPr>
  </w:style>
  <w:style w:type="paragraph" w:customStyle="1" w:styleId="128">
    <w:name w:val="Char Char Char Char Char Char Char"/>
    <w:basedOn w:val="1"/>
    <w:next w:val="28"/>
    <w:qFormat/>
    <w:uiPriority w:val="0"/>
    <w:pPr>
      <w:spacing w:line="240" w:lineRule="auto"/>
      <w:ind w:left="-48"/>
      <w:jc w:val="both"/>
    </w:pPr>
    <w:rPr>
      <w:sz w:val="21"/>
    </w:rPr>
  </w:style>
  <w:style w:type="paragraph" w:customStyle="1" w:styleId="129">
    <w:name w:val="_Style 37"/>
    <w:basedOn w:val="1"/>
    <w:qFormat/>
    <w:uiPriority w:val="0"/>
    <w:pPr>
      <w:spacing w:line="240" w:lineRule="auto"/>
      <w:ind w:firstLine="420"/>
      <w:jc w:val="both"/>
    </w:pPr>
    <w:rPr>
      <w:sz w:val="21"/>
    </w:rPr>
  </w:style>
  <w:style w:type="paragraph" w:customStyle="1" w:styleId="130">
    <w:name w:val="日期1"/>
    <w:basedOn w:val="1"/>
    <w:next w:val="1"/>
    <w:qFormat/>
    <w:uiPriority w:val="0"/>
    <w:pPr>
      <w:spacing w:line="240" w:lineRule="auto"/>
      <w:jc w:val="both"/>
    </w:pPr>
  </w:style>
  <w:style w:type="paragraph" w:customStyle="1" w:styleId="131">
    <w:name w:val="样式1"/>
    <w:basedOn w:val="1"/>
    <w:next w:val="40"/>
    <w:link w:val="171"/>
    <w:qFormat/>
    <w:uiPriority w:val="0"/>
    <w:pPr>
      <w:autoSpaceDE w:val="0"/>
      <w:autoSpaceDN w:val="0"/>
      <w:spacing w:line="288" w:lineRule="auto"/>
      <w:jc w:val="both"/>
    </w:pPr>
    <w:rPr>
      <w:rFonts w:ascii="黑体" w:cs="Times New Roman"/>
      <w:sz w:val="28"/>
    </w:rPr>
  </w:style>
  <w:style w:type="paragraph" w:customStyle="1" w:styleId="132">
    <w:name w:val="_Style 16"/>
    <w:basedOn w:val="1"/>
    <w:qFormat/>
    <w:uiPriority w:val="0"/>
    <w:pPr>
      <w:spacing w:line="240" w:lineRule="auto"/>
      <w:jc w:val="both"/>
    </w:pPr>
    <w:rPr>
      <w:sz w:val="28"/>
    </w:rPr>
  </w:style>
  <w:style w:type="paragraph" w:customStyle="1" w:styleId="133">
    <w:name w:val="节"/>
    <w:basedOn w:val="3"/>
    <w:next w:val="34"/>
    <w:qFormat/>
    <w:uiPriority w:val="0"/>
    <w:pPr>
      <w:spacing w:before="160" w:after="160" w:line="720" w:lineRule="exact"/>
      <w:jc w:val="center"/>
    </w:pPr>
    <w:rPr>
      <w:rFonts w:ascii="Times New Roman"/>
    </w:rPr>
  </w:style>
  <w:style w:type="paragraph" w:customStyle="1" w:styleId="134">
    <w:name w:val="样式2"/>
    <w:basedOn w:val="1"/>
    <w:next w:val="11"/>
    <w:qFormat/>
    <w:uiPriority w:val="0"/>
    <w:pPr>
      <w:spacing w:line="410" w:lineRule="atLeast"/>
    </w:pPr>
  </w:style>
  <w:style w:type="paragraph" w:customStyle="1" w:styleId="135">
    <w:name w:val="无间距"/>
    <w:next w:val="27"/>
    <w:qFormat/>
    <w:uiPriority w:val="0"/>
    <w:rPr>
      <w:rFonts w:ascii="Calibri" w:hAnsi="宋体" w:eastAsia="宋体" w:cs="宋体"/>
      <w:sz w:val="22"/>
      <w:lang w:val="en-US" w:eastAsia="zh-CN" w:bidi="ar-SA"/>
    </w:rPr>
  </w:style>
  <w:style w:type="paragraph" w:customStyle="1" w:styleId="136">
    <w:name w:val="默认段落字体 Para Char Char Char Char"/>
    <w:basedOn w:val="1"/>
    <w:next w:val="45"/>
    <w:qFormat/>
    <w:uiPriority w:val="0"/>
    <w:pPr>
      <w:spacing w:line="240" w:lineRule="auto"/>
      <w:jc w:val="both"/>
    </w:pPr>
    <w:rPr>
      <w:sz w:val="21"/>
    </w:rPr>
  </w:style>
  <w:style w:type="paragraph" w:customStyle="1" w:styleId="137">
    <w:name w:val="Char Char Char1"/>
    <w:basedOn w:val="1"/>
    <w:next w:val="24"/>
    <w:qFormat/>
    <w:uiPriority w:val="0"/>
    <w:pPr>
      <w:spacing w:before="312" w:line="240" w:lineRule="auto"/>
      <w:jc w:val="both"/>
    </w:pPr>
    <w:rPr>
      <w:sz w:val="21"/>
    </w:rPr>
  </w:style>
  <w:style w:type="paragraph" w:customStyle="1" w:styleId="138">
    <w:name w:val="样式 标题 1 + 小二 段前: 0 磅 段后: 0 磅 行距: 2 倍行距"/>
    <w:next w:val="42"/>
    <w:qFormat/>
    <w:uiPriority w:val="0"/>
    <w:pPr>
      <w:spacing w:line="480" w:lineRule="auto"/>
      <w:ind w:firstLine="2530"/>
    </w:pPr>
    <w:rPr>
      <w:rFonts w:ascii="宋体" w:hAnsi="宋体" w:eastAsia="宋体" w:cs="宋体"/>
      <w:b/>
      <w:sz w:val="36"/>
      <w:lang w:val="en-US" w:eastAsia="zh-CN" w:bidi="ar-SA"/>
    </w:rPr>
  </w:style>
  <w:style w:type="paragraph" w:customStyle="1" w:styleId="139">
    <w:name w:val="文1"/>
    <w:basedOn w:val="1"/>
    <w:next w:val="22"/>
    <w:qFormat/>
    <w:uiPriority w:val="0"/>
    <w:pPr>
      <w:spacing w:line="500" w:lineRule="atLeast"/>
      <w:ind w:firstLine="540"/>
      <w:jc w:val="both"/>
    </w:pPr>
    <w:rPr>
      <w:sz w:val="28"/>
    </w:rPr>
  </w:style>
  <w:style w:type="paragraph" w:customStyle="1" w:styleId="140">
    <w:name w:val="简单回函地址"/>
    <w:basedOn w:val="1"/>
    <w:next w:val="39"/>
    <w:qFormat/>
    <w:uiPriority w:val="0"/>
    <w:pPr>
      <w:spacing w:line="240" w:lineRule="auto"/>
      <w:jc w:val="both"/>
    </w:pPr>
    <w:rPr>
      <w:rFonts w:ascii="Times New Roman" w:eastAsia="宋体"/>
      <w:sz w:val="21"/>
    </w:rPr>
  </w:style>
  <w:style w:type="paragraph" w:customStyle="1" w:styleId="141">
    <w:name w:val="Char Char Char Char Char Char1 Char Char Char"/>
    <w:basedOn w:val="1"/>
    <w:next w:val="31"/>
    <w:qFormat/>
    <w:uiPriority w:val="0"/>
    <w:pPr>
      <w:spacing w:line="240" w:lineRule="auto"/>
      <w:ind w:left="-48"/>
      <w:jc w:val="both"/>
    </w:pPr>
    <w:rPr>
      <w:sz w:val="21"/>
    </w:rPr>
  </w:style>
  <w:style w:type="paragraph" w:customStyle="1" w:styleId="142">
    <w:name w:val="二级条标题"/>
    <w:basedOn w:val="1"/>
    <w:next w:val="1"/>
    <w:qFormat/>
    <w:uiPriority w:val="0"/>
    <w:pPr>
      <w:widowControl/>
      <w:spacing w:line="240" w:lineRule="auto"/>
      <w:ind w:left="1134" w:hanging="1134"/>
      <w:outlineLvl w:val="3"/>
    </w:pPr>
    <w:rPr>
      <w:rFonts w:ascii="Times New Roman"/>
      <w:sz w:val="21"/>
    </w:rPr>
  </w:style>
  <w:style w:type="paragraph" w:customStyle="1" w:styleId="143">
    <w:name w:val="_Style 30"/>
    <w:basedOn w:val="1"/>
    <w:next w:val="25"/>
    <w:qFormat/>
    <w:uiPriority w:val="0"/>
    <w:pPr>
      <w:spacing w:before="60" w:after="120" w:line="320" w:lineRule="exact"/>
      <w:ind w:left="420" w:right="-357"/>
      <w:jc w:val="both"/>
    </w:pPr>
    <w:rPr>
      <w:rFonts w:ascii="黑体"/>
      <w:color w:val="000000"/>
      <w:sz w:val="28"/>
    </w:rPr>
  </w:style>
  <w:style w:type="paragraph" w:customStyle="1" w:styleId="144">
    <w:name w:val="Char5"/>
    <w:basedOn w:val="1"/>
    <w:next w:val="36"/>
    <w:qFormat/>
    <w:uiPriority w:val="0"/>
    <w:pPr>
      <w:spacing w:line="240" w:lineRule="auto"/>
      <w:jc w:val="both"/>
    </w:pPr>
    <w:rPr>
      <w:rFonts w:ascii="Times New Roman" w:eastAsia="宋体"/>
      <w:sz w:val="21"/>
    </w:rPr>
  </w:style>
  <w:style w:type="paragraph" w:customStyle="1" w:styleId="145">
    <w:name w:val="样式 标题 1 + 宋体 小三"/>
    <w:next w:val="15"/>
    <w:qFormat/>
    <w:uiPriority w:val="0"/>
    <w:rPr>
      <w:rFonts w:ascii="黑体" w:hAnsi="宋体" w:eastAsia="宋体" w:cs="宋体"/>
      <w:b/>
      <w:sz w:val="30"/>
      <w:lang w:val="en-US" w:eastAsia="zh-CN" w:bidi="ar-SA"/>
    </w:rPr>
  </w:style>
  <w:style w:type="paragraph" w:customStyle="1" w:styleId="146">
    <w:name w:val="Char"/>
    <w:basedOn w:val="1"/>
    <w:next w:val="33"/>
    <w:qFormat/>
    <w:uiPriority w:val="0"/>
    <w:pPr>
      <w:spacing w:line="240" w:lineRule="auto"/>
      <w:ind w:left="-48"/>
      <w:jc w:val="both"/>
    </w:pPr>
    <w:rPr>
      <w:rFonts w:ascii="黑体"/>
      <w:sz w:val="28"/>
    </w:rPr>
  </w:style>
  <w:style w:type="paragraph" w:customStyle="1" w:styleId="147">
    <w:name w:val="正文文本 31"/>
    <w:basedOn w:val="1"/>
    <w:next w:val="127"/>
    <w:qFormat/>
    <w:uiPriority w:val="0"/>
    <w:pPr>
      <w:spacing w:line="360" w:lineRule="auto"/>
      <w:jc w:val="center"/>
    </w:pPr>
    <w:rPr>
      <w:rFonts w:ascii="黑体"/>
      <w:b/>
      <w:color w:val="FF0000"/>
      <w:u w:val="single"/>
    </w:rPr>
  </w:style>
  <w:style w:type="paragraph" w:customStyle="1" w:styleId="148">
    <w:name w:val="Char Char Char Char Char Char1"/>
    <w:basedOn w:val="1"/>
    <w:next w:val="128"/>
    <w:qFormat/>
    <w:uiPriority w:val="0"/>
    <w:pPr>
      <w:spacing w:line="240" w:lineRule="auto"/>
      <w:jc w:val="both"/>
    </w:pPr>
    <w:rPr>
      <w:sz w:val="21"/>
    </w:rPr>
  </w:style>
  <w:style w:type="paragraph" w:customStyle="1" w:styleId="149">
    <w:name w:val="Char1 Char Char Char"/>
    <w:basedOn w:val="1"/>
    <w:next w:val="129"/>
    <w:qFormat/>
    <w:uiPriority w:val="0"/>
    <w:pPr>
      <w:spacing w:line="240" w:lineRule="auto"/>
      <w:jc w:val="both"/>
    </w:pPr>
    <w:rPr>
      <w:sz w:val="21"/>
    </w:rPr>
  </w:style>
  <w:style w:type="paragraph" w:customStyle="1" w:styleId="150">
    <w:name w:val="_Style 68"/>
    <w:basedOn w:val="1"/>
    <w:next w:val="130"/>
    <w:qFormat/>
    <w:uiPriority w:val="0"/>
    <w:pPr>
      <w:spacing w:line="360" w:lineRule="exact"/>
      <w:ind w:firstLine="510"/>
    </w:pPr>
  </w:style>
  <w:style w:type="paragraph" w:customStyle="1" w:styleId="151">
    <w:name w:val="彩色列表 - 强调文字颜色 11"/>
    <w:basedOn w:val="1"/>
    <w:next w:val="131"/>
    <w:qFormat/>
    <w:uiPriority w:val="0"/>
    <w:pPr>
      <w:spacing w:line="240" w:lineRule="auto"/>
      <w:ind w:firstLine="420"/>
      <w:jc w:val="both"/>
    </w:pPr>
    <w:rPr>
      <w:rFonts w:ascii="Calibri" w:eastAsia="宋体"/>
      <w:sz w:val="21"/>
    </w:rPr>
  </w:style>
  <w:style w:type="paragraph" w:customStyle="1" w:styleId="152">
    <w:name w:val="首行缩进:  2 字符"/>
    <w:basedOn w:val="1"/>
    <w:next w:val="132"/>
    <w:qFormat/>
    <w:uiPriority w:val="0"/>
    <w:pPr>
      <w:spacing w:line="312" w:lineRule="auto"/>
      <w:ind w:firstLine="200"/>
    </w:pPr>
    <w:rPr>
      <w:rFonts w:eastAsia="宋体"/>
      <w:sz w:val="21"/>
    </w:rPr>
  </w:style>
  <w:style w:type="paragraph" w:customStyle="1" w:styleId="153">
    <w:name w:val="正标题 居中"/>
    <w:basedOn w:val="1"/>
    <w:next w:val="1"/>
    <w:qFormat/>
    <w:uiPriority w:val="0"/>
    <w:pPr>
      <w:spacing w:line="312" w:lineRule="auto"/>
      <w:jc w:val="center"/>
    </w:pPr>
    <w:rPr>
      <w:rFonts w:ascii="Times New Roman" w:eastAsia="宋体"/>
      <w:b/>
      <w:sz w:val="21"/>
    </w:rPr>
  </w:style>
  <w:style w:type="paragraph" w:customStyle="1" w:styleId="154">
    <w:name w:val="Char1"/>
    <w:basedOn w:val="1"/>
    <w:next w:val="134"/>
    <w:qFormat/>
    <w:uiPriority w:val="0"/>
    <w:pPr>
      <w:spacing w:line="240" w:lineRule="auto"/>
      <w:jc w:val="both"/>
    </w:pPr>
    <w:rPr>
      <w:rFonts w:ascii="Times New Roman" w:eastAsia="宋体"/>
      <w:sz w:val="21"/>
    </w:rPr>
  </w:style>
  <w:style w:type="paragraph" w:customStyle="1" w:styleId="155">
    <w:name w:val="内文正文"/>
    <w:next w:val="135"/>
    <w:qFormat/>
    <w:uiPriority w:val="0"/>
    <w:pPr>
      <w:autoSpaceDE w:val="0"/>
      <w:autoSpaceDN w:val="0"/>
      <w:spacing w:line="400" w:lineRule="exact"/>
      <w:ind w:firstLine="200"/>
      <w:jc w:val="both"/>
    </w:pPr>
    <w:rPr>
      <w:rFonts w:ascii="宋体" w:hAnsi="宋体" w:eastAsia="宋体" w:cs="宋体"/>
      <w:sz w:val="21"/>
      <w:lang w:val="en-US" w:eastAsia="zh-CN" w:bidi="ar-SA"/>
    </w:rPr>
  </w:style>
  <w:style w:type="paragraph" w:customStyle="1" w:styleId="156">
    <w:name w:val="章标题"/>
    <w:next w:val="1"/>
    <w:qFormat/>
    <w:uiPriority w:val="0"/>
    <w:pPr>
      <w:spacing w:before="50" w:after="50"/>
      <w:jc w:val="both"/>
      <w:outlineLvl w:val="1"/>
    </w:pPr>
    <w:rPr>
      <w:rFonts w:ascii="黑体" w:hAnsi="宋体" w:eastAsia="宋体" w:cs="宋体"/>
      <w:b/>
      <w:sz w:val="21"/>
      <w:lang w:val="en-US" w:eastAsia="zh-CN" w:bidi="ar-SA"/>
    </w:rPr>
  </w:style>
  <w:style w:type="paragraph" w:customStyle="1" w:styleId="157">
    <w:name w:val="一级条标题"/>
    <w:next w:val="1"/>
    <w:qFormat/>
    <w:uiPriority w:val="0"/>
    <w:pPr>
      <w:jc w:val="both"/>
      <w:outlineLvl w:val="2"/>
    </w:pPr>
    <w:rPr>
      <w:rFonts w:ascii="黑体" w:hAnsi="宋体" w:eastAsia="宋体" w:cs="宋体"/>
      <w:b/>
      <w:sz w:val="21"/>
      <w:lang w:val="en-US" w:eastAsia="zh-CN" w:bidi="ar-SA"/>
    </w:rPr>
  </w:style>
  <w:style w:type="paragraph" w:customStyle="1" w:styleId="158">
    <w:name w:val="三级条标题"/>
    <w:next w:val="1"/>
    <w:qFormat/>
    <w:uiPriority w:val="0"/>
    <w:pPr>
      <w:ind w:left="105" w:hanging="1134"/>
      <w:jc w:val="both"/>
      <w:outlineLvl w:val="4"/>
    </w:pPr>
    <w:rPr>
      <w:rFonts w:ascii="黑体" w:hAnsi="宋体" w:eastAsia="黑体" w:cs="宋体"/>
      <w:b/>
      <w:sz w:val="21"/>
      <w:lang w:val="en-US" w:eastAsia="zh-CN" w:bidi="ar-SA"/>
    </w:rPr>
  </w:style>
  <w:style w:type="paragraph" w:customStyle="1" w:styleId="159">
    <w:name w:val="四级条标题"/>
    <w:next w:val="1"/>
    <w:qFormat/>
    <w:uiPriority w:val="0"/>
    <w:pPr>
      <w:ind w:left="1021" w:hanging="1021"/>
      <w:jc w:val="both"/>
      <w:outlineLvl w:val="5"/>
    </w:pPr>
    <w:rPr>
      <w:rFonts w:ascii="黑体" w:hAnsi="宋体" w:eastAsia="黑体" w:cs="宋体"/>
      <w:b/>
      <w:sz w:val="21"/>
      <w:lang w:val="en-US" w:eastAsia="zh-CN" w:bidi="ar-SA"/>
    </w:rPr>
  </w:style>
  <w:style w:type="paragraph" w:customStyle="1" w:styleId="160">
    <w:name w:val="五级条标题"/>
    <w:next w:val="1"/>
    <w:qFormat/>
    <w:uiPriority w:val="0"/>
    <w:pPr>
      <w:jc w:val="both"/>
      <w:outlineLvl w:val="6"/>
    </w:pPr>
    <w:rPr>
      <w:rFonts w:ascii="黑体" w:hAnsi="宋体" w:eastAsia="黑体" w:cs="宋体"/>
      <w:b/>
      <w:sz w:val="21"/>
      <w:lang w:val="en-US" w:eastAsia="zh-CN" w:bidi="ar-SA"/>
    </w:rPr>
  </w:style>
  <w:style w:type="paragraph" w:customStyle="1" w:styleId="161">
    <w:name w:val="样式3"/>
    <w:basedOn w:val="1"/>
    <w:next w:val="142"/>
    <w:qFormat/>
    <w:uiPriority w:val="0"/>
    <w:pPr>
      <w:widowControl/>
      <w:spacing w:before="30" w:after="30" w:line="300" w:lineRule="auto"/>
      <w:ind w:left="360" w:hanging="360"/>
      <w:jc w:val="both"/>
      <w:outlineLvl w:val="2"/>
    </w:pPr>
    <w:rPr>
      <w:rFonts w:ascii="Times New Roman" w:eastAsia="宋体"/>
      <w:color w:val="000000"/>
    </w:rPr>
  </w:style>
  <w:style w:type="character" w:customStyle="1" w:styleId="162">
    <w:name w:val="正文缩进 Char1"/>
    <w:qFormat/>
    <w:uiPriority w:val="0"/>
    <w:rPr>
      <w:sz w:val="20"/>
    </w:rPr>
  </w:style>
  <w:style w:type="character" w:customStyle="1" w:styleId="163">
    <w:name w:val="首行缩进:  2 字符 Char Char"/>
    <w:qFormat/>
    <w:uiPriority w:val="0"/>
    <w:rPr>
      <w:sz w:val="20"/>
    </w:rPr>
  </w:style>
  <w:style w:type="paragraph" w:customStyle="1" w:styleId="164">
    <w:name w:val="正文居中"/>
    <w:basedOn w:val="1"/>
    <w:next w:val="145"/>
    <w:qFormat/>
    <w:uiPriority w:val="0"/>
    <w:pPr>
      <w:spacing w:line="312" w:lineRule="auto"/>
      <w:jc w:val="center"/>
    </w:pPr>
    <w:rPr>
      <w:rFonts w:ascii="Calibri" w:eastAsia="宋体"/>
      <w:b/>
      <w:sz w:val="21"/>
    </w:rPr>
  </w:style>
  <w:style w:type="paragraph" w:customStyle="1" w:styleId="165">
    <w:name w:val="正文文本 311"/>
    <w:basedOn w:val="1"/>
    <w:next w:val="146"/>
    <w:qFormat/>
    <w:uiPriority w:val="0"/>
    <w:pPr>
      <w:spacing w:line="360" w:lineRule="auto"/>
      <w:jc w:val="center"/>
    </w:pPr>
    <w:rPr>
      <w:rFonts w:ascii="黑体"/>
      <w:b/>
      <w:color w:val="FF0000"/>
      <w:u w:val="single"/>
    </w:rPr>
  </w:style>
  <w:style w:type="character" w:customStyle="1" w:styleId="166">
    <w:name w:val="正文首行缩进 Char"/>
    <w:basedOn w:val="118"/>
    <w:link w:val="51"/>
    <w:qFormat/>
    <w:uiPriority w:val="0"/>
    <w:rPr>
      <w:rFonts w:ascii="宋体" w:hAnsi="宋体" w:eastAsia="宋体" w:cs="宋体"/>
      <w:kern w:val="0"/>
      <w:sz w:val="24"/>
      <w:szCs w:val="20"/>
    </w:rPr>
  </w:style>
  <w:style w:type="paragraph" w:customStyle="1" w:styleId="167">
    <w:name w:val="列出段落1"/>
    <w:basedOn w:val="1"/>
    <w:next w:val="149"/>
    <w:qFormat/>
    <w:uiPriority w:val="0"/>
    <w:pPr>
      <w:spacing w:line="240" w:lineRule="auto"/>
      <w:ind w:firstLine="420"/>
      <w:jc w:val="both"/>
    </w:pPr>
    <w:rPr>
      <w:rFonts w:ascii="Calibri" w:eastAsia="宋体"/>
      <w:sz w:val="21"/>
    </w:rPr>
  </w:style>
  <w:style w:type="paragraph" w:customStyle="1" w:styleId="168">
    <w:name w:val="标题2"/>
    <w:basedOn w:val="1"/>
    <w:next w:val="150"/>
    <w:qFormat/>
    <w:uiPriority w:val="0"/>
    <w:pPr>
      <w:spacing w:line="240" w:lineRule="auto"/>
      <w:ind w:left="720" w:hanging="720"/>
      <w:jc w:val="both"/>
    </w:pPr>
    <w:rPr>
      <w:rFonts w:ascii="Times New Roman" w:eastAsia="宋体"/>
    </w:rPr>
  </w:style>
  <w:style w:type="paragraph" w:customStyle="1" w:styleId="169">
    <w:name w:val="标题3"/>
    <w:basedOn w:val="1"/>
    <w:next w:val="151"/>
    <w:qFormat/>
    <w:uiPriority w:val="0"/>
    <w:pPr>
      <w:spacing w:line="240" w:lineRule="auto"/>
      <w:ind w:left="720" w:hanging="720"/>
      <w:jc w:val="both"/>
    </w:pPr>
    <w:rPr>
      <w:rFonts w:ascii="Times New Roman" w:eastAsia="宋体"/>
      <w:sz w:val="21"/>
    </w:rPr>
  </w:style>
  <w:style w:type="paragraph" w:customStyle="1" w:styleId="170">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1">
    <w:name w:val="样式1 Char"/>
    <w:link w:val="131"/>
    <w:qFormat/>
    <w:uiPriority w:val="0"/>
    <w:rPr>
      <w:rFonts w:ascii="黑体" w:hAnsi="宋体" w:eastAsia="黑体" w:cs="Times New Roman"/>
      <w:kern w:val="0"/>
      <w:sz w:val="28"/>
      <w:szCs w:val="20"/>
    </w:rPr>
  </w:style>
  <w:style w:type="character" w:customStyle="1" w:styleId="172">
    <w:name w:val="标题 Char"/>
    <w:basedOn w:val="56"/>
    <w:link w:val="49"/>
    <w:qFormat/>
    <w:uiPriority w:val="0"/>
    <w:rPr>
      <w:rFonts w:ascii="Arial" w:hAnsi="Arial" w:eastAsia="宋体" w:cs="Times New Roman"/>
      <w:b/>
      <w:sz w:val="32"/>
      <w:szCs w:val="20"/>
    </w:rPr>
  </w:style>
  <w:style w:type="paragraph" w:customStyle="1" w:styleId="173">
    <w:name w:val="Char Char Char Char"/>
    <w:basedOn w:val="1"/>
    <w:qFormat/>
    <w:uiPriority w:val="0"/>
    <w:pPr>
      <w:adjustRightInd w:val="0"/>
      <w:textAlignment w:val="baseline"/>
    </w:pPr>
    <w:rPr>
      <w:rFonts w:ascii="Times New Roman" w:hAnsi="Times New Roman" w:eastAsia="宋体" w:cs="Times New Roman"/>
    </w:rPr>
  </w:style>
  <w:style w:type="character" w:customStyle="1" w:styleId="174">
    <w:name w:val="articlebody3"/>
    <w:basedOn w:val="56"/>
    <w:qFormat/>
    <w:uiPriority w:val="0"/>
    <w:rPr>
      <w:spacing w:val="360"/>
      <w:sz w:val="21"/>
      <w:szCs w:val="21"/>
    </w:rPr>
  </w:style>
  <w:style w:type="paragraph" w:customStyle="1" w:styleId="175">
    <w:name w:val="样式 标题 1 + (西文) 宋体 五号"/>
    <w:basedOn w:val="2"/>
    <w:qFormat/>
    <w:uiPriority w:val="0"/>
    <w:pPr>
      <w:keepLines/>
      <w:widowControl/>
      <w:spacing w:before="120" w:after="240" w:line="360" w:lineRule="auto"/>
      <w:jc w:val="center"/>
    </w:pPr>
    <w:rPr>
      <w:rFonts w:ascii="宋体" w:eastAsia="宋体" w:cs="Times New Roman"/>
      <w:bCs/>
      <w:kern w:val="44"/>
      <w:sz w:val="28"/>
      <w:szCs w:val="28"/>
    </w:rPr>
  </w:style>
  <w:style w:type="paragraph" w:customStyle="1" w:styleId="176">
    <w:name w:val="WPSOffice手动目录 1"/>
    <w:qFormat/>
    <w:uiPriority w:val="0"/>
    <w:rPr>
      <w:rFonts w:ascii="Times New Roman" w:hAnsi="Times New Roman" w:eastAsia="宋体" w:cs="Times New Roman"/>
      <w:lang w:val="en-US" w:eastAsia="zh-CN" w:bidi="ar-SA"/>
    </w:rPr>
  </w:style>
  <w:style w:type="paragraph" w:customStyle="1" w:styleId="177">
    <w:name w:val="xl25"/>
    <w:basedOn w:val="1"/>
    <w:qFormat/>
    <w:uiPriority w:val="0"/>
    <w:pPr>
      <w:widowControl/>
      <w:pBdr>
        <w:bottom w:val="single" w:color="auto" w:sz="4" w:space="0"/>
        <w:right w:val="single" w:color="auto" w:sz="4" w:space="0"/>
      </w:pBdr>
      <w:spacing w:before="100" w:beforeAutospacing="1" w:after="100" w:afterAutospacing="1"/>
    </w:pPr>
    <w:rPr>
      <w:rFonts w:ascii="宋体" w:hAnsi="宋体"/>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1454</Words>
  <Characters>1517</Characters>
  <Lines>178</Lines>
  <Paragraphs>50</Paragraphs>
  <TotalTime>0</TotalTime>
  <ScaleCrop>false</ScaleCrop>
  <LinksUpToDate>false</LinksUpToDate>
  <CharactersWithSpaces>1621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2021-08-16T07:28:00Z</dcterms:created>
  <dc:creator>wangjian</dc:creator>
  <cp:lastModifiedBy>紫水晶</cp:lastModifiedBy>
  <cp:lastPrinted>2021-08-31T00:23:00Z</cp:lastPrinted>
  <dcterms:modified xsi:type="dcterms:W3CDTF">2024-12-17T01:36:09Z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BE3FFD33BDA540CF99733ED8AE930A91_12</vt:lpwstr>
  </property>
</Properties>
</file>