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96C20">
      <w:pPr>
        <w:snapToGrid w:val="0"/>
        <w:spacing w:line="360" w:lineRule="auto"/>
        <w:jc w:val="center"/>
        <w:rPr>
          <w:rFonts w:ascii="宋体" w:eastAsia="宋体"/>
          <w:b/>
          <w:sz w:val="48"/>
        </w:rPr>
      </w:pPr>
    </w:p>
    <w:p w14:paraId="2512C17E">
      <w:pPr>
        <w:snapToGrid w:val="0"/>
        <w:spacing w:line="360" w:lineRule="auto"/>
        <w:jc w:val="center"/>
        <w:rPr>
          <w:rFonts w:ascii="宋体" w:eastAsia="宋体"/>
          <w:b/>
          <w:sz w:val="48"/>
        </w:rPr>
      </w:pPr>
      <w:r>
        <w:rPr>
          <w:rFonts w:hint="eastAsia"/>
          <w:sz w:val="52"/>
          <w:szCs w:val="52"/>
        </w:rPr>
        <w:t>温州天达环保科技有限公司</w:t>
      </w:r>
    </w:p>
    <w:p w14:paraId="1858DAF8">
      <w:pPr>
        <w:autoSpaceDE w:val="0"/>
        <w:autoSpaceDN w:val="0"/>
        <w:adjustRightInd w:val="0"/>
        <w:spacing w:line="360" w:lineRule="auto"/>
        <w:jc w:val="center"/>
        <w:rPr>
          <w:rFonts w:ascii="宋体" w:eastAsia="宋体"/>
          <w:b/>
          <w:sz w:val="52"/>
          <w:szCs w:val="52"/>
        </w:rPr>
      </w:pPr>
      <w:r>
        <w:rPr>
          <w:rFonts w:hint="eastAsia" w:ascii="宋体" w:eastAsia="宋体"/>
          <w:b/>
          <w:sz w:val="52"/>
          <w:szCs w:val="52"/>
        </w:rPr>
        <w:t>辅助</w:t>
      </w:r>
      <w:r>
        <w:rPr>
          <w:rFonts w:hint="eastAsia" w:ascii="宋体" w:eastAsia="宋体"/>
          <w:b/>
          <w:bCs/>
          <w:sz w:val="52"/>
          <w:szCs w:val="52"/>
        </w:rPr>
        <w:t>运行</w:t>
      </w:r>
      <w:r>
        <w:rPr>
          <w:rFonts w:hint="eastAsia" w:ascii="宋体" w:eastAsia="宋体"/>
          <w:b/>
          <w:sz w:val="52"/>
          <w:szCs w:val="52"/>
        </w:rPr>
        <w:t>及维护检修</w:t>
      </w:r>
      <w:r>
        <w:rPr>
          <w:rFonts w:hint="eastAsia" w:ascii="宋体" w:eastAsia="宋体"/>
          <w:b/>
          <w:sz w:val="52"/>
          <w:szCs w:val="52"/>
          <w:lang w:val="en-US" w:eastAsia="zh-CN"/>
        </w:rPr>
        <w:t>外包</w:t>
      </w:r>
    </w:p>
    <w:p w14:paraId="2C848339">
      <w:pPr>
        <w:snapToGrid w:val="0"/>
        <w:spacing w:line="360" w:lineRule="auto"/>
        <w:jc w:val="center"/>
        <w:rPr>
          <w:rFonts w:ascii="宋体" w:eastAsia="宋体"/>
          <w:b/>
          <w:sz w:val="48"/>
        </w:rPr>
      </w:pPr>
      <w:r>
        <w:rPr>
          <w:rFonts w:hint="eastAsia" w:ascii="宋体" w:eastAsia="宋体"/>
          <w:b/>
          <w:sz w:val="52"/>
          <w:szCs w:val="52"/>
        </w:rPr>
        <w:t>技术</w:t>
      </w:r>
      <w:r>
        <w:rPr>
          <w:rFonts w:hint="eastAsia" w:ascii="宋体" w:eastAsia="宋体"/>
          <w:b/>
          <w:bCs/>
          <w:sz w:val="52"/>
          <w:szCs w:val="52"/>
        </w:rPr>
        <w:t>规范</w:t>
      </w:r>
    </w:p>
    <w:p w14:paraId="1F71FDF6">
      <w:pPr>
        <w:snapToGrid w:val="0"/>
        <w:spacing w:line="360" w:lineRule="auto"/>
        <w:jc w:val="center"/>
        <w:rPr>
          <w:rFonts w:ascii="宋体" w:eastAsia="宋体"/>
          <w:b/>
          <w:sz w:val="48"/>
        </w:rPr>
      </w:pPr>
    </w:p>
    <w:p w14:paraId="3A2D927F">
      <w:pPr>
        <w:ind w:firstLine="2233" w:firstLineChars="695"/>
        <w:rPr>
          <w:rFonts w:ascii="宋体"/>
          <w:b/>
          <w:sz w:val="32"/>
          <w:szCs w:val="32"/>
        </w:rPr>
      </w:pPr>
      <w:r>
        <w:rPr>
          <w:rFonts w:hint="eastAsia" w:ascii="宋体"/>
          <w:b/>
          <w:sz w:val="32"/>
          <w:szCs w:val="32"/>
        </w:rPr>
        <w:t>编  制：</w:t>
      </w:r>
      <w:r>
        <w:rPr>
          <w:rFonts w:hint="eastAsia" w:ascii="宋体"/>
          <w:b/>
          <w:sz w:val="32"/>
          <w:szCs w:val="32"/>
          <w:u w:val="single"/>
        </w:rPr>
        <w:t xml:space="preserve">                </w:t>
      </w:r>
      <w:r>
        <w:rPr>
          <w:rFonts w:hint="eastAsia" w:ascii="宋体"/>
          <w:b/>
          <w:sz w:val="32"/>
          <w:szCs w:val="32"/>
        </w:rPr>
        <w:t xml:space="preserve">   </w:t>
      </w:r>
    </w:p>
    <w:p w14:paraId="0EF3D213">
      <w:pPr>
        <w:ind w:firstLine="1581" w:firstLineChars="492"/>
        <w:rPr>
          <w:rFonts w:ascii="宋体"/>
          <w:b/>
          <w:sz w:val="32"/>
          <w:szCs w:val="32"/>
        </w:rPr>
      </w:pPr>
    </w:p>
    <w:p w14:paraId="089E3570">
      <w:pPr>
        <w:ind w:firstLine="2223" w:firstLineChars="692"/>
        <w:rPr>
          <w:rFonts w:ascii="宋体"/>
          <w:b/>
          <w:sz w:val="32"/>
          <w:szCs w:val="32"/>
        </w:rPr>
      </w:pPr>
      <w:r>
        <w:rPr>
          <w:rFonts w:hint="eastAsia" w:ascii="宋体"/>
          <w:b/>
          <w:sz w:val="32"/>
          <w:szCs w:val="32"/>
        </w:rPr>
        <w:t>审  核：</w:t>
      </w:r>
      <w:r>
        <w:rPr>
          <w:rFonts w:hint="eastAsia" w:ascii="宋体"/>
          <w:b/>
          <w:sz w:val="32"/>
          <w:szCs w:val="32"/>
          <w:u w:val="single"/>
        </w:rPr>
        <w:t xml:space="preserve">                </w:t>
      </w:r>
      <w:r>
        <w:rPr>
          <w:rFonts w:hint="eastAsia" w:ascii="宋体"/>
          <w:b/>
          <w:sz w:val="32"/>
          <w:szCs w:val="32"/>
        </w:rPr>
        <w:t xml:space="preserve">        </w:t>
      </w:r>
    </w:p>
    <w:p w14:paraId="6AA340CF">
      <w:pPr>
        <w:ind w:firstLine="1581" w:firstLineChars="492"/>
        <w:rPr>
          <w:rFonts w:ascii="宋体"/>
          <w:b/>
          <w:sz w:val="32"/>
          <w:szCs w:val="32"/>
        </w:rPr>
      </w:pPr>
    </w:p>
    <w:p w14:paraId="134B7D1D">
      <w:pPr>
        <w:ind w:firstLine="2223" w:firstLineChars="692"/>
        <w:rPr>
          <w:rFonts w:ascii="宋体"/>
          <w:b/>
          <w:sz w:val="32"/>
          <w:szCs w:val="32"/>
        </w:rPr>
      </w:pPr>
      <w:r>
        <w:rPr>
          <w:rFonts w:hint="eastAsia" w:ascii="宋体"/>
          <w:b/>
          <w:sz w:val="32"/>
          <w:szCs w:val="32"/>
        </w:rPr>
        <w:t>批  准：</w:t>
      </w:r>
      <w:r>
        <w:rPr>
          <w:rFonts w:hint="eastAsia" w:ascii="宋体"/>
          <w:b/>
          <w:sz w:val="32"/>
          <w:szCs w:val="32"/>
          <w:u w:val="single"/>
        </w:rPr>
        <w:t xml:space="preserve">                </w:t>
      </w:r>
      <w:r>
        <w:rPr>
          <w:rFonts w:hint="eastAsia" w:ascii="宋体"/>
          <w:b/>
          <w:sz w:val="32"/>
          <w:szCs w:val="32"/>
        </w:rPr>
        <w:t xml:space="preserve"> </w:t>
      </w:r>
    </w:p>
    <w:p w14:paraId="3895D8CC">
      <w:pPr>
        <w:spacing w:line="460" w:lineRule="exact"/>
      </w:pPr>
    </w:p>
    <w:p w14:paraId="58586083">
      <w:pPr>
        <w:spacing w:line="460" w:lineRule="exact"/>
      </w:pPr>
    </w:p>
    <w:p w14:paraId="2120C38E">
      <w:pPr>
        <w:spacing w:line="460" w:lineRule="exact"/>
      </w:pPr>
    </w:p>
    <w:p w14:paraId="797AB0B2">
      <w:pPr>
        <w:spacing w:line="460" w:lineRule="exact"/>
      </w:pPr>
    </w:p>
    <w:p w14:paraId="73C0DFD6">
      <w:pPr>
        <w:spacing w:line="460" w:lineRule="exact"/>
      </w:pPr>
    </w:p>
    <w:p w14:paraId="0CEB284F">
      <w:pPr>
        <w:spacing w:line="460" w:lineRule="exact"/>
      </w:pPr>
    </w:p>
    <w:p w14:paraId="6C1AF33D">
      <w:pPr>
        <w:spacing w:line="460" w:lineRule="exact"/>
      </w:pPr>
    </w:p>
    <w:p w14:paraId="4F590573">
      <w:pPr>
        <w:spacing w:line="460" w:lineRule="exact"/>
        <w:jc w:val="center"/>
        <w:rPr>
          <w:rFonts w:ascii="黑体"/>
          <w:bCs/>
          <w:spacing w:val="52"/>
          <w:sz w:val="30"/>
          <w:szCs w:val="30"/>
        </w:rPr>
      </w:pPr>
      <w:r>
        <w:rPr>
          <w:rFonts w:hint="eastAsia" w:ascii="黑体"/>
          <w:bCs/>
          <w:spacing w:val="52"/>
          <w:sz w:val="30"/>
          <w:szCs w:val="30"/>
          <w:u w:val="none"/>
          <w:lang w:val="en-US" w:eastAsia="zh-CN"/>
        </w:rPr>
        <w:t>温州天达环保科技</w:t>
      </w:r>
      <w:r>
        <w:rPr>
          <w:rFonts w:hint="eastAsia" w:ascii="黑体"/>
          <w:bCs/>
          <w:spacing w:val="52"/>
          <w:sz w:val="30"/>
          <w:szCs w:val="30"/>
        </w:rPr>
        <w:t>有限公司</w:t>
      </w:r>
    </w:p>
    <w:p w14:paraId="757B8D30">
      <w:pPr>
        <w:spacing w:line="460" w:lineRule="exact"/>
        <w:jc w:val="center"/>
        <w:rPr>
          <w:b/>
          <w:spacing w:val="14"/>
          <w:sz w:val="30"/>
          <w:szCs w:val="30"/>
        </w:rPr>
      </w:pPr>
    </w:p>
    <w:p w14:paraId="27CAA345">
      <w:pPr>
        <w:spacing w:line="460" w:lineRule="exact"/>
        <w:jc w:val="center"/>
        <w:rPr>
          <w:b/>
          <w:spacing w:val="14"/>
          <w:sz w:val="30"/>
          <w:szCs w:val="30"/>
        </w:rPr>
      </w:pPr>
      <w:r>
        <w:rPr>
          <w:rFonts w:hint="eastAsia"/>
          <w:b/>
          <w:spacing w:val="14"/>
          <w:sz w:val="30"/>
          <w:szCs w:val="30"/>
          <w:lang w:val="en-US" w:eastAsia="zh-CN"/>
        </w:rPr>
        <w:t>2024</w:t>
      </w:r>
      <w:r>
        <w:rPr>
          <w:rFonts w:hint="eastAsia"/>
          <w:b/>
          <w:spacing w:val="14"/>
          <w:sz w:val="30"/>
          <w:szCs w:val="30"/>
        </w:rPr>
        <w:t>年</w:t>
      </w:r>
      <w:r>
        <w:rPr>
          <w:rFonts w:hint="eastAsia"/>
          <w:b/>
          <w:spacing w:val="14"/>
          <w:sz w:val="30"/>
          <w:szCs w:val="30"/>
          <w:lang w:val="en-US" w:eastAsia="zh-CN"/>
        </w:rPr>
        <w:t>09</w:t>
      </w:r>
      <w:r>
        <w:rPr>
          <w:rFonts w:hint="eastAsia"/>
          <w:b/>
          <w:spacing w:val="14"/>
          <w:sz w:val="30"/>
          <w:szCs w:val="30"/>
        </w:rPr>
        <w:t>月</w:t>
      </w:r>
    </w:p>
    <w:p w14:paraId="1FDE1E0C">
      <w:pPr>
        <w:snapToGrid w:val="0"/>
        <w:spacing w:line="360" w:lineRule="auto"/>
        <w:jc w:val="center"/>
        <w:rPr>
          <w:rFonts w:ascii="宋体" w:eastAsia="宋体"/>
          <w:b/>
          <w:sz w:val="32"/>
        </w:rPr>
      </w:pPr>
    </w:p>
    <w:p w14:paraId="731CE96D">
      <w:pPr>
        <w:snapToGrid w:val="0"/>
        <w:spacing w:line="360" w:lineRule="auto"/>
        <w:jc w:val="center"/>
        <w:rPr>
          <w:rFonts w:ascii="宋体" w:eastAsia="宋体"/>
          <w:b/>
          <w:sz w:val="32"/>
        </w:rPr>
      </w:pPr>
    </w:p>
    <w:p w14:paraId="37944EF8">
      <w:pPr>
        <w:snapToGrid w:val="0"/>
        <w:spacing w:line="360" w:lineRule="auto"/>
        <w:jc w:val="both"/>
        <w:rPr>
          <w:rFonts w:ascii="宋体" w:eastAsia="宋体"/>
          <w:b/>
          <w:sz w:val="32"/>
        </w:rPr>
      </w:pPr>
      <w:r>
        <w:rPr>
          <w:rFonts w:hint="eastAsia" w:ascii="宋体" w:eastAsia="宋体"/>
          <w:b/>
          <w:sz w:val="32"/>
        </w:rPr>
        <w:t>1</w:t>
      </w:r>
      <w:r>
        <w:rPr>
          <w:rFonts w:ascii="宋体" w:eastAsia="宋体"/>
          <w:b/>
          <w:sz w:val="32"/>
        </w:rPr>
        <w:t>.总则</w:t>
      </w:r>
    </w:p>
    <w:p w14:paraId="473D0052">
      <w:pPr>
        <w:pStyle w:val="82"/>
        <w:widowControl w:val="0"/>
        <w:numPr>
          <w:ilvl w:val="1"/>
          <w:numId w:val="2"/>
        </w:numPr>
        <w:wordWrap/>
        <w:adjustRightInd w:val="0"/>
        <w:snapToGrid w:val="0"/>
        <w:spacing w:line="360" w:lineRule="auto"/>
        <w:ind w:left="0" w:firstLine="0"/>
        <w:textAlignment w:val="baseline"/>
        <w:outlineLvl w:val="9"/>
        <w:rPr>
          <w:szCs w:val="21"/>
        </w:rPr>
      </w:pPr>
      <w:r>
        <w:rPr>
          <w:rFonts w:hint="eastAsia"/>
          <w:szCs w:val="21"/>
        </w:rPr>
        <w:t>本技术规范适用于</w:t>
      </w:r>
      <w:r>
        <w:rPr>
          <w:rFonts w:hint="eastAsia"/>
          <w:szCs w:val="21"/>
          <w:lang w:val="en-US" w:eastAsia="zh-CN"/>
        </w:rPr>
        <w:t>温州天达环保科技有限</w:t>
      </w:r>
      <w:r>
        <w:rPr>
          <w:rFonts w:hint="eastAsia"/>
          <w:szCs w:val="21"/>
        </w:rPr>
        <w:t>公司辅助运行及维护检修服务工作。</w:t>
      </w:r>
    </w:p>
    <w:p w14:paraId="2A6A9AE4">
      <w:pPr>
        <w:pStyle w:val="82"/>
        <w:widowControl w:val="0"/>
        <w:numPr>
          <w:ilvl w:val="1"/>
          <w:numId w:val="2"/>
        </w:numPr>
        <w:wordWrap/>
        <w:adjustRightInd w:val="0"/>
        <w:snapToGrid w:val="0"/>
        <w:spacing w:line="360" w:lineRule="auto"/>
        <w:ind w:left="0" w:firstLine="0"/>
        <w:textAlignment w:val="baseline"/>
        <w:outlineLvl w:val="9"/>
        <w:rPr>
          <w:szCs w:val="21"/>
        </w:rPr>
      </w:pPr>
      <w:r>
        <w:rPr>
          <w:rFonts w:hint="eastAsia"/>
          <w:szCs w:val="21"/>
        </w:rPr>
        <w:t>本技术规范仅提出了最低限度的技术要求，并未对一切技术细节做出详尽规定，也未充分引述有关标准和规范的条文。投标人应保证提供符合法律法规、标准和本技术规范要求的优质服务。</w:t>
      </w:r>
    </w:p>
    <w:p w14:paraId="76B1AA15">
      <w:pPr>
        <w:pStyle w:val="82"/>
        <w:widowControl w:val="0"/>
        <w:numPr>
          <w:ilvl w:val="1"/>
          <w:numId w:val="2"/>
        </w:numPr>
        <w:wordWrap/>
        <w:adjustRightInd w:val="0"/>
        <w:snapToGrid w:val="0"/>
        <w:spacing w:line="360" w:lineRule="auto"/>
        <w:ind w:left="0" w:firstLine="0"/>
        <w:textAlignment w:val="baseline"/>
        <w:outlineLvl w:val="9"/>
        <w:rPr>
          <w:szCs w:val="21"/>
        </w:rPr>
      </w:pPr>
      <w:r>
        <w:rPr>
          <w:rFonts w:hint="eastAsia"/>
          <w:szCs w:val="21"/>
        </w:rPr>
        <w:t>本技术规范所使用的标准如遇与投标人所执行的标准不一致时，按较高标准执行。</w:t>
      </w:r>
    </w:p>
    <w:p w14:paraId="4ABF7370">
      <w:pPr>
        <w:pStyle w:val="82"/>
        <w:widowControl w:val="0"/>
        <w:numPr>
          <w:ilvl w:val="1"/>
          <w:numId w:val="2"/>
        </w:numPr>
        <w:wordWrap/>
        <w:adjustRightInd w:val="0"/>
        <w:snapToGrid w:val="0"/>
        <w:spacing w:line="360" w:lineRule="auto"/>
        <w:ind w:left="0" w:firstLine="0"/>
        <w:textAlignment w:val="baseline"/>
        <w:outlineLvl w:val="9"/>
        <w:rPr>
          <w:szCs w:val="21"/>
        </w:rPr>
      </w:pPr>
      <w:r>
        <w:rPr>
          <w:rFonts w:hint="eastAsia"/>
          <w:szCs w:val="21"/>
        </w:rPr>
        <w:t>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并在“差异表”中列出。</w:t>
      </w:r>
    </w:p>
    <w:p w14:paraId="3C06633C">
      <w:pPr>
        <w:pStyle w:val="82"/>
        <w:widowControl w:val="0"/>
        <w:numPr>
          <w:ilvl w:val="1"/>
          <w:numId w:val="2"/>
        </w:numPr>
        <w:wordWrap/>
        <w:adjustRightInd w:val="0"/>
        <w:snapToGrid w:val="0"/>
        <w:spacing w:line="360" w:lineRule="auto"/>
        <w:ind w:left="0" w:firstLine="0"/>
        <w:textAlignment w:val="baseline"/>
        <w:outlineLvl w:val="9"/>
        <w:rPr>
          <w:szCs w:val="21"/>
        </w:rPr>
      </w:pPr>
      <w:r>
        <w:rPr>
          <w:rFonts w:hint="eastAsia"/>
          <w:szCs w:val="21"/>
        </w:rPr>
        <w:t>投标人如对本招标文件有偏差</w:t>
      </w:r>
      <w:r>
        <w:rPr>
          <w:szCs w:val="21"/>
        </w:rPr>
        <w:t>(</w:t>
      </w:r>
      <w:r>
        <w:rPr>
          <w:rFonts w:hint="eastAsia"/>
          <w:szCs w:val="21"/>
        </w:rPr>
        <w:t>无论多少或微小</w:t>
      </w:r>
      <w:r>
        <w:rPr>
          <w:szCs w:val="21"/>
        </w:rPr>
        <w:t>)</w:t>
      </w:r>
      <w:r>
        <w:rPr>
          <w:rFonts w:hint="eastAsia"/>
          <w:szCs w:val="21"/>
        </w:rPr>
        <w:t>都必须清楚地表示在本招标文件的附件“技术差异表”中。否则招标人将认为投标人完全接受和同意本招标文件的要求。</w:t>
      </w:r>
    </w:p>
    <w:p w14:paraId="09058E12">
      <w:pPr>
        <w:numPr>
          <w:ilvl w:val="0"/>
          <w:numId w:val="0"/>
        </w:numPr>
        <w:snapToGrid w:val="0"/>
        <w:spacing w:line="360" w:lineRule="auto"/>
        <w:ind w:left="0" w:firstLine="0"/>
        <w:jc w:val="both"/>
        <w:outlineLvl w:val="9"/>
        <w:rPr>
          <w:rFonts w:ascii="宋体" w:eastAsia="宋体"/>
          <w:b/>
          <w:bCs w:val="0"/>
          <w:color w:val="auto"/>
          <w:sz w:val="32"/>
          <w:szCs w:val="21"/>
          <w:highlight w:val="none"/>
        </w:rPr>
      </w:pPr>
      <w:bookmarkStart w:id="0" w:name="_Toc29305253"/>
      <w:r>
        <w:rPr>
          <w:rFonts w:ascii="宋体" w:eastAsia="宋体"/>
          <w:b/>
          <w:bCs w:val="0"/>
          <w:color w:val="auto"/>
          <w:sz w:val="32"/>
          <w:szCs w:val="21"/>
        </w:rPr>
        <w:t>2.</w:t>
      </w:r>
      <w:r>
        <w:rPr>
          <w:rFonts w:hint="eastAsia" w:ascii="宋体" w:eastAsia="宋体"/>
          <w:b/>
          <w:bCs w:val="0"/>
          <w:color w:val="auto"/>
          <w:sz w:val="32"/>
          <w:szCs w:val="21"/>
        </w:rPr>
        <w:t>项目</w:t>
      </w:r>
      <w:r>
        <w:rPr>
          <w:rFonts w:hint="eastAsia" w:ascii="宋体" w:eastAsia="宋体"/>
          <w:b/>
          <w:bCs w:val="0"/>
          <w:color w:val="auto"/>
          <w:sz w:val="32"/>
          <w:szCs w:val="21"/>
          <w:highlight w:val="none"/>
        </w:rPr>
        <w:t>概述</w:t>
      </w:r>
      <w:bookmarkEnd w:id="0"/>
    </w:p>
    <w:p w14:paraId="057F35D8">
      <w:pPr>
        <w:snapToGrid w:val="0"/>
        <w:spacing w:before="63" w:beforeLines="20"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温州天达环保科技有限公司创建于2004年6月11日，是浙江省能源集团有限公司的一家全资国有企业。公司主要从事粉煤灰、脱硫剂加工、脱硫石膏的综合利用以及相关新型建材产品的开发、生产等，产品有混凝土添加剂（二级粉煤灰）、超细粉煤灰、建筑石膏粉等。</w:t>
      </w:r>
    </w:p>
    <w:p w14:paraId="7C33BA62">
      <w:pPr>
        <w:snapToGrid w:val="0"/>
        <w:spacing w:before="63" w:beforeLines="20"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公司坐落于温州市乐清市磐石镇浙能温州发电厂内，公司主要业务是针对温州电厂二、三、四期六台机组发电所产生固体废弃物进行综合利用。</w:t>
      </w:r>
    </w:p>
    <w:p w14:paraId="672FCFE1">
      <w:pPr>
        <w:spacing w:line="520" w:lineRule="exact"/>
        <w:rPr>
          <w:rFonts w:hint="eastAsia" w:ascii="宋体" w:hAnsi="宋体" w:eastAsia="宋体" w:cs="宋体"/>
          <w:b/>
          <w:bCs/>
          <w:sz w:val="21"/>
          <w:szCs w:val="21"/>
          <w:lang w:val="en-US" w:eastAsia="zh-CN" w:bidi="ar-SA"/>
        </w:rPr>
      </w:pPr>
      <w:r>
        <w:rPr>
          <w:rFonts w:hint="eastAsia" w:ascii="宋体" w:eastAsia="宋体" w:cs="宋体"/>
          <w:b/>
          <w:bCs/>
          <w:sz w:val="21"/>
          <w:szCs w:val="21"/>
          <w:lang w:val="en-US" w:eastAsia="zh-CN" w:bidi="ar-SA"/>
        </w:rPr>
        <w:t>2.</w:t>
      </w:r>
      <w:r>
        <w:rPr>
          <w:rFonts w:hint="eastAsia" w:ascii="宋体" w:hAnsi="宋体" w:eastAsia="宋体" w:cs="宋体"/>
          <w:b/>
          <w:bCs/>
          <w:sz w:val="21"/>
          <w:szCs w:val="21"/>
          <w:lang w:val="en-US" w:eastAsia="zh-CN" w:bidi="ar-SA"/>
        </w:rPr>
        <w:t>1.脱硫剂加工</w:t>
      </w:r>
    </w:p>
    <w:p w14:paraId="55D03A40">
      <w:pPr>
        <w:spacing w:line="520" w:lineRule="exact"/>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1.1磨石粉厂1#磨石粉系统</w:t>
      </w:r>
    </w:p>
    <w:p w14:paraId="7AF0AC3F">
      <w:pPr>
        <w:spacing w:line="52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磨石粉厂1#磨石粉系统是浙能温州发电有限公司二、三期机组烟气脱硫工程的配套工程，为其提供脱硫使用的高品质石灰石粉，设计生产规模为年产石灰石粉12.1万吨（按年工作时间5500小时计）。设备于2005年初开始安装，2005年12月31日通过48小时连续试运行，现正常运行中。整个系统设1只混凝土石灰石料仓（贮量约1000吨/只），石灰石料仓采用钢筋混凝土结构 325目（90％以上通过）。经过主收尘器收集的合格的成品粉通过输送斜槽和斗式提升机送入石灰石粉仓；石灰石粉仓，采用平底砼结构。</w:t>
      </w:r>
    </w:p>
    <w:p w14:paraId="75D75A0A">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6KV厂用电源：工作电源来自温电部#5机6KV  5</w:t>
      </w:r>
      <w:r>
        <w:rPr>
          <w:rFonts w:hint="eastAsia" w:ascii="宋体" w:hAnsi="宋体" w:eastAsia="宋体" w:cs="宋体"/>
          <w:sz w:val="21"/>
          <w:szCs w:val="21"/>
          <w:lang w:val="en-US" w:eastAsia="zh-CN" w:bidi="ar-SA"/>
        </w:rPr>
        <w:t>B</w:t>
      </w:r>
      <w:r>
        <w:rPr>
          <w:rFonts w:hint="eastAsia" w:ascii="宋体" w:hAnsi="宋体" w:eastAsia="宋体" w:cs="宋体"/>
          <w:sz w:val="21"/>
          <w:szCs w:val="21"/>
          <w:lang w:val="zh-CN" w:eastAsia="zh-CN" w:bidi="ar-SA"/>
        </w:rPr>
        <w:t>段</w:t>
      </w:r>
    </w:p>
    <w:p w14:paraId="5207A7CF">
      <w:pPr>
        <w:spacing w:line="360" w:lineRule="auto"/>
        <w:ind w:firstLine="1995" w:firstLineChars="95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备用电源来自温电部#6机6KV  6</w:t>
      </w:r>
      <w:r>
        <w:rPr>
          <w:rFonts w:hint="eastAsia" w:ascii="宋体" w:hAnsi="宋体" w:eastAsia="宋体" w:cs="宋体"/>
          <w:sz w:val="21"/>
          <w:szCs w:val="21"/>
          <w:lang w:val="en-US" w:eastAsia="zh-CN" w:bidi="ar-SA"/>
        </w:rPr>
        <w:t>B</w:t>
      </w:r>
      <w:r>
        <w:rPr>
          <w:rFonts w:hint="eastAsia" w:ascii="宋体" w:hAnsi="宋体" w:eastAsia="宋体" w:cs="宋体"/>
          <w:sz w:val="21"/>
          <w:szCs w:val="21"/>
          <w:lang w:val="zh-CN" w:eastAsia="zh-CN" w:bidi="ar-SA"/>
        </w:rPr>
        <w:t>段</w:t>
      </w:r>
    </w:p>
    <w:p w14:paraId="1A1BCA14">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加热蒸汽来源：乐清市嘉隆供热有限公司</w:t>
      </w:r>
    </w:p>
    <w:p w14:paraId="051541E7">
      <w:pPr>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zh-CN" w:eastAsia="zh-CN" w:bidi="ar-SA"/>
        </w:rPr>
        <w:t>生活用水来源：三期灰库边生活用水就近接来</w:t>
      </w:r>
    </w:p>
    <w:p w14:paraId="6169D7E1">
      <w:pPr>
        <w:spacing w:line="520" w:lineRule="exact"/>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1.2磨石粉厂2#磨石粉系统</w:t>
      </w:r>
    </w:p>
    <w:p w14:paraId="423AEFC0">
      <w:pPr>
        <w:spacing w:line="520" w:lineRule="exact"/>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磨石粉厂2#磨石粉系统是浙能温州发电有限公司四期机组烟气脱硫工程的配套工程，为其提供脱硫使用的高品质石灰石粉，设计生产规模为年产石灰石粉13.7万吨（按年工作时间5500小时计），于2015年1月开始动工， 2015年6月2日投产。整个系统设1只混凝土石灰石料仓（贮量约1000吨/只），石灰石料仓采用钢筋混凝土结构 325目（90％以上通过）。经过主收尘器收集的合格的成品粉通过输送斜槽和斗式提升机送入石灰石粉仓；石灰石粉仓，采用平底砼结构。</w:t>
      </w:r>
    </w:p>
    <w:p w14:paraId="7B7AD442">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6KV厂用电源：工作电源来自温电部#5机6KV  5</w:t>
      </w:r>
      <w:r>
        <w:rPr>
          <w:rFonts w:hint="eastAsia" w:ascii="宋体" w:hAnsi="宋体" w:eastAsia="宋体" w:cs="宋体"/>
          <w:sz w:val="21"/>
          <w:szCs w:val="21"/>
          <w:lang w:val="en-US" w:eastAsia="zh-CN" w:bidi="ar-SA"/>
        </w:rPr>
        <w:t>B</w:t>
      </w:r>
      <w:r>
        <w:rPr>
          <w:rFonts w:hint="eastAsia" w:ascii="宋体" w:hAnsi="宋体" w:eastAsia="宋体" w:cs="宋体"/>
          <w:sz w:val="21"/>
          <w:szCs w:val="21"/>
          <w:lang w:val="zh-CN" w:eastAsia="zh-CN" w:bidi="ar-SA"/>
        </w:rPr>
        <w:t>段</w:t>
      </w:r>
    </w:p>
    <w:p w14:paraId="2F21F708">
      <w:pPr>
        <w:spacing w:line="360" w:lineRule="auto"/>
        <w:ind w:firstLine="1995" w:firstLineChars="95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备用电源来自温电部#6机6KV  6</w:t>
      </w:r>
      <w:r>
        <w:rPr>
          <w:rFonts w:hint="eastAsia" w:ascii="宋体" w:hAnsi="宋体" w:eastAsia="宋体" w:cs="宋体"/>
          <w:sz w:val="21"/>
          <w:szCs w:val="21"/>
          <w:lang w:val="en-US" w:eastAsia="zh-CN" w:bidi="ar-SA"/>
        </w:rPr>
        <w:t>B</w:t>
      </w:r>
      <w:r>
        <w:rPr>
          <w:rFonts w:hint="eastAsia" w:ascii="宋体" w:hAnsi="宋体" w:eastAsia="宋体" w:cs="宋体"/>
          <w:sz w:val="21"/>
          <w:szCs w:val="21"/>
          <w:lang w:val="zh-CN" w:eastAsia="zh-CN" w:bidi="ar-SA"/>
        </w:rPr>
        <w:t>段</w:t>
      </w:r>
    </w:p>
    <w:p w14:paraId="448CBE38">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加热蒸汽来源：乐清市嘉隆供热有限公司</w:t>
      </w:r>
    </w:p>
    <w:p w14:paraId="24C3691E">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生活用水来源：三期灰库边生活用水就近接来</w:t>
      </w:r>
    </w:p>
    <w:p w14:paraId="4E742A6F">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r>
        <w:rPr>
          <w:rFonts w:hint="eastAsia" w:ascii="宋体" w:eastAsia="宋体" w:cs="宋体"/>
          <w:b/>
          <w:bCs/>
          <w:sz w:val="21"/>
          <w:szCs w:val="21"/>
          <w:lang w:val="en-US" w:eastAsia="zh-CN" w:bidi="ar-SA"/>
        </w:rPr>
        <w:t>2.</w:t>
      </w:r>
      <w:r>
        <w:rPr>
          <w:rFonts w:hint="eastAsia" w:ascii="宋体" w:hAnsi="宋体" w:eastAsia="宋体" w:cs="宋体"/>
          <w:b/>
          <w:bCs/>
          <w:sz w:val="21"/>
          <w:szCs w:val="21"/>
          <w:lang w:val="en-US" w:eastAsia="zh-CN" w:bidi="ar-SA"/>
        </w:rPr>
        <w:t>2.固废中心弃物综合利用</w:t>
      </w:r>
    </w:p>
    <w:p w14:paraId="546A8307">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固废中心是浙能温州发电有限公司四期固体废弃物综合利用工程的配套工程。设计规模：7万吨/年干渣磨细生产线、32万吨/年粉煤灰分选系统以及12.8万吨/年粗灰磨细系统；2×1400t细灰库、1x1400t原灰库、1x1000 t粗灰库；1x1300t干渣库、石膏堆棚、地磅、空压机站等。</w:t>
      </w:r>
    </w:p>
    <w:p w14:paraId="01E0DA46">
      <w:pPr>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固废中心项目于2015年初开始施工。</w:t>
      </w:r>
    </w:p>
    <w:p w14:paraId="1C72E47B">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 xml:space="preserve">6KV厂用电源：工作电源进线（一）来自温电6KV </w:t>
      </w:r>
      <w:r>
        <w:rPr>
          <w:rFonts w:hint="eastAsia" w:ascii="宋体" w:hAnsi="宋体" w:eastAsia="宋体" w:cs="宋体"/>
          <w:sz w:val="21"/>
          <w:szCs w:val="21"/>
          <w:lang w:val="en-US" w:eastAsia="zh-CN" w:bidi="ar-SA"/>
        </w:rPr>
        <w:t>7A</w:t>
      </w:r>
      <w:r>
        <w:rPr>
          <w:rFonts w:hint="eastAsia" w:ascii="宋体" w:hAnsi="宋体" w:eastAsia="宋体" w:cs="宋体"/>
          <w:sz w:val="21"/>
          <w:szCs w:val="21"/>
          <w:lang w:val="zh-CN" w:eastAsia="zh-CN" w:bidi="ar-SA"/>
        </w:rPr>
        <w:t>段</w:t>
      </w:r>
    </w:p>
    <w:p w14:paraId="6C10C43A">
      <w:pPr>
        <w:spacing w:line="360" w:lineRule="auto"/>
        <w:rPr>
          <w:rFonts w:hint="eastAsia" w:ascii="宋体" w:hAnsi="宋体" w:eastAsia="宋体" w:cs="宋体"/>
          <w:sz w:val="21"/>
          <w:szCs w:val="21"/>
          <w:lang w:val="zh-CN" w:eastAsia="zh-CN" w:bidi="ar-SA"/>
        </w:rPr>
      </w:pPr>
      <w:r>
        <w:rPr>
          <w:rFonts w:hint="eastAsia" w:ascii="宋体" w:hAnsi="宋体" w:eastAsia="宋体" w:cs="宋体"/>
          <w:sz w:val="21"/>
          <w:szCs w:val="21"/>
          <w:lang w:val="en-US" w:eastAsia="zh-CN" w:bidi="ar-SA"/>
        </w:rPr>
        <w:t xml:space="preserve">                 </w:t>
      </w:r>
      <w:r>
        <w:rPr>
          <w:rFonts w:hint="eastAsia" w:ascii="宋体" w:hAnsi="宋体" w:eastAsia="宋体" w:cs="宋体"/>
          <w:sz w:val="21"/>
          <w:szCs w:val="21"/>
          <w:lang w:val="zh-CN" w:eastAsia="zh-CN" w:bidi="ar-SA"/>
        </w:rPr>
        <w:t xml:space="preserve">工作电源进线（二）备用来自温电6KV </w:t>
      </w:r>
      <w:r>
        <w:rPr>
          <w:rFonts w:hint="eastAsia" w:ascii="宋体" w:hAnsi="宋体" w:eastAsia="宋体" w:cs="宋体"/>
          <w:sz w:val="21"/>
          <w:szCs w:val="21"/>
          <w:lang w:val="en-US" w:eastAsia="zh-CN" w:bidi="ar-SA"/>
        </w:rPr>
        <w:t>8A</w:t>
      </w:r>
      <w:r>
        <w:rPr>
          <w:rFonts w:hint="eastAsia" w:ascii="宋体" w:hAnsi="宋体" w:eastAsia="宋体" w:cs="宋体"/>
          <w:sz w:val="21"/>
          <w:szCs w:val="21"/>
          <w:lang w:val="zh-CN" w:eastAsia="zh-CN" w:bidi="ar-SA"/>
        </w:rPr>
        <w:t>段</w:t>
      </w:r>
    </w:p>
    <w:p w14:paraId="45CBD0A6">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生活用水及冷却水池补水来源：外泵房给水管</w:t>
      </w:r>
    </w:p>
    <w:p w14:paraId="7F19CB7E">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消防水：接至就近消防水管</w:t>
      </w:r>
    </w:p>
    <w:p w14:paraId="3334CA08">
      <w:pPr>
        <w:spacing w:line="360" w:lineRule="auto"/>
        <w:ind w:firstLine="420" w:firstLineChars="200"/>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雨水排水：接至就近雨水井。</w:t>
      </w:r>
    </w:p>
    <w:p w14:paraId="20AB253E">
      <w:pPr>
        <w:tabs>
          <w:tab w:val="left" w:pos="966"/>
          <w:tab w:val="left" w:pos="1260"/>
          <w:tab w:val="left" w:pos="3072"/>
          <w:tab w:val="left" w:pos="3360"/>
          <w:tab w:val="left" w:pos="4992"/>
          <w:tab w:val="left" w:pos="5040"/>
          <w:tab w:val="left" w:pos="5460"/>
          <w:tab w:val="left" w:pos="6912"/>
        </w:tabs>
        <w:spacing w:line="360" w:lineRule="auto"/>
        <w:ind w:firstLine="480"/>
        <w:rPr>
          <w:rFonts w:hint="eastAsia" w:ascii="宋体" w:hAnsi="宋体" w:eastAsia="宋体" w:cs="宋体"/>
          <w:sz w:val="21"/>
          <w:szCs w:val="21"/>
          <w:lang w:val="zh-CN" w:eastAsia="zh-CN" w:bidi="ar-SA"/>
        </w:rPr>
      </w:pPr>
      <w:r>
        <w:rPr>
          <w:rFonts w:hint="eastAsia" w:ascii="宋体" w:hAnsi="宋体" w:eastAsia="宋体" w:cs="宋体"/>
          <w:sz w:val="21"/>
          <w:szCs w:val="21"/>
          <w:lang w:val="en-US" w:eastAsia="zh-CN" w:bidi="ar-SA"/>
        </w:rPr>
        <w:t>污水：由沉淀池回收至清水池后重复利用。</w:t>
      </w:r>
    </w:p>
    <w:p w14:paraId="68E84730">
      <w:pPr>
        <w:tabs>
          <w:tab w:val="left" w:pos="966"/>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r>
        <w:rPr>
          <w:rFonts w:hint="eastAsia" w:ascii="宋体" w:eastAsia="宋体" w:cs="宋体"/>
          <w:b/>
          <w:bCs/>
          <w:sz w:val="21"/>
          <w:szCs w:val="21"/>
          <w:lang w:val="en-US" w:eastAsia="zh-CN" w:bidi="ar-SA"/>
        </w:rPr>
        <w:t>2.</w:t>
      </w:r>
      <w:r>
        <w:rPr>
          <w:rFonts w:hint="eastAsia" w:ascii="宋体" w:hAnsi="宋体" w:eastAsia="宋体" w:cs="宋体"/>
          <w:b/>
          <w:bCs/>
          <w:sz w:val="21"/>
          <w:szCs w:val="21"/>
          <w:lang w:val="en-US" w:eastAsia="zh-CN" w:bidi="ar-SA"/>
        </w:rPr>
        <w:t>3.灰库系统</w:t>
      </w:r>
    </w:p>
    <w:p w14:paraId="31B0D281">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3.1二期灰库系统</w:t>
      </w:r>
    </w:p>
    <w:p w14:paraId="0BE154B7">
      <w:pPr>
        <w:tabs>
          <w:tab w:val="left" w:pos="540"/>
          <w:tab w:val="left" w:pos="1260"/>
          <w:tab w:val="left" w:pos="3072"/>
          <w:tab w:val="left" w:pos="3360"/>
          <w:tab w:val="left" w:pos="4992"/>
          <w:tab w:val="left" w:pos="5040"/>
          <w:tab w:val="left" w:pos="5460"/>
          <w:tab w:val="left" w:pos="6912"/>
        </w:tabs>
        <w:spacing w:line="360" w:lineRule="auto"/>
        <w:ind w:firstLine="514"/>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飞灰输送系统共设二座终端贮灰库，为保证灰库的空气排除，又不污染大气，每个灰库顶部设有三台布袋式除尘器。输送空气从灰库通过位于每个灰库顶部的布袋除尘器再排往大气。为保证灰库中贮灰卸灰畅通，设有气化风机。二座灰库底部各设一个排灰口，然后通过卸料管直接装密封车。</w:t>
      </w:r>
    </w:p>
    <w:p w14:paraId="64523FD4">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3.2三期灰库系统</w:t>
      </w:r>
    </w:p>
    <w:p w14:paraId="12D8CF65">
      <w:pPr>
        <w:tabs>
          <w:tab w:val="left" w:pos="540"/>
          <w:tab w:val="left" w:pos="1260"/>
          <w:tab w:val="left" w:pos="3072"/>
          <w:tab w:val="left" w:pos="3360"/>
          <w:tab w:val="left" w:pos="4992"/>
          <w:tab w:val="left" w:pos="5040"/>
          <w:tab w:val="left" w:pos="5460"/>
          <w:tab w:val="left" w:pos="6912"/>
        </w:tabs>
        <w:spacing w:line="360" w:lineRule="auto"/>
        <w:ind w:firstLine="514"/>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灰系统设计布置有三座灰库，分别为原灰库、粗灰库与细灰库各一座。采用粗细灰分贮。每座灰库的有效容积约1700 m3,在额定工况下，燃用设计煤种时，原灰库和粗灰库分别可贮存70小时粗灰量(无综合利用且分选未投时)，当投用飞灰分选时，细灰库可贮存65小时的最大细灰量。为了将进入灰库气灰混合物中的压缩空气有效排除，而又不影响污染大气环境，每座灰库的顶部均布置了一台OEP除尘器（烧结板式）。为了使得灰库贮灰能顺利、通畅输出卸运，灰库安装有四台气化风机和三台电加热器，气化风机为灰库内的气化板及气化斜槽、卸灰管路提供经电加热器自动加热过的气化风，库底各设一排灰口，然后通过卸料管直接装密封车。</w:t>
      </w:r>
    </w:p>
    <w:p w14:paraId="3E4FAA10">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3.3四期灰库系统</w:t>
      </w:r>
    </w:p>
    <w:p w14:paraId="0F8ED4A8">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建设3座大小相同的大型钢板库（#3灰库在建中）。钢板库直径</w:t>
      </w:r>
      <w:r>
        <w:rPr>
          <w:rFonts w:hint="eastAsia" w:ascii="宋体" w:hAnsi="宋体" w:eastAsia="宋体" w:cs="宋体"/>
          <w:sz w:val="21"/>
          <w:szCs w:val="21"/>
          <w:lang w:val="en-US" w:eastAsia="zh-CN" w:bidi="ar-SA"/>
        </w:rPr>
        <w:sym w:font="Symbol" w:char="F066"/>
      </w:r>
      <w:r>
        <w:rPr>
          <w:rFonts w:hint="eastAsia" w:ascii="宋体" w:hAnsi="宋体" w:eastAsia="宋体" w:cs="宋体"/>
          <w:sz w:val="21"/>
          <w:szCs w:val="21"/>
          <w:lang w:val="en-US" w:eastAsia="zh-CN" w:bidi="ar-SA"/>
        </w:rPr>
        <w:t>34m，每座库容约25000m3。干灰库距电除尘器最远处灰斗输灰管的水平距离约900m，灰库顶部标高约为40米。大灰库底部各设置安装有出料系统，其中#1、#2大灰库出料至#1散装库并通过干灰卸料机，进行装车外运。#3大灰库出料至#2散装库并通过干灰卸料机，进行装车外运。</w:t>
      </w:r>
    </w:p>
    <w:p w14:paraId="44D0264C">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r>
        <w:rPr>
          <w:rFonts w:hint="eastAsia" w:ascii="宋体" w:eastAsia="宋体" w:cs="宋体"/>
          <w:b/>
          <w:bCs/>
          <w:sz w:val="21"/>
          <w:szCs w:val="21"/>
          <w:lang w:val="en-US" w:eastAsia="zh-CN" w:bidi="ar-SA"/>
        </w:rPr>
        <w:t>2.</w:t>
      </w:r>
      <w:r>
        <w:rPr>
          <w:rFonts w:hint="eastAsia" w:ascii="宋体" w:hAnsi="宋体" w:eastAsia="宋体" w:cs="宋体"/>
          <w:b/>
          <w:bCs/>
          <w:sz w:val="21"/>
          <w:szCs w:val="21"/>
          <w:lang w:val="en-US" w:eastAsia="zh-CN" w:bidi="ar-SA"/>
        </w:rPr>
        <w:t>4.炉底渣及石子煤系统</w:t>
      </w:r>
    </w:p>
    <w:p w14:paraId="3976960F">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4.1</w:t>
      </w:r>
      <w:bookmarkStart w:id="1" w:name="_Toc469578079"/>
      <w:bookmarkStart w:id="2" w:name="_Toc469922267"/>
      <w:bookmarkStart w:id="3" w:name="_Toc277748548"/>
      <w:bookmarkStart w:id="4" w:name="_Toc390335463"/>
      <w:bookmarkStart w:id="5" w:name="_Toc469920880"/>
      <w:bookmarkStart w:id="6" w:name="_Toc485890003"/>
      <w:bookmarkStart w:id="7" w:name="_Toc485890152"/>
      <w:bookmarkStart w:id="8" w:name="_Toc278133220"/>
      <w:bookmarkStart w:id="9" w:name="_Toc470702366"/>
      <w:bookmarkStart w:id="10" w:name="_Toc372025225"/>
      <w:bookmarkStart w:id="11" w:name="_Toc489445338"/>
      <w:bookmarkStart w:id="12" w:name="_Toc469578273"/>
      <w:bookmarkStart w:id="13" w:name="_Toc469405400"/>
      <w:bookmarkStart w:id="14" w:name="_Toc466900718"/>
      <w:bookmarkStart w:id="15" w:name="_Toc466900808"/>
      <w:bookmarkStart w:id="16" w:name="_Toc466638146"/>
      <w:bookmarkStart w:id="17" w:name="_Toc466834389"/>
      <w:bookmarkStart w:id="18" w:name="_Toc280772831"/>
      <w:bookmarkStart w:id="19" w:name="_Toc471281950"/>
      <w:bookmarkStart w:id="20" w:name="_Toc471298843"/>
      <w:bookmarkStart w:id="21" w:name="_Toc372019209"/>
      <w:bookmarkStart w:id="22" w:name="_Toc471221908"/>
      <w:bookmarkStart w:id="23" w:name="_Toc280867235"/>
      <w:bookmarkStart w:id="24" w:name="_Toc468188477"/>
      <w:bookmarkStart w:id="25" w:name="_Toc277850165"/>
      <w:bookmarkStart w:id="26" w:name="_Toc466892858"/>
      <w:bookmarkStart w:id="27" w:name="_Toc486233597"/>
      <w:bookmarkStart w:id="28" w:name="_Toc372029437"/>
      <w:bookmarkStart w:id="29" w:name="_Toc470765548"/>
      <w:bookmarkStart w:id="30" w:name="_Toc390438151"/>
      <w:bookmarkStart w:id="31" w:name="_Toc466900530"/>
      <w:bookmarkStart w:id="32" w:name="_Toc469643687"/>
      <w:bookmarkStart w:id="33" w:name="_Toc470530744"/>
      <w:bookmarkStart w:id="34" w:name="_Toc277748601"/>
      <w:bookmarkStart w:id="35" w:name="_Toc470767605"/>
      <w:bookmarkStart w:id="36" w:name="_Toc372205574"/>
      <w:bookmarkStart w:id="37" w:name="_Toc469469391"/>
      <w:r>
        <w:rPr>
          <w:rFonts w:hint="eastAsia" w:ascii="宋体" w:hAnsi="宋体" w:eastAsia="宋体" w:cs="宋体"/>
          <w:sz w:val="21"/>
          <w:szCs w:val="21"/>
          <w:lang w:val="en-US" w:eastAsia="zh-CN" w:bidi="ar-SA"/>
        </w:rPr>
        <w:t>炉底渣系统</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B1F848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4.1.1二、四期炉底渣系统</w:t>
      </w:r>
    </w:p>
    <w:p w14:paraId="45C4A369">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4炉干式除渣系统为拆除原两台捞渣机、碎渣机，各安装一套风冷除渣系统，除渣系统连续运行。炉底渣由锅炉渣斗落到炉底排渣装置上，大的渣块待充分燃烧后经预破碎后落到输送钢带（履带）上。高温炉渣由输渣机输送钢带送出，送出过程中的热渣被冷却成可以直接储存和运输的冷渣，炉渣在碎渣机出口由斗式提升机送入渣仓，然后渣仓内的渣通过卸料设备定期装车外运供综合利用。</w:t>
      </w:r>
    </w:p>
    <w:p w14:paraId="11EDDFE5">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bookmarkStart w:id="38" w:name="_Toc469578082"/>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4.1.2三期底渣系统</w:t>
      </w:r>
      <w:bookmarkEnd w:id="38"/>
    </w:p>
    <w:p w14:paraId="28571B1C">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温州电厂三期2×330MW机组采用的是单台刮板捞渣机+渣仓的机械除渣方式。底渣采用自卸汽车直接供综合利用或运往距主厂房1.5km处的地下渣斗，通过大倾角输渣皮带与渣仓相连，通过自卸车运至固废堆棚。锅炉刮板捞渣机溢流水经溢流水泵送至高效浓缩机，经高效浓缩机和缓冲水仓两级处理后作为捞渣机的熄火冷却水用水。</w:t>
      </w:r>
    </w:p>
    <w:p w14:paraId="7B75DAC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bookmarkStart w:id="39" w:name="_Toc469578083"/>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4.2石子煤系统</w:t>
      </w:r>
      <w:bookmarkEnd w:id="39"/>
    </w:p>
    <w:p w14:paraId="74D77DAB">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温州电厂二、三、四期均有石子煤系统，采取与炉渣分除方式；三、四期机组石子煤经改造为人工集中装车外运。</w:t>
      </w:r>
    </w:p>
    <w:p w14:paraId="72C56C72">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r>
        <w:rPr>
          <w:rFonts w:hint="eastAsia" w:ascii="宋体" w:eastAsia="宋体" w:cs="宋体"/>
          <w:b/>
          <w:bCs/>
          <w:sz w:val="21"/>
          <w:szCs w:val="21"/>
          <w:lang w:val="en-US" w:eastAsia="zh-CN" w:bidi="ar-SA"/>
        </w:rPr>
        <w:t>2.</w:t>
      </w:r>
      <w:r>
        <w:rPr>
          <w:rFonts w:hint="eastAsia" w:ascii="宋体" w:hAnsi="宋体" w:eastAsia="宋体" w:cs="宋体"/>
          <w:b/>
          <w:bCs/>
          <w:sz w:val="21"/>
          <w:szCs w:val="21"/>
          <w:lang w:val="en-US" w:eastAsia="zh-CN" w:bidi="ar-SA"/>
        </w:rPr>
        <w:t>5.脱硫系统</w:t>
      </w:r>
    </w:p>
    <w:p w14:paraId="57B2CEC1">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5.1脱硫石膏装卸运输</w:t>
      </w:r>
    </w:p>
    <w:p w14:paraId="37820E9E">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二、三、四期脱硫仓都设置有卸料装置，通过就地操作将仓内的石膏通过自卸车装载，运至固废堆棚进行周转存放</w:t>
      </w:r>
      <w:r>
        <w:rPr>
          <w:rFonts w:hint="eastAsia" w:ascii="宋体" w:eastAsia="宋体" w:cs="宋体"/>
          <w:sz w:val="21"/>
          <w:szCs w:val="21"/>
          <w:lang w:val="en-US" w:eastAsia="zh-CN" w:bidi="ar-SA"/>
        </w:rPr>
        <w:t>。</w:t>
      </w:r>
    </w:p>
    <w:p w14:paraId="4E2E8A5B">
      <w:pPr>
        <w:numPr>
          <w:ilvl w:val="0"/>
          <w:numId w:val="0"/>
        </w:numPr>
        <w:snapToGrid w:val="0"/>
        <w:spacing w:line="360" w:lineRule="auto"/>
        <w:ind w:left="0" w:firstLine="0"/>
        <w:jc w:val="both"/>
        <w:outlineLvl w:val="9"/>
        <w:rPr>
          <w:rFonts w:hint="eastAsia" w:ascii="宋体" w:eastAsia="宋体"/>
          <w:b/>
          <w:bCs w:val="0"/>
          <w:sz w:val="32"/>
          <w:szCs w:val="21"/>
          <w:highlight w:val="none"/>
        </w:rPr>
      </w:pPr>
      <w:bookmarkStart w:id="40" w:name="_Toc29305259"/>
      <w:r>
        <w:rPr>
          <w:rFonts w:ascii="宋体" w:eastAsia="宋体"/>
          <w:b/>
          <w:bCs w:val="0"/>
          <w:sz w:val="32"/>
          <w:szCs w:val="21"/>
          <w:highlight w:val="none"/>
        </w:rPr>
        <w:t>3.</w:t>
      </w:r>
      <w:r>
        <w:rPr>
          <w:rFonts w:hint="eastAsia" w:ascii="宋体" w:eastAsia="宋体"/>
          <w:b/>
          <w:bCs w:val="0"/>
          <w:sz w:val="32"/>
          <w:szCs w:val="21"/>
          <w:highlight w:val="none"/>
        </w:rPr>
        <w:t>范围及接口</w:t>
      </w:r>
      <w:bookmarkEnd w:id="40"/>
    </w:p>
    <w:p w14:paraId="3E7F98BF">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bookmarkStart w:id="41" w:name="_Toc29305262"/>
      <w:r>
        <w:rPr>
          <w:rFonts w:hint="eastAsia" w:ascii="宋体" w:eastAsia="宋体" w:cs="宋体"/>
          <w:b/>
          <w:bCs/>
          <w:sz w:val="21"/>
          <w:szCs w:val="21"/>
          <w:lang w:val="en-US" w:eastAsia="zh-CN" w:bidi="ar-SA"/>
        </w:rPr>
        <w:t>3.1.</w:t>
      </w:r>
      <w:r>
        <w:rPr>
          <w:rFonts w:hint="eastAsia" w:ascii="宋体" w:hAnsi="宋体" w:eastAsia="宋体" w:cs="宋体"/>
          <w:b/>
          <w:bCs/>
          <w:sz w:val="21"/>
          <w:szCs w:val="21"/>
          <w:lang w:val="en-US" w:eastAsia="zh-CN" w:bidi="ar-SA"/>
        </w:rPr>
        <w:t>工作范围</w:t>
      </w:r>
    </w:p>
    <w:p w14:paraId="574D8C3E">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包括灰库放灰、渣仓、石膏库、三期原灰分选等辅助运行及磨石粉厂、固废中心、灰库设备日常维护、检修等。具体工作内容如下：</w:t>
      </w:r>
    </w:p>
    <w:p w14:paraId="721A8885">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w:t>
      </w:r>
      <w:r>
        <w:rPr>
          <w:rFonts w:hint="eastAsia" w:ascii="宋体" w:hAnsi="宋体" w:eastAsia="宋体" w:cs="宋体"/>
          <w:sz w:val="21"/>
          <w:szCs w:val="21"/>
          <w:lang w:val="en-US" w:eastAsia="zh-CN" w:bidi="ar-SA"/>
        </w:rPr>
        <w:t>1.</w:t>
      </w:r>
      <w:r>
        <w:rPr>
          <w:rFonts w:hint="eastAsia" w:ascii="宋体" w:eastAsia="宋体" w:cs="宋体"/>
          <w:sz w:val="21"/>
          <w:szCs w:val="21"/>
          <w:lang w:val="en-US" w:eastAsia="zh-CN" w:bidi="ar-SA"/>
        </w:rPr>
        <w:t>1.</w:t>
      </w:r>
      <w:r>
        <w:rPr>
          <w:rFonts w:hint="eastAsia" w:ascii="宋体" w:hAnsi="宋体" w:eastAsia="宋体" w:cs="宋体"/>
          <w:sz w:val="21"/>
          <w:szCs w:val="21"/>
          <w:lang w:val="en-US" w:eastAsia="zh-CN" w:bidi="ar-SA"/>
        </w:rPr>
        <w:t>二、三、四期脱硫石膏仓</w:t>
      </w:r>
    </w:p>
    <w:p w14:paraId="5E51C063">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负责就地卸料操作；指挥石膏车辆出入管理；石膏卸料机等设备缺陷汇报，区域内安全文明生产保持；负责区域内冲洗水系统管理；负责装车数量车次统计及料位每日汇报；相关台账的记录。</w:t>
      </w:r>
    </w:p>
    <w:p w14:paraId="2937FA1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灰库</w:t>
      </w:r>
    </w:p>
    <w:p w14:paraId="7BAADA9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2.1.</w:t>
      </w:r>
      <w:r>
        <w:rPr>
          <w:rFonts w:hint="eastAsia" w:ascii="宋体" w:hAnsi="宋体" w:eastAsia="宋体" w:cs="宋体"/>
          <w:sz w:val="21"/>
          <w:szCs w:val="21"/>
          <w:lang w:val="en-US" w:eastAsia="zh-CN" w:bidi="ar-SA"/>
        </w:rPr>
        <w:t xml:space="preserve">二、三、四期灰库  </w:t>
      </w:r>
    </w:p>
    <w:p w14:paraId="264CFEC2">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就地卸料操作及调湿灰操作；指挥灰罐车辆出入管理及车辆清洗检查；负责装车数量车次统计及灰位每日汇报；负责分选系统设备的运行管理（三期）；负责区域设备管理及设备缺陷汇报；负责区域内安全文明生产；负责区域内冲洗水系统管理；负责相关台账的记录。</w:t>
      </w:r>
    </w:p>
    <w:p w14:paraId="58A7EDF9">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.2</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固废中心灰库</w:t>
      </w:r>
    </w:p>
    <w:p w14:paraId="1B55B384">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就地装车操作；指挥灰罐车辆出入管理及车辆清洗检查；负责装车数量车次统计及灰位每日汇报；负责区域设备管理及设备缺陷汇报；负责区域内安全文明生产；负责区域内冲洗水系统管理；负责相关台账的记录。</w:t>
      </w:r>
    </w:p>
    <w:p w14:paraId="13475A6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3.干湿渣仓</w:t>
      </w:r>
    </w:p>
    <w:p w14:paraId="3D871A4E">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就地装车操作；指挥车辆出入管理及车辆清洗检查；负责装车数量车次统计及料位每日汇报；负责区域设备管理及设备缺陷汇报；负责区域内安全文明生产；负责区域内冲洗水系统管理；负责相关台账的记录。</w:t>
      </w:r>
    </w:p>
    <w:p w14:paraId="46E66277">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4.石子煤</w:t>
      </w:r>
    </w:p>
    <w:p w14:paraId="41C37CCD">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负责二、三、四期6台机组石子煤的清理工作；辅助区域内安全文明生产；</w:t>
      </w:r>
    </w:p>
    <w:p w14:paraId="6A0308C1">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负责相关台账的记录。</w:t>
      </w:r>
    </w:p>
    <w:p w14:paraId="37C93AD7">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5.石膏堆棚</w:t>
      </w:r>
    </w:p>
    <w:p w14:paraId="67086097">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1、#2石膏堆棚区域的管理；指挥作业车辆出入管理及车辆清洗检查；负责装车数量车次统计及堆棚物料堆积料每日汇报；负责区域设备管理及设备缺陷汇报；负责区域内安全文明生产；负责区域内冲洗水系统管理；负责相关台账的记录。</w:t>
      </w:r>
    </w:p>
    <w:p w14:paraId="64F41AF6">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6.检修维护范围</w:t>
      </w:r>
    </w:p>
    <w:p w14:paraId="583306A7">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磨石粉厂所辖设备、固废中心所辖设备、温电四期散装库所辖设备、二个地磅房所辖设备、二个固废堆棚所辖设备、二、三、四期灰库及渣仓、石膏仓脱硫剂打粉所辖设备、所有冲洗水系统、生产场所照明等，以上设备对应的热控监测一次设备、电气所有设备的检修维护消缺工作。</w:t>
      </w:r>
    </w:p>
    <w:p w14:paraId="28C62C22">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3.1.</w:t>
      </w:r>
      <w:r>
        <w:rPr>
          <w:rFonts w:hint="eastAsia" w:ascii="宋体" w:hAnsi="宋体" w:eastAsia="宋体" w:cs="宋体"/>
          <w:sz w:val="21"/>
          <w:szCs w:val="21"/>
          <w:lang w:val="en-US" w:eastAsia="zh-CN" w:bidi="ar-SA"/>
        </w:rPr>
        <w:t>7.厂区道路洒水工作</w:t>
      </w:r>
    </w:p>
    <w:p w14:paraId="19F81767">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负责厂区道路洒水、清理工作，主要为江滨路、环保路、经营东路，要求正常情况每天不少于四次，同时由承包单位负责洒水车保养、检修维护工作。</w:t>
      </w:r>
    </w:p>
    <w:p w14:paraId="4D07AC05">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r>
        <w:rPr>
          <w:rFonts w:hint="eastAsia" w:ascii="宋体" w:eastAsia="宋体" w:cs="宋体"/>
          <w:b/>
          <w:bCs/>
          <w:sz w:val="21"/>
          <w:szCs w:val="21"/>
          <w:lang w:val="en-US" w:eastAsia="zh-CN" w:bidi="ar-SA"/>
        </w:rPr>
        <w:t>3.2</w:t>
      </w:r>
      <w:r>
        <w:rPr>
          <w:rFonts w:hint="eastAsia" w:ascii="宋体" w:hAnsi="宋体" w:eastAsia="宋体" w:cs="宋体"/>
          <w:b/>
          <w:bCs/>
          <w:sz w:val="21"/>
          <w:szCs w:val="21"/>
          <w:lang w:val="en-US" w:eastAsia="zh-CN" w:bidi="ar-SA"/>
        </w:rPr>
        <w:t>.运行分界</w:t>
      </w:r>
    </w:p>
    <w:p w14:paraId="4B0D9821">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脱硫石膏仓</w:t>
      </w:r>
    </w:p>
    <w:p w14:paraId="2686B416">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石膏仓整体由温州电厂（运行部）负责运行管理，石膏仓排放由温州电厂（运行部）发送指令，就地卸料操作属承包方负责。石膏卸料机等设备发生缺陷，承包方有义务及时报送温州电厂（运行部）。</w:t>
      </w:r>
    </w:p>
    <w:p w14:paraId="11B4ABF6">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.2</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石灰石粉仓</w:t>
      </w:r>
    </w:p>
    <w:p w14:paraId="08366B01">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石灰石粉仓及附属设备属温州电厂负责运行管理，石灰石粉仓进粉由温州电厂（运行部）发送指令，以进粉管隔离阀法兰为界，进粉操作由承包方负责运行管理。石灰石粉仓进粉运输工具、进粉临时管属承包方负责运行管理。进粉过程中承包方与温州电厂（运行部）加强联系沟通确认料位情况，如发生满粉由承包方负责清理。</w:t>
      </w:r>
    </w:p>
    <w:p w14:paraId="53E01AA0">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.3</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灰库</w:t>
      </w:r>
    </w:p>
    <w:p w14:paraId="27766CF2">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3.1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 xml:space="preserve">二、三期灰库  </w:t>
      </w:r>
    </w:p>
    <w:p w14:paraId="03A5E99C">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灰库堆料由承包方提出申请（以微信或书面形式），温州电厂（运行部）根据申请对切换阀等进行相关的操作。二、三期灰库由温州电厂（运行部）负责运行管理，就地卸料操作及调湿灰操作属于承包方。二、三期灰库检修工作票在ERP流程中实施，</w:t>
      </w:r>
      <w:r>
        <w:rPr>
          <w:rFonts w:hint="eastAsia" w:ascii="宋体" w:eastAsia="宋体" w:cs="宋体"/>
          <w:sz w:val="21"/>
          <w:szCs w:val="21"/>
          <w:lang w:val="en-US" w:eastAsia="zh-CN" w:bidi="ar-SA"/>
        </w:rPr>
        <w:t>温州天达公司</w:t>
      </w:r>
      <w:r>
        <w:rPr>
          <w:rFonts w:hint="eastAsia" w:ascii="宋体" w:hAnsi="宋体" w:eastAsia="宋体" w:cs="宋体"/>
          <w:sz w:val="21"/>
          <w:szCs w:val="21"/>
          <w:lang w:val="en-US" w:eastAsia="zh-CN" w:bidi="ar-SA"/>
        </w:rPr>
        <w:t>负责填写，由温州电厂（维护部）签发，停送电管理及工作票许可由温州电厂（运行部）负责。</w:t>
      </w:r>
    </w:p>
    <w:p w14:paraId="7B33D9DC">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3.2.3.2.</w:t>
      </w:r>
      <w:r>
        <w:rPr>
          <w:rFonts w:hint="eastAsia" w:ascii="宋体" w:hAnsi="宋体" w:eastAsia="宋体" w:cs="宋体"/>
          <w:sz w:val="21"/>
          <w:szCs w:val="21"/>
          <w:lang w:val="en-US" w:eastAsia="zh-CN" w:bidi="ar-SA"/>
        </w:rPr>
        <w:t>四期钢板灰库</w:t>
      </w:r>
    </w:p>
    <w:p w14:paraId="25FF3507">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灰库堆料由承包方提出申请（以微信或书面形式），温州电厂（运行部）根据申请对切换阀等进行相关的操作。四期灰库系统输送以四期钢板库进灰阀后法兰为界，钢板灰库进料由温州电厂（运行部）操作：进灰阀切换属温州电厂（运行部）负责运行管理，收尘器启停、钢板灰库储存、料位计监控、斗提机运行操作、散装库运行操作、罗茨风机等属</w:t>
      </w:r>
      <w:r>
        <w:rPr>
          <w:rFonts w:hint="eastAsia" w:ascii="宋体" w:eastAsia="宋体" w:cs="宋体"/>
          <w:sz w:val="21"/>
          <w:szCs w:val="21"/>
          <w:lang w:val="en-US" w:eastAsia="zh-CN" w:bidi="ar-SA"/>
        </w:rPr>
        <w:t>温州天达公司</w:t>
      </w:r>
      <w:r>
        <w:rPr>
          <w:rFonts w:hint="eastAsia" w:ascii="宋体" w:hAnsi="宋体" w:eastAsia="宋体" w:cs="宋体"/>
          <w:sz w:val="21"/>
          <w:szCs w:val="21"/>
          <w:lang w:val="en-US" w:eastAsia="zh-CN" w:bidi="ar-SA"/>
        </w:rPr>
        <w:t>固废中心班组运行管理。就地卸料操作及调湿灰操作属于承包方。</w:t>
      </w:r>
    </w:p>
    <w:p w14:paraId="0CFB1413">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四期灰库检修工作票管理：四期灰库切料阀后设备的检修工作票按纸质工作票执行，停送电管理及工作票许可由</w:t>
      </w:r>
      <w:r>
        <w:rPr>
          <w:rFonts w:hint="eastAsia" w:ascii="宋体" w:eastAsia="宋体" w:cs="宋体"/>
          <w:sz w:val="21"/>
          <w:szCs w:val="21"/>
          <w:lang w:val="en-US" w:eastAsia="zh-CN" w:bidi="ar-SA"/>
        </w:rPr>
        <w:t>温州天达公司</w:t>
      </w:r>
      <w:r>
        <w:rPr>
          <w:rFonts w:hint="eastAsia" w:ascii="宋体" w:hAnsi="宋体" w:eastAsia="宋体" w:cs="宋体"/>
          <w:sz w:val="21"/>
          <w:szCs w:val="21"/>
          <w:lang w:val="en-US" w:eastAsia="zh-CN" w:bidi="ar-SA"/>
        </w:rPr>
        <w:t>固废中心班组负责。</w:t>
      </w:r>
    </w:p>
    <w:p w14:paraId="4563520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.4</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干湿渣仓</w:t>
      </w:r>
    </w:p>
    <w:p w14:paraId="31881568">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渣仓由温州电厂（运行部）负责运行管理，承包方必须保证渣仓及时排放。放渣门、卸料头、双轴搅拌器（三、四期）、放渣收尘器（三、四期）、湿渣渣仓反冲洗由承包方负责就地操作。</w:t>
      </w:r>
    </w:p>
    <w:p w14:paraId="02F46139">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.5</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石子煤</w:t>
      </w:r>
    </w:p>
    <w:p w14:paraId="254335FD">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石子煤以就地堆场围堰为界，围堰外由温州电厂负责运行管理，围堰内由承包方负责管理。</w:t>
      </w:r>
    </w:p>
    <w:p w14:paraId="2EF573C5">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.6</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石膏、灰库冲洗水系统</w:t>
      </w:r>
    </w:p>
    <w:p w14:paraId="5DB51A2E">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石膏、灰库冲洗水现场的冲洗水提升泵、冲洗水沟及冲洗水回收水池由承包方负责管理。</w:t>
      </w:r>
    </w:p>
    <w:p w14:paraId="6AF321F7">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.7</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电气</w:t>
      </w:r>
    </w:p>
    <w:p w14:paraId="30500EAE">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.7.1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以6kV固废综合利用段工作电源进线开关（备用电源进线开关）上桩头为界，前为温州电厂负责运行管理（含开关本体），后为</w:t>
      </w:r>
      <w:r>
        <w:rPr>
          <w:rFonts w:hint="eastAsia" w:ascii="宋体" w:eastAsia="宋体" w:cs="宋体"/>
          <w:sz w:val="21"/>
          <w:szCs w:val="21"/>
          <w:lang w:val="en-US" w:eastAsia="zh-CN" w:bidi="ar-SA"/>
        </w:rPr>
        <w:t>温州天达</w:t>
      </w:r>
      <w:r>
        <w:rPr>
          <w:rFonts w:hint="eastAsia" w:ascii="宋体" w:hAnsi="宋体" w:eastAsia="宋体" w:cs="宋体"/>
          <w:sz w:val="21"/>
          <w:szCs w:val="21"/>
          <w:lang w:val="en-US" w:eastAsia="zh-CN" w:bidi="ar-SA"/>
        </w:rPr>
        <w:t>公司管理（含6kV固废综合利用段母线）；四期灰库变、380V四期灰库段配电柜、钢板库区工艺电气设备、固废工作变及附属设备由</w:t>
      </w:r>
      <w:r>
        <w:rPr>
          <w:rFonts w:hint="eastAsia" w:ascii="宋体" w:eastAsia="宋体" w:cs="宋体"/>
          <w:sz w:val="21"/>
          <w:szCs w:val="21"/>
          <w:lang w:val="en-US" w:eastAsia="zh-CN" w:bidi="ar-SA"/>
        </w:rPr>
        <w:t>温州天达</w:t>
      </w:r>
      <w:r>
        <w:rPr>
          <w:rFonts w:hint="eastAsia" w:ascii="宋体" w:hAnsi="宋体" w:eastAsia="宋体" w:cs="宋体"/>
          <w:sz w:val="21"/>
          <w:szCs w:val="21"/>
          <w:lang w:val="en-US" w:eastAsia="zh-CN" w:bidi="ar-SA"/>
        </w:rPr>
        <w:t>公司负责运行管理由承包方进行检修，包含钢板库区照明及检修电源箱。</w:t>
      </w:r>
    </w:p>
    <w:p w14:paraId="7829993E">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.7.2</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以温州电厂5B段6kV磨石粉段工作电源馈线开关（6B段6kV磨石粉段备用电源馈线开关）下桩头为界，开关本体及保护属温州电厂，负责运行管理；6kV5B段6kV磨石粉段至磨石粉厂6kV磨石粉厂段工作电源进线开关（6kV6B段6kV磨石粉段至磨石粉厂6kV磨石粉厂段备用电源进线开关）的电缆及以后的开关本体及保护、母线属</w:t>
      </w:r>
      <w:r>
        <w:rPr>
          <w:rFonts w:hint="eastAsia" w:ascii="宋体" w:eastAsia="宋体" w:cs="宋体"/>
          <w:sz w:val="21"/>
          <w:szCs w:val="21"/>
          <w:lang w:val="en-US" w:eastAsia="zh-CN" w:bidi="ar-SA"/>
        </w:rPr>
        <w:t>温州天达公司</w:t>
      </w:r>
      <w:r>
        <w:rPr>
          <w:rFonts w:hint="eastAsia" w:ascii="宋体" w:hAnsi="宋体" w:eastAsia="宋体" w:cs="宋体"/>
          <w:sz w:val="21"/>
          <w:szCs w:val="21"/>
          <w:lang w:val="en-US" w:eastAsia="zh-CN" w:bidi="ar-SA"/>
        </w:rPr>
        <w:t>负责运行管理。</w:t>
      </w:r>
    </w:p>
    <w:p w14:paraId="601733B2">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.8</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仪控设备及其分界点随工艺设备划分。</w:t>
      </w:r>
    </w:p>
    <w:p w14:paraId="3FE266D0">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lang w:val="en-US" w:eastAsia="zh-CN" w:bidi="ar-SA"/>
        </w:rPr>
        <w:t>3.2</w:t>
      </w:r>
      <w:r>
        <w:rPr>
          <w:rFonts w:hint="eastAsia" w:ascii="宋体" w:hAnsi="宋体" w:eastAsia="宋体" w:cs="宋体"/>
          <w:sz w:val="21"/>
          <w:szCs w:val="21"/>
          <w:lang w:val="en-US" w:eastAsia="zh-CN" w:bidi="ar-SA"/>
        </w:rPr>
        <w:t>.9</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 xml:space="preserve"> 其他部分</w:t>
      </w:r>
    </w:p>
    <w:p w14:paraId="205BC6E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highlight w:val="none"/>
          <w:lang w:val="en-US" w:eastAsia="zh-CN" w:bidi="ar-SA"/>
        </w:rPr>
      </w:pPr>
      <w:bookmarkStart w:id="52" w:name="_GoBack"/>
      <w:r>
        <w:rPr>
          <w:rFonts w:hint="eastAsia" w:ascii="宋体" w:eastAsia="宋体" w:cs="宋体"/>
          <w:sz w:val="21"/>
          <w:szCs w:val="21"/>
          <w:highlight w:val="none"/>
          <w:lang w:val="en-US" w:eastAsia="zh-CN" w:bidi="ar-SA"/>
        </w:rPr>
        <w:t>3.2</w:t>
      </w:r>
      <w:r>
        <w:rPr>
          <w:rFonts w:hint="eastAsia" w:ascii="宋体" w:hAnsi="宋体" w:eastAsia="宋体" w:cs="宋体"/>
          <w:sz w:val="21"/>
          <w:szCs w:val="21"/>
          <w:highlight w:val="none"/>
          <w:lang w:val="en-US" w:eastAsia="zh-CN" w:bidi="ar-SA"/>
        </w:rPr>
        <w:t>.9.1</w:t>
      </w:r>
      <w:r>
        <w:rPr>
          <w:rFonts w:hint="eastAsia" w:ascii="宋体" w:eastAsia="宋体" w:cs="宋体"/>
          <w:sz w:val="21"/>
          <w:szCs w:val="21"/>
          <w:highlight w:val="none"/>
          <w:lang w:val="en-US" w:eastAsia="zh-CN" w:bidi="ar-SA"/>
        </w:rPr>
        <w:t>.三期</w:t>
      </w:r>
      <w:r>
        <w:rPr>
          <w:rFonts w:hint="eastAsia" w:ascii="宋体" w:hAnsi="宋体" w:eastAsia="宋体" w:cs="宋体"/>
          <w:sz w:val="21"/>
          <w:szCs w:val="21"/>
          <w:highlight w:val="none"/>
          <w:lang w:val="en-US" w:eastAsia="zh-CN" w:bidi="ar-SA"/>
        </w:rPr>
        <w:t>应急堆场</w:t>
      </w:r>
    </w:p>
    <w:p w14:paraId="5B75B51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highlight w:val="none"/>
          <w:lang w:val="en-US" w:eastAsia="zh-CN" w:bidi="ar-SA"/>
        </w:rPr>
      </w:pPr>
      <w:r>
        <w:rPr>
          <w:rFonts w:hint="eastAsia" w:ascii="宋体" w:eastAsia="宋体" w:cs="宋体"/>
          <w:sz w:val="21"/>
          <w:szCs w:val="21"/>
          <w:highlight w:val="none"/>
          <w:lang w:val="en-US" w:eastAsia="zh-CN" w:bidi="ar-SA"/>
        </w:rPr>
        <w:t>3.2</w:t>
      </w:r>
      <w:r>
        <w:rPr>
          <w:rFonts w:hint="eastAsia" w:ascii="宋体" w:hAnsi="宋体" w:eastAsia="宋体" w:cs="宋体"/>
          <w:sz w:val="21"/>
          <w:szCs w:val="21"/>
          <w:highlight w:val="none"/>
          <w:lang w:val="en-US" w:eastAsia="zh-CN" w:bidi="ar-SA"/>
        </w:rPr>
        <w:t>.9.</w:t>
      </w:r>
      <w:r>
        <w:rPr>
          <w:rFonts w:hint="eastAsia" w:ascii="宋体" w:eastAsia="宋体" w:cs="宋体"/>
          <w:sz w:val="21"/>
          <w:szCs w:val="21"/>
          <w:highlight w:val="none"/>
          <w:lang w:val="en-US" w:eastAsia="zh-CN" w:bidi="ar-SA"/>
        </w:rPr>
        <w:t>1.</w:t>
      </w:r>
      <w:r>
        <w:rPr>
          <w:rFonts w:hint="eastAsia" w:ascii="宋体" w:hAnsi="宋体" w:eastAsia="宋体" w:cs="宋体"/>
          <w:sz w:val="21"/>
          <w:szCs w:val="21"/>
          <w:highlight w:val="none"/>
          <w:lang w:val="en-US" w:eastAsia="zh-CN" w:bidi="ar-SA"/>
        </w:rPr>
        <w:t>1</w:t>
      </w:r>
      <w:r>
        <w:rPr>
          <w:rFonts w:hint="eastAsia" w:ascii="宋体" w:eastAsia="宋体" w:cs="宋体"/>
          <w:sz w:val="21"/>
          <w:szCs w:val="21"/>
          <w:highlight w:val="none"/>
          <w:lang w:val="en-US" w:eastAsia="zh-CN" w:bidi="ar-SA"/>
        </w:rPr>
        <w:t>.三期</w:t>
      </w:r>
      <w:r>
        <w:rPr>
          <w:rFonts w:hint="eastAsia" w:ascii="宋体" w:hAnsi="宋体" w:eastAsia="宋体" w:cs="宋体"/>
          <w:sz w:val="21"/>
          <w:szCs w:val="21"/>
          <w:highlight w:val="none"/>
          <w:lang w:val="en-US" w:eastAsia="zh-CN" w:bidi="ar-SA"/>
        </w:rPr>
        <w:t>应急堆场及相关设施由承包方负责日常管理维护及运行文明生产。</w:t>
      </w:r>
    </w:p>
    <w:p w14:paraId="421C37F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highlight w:val="none"/>
          <w:lang w:val="en-US" w:eastAsia="zh-CN" w:bidi="ar-SA"/>
        </w:rPr>
      </w:pPr>
      <w:r>
        <w:rPr>
          <w:rFonts w:hint="eastAsia" w:ascii="宋体" w:eastAsia="宋体" w:cs="宋体"/>
          <w:sz w:val="21"/>
          <w:szCs w:val="21"/>
          <w:highlight w:val="none"/>
          <w:lang w:val="en-US" w:eastAsia="zh-CN" w:bidi="ar-SA"/>
        </w:rPr>
        <w:t>3.2</w:t>
      </w:r>
      <w:r>
        <w:rPr>
          <w:rFonts w:hint="eastAsia" w:ascii="宋体" w:hAnsi="宋体" w:eastAsia="宋体" w:cs="宋体"/>
          <w:sz w:val="21"/>
          <w:szCs w:val="21"/>
          <w:highlight w:val="none"/>
          <w:lang w:val="en-US" w:eastAsia="zh-CN" w:bidi="ar-SA"/>
        </w:rPr>
        <w:t>.9.2</w:t>
      </w:r>
      <w:r>
        <w:rPr>
          <w:rFonts w:hint="eastAsia" w:ascii="宋体" w:eastAsia="宋体" w:cs="宋体"/>
          <w:sz w:val="21"/>
          <w:szCs w:val="21"/>
          <w:highlight w:val="none"/>
          <w:lang w:val="en-US" w:eastAsia="zh-CN" w:bidi="ar-SA"/>
        </w:rPr>
        <w:t>.</w:t>
      </w:r>
      <w:r>
        <w:rPr>
          <w:rFonts w:hint="eastAsia" w:ascii="宋体" w:hAnsi="宋体" w:eastAsia="宋体" w:cs="宋体"/>
          <w:sz w:val="21"/>
          <w:szCs w:val="21"/>
          <w:highlight w:val="none"/>
          <w:lang w:val="en-US" w:eastAsia="zh-CN" w:bidi="ar-SA"/>
        </w:rPr>
        <w:t>石膏堆棚</w:t>
      </w:r>
    </w:p>
    <w:p w14:paraId="0B735E3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highlight w:val="none"/>
          <w:lang w:val="en-US" w:eastAsia="zh-CN" w:bidi="ar-SA"/>
        </w:rPr>
      </w:pPr>
      <w:r>
        <w:rPr>
          <w:rFonts w:hint="eastAsia" w:ascii="宋体" w:eastAsia="宋体" w:cs="宋体"/>
          <w:sz w:val="21"/>
          <w:szCs w:val="21"/>
          <w:highlight w:val="none"/>
          <w:lang w:val="en-US" w:eastAsia="zh-CN" w:bidi="ar-SA"/>
        </w:rPr>
        <w:t>3.2</w:t>
      </w:r>
      <w:r>
        <w:rPr>
          <w:rFonts w:hint="eastAsia" w:ascii="宋体" w:hAnsi="宋体" w:eastAsia="宋体" w:cs="宋体"/>
          <w:sz w:val="21"/>
          <w:szCs w:val="21"/>
          <w:highlight w:val="none"/>
          <w:lang w:val="en-US" w:eastAsia="zh-CN" w:bidi="ar-SA"/>
        </w:rPr>
        <w:t>.9.</w:t>
      </w:r>
      <w:r>
        <w:rPr>
          <w:rFonts w:hint="eastAsia" w:ascii="宋体" w:eastAsia="宋体" w:cs="宋体"/>
          <w:sz w:val="21"/>
          <w:szCs w:val="21"/>
          <w:highlight w:val="none"/>
          <w:lang w:val="en-US" w:eastAsia="zh-CN" w:bidi="ar-SA"/>
        </w:rPr>
        <w:t>2.</w:t>
      </w:r>
      <w:r>
        <w:rPr>
          <w:rFonts w:hint="eastAsia" w:ascii="宋体" w:hAnsi="宋体" w:eastAsia="宋体" w:cs="宋体"/>
          <w:sz w:val="21"/>
          <w:szCs w:val="21"/>
          <w:highlight w:val="none"/>
          <w:lang w:val="en-US" w:eastAsia="zh-CN" w:bidi="ar-SA"/>
        </w:rPr>
        <w:t>1</w:t>
      </w:r>
      <w:r>
        <w:rPr>
          <w:rFonts w:hint="eastAsia" w:ascii="宋体" w:eastAsia="宋体" w:cs="宋体"/>
          <w:sz w:val="21"/>
          <w:szCs w:val="21"/>
          <w:highlight w:val="none"/>
          <w:lang w:val="en-US" w:eastAsia="zh-CN" w:bidi="ar-SA"/>
        </w:rPr>
        <w:t>.</w:t>
      </w:r>
      <w:r>
        <w:rPr>
          <w:rFonts w:hint="eastAsia" w:ascii="宋体" w:hAnsi="宋体" w:eastAsia="宋体" w:cs="宋体"/>
          <w:sz w:val="21"/>
          <w:szCs w:val="21"/>
          <w:highlight w:val="none"/>
          <w:lang w:val="en-US" w:eastAsia="zh-CN" w:bidi="ar-SA"/>
        </w:rPr>
        <w:t>#1固废堆棚及相关设施由承包方负责日常管理维护及运行文明生产。</w:t>
      </w:r>
    </w:p>
    <w:p w14:paraId="37596A02">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eastAsia="宋体" w:cs="宋体"/>
          <w:sz w:val="21"/>
          <w:szCs w:val="21"/>
          <w:highlight w:val="none"/>
          <w:lang w:val="en-US" w:eastAsia="zh-CN" w:bidi="ar-SA"/>
        </w:rPr>
        <w:t>3.2</w:t>
      </w:r>
      <w:r>
        <w:rPr>
          <w:rFonts w:hint="eastAsia" w:ascii="宋体" w:hAnsi="宋体" w:eastAsia="宋体" w:cs="宋体"/>
          <w:sz w:val="21"/>
          <w:szCs w:val="21"/>
          <w:highlight w:val="none"/>
          <w:lang w:val="en-US" w:eastAsia="zh-CN" w:bidi="ar-SA"/>
        </w:rPr>
        <w:t>.9.2.</w:t>
      </w:r>
      <w:r>
        <w:rPr>
          <w:rFonts w:hint="eastAsia" w:ascii="宋体" w:eastAsia="宋体" w:cs="宋体"/>
          <w:sz w:val="21"/>
          <w:szCs w:val="21"/>
          <w:highlight w:val="none"/>
          <w:lang w:val="en-US" w:eastAsia="zh-CN" w:bidi="ar-SA"/>
        </w:rPr>
        <w:t>2.</w:t>
      </w:r>
      <w:r>
        <w:rPr>
          <w:rFonts w:hint="eastAsia" w:ascii="宋体" w:hAnsi="宋体" w:eastAsia="宋体" w:cs="宋体"/>
          <w:sz w:val="21"/>
          <w:szCs w:val="21"/>
          <w:highlight w:val="none"/>
          <w:lang w:val="en-US" w:eastAsia="zh-CN" w:bidi="ar-SA"/>
        </w:rPr>
        <w:t>#2固废堆棚及相关设施由承包方负责日常管理维护及运</w:t>
      </w:r>
      <w:bookmarkEnd w:id="52"/>
      <w:r>
        <w:rPr>
          <w:rFonts w:hint="eastAsia" w:ascii="宋体" w:hAnsi="宋体" w:eastAsia="宋体" w:cs="宋体"/>
          <w:sz w:val="21"/>
          <w:szCs w:val="21"/>
          <w:lang w:val="en-US" w:eastAsia="zh-CN" w:bidi="ar-SA"/>
        </w:rPr>
        <w:t>行文明生产。</w:t>
      </w:r>
    </w:p>
    <w:p w14:paraId="02EB0A21">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3.3.检修管理分界</w:t>
      </w:r>
    </w:p>
    <w:p w14:paraId="147A293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3.3.1.脱硫石膏仓</w:t>
      </w:r>
    </w:p>
    <w:p w14:paraId="0682B638">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石膏仓属温州电厂负责检修管理，输灰管对接头属承包方负责检修管理。</w:t>
      </w:r>
    </w:p>
    <w:p w14:paraId="3A034A26">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3.3.2.石灰石粉仓</w:t>
      </w:r>
    </w:p>
    <w:p w14:paraId="359869D2">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以进粉管隔离阀法兰为界，石灰石粉仓、附属设备及进粉管隔离阀法兰属温州电厂负责检修管理，石灰石粉仓进粉运输工具，临时进粉管道、四期石灰石打粉增压罗茨风机属承包方负责检修管理。</w:t>
      </w:r>
    </w:p>
    <w:p w14:paraId="0E8CBF8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3.3.3</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灰库</w:t>
      </w:r>
    </w:p>
    <w:p w14:paraId="3889DB27">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w:t>
      </w:r>
      <w:r>
        <w:rPr>
          <w:rFonts w:hint="eastAsia" w:ascii="宋体" w:eastAsia="宋体" w:cs="宋体"/>
          <w:sz w:val="21"/>
          <w:szCs w:val="21"/>
          <w:lang w:val="en-US" w:eastAsia="zh-CN" w:bidi="ar-SA"/>
        </w:rPr>
        <w:t>3.</w:t>
      </w:r>
      <w:r>
        <w:rPr>
          <w:rFonts w:hint="eastAsia" w:ascii="宋体" w:hAnsi="宋体" w:eastAsia="宋体" w:cs="宋体"/>
          <w:sz w:val="21"/>
          <w:szCs w:val="21"/>
          <w:lang w:val="en-US" w:eastAsia="zh-CN" w:bidi="ar-SA"/>
        </w:rPr>
        <w:t>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 xml:space="preserve">二、三期灰库  </w:t>
      </w:r>
    </w:p>
    <w:p w14:paraId="0B542710">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二三期灰库计划检修、技改、大修原则上按设备资产归属分界，灰库顶部进灰切换阀、收尘器属温州电厂负责检修管理；该区域应急缺陷由承包方处理。</w:t>
      </w:r>
    </w:p>
    <w:p w14:paraId="748CF1DA">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3.3.3.2</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 xml:space="preserve"> 四期灰库系统检修  </w:t>
      </w:r>
    </w:p>
    <w:p w14:paraId="3EE0D750">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四期灰库设备系统计划检修、技改、大修原则上按设备资产归属分界。以四期钢板库进料阀后法兰为界，钢板灰库进料阀后法兰前及顶部收尘器由温州电厂负责检修维护。该区域应急缺陷由承包方处理。</w:t>
      </w:r>
    </w:p>
    <w:p w14:paraId="3F2B01E6">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3.3.4</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干湿渣仓</w:t>
      </w:r>
    </w:p>
    <w:p w14:paraId="3CD5A8FD">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干湿渣仓属温州电厂负责检修管理。</w:t>
      </w:r>
    </w:p>
    <w:p w14:paraId="0D18627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3.3.5</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石子煤</w:t>
      </w:r>
    </w:p>
    <w:p w14:paraId="310FD386">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石子煤排放系统属温州电厂负责检修管理。</w:t>
      </w:r>
    </w:p>
    <w:p w14:paraId="3B8690D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3.3.6</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石膏、灰库冲洗水系统</w:t>
      </w:r>
    </w:p>
    <w:p w14:paraId="74FD883B">
      <w:pPr>
        <w:tabs>
          <w:tab w:val="left" w:pos="540"/>
          <w:tab w:val="left" w:pos="1260"/>
          <w:tab w:val="left" w:pos="3072"/>
          <w:tab w:val="left" w:pos="3360"/>
          <w:tab w:val="left" w:pos="4992"/>
          <w:tab w:val="left" w:pos="5040"/>
          <w:tab w:val="left" w:pos="5460"/>
          <w:tab w:val="left" w:pos="6912"/>
        </w:tabs>
        <w:spacing w:line="360" w:lineRule="auto"/>
        <w:ind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石膏、灰库冲洗水系统现场冲洗水提升泵、冲洗水沟及附属管阀由承包方负责检修管理。石膏冲洗水系统以提升泵排出管进入下个系统前法兰或者母管为界。</w:t>
      </w:r>
    </w:p>
    <w:p w14:paraId="0B4DABF9">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3.3.7</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电气</w:t>
      </w:r>
    </w:p>
    <w:p w14:paraId="5830FDDC">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3.3.7.1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固废中心6kV固废综合利用段，以6kV固废综合利用段工作电源进线开关（备用电源进线开关） 上桩头为界，电缆、开关本体及保护属温州电厂负责检修管理；6kV固废综合利用段母线、所有馈线开关、馈线电缆、压变等属承包方负责检修管理。四期灰库变、380V四期灰库段配电柜、钢板库区工艺电气设备及附属设备检修、日常维护由温州电厂管理，包括钢板库区照明及检修电源箱。</w:t>
      </w:r>
    </w:p>
    <w:p w14:paraId="737F684D">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3.3.7.2</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磨石粉厂6kV磨石粉厂段，以温州电厂5B段6kV磨石粉段工作电源馈线开关（6B段6kV磨石粉段备用电源馈线开关）下桩头为界，开关本体及保护属温州电厂，负责检修管理；6kV5B段6kV磨石粉段至磨石粉厂6kV磨石粉厂段工作电源进线开关（6kV6B段6kV磨石粉段至磨石粉厂6kV磨石粉厂段备用电源进线开关）的电缆及以后的开关本体及保护、母线属承包方负责检修管理。</w:t>
      </w:r>
    </w:p>
    <w:p w14:paraId="59145AE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3.3.8</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仪控设备及其分界点随机务设备划分。</w:t>
      </w:r>
    </w:p>
    <w:p w14:paraId="54265289">
      <w:pPr>
        <w:numPr>
          <w:ilvl w:val="0"/>
          <w:numId w:val="0"/>
        </w:numPr>
        <w:snapToGrid w:val="0"/>
        <w:spacing w:line="360" w:lineRule="auto"/>
        <w:ind w:left="0" w:firstLine="0"/>
        <w:jc w:val="both"/>
        <w:outlineLvl w:val="9"/>
        <w:rPr>
          <w:rFonts w:ascii="宋体" w:eastAsia="宋体"/>
          <w:b/>
          <w:bCs w:val="0"/>
          <w:sz w:val="32"/>
          <w:szCs w:val="21"/>
          <w:highlight w:val="none"/>
        </w:rPr>
      </w:pPr>
      <w:r>
        <w:rPr>
          <w:rFonts w:ascii="宋体" w:eastAsia="宋体"/>
          <w:b/>
          <w:bCs w:val="0"/>
          <w:sz w:val="32"/>
          <w:szCs w:val="21"/>
          <w:highlight w:val="none"/>
        </w:rPr>
        <w:t>4.</w:t>
      </w:r>
      <w:r>
        <w:rPr>
          <w:rFonts w:hint="eastAsia" w:ascii="宋体" w:eastAsia="宋体"/>
          <w:b/>
          <w:sz w:val="32"/>
          <w:highlight w:val="none"/>
        </w:rPr>
        <w:t>投标人</w:t>
      </w:r>
      <w:r>
        <w:rPr>
          <w:rFonts w:hint="eastAsia" w:ascii="宋体" w:eastAsia="宋体"/>
          <w:b/>
          <w:bCs w:val="0"/>
          <w:sz w:val="32"/>
          <w:szCs w:val="21"/>
          <w:highlight w:val="none"/>
        </w:rPr>
        <w:t>的要求及服务的范围、职责</w:t>
      </w:r>
      <w:bookmarkEnd w:id="41"/>
    </w:p>
    <w:p w14:paraId="6C8E1B2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bookmarkStart w:id="42" w:name="_Toc29305264"/>
      <w:r>
        <w:rPr>
          <w:rFonts w:hint="eastAsia" w:ascii="宋体" w:hAnsi="宋体" w:eastAsia="宋体" w:cs="宋体"/>
          <w:b/>
          <w:bCs/>
          <w:sz w:val="21"/>
          <w:szCs w:val="21"/>
          <w:lang w:val="en-US" w:eastAsia="zh-CN" w:bidi="ar-SA"/>
        </w:rPr>
        <w:t>4.1</w:t>
      </w:r>
      <w:r>
        <w:rPr>
          <w:rFonts w:hint="eastAsia" w:ascii="宋体" w:eastAsia="宋体" w:cs="宋体"/>
          <w:b/>
          <w:bCs/>
          <w:sz w:val="21"/>
          <w:szCs w:val="21"/>
          <w:lang w:val="en-US" w:eastAsia="zh-CN" w:bidi="ar-SA"/>
        </w:rPr>
        <w:t>.</w:t>
      </w:r>
      <w:r>
        <w:rPr>
          <w:rFonts w:hint="eastAsia" w:ascii="宋体" w:hAnsi="宋体" w:eastAsia="宋体" w:cs="宋体"/>
          <w:b/>
          <w:bCs/>
          <w:sz w:val="21"/>
          <w:szCs w:val="21"/>
          <w:lang w:val="en-US" w:eastAsia="zh-CN" w:bidi="ar-SA"/>
        </w:rPr>
        <w:t>服务范围及要求</w:t>
      </w:r>
      <w:bookmarkEnd w:id="42"/>
    </w:p>
    <w:p w14:paraId="4A727D9E">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辅助运行工作范围及要求：</w:t>
      </w:r>
    </w:p>
    <w:p w14:paraId="71611CFA">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灰库辅助运行服务：</w:t>
      </w:r>
    </w:p>
    <w:p w14:paraId="5EB64CBE">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4.1.1.1.1</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正确辨识工作范围，在工作范围内履行工作职责；设备分界以运行规程为准，后续修订以最新修订版本为准；场地分界以</w:t>
      </w:r>
      <w:r>
        <w:rPr>
          <w:rFonts w:hint="eastAsia" w:ascii="宋体" w:eastAsia="宋体" w:cs="宋体"/>
          <w:sz w:val="21"/>
          <w:szCs w:val="21"/>
          <w:lang w:val="en-US" w:eastAsia="zh-CN" w:bidi="ar-SA"/>
        </w:rPr>
        <w:t>温电公司</w:t>
      </w:r>
      <w:r>
        <w:rPr>
          <w:rFonts w:hint="eastAsia" w:ascii="宋体" w:hAnsi="宋体" w:eastAsia="宋体" w:cs="宋体"/>
          <w:sz w:val="21"/>
          <w:szCs w:val="21"/>
          <w:lang w:val="en-US" w:eastAsia="zh-CN" w:bidi="ar-SA"/>
        </w:rPr>
        <w:t>划分为准；</w:t>
      </w:r>
    </w:p>
    <w:p w14:paraId="55C0B18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4.1.1.1.2</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掌握灰库装车、渣仓放渣、脱硫石膏仓放石膏等操作技能，严格遵守操作规程与运行规程要求；</w:t>
      </w:r>
    </w:p>
    <w:p w14:paraId="48F36C54">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4.1.1.1.3</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负责#</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3、#4期、固废中心</w:t>
      </w:r>
      <w:r>
        <w:rPr>
          <w:rFonts w:hint="eastAsia" w:ascii="宋体" w:hAnsi="宋体" w:eastAsia="宋体" w:cs="宋体"/>
          <w:sz w:val="21"/>
          <w:szCs w:val="21"/>
          <w:lang w:val="en-US" w:eastAsia="zh-CN" w:bidi="ar-SA"/>
        </w:rPr>
        <w:t>灰库装车的放灰工作</w:t>
      </w:r>
      <w:r>
        <w:rPr>
          <w:rFonts w:hint="eastAsia" w:ascii="宋体" w:eastAsia="宋体" w:cs="宋体"/>
          <w:sz w:val="21"/>
          <w:szCs w:val="21"/>
          <w:lang w:val="en-US" w:eastAsia="zh-CN" w:bidi="ar-SA"/>
        </w:rPr>
        <w:t>，负责三期灰库分选系统的运行工作</w:t>
      </w:r>
      <w:r>
        <w:rPr>
          <w:rFonts w:hint="eastAsia" w:ascii="宋体" w:hAnsi="宋体" w:eastAsia="宋体" w:cs="宋体"/>
          <w:sz w:val="21"/>
          <w:szCs w:val="21"/>
          <w:lang w:val="en-US" w:eastAsia="zh-CN" w:bidi="ar-SA"/>
        </w:rPr>
        <w:t>；</w:t>
      </w:r>
    </w:p>
    <w:p w14:paraId="2AF1CC5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4.1.1.1.4</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负责#</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3、#4期</w:t>
      </w:r>
      <w:r>
        <w:rPr>
          <w:rFonts w:hint="eastAsia" w:ascii="宋体" w:hAnsi="宋体" w:eastAsia="宋体" w:cs="宋体"/>
          <w:sz w:val="21"/>
          <w:szCs w:val="21"/>
          <w:lang w:val="en-US" w:eastAsia="zh-CN" w:bidi="ar-SA"/>
        </w:rPr>
        <w:t>灰库干灰调湿装车的放灰工作；</w:t>
      </w:r>
    </w:p>
    <w:p w14:paraId="2061394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4.1.1.1.5</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负责</w:t>
      </w:r>
      <w:r>
        <w:rPr>
          <w:rFonts w:hint="eastAsia" w:ascii="宋体" w:eastAsia="宋体" w:cs="宋体"/>
          <w:sz w:val="21"/>
          <w:szCs w:val="21"/>
          <w:lang w:val="en-US" w:eastAsia="zh-CN" w:bidi="ar-SA"/>
        </w:rPr>
        <w:t>温电公司</w:t>
      </w:r>
      <w:r>
        <w:rPr>
          <w:rFonts w:hint="eastAsia" w:ascii="宋体" w:hAnsi="宋体" w:eastAsia="宋体" w:cs="宋体"/>
          <w:sz w:val="21"/>
          <w:szCs w:val="21"/>
          <w:lang w:val="en-US" w:eastAsia="zh-CN" w:bidi="ar-SA"/>
        </w:rPr>
        <w:t>机组</w:t>
      </w:r>
      <w:r>
        <w:rPr>
          <w:rFonts w:hint="eastAsia" w:ascii="宋体" w:eastAsia="宋体" w:cs="宋体"/>
          <w:sz w:val="21"/>
          <w:szCs w:val="21"/>
          <w:lang w:val="en-US" w:eastAsia="zh-CN" w:bidi="ar-SA"/>
        </w:rPr>
        <w:t>6</w:t>
      </w:r>
      <w:r>
        <w:rPr>
          <w:rFonts w:hint="eastAsia" w:ascii="宋体" w:hAnsi="宋体" w:eastAsia="宋体" w:cs="宋体"/>
          <w:sz w:val="21"/>
          <w:szCs w:val="21"/>
          <w:lang w:val="en-US" w:eastAsia="zh-CN" w:bidi="ar-SA"/>
        </w:rPr>
        <w:t>个渣仓出渣，</w:t>
      </w:r>
      <w:r>
        <w:rPr>
          <w:rFonts w:hint="eastAsia" w:ascii="宋体" w:eastAsia="宋体" w:cs="宋体"/>
          <w:sz w:val="21"/>
          <w:szCs w:val="21"/>
          <w:lang w:val="en-US" w:eastAsia="zh-CN" w:bidi="ar-SA"/>
        </w:rPr>
        <w:t>3</w:t>
      </w:r>
      <w:r>
        <w:rPr>
          <w:rFonts w:hint="eastAsia" w:ascii="宋体" w:hAnsi="宋体" w:eastAsia="宋体" w:cs="宋体"/>
          <w:sz w:val="21"/>
          <w:szCs w:val="21"/>
          <w:lang w:val="en-US" w:eastAsia="zh-CN" w:bidi="ar-SA"/>
        </w:rPr>
        <w:t>个脱硫石膏仓放脱硫石膏工作</w:t>
      </w:r>
      <w:r>
        <w:rPr>
          <w:rFonts w:hint="eastAsia" w:ascii="宋体" w:eastAsia="宋体" w:cs="宋体"/>
          <w:sz w:val="21"/>
          <w:szCs w:val="21"/>
          <w:lang w:val="en-US" w:eastAsia="zh-CN" w:bidi="ar-SA"/>
        </w:rPr>
        <w:t>，#1、#2固废堆棚及三期应急堆场安全文明管理工作；</w:t>
      </w:r>
    </w:p>
    <w:p w14:paraId="1376319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4.1.1.1.6</w:t>
      </w:r>
      <w:r>
        <w:rPr>
          <w:rFonts w:hint="eastAsia" w:ascii="宋体" w:eastAsia="宋体" w:cs="宋体"/>
          <w:sz w:val="21"/>
          <w:szCs w:val="21"/>
          <w:lang w:val="en-US" w:eastAsia="zh-CN" w:bidi="ar-SA"/>
        </w:rPr>
        <w:t>.</w:t>
      </w:r>
      <w:r>
        <w:rPr>
          <w:rFonts w:hint="eastAsia" w:ascii="宋体" w:hAnsi="宋体" w:eastAsia="宋体" w:cs="宋体"/>
          <w:sz w:val="21"/>
          <w:szCs w:val="21"/>
          <w:lang w:val="en-US" w:eastAsia="zh-CN" w:bidi="ar-SA"/>
        </w:rPr>
        <w:t>按照运行规程要求的巡检路线，负责#</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3、#4期、固废中心</w:t>
      </w:r>
      <w:r>
        <w:rPr>
          <w:rFonts w:hint="eastAsia" w:ascii="宋体" w:hAnsi="宋体" w:eastAsia="宋体" w:cs="宋体"/>
          <w:sz w:val="21"/>
          <w:szCs w:val="21"/>
          <w:lang w:val="en-US" w:eastAsia="zh-CN" w:bidi="ar-SA"/>
        </w:rPr>
        <w:t>灰库</w:t>
      </w:r>
      <w:r>
        <w:rPr>
          <w:rFonts w:hint="eastAsia" w:ascii="宋体" w:eastAsia="宋体" w:cs="宋体"/>
          <w:sz w:val="21"/>
          <w:szCs w:val="21"/>
          <w:lang w:val="en-US" w:eastAsia="zh-CN" w:bidi="ar-SA"/>
        </w:rPr>
        <w:t>及#1、#2固废堆棚、三期应急堆场</w:t>
      </w:r>
      <w:r>
        <w:rPr>
          <w:rFonts w:hint="eastAsia" w:ascii="宋体" w:hAnsi="宋体" w:eastAsia="宋体" w:cs="宋体"/>
          <w:sz w:val="21"/>
          <w:szCs w:val="21"/>
          <w:lang w:val="en-US" w:eastAsia="zh-CN" w:bidi="ar-SA"/>
        </w:rPr>
        <w:t>运行设备的日常巡检工作，并记录在设备巡检台账上；</w:t>
      </w:r>
    </w:p>
    <w:p w14:paraId="75CE3316">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4.1.1.1.7规范记录填写#</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3、#4期、固废中心</w:t>
      </w:r>
      <w:r>
        <w:rPr>
          <w:rFonts w:hint="eastAsia" w:ascii="宋体" w:hAnsi="宋体" w:eastAsia="宋体" w:cs="宋体"/>
          <w:sz w:val="21"/>
          <w:szCs w:val="21"/>
          <w:lang w:val="en-US" w:eastAsia="zh-CN" w:bidi="ar-SA"/>
        </w:rPr>
        <w:t>灰库</w:t>
      </w:r>
      <w:r>
        <w:rPr>
          <w:rFonts w:hint="eastAsia" w:ascii="宋体" w:eastAsia="宋体" w:cs="宋体"/>
          <w:sz w:val="21"/>
          <w:szCs w:val="21"/>
          <w:lang w:val="en-US" w:eastAsia="zh-CN" w:bidi="ar-SA"/>
        </w:rPr>
        <w:t>及#1、#2固废堆棚、三期应急堆场</w:t>
      </w:r>
      <w:r>
        <w:rPr>
          <w:rFonts w:hint="eastAsia" w:ascii="宋体" w:hAnsi="宋体" w:eastAsia="宋体" w:cs="宋体"/>
          <w:sz w:val="21"/>
          <w:szCs w:val="21"/>
          <w:lang w:val="en-US" w:eastAsia="zh-CN" w:bidi="ar-SA"/>
        </w:rPr>
        <w:t>各类台账，包括班组运行巡回检查记录、班组安全活动记录、负责班组技术问答记录等目前已有的台账以及招标人新增加的各类台账；</w:t>
      </w:r>
    </w:p>
    <w:p w14:paraId="7B2D872E">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4.1.1.1.8负责#</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3、#4期、固废中心</w:t>
      </w:r>
      <w:r>
        <w:rPr>
          <w:rFonts w:hint="eastAsia" w:ascii="宋体" w:hAnsi="宋体" w:eastAsia="宋体" w:cs="宋体"/>
          <w:sz w:val="21"/>
          <w:szCs w:val="21"/>
          <w:lang w:val="en-US" w:eastAsia="zh-CN" w:bidi="ar-SA"/>
        </w:rPr>
        <w:t>灰库</w:t>
      </w:r>
      <w:r>
        <w:rPr>
          <w:rFonts w:hint="eastAsia" w:ascii="宋体" w:eastAsia="宋体" w:cs="宋体"/>
          <w:sz w:val="21"/>
          <w:szCs w:val="21"/>
          <w:lang w:val="en-US" w:eastAsia="zh-CN" w:bidi="ar-SA"/>
        </w:rPr>
        <w:t>及#1、#2固废堆棚、三期应急堆场</w:t>
      </w:r>
      <w:r>
        <w:rPr>
          <w:rFonts w:hint="eastAsia" w:ascii="宋体" w:hAnsi="宋体" w:eastAsia="宋体" w:cs="宋体"/>
          <w:sz w:val="21"/>
          <w:szCs w:val="21"/>
          <w:lang w:val="en-US" w:eastAsia="zh-CN" w:bidi="ar-SA"/>
        </w:rPr>
        <w:t>所有生产区域每天的文明生产和环境卫生工作；</w:t>
      </w:r>
    </w:p>
    <w:p w14:paraId="2848F8AF">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4.1.1.1.9负责各灰库</w:t>
      </w:r>
      <w:r>
        <w:rPr>
          <w:rFonts w:hint="eastAsia" w:ascii="宋体" w:eastAsia="宋体" w:cs="宋体"/>
          <w:sz w:val="21"/>
          <w:szCs w:val="21"/>
          <w:lang w:val="en-US" w:eastAsia="zh-CN" w:bidi="ar-SA"/>
        </w:rPr>
        <w:t>、堆（棚）场</w:t>
      </w:r>
      <w:r>
        <w:rPr>
          <w:rFonts w:hint="eastAsia" w:ascii="宋体" w:hAnsi="宋体" w:eastAsia="宋体" w:cs="宋体"/>
          <w:sz w:val="21"/>
          <w:szCs w:val="21"/>
          <w:lang w:val="en-US" w:eastAsia="zh-CN" w:bidi="ar-SA"/>
        </w:rPr>
        <w:t>装</w:t>
      </w:r>
      <w:r>
        <w:rPr>
          <w:rFonts w:hint="eastAsia" w:ascii="宋体" w:eastAsia="宋体" w:cs="宋体"/>
          <w:sz w:val="21"/>
          <w:szCs w:val="21"/>
          <w:lang w:val="en-US" w:eastAsia="zh-CN" w:bidi="ar-SA"/>
        </w:rPr>
        <w:t>卸固废物</w:t>
      </w:r>
      <w:r>
        <w:rPr>
          <w:rFonts w:hint="eastAsia" w:ascii="宋体" w:hAnsi="宋体" w:eastAsia="宋体" w:cs="宋体"/>
          <w:sz w:val="21"/>
          <w:szCs w:val="21"/>
          <w:lang w:val="en-US" w:eastAsia="zh-CN" w:bidi="ar-SA"/>
        </w:rPr>
        <w:t>车辆的现场指挥及管理工作；</w:t>
      </w:r>
    </w:p>
    <w:p w14:paraId="0A5E748C">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4.1.1.1.10负责各灰库</w:t>
      </w:r>
      <w:r>
        <w:rPr>
          <w:rFonts w:hint="eastAsia" w:ascii="宋体" w:eastAsia="宋体" w:cs="宋体"/>
          <w:sz w:val="21"/>
          <w:szCs w:val="21"/>
          <w:lang w:val="en-US" w:eastAsia="zh-CN" w:bidi="ar-SA"/>
        </w:rPr>
        <w:t>、堆（棚）场</w:t>
      </w:r>
      <w:r>
        <w:rPr>
          <w:rFonts w:hint="eastAsia" w:ascii="宋体" w:hAnsi="宋体" w:eastAsia="宋体" w:cs="宋体"/>
          <w:sz w:val="21"/>
          <w:szCs w:val="21"/>
          <w:lang w:val="en-US" w:eastAsia="zh-CN" w:bidi="ar-SA"/>
        </w:rPr>
        <w:t>每次装车结束后的取样工作；</w:t>
      </w:r>
    </w:p>
    <w:p w14:paraId="49145329">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4.1.1.1.11负责#</w:t>
      </w:r>
      <w:r>
        <w:rPr>
          <w:rFonts w:hint="eastAsia" w:ascii="宋体" w:eastAsia="宋体" w:cs="宋体"/>
          <w:sz w:val="21"/>
          <w:szCs w:val="21"/>
          <w:lang w:val="en-US" w:eastAsia="zh-CN" w:bidi="ar-SA"/>
        </w:rPr>
        <w:t>2</w:t>
      </w:r>
      <w:r>
        <w:rPr>
          <w:rFonts w:hint="eastAsia" w:ascii="宋体" w:hAnsi="宋体" w:eastAsia="宋体" w:cs="宋体"/>
          <w:sz w:val="21"/>
          <w:szCs w:val="21"/>
          <w:lang w:val="en-US" w:eastAsia="zh-CN" w:bidi="ar-SA"/>
        </w:rPr>
        <w:t>、#</w:t>
      </w:r>
      <w:r>
        <w:rPr>
          <w:rFonts w:hint="eastAsia" w:ascii="宋体" w:eastAsia="宋体" w:cs="宋体"/>
          <w:sz w:val="21"/>
          <w:szCs w:val="21"/>
          <w:lang w:val="en-US" w:eastAsia="zh-CN" w:bidi="ar-SA"/>
        </w:rPr>
        <w:t>3、#4期</w:t>
      </w:r>
      <w:r>
        <w:rPr>
          <w:rFonts w:hint="eastAsia" w:ascii="宋体" w:hAnsi="宋体" w:eastAsia="宋体" w:cs="宋体"/>
          <w:sz w:val="21"/>
          <w:szCs w:val="21"/>
          <w:lang w:val="en-US" w:eastAsia="zh-CN" w:bidi="ar-SA"/>
        </w:rPr>
        <w:t>灰库干灰拌湿系统设备的定期试验工作以及操作运行，定期试验为每</w:t>
      </w:r>
      <w:r>
        <w:rPr>
          <w:rFonts w:hint="eastAsia" w:ascii="宋体" w:eastAsia="宋体" w:cs="宋体"/>
          <w:sz w:val="21"/>
          <w:szCs w:val="21"/>
          <w:lang w:val="en-US" w:eastAsia="zh-CN" w:bidi="ar-SA"/>
        </w:rPr>
        <w:t>月</w:t>
      </w:r>
      <w:r>
        <w:rPr>
          <w:rFonts w:hint="eastAsia" w:ascii="宋体" w:hAnsi="宋体" w:eastAsia="宋体" w:cs="宋体"/>
          <w:sz w:val="21"/>
          <w:szCs w:val="21"/>
          <w:lang w:val="en-US" w:eastAsia="zh-CN" w:bidi="ar-SA"/>
        </w:rPr>
        <w:t>度一次，并记录台账；</w:t>
      </w:r>
    </w:p>
    <w:p w14:paraId="053D730F">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4.1.1.1.12发现缺陷后根据缺陷管理制度，正确填写缺陷单，并及时通知检修，对缺陷处理的进程进行跟踪和闭环；</w:t>
      </w:r>
    </w:p>
    <w:p w14:paraId="20E756DE">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4.1.1.1.13接受招标人对灰库应急情况的处理操作培训（如扬尘等），并正确掌握，要求能达到独立处理；配合电厂完成各类应急演练情况。</w:t>
      </w:r>
    </w:p>
    <w:p w14:paraId="46D5A07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4.1.1.1.14负责招标人临时布置的其他相关工作。</w:t>
      </w:r>
    </w:p>
    <w:p w14:paraId="0963F9F1">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4.2 设备检修维护服务</w:t>
      </w:r>
    </w:p>
    <w:p w14:paraId="4E87B484">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4.2.1负责招标人所属公司生产过程中使用及管辖设备的日常维护保养、抢修、非计划性解体检修,集团批复的技术改造项目及计划性检修不属本标段内；</w:t>
      </w:r>
    </w:p>
    <w:p w14:paraId="24882C48">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4.2.2负责招标人与电厂签署的分工分界协议中由招标人负责维护检修的系统设备和生产经营所使用的设备，以及招标人自行建设运营的生产线及附属设备设施。主要包括（但不限于）：磨粉系统及附属设施、灰库及分选系统、灰库冲洗水及排污系统、地磅及附属设施，公司消防系统及附属设施、公司全厂照明系统及附属、雨污水回收装置、生活污水处理装置、化验室设备等。</w:t>
      </w:r>
    </w:p>
    <w:p w14:paraId="36E658CD">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4.2.3负责招标人所管辖设备日常文明卫生（设备见本色）清扫等工作；</w:t>
      </w:r>
    </w:p>
    <w:p w14:paraId="224C659C">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4.2.4负责招标人所管辖生产区域设备、设施等的所有计划性清理工作、需配合检修或保持设备稳定运行的必要性清理工作；</w:t>
      </w:r>
    </w:p>
    <w:p w14:paraId="79543F2B">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4.2.5负责招标人所管辖设备配套的控制设备检修维护工作，包括就地一次元件/仪表（含测点、仪表阀门及仪表管）、化学仪表拆装、执行机构（含控制用仪用空气支管及附件）、电动机、就地控制柜/接线盒、电源柜、继电器柜、电磁阀柜、变频器及变频器柜、电气各类仪表、仪表柜、电缆及附件、就地设备所带的所有控制子系统等；</w:t>
      </w:r>
    </w:p>
    <w:p w14:paraId="145F8F8C">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4.2.6负责招标人所属设备配套的电气（包括10kV/380V母线、开关及附件）设备、程控柜、热控设备的检修、维护及试验工作。</w:t>
      </w:r>
    </w:p>
    <w:p w14:paraId="00FA3153">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4.2.7负责检修维护日志及台账的录入工作。</w:t>
      </w:r>
    </w:p>
    <w:p w14:paraId="0ABF8A06">
      <w:pPr>
        <w:tabs>
          <w:tab w:val="left" w:pos="540"/>
          <w:tab w:val="left" w:pos="1260"/>
          <w:tab w:val="left" w:pos="3072"/>
          <w:tab w:val="left" w:pos="3360"/>
          <w:tab w:val="left" w:pos="4992"/>
          <w:tab w:val="left" w:pos="5040"/>
          <w:tab w:val="left" w:pos="5460"/>
          <w:tab w:val="left" w:pos="6912"/>
        </w:tab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4.2.8 整体消缺率不低于92%。</w:t>
      </w:r>
    </w:p>
    <w:p w14:paraId="4FCC1DDC">
      <w:pPr>
        <w:snapToGrid w:val="0"/>
        <w:spacing w:line="360" w:lineRule="auto"/>
        <w:jc w:val="both"/>
        <w:rPr>
          <w:rFonts w:ascii="宋体" w:eastAsia="宋体"/>
          <w:sz w:val="32"/>
          <w:szCs w:val="24"/>
          <w:highlight w:val="none"/>
        </w:rPr>
      </w:pPr>
      <w:bookmarkStart w:id="43" w:name="_Toc29305265"/>
      <w:r>
        <w:rPr>
          <w:rFonts w:ascii="宋体" w:eastAsia="宋体"/>
          <w:b/>
          <w:sz w:val="32"/>
          <w:szCs w:val="24"/>
          <w:highlight w:val="none"/>
        </w:rPr>
        <w:t>5.</w:t>
      </w:r>
      <w:r>
        <w:rPr>
          <w:rFonts w:hint="eastAsia" w:ascii="宋体" w:eastAsia="宋体"/>
          <w:b/>
          <w:sz w:val="32"/>
          <w:szCs w:val="24"/>
          <w:highlight w:val="none"/>
        </w:rPr>
        <w:t>岗位配置及任职要求</w:t>
      </w:r>
      <w:bookmarkEnd w:id="43"/>
    </w:p>
    <w:p w14:paraId="4E52C205">
      <w:pPr>
        <w:spacing w:line="360" w:lineRule="auto"/>
        <w:rPr>
          <w:rFonts w:ascii="宋体" w:eastAsia="宋体"/>
          <w:bCs/>
          <w:sz w:val="21"/>
          <w:szCs w:val="21"/>
          <w:highlight w:val="none"/>
        </w:rPr>
      </w:pPr>
      <w:bookmarkStart w:id="44" w:name="_Toc29305267"/>
      <w:r>
        <w:rPr>
          <w:rFonts w:ascii="宋体" w:eastAsia="宋体"/>
          <w:b/>
          <w:bCs/>
          <w:sz w:val="21"/>
          <w:szCs w:val="21"/>
          <w:highlight w:val="none"/>
        </w:rPr>
        <w:t>5.1</w:t>
      </w:r>
      <w:r>
        <w:rPr>
          <w:rFonts w:hint="eastAsia" w:ascii="宋体" w:eastAsia="宋体"/>
          <w:b/>
          <w:bCs/>
          <w:sz w:val="21"/>
          <w:szCs w:val="21"/>
          <w:highlight w:val="none"/>
        </w:rPr>
        <w:t>岗位配置</w:t>
      </w:r>
      <w:bookmarkEnd w:id="44"/>
    </w:p>
    <w:p w14:paraId="0C2E95EE">
      <w:pPr>
        <w:pStyle w:val="82"/>
        <w:spacing w:line="360" w:lineRule="auto"/>
        <w:ind w:left="0" w:firstLine="420" w:firstLineChars="200"/>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投标人应设立项目部，明确项目经理/项目负责人，</w:t>
      </w:r>
      <w:r>
        <w:rPr>
          <w:rFonts w:hint="eastAsia" w:cs="宋体"/>
          <w:sz w:val="21"/>
          <w:szCs w:val="21"/>
          <w:lang w:val="en-US" w:eastAsia="zh-CN" w:bidi="ar-SA"/>
        </w:rPr>
        <w:t>总</w:t>
      </w:r>
      <w:r>
        <w:rPr>
          <w:rFonts w:hint="eastAsia" w:ascii="宋体" w:hAnsi="宋体" w:eastAsia="宋体" w:cs="宋体"/>
          <w:sz w:val="21"/>
          <w:szCs w:val="21"/>
          <w:lang w:val="en-US" w:eastAsia="zh-CN" w:bidi="ar-SA"/>
        </w:rPr>
        <w:t>岗位配置人数</w:t>
      </w:r>
      <w:r>
        <w:rPr>
          <w:rFonts w:hint="eastAsia" w:cs="宋体"/>
          <w:sz w:val="21"/>
          <w:szCs w:val="21"/>
          <w:lang w:val="en-US" w:eastAsia="zh-CN" w:bidi="ar-SA"/>
        </w:rPr>
        <w:t>35</w:t>
      </w:r>
      <w:r>
        <w:rPr>
          <w:rFonts w:hint="eastAsia" w:ascii="宋体" w:hAnsi="宋体" w:eastAsia="宋体" w:cs="宋体"/>
          <w:sz w:val="21"/>
          <w:szCs w:val="21"/>
          <w:lang w:val="en-US" w:eastAsia="zh-CN" w:bidi="ar-SA"/>
        </w:rPr>
        <w:t>人（</w:t>
      </w:r>
      <w:r>
        <w:rPr>
          <w:rFonts w:hint="eastAsia" w:cs="宋体"/>
          <w:sz w:val="21"/>
          <w:szCs w:val="21"/>
          <w:lang w:val="en-US" w:eastAsia="zh-CN" w:bidi="ar-SA"/>
        </w:rPr>
        <w:t>项目管理人员2人</w:t>
      </w:r>
      <w:r>
        <w:rPr>
          <w:rFonts w:hint="eastAsia" w:ascii="宋体" w:hAnsi="宋体" w:eastAsia="宋体" w:cs="宋体"/>
          <w:sz w:val="21"/>
          <w:szCs w:val="21"/>
          <w:lang w:val="en-US" w:eastAsia="zh-CN" w:bidi="ar-SA"/>
        </w:rPr>
        <w:t>、辅助运行</w:t>
      </w:r>
      <w:r>
        <w:rPr>
          <w:rFonts w:hint="eastAsia" w:cs="宋体"/>
          <w:sz w:val="21"/>
          <w:szCs w:val="21"/>
          <w:lang w:val="en-US" w:eastAsia="zh-CN" w:bidi="ar-SA"/>
        </w:rPr>
        <w:t>22</w:t>
      </w:r>
      <w:r>
        <w:rPr>
          <w:rFonts w:hint="eastAsia" w:ascii="宋体" w:hAnsi="宋体" w:eastAsia="宋体" w:cs="宋体"/>
          <w:sz w:val="21"/>
          <w:szCs w:val="21"/>
          <w:lang w:val="en-US" w:eastAsia="zh-CN" w:bidi="ar-SA"/>
        </w:rPr>
        <w:t>人、检修维护</w:t>
      </w:r>
      <w:r>
        <w:rPr>
          <w:rFonts w:hint="eastAsia" w:cs="宋体"/>
          <w:sz w:val="21"/>
          <w:szCs w:val="21"/>
          <w:lang w:val="en-US" w:eastAsia="zh-CN" w:bidi="ar-SA"/>
        </w:rPr>
        <w:t>11</w:t>
      </w:r>
      <w:r>
        <w:rPr>
          <w:rFonts w:hint="eastAsia" w:ascii="宋体" w:hAnsi="宋体" w:eastAsia="宋体" w:cs="宋体"/>
          <w:sz w:val="21"/>
          <w:szCs w:val="21"/>
          <w:lang w:val="en-US" w:eastAsia="zh-CN" w:bidi="ar-SA"/>
        </w:rPr>
        <w:t>人）。其中</w:t>
      </w:r>
      <w:r>
        <w:rPr>
          <w:rFonts w:hint="eastAsia" w:ascii="宋体" w:hAnsi="宋体" w:eastAsia="宋体" w:cs="宋体"/>
          <w:color w:val="auto"/>
          <w:sz w:val="21"/>
          <w:szCs w:val="21"/>
          <w:lang w:val="en-US" w:eastAsia="zh-CN" w:bidi="ar-SA"/>
        </w:rPr>
        <w:t>项目</w:t>
      </w:r>
      <w:r>
        <w:rPr>
          <w:rFonts w:hint="eastAsia" w:cs="宋体"/>
          <w:color w:val="auto"/>
          <w:sz w:val="21"/>
          <w:szCs w:val="21"/>
          <w:lang w:val="en-US" w:eastAsia="zh-CN" w:bidi="ar-SA"/>
        </w:rPr>
        <w:t>负责人兼检修班长</w:t>
      </w:r>
      <w:r>
        <w:rPr>
          <w:rFonts w:hint="eastAsia" w:ascii="宋体" w:hAnsi="宋体" w:eastAsia="宋体" w:cs="宋体"/>
          <w:color w:val="auto"/>
          <w:sz w:val="21"/>
          <w:szCs w:val="21"/>
          <w:highlight w:val="none"/>
          <w:lang w:val="en-US" w:eastAsia="zh-CN" w:bidi="ar-SA"/>
        </w:rPr>
        <w:t>兼起重工</w:t>
      </w:r>
      <w:r>
        <w:rPr>
          <w:rFonts w:hint="eastAsia" w:cs="宋体"/>
          <w:sz w:val="21"/>
          <w:szCs w:val="21"/>
          <w:lang w:val="en-US" w:eastAsia="zh-CN" w:bidi="ar-SA"/>
        </w:rPr>
        <w:t>1人、</w:t>
      </w:r>
      <w:r>
        <w:rPr>
          <w:rFonts w:hint="eastAsia" w:ascii="宋体" w:hAnsi="宋体" w:eastAsia="宋体" w:cs="宋体"/>
          <w:sz w:val="21"/>
          <w:szCs w:val="21"/>
          <w:lang w:val="en-US" w:eastAsia="zh-CN" w:bidi="ar-SA"/>
        </w:rPr>
        <w:t>安全员</w:t>
      </w:r>
      <w:r>
        <w:rPr>
          <w:rFonts w:hint="eastAsia" w:cs="宋体"/>
          <w:sz w:val="21"/>
          <w:szCs w:val="21"/>
          <w:lang w:val="en-US" w:eastAsia="zh-CN" w:bidi="ar-SA"/>
        </w:rPr>
        <w:t>1人、</w:t>
      </w:r>
      <w:r>
        <w:rPr>
          <w:rFonts w:hint="eastAsia" w:ascii="宋体" w:hAnsi="宋体" w:eastAsia="宋体" w:cs="宋体"/>
          <w:sz w:val="21"/>
          <w:szCs w:val="21"/>
          <w:lang w:val="en-US" w:eastAsia="zh-CN" w:bidi="ar-SA"/>
        </w:rPr>
        <w:t>灰库运行人员</w:t>
      </w:r>
      <w:r>
        <w:rPr>
          <w:rFonts w:hint="eastAsia" w:cs="宋体"/>
          <w:sz w:val="21"/>
          <w:szCs w:val="21"/>
          <w:lang w:val="en-US" w:eastAsia="zh-CN" w:bidi="ar-SA"/>
        </w:rPr>
        <w:t>10</w:t>
      </w:r>
      <w:r>
        <w:rPr>
          <w:rFonts w:hint="eastAsia" w:ascii="宋体" w:hAnsi="宋体" w:eastAsia="宋体" w:cs="宋体"/>
          <w:sz w:val="21"/>
          <w:szCs w:val="21"/>
          <w:lang w:val="en-US" w:eastAsia="zh-CN" w:bidi="ar-SA"/>
        </w:rPr>
        <w:t>人</w:t>
      </w:r>
      <w:r>
        <w:rPr>
          <w:rFonts w:hint="eastAsia" w:cs="宋体"/>
          <w:sz w:val="21"/>
          <w:szCs w:val="21"/>
          <w:lang w:val="en-US" w:eastAsia="zh-CN" w:bidi="ar-SA"/>
        </w:rPr>
        <w:t>、</w:t>
      </w:r>
      <w:r>
        <w:rPr>
          <w:rFonts w:hint="eastAsia" w:ascii="宋体" w:hAnsi="宋体" w:eastAsia="宋体" w:cs="宋体"/>
          <w:sz w:val="21"/>
          <w:szCs w:val="21"/>
          <w:lang w:val="en-US" w:eastAsia="zh-CN" w:bidi="ar-SA"/>
        </w:rPr>
        <w:t>石子煤清理</w:t>
      </w:r>
      <w:r>
        <w:rPr>
          <w:rFonts w:hint="eastAsia" w:cs="宋体"/>
          <w:sz w:val="21"/>
          <w:szCs w:val="21"/>
          <w:lang w:val="en-US" w:eastAsia="zh-CN" w:bidi="ar-SA"/>
        </w:rPr>
        <w:t>人员3人、</w:t>
      </w:r>
      <w:r>
        <w:rPr>
          <w:rFonts w:hint="eastAsia" w:ascii="宋体" w:hAnsi="宋体" w:eastAsia="宋体" w:cs="宋体"/>
          <w:sz w:val="21"/>
          <w:szCs w:val="21"/>
          <w:lang w:val="en-US" w:eastAsia="zh-CN" w:bidi="ar-SA"/>
        </w:rPr>
        <w:t>石膏仓运行人员</w:t>
      </w:r>
      <w:r>
        <w:rPr>
          <w:rFonts w:hint="eastAsia" w:cs="宋体"/>
          <w:sz w:val="21"/>
          <w:szCs w:val="21"/>
          <w:lang w:val="en-US" w:eastAsia="zh-CN" w:bidi="ar-SA"/>
        </w:rPr>
        <w:t>3人、</w:t>
      </w:r>
      <w:r>
        <w:rPr>
          <w:rFonts w:hint="eastAsia" w:ascii="宋体" w:hAnsi="宋体" w:eastAsia="宋体" w:cs="宋体"/>
          <w:sz w:val="21"/>
          <w:szCs w:val="21"/>
          <w:lang w:val="en-US" w:eastAsia="zh-CN" w:bidi="ar-SA"/>
        </w:rPr>
        <w:t>渣仓运行人员</w:t>
      </w:r>
      <w:r>
        <w:rPr>
          <w:rFonts w:hint="eastAsia" w:cs="宋体"/>
          <w:sz w:val="21"/>
          <w:szCs w:val="21"/>
          <w:lang w:val="en-US" w:eastAsia="zh-CN" w:bidi="ar-SA"/>
        </w:rPr>
        <w:t>3人、固废堆棚1人、</w:t>
      </w:r>
      <w:r>
        <w:rPr>
          <w:rFonts w:hint="eastAsia" w:ascii="宋体" w:hAnsi="宋体" w:eastAsia="宋体" w:cs="宋体"/>
          <w:sz w:val="21"/>
          <w:szCs w:val="21"/>
          <w:lang w:val="en-US" w:eastAsia="zh-CN" w:bidi="ar-SA"/>
        </w:rPr>
        <w:t>三期应急堆</w:t>
      </w:r>
      <w:r>
        <w:rPr>
          <w:rFonts w:hint="eastAsia" w:cs="宋体"/>
          <w:sz w:val="21"/>
          <w:szCs w:val="21"/>
          <w:lang w:val="en-US" w:eastAsia="zh-CN" w:bidi="ar-SA"/>
        </w:rPr>
        <w:t>场1人、辅助运行班长1人、</w:t>
      </w:r>
      <w:r>
        <w:rPr>
          <w:rFonts w:hint="eastAsia" w:ascii="宋体" w:hAnsi="宋体" w:eastAsia="宋体" w:cs="宋体"/>
          <w:sz w:val="21"/>
          <w:szCs w:val="21"/>
          <w:lang w:val="en-US" w:eastAsia="zh-CN" w:bidi="ar-SA"/>
        </w:rPr>
        <w:t>检修维护</w:t>
      </w:r>
      <w:r>
        <w:rPr>
          <w:rFonts w:hint="eastAsia" w:cs="宋体"/>
          <w:sz w:val="21"/>
          <w:szCs w:val="21"/>
          <w:lang w:val="en-US" w:eastAsia="zh-CN" w:bidi="ar-SA"/>
        </w:rPr>
        <w:t>11</w:t>
      </w:r>
      <w:r>
        <w:rPr>
          <w:rFonts w:hint="eastAsia" w:ascii="宋体" w:hAnsi="宋体" w:eastAsia="宋体" w:cs="宋体"/>
          <w:sz w:val="21"/>
          <w:szCs w:val="21"/>
          <w:lang w:val="en-US" w:eastAsia="zh-CN" w:bidi="ar-SA"/>
        </w:rPr>
        <w:t>人。</w:t>
      </w:r>
    </w:p>
    <w:p w14:paraId="70B87DDF">
      <w:pPr>
        <w:pStyle w:val="82"/>
        <w:spacing w:line="360" w:lineRule="auto"/>
        <w:ind w:left="0" w:firstLine="360" w:firstLineChars="200"/>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bidi="ar-SA"/>
        </w:rPr>
        <w:t>各车间运行人员及检修人员的岗位、岗位数、工作时间段及工作内容具体要求如下表：</w:t>
      </w:r>
    </w:p>
    <w:tbl>
      <w:tblPr>
        <w:tblStyle w:val="55"/>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992"/>
        <w:gridCol w:w="5529"/>
        <w:gridCol w:w="850"/>
      </w:tblGrid>
      <w:tr w14:paraId="5FFA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A353BF0">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岗位</w:t>
            </w:r>
          </w:p>
        </w:tc>
        <w:tc>
          <w:tcPr>
            <w:tcW w:w="992" w:type="dxa"/>
            <w:vAlign w:val="center"/>
          </w:tcPr>
          <w:p w14:paraId="59533B91">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岗位数</w:t>
            </w:r>
          </w:p>
        </w:tc>
        <w:tc>
          <w:tcPr>
            <w:tcW w:w="5529" w:type="dxa"/>
            <w:vAlign w:val="center"/>
          </w:tcPr>
          <w:p w14:paraId="126B1698">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工作内容</w:t>
            </w:r>
          </w:p>
        </w:tc>
        <w:tc>
          <w:tcPr>
            <w:tcW w:w="850" w:type="dxa"/>
            <w:vAlign w:val="center"/>
          </w:tcPr>
          <w:p w14:paraId="2E26088B">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备注</w:t>
            </w:r>
          </w:p>
        </w:tc>
      </w:tr>
      <w:tr w14:paraId="4E40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49C78087">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项目</w:t>
            </w:r>
            <w:r>
              <w:rPr>
                <w:rFonts w:hint="eastAsia" w:cs="宋体"/>
                <w:color w:val="auto"/>
                <w:sz w:val="21"/>
                <w:szCs w:val="21"/>
                <w:lang w:val="en-US" w:eastAsia="zh-CN" w:bidi="ar-SA"/>
              </w:rPr>
              <w:t>负责人</w:t>
            </w:r>
            <w:r>
              <w:rPr>
                <w:rFonts w:hint="eastAsia" w:ascii="宋体" w:hAnsi="宋体" w:eastAsia="宋体" w:cs="宋体"/>
                <w:color w:val="auto"/>
                <w:sz w:val="21"/>
                <w:szCs w:val="21"/>
                <w:highlight w:val="none"/>
                <w:lang w:val="en-US" w:eastAsia="zh-CN" w:bidi="ar-SA"/>
              </w:rPr>
              <w:t>兼维护班班长兼起重工</w:t>
            </w:r>
          </w:p>
        </w:tc>
        <w:tc>
          <w:tcPr>
            <w:tcW w:w="992" w:type="dxa"/>
            <w:vAlign w:val="center"/>
          </w:tcPr>
          <w:p w14:paraId="1106449E">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w:t>
            </w:r>
          </w:p>
        </w:tc>
        <w:tc>
          <w:tcPr>
            <w:tcW w:w="5529" w:type="dxa"/>
            <w:vAlign w:val="center"/>
          </w:tcPr>
          <w:p w14:paraId="2435CE6F">
            <w:pPr>
              <w:widowControl/>
              <w:numPr>
                <w:ilvl w:val="0"/>
                <w:numId w:val="3"/>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负责检修维护日志及台账的录入工作</w:t>
            </w:r>
          </w:p>
          <w:p w14:paraId="33A44B5E">
            <w:pPr>
              <w:widowControl/>
              <w:numPr>
                <w:ilvl w:val="0"/>
                <w:numId w:val="3"/>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负责每天设备维护、消缺的工作分配安排</w:t>
            </w:r>
          </w:p>
          <w:p w14:paraId="76BC967B">
            <w:pPr>
              <w:widowControl/>
              <w:numPr>
                <w:ilvl w:val="0"/>
                <w:numId w:val="3"/>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负责检修设备的起重工作</w:t>
            </w:r>
          </w:p>
          <w:p w14:paraId="5B254A87">
            <w:pPr>
              <w:ind w:firstLine="1470" w:firstLineChars="700"/>
              <w:jc w:val="both"/>
              <w:rPr>
                <w:rFonts w:hint="eastAsia" w:ascii="宋体" w:hAnsi="宋体" w:eastAsia="宋体" w:cs="宋体"/>
                <w:color w:val="auto"/>
                <w:sz w:val="21"/>
                <w:szCs w:val="21"/>
                <w:highlight w:val="none"/>
                <w:lang w:val="en-US" w:eastAsia="zh-CN" w:bidi="ar-SA"/>
              </w:rPr>
            </w:pPr>
            <w:r>
              <w:rPr>
                <w:rFonts w:hint="eastAsia" w:ascii="宋体" w:eastAsia="宋体" w:cs="宋体"/>
                <w:color w:val="auto"/>
                <w:sz w:val="21"/>
                <w:szCs w:val="21"/>
                <w:highlight w:val="none"/>
                <w:lang w:val="en-US" w:eastAsia="zh-CN" w:bidi="ar-SA"/>
              </w:rPr>
              <w:t>4.</w:t>
            </w:r>
            <w:r>
              <w:rPr>
                <w:rFonts w:hint="eastAsia" w:ascii="宋体" w:hAnsi="宋体" w:eastAsia="宋体" w:cs="宋体"/>
                <w:color w:val="auto"/>
                <w:sz w:val="21"/>
                <w:szCs w:val="21"/>
                <w:highlight w:val="none"/>
                <w:lang w:val="en-US" w:eastAsia="zh-CN" w:bidi="ar-SA"/>
              </w:rPr>
              <w:t>负责日常设备检查工作</w:t>
            </w:r>
          </w:p>
          <w:p w14:paraId="1A37C166">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cs="宋体"/>
                <w:color w:val="auto"/>
                <w:sz w:val="21"/>
                <w:szCs w:val="21"/>
                <w:lang w:val="en-US" w:eastAsia="zh-CN" w:bidi="ar-SA"/>
              </w:rPr>
              <w:t>5.</w:t>
            </w:r>
            <w:r>
              <w:rPr>
                <w:rFonts w:hint="eastAsia" w:ascii="宋体" w:hAnsi="宋体" w:eastAsia="宋体" w:cs="宋体"/>
                <w:color w:val="auto"/>
                <w:sz w:val="21"/>
                <w:szCs w:val="21"/>
                <w:lang w:val="en-US" w:eastAsia="zh-CN" w:bidi="ar-SA"/>
              </w:rPr>
              <w:t>负责服务项目整体协调、配合工作</w:t>
            </w:r>
          </w:p>
          <w:p w14:paraId="23536240">
            <w:pPr>
              <w:ind w:firstLine="1470" w:firstLineChars="700"/>
              <w:jc w:val="both"/>
              <w:rPr>
                <w:rFonts w:hint="eastAsia" w:ascii="宋体" w:hAnsi="宋体" w:eastAsia="宋体" w:cs="宋体"/>
                <w:color w:val="auto"/>
                <w:sz w:val="21"/>
                <w:szCs w:val="21"/>
                <w:highlight w:val="none"/>
                <w:lang w:val="en-US" w:eastAsia="zh-CN" w:bidi="ar-SA"/>
              </w:rPr>
            </w:pPr>
          </w:p>
        </w:tc>
        <w:tc>
          <w:tcPr>
            <w:tcW w:w="850" w:type="dxa"/>
            <w:vAlign w:val="center"/>
          </w:tcPr>
          <w:p w14:paraId="09147733">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cs="宋体"/>
                <w:color w:val="auto"/>
                <w:sz w:val="21"/>
                <w:szCs w:val="21"/>
                <w:lang w:val="en-US" w:eastAsia="zh-CN" w:bidi="ar-SA"/>
              </w:rPr>
              <w:t>兼职</w:t>
            </w:r>
          </w:p>
        </w:tc>
      </w:tr>
      <w:tr w14:paraId="6478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51D7BF95">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安全员</w:t>
            </w:r>
          </w:p>
        </w:tc>
        <w:tc>
          <w:tcPr>
            <w:tcW w:w="992" w:type="dxa"/>
            <w:vAlign w:val="center"/>
          </w:tcPr>
          <w:p w14:paraId="54F7658A">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w:t>
            </w:r>
          </w:p>
        </w:tc>
        <w:tc>
          <w:tcPr>
            <w:tcW w:w="5529" w:type="dxa"/>
            <w:vAlign w:val="center"/>
          </w:tcPr>
          <w:p w14:paraId="0512BEB3">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负责服务项目整体安全管理工作，包括安全台账的建立、健全工作等</w:t>
            </w:r>
          </w:p>
        </w:tc>
        <w:tc>
          <w:tcPr>
            <w:tcW w:w="850" w:type="dxa"/>
            <w:vAlign w:val="center"/>
          </w:tcPr>
          <w:p w14:paraId="5680ED0C">
            <w:pPr>
              <w:pStyle w:val="82"/>
              <w:widowControl w:val="0"/>
              <w:spacing w:line="360" w:lineRule="auto"/>
              <w:ind w:left="0" w:leftChars="0" w:firstLine="0" w:firstLineChars="0"/>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专职</w:t>
            </w:r>
          </w:p>
        </w:tc>
      </w:tr>
      <w:tr w14:paraId="762D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100FC7AA">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二期灰库值班员</w:t>
            </w:r>
          </w:p>
        </w:tc>
        <w:tc>
          <w:tcPr>
            <w:tcW w:w="992" w:type="dxa"/>
            <w:vAlign w:val="center"/>
          </w:tcPr>
          <w:p w14:paraId="3FB92868">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p>
        </w:tc>
        <w:tc>
          <w:tcPr>
            <w:tcW w:w="5529" w:type="dxa"/>
            <w:shd w:val="clear" w:color="auto" w:fill="auto"/>
            <w:vAlign w:val="center"/>
          </w:tcPr>
          <w:p w14:paraId="0E74AE8A">
            <w:pPr>
              <w:numPr>
                <w:ilvl w:val="0"/>
                <w:numId w:val="4"/>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负责二期灰库的放灰工作</w:t>
            </w:r>
          </w:p>
          <w:p w14:paraId="33668654">
            <w:pPr>
              <w:numPr>
                <w:ilvl w:val="0"/>
                <w:numId w:val="4"/>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负责所辖设备的日常巡回检查工作</w:t>
            </w:r>
          </w:p>
          <w:p w14:paraId="4CCFE70C">
            <w:pPr>
              <w:numPr>
                <w:ilvl w:val="0"/>
                <w:numId w:val="4"/>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负责二期灰库取样及送检工作</w:t>
            </w:r>
          </w:p>
          <w:p w14:paraId="4CE62CA2">
            <w:pPr>
              <w:numPr>
                <w:ilvl w:val="0"/>
                <w:numId w:val="4"/>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负责运行日志及台账的录入工作</w:t>
            </w:r>
          </w:p>
          <w:p w14:paraId="2090101C">
            <w:pPr>
              <w:numPr>
                <w:ilvl w:val="0"/>
                <w:numId w:val="4"/>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负责所辖生产现场的文明卫生工作</w:t>
            </w:r>
          </w:p>
          <w:p w14:paraId="61D8EF46">
            <w:pPr>
              <w:numPr>
                <w:ilvl w:val="0"/>
                <w:numId w:val="4"/>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负责所辖设备的日常巡回检查及配合消缺工作</w:t>
            </w:r>
          </w:p>
        </w:tc>
        <w:tc>
          <w:tcPr>
            <w:tcW w:w="850" w:type="dxa"/>
            <w:vAlign w:val="center"/>
          </w:tcPr>
          <w:p w14:paraId="006BFEB9">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7696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69105C25">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三期灰库值班员</w:t>
            </w:r>
          </w:p>
        </w:tc>
        <w:tc>
          <w:tcPr>
            <w:tcW w:w="992" w:type="dxa"/>
            <w:vAlign w:val="center"/>
          </w:tcPr>
          <w:p w14:paraId="663FBAC4">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p>
        </w:tc>
        <w:tc>
          <w:tcPr>
            <w:tcW w:w="5529" w:type="dxa"/>
            <w:shd w:val="clear" w:color="auto" w:fill="auto"/>
            <w:vAlign w:val="center"/>
          </w:tcPr>
          <w:p w14:paraId="575FC2E5">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1.负责三期灰库的放灰工作</w:t>
            </w:r>
          </w:p>
          <w:p w14:paraId="3A6D55A6">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2.负责所辖设备的日常巡回检查工作</w:t>
            </w:r>
          </w:p>
          <w:p w14:paraId="2E5C5B6D">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3.负责三期灰库取样及送检工作</w:t>
            </w:r>
          </w:p>
          <w:p w14:paraId="20629CCD">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4.负责运行日志及台账的录入工作</w:t>
            </w:r>
          </w:p>
          <w:p w14:paraId="44436E05">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5.负责所辖生产现场的文明卫生工作</w:t>
            </w:r>
          </w:p>
          <w:p w14:paraId="1B2673D2">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6.负责所辖设备的日常巡回检查及配合消缺工作</w:t>
            </w:r>
          </w:p>
          <w:p w14:paraId="6BA8DF5B">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7.负责三期分选设备运行工作</w:t>
            </w:r>
          </w:p>
        </w:tc>
        <w:tc>
          <w:tcPr>
            <w:tcW w:w="850" w:type="dxa"/>
            <w:vAlign w:val="center"/>
          </w:tcPr>
          <w:p w14:paraId="7A61ED55">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4C91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2124301A">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四期灰库值班员人</w:t>
            </w:r>
          </w:p>
        </w:tc>
        <w:tc>
          <w:tcPr>
            <w:tcW w:w="992" w:type="dxa"/>
            <w:vAlign w:val="center"/>
          </w:tcPr>
          <w:p w14:paraId="056DC985">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4</w:t>
            </w:r>
          </w:p>
        </w:tc>
        <w:tc>
          <w:tcPr>
            <w:tcW w:w="5529" w:type="dxa"/>
            <w:shd w:val="clear" w:color="auto" w:fill="auto"/>
            <w:vAlign w:val="center"/>
          </w:tcPr>
          <w:p w14:paraId="14737AA1">
            <w:pPr>
              <w:numPr>
                <w:ilvl w:val="0"/>
                <w:numId w:val="5"/>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负责四期大灰库的倒库工作(进入大灰库后通过斗提机进入散装库,散装库放灰装车)</w:t>
            </w:r>
          </w:p>
          <w:p w14:paraId="45DEC135">
            <w:pPr>
              <w:numPr>
                <w:ilvl w:val="0"/>
                <w:numId w:val="5"/>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负责二个散装库的放灰工作</w:t>
            </w:r>
          </w:p>
          <w:p w14:paraId="4468CB56">
            <w:pPr>
              <w:numPr>
                <w:ilvl w:val="0"/>
                <w:numId w:val="5"/>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负责固废中心三个成品库的放灰工作</w:t>
            </w:r>
          </w:p>
          <w:p w14:paraId="6E47B8AD">
            <w:pPr>
              <w:numPr>
                <w:ilvl w:val="0"/>
                <w:numId w:val="5"/>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负责所有灰种的取样及送检工作</w:t>
            </w:r>
          </w:p>
          <w:p w14:paraId="4F138BB4">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5.负责运行日志及台账的录入工作</w:t>
            </w:r>
          </w:p>
          <w:p w14:paraId="5302DAB9">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6负责所辖生产现场的文明卫生工作</w:t>
            </w:r>
          </w:p>
          <w:p w14:paraId="6358C2FE">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7.负责所辖设备的日常巡回检查及配合消缺工作</w:t>
            </w:r>
          </w:p>
        </w:tc>
        <w:tc>
          <w:tcPr>
            <w:tcW w:w="850" w:type="dxa"/>
            <w:vAlign w:val="center"/>
          </w:tcPr>
          <w:p w14:paraId="0C21B876">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412A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02226DD9">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二、三、四期石子煤清理值班员</w:t>
            </w:r>
          </w:p>
        </w:tc>
        <w:tc>
          <w:tcPr>
            <w:tcW w:w="992" w:type="dxa"/>
            <w:vAlign w:val="center"/>
          </w:tcPr>
          <w:p w14:paraId="3327D17D">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p>
        </w:tc>
        <w:tc>
          <w:tcPr>
            <w:tcW w:w="5529" w:type="dxa"/>
            <w:shd w:val="clear" w:color="auto" w:fill="auto"/>
            <w:vAlign w:val="center"/>
          </w:tcPr>
          <w:p w14:paraId="1686966F">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1.负责二、三、四期6台机组石子煤的清理工作</w:t>
            </w:r>
          </w:p>
        </w:tc>
        <w:tc>
          <w:tcPr>
            <w:tcW w:w="850" w:type="dxa"/>
            <w:vAlign w:val="center"/>
          </w:tcPr>
          <w:p w14:paraId="245692B5">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7F93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3026A137">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二、三、四期石膏仓值班员</w:t>
            </w:r>
          </w:p>
        </w:tc>
        <w:tc>
          <w:tcPr>
            <w:tcW w:w="992" w:type="dxa"/>
            <w:vAlign w:val="center"/>
          </w:tcPr>
          <w:p w14:paraId="5259AE75">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p>
        </w:tc>
        <w:tc>
          <w:tcPr>
            <w:tcW w:w="5529" w:type="dxa"/>
            <w:shd w:val="clear" w:color="auto" w:fill="auto"/>
            <w:vAlign w:val="center"/>
          </w:tcPr>
          <w:p w14:paraId="2CEBD06F">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1.负责二、三、四期的石膏每天的取样及送检工作</w:t>
            </w:r>
          </w:p>
          <w:p w14:paraId="2FB1100B">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2.负责二、三、四期石膏仓石膏的装卸</w:t>
            </w:r>
          </w:p>
          <w:p w14:paraId="73FD42AC">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3.负责二、三、四期石膏仓生产现场的文明卫生</w:t>
            </w:r>
          </w:p>
          <w:p w14:paraId="29C38C5B">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4.负责配合消缺工作</w:t>
            </w:r>
          </w:p>
        </w:tc>
        <w:tc>
          <w:tcPr>
            <w:tcW w:w="850" w:type="dxa"/>
            <w:vAlign w:val="center"/>
          </w:tcPr>
          <w:p w14:paraId="7701582D">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48D49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455F8B1F">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二、三、四期渣仓值班员</w:t>
            </w:r>
          </w:p>
        </w:tc>
        <w:tc>
          <w:tcPr>
            <w:tcW w:w="992" w:type="dxa"/>
            <w:vAlign w:val="center"/>
          </w:tcPr>
          <w:p w14:paraId="2A48904B">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p>
        </w:tc>
        <w:tc>
          <w:tcPr>
            <w:tcW w:w="5529" w:type="dxa"/>
            <w:shd w:val="clear" w:color="auto" w:fill="auto"/>
            <w:vAlign w:val="center"/>
          </w:tcPr>
          <w:p w14:paraId="2E7C584A">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1负责二、三、四期渣仓的装卸工作</w:t>
            </w:r>
          </w:p>
          <w:p w14:paraId="1A111430">
            <w:pPr>
              <w:numPr>
                <w:ilvl w:val="0"/>
                <w:numId w:val="6"/>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负责二、三、四期渣仓生产现场的文明卫生</w:t>
            </w:r>
          </w:p>
          <w:p w14:paraId="7F38AFF4">
            <w:pPr>
              <w:numPr>
                <w:ilvl w:val="0"/>
                <w:numId w:val="6"/>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负责配合消缺工作</w:t>
            </w:r>
          </w:p>
        </w:tc>
        <w:tc>
          <w:tcPr>
            <w:tcW w:w="850" w:type="dxa"/>
            <w:vAlign w:val="center"/>
          </w:tcPr>
          <w:p w14:paraId="3AE00E80">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7DE9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59CDD9A5">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#1固废堆棚车辆冲洗值班员</w:t>
            </w:r>
          </w:p>
        </w:tc>
        <w:tc>
          <w:tcPr>
            <w:tcW w:w="992" w:type="dxa"/>
            <w:vAlign w:val="center"/>
          </w:tcPr>
          <w:p w14:paraId="06F86884">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p>
        </w:tc>
        <w:tc>
          <w:tcPr>
            <w:tcW w:w="5529" w:type="dxa"/>
            <w:shd w:val="clear" w:color="auto" w:fill="auto"/>
            <w:vAlign w:val="center"/>
          </w:tcPr>
          <w:p w14:paraId="5EF7D649">
            <w:pPr>
              <w:numPr>
                <w:ilvl w:val="0"/>
                <w:numId w:val="7"/>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负责#1堆棚所有车辆的冲洗；</w:t>
            </w:r>
          </w:p>
          <w:p w14:paraId="45879001">
            <w:pPr>
              <w:numPr>
                <w:ilvl w:val="0"/>
                <w:numId w:val="7"/>
              </w:num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负责所辖区域的现场文明卫生。</w:t>
            </w:r>
          </w:p>
        </w:tc>
        <w:tc>
          <w:tcPr>
            <w:tcW w:w="850" w:type="dxa"/>
            <w:vAlign w:val="center"/>
          </w:tcPr>
          <w:p w14:paraId="27BFB82F">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70ED5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2" w:hRule="atLeast"/>
        </w:trPr>
        <w:tc>
          <w:tcPr>
            <w:tcW w:w="1271" w:type="dxa"/>
            <w:shd w:val="clear" w:color="auto" w:fill="auto"/>
            <w:vAlign w:val="center"/>
          </w:tcPr>
          <w:p w14:paraId="47D587F3">
            <w:pPr>
              <w:spacing w:before="158" w:beforeLines="50" w:after="158" w:afterLines="5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三期应急堆</w:t>
            </w:r>
            <w:r>
              <w:rPr>
                <w:rFonts w:hint="eastAsia" w:ascii="宋体" w:eastAsia="宋体" w:cs="宋体"/>
                <w:sz w:val="21"/>
                <w:szCs w:val="21"/>
                <w:highlight w:val="none"/>
                <w:lang w:val="en-US" w:eastAsia="zh-CN" w:bidi="ar-SA"/>
              </w:rPr>
              <w:t>场</w:t>
            </w:r>
            <w:r>
              <w:rPr>
                <w:rFonts w:hint="eastAsia" w:ascii="宋体" w:hAnsi="宋体" w:eastAsia="宋体" w:cs="宋体"/>
                <w:sz w:val="21"/>
                <w:szCs w:val="21"/>
                <w:highlight w:val="none"/>
                <w:lang w:val="en-US" w:eastAsia="zh-CN" w:bidi="ar-SA"/>
              </w:rPr>
              <w:t>车辆</w:t>
            </w:r>
            <w:r>
              <w:rPr>
                <w:rFonts w:hint="eastAsia" w:ascii="宋体" w:eastAsia="宋体" w:cs="宋体"/>
                <w:sz w:val="21"/>
                <w:szCs w:val="21"/>
                <w:highlight w:val="none"/>
                <w:lang w:val="en-US" w:eastAsia="zh-CN" w:bidi="ar-SA"/>
              </w:rPr>
              <w:t>现场管理、堆场进出车辆</w:t>
            </w:r>
            <w:r>
              <w:rPr>
                <w:rFonts w:hint="eastAsia" w:ascii="宋体" w:hAnsi="宋体" w:eastAsia="宋体" w:cs="宋体"/>
                <w:sz w:val="21"/>
                <w:szCs w:val="21"/>
                <w:highlight w:val="none"/>
                <w:lang w:val="en-US" w:eastAsia="zh-CN" w:bidi="ar-SA"/>
              </w:rPr>
              <w:t>冲洗值班员</w:t>
            </w:r>
          </w:p>
        </w:tc>
        <w:tc>
          <w:tcPr>
            <w:tcW w:w="992" w:type="dxa"/>
            <w:vAlign w:val="center"/>
          </w:tcPr>
          <w:p w14:paraId="4B9136FB">
            <w:pPr>
              <w:pStyle w:val="82"/>
              <w:widowControl w:val="0"/>
              <w:spacing w:line="360" w:lineRule="auto"/>
              <w:ind w:left="0" w:leftChars="0" w:firstLine="0" w:firstLineChars="0"/>
              <w:jc w:val="center"/>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1</w:t>
            </w:r>
          </w:p>
        </w:tc>
        <w:tc>
          <w:tcPr>
            <w:tcW w:w="5529" w:type="dxa"/>
            <w:shd w:val="clear" w:color="auto" w:fill="auto"/>
            <w:vAlign w:val="center"/>
          </w:tcPr>
          <w:p w14:paraId="674BDF66">
            <w:pPr>
              <w:spacing w:before="158" w:beforeLines="50" w:after="158" w:afterLines="5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1.负责三期应急堆棚所有车辆的冲洗；</w:t>
            </w:r>
          </w:p>
          <w:p w14:paraId="23484552">
            <w:pPr>
              <w:spacing w:before="158" w:beforeLines="50" w:after="158" w:afterLines="5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2.负责所辖区域的现场文明卫生。</w:t>
            </w:r>
          </w:p>
        </w:tc>
        <w:tc>
          <w:tcPr>
            <w:tcW w:w="850" w:type="dxa"/>
            <w:vAlign w:val="center"/>
          </w:tcPr>
          <w:p w14:paraId="47FC87A4">
            <w:pPr>
              <w:pStyle w:val="82"/>
              <w:widowControl w:val="0"/>
              <w:spacing w:line="360" w:lineRule="auto"/>
              <w:ind w:left="0" w:leftChars="0" w:firstLine="0" w:firstLineChars="0"/>
              <w:jc w:val="center"/>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bidi="ar-SA"/>
              </w:rPr>
              <w:t>专职</w:t>
            </w:r>
          </w:p>
        </w:tc>
      </w:tr>
      <w:tr w14:paraId="3D5A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vAlign w:val="center"/>
          </w:tcPr>
          <w:p w14:paraId="6C442153">
            <w:pPr>
              <w:spacing w:before="158" w:beforeLines="50" w:after="158" w:afterLines="50"/>
              <w:jc w:val="center"/>
              <w:rPr>
                <w:rFonts w:hint="eastAsia" w:ascii="宋体" w:eastAsia="宋体" w:cs="宋体"/>
                <w:sz w:val="21"/>
                <w:szCs w:val="21"/>
                <w:lang w:val="en-US" w:eastAsia="zh-CN" w:bidi="ar-SA"/>
              </w:rPr>
            </w:pPr>
            <w:r>
              <w:rPr>
                <w:rFonts w:hint="eastAsia" w:ascii="宋体" w:eastAsia="宋体" w:cs="宋体"/>
                <w:sz w:val="21"/>
                <w:szCs w:val="21"/>
                <w:lang w:val="en-US" w:eastAsia="zh-CN" w:bidi="ar-SA"/>
              </w:rPr>
              <w:t>辅助运行</w:t>
            </w:r>
          </w:p>
          <w:p w14:paraId="00BEB9B4">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班长</w:t>
            </w:r>
          </w:p>
        </w:tc>
        <w:tc>
          <w:tcPr>
            <w:tcW w:w="992" w:type="dxa"/>
            <w:vAlign w:val="center"/>
          </w:tcPr>
          <w:p w14:paraId="6CDC8436">
            <w:pPr>
              <w:pStyle w:val="82"/>
              <w:widowControl w:val="0"/>
              <w:spacing w:line="360" w:lineRule="auto"/>
              <w:ind w:left="0" w:leftChars="0" w:firstLine="0" w:firstLineChars="0"/>
              <w:jc w:val="center"/>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p>
        </w:tc>
        <w:tc>
          <w:tcPr>
            <w:tcW w:w="5529" w:type="dxa"/>
            <w:shd w:val="clear" w:color="auto" w:fill="auto"/>
            <w:vAlign w:val="center"/>
          </w:tcPr>
          <w:p w14:paraId="0139A8EC">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1.负责生产现场所辖设备的入缺及报送工作；</w:t>
            </w:r>
          </w:p>
          <w:p w14:paraId="04A3C2A3">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2.负责每天生产信息的报送任务；</w:t>
            </w:r>
          </w:p>
          <w:p w14:paraId="49645665">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3.负责调湿灰定期调试工作；</w:t>
            </w:r>
          </w:p>
          <w:p w14:paraId="74C0BB11">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4.负责突发事件对人员的调配；</w:t>
            </w:r>
          </w:p>
          <w:p w14:paraId="32338ED6">
            <w:pPr>
              <w:spacing w:before="158" w:beforeLines="50" w:after="158" w:afterLines="5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5.负责完成业主临时布置的任务。</w:t>
            </w:r>
          </w:p>
        </w:tc>
        <w:tc>
          <w:tcPr>
            <w:tcW w:w="850" w:type="dxa"/>
            <w:vAlign w:val="center"/>
          </w:tcPr>
          <w:p w14:paraId="700C6CC7">
            <w:pPr>
              <w:pStyle w:val="82"/>
              <w:widowControl w:val="0"/>
              <w:spacing w:line="360" w:lineRule="auto"/>
              <w:ind w:left="0" w:leftChars="0"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专职</w:t>
            </w:r>
          </w:p>
        </w:tc>
      </w:tr>
      <w:tr w14:paraId="76EC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72961F7D">
            <w:pPr>
              <w:widowControl/>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焊工</w:t>
            </w:r>
          </w:p>
        </w:tc>
        <w:tc>
          <w:tcPr>
            <w:tcW w:w="992" w:type="dxa"/>
            <w:shd w:val="clear" w:color="auto" w:fill="auto"/>
            <w:vAlign w:val="center"/>
          </w:tcPr>
          <w:p w14:paraId="6A3DEF03">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w:t>
            </w:r>
          </w:p>
        </w:tc>
        <w:tc>
          <w:tcPr>
            <w:tcW w:w="5529" w:type="dxa"/>
            <w:shd w:val="clear" w:color="auto" w:fill="auto"/>
            <w:vAlign w:val="center"/>
          </w:tcPr>
          <w:p w14:paraId="733144F9">
            <w:pPr>
              <w:numPr>
                <w:ilvl w:val="0"/>
                <w:numId w:val="8"/>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负责日常设备检修的焊接、气割工作</w:t>
            </w:r>
          </w:p>
          <w:p w14:paraId="4FB7D55E">
            <w:pPr>
              <w:numPr>
                <w:ilvl w:val="0"/>
                <w:numId w:val="8"/>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负责日常设备检查工作</w:t>
            </w:r>
          </w:p>
          <w:p w14:paraId="0F39556A">
            <w:pPr>
              <w:numPr>
                <w:ilvl w:val="0"/>
                <w:numId w:val="8"/>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配合班长完成其他检修工作</w:t>
            </w:r>
          </w:p>
        </w:tc>
        <w:tc>
          <w:tcPr>
            <w:tcW w:w="850" w:type="dxa"/>
            <w:shd w:val="clear" w:color="auto" w:fill="auto"/>
            <w:vAlign w:val="center"/>
          </w:tcPr>
          <w:p w14:paraId="7785F180">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专职</w:t>
            </w:r>
          </w:p>
        </w:tc>
      </w:tr>
      <w:tr w14:paraId="2E8D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266ED86">
            <w:pPr>
              <w:tabs>
                <w:tab w:val="left" w:pos="1410"/>
              </w:tabs>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电工</w:t>
            </w:r>
          </w:p>
        </w:tc>
        <w:tc>
          <w:tcPr>
            <w:tcW w:w="992" w:type="dxa"/>
            <w:shd w:val="clear" w:color="auto" w:fill="auto"/>
            <w:vAlign w:val="center"/>
          </w:tcPr>
          <w:p w14:paraId="7C5C9B72">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w:t>
            </w:r>
          </w:p>
        </w:tc>
        <w:tc>
          <w:tcPr>
            <w:tcW w:w="5529" w:type="dxa"/>
            <w:shd w:val="clear" w:color="auto" w:fill="auto"/>
            <w:vAlign w:val="center"/>
          </w:tcPr>
          <w:p w14:paraId="044ED0B9">
            <w:pPr>
              <w:numPr>
                <w:ilvl w:val="0"/>
                <w:numId w:val="9"/>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负责日常电气设备故障消缺及维护工作</w:t>
            </w:r>
          </w:p>
          <w:p w14:paraId="450E301E">
            <w:pPr>
              <w:numPr>
                <w:ilvl w:val="0"/>
                <w:numId w:val="9"/>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负责日常电气设备定期检查工作</w:t>
            </w:r>
          </w:p>
          <w:p w14:paraId="6B5BA7E3">
            <w:pPr>
              <w:numPr>
                <w:ilvl w:val="0"/>
                <w:numId w:val="9"/>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配合班长完成其他检修工作</w:t>
            </w:r>
          </w:p>
        </w:tc>
        <w:tc>
          <w:tcPr>
            <w:tcW w:w="850" w:type="dxa"/>
            <w:shd w:val="clear" w:color="auto" w:fill="auto"/>
            <w:vAlign w:val="center"/>
          </w:tcPr>
          <w:p w14:paraId="5465CCA5">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专职</w:t>
            </w:r>
          </w:p>
        </w:tc>
      </w:tr>
      <w:tr w14:paraId="4B46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FF2E66A">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钳工</w:t>
            </w:r>
          </w:p>
        </w:tc>
        <w:tc>
          <w:tcPr>
            <w:tcW w:w="992" w:type="dxa"/>
            <w:shd w:val="clear" w:color="auto" w:fill="auto"/>
            <w:vAlign w:val="center"/>
          </w:tcPr>
          <w:p w14:paraId="34A691CB">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w:t>
            </w:r>
          </w:p>
        </w:tc>
        <w:tc>
          <w:tcPr>
            <w:tcW w:w="5529" w:type="dxa"/>
            <w:shd w:val="clear" w:color="auto" w:fill="auto"/>
            <w:vAlign w:val="center"/>
          </w:tcPr>
          <w:p w14:paraId="268B2E16">
            <w:pPr>
              <w:numPr>
                <w:ilvl w:val="0"/>
                <w:numId w:val="10"/>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负责日常设备检修、维护工作</w:t>
            </w:r>
          </w:p>
          <w:p w14:paraId="522F9702">
            <w:pPr>
              <w:numPr>
                <w:ilvl w:val="0"/>
                <w:numId w:val="10"/>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负责日常设备检查工作</w:t>
            </w:r>
          </w:p>
          <w:p w14:paraId="2D2DD23F">
            <w:pPr>
              <w:numPr>
                <w:ilvl w:val="0"/>
                <w:numId w:val="10"/>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负责现场设备检修非标配件制做</w:t>
            </w:r>
          </w:p>
          <w:p w14:paraId="5FA4DE14">
            <w:pPr>
              <w:numPr>
                <w:ilvl w:val="0"/>
                <w:numId w:val="10"/>
              </w:num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配合班长完成其他检修工作</w:t>
            </w:r>
          </w:p>
        </w:tc>
        <w:tc>
          <w:tcPr>
            <w:tcW w:w="850" w:type="dxa"/>
            <w:shd w:val="clear" w:color="auto" w:fill="auto"/>
            <w:vAlign w:val="center"/>
          </w:tcPr>
          <w:p w14:paraId="3272AA6E">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专职</w:t>
            </w:r>
          </w:p>
        </w:tc>
      </w:tr>
      <w:tr w14:paraId="57B8A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CB6B4BA">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普工</w:t>
            </w:r>
          </w:p>
        </w:tc>
        <w:tc>
          <w:tcPr>
            <w:tcW w:w="992" w:type="dxa"/>
            <w:shd w:val="clear" w:color="auto" w:fill="auto"/>
            <w:vAlign w:val="center"/>
          </w:tcPr>
          <w:p w14:paraId="651CC570">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w:t>
            </w:r>
          </w:p>
        </w:tc>
        <w:tc>
          <w:tcPr>
            <w:tcW w:w="5529" w:type="dxa"/>
            <w:shd w:val="clear" w:color="auto" w:fill="auto"/>
            <w:vAlign w:val="center"/>
          </w:tcPr>
          <w:p w14:paraId="297C6659">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1.负责日常设备检修、维护工作</w:t>
            </w:r>
          </w:p>
          <w:p w14:paraId="7E1D15A1">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2.负责日常设备检查工作</w:t>
            </w:r>
          </w:p>
          <w:p w14:paraId="33D155CF">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3.配合班长完成其他检修工作</w:t>
            </w:r>
          </w:p>
        </w:tc>
        <w:tc>
          <w:tcPr>
            <w:tcW w:w="850" w:type="dxa"/>
            <w:shd w:val="clear" w:color="auto" w:fill="auto"/>
            <w:vAlign w:val="center"/>
          </w:tcPr>
          <w:p w14:paraId="10B96E42">
            <w:pPr>
              <w:spacing w:before="158" w:beforeLines="50" w:after="158" w:afterLines="5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专职</w:t>
            </w:r>
          </w:p>
        </w:tc>
      </w:tr>
      <w:tr w14:paraId="2037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271" w:type="dxa"/>
            <w:vAlign w:val="center"/>
          </w:tcPr>
          <w:p w14:paraId="1836465B">
            <w:pPr>
              <w:pStyle w:val="82"/>
              <w:widowControl w:val="0"/>
              <w:spacing w:line="360" w:lineRule="auto"/>
              <w:ind w:left="0" w:leftChars="0" w:firstLine="0" w:firstLineChars="0"/>
              <w:jc w:val="center"/>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合计</w:t>
            </w:r>
          </w:p>
        </w:tc>
        <w:tc>
          <w:tcPr>
            <w:tcW w:w="992" w:type="dxa"/>
            <w:vAlign w:val="center"/>
          </w:tcPr>
          <w:p w14:paraId="4EACF26D">
            <w:pPr>
              <w:pStyle w:val="82"/>
              <w:widowControl w:val="0"/>
              <w:spacing w:line="360" w:lineRule="auto"/>
              <w:ind w:left="0" w:leftChars="0" w:firstLine="0" w:firstLineChars="0"/>
              <w:jc w:val="center"/>
              <w:rPr>
                <w:rFonts w:hint="default"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3</w:t>
            </w:r>
            <w:r>
              <w:rPr>
                <w:rFonts w:hint="eastAsia" w:cs="宋体"/>
                <w:b/>
                <w:bCs/>
                <w:sz w:val="21"/>
                <w:szCs w:val="21"/>
                <w:lang w:val="en-US" w:eastAsia="zh-CN" w:bidi="ar-SA"/>
              </w:rPr>
              <w:t>5</w:t>
            </w:r>
          </w:p>
        </w:tc>
        <w:tc>
          <w:tcPr>
            <w:tcW w:w="5529" w:type="dxa"/>
            <w:vAlign w:val="center"/>
          </w:tcPr>
          <w:p w14:paraId="0B5241BE">
            <w:pPr>
              <w:pStyle w:val="82"/>
              <w:widowControl w:val="0"/>
              <w:spacing w:line="360" w:lineRule="auto"/>
              <w:ind w:left="0" w:leftChars="0" w:firstLine="0" w:firstLineChars="0"/>
              <w:jc w:val="center"/>
              <w:rPr>
                <w:rFonts w:hint="eastAsia" w:ascii="宋体" w:hAnsi="宋体" w:eastAsia="宋体" w:cs="宋体"/>
                <w:b/>
                <w:bCs/>
                <w:sz w:val="21"/>
                <w:szCs w:val="21"/>
                <w:lang w:val="en-US" w:eastAsia="zh-CN" w:bidi="ar-SA"/>
              </w:rPr>
            </w:pPr>
          </w:p>
        </w:tc>
        <w:tc>
          <w:tcPr>
            <w:tcW w:w="850" w:type="dxa"/>
            <w:vAlign w:val="center"/>
          </w:tcPr>
          <w:p w14:paraId="119A82DF">
            <w:pPr>
              <w:pStyle w:val="82"/>
              <w:widowControl w:val="0"/>
              <w:spacing w:line="360" w:lineRule="auto"/>
              <w:ind w:left="0" w:leftChars="0" w:firstLine="0" w:firstLineChars="0"/>
              <w:jc w:val="center"/>
              <w:rPr>
                <w:rFonts w:hint="eastAsia" w:ascii="宋体" w:hAnsi="宋体" w:eastAsia="宋体" w:cs="宋体"/>
                <w:b/>
                <w:bCs/>
                <w:sz w:val="21"/>
                <w:szCs w:val="21"/>
                <w:lang w:val="en-US" w:eastAsia="zh-CN" w:bidi="ar-SA"/>
              </w:rPr>
            </w:pPr>
          </w:p>
        </w:tc>
      </w:tr>
    </w:tbl>
    <w:p w14:paraId="65AF1317">
      <w:pPr>
        <w:widowControl/>
        <w:spacing w:line="360" w:lineRule="auto"/>
        <w:ind w:firstLine="420" w:firstLineChars="200"/>
        <w:rPr>
          <w:rFonts w:ascii="宋体" w:eastAsia="宋体"/>
          <w:sz w:val="21"/>
          <w:szCs w:val="21"/>
          <w:highlight w:val="none"/>
        </w:rPr>
      </w:pPr>
    </w:p>
    <w:p w14:paraId="5273911E">
      <w:pPr>
        <w:spacing w:line="360" w:lineRule="auto"/>
        <w:rPr>
          <w:b/>
          <w:bCs/>
          <w:szCs w:val="21"/>
          <w:highlight w:val="none"/>
        </w:rPr>
      </w:pPr>
      <w:r>
        <w:rPr>
          <w:rFonts w:ascii="宋体" w:eastAsia="宋体"/>
          <w:b/>
          <w:bCs/>
          <w:sz w:val="21"/>
          <w:szCs w:val="21"/>
          <w:highlight w:val="none"/>
        </w:rPr>
        <w:t>5.3任职要求</w:t>
      </w:r>
    </w:p>
    <w:p w14:paraId="5F12E156">
      <w:pPr>
        <w:spacing w:line="360" w:lineRule="auto"/>
        <w:rPr>
          <w:szCs w:val="21"/>
          <w:highlight w:val="none"/>
        </w:rPr>
      </w:pPr>
      <w:r>
        <w:rPr>
          <w:rFonts w:ascii="宋体" w:eastAsia="宋体"/>
          <w:szCs w:val="21"/>
          <w:highlight w:val="none"/>
        </w:rPr>
        <w:t>5.3.1项目负责人必须具备相应的运行或检修经验，特殊工种作业人员还必须具备相应的作业资格证。</w:t>
      </w:r>
    </w:p>
    <w:p w14:paraId="2963A012">
      <w:pPr>
        <w:spacing w:line="360" w:lineRule="auto"/>
        <w:rPr>
          <w:szCs w:val="21"/>
          <w:highlight w:val="none"/>
        </w:rPr>
      </w:pPr>
      <w:r>
        <w:rPr>
          <w:rFonts w:ascii="宋体" w:eastAsia="宋体"/>
          <w:szCs w:val="21"/>
          <w:highlight w:val="none"/>
        </w:rPr>
        <w:t>5.3.2人员年龄必须在男性</w:t>
      </w:r>
      <w:r>
        <w:rPr>
          <w:rFonts w:hint="eastAsia" w:ascii="宋体" w:eastAsia="宋体"/>
          <w:szCs w:val="21"/>
          <w:highlight w:val="none"/>
          <w:lang w:val="en-US" w:eastAsia="zh-CN"/>
        </w:rPr>
        <w:t>60</w:t>
      </w:r>
      <w:r>
        <w:rPr>
          <w:rFonts w:ascii="宋体" w:eastAsia="宋体"/>
          <w:szCs w:val="21"/>
          <w:highlight w:val="none"/>
        </w:rPr>
        <w:t>周岁、女性</w:t>
      </w:r>
      <w:r>
        <w:rPr>
          <w:rFonts w:hint="eastAsia" w:ascii="宋体" w:eastAsia="宋体"/>
          <w:szCs w:val="21"/>
          <w:highlight w:val="none"/>
          <w:lang w:val="en-US" w:eastAsia="zh-CN"/>
        </w:rPr>
        <w:t>55</w:t>
      </w:r>
      <w:r>
        <w:rPr>
          <w:rFonts w:ascii="宋体" w:eastAsia="宋体"/>
          <w:szCs w:val="21"/>
          <w:highlight w:val="none"/>
        </w:rPr>
        <w:t>周岁以下，需具备相关工作经历，熟悉上述设备，具有生产、安全管理理论与实践知识，具有一定的分析处理问题的能力。</w:t>
      </w:r>
      <w:r>
        <w:rPr>
          <w:rFonts w:hint="eastAsia" w:ascii="宋体" w:eastAsia="宋体"/>
          <w:szCs w:val="21"/>
          <w:highlight w:val="none"/>
        </w:rPr>
        <w:t>工作人员要求身体健康、遵纪守法、忠于职守、工作严谨，具有团队合作精神和服务意识。</w:t>
      </w:r>
    </w:p>
    <w:p w14:paraId="264ECFDE">
      <w:pPr>
        <w:spacing w:line="360" w:lineRule="auto"/>
        <w:rPr>
          <w:szCs w:val="21"/>
          <w:highlight w:val="none"/>
        </w:rPr>
      </w:pPr>
      <w:r>
        <w:rPr>
          <w:rFonts w:ascii="宋体" w:eastAsia="宋体"/>
          <w:szCs w:val="21"/>
          <w:highlight w:val="none"/>
        </w:rPr>
        <w:t>5.3.3</w:t>
      </w:r>
      <w:r>
        <w:rPr>
          <w:rFonts w:hint="eastAsia" w:ascii="宋体" w:eastAsia="宋体"/>
          <w:szCs w:val="21"/>
          <w:highlight w:val="none"/>
        </w:rPr>
        <w:t>投标人应确保招标人生产工作正常进行，灰库、石膏库、渣仓不发生影响电厂安全生产事件，不发生环境污染等不安全事件。</w:t>
      </w:r>
    </w:p>
    <w:p w14:paraId="12B29C52">
      <w:pPr>
        <w:spacing w:line="360" w:lineRule="auto"/>
        <w:rPr>
          <w:szCs w:val="21"/>
          <w:highlight w:val="none"/>
        </w:rPr>
      </w:pPr>
      <w:r>
        <w:rPr>
          <w:rFonts w:ascii="宋体" w:eastAsia="宋体"/>
          <w:szCs w:val="21"/>
          <w:highlight w:val="none"/>
        </w:rPr>
        <w:t>5.3.4</w:t>
      </w:r>
      <w:r>
        <w:rPr>
          <w:rFonts w:hint="eastAsia" w:ascii="宋体" w:eastAsia="宋体"/>
          <w:szCs w:val="21"/>
          <w:highlight w:val="none"/>
        </w:rPr>
        <w:t>投标人人员确定后上报招标人。</w:t>
      </w:r>
    </w:p>
    <w:p w14:paraId="4FCDD067">
      <w:pPr>
        <w:spacing w:line="360" w:lineRule="auto"/>
        <w:rPr>
          <w:szCs w:val="21"/>
          <w:highlight w:val="none"/>
        </w:rPr>
      </w:pPr>
      <w:r>
        <w:rPr>
          <w:rFonts w:ascii="宋体" w:eastAsia="宋体"/>
          <w:szCs w:val="21"/>
          <w:highlight w:val="none"/>
        </w:rPr>
        <w:t>5.3.5新上岗人员必须进行岗前培训，合格后方可上岗。</w:t>
      </w:r>
    </w:p>
    <w:p w14:paraId="0340771D">
      <w:pPr>
        <w:spacing w:line="360" w:lineRule="auto"/>
        <w:rPr>
          <w:szCs w:val="21"/>
          <w:highlight w:val="none"/>
        </w:rPr>
      </w:pPr>
      <w:r>
        <w:rPr>
          <w:rFonts w:ascii="宋体" w:eastAsia="宋体"/>
          <w:szCs w:val="21"/>
          <w:highlight w:val="none"/>
        </w:rPr>
        <w:t>5.3.6特殊岗位专业技术人员需持证上岗，如安全员、压力容器操作工</w:t>
      </w:r>
      <w:r>
        <w:rPr>
          <w:rFonts w:hint="eastAsia" w:ascii="宋体" w:eastAsia="宋体"/>
          <w:szCs w:val="21"/>
          <w:highlight w:val="none"/>
        </w:rPr>
        <w:t>（如有）、电工、叉车工（如有）、电焊工、起重工（如有）等。</w:t>
      </w:r>
      <w:r>
        <w:rPr>
          <w:rFonts w:ascii="宋体" w:eastAsia="宋体"/>
          <w:szCs w:val="21"/>
          <w:highlight w:val="none"/>
        </w:rPr>
        <w:t xml:space="preserve"> </w:t>
      </w:r>
    </w:p>
    <w:p w14:paraId="422B046B">
      <w:pPr>
        <w:spacing w:line="360" w:lineRule="auto"/>
        <w:rPr>
          <w:rFonts w:ascii="宋体" w:eastAsia="宋体"/>
          <w:szCs w:val="21"/>
          <w:highlight w:val="none"/>
        </w:rPr>
      </w:pPr>
      <w:r>
        <w:rPr>
          <w:rFonts w:ascii="宋体" w:eastAsia="宋体"/>
          <w:szCs w:val="21"/>
          <w:highlight w:val="none"/>
        </w:rPr>
        <w:t>5.3.7</w:t>
      </w:r>
      <w:r>
        <w:rPr>
          <w:rFonts w:hint="eastAsia" w:ascii="宋体" w:eastAsia="宋体"/>
          <w:szCs w:val="21"/>
          <w:highlight w:val="none"/>
        </w:rPr>
        <w:t>灰库放灰和放石膏作业可白班单班制</w:t>
      </w:r>
      <w:r>
        <w:rPr>
          <w:rFonts w:hint="eastAsia" w:ascii="宋体" w:eastAsia="宋体"/>
          <w:szCs w:val="21"/>
          <w:highlight w:val="none"/>
          <w:lang w:eastAsia="zh-CN"/>
        </w:rPr>
        <w:t>，</w:t>
      </w:r>
      <w:r>
        <w:rPr>
          <w:rFonts w:hint="eastAsia" w:ascii="宋体" w:eastAsia="宋体"/>
          <w:szCs w:val="21"/>
          <w:highlight w:val="none"/>
          <w:lang w:val="en-US" w:eastAsia="zh-CN"/>
        </w:rPr>
        <w:t>应急处置情况下采取24小时运行模式</w:t>
      </w:r>
      <w:r>
        <w:rPr>
          <w:rFonts w:hint="eastAsia" w:ascii="宋体" w:eastAsia="宋体"/>
          <w:szCs w:val="21"/>
          <w:highlight w:val="none"/>
        </w:rPr>
        <w:t>；放渣作业要求</w:t>
      </w:r>
      <w:r>
        <w:rPr>
          <w:rFonts w:ascii="宋体" w:eastAsia="宋体"/>
          <w:szCs w:val="21"/>
          <w:highlight w:val="none"/>
        </w:rPr>
        <w:t>24小时作业，洒水车白班单班运行，另外要求根据电厂运行情况，保证工作人员24小时随时响应，接通知半小时内到岗。</w:t>
      </w:r>
      <w:r>
        <w:rPr>
          <w:rFonts w:hint="eastAsia" w:ascii="宋体" w:eastAsia="宋体"/>
          <w:szCs w:val="21"/>
          <w:highlight w:val="none"/>
        </w:rPr>
        <w:t>（如有）</w:t>
      </w:r>
    </w:p>
    <w:p w14:paraId="24B0BFFD">
      <w:pPr>
        <w:snapToGrid w:val="0"/>
        <w:spacing w:line="360" w:lineRule="auto"/>
        <w:jc w:val="both"/>
        <w:rPr>
          <w:b/>
          <w:sz w:val="32"/>
          <w:highlight w:val="none"/>
        </w:rPr>
      </w:pPr>
      <w:bookmarkStart w:id="45" w:name="_Toc12100"/>
      <w:bookmarkStart w:id="46" w:name="_Toc29305273"/>
      <w:r>
        <w:rPr>
          <w:rFonts w:ascii="宋体" w:eastAsia="宋体"/>
          <w:b/>
          <w:bCs/>
          <w:sz w:val="32"/>
          <w:szCs w:val="28"/>
          <w:highlight w:val="none"/>
        </w:rPr>
        <w:t>6.</w:t>
      </w:r>
      <w:r>
        <w:rPr>
          <w:rFonts w:hint="eastAsia" w:ascii="宋体" w:eastAsia="宋体"/>
          <w:b/>
          <w:sz w:val="32"/>
          <w:highlight w:val="none"/>
        </w:rPr>
        <w:t>招标人及投标人的职责权利与义务</w:t>
      </w:r>
      <w:bookmarkEnd w:id="45"/>
    </w:p>
    <w:p w14:paraId="60F4A0E8">
      <w:pPr>
        <w:spacing w:line="360" w:lineRule="auto"/>
        <w:rPr>
          <w:b/>
          <w:bCs/>
          <w:szCs w:val="21"/>
          <w:highlight w:val="none"/>
        </w:rPr>
      </w:pPr>
      <w:r>
        <w:rPr>
          <w:rFonts w:ascii="宋体" w:eastAsia="宋体"/>
          <w:b/>
          <w:bCs/>
          <w:sz w:val="21"/>
          <w:szCs w:val="21"/>
          <w:highlight w:val="none"/>
        </w:rPr>
        <w:t>6.1</w:t>
      </w:r>
      <w:r>
        <w:rPr>
          <w:rFonts w:hint="eastAsia" w:ascii="宋体" w:eastAsia="宋体"/>
          <w:b/>
          <w:bCs/>
          <w:sz w:val="21"/>
          <w:szCs w:val="21"/>
          <w:highlight w:val="none"/>
        </w:rPr>
        <w:t>招标人的权利和义务</w:t>
      </w:r>
      <w:bookmarkEnd w:id="46"/>
    </w:p>
    <w:p w14:paraId="499A82C7">
      <w:pPr>
        <w:spacing w:line="360" w:lineRule="auto"/>
        <w:rPr>
          <w:szCs w:val="21"/>
          <w:highlight w:val="none"/>
        </w:rPr>
      </w:pPr>
      <w:r>
        <w:rPr>
          <w:rFonts w:ascii="宋体" w:eastAsia="宋体"/>
          <w:szCs w:val="21"/>
          <w:highlight w:val="none"/>
        </w:rPr>
        <w:t>6.1.1有权按公司的管理制度进行管理。</w:t>
      </w:r>
    </w:p>
    <w:p w14:paraId="7BBB42EC">
      <w:pPr>
        <w:spacing w:line="360" w:lineRule="auto"/>
        <w:rPr>
          <w:sz w:val="24"/>
          <w:szCs w:val="21"/>
          <w:highlight w:val="none"/>
        </w:rPr>
      </w:pPr>
      <w:r>
        <w:rPr>
          <w:rFonts w:ascii="宋体" w:eastAsia="宋体"/>
          <w:szCs w:val="21"/>
          <w:highlight w:val="none"/>
        </w:rPr>
        <w:t>6.1.2监督和检查合同范围内</w:t>
      </w:r>
      <w:r>
        <w:rPr>
          <w:rFonts w:hint="eastAsia" w:ascii="宋体" w:eastAsia="宋体"/>
          <w:szCs w:val="21"/>
          <w:highlight w:val="none"/>
        </w:rPr>
        <w:t>投标人的管理工作，负责督促投标人履行合同义务。</w:t>
      </w:r>
    </w:p>
    <w:p w14:paraId="52D6AAD1">
      <w:pPr>
        <w:spacing w:line="360" w:lineRule="auto"/>
        <w:rPr>
          <w:szCs w:val="21"/>
          <w:highlight w:val="none"/>
        </w:rPr>
      </w:pPr>
      <w:r>
        <w:rPr>
          <w:rFonts w:ascii="宋体" w:eastAsia="宋体"/>
          <w:szCs w:val="21"/>
          <w:highlight w:val="none"/>
        </w:rPr>
        <w:t>6.1.3向</w:t>
      </w:r>
      <w:r>
        <w:rPr>
          <w:rFonts w:hint="eastAsia" w:ascii="宋体" w:eastAsia="宋体"/>
          <w:szCs w:val="21"/>
          <w:highlight w:val="none"/>
        </w:rPr>
        <w:t>投标人及时提供有关设备运行及管理的相关制度、图纸、资料，向投标人提供所有记录表单。</w:t>
      </w:r>
    </w:p>
    <w:p w14:paraId="69A9295A">
      <w:pPr>
        <w:spacing w:line="360" w:lineRule="auto"/>
        <w:rPr>
          <w:szCs w:val="21"/>
          <w:highlight w:val="none"/>
        </w:rPr>
      </w:pPr>
      <w:r>
        <w:rPr>
          <w:rFonts w:ascii="宋体" w:eastAsia="宋体"/>
          <w:szCs w:val="21"/>
          <w:highlight w:val="none"/>
        </w:rPr>
        <w:t>6.1.4组织设备重大运行操作方案制订、实施、验收工作。</w:t>
      </w:r>
    </w:p>
    <w:p w14:paraId="44C7C3EA">
      <w:pPr>
        <w:spacing w:line="360" w:lineRule="auto"/>
        <w:rPr>
          <w:szCs w:val="21"/>
          <w:highlight w:val="none"/>
        </w:rPr>
      </w:pPr>
      <w:r>
        <w:rPr>
          <w:rFonts w:ascii="宋体" w:eastAsia="宋体"/>
          <w:szCs w:val="21"/>
          <w:highlight w:val="none"/>
        </w:rPr>
        <w:t>6.1.5有权按管理制度要求对</w:t>
      </w:r>
      <w:r>
        <w:rPr>
          <w:rFonts w:hint="eastAsia" w:ascii="宋体" w:eastAsia="宋体"/>
          <w:szCs w:val="21"/>
          <w:highlight w:val="none"/>
        </w:rPr>
        <w:t>投标人进行考核。</w:t>
      </w:r>
    </w:p>
    <w:p w14:paraId="0E1073BC">
      <w:pPr>
        <w:spacing w:line="360" w:lineRule="auto"/>
        <w:rPr>
          <w:szCs w:val="21"/>
          <w:highlight w:val="none"/>
        </w:rPr>
      </w:pPr>
      <w:r>
        <w:rPr>
          <w:rFonts w:ascii="宋体" w:eastAsia="宋体"/>
          <w:szCs w:val="21"/>
          <w:highlight w:val="none"/>
        </w:rPr>
        <w:t>6.1.6本规范书的工作范围以外的事项，</w:t>
      </w:r>
      <w:r>
        <w:rPr>
          <w:rFonts w:hint="eastAsia" w:ascii="宋体" w:eastAsia="宋体"/>
          <w:szCs w:val="21"/>
          <w:highlight w:val="none"/>
        </w:rPr>
        <w:t>招标人以联系单的形式另行委托投标人，费用另计。</w:t>
      </w:r>
    </w:p>
    <w:p w14:paraId="66E2CF4C">
      <w:pPr>
        <w:spacing w:line="360" w:lineRule="auto"/>
        <w:rPr>
          <w:szCs w:val="21"/>
          <w:highlight w:val="none"/>
        </w:rPr>
      </w:pPr>
      <w:r>
        <w:rPr>
          <w:rFonts w:ascii="宋体" w:eastAsia="宋体"/>
          <w:szCs w:val="21"/>
          <w:highlight w:val="none"/>
        </w:rPr>
        <w:t>6.1.7监督和检查合同范围内</w:t>
      </w:r>
      <w:r>
        <w:rPr>
          <w:rFonts w:hint="eastAsia" w:ascii="宋体" w:eastAsia="宋体"/>
          <w:szCs w:val="21"/>
          <w:highlight w:val="none"/>
        </w:rPr>
        <w:t>投标人运行生产的管理工作，负责督促投标人履行合同义务。</w:t>
      </w:r>
    </w:p>
    <w:p w14:paraId="42457A1C">
      <w:pPr>
        <w:spacing w:line="360" w:lineRule="auto"/>
        <w:rPr>
          <w:rFonts w:ascii="宋体" w:eastAsia="宋体"/>
          <w:szCs w:val="21"/>
          <w:highlight w:val="none"/>
        </w:rPr>
      </w:pPr>
      <w:r>
        <w:rPr>
          <w:rFonts w:ascii="宋体" w:eastAsia="宋体"/>
          <w:szCs w:val="21"/>
          <w:highlight w:val="none"/>
        </w:rPr>
        <w:t>6.1.8</w:t>
      </w:r>
      <w:r>
        <w:rPr>
          <w:rFonts w:hint="eastAsia" w:ascii="宋体" w:eastAsia="宋体"/>
          <w:szCs w:val="21"/>
          <w:highlight w:val="none"/>
        </w:rPr>
        <w:t>招标人有权将投标人纳入班组建设</w:t>
      </w:r>
      <w:r>
        <w:rPr>
          <w:rFonts w:ascii="宋体" w:eastAsia="宋体"/>
          <w:szCs w:val="21"/>
          <w:highlight w:val="none"/>
        </w:rPr>
        <w:t>7S</w:t>
      </w:r>
      <w:r>
        <w:rPr>
          <w:rFonts w:hint="eastAsia" w:ascii="宋体" w:eastAsia="宋体"/>
          <w:szCs w:val="21"/>
          <w:highlight w:val="none"/>
        </w:rPr>
        <w:t>管理</w:t>
      </w:r>
      <w:r>
        <w:rPr>
          <w:rFonts w:hint="eastAsia" w:ascii="宋体" w:eastAsia="宋体"/>
          <w:sz w:val="24"/>
          <w:szCs w:val="21"/>
          <w:highlight w:val="none"/>
        </w:rPr>
        <w:t>。</w:t>
      </w:r>
    </w:p>
    <w:p w14:paraId="66F33229">
      <w:pPr>
        <w:spacing w:line="360" w:lineRule="auto"/>
        <w:rPr>
          <w:b/>
          <w:bCs/>
          <w:szCs w:val="21"/>
          <w:highlight w:val="none"/>
        </w:rPr>
      </w:pPr>
      <w:bookmarkStart w:id="47" w:name="_Toc29305274"/>
      <w:r>
        <w:rPr>
          <w:rFonts w:ascii="宋体" w:eastAsia="宋体"/>
          <w:b/>
          <w:bCs/>
          <w:sz w:val="21"/>
          <w:szCs w:val="21"/>
          <w:highlight w:val="none"/>
        </w:rPr>
        <w:t>6.2</w:t>
      </w:r>
      <w:r>
        <w:rPr>
          <w:rFonts w:hint="eastAsia" w:ascii="宋体" w:eastAsia="宋体"/>
          <w:b/>
          <w:bCs/>
          <w:sz w:val="21"/>
          <w:szCs w:val="21"/>
          <w:highlight w:val="none"/>
        </w:rPr>
        <w:t>投标人权利和义务</w:t>
      </w:r>
      <w:bookmarkEnd w:id="47"/>
    </w:p>
    <w:p w14:paraId="2017A554">
      <w:pPr>
        <w:spacing w:line="360" w:lineRule="auto"/>
        <w:rPr>
          <w:szCs w:val="21"/>
          <w:highlight w:val="none"/>
        </w:rPr>
      </w:pPr>
      <w:r>
        <w:rPr>
          <w:rFonts w:ascii="宋体" w:eastAsia="宋体"/>
          <w:szCs w:val="21"/>
          <w:highlight w:val="none"/>
        </w:rPr>
        <w:t>6.2.1严格遵守</w:t>
      </w:r>
      <w:r>
        <w:rPr>
          <w:rFonts w:hint="eastAsia" w:ascii="宋体" w:eastAsia="宋体"/>
          <w:szCs w:val="21"/>
          <w:highlight w:val="none"/>
        </w:rPr>
        <w:t>招标人现有的、修改的、增补的所有管理制度、操作规程等规章制度明确的管理要求。</w:t>
      </w:r>
    </w:p>
    <w:p w14:paraId="271CD3B4">
      <w:pPr>
        <w:spacing w:line="360" w:lineRule="auto"/>
        <w:rPr>
          <w:szCs w:val="21"/>
          <w:highlight w:val="none"/>
        </w:rPr>
      </w:pPr>
      <w:r>
        <w:rPr>
          <w:rFonts w:ascii="宋体" w:eastAsia="宋体"/>
          <w:szCs w:val="21"/>
          <w:highlight w:val="none"/>
        </w:rPr>
        <w:t>6.2.2接受</w:t>
      </w:r>
      <w:r>
        <w:rPr>
          <w:rFonts w:hint="eastAsia" w:ascii="宋体" w:eastAsia="宋体"/>
          <w:szCs w:val="21"/>
          <w:highlight w:val="none"/>
        </w:rPr>
        <w:t>招标人的管理，人员变动及组织机构变化应上报招标人。</w:t>
      </w:r>
    </w:p>
    <w:p w14:paraId="1C9C2118">
      <w:pPr>
        <w:spacing w:line="360" w:lineRule="auto"/>
        <w:rPr>
          <w:szCs w:val="21"/>
          <w:highlight w:val="none"/>
        </w:rPr>
      </w:pPr>
      <w:r>
        <w:rPr>
          <w:rFonts w:ascii="宋体" w:eastAsia="宋体"/>
          <w:szCs w:val="21"/>
          <w:highlight w:val="none"/>
        </w:rPr>
        <w:t>6.2.3确保所管辖设备的安全、经济、正常运行。</w:t>
      </w:r>
    </w:p>
    <w:p w14:paraId="3C599B8F">
      <w:pPr>
        <w:spacing w:line="360" w:lineRule="auto"/>
        <w:rPr>
          <w:szCs w:val="21"/>
          <w:highlight w:val="none"/>
        </w:rPr>
      </w:pPr>
      <w:r>
        <w:rPr>
          <w:rFonts w:ascii="宋体" w:eastAsia="宋体"/>
          <w:szCs w:val="21"/>
          <w:highlight w:val="none"/>
        </w:rPr>
        <w:t>6.2.4做好车辆及设备运行的台帐（包括设备运行日志、设备维护日志、缺陷记录、</w:t>
      </w:r>
      <w:r>
        <w:rPr>
          <w:rFonts w:hint="eastAsia" w:ascii="宋体" w:eastAsia="宋体"/>
          <w:szCs w:val="21"/>
          <w:highlight w:val="none"/>
        </w:rPr>
        <w:t>安全台账、原材料、日报表、工作票台帐、设备给加油记录、设备定期检查记录等台账等台账），于每月底交给招标人的生产部门。</w:t>
      </w:r>
    </w:p>
    <w:p w14:paraId="397D89D9">
      <w:pPr>
        <w:spacing w:line="360" w:lineRule="auto"/>
        <w:rPr>
          <w:szCs w:val="21"/>
          <w:highlight w:val="none"/>
        </w:rPr>
      </w:pPr>
      <w:r>
        <w:rPr>
          <w:rFonts w:ascii="宋体" w:eastAsia="宋体"/>
          <w:szCs w:val="21"/>
          <w:highlight w:val="none"/>
        </w:rPr>
        <w:t>6.2.5</w:t>
      </w:r>
      <w:r>
        <w:rPr>
          <w:rFonts w:hint="eastAsia" w:ascii="宋体" w:eastAsia="宋体"/>
          <w:szCs w:val="21"/>
          <w:highlight w:val="none"/>
        </w:rPr>
        <w:t>投标人应遵守国家、电力行业、招标人及上属公司的有关安全生产的法令、法规、规程及规章制度。</w:t>
      </w:r>
    </w:p>
    <w:p w14:paraId="79192041">
      <w:pPr>
        <w:spacing w:line="360" w:lineRule="auto"/>
        <w:rPr>
          <w:szCs w:val="21"/>
          <w:highlight w:val="none"/>
        </w:rPr>
      </w:pPr>
      <w:r>
        <w:rPr>
          <w:rFonts w:ascii="宋体" w:eastAsia="宋体"/>
          <w:szCs w:val="21"/>
          <w:highlight w:val="none"/>
        </w:rPr>
        <w:t>6.2.6</w:t>
      </w:r>
      <w:r>
        <w:rPr>
          <w:rFonts w:hint="eastAsia" w:ascii="宋体" w:eastAsia="宋体"/>
          <w:szCs w:val="21"/>
          <w:highlight w:val="none"/>
        </w:rPr>
        <w:t>投标人应承担自身的原因而带来的任何索赔、责任、损失和开支。</w:t>
      </w:r>
    </w:p>
    <w:p w14:paraId="4B35E43B">
      <w:pPr>
        <w:spacing w:line="360" w:lineRule="auto"/>
        <w:rPr>
          <w:szCs w:val="21"/>
          <w:highlight w:val="none"/>
        </w:rPr>
      </w:pPr>
      <w:r>
        <w:rPr>
          <w:rFonts w:ascii="宋体" w:eastAsia="宋体"/>
          <w:szCs w:val="21"/>
          <w:highlight w:val="none"/>
        </w:rPr>
        <w:t>6.2.7</w:t>
      </w:r>
      <w:r>
        <w:rPr>
          <w:rFonts w:hint="eastAsia" w:ascii="宋体" w:eastAsia="宋体"/>
          <w:szCs w:val="21"/>
          <w:highlight w:val="none"/>
        </w:rPr>
        <w:t>投标人应全面负责所辖设备运行等过程中的环境保护、工业卫生、劳动保护等管理工作。</w:t>
      </w:r>
    </w:p>
    <w:p w14:paraId="2CC2B0B6">
      <w:pPr>
        <w:spacing w:line="360" w:lineRule="auto"/>
        <w:rPr>
          <w:szCs w:val="21"/>
          <w:highlight w:val="none"/>
        </w:rPr>
      </w:pPr>
      <w:r>
        <w:rPr>
          <w:rFonts w:ascii="宋体" w:eastAsia="宋体"/>
          <w:szCs w:val="21"/>
          <w:highlight w:val="none"/>
        </w:rPr>
        <w:t>6.2.8</w:t>
      </w:r>
      <w:r>
        <w:rPr>
          <w:rFonts w:hint="eastAsia" w:ascii="宋体" w:eastAsia="宋体"/>
          <w:szCs w:val="21"/>
          <w:highlight w:val="none"/>
        </w:rPr>
        <w:t>投标人应对运行时所管辖系统的设备安全、环境安全和人身安全负责，负责检修范围内所有设备的日常巡检、日常维护保养、消缺、抢修工作。</w:t>
      </w:r>
    </w:p>
    <w:p w14:paraId="69341FE0">
      <w:pPr>
        <w:spacing w:line="360" w:lineRule="auto"/>
        <w:rPr>
          <w:szCs w:val="21"/>
          <w:highlight w:val="none"/>
        </w:rPr>
      </w:pPr>
      <w:r>
        <w:rPr>
          <w:rFonts w:ascii="宋体" w:eastAsia="宋体"/>
          <w:szCs w:val="21"/>
          <w:highlight w:val="none"/>
        </w:rPr>
        <w:t>6.2.9工作现场，</w:t>
      </w:r>
      <w:r>
        <w:rPr>
          <w:rFonts w:hint="eastAsia" w:ascii="宋体" w:eastAsia="宋体"/>
          <w:szCs w:val="21"/>
          <w:highlight w:val="none"/>
        </w:rPr>
        <w:t>投标人应严格遵守招标人安全生产各项制度，安全生产接受招标人监督和考核。</w:t>
      </w:r>
    </w:p>
    <w:p w14:paraId="7EB42303">
      <w:pPr>
        <w:spacing w:line="360" w:lineRule="auto"/>
        <w:rPr>
          <w:szCs w:val="21"/>
          <w:highlight w:val="none"/>
        </w:rPr>
      </w:pPr>
      <w:r>
        <w:rPr>
          <w:rFonts w:ascii="宋体" w:eastAsia="宋体"/>
          <w:szCs w:val="21"/>
          <w:highlight w:val="none"/>
        </w:rPr>
        <w:t>6.2.10负责上述运行范围内所有设备的日常巡检工作，负责设备运行、检修期间的运行、检修值班工作。</w:t>
      </w:r>
    </w:p>
    <w:p w14:paraId="5F48EE47">
      <w:pPr>
        <w:spacing w:line="360" w:lineRule="auto"/>
        <w:rPr>
          <w:szCs w:val="21"/>
          <w:highlight w:val="none"/>
        </w:rPr>
      </w:pPr>
      <w:r>
        <w:rPr>
          <w:rFonts w:ascii="宋体" w:eastAsia="宋体"/>
          <w:szCs w:val="21"/>
          <w:highlight w:val="none"/>
        </w:rPr>
        <w:t>6.2.11负责对上述运行、检修范围内设备的各项定期检验、试验、运行切换工作（国家、地方规定必须</w:t>
      </w:r>
      <w:r>
        <w:rPr>
          <w:rFonts w:hint="eastAsia" w:ascii="宋体" w:eastAsia="宋体"/>
          <w:szCs w:val="21"/>
          <w:highlight w:val="none"/>
        </w:rPr>
        <w:t>送相关部门检验、试验的设备除外）。</w:t>
      </w:r>
    </w:p>
    <w:p w14:paraId="4ED95221">
      <w:pPr>
        <w:spacing w:line="360" w:lineRule="auto"/>
        <w:rPr>
          <w:szCs w:val="21"/>
          <w:highlight w:val="none"/>
        </w:rPr>
      </w:pPr>
      <w:r>
        <w:rPr>
          <w:rFonts w:ascii="宋体" w:eastAsia="宋体"/>
          <w:szCs w:val="21"/>
          <w:highlight w:val="none"/>
        </w:rPr>
        <w:t>6.2.12负责上述合同范围内的设备日常保洁；负责受托范围热控、电气现场盘柜内外的卫生；负责现场热控、电气设备、控制设备和元器件的卫生；负责生产厂区因运行、检修责任原因造成的污染清理。</w:t>
      </w:r>
    </w:p>
    <w:p w14:paraId="2F86729C">
      <w:pPr>
        <w:spacing w:line="360" w:lineRule="auto"/>
        <w:rPr>
          <w:szCs w:val="21"/>
          <w:highlight w:val="none"/>
        </w:rPr>
      </w:pPr>
      <w:r>
        <w:rPr>
          <w:rFonts w:ascii="宋体" w:eastAsia="宋体"/>
          <w:szCs w:val="21"/>
          <w:highlight w:val="none"/>
        </w:rPr>
        <w:t>6.2.13负责对上述运行范围内设备外委工作的配合工作。</w:t>
      </w:r>
    </w:p>
    <w:p w14:paraId="2FE10886">
      <w:pPr>
        <w:spacing w:line="360" w:lineRule="auto"/>
        <w:rPr>
          <w:szCs w:val="21"/>
          <w:highlight w:val="none"/>
        </w:rPr>
      </w:pPr>
      <w:r>
        <w:rPr>
          <w:rFonts w:ascii="宋体" w:eastAsia="宋体"/>
          <w:szCs w:val="21"/>
          <w:highlight w:val="none"/>
        </w:rPr>
        <w:t>6.2.14</w:t>
      </w:r>
      <w:r>
        <w:rPr>
          <w:rFonts w:hint="eastAsia" w:ascii="宋体" w:eastAsia="宋体"/>
          <w:szCs w:val="21"/>
          <w:highlight w:val="none"/>
        </w:rPr>
        <w:t>投标人应按招标人的要求每月上报月度运行分析报告等。</w:t>
      </w:r>
    </w:p>
    <w:p w14:paraId="297038FC">
      <w:pPr>
        <w:spacing w:line="360" w:lineRule="auto"/>
        <w:rPr>
          <w:szCs w:val="21"/>
          <w:highlight w:val="none"/>
        </w:rPr>
      </w:pPr>
      <w:r>
        <w:rPr>
          <w:rFonts w:ascii="宋体" w:eastAsia="宋体"/>
          <w:szCs w:val="21"/>
          <w:highlight w:val="none"/>
        </w:rPr>
        <w:t>6.2.15</w:t>
      </w:r>
      <w:r>
        <w:rPr>
          <w:rFonts w:hint="eastAsia" w:ascii="宋体" w:eastAsia="宋体"/>
          <w:szCs w:val="21"/>
          <w:highlight w:val="none"/>
        </w:rPr>
        <w:t>投标人必须储备足够的人员和装备以处理突发事件的处理工作。</w:t>
      </w:r>
    </w:p>
    <w:p w14:paraId="0B2A38F9">
      <w:pPr>
        <w:spacing w:line="360" w:lineRule="auto"/>
        <w:rPr>
          <w:szCs w:val="21"/>
          <w:highlight w:val="none"/>
        </w:rPr>
      </w:pPr>
      <w:r>
        <w:rPr>
          <w:rFonts w:ascii="宋体" w:eastAsia="宋体"/>
          <w:szCs w:val="21"/>
          <w:highlight w:val="none"/>
        </w:rPr>
        <w:t>6.2.16</w:t>
      </w:r>
      <w:r>
        <w:rPr>
          <w:rFonts w:hint="eastAsia" w:ascii="宋体" w:eastAsia="宋体"/>
          <w:szCs w:val="21"/>
          <w:highlight w:val="none"/>
        </w:rPr>
        <w:t>投标人应建立相关工作人员的职业健康档案，并向招标人提供所有工作人员符合相关法规要求的保险证明。</w:t>
      </w:r>
    </w:p>
    <w:p w14:paraId="0E7C7C6A">
      <w:pPr>
        <w:spacing w:line="360" w:lineRule="auto"/>
        <w:rPr>
          <w:szCs w:val="21"/>
          <w:highlight w:val="none"/>
        </w:rPr>
      </w:pPr>
      <w:r>
        <w:rPr>
          <w:rFonts w:ascii="宋体" w:eastAsia="宋体"/>
          <w:szCs w:val="21"/>
          <w:highlight w:val="none"/>
        </w:rPr>
        <w:t>6.2.17</w:t>
      </w:r>
      <w:r>
        <w:rPr>
          <w:rFonts w:hint="eastAsia" w:ascii="宋体" w:eastAsia="宋体"/>
          <w:szCs w:val="21"/>
          <w:highlight w:val="none"/>
        </w:rPr>
        <w:t>投标人自行承担所有人员的食宿费用。</w:t>
      </w:r>
    </w:p>
    <w:p w14:paraId="46A97D4A">
      <w:pPr>
        <w:spacing w:line="360" w:lineRule="auto"/>
        <w:rPr>
          <w:rFonts w:ascii="宋体" w:eastAsia="宋体"/>
          <w:szCs w:val="21"/>
          <w:highlight w:val="none"/>
        </w:rPr>
      </w:pPr>
      <w:r>
        <w:rPr>
          <w:rFonts w:ascii="宋体" w:eastAsia="宋体"/>
          <w:szCs w:val="21"/>
          <w:highlight w:val="none"/>
        </w:rPr>
        <w:t>6.2.18</w:t>
      </w:r>
      <w:r>
        <w:rPr>
          <w:rFonts w:hint="eastAsia" w:ascii="宋体" w:eastAsia="宋体"/>
          <w:szCs w:val="21"/>
          <w:highlight w:val="none"/>
        </w:rPr>
        <w:t>投标人班组建设及</w:t>
      </w:r>
      <w:r>
        <w:rPr>
          <w:rFonts w:ascii="宋体" w:eastAsia="宋体"/>
          <w:szCs w:val="21"/>
          <w:highlight w:val="none"/>
        </w:rPr>
        <w:t>7S</w:t>
      </w:r>
      <w:r>
        <w:rPr>
          <w:rFonts w:hint="eastAsia" w:ascii="宋体" w:eastAsia="宋体"/>
          <w:szCs w:val="21"/>
          <w:highlight w:val="none"/>
        </w:rPr>
        <w:t>执行招标人相关管理标准</w:t>
      </w:r>
      <w:r>
        <w:rPr>
          <w:rFonts w:hint="eastAsia" w:ascii="宋体" w:eastAsia="宋体"/>
          <w:sz w:val="24"/>
          <w:szCs w:val="21"/>
          <w:highlight w:val="none"/>
        </w:rPr>
        <w:t>。</w:t>
      </w:r>
    </w:p>
    <w:p w14:paraId="632C6EAF">
      <w:pPr>
        <w:snapToGrid w:val="0"/>
        <w:spacing w:line="360" w:lineRule="auto"/>
        <w:jc w:val="both"/>
        <w:rPr>
          <w:b/>
          <w:sz w:val="32"/>
          <w:highlight w:val="none"/>
        </w:rPr>
      </w:pPr>
      <w:bookmarkStart w:id="48" w:name="_Toc29305275"/>
      <w:r>
        <w:rPr>
          <w:rFonts w:ascii="宋体" w:eastAsia="宋体"/>
          <w:b/>
          <w:bCs/>
          <w:sz w:val="32"/>
          <w:szCs w:val="28"/>
          <w:highlight w:val="none"/>
        </w:rPr>
        <w:t>7.</w:t>
      </w:r>
      <w:r>
        <w:rPr>
          <w:rFonts w:hint="eastAsia" w:ascii="宋体" w:eastAsia="宋体"/>
          <w:b/>
          <w:sz w:val="32"/>
          <w:highlight w:val="none"/>
        </w:rPr>
        <w:t>考核</w:t>
      </w:r>
      <w:bookmarkEnd w:id="48"/>
    </w:p>
    <w:p w14:paraId="5C3FDCA8">
      <w:pPr>
        <w:spacing w:line="360" w:lineRule="auto"/>
        <w:ind w:firstLine="480" w:firstLineChars="200"/>
        <w:rPr>
          <w:szCs w:val="21"/>
          <w:highlight w:val="none"/>
        </w:rPr>
      </w:pPr>
      <w:r>
        <w:rPr>
          <w:rFonts w:hint="eastAsia" w:ascii="宋体" w:eastAsia="宋体"/>
          <w:szCs w:val="21"/>
          <w:highlight w:val="none"/>
        </w:rPr>
        <w:t>由招标人按公司考核管理制度对投标人运行管理、安全文明生产工作进行考核。考核按月进行，次月</w:t>
      </w:r>
      <w:r>
        <w:rPr>
          <w:rFonts w:ascii="宋体" w:eastAsia="宋体"/>
          <w:szCs w:val="21"/>
          <w:highlight w:val="none"/>
        </w:rPr>
        <w:t>5日前将上月的考核结果通报</w:t>
      </w:r>
      <w:r>
        <w:rPr>
          <w:rFonts w:hint="eastAsia" w:ascii="宋体" w:eastAsia="宋体"/>
          <w:szCs w:val="21"/>
          <w:highlight w:val="none"/>
        </w:rPr>
        <w:t>投标人</w:t>
      </w:r>
      <w:r>
        <w:rPr>
          <w:rFonts w:ascii="宋体" w:eastAsia="宋体"/>
          <w:szCs w:val="21"/>
          <w:highlight w:val="none"/>
        </w:rPr>
        <w:t>，具体考核标准如下：</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42" w:type="dxa"/>
          <w:bottom w:w="0" w:type="dxa"/>
          <w:right w:w="142" w:type="dxa"/>
        </w:tblCellMar>
      </w:tblPr>
      <w:tblGrid>
        <w:gridCol w:w="709"/>
        <w:gridCol w:w="31"/>
        <w:gridCol w:w="4438"/>
        <w:gridCol w:w="3412"/>
      </w:tblGrid>
      <w:tr w14:paraId="6E26A125">
        <w:tblPrEx>
          <w:tblCellMar>
            <w:top w:w="0" w:type="dxa"/>
            <w:left w:w="142" w:type="dxa"/>
            <w:bottom w:w="0" w:type="dxa"/>
            <w:right w:w="142" w:type="dxa"/>
          </w:tblCellMar>
        </w:tblPrEx>
        <w:trPr>
          <w:trHeight w:val="547" w:hRule="atLeast"/>
          <w:jc w:val="center"/>
        </w:trPr>
        <w:tc>
          <w:tcPr>
            <w:tcW w:w="740" w:type="dxa"/>
            <w:gridSpan w:val="2"/>
            <w:vAlign w:val="center"/>
          </w:tcPr>
          <w:p w14:paraId="7AB898EB">
            <w:pPr>
              <w:rPr>
                <w:rFonts w:ascii="宋体" w:eastAsia="宋体"/>
                <w:b/>
                <w:sz w:val="21"/>
                <w:szCs w:val="21"/>
                <w:highlight w:val="none"/>
              </w:rPr>
            </w:pPr>
            <w:r>
              <w:rPr>
                <w:rFonts w:hint="eastAsia" w:ascii="宋体" w:eastAsia="宋体"/>
                <w:b/>
                <w:sz w:val="21"/>
                <w:szCs w:val="21"/>
                <w:highlight w:val="none"/>
              </w:rPr>
              <w:t>序号</w:t>
            </w:r>
          </w:p>
        </w:tc>
        <w:tc>
          <w:tcPr>
            <w:tcW w:w="4438" w:type="dxa"/>
            <w:vAlign w:val="center"/>
          </w:tcPr>
          <w:p w14:paraId="0C1387B2">
            <w:pPr>
              <w:jc w:val="center"/>
              <w:rPr>
                <w:rFonts w:ascii="宋体" w:eastAsia="宋体"/>
                <w:b/>
                <w:sz w:val="21"/>
                <w:szCs w:val="21"/>
                <w:highlight w:val="none"/>
              </w:rPr>
            </w:pPr>
            <w:r>
              <w:rPr>
                <w:rFonts w:hint="eastAsia" w:ascii="宋体" w:eastAsia="宋体"/>
                <w:b/>
                <w:sz w:val="21"/>
                <w:szCs w:val="21"/>
                <w:highlight w:val="none"/>
              </w:rPr>
              <w:t>考</w:t>
            </w:r>
            <w:r>
              <w:rPr>
                <w:rFonts w:ascii="宋体" w:eastAsia="宋体"/>
                <w:b/>
                <w:sz w:val="21"/>
                <w:szCs w:val="21"/>
                <w:highlight w:val="none"/>
              </w:rPr>
              <w:t xml:space="preserve">   </w:t>
            </w:r>
            <w:r>
              <w:rPr>
                <w:rFonts w:hint="eastAsia" w:ascii="宋体" w:eastAsia="宋体"/>
                <w:b/>
                <w:sz w:val="21"/>
                <w:szCs w:val="21"/>
                <w:highlight w:val="none"/>
              </w:rPr>
              <w:t>核</w:t>
            </w:r>
            <w:r>
              <w:rPr>
                <w:rFonts w:ascii="宋体" w:eastAsia="宋体"/>
                <w:b/>
                <w:sz w:val="21"/>
                <w:szCs w:val="21"/>
                <w:highlight w:val="none"/>
              </w:rPr>
              <w:t xml:space="preserve">   </w:t>
            </w:r>
            <w:r>
              <w:rPr>
                <w:rFonts w:hint="eastAsia" w:ascii="宋体" w:eastAsia="宋体"/>
                <w:b/>
                <w:sz w:val="21"/>
                <w:szCs w:val="21"/>
                <w:highlight w:val="none"/>
              </w:rPr>
              <w:t>内</w:t>
            </w:r>
            <w:r>
              <w:rPr>
                <w:rFonts w:ascii="宋体" w:eastAsia="宋体"/>
                <w:b/>
                <w:sz w:val="21"/>
                <w:szCs w:val="21"/>
                <w:highlight w:val="none"/>
              </w:rPr>
              <w:t xml:space="preserve">   </w:t>
            </w:r>
            <w:r>
              <w:rPr>
                <w:rFonts w:hint="eastAsia" w:ascii="宋体" w:eastAsia="宋体"/>
                <w:b/>
                <w:sz w:val="21"/>
                <w:szCs w:val="21"/>
                <w:highlight w:val="none"/>
              </w:rPr>
              <w:t>容</w:t>
            </w:r>
          </w:p>
        </w:tc>
        <w:tc>
          <w:tcPr>
            <w:tcW w:w="3412" w:type="dxa"/>
            <w:vAlign w:val="center"/>
          </w:tcPr>
          <w:p w14:paraId="5C596CB3">
            <w:pPr>
              <w:jc w:val="center"/>
              <w:rPr>
                <w:rFonts w:ascii="宋体" w:eastAsia="宋体"/>
                <w:b/>
                <w:sz w:val="21"/>
                <w:szCs w:val="21"/>
                <w:highlight w:val="none"/>
              </w:rPr>
            </w:pPr>
            <w:r>
              <w:rPr>
                <w:rFonts w:hint="eastAsia" w:ascii="宋体" w:eastAsia="宋体"/>
                <w:b/>
                <w:sz w:val="21"/>
                <w:szCs w:val="21"/>
                <w:highlight w:val="none"/>
              </w:rPr>
              <w:t>考核金额</w:t>
            </w:r>
          </w:p>
        </w:tc>
      </w:tr>
      <w:tr w14:paraId="4016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48814933">
            <w:pPr>
              <w:rPr>
                <w:rFonts w:ascii="宋体" w:eastAsia="宋体"/>
                <w:b/>
                <w:sz w:val="21"/>
                <w:szCs w:val="21"/>
                <w:highlight w:val="none"/>
              </w:rPr>
            </w:pPr>
            <w:r>
              <w:rPr>
                <w:rFonts w:hint="eastAsia" w:ascii="宋体" w:eastAsia="宋体"/>
                <w:b/>
                <w:sz w:val="21"/>
                <w:szCs w:val="21"/>
                <w:highlight w:val="none"/>
              </w:rPr>
              <w:t>一、人身事故</w:t>
            </w:r>
          </w:p>
        </w:tc>
      </w:tr>
      <w:tr w14:paraId="35EA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2C87FCF">
            <w:pPr>
              <w:rPr>
                <w:rFonts w:ascii="宋体" w:eastAsia="宋体"/>
                <w:sz w:val="21"/>
                <w:szCs w:val="21"/>
                <w:highlight w:val="none"/>
              </w:rPr>
            </w:pPr>
            <w:r>
              <w:rPr>
                <w:rFonts w:ascii="宋体" w:eastAsia="宋体"/>
                <w:sz w:val="21"/>
                <w:szCs w:val="21"/>
                <w:highlight w:val="none"/>
              </w:rPr>
              <w:t>1</w:t>
            </w:r>
          </w:p>
        </w:tc>
        <w:tc>
          <w:tcPr>
            <w:tcW w:w="4438" w:type="dxa"/>
            <w:vAlign w:val="center"/>
          </w:tcPr>
          <w:p w14:paraId="44E3C22A">
            <w:pPr>
              <w:rPr>
                <w:rFonts w:ascii="宋体" w:eastAsia="宋体"/>
                <w:sz w:val="21"/>
                <w:szCs w:val="21"/>
                <w:highlight w:val="none"/>
              </w:rPr>
            </w:pPr>
            <w:r>
              <w:rPr>
                <w:rFonts w:hint="eastAsia" w:ascii="宋体" w:eastAsia="宋体"/>
                <w:sz w:val="21"/>
                <w:szCs w:val="21"/>
                <w:highlight w:val="none"/>
              </w:rPr>
              <w:t>人身死亡事故</w:t>
            </w:r>
          </w:p>
        </w:tc>
        <w:tc>
          <w:tcPr>
            <w:tcW w:w="3412" w:type="dxa"/>
            <w:vAlign w:val="center"/>
          </w:tcPr>
          <w:p w14:paraId="05C0261B">
            <w:pPr>
              <w:rPr>
                <w:rFonts w:ascii="宋体" w:eastAsia="宋体"/>
                <w:sz w:val="21"/>
                <w:szCs w:val="21"/>
                <w:highlight w:val="none"/>
              </w:rPr>
            </w:pPr>
            <w:r>
              <w:rPr>
                <w:rFonts w:hint="eastAsia" w:ascii="宋体" w:eastAsia="宋体"/>
                <w:sz w:val="21"/>
                <w:szCs w:val="21"/>
                <w:highlight w:val="none"/>
              </w:rPr>
              <w:t>扣款</w:t>
            </w:r>
            <w:r>
              <w:rPr>
                <w:rFonts w:ascii="宋体" w:eastAsia="宋体"/>
                <w:sz w:val="21"/>
                <w:szCs w:val="21"/>
                <w:highlight w:val="none"/>
              </w:rPr>
              <w:t>10-20万元/人次</w:t>
            </w:r>
          </w:p>
        </w:tc>
      </w:tr>
      <w:tr w14:paraId="0956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8F23170">
            <w:pPr>
              <w:rPr>
                <w:rFonts w:ascii="宋体" w:eastAsia="宋体"/>
                <w:sz w:val="21"/>
                <w:szCs w:val="21"/>
                <w:highlight w:val="none"/>
              </w:rPr>
            </w:pPr>
            <w:r>
              <w:rPr>
                <w:rFonts w:ascii="宋体" w:eastAsia="宋体"/>
                <w:sz w:val="21"/>
                <w:szCs w:val="21"/>
                <w:highlight w:val="none"/>
              </w:rPr>
              <w:t>2</w:t>
            </w:r>
          </w:p>
        </w:tc>
        <w:tc>
          <w:tcPr>
            <w:tcW w:w="4438" w:type="dxa"/>
            <w:vAlign w:val="center"/>
          </w:tcPr>
          <w:p w14:paraId="7E8C5707">
            <w:pPr>
              <w:rPr>
                <w:rFonts w:ascii="宋体" w:eastAsia="宋体"/>
                <w:sz w:val="21"/>
                <w:szCs w:val="21"/>
                <w:highlight w:val="none"/>
              </w:rPr>
            </w:pPr>
            <w:r>
              <w:rPr>
                <w:rFonts w:hint="eastAsia" w:ascii="宋体" w:eastAsia="宋体"/>
                <w:sz w:val="21"/>
                <w:szCs w:val="21"/>
                <w:highlight w:val="none"/>
              </w:rPr>
              <w:t>发生</w:t>
            </w:r>
            <w:r>
              <w:rPr>
                <w:rFonts w:ascii="宋体" w:eastAsia="宋体"/>
                <w:sz w:val="21"/>
                <w:szCs w:val="21"/>
                <w:highlight w:val="none"/>
              </w:rPr>
              <w:t>1-2名重伤事故</w:t>
            </w:r>
          </w:p>
        </w:tc>
        <w:tc>
          <w:tcPr>
            <w:tcW w:w="3412" w:type="dxa"/>
            <w:vAlign w:val="center"/>
          </w:tcPr>
          <w:p w14:paraId="319A8D7F">
            <w:pPr>
              <w:rPr>
                <w:rFonts w:ascii="宋体" w:eastAsia="宋体"/>
                <w:sz w:val="21"/>
                <w:szCs w:val="21"/>
                <w:highlight w:val="none"/>
              </w:rPr>
            </w:pPr>
            <w:r>
              <w:rPr>
                <w:rFonts w:hint="eastAsia" w:ascii="宋体" w:eastAsia="宋体"/>
                <w:sz w:val="21"/>
                <w:szCs w:val="21"/>
                <w:highlight w:val="none"/>
              </w:rPr>
              <w:t>每重伤一人次，扣款</w:t>
            </w:r>
            <w:r>
              <w:rPr>
                <w:rFonts w:ascii="宋体" w:eastAsia="宋体"/>
                <w:sz w:val="21"/>
                <w:szCs w:val="21"/>
                <w:highlight w:val="none"/>
              </w:rPr>
              <w:t>5-10万</w:t>
            </w:r>
          </w:p>
        </w:tc>
      </w:tr>
      <w:tr w14:paraId="5DB3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55966DC">
            <w:pPr>
              <w:rPr>
                <w:rFonts w:ascii="宋体" w:eastAsia="宋体"/>
                <w:sz w:val="21"/>
                <w:szCs w:val="21"/>
                <w:highlight w:val="none"/>
              </w:rPr>
            </w:pPr>
            <w:r>
              <w:rPr>
                <w:rFonts w:ascii="宋体" w:eastAsia="宋体"/>
                <w:sz w:val="21"/>
                <w:szCs w:val="21"/>
                <w:highlight w:val="none"/>
              </w:rPr>
              <w:t>3</w:t>
            </w:r>
          </w:p>
        </w:tc>
        <w:tc>
          <w:tcPr>
            <w:tcW w:w="4438" w:type="dxa"/>
            <w:vAlign w:val="center"/>
          </w:tcPr>
          <w:p w14:paraId="3BB3DF77">
            <w:pPr>
              <w:rPr>
                <w:rFonts w:ascii="宋体" w:eastAsia="宋体"/>
                <w:sz w:val="21"/>
                <w:szCs w:val="21"/>
                <w:highlight w:val="none"/>
              </w:rPr>
            </w:pPr>
            <w:r>
              <w:rPr>
                <w:rFonts w:hint="eastAsia" w:ascii="宋体" w:eastAsia="宋体"/>
                <w:sz w:val="21"/>
                <w:szCs w:val="21"/>
                <w:highlight w:val="none"/>
              </w:rPr>
              <w:t>发生人身轻伤</w:t>
            </w:r>
          </w:p>
        </w:tc>
        <w:tc>
          <w:tcPr>
            <w:tcW w:w="3412" w:type="dxa"/>
            <w:vAlign w:val="center"/>
          </w:tcPr>
          <w:p w14:paraId="1972674E">
            <w:pPr>
              <w:rPr>
                <w:rFonts w:ascii="宋体" w:eastAsia="宋体"/>
                <w:sz w:val="21"/>
                <w:szCs w:val="21"/>
                <w:highlight w:val="none"/>
              </w:rPr>
            </w:pPr>
            <w:r>
              <w:rPr>
                <w:rFonts w:hint="eastAsia" w:ascii="宋体" w:eastAsia="宋体"/>
                <w:sz w:val="21"/>
                <w:szCs w:val="21"/>
                <w:highlight w:val="none"/>
              </w:rPr>
              <w:t>每轻伤一人次，扣款</w:t>
            </w:r>
            <w:r>
              <w:rPr>
                <w:rFonts w:ascii="宋体" w:eastAsia="宋体"/>
                <w:sz w:val="21"/>
                <w:szCs w:val="21"/>
                <w:highlight w:val="none"/>
              </w:rPr>
              <w:t>1万-5万元</w:t>
            </w:r>
          </w:p>
        </w:tc>
      </w:tr>
      <w:tr w14:paraId="0C9F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EFA24E7">
            <w:pPr>
              <w:rPr>
                <w:rFonts w:ascii="宋体" w:eastAsia="宋体"/>
                <w:sz w:val="21"/>
                <w:szCs w:val="21"/>
                <w:highlight w:val="none"/>
              </w:rPr>
            </w:pPr>
            <w:r>
              <w:rPr>
                <w:rFonts w:ascii="宋体" w:eastAsia="宋体"/>
                <w:sz w:val="21"/>
                <w:szCs w:val="21"/>
                <w:highlight w:val="none"/>
              </w:rPr>
              <w:t>4</w:t>
            </w:r>
          </w:p>
        </w:tc>
        <w:tc>
          <w:tcPr>
            <w:tcW w:w="4438" w:type="dxa"/>
            <w:vAlign w:val="center"/>
          </w:tcPr>
          <w:p w14:paraId="7A1DDD61">
            <w:pPr>
              <w:rPr>
                <w:rFonts w:ascii="宋体" w:eastAsia="宋体"/>
                <w:sz w:val="21"/>
                <w:szCs w:val="21"/>
                <w:highlight w:val="none"/>
              </w:rPr>
            </w:pPr>
            <w:r>
              <w:rPr>
                <w:rFonts w:hint="eastAsia" w:ascii="宋体" w:eastAsia="宋体"/>
                <w:sz w:val="21"/>
                <w:szCs w:val="21"/>
                <w:highlight w:val="none"/>
              </w:rPr>
              <w:t>发生人身未遂事件</w:t>
            </w:r>
          </w:p>
        </w:tc>
        <w:tc>
          <w:tcPr>
            <w:tcW w:w="3412" w:type="dxa"/>
            <w:vAlign w:val="center"/>
          </w:tcPr>
          <w:p w14:paraId="4BFBDDD0">
            <w:pPr>
              <w:rPr>
                <w:rFonts w:ascii="宋体" w:eastAsia="宋体"/>
                <w:sz w:val="21"/>
                <w:szCs w:val="21"/>
                <w:highlight w:val="none"/>
              </w:rPr>
            </w:pPr>
            <w:r>
              <w:rPr>
                <w:rFonts w:hint="eastAsia" w:ascii="宋体" w:eastAsia="宋体"/>
                <w:sz w:val="21"/>
                <w:szCs w:val="21"/>
                <w:highlight w:val="none"/>
              </w:rPr>
              <w:t>根据乙方的责任及事件情节，每次扣款</w:t>
            </w:r>
            <w:r>
              <w:rPr>
                <w:rFonts w:ascii="宋体" w:eastAsia="宋体"/>
                <w:sz w:val="21"/>
                <w:szCs w:val="21"/>
                <w:highlight w:val="none"/>
              </w:rPr>
              <w:t>3000元-1万元</w:t>
            </w:r>
          </w:p>
        </w:tc>
      </w:tr>
      <w:tr w14:paraId="277A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08CD50C3">
            <w:pPr>
              <w:rPr>
                <w:rFonts w:ascii="宋体" w:eastAsia="宋体"/>
                <w:b/>
                <w:sz w:val="21"/>
                <w:szCs w:val="21"/>
                <w:highlight w:val="none"/>
              </w:rPr>
            </w:pPr>
            <w:r>
              <w:rPr>
                <w:rFonts w:hint="eastAsia" w:ascii="宋体" w:eastAsia="宋体"/>
                <w:b/>
                <w:sz w:val="21"/>
                <w:szCs w:val="21"/>
                <w:highlight w:val="none"/>
              </w:rPr>
              <w:t>二、设备事故</w:t>
            </w:r>
          </w:p>
        </w:tc>
      </w:tr>
      <w:tr w14:paraId="2EA1C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CB991C9">
            <w:pPr>
              <w:rPr>
                <w:rFonts w:ascii="宋体" w:eastAsia="宋体"/>
                <w:sz w:val="21"/>
                <w:szCs w:val="21"/>
                <w:highlight w:val="none"/>
              </w:rPr>
            </w:pPr>
            <w:r>
              <w:rPr>
                <w:rFonts w:ascii="宋体" w:eastAsia="宋体"/>
                <w:sz w:val="21"/>
                <w:szCs w:val="21"/>
                <w:highlight w:val="none"/>
              </w:rPr>
              <w:t>1</w:t>
            </w:r>
          </w:p>
        </w:tc>
        <w:tc>
          <w:tcPr>
            <w:tcW w:w="4438" w:type="dxa"/>
            <w:vAlign w:val="center"/>
          </w:tcPr>
          <w:p w14:paraId="26816269">
            <w:pPr>
              <w:rPr>
                <w:rFonts w:ascii="宋体" w:eastAsia="宋体"/>
                <w:sz w:val="21"/>
                <w:szCs w:val="21"/>
                <w:highlight w:val="none"/>
              </w:rPr>
            </w:pPr>
            <w:r>
              <w:rPr>
                <w:rFonts w:hint="eastAsia" w:ascii="宋体" w:eastAsia="宋体"/>
                <w:sz w:val="21"/>
                <w:szCs w:val="21"/>
                <w:highlight w:val="none"/>
              </w:rPr>
              <w:t>发生设备事故</w:t>
            </w:r>
          </w:p>
        </w:tc>
        <w:tc>
          <w:tcPr>
            <w:tcW w:w="3412" w:type="dxa"/>
            <w:vAlign w:val="center"/>
          </w:tcPr>
          <w:p w14:paraId="1122BE4C">
            <w:pPr>
              <w:rPr>
                <w:rFonts w:ascii="宋体" w:eastAsia="宋体"/>
                <w:sz w:val="21"/>
                <w:szCs w:val="21"/>
                <w:highlight w:val="none"/>
              </w:rPr>
            </w:pPr>
            <w:r>
              <w:rPr>
                <w:rFonts w:hint="eastAsia" w:ascii="宋体" w:eastAsia="宋体"/>
                <w:sz w:val="21"/>
                <w:szCs w:val="21"/>
                <w:highlight w:val="none"/>
              </w:rPr>
              <w:t>根据乙方的责任及经济损失情况，每次扣款</w:t>
            </w:r>
            <w:r>
              <w:rPr>
                <w:rFonts w:ascii="宋体" w:eastAsia="宋体"/>
                <w:sz w:val="21"/>
                <w:szCs w:val="21"/>
                <w:highlight w:val="none"/>
              </w:rPr>
              <w:t>3-10万元</w:t>
            </w:r>
          </w:p>
        </w:tc>
      </w:tr>
      <w:tr w14:paraId="6C600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FF2F4EF">
            <w:pPr>
              <w:rPr>
                <w:rFonts w:ascii="宋体" w:eastAsia="宋体"/>
                <w:sz w:val="21"/>
                <w:szCs w:val="21"/>
                <w:highlight w:val="none"/>
              </w:rPr>
            </w:pPr>
            <w:r>
              <w:rPr>
                <w:rFonts w:ascii="宋体" w:eastAsia="宋体"/>
                <w:sz w:val="21"/>
                <w:szCs w:val="21"/>
                <w:highlight w:val="none"/>
              </w:rPr>
              <w:t>2</w:t>
            </w:r>
          </w:p>
        </w:tc>
        <w:tc>
          <w:tcPr>
            <w:tcW w:w="4438" w:type="dxa"/>
            <w:vAlign w:val="center"/>
          </w:tcPr>
          <w:p w14:paraId="7DB17967">
            <w:pPr>
              <w:rPr>
                <w:rFonts w:ascii="宋体" w:eastAsia="宋体"/>
                <w:sz w:val="21"/>
                <w:szCs w:val="21"/>
                <w:highlight w:val="none"/>
              </w:rPr>
            </w:pPr>
            <w:r>
              <w:rPr>
                <w:rFonts w:hint="eastAsia" w:ascii="宋体" w:eastAsia="宋体"/>
                <w:sz w:val="21"/>
                <w:szCs w:val="21"/>
                <w:highlight w:val="none"/>
              </w:rPr>
              <w:t>发生一类障碍</w:t>
            </w:r>
          </w:p>
        </w:tc>
        <w:tc>
          <w:tcPr>
            <w:tcW w:w="3412" w:type="dxa"/>
            <w:vAlign w:val="center"/>
          </w:tcPr>
          <w:p w14:paraId="43501AA8">
            <w:pPr>
              <w:rPr>
                <w:rFonts w:ascii="宋体" w:eastAsia="宋体"/>
                <w:sz w:val="21"/>
                <w:szCs w:val="21"/>
                <w:highlight w:val="none"/>
              </w:rPr>
            </w:pPr>
            <w:r>
              <w:rPr>
                <w:rFonts w:hint="eastAsia" w:ascii="宋体" w:eastAsia="宋体"/>
                <w:sz w:val="21"/>
                <w:szCs w:val="21"/>
                <w:highlight w:val="none"/>
              </w:rPr>
              <w:t>根据乙方的责任及经济损失情况，每次扣款</w:t>
            </w:r>
            <w:r>
              <w:rPr>
                <w:rFonts w:ascii="宋体" w:eastAsia="宋体"/>
                <w:sz w:val="21"/>
                <w:szCs w:val="21"/>
                <w:highlight w:val="none"/>
              </w:rPr>
              <w:t>1-4万元</w:t>
            </w:r>
          </w:p>
        </w:tc>
      </w:tr>
      <w:tr w14:paraId="6462CC0D">
        <w:tblPrEx>
          <w:tblCellMar>
            <w:top w:w="0" w:type="dxa"/>
            <w:left w:w="142" w:type="dxa"/>
            <w:bottom w:w="0" w:type="dxa"/>
            <w:right w:w="142" w:type="dxa"/>
          </w:tblCellMar>
        </w:tblPrEx>
        <w:trPr>
          <w:jc w:val="center"/>
        </w:trPr>
        <w:tc>
          <w:tcPr>
            <w:tcW w:w="740" w:type="dxa"/>
            <w:gridSpan w:val="2"/>
            <w:vAlign w:val="center"/>
          </w:tcPr>
          <w:p w14:paraId="67EC6403">
            <w:pPr>
              <w:rPr>
                <w:rFonts w:ascii="宋体" w:eastAsia="宋体"/>
                <w:sz w:val="21"/>
                <w:szCs w:val="21"/>
                <w:highlight w:val="none"/>
              </w:rPr>
            </w:pPr>
            <w:r>
              <w:rPr>
                <w:rFonts w:ascii="宋体" w:eastAsia="宋体"/>
                <w:sz w:val="21"/>
                <w:szCs w:val="21"/>
                <w:highlight w:val="none"/>
              </w:rPr>
              <w:t>3</w:t>
            </w:r>
          </w:p>
        </w:tc>
        <w:tc>
          <w:tcPr>
            <w:tcW w:w="4438" w:type="dxa"/>
            <w:vAlign w:val="center"/>
          </w:tcPr>
          <w:p w14:paraId="64C31400">
            <w:pPr>
              <w:rPr>
                <w:rFonts w:ascii="宋体" w:eastAsia="宋体"/>
                <w:sz w:val="21"/>
                <w:szCs w:val="21"/>
                <w:highlight w:val="none"/>
              </w:rPr>
            </w:pPr>
            <w:r>
              <w:rPr>
                <w:rFonts w:hint="eastAsia" w:ascii="宋体" w:eastAsia="宋体"/>
                <w:sz w:val="21"/>
                <w:szCs w:val="21"/>
                <w:highlight w:val="none"/>
              </w:rPr>
              <w:t>发生二类障碍</w:t>
            </w:r>
          </w:p>
        </w:tc>
        <w:tc>
          <w:tcPr>
            <w:tcW w:w="3412" w:type="dxa"/>
            <w:vAlign w:val="center"/>
          </w:tcPr>
          <w:p w14:paraId="392FCE4B">
            <w:pPr>
              <w:rPr>
                <w:rFonts w:ascii="宋体" w:eastAsia="宋体"/>
                <w:sz w:val="21"/>
                <w:szCs w:val="21"/>
                <w:highlight w:val="none"/>
              </w:rPr>
            </w:pPr>
            <w:r>
              <w:rPr>
                <w:rFonts w:hint="eastAsia" w:ascii="宋体" w:eastAsia="宋体"/>
                <w:sz w:val="21"/>
                <w:szCs w:val="21"/>
                <w:highlight w:val="none"/>
              </w:rPr>
              <w:t>根据乙方的责任及经济损失情况，每次扣款</w:t>
            </w:r>
            <w:r>
              <w:rPr>
                <w:rFonts w:ascii="宋体" w:eastAsia="宋体"/>
                <w:sz w:val="21"/>
                <w:szCs w:val="21"/>
                <w:highlight w:val="none"/>
              </w:rPr>
              <w:t>1000元-1万元</w:t>
            </w:r>
          </w:p>
        </w:tc>
      </w:tr>
      <w:tr w14:paraId="5B6D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585380A">
            <w:pPr>
              <w:rPr>
                <w:rFonts w:ascii="宋体" w:eastAsia="宋体"/>
                <w:sz w:val="21"/>
                <w:szCs w:val="21"/>
                <w:highlight w:val="none"/>
              </w:rPr>
            </w:pPr>
            <w:r>
              <w:rPr>
                <w:rFonts w:ascii="宋体" w:eastAsia="宋体"/>
                <w:sz w:val="21"/>
                <w:szCs w:val="21"/>
                <w:highlight w:val="none"/>
              </w:rPr>
              <w:t>4</w:t>
            </w:r>
          </w:p>
        </w:tc>
        <w:tc>
          <w:tcPr>
            <w:tcW w:w="4438" w:type="dxa"/>
            <w:vAlign w:val="center"/>
          </w:tcPr>
          <w:p w14:paraId="3432D0A6">
            <w:pPr>
              <w:rPr>
                <w:rFonts w:ascii="宋体" w:eastAsia="宋体"/>
                <w:sz w:val="21"/>
                <w:szCs w:val="21"/>
                <w:highlight w:val="none"/>
              </w:rPr>
            </w:pPr>
            <w:r>
              <w:rPr>
                <w:rFonts w:hint="eastAsia" w:ascii="宋体" w:eastAsia="宋体"/>
                <w:sz w:val="21"/>
                <w:szCs w:val="21"/>
                <w:highlight w:val="none"/>
              </w:rPr>
              <w:t>二类障碍以下事件</w:t>
            </w:r>
          </w:p>
        </w:tc>
        <w:tc>
          <w:tcPr>
            <w:tcW w:w="3412" w:type="dxa"/>
            <w:vAlign w:val="center"/>
          </w:tcPr>
          <w:p w14:paraId="736EC3CA">
            <w:pPr>
              <w:rPr>
                <w:rFonts w:ascii="宋体" w:eastAsia="宋体"/>
                <w:sz w:val="21"/>
                <w:szCs w:val="21"/>
                <w:highlight w:val="none"/>
              </w:rPr>
            </w:pPr>
            <w:r>
              <w:rPr>
                <w:rFonts w:hint="eastAsia" w:ascii="宋体" w:eastAsia="宋体"/>
                <w:sz w:val="21"/>
                <w:szCs w:val="21"/>
                <w:highlight w:val="none"/>
              </w:rPr>
              <w:t>根据乙方的责任及经济损失情况，每次扣款</w:t>
            </w:r>
            <w:r>
              <w:rPr>
                <w:rFonts w:ascii="宋体" w:eastAsia="宋体"/>
                <w:sz w:val="21"/>
                <w:szCs w:val="21"/>
                <w:highlight w:val="none"/>
              </w:rPr>
              <w:t>500-3000元</w:t>
            </w:r>
          </w:p>
        </w:tc>
      </w:tr>
      <w:tr w14:paraId="5D0B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0830AE0D">
            <w:pPr>
              <w:rPr>
                <w:rFonts w:ascii="宋体" w:eastAsia="宋体"/>
                <w:b/>
                <w:sz w:val="21"/>
                <w:szCs w:val="21"/>
                <w:highlight w:val="none"/>
              </w:rPr>
            </w:pPr>
            <w:r>
              <w:rPr>
                <w:rFonts w:hint="eastAsia" w:ascii="宋体" w:eastAsia="宋体"/>
                <w:b/>
                <w:sz w:val="21"/>
                <w:szCs w:val="21"/>
                <w:highlight w:val="none"/>
              </w:rPr>
              <w:t>三、违章考核</w:t>
            </w:r>
          </w:p>
        </w:tc>
      </w:tr>
      <w:tr w14:paraId="038F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7FDF8606">
            <w:pPr>
              <w:rPr>
                <w:rFonts w:ascii="宋体" w:eastAsia="宋体"/>
                <w:sz w:val="21"/>
                <w:szCs w:val="21"/>
                <w:highlight w:val="none"/>
              </w:rPr>
            </w:pPr>
            <w:r>
              <w:rPr>
                <w:rFonts w:hint="eastAsia" w:ascii="宋体" w:eastAsia="宋体"/>
                <w:sz w:val="21"/>
                <w:szCs w:val="21"/>
                <w:highlight w:val="none"/>
              </w:rPr>
              <w:t>安全管理考核</w:t>
            </w:r>
          </w:p>
        </w:tc>
      </w:tr>
      <w:tr w14:paraId="62C5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426356F">
            <w:pPr>
              <w:rPr>
                <w:rFonts w:ascii="宋体" w:eastAsia="宋体"/>
                <w:sz w:val="21"/>
                <w:szCs w:val="21"/>
                <w:highlight w:val="none"/>
              </w:rPr>
            </w:pPr>
            <w:r>
              <w:rPr>
                <w:rFonts w:ascii="宋体" w:eastAsia="宋体"/>
                <w:sz w:val="21"/>
                <w:szCs w:val="21"/>
                <w:highlight w:val="none"/>
              </w:rPr>
              <w:t>1</w:t>
            </w:r>
          </w:p>
        </w:tc>
        <w:tc>
          <w:tcPr>
            <w:tcW w:w="4438" w:type="dxa"/>
            <w:vAlign w:val="center"/>
          </w:tcPr>
          <w:p w14:paraId="7A50F3EF">
            <w:pPr>
              <w:rPr>
                <w:rFonts w:ascii="宋体" w:eastAsia="宋体"/>
                <w:sz w:val="21"/>
                <w:szCs w:val="21"/>
                <w:highlight w:val="none"/>
              </w:rPr>
            </w:pPr>
            <w:r>
              <w:rPr>
                <w:rFonts w:hint="eastAsia" w:ascii="宋体" w:eastAsia="宋体"/>
                <w:sz w:val="21"/>
                <w:szCs w:val="21"/>
                <w:highlight w:val="none"/>
              </w:rPr>
              <w:t>安全管理台账（包括安全教育培训记录、安全活动记录、安全检查记录、隐患排查记录、反违章检查记录、应急物资检查记录等）不完善，存在缺项、漏项、明显做假的行为</w:t>
            </w:r>
            <w:r>
              <w:rPr>
                <w:rFonts w:ascii="宋体" w:eastAsia="宋体"/>
                <w:sz w:val="21"/>
                <w:szCs w:val="21"/>
                <w:highlight w:val="none"/>
              </w:rPr>
              <w:t xml:space="preserve"> </w:t>
            </w:r>
          </w:p>
        </w:tc>
        <w:tc>
          <w:tcPr>
            <w:tcW w:w="3412" w:type="dxa"/>
            <w:vAlign w:val="center"/>
          </w:tcPr>
          <w:p w14:paraId="4309A62D">
            <w:pPr>
              <w:rPr>
                <w:rFonts w:ascii="宋体" w:eastAsia="宋体"/>
                <w:sz w:val="21"/>
                <w:szCs w:val="21"/>
                <w:highlight w:val="none"/>
              </w:rPr>
            </w:pPr>
            <w:r>
              <w:rPr>
                <w:rFonts w:hint="eastAsia" w:ascii="宋体" w:eastAsia="宋体"/>
                <w:sz w:val="21"/>
                <w:szCs w:val="21"/>
                <w:highlight w:val="none"/>
              </w:rPr>
              <w:t>扣</w:t>
            </w:r>
            <w:r>
              <w:rPr>
                <w:rFonts w:ascii="宋体" w:eastAsia="宋体"/>
                <w:sz w:val="21"/>
                <w:szCs w:val="21"/>
                <w:highlight w:val="none"/>
              </w:rPr>
              <w:t>50-100元/项</w:t>
            </w:r>
          </w:p>
        </w:tc>
      </w:tr>
      <w:tr w14:paraId="764A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D1370CE">
            <w:pPr>
              <w:rPr>
                <w:rFonts w:ascii="宋体" w:eastAsia="宋体"/>
                <w:sz w:val="21"/>
                <w:szCs w:val="21"/>
                <w:highlight w:val="none"/>
              </w:rPr>
            </w:pPr>
            <w:r>
              <w:rPr>
                <w:rFonts w:ascii="宋体" w:eastAsia="宋体"/>
                <w:sz w:val="21"/>
                <w:szCs w:val="21"/>
                <w:highlight w:val="none"/>
              </w:rPr>
              <w:t>2</w:t>
            </w:r>
          </w:p>
        </w:tc>
        <w:tc>
          <w:tcPr>
            <w:tcW w:w="4438" w:type="dxa"/>
            <w:vAlign w:val="center"/>
          </w:tcPr>
          <w:p w14:paraId="179CF599">
            <w:pPr>
              <w:rPr>
                <w:rFonts w:ascii="宋体" w:eastAsia="宋体"/>
                <w:sz w:val="21"/>
                <w:szCs w:val="21"/>
                <w:highlight w:val="none"/>
              </w:rPr>
            </w:pPr>
            <w:r>
              <w:rPr>
                <w:rFonts w:hint="eastAsia" w:ascii="宋体" w:eastAsia="宋体"/>
                <w:sz w:val="21"/>
                <w:szCs w:val="21"/>
                <w:highlight w:val="none"/>
              </w:rPr>
              <w:t>未按照规定的时间节点上报安全管理资料的（包括安全整改闭环资料、各类数据、报表、计划、目标、措施、总结等）</w:t>
            </w:r>
          </w:p>
        </w:tc>
        <w:tc>
          <w:tcPr>
            <w:tcW w:w="3412" w:type="dxa"/>
            <w:vAlign w:val="center"/>
          </w:tcPr>
          <w:p w14:paraId="64332720">
            <w:pPr>
              <w:rPr>
                <w:rFonts w:ascii="宋体" w:eastAsia="宋体"/>
                <w:sz w:val="21"/>
                <w:szCs w:val="21"/>
                <w:highlight w:val="none"/>
              </w:rPr>
            </w:pPr>
            <w:r>
              <w:rPr>
                <w:rFonts w:hint="eastAsia" w:ascii="宋体" w:eastAsia="宋体"/>
                <w:sz w:val="21"/>
                <w:szCs w:val="21"/>
                <w:highlight w:val="none"/>
              </w:rPr>
              <w:t>扣</w:t>
            </w:r>
            <w:r>
              <w:rPr>
                <w:rFonts w:ascii="宋体" w:eastAsia="宋体"/>
                <w:sz w:val="21"/>
                <w:szCs w:val="21"/>
                <w:highlight w:val="none"/>
              </w:rPr>
              <w:t>50-100元/次</w:t>
            </w:r>
          </w:p>
        </w:tc>
      </w:tr>
      <w:tr w14:paraId="23DB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9AD47AE">
            <w:pPr>
              <w:rPr>
                <w:rFonts w:ascii="宋体" w:eastAsia="宋体"/>
                <w:sz w:val="21"/>
                <w:szCs w:val="21"/>
                <w:highlight w:val="none"/>
              </w:rPr>
            </w:pPr>
            <w:r>
              <w:rPr>
                <w:rFonts w:ascii="宋体" w:eastAsia="宋体"/>
                <w:sz w:val="21"/>
                <w:szCs w:val="21"/>
                <w:highlight w:val="none"/>
              </w:rPr>
              <w:t>3</w:t>
            </w:r>
          </w:p>
        </w:tc>
        <w:tc>
          <w:tcPr>
            <w:tcW w:w="4438" w:type="dxa"/>
            <w:vAlign w:val="center"/>
          </w:tcPr>
          <w:p w14:paraId="47AAD348">
            <w:pPr>
              <w:rPr>
                <w:rFonts w:ascii="宋体" w:eastAsia="宋体"/>
                <w:sz w:val="21"/>
                <w:szCs w:val="21"/>
                <w:highlight w:val="none"/>
              </w:rPr>
            </w:pPr>
            <w:r>
              <w:rPr>
                <w:rFonts w:hint="eastAsia" w:ascii="宋体" w:eastAsia="宋体"/>
                <w:sz w:val="21"/>
                <w:szCs w:val="21"/>
                <w:highlight w:val="none"/>
              </w:rPr>
              <w:t>未按规定参加甲方组织的各类安全教育培训活动，或无故迟到、早退的</w:t>
            </w:r>
          </w:p>
        </w:tc>
        <w:tc>
          <w:tcPr>
            <w:tcW w:w="3412" w:type="dxa"/>
            <w:vAlign w:val="center"/>
          </w:tcPr>
          <w:p w14:paraId="30107EC8">
            <w:pPr>
              <w:rPr>
                <w:rFonts w:ascii="宋体" w:eastAsia="宋体"/>
                <w:sz w:val="21"/>
                <w:szCs w:val="21"/>
                <w:highlight w:val="none"/>
              </w:rPr>
            </w:pPr>
            <w:r>
              <w:rPr>
                <w:rFonts w:hint="eastAsia" w:ascii="宋体" w:eastAsia="宋体"/>
                <w:sz w:val="21"/>
                <w:szCs w:val="21"/>
                <w:highlight w:val="none"/>
              </w:rPr>
              <w:t>扣</w:t>
            </w:r>
            <w:r>
              <w:rPr>
                <w:rFonts w:ascii="宋体" w:eastAsia="宋体"/>
                <w:sz w:val="21"/>
                <w:szCs w:val="21"/>
                <w:highlight w:val="none"/>
              </w:rPr>
              <w:t>50/次/人</w:t>
            </w:r>
          </w:p>
        </w:tc>
      </w:tr>
      <w:tr w14:paraId="6A5B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2A144F0">
            <w:pPr>
              <w:rPr>
                <w:rFonts w:ascii="宋体" w:eastAsia="宋体"/>
                <w:sz w:val="21"/>
                <w:szCs w:val="21"/>
                <w:highlight w:val="none"/>
              </w:rPr>
            </w:pPr>
            <w:r>
              <w:rPr>
                <w:rFonts w:ascii="宋体" w:eastAsia="宋体"/>
                <w:sz w:val="21"/>
                <w:szCs w:val="21"/>
                <w:highlight w:val="none"/>
              </w:rPr>
              <w:t>4</w:t>
            </w:r>
          </w:p>
        </w:tc>
        <w:tc>
          <w:tcPr>
            <w:tcW w:w="4438" w:type="dxa"/>
            <w:vAlign w:val="center"/>
          </w:tcPr>
          <w:p w14:paraId="3AD12897">
            <w:pPr>
              <w:rPr>
                <w:rFonts w:ascii="宋体" w:eastAsia="宋体"/>
                <w:sz w:val="21"/>
                <w:szCs w:val="21"/>
                <w:highlight w:val="none"/>
              </w:rPr>
            </w:pPr>
            <w:r>
              <w:rPr>
                <w:rFonts w:hint="eastAsia" w:ascii="宋体" w:eastAsia="宋体"/>
                <w:sz w:val="21"/>
                <w:szCs w:val="21"/>
                <w:highlight w:val="none"/>
              </w:rPr>
              <w:t>甲方下达的安全整改通知单、安全生产工作任务无故不执行或不按规定回复的</w:t>
            </w:r>
          </w:p>
        </w:tc>
        <w:tc>
          <w:tcPr>
            <w:tcW w:w="3412" w:type="dxa"/>
            <w:vAlign w:val="center"/>
          </w:tcPr>
          <w:p w14:paraId="327B61B2">
            <w:pPr>
              <w:rPr>
                <w:rFonts w:ascii="宋体" w:eastAsia="宋体"/>
                <w:sz w:val="21"/>
                <w:szCs w:val="21"/>
                <w:highlight w:val="none"/>
              </w:rPr>
            </w:pPr>
            <w:r>
              <w:rPr>
                <w:rFonts w:hint="eastAsia" w:ascii="宋体" w:eastAsia="宋体"/>
                <w:sz w:val="21"/>
                <w:szCs w:val="21"/>
                <w:highlight w:val="none"/>
              </w:rPr>
              <w:t>扣</w:t>
            </w:r>
            <w:r>
              <w:rPr>
                <w:rFonts w:ascii="宋体" w:eastAsia="宋体"/>
                <w:sz w:val="21"/>
                <w:szCs w:val="21"/>
                <w:highlight w:val="none"/>
              </w:rPr>
              <w:t>100-200元/次</w:t>
            </w:r>
          </w:p>
        </w:tc>
      </w:tr>
      <w:tr w14:paraId="7F81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C82DF61">
            <w:pPr>
              <w:rPr>
                <w:rFonts w:ascii="宋体" w:eastAsia="宋体"/>
                <w:sz w:val="21"/>
                <w:szCs w:val="21"/>
                <w:highlight w:val="none"/>
              </w:rPr>
            </w:pPr>
            <w:r>
              <w:rPr>
                <w:rFonts w:ascii="宋体" w:eastAsia="宋体"/>
                <w:sz w:val="21"/>
                <w:szCs w:val="21"/>
                <w:highlight w:val="none"/>
              </w:rPr>
              <w:t>5</w:t>
            </w:r>
          </w:p>
        </w:tc>
        <w:tc>
          <w:tcPr>
            <w:tcW w:w="4438" w:type="dxa"/>
            <w:vAlign w:val="center"/>
          </w:tcPr>
          <w:p w14:paraId="0F511803">
            <w:pPr>
              <w:rPr>
                <w:rFonts w:ascii="宋体" w:eastAsia="宋体"/>
                <w:sz w:val="21"/>
                <w:szCs w:val="21"/>
                <w:highlight w:val="none"/>
              </w:rPr>
            </w:pPr>
            <w:r>
              <w:rPr>
                <w:rFonts w:hint="eastAsia" w:ascii="宋体" w:eastAsia="宋体"/>
                <w:sz w:val="21"/>
                <w:szCs w:val="21"/>
                <w:highlight w:val="none"/>
              </w:rPr>
              <w:t>各类安全检查发现的整改问题，未做好持续保持工作，导致相同问题重复发生的，扣</w:t>
            </w:r>
            <w:r>
              <w:rPr>
                <w:rFonts w:ascii="宋体" w:eastAsia="宋体"/>
                <w:sz w:val="21"/>
                <w:szCs w:val="21"/>
                <w:highlight w:val="none"/>
              </w:rPr>
              <w:t>100</w:t>
            </w:r>
            <w:r>
              <w:rPr>
                <w:rFonts w:hint="eastAsia" w:ascii="宋体" w:eastAsia="宋体"/>
                <w:sz w:val="21"/>
                <w:szCs w:val="21"/>
                <w:highlight w:val="none"/>
              </w:rPr>
              <w:t>元</w:t>
            </w:r>
            <w:r>
              <w:rPr>
                <w:rFonts w:ascii="宋体" w:eastAsia="宋体"/>
                <w:sz w:val="21"/>
                <w:szCs w:val="21"/>
                <w:highlight w:val="none"/>
              </w:rPr>
              <w:t>/次；整改问题未做好举一反三工作的，导致同类问题重复发生的，扣50元/次。</w:t>
            </w:r>
          </w:p>
        </w:tc>
        <w:tc>
          <w:tcPr>
            <w:tcW w:w="3412" w:type="dxa"/>
            <w:vAlign w:val="center"/>
          </w:tcPr>
          <w:p w14:paraId="01BC0BB0">
            <w:pPr>
              <w:rPr>
                <w:rFonts w:ascii="宋体" w:eastAsia="宋体"/>
                <w:sz w:val="21"/>
                <w:szCs w:val="21"/>
                <w:highlight w:val="none"/>
              </w:rPr>
            </w:pPr>
            <w:r>
              <w:rPr>
                <w:rFonts w:hint="eastAsia" w:ascii="宋体" w:eastAsia="宋体"/>
                <w:sz w:val="21"/>
                <w:szCs w:val="21"/>
                <w:highlight w:val="none"/>
              </w:rPr>
              <w:t>扣</w:t>
            </w:r>
            <w:r>
              <w:rPr>
                <w:rFonts w:ascii="宋体" w:eastAsia="宋体"/>
                <w:sz w:val="21"/>
                <w:szCs w:val="21"/>
                <w:highlight w:val="none"/>
              </w:rPr>
              <w:t>100-200元/次；</w:t>
            </w:r>
          </w:p>
          <w:p w14:paraId="7FA9842D">
            <w:pPr>
              <w:rPr>
                <w:rFonts w:ascii="宋体" w:eastAsia="宋体"/>
                <w:sz w:val="21"/>
                <w:szCs w:val="21"/>
                <w:highlight w:val="none"/>
              </w:rPr>
            </w:pPr>
            <w:r>
              <w:rPr>
                <w:rFonts w:hint="eastAsia" w:ascii="宋体" w:eastAsia="宋体"/>
                <w:sz w:val="21"/>
                <w:szCs w:val="21"/>
                <w:highlight w:val="none"/>
              </w:rPr>
              <w:t>扣</w:t>
            </w:r>
            <w:r>
              <w:rPr>
                <w:rFonts w:ascii="宋体" w:eastAsia="宋体"/>
                <w:sz w:val="21"/>
                <w:szCs w:val="21"/>
                <w:highlight w:val="none"/>
              </w:rPr>
              <w:t>50元/次</w:t>
            </w:r>
          </w:p>
        </w:tc>
      </w:tr>
      <w:tr w14:paraId="4DE1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EF0AFEE">
            <w:pPr>
              <w:rPr>
                <w:rFonts w:ascii="宋体" w:eastAsia="宋体"/>
                <w:sz w:val="21"/>
                <w:szCs w:val="21"/>
              </w:rPr>
            </w:pPr>
            <w:r>
              <w:rPr>
                <w:rFonts w:ascii="宋体" w:eastAsia="宋体"/>
                <w:sz w:val="21"/>
                <w:szCs w:val="21"/>
              </w:rPr>
              <w:t>6</w:t>
            </w:r>
          </w:p>
        </w:tc>
        <w:tc>
          <w:tcPr>
            <w:tcW w:w="4438" w:type="dxa"/>
            <w:vAlign w:val="center"/>
          </w:tcPr>
          <w:p w14:paraId="4DFAC9BC">
            <w:pPr>
              <w:rPr>
                <w:rFonts w:ascii="宋体" w:eastAsia="宋体"/>
                <w:sz w:val="21"/>
                <w:szCs w:val="21"/>
              </w:rPr>
            </w:pPr>
            <w:r>
              <w:rPr>
                <w:rFonts w:hint="eastAsia" w:ascii="宋体" w:eastAsia="宋体"/>
                <w:sz w:val="21"/>
                <w:szCs w:val="21"/>
              </w:rPr>
              <w:t>未及时上报生产安全事故（事件）</w:t>
            </w:r>
          </w:p>
        </w:tc>
        <w:tc>
          <w:tcPr>
            <w:tcW w:w="3412" w:type="dxa"/>
            <w:vAlign w:val="center"/>
          </w:tcPr>
          <w:p w14:paraId="1103F560">
            <w:pPr>
              <w:rPr>
                <w:rFonts w:ascii="宋体" w:eastAsia="宋体"/>
                <w:sz w:val="21"/>
                <w:szCs w:val="21"/>
              </w:rPr>
            </w:pPr>
            <w:r>
              <w:rPr>
                <w:rFonts w:hint="eastAsia" w:ascii="宋体" w:eastAsia="宋体"/>
                <w:sz w:val="21"/>
                <w:szCs w:val="21"/>
              </w:rPr>
              <w:t>扣</w:t>
            </w:r>
            <w:r>
              <w:rPr>
                <w:rFonts w:ascii="宋体" w:eastAsia="宋体"/>
                <w:sz w:val="21"/>
                <w:szCs w:val="21"/>
              </w:rPr>
              <w:t>100-200元/次</w:t>
            </w:r>
          </w:p>
        </w:tc>
      </w:tr>
      <w:tr w14:paraId="482A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4A82FFA">
            <w:pPr>
              <w:rPr>
                <w:rFonts w:ascii="宋体" w:eastAsia="宋体"/>
                <w:sz w:val="21"/>
                <w:szCs w:val="21"/>
              </w:rPr>
            </w:pPr>
            <w:r>
              <w:rPr>
                <w:rFonts w:ascii="宋体" w:eastAsia="宋体"/>
                <w:sz w:val="21"/>
                <w:szCs w:val="21"/>
              </w:rPr>
              <w:t>7</w:t>
            </w:r>
          </w:p>
        </w:tc>
        <w:tc>
          <w:tcPr>
            <w:tcW w:w="4438" w:type="dxa"/>
            <w:vAlign w:val="center"/>
          </w:tcPr>
          <w:p w14:paraId="295FE015">
            <w:pPr>
              <w:rPr>
                <w:rFonts w:ascii="宋体" w:eastAsia="宋体"/>
                <w:sz w:val="21"/>
                <w:szCs w:val="21"/>
              </w:rPr>
            </w:pPr>
            <w:r>
              <w:rPr>
                <w:rFonts w:hint="eastAsia" w:ascii="宋体" w:eastAsia="宋体"/>
                <w:sz w:val="21"/>
                <w:szCs w:val="21"/>
              </w:rPr>
              <w:t>生产安全事故（事件）发生后，未按照要求采取防范措施的</w:t>
            </w:r>
          </w:p>
        </w:tc>
        <w:tc>
          <w:tcPr>
            <w:tcW w:w="3412" w:type="dxa"/>
            <w:vAlign w:val="center"/>
          </w:tcPr>
          <w:p w14:paraId="062BC319">
            <w:pPr>
              <w:rPr>
                <w:rFonts w:ascii="宋体" w:eastAsia="宋体"/>
                <w:sz w:val="21"/>
                <w:szCs w:val="21"/>
              </w:rPr>
            </w:pPr>
            <w:r>
              <w:rPr>
                <w:rFonts w:hint="eastAsia" w:ascii="宋体" w:eastAsia="宋体"/>
                <w:sz w:val="21"/>
                <w:szCs w:val="21"/>
              </w:rPr>
              <w:t>扣</w:t>
            </w:r>
            <w:r>
              <w:rPr>
                <w:rFonts w:ascii="宋体" w:eastAsia="宋体"/>
                <w:sz w:val="21"/>
                <w:szCs w:val="21"/>
              </w:rPr>
              <w:t>200-500元/次</w:t>
            </w:r>
          </w:p>
        </w:tc>
      </w:tr>
      <w:tr w14:paraId="567FA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564B21A">
            <w:pPr>
              <w:rPr>
                <w:rFonts w:ascii="宋体" w:eastAsia="宋体"/>
                <w:sz w:val="21"/>
                <w:szCs w:val="21"/>
              </w:rPr>
            </w:pPr>
            <w:r>
              <w:rPr>
                <w:rFonts w:ascii="宋体" w:eastAsia="宋体"/>
                <w:sz w:val="21"/>
                <w:szCs w:val="21"/>
              </w:rPr>
              <w:t>8</w:t>
            </w:r>
          </w:p>
        </w:tc>
        <w:tc>
          <w:tcPr>
            <w:tcW w:w="4438" w:type="dxa"/>
            <w:vAlign w:val="center"/>
          </w:tcPr>
          <w:p w14:paraId="5DCBF24F">
            <w:pPr>
              <w:rPr>
                <w:rFonts w:ascii="宋体" w:eastAsia="宋体"/>
                <w:sz w:val="21"/>
                <w:szCs w:val="21"/>
              </w:rPr>
            </w:pPr>
            <w:r>
              <w:rPr>
                <w:rFonts w:hint="eastAsia" w:ascii="宋体" w:eastAsia="宋体"/>
                <w:sz w:val="21"/>
                <w:szCs w:val="21"/>
              </w:rPr>
              <w:t>其他违反安全管理规定的，视严重程度</w:t>
            </w:r>
          </w:p>
        </w:tc>
        <w:tc>
          <w:tcPr>
            <w:tcW w:w="3412" w:type="dxa"/>
            <w:vAlign w:val="center"/>
          </w:tcPr>
          <w:p w14:paraId="76234641">
            <w:pPr>
              <w:rPr>
                <w:rFonts w:ascii="宋体" w:eastAsia="宋体"/>
                <w:sz w:val="21"/>
                <w:szCs w:val="21"/>
              </w:rPr>
            </w:pPr>
            <w:r>
              <w:rPr>
                <w:rFonts w:hint="eastAsia" w:ascii="宋体" w:eastAsia="宋体"/>
                <w:sz w:val="21"/>
                <w:szCs w:val="21"/>
              </w:rPr>
              <w:t>扣</w:t>
            </w:r>
            <w:r>
              <w:rPr>
                <w:rFonts w:ascii="宋体" w:eastAsia="宋体"/>
                <w:sz w:val="21"/>
                <w:szCs w:val="21"/>
              </w:rPr>
              <w:t>50-500元/次。</w:t>
            </w:r>
          </w:p>
        </w:tc>
      </w:tr>
      <w:tr w14:paraId="2D629929">
        <w:tblPrEx>
          <w:tblCellMar>
            <w:top w:w="0" w:type="dxa"/>
            <w:left w:w="142" w:type="dxa"/>
            <w:bottom w:w="0" w:type="dxa"/>
            <w:right w:w="142" w:type="dxa"/>
          </w:tblCellMar>
        </w:tblPrEx>
        <w:trPr>
          <w:jc w:val="center"/>
        </w:trPr>
        <w:tc>
          <w:tcPr>
            <w:tcW w:w="8590" w:type="dxa"/>
            <w:gridSpan w:val="4"/>
            <w:vAlign w:val="center"/>
          </w:tcPr>
          <w:p w14:paraId="3E8E4431">
            <w:pPr>
              <w:rPr>
                <w:rFonts w:ascii="宋体" w:eastAsia="宋体"/>
                <w:sz w:val="21"/>
                <w:szCs w:val="21"/>
              </w:rPr>
            </w:pPr>
            <w:r>
              <w:rPr>
                <w:rFonts w:hint="eastAsia" w:ascii="宋体" w:eastAsia="宋体"/>
                <w:sz w:val="21"/>
                <w:szCs w:val="21"/>
              </w:rPr>
              <w:t>“两票”管理内容的考核</w:t>
            </w:r>
          </w:p>
        </w:tc>
      </w:tr>
      <w:tr w14:paraId="45F19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C82B103">
            <w:pPr>
              <w:rPr>
                <w:rFonts w:ascii="宋体" w:eastAsia="宋体"/>
                <w:sz w:val="21"/>
                <w:szCs w:val="21"/>
              </w:rPr>
            </w:pPr>
            <w:r>
              <w:rPr>
                <w:rFonts w:ascii="宋体" w:eastAsia="宋体"/>
                <w:sz w:val="21"/>
                <w:szCs w:val="21"/>
              </w:rPr>
              <w:t>9</w:t>
            </w:r>
          </w:p>
        </w:tc>
        <w:tc>
          <w:tcPr>
            <w:tcW w:w="4438" w:type="dxa"/>
            <w:vAlign w:val="center"/>
          </w:tcPr>
          <w:p w14:paraId="55C4D96D">
            <w:pPr>
              <w:rPr>
                <w:rFonts w:ascii="宋体" w:eastAsia="宋体"/>
                <w:sz w:val="21"/>
                <w:szCs w:val="21"/>
              </w:rPr>
            </w:pPr>
            <w:r>
              <w:rPr>
                <w:rFonts w:hint="eastAsia" w:ascii="宋体" w:eastAsia="宋体"/>
                <w:sz w:val="21"/>
                <w:szCs w:val="21"/>
              </w:rPr>
              <w:t>票面填写不规范的，如，有出现涂改或未按照安规要求填写的</w:t>
            </w:r>
            <w:r>
              <w:rPr>
                <w:rFonts w:ascii="宋体" w:eastAsia="宋体"/>
                <w:sz w:val="21"/>
                <w:szCs w:val="21"/>
              </w:rPr>
              <w:t>(工作票已许可开工的情况下)</w:t>
            </w:r>
          </w:p>
        </w:tc>
        <w:tc>
          <w:tcPr>
            <w:tcW w:w="3412" w:type="dxa"/>
            <w:vAlign w:val="center"/>
          </w:tcPr>
          <w:p w14:paraId="4D0A3F0A">
            <w:pPr>
              <w:rPr>
                <w:rFonts w:ascii="宋体" w:eastAsia="宋体"/>
                <w:sz w:val="21"/>
                <w:szCs w:val="21"/>
              </w:rPr>
            </w:pPr>
            <w:r>
              <w:rPr>
                <w:rFonts w:hint="eastAsia" w:ascii="宋体" w:eastAsia="宋体"/>
                <w:sz w:val="21"/>
                <w:szCs w:val="21"/>
              </w:rPr>
              <w:t>扣</w:t>
            </w:r>
            <w:r>
              <w:rPr>
                <w:rFonts w:ascii="宋体" w:eastAsia="宋体"/>
                <w:sz w:val="21"/>
                <w:szCs w:val="21"/>
              </w:rPr>
              <w:t>50元/次</w:t>
            </w:r>
          </w:p>
        </w:tc>
      </w:tr>
      <w:tr w14:paraId="4040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B41724B">
            <w:pPr>
              <w:rPr>
                <w:rFonts w:ascii="宋体" w:eastAsia="宋体"/>
                <w:sz w:val="21"/>
                <w:szCs w:val="21"/>
              </w:rPr>
            </w:pPr>
            <w:r>
              <w:rPr>
                <w:rFonts w:ascii="宋体" w:eastAsia="宋体"/>
                <w:sz w:val="21"/>
                <w:szCs w:val="21"/>
              </w:rPr>
              <w:t>10</w:t>
            </w:r>
          </w:p>
        </w:tc>
        <w:tc>
          <w:tcPr>
            <w:tcW w:w="4438" w:type="dxa"/>
            <w:vAlign w:val="center"/>
          </w:tcPr>
          <w:p w14:paraId="5EDFE742">
            <w:pPr>
              <w:rPr>
                <w:rFonts w:ascii="宋体" w:eastAsia="宋体"/>
                <w:sz w:val="21"/>
                <w:szCs w:val="21"/>
              </w:rPr>
            </w:pPr>
            <w:r>
              <w:rPr>
                <w:rFonts w:hint="eastAsia" w:ascii="宋体" w:eastAsia="宋体"/>
                <w:sz w:val="21"/>
                <w:szCs w:val="21"/>
              </w:rPr>
              <w:t>安全措施填写不完善的，且工作票已许可开工的；操作票操作流程不符合规范要求的</w:t>
            </w:r>
          </w:p>
        </w:tc>
        <w:tc>
          <w:tcPr>
            <w:tcW w:w="3412" w:type="dxa"/>
            <w:vAlign w:val="center"/>
          </w:tcPr>
          <w:p w14:paraId="6ABD45FB">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54EBD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1E9C7E3">
            <w:pPr>
              <w:rPr>
                <w:rFonts w:ascii="宋体" w:eastAsia="宋体"/>
                <w:sz w:val="21"/>
                <w:szCs w:val="21"/>
              </w:rPr>
            </w:pPr>
            <w:r>
              <w:rPr>
                <w:rFonts w:ascii="宋体" w:eastAsia="宋体"/>
                <w:sz w:val="21"/>
                <w:szCs w:val="21"/>
              </w:rPr>
              <w:t>11</w:t>
            </w:r>
          </w:p>
        </w:tc>
        <w:tc>
          <w:tcPr>
            <w:tcW w:w="4438" w:type="dxa"/>
            <w:vAlign w:val="center"/>
          </w:tcPr>
          <w:p w14:paraId="4D30BD69">
            <w:pPr>
              <w:rPr>
                <w:rFonts w:ascii="宋体" w:eastAsia="宋体"/>
                <w:sz w:val="21"/>
                <w:szCs w:val="21"/>
              </w:rPr>
            </w:pPr>
            <w:r>
              <w:rPr>
                <w:rFonts w:hint="eastAsia" w:ascii="宋体" w:eastAsia="宋体"/>
                <w:sz w:val="21"/>
                <w:szCs w:val="21"/>
              </w:rPr>
              <w:t>工作票已许可，但安全措施未执行或执行不到位的</w:t>
            </w:r>
          </w:p>
        </w:tc>
        <w:tc>
          <w:tcPr>
            <w:tcW w:w="3412" w:type="dxa"/>
            <w:vAlign w:val="center"/>
          </w:tcPr>
          <w:p w14:paraId="65E46E65">
            <w:pPr>
              <w:rPr>
                <w:rFonts w:ascii="宋体" w:eastAsia="宋体"/>
                <w:sz w:val="21"/>
                <w:szCs w:val="21"/>
              </w:rPr>
            </w:pPr>
            <w:r>
              <w:rPr>
                <w:rFonts w:hint="eastAsia" w:ascii="宋体" w:eastAsia="宋体"/>
                <w:sz w:val="21"/>
                <w:szCs w:val="21"/>
              </w:rPr>
              <w:t>扣</w:t>
            </w:r>
            <w:r>
              <w:rPr>
                <w:rFonts w:ascii="宋体" w:eastAsia="宋体"/>
                <w:sz w:val="21"/>
                <w:szCs w:val="21"/>
              </w:rPr>
              <w:t>500-1000</w:t>
            </w:r>
            <w:r>
              <w:rPr>
                <w:rFonts w:hint="eastAsia" w:ascii="宋体" w:eastAsia="宋体"/>
                <w:sz w:val="21"/>
                <w:szCs w:val="21"/>
              </w:rPr>
              <w:t>元</w:t>
            </w:r>
            <w:r>
              <w:rPr>
                <w:rFonts w:ascii="宋体" w:eastAsia="宋体"/>
                <w:sz w:val="21"/>
                <w:szCs w:val="21"/>
              </w:rPr>
              <w:t>/次</w:t>
            </w:r>
          </w:p>
        </w:tc>
      </w:tr>
      <w:tr w14:paraId="0314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FAB4754">
            <w:pPr>
              <w:rPr>
                <w:rFonts w:ascii="宋体" w:eastAsia="宋体"/>
                <w:sz w:val="21"/>
                <w:szCs w:val="21"/>
              </w:rPr>
            </w:pPr>
            <w:r>
              <w:rPr>
                <w:rFonts w:ascii="宋体" w:eastAsia="宋体"/>
                <w:sz w:val="21"/>
                <w:szCs w:val="21"/>
              </w:rPr>
              <w:t>12</w:t>
            </w:r>
          </w:p>
        </w:tc>
        <w:tc>
          <w:tcPr>
            <w:tcW w:w="4438" w:type="dxa"/>
            <w:vAlign w:val="center"/>
          </w:tcPr>
          <w:p w14:paraId="26FE37F4">
            <w:pPr>
              <w:rPr>
                <w:rFonts w:ascii="宋体" w:eastAsia="宋体"/>
                <w:sz w:val="21"/>
                <w:szCs w:val="21"/>
              </w:rPr>
            </w:pPr>
            <w:r>
              <w:rPr>
                <w:rFonts w:hint="eastAsia" w:ascii="宋体" w:eastAsia="宋体"/>
                <w:sz w:val="21"/>
                <w:szCs w:val="21"/>
              </w:rPr>
              <w:t>工作负责人未对工作成员进行安全交底，或安全交底内容与实际不相符的</w:t>
            </w:r>
          </w:p>
        </w:tc>
        <w:tc>
          <w:tcPr>
            <w:tcW w:w="3412" w:type="dxa"/>
            <w:vAlign w:val="center"/>
          </w:tcPr>
          <w:p w14:paraId="503551AA">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0F72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4A9DC2F">
            <w:pPr>
              <w:rPr>
                <w:rFonts w:ascii="宋体" w:eastAsia="宋体"/>
                <w:sz w:val="21"/>
                <w:szCs w:val="21"/>
              </w:rPr>
            </w:pPr>
            <w:r>
              <w:rPr>
                <w:rFonts w:ascii="宋体" w:eastAsia="宋体"/>
                <w:sz w:val="21"/>
                <w:szCs w:val="21"/>
              </w:rPr>
              <w:t>13</w:t>
            </w:r>
          </w:p>
        </w:tc>
        <w:tc>
          <w:tcPr>
            <w:tcW w:w="4438" w:type="dxa"/>
            <w:vAlign w:val="center"/>
          </w:tcPr>
          <w:p w14:paraId="1EE2EB8C">
            <w:pPr>
              <w:rPr>
                <w:rFonts w:ascii="宋体" w:eastAsia="宋体"/>
                <w:sz w:val="21"/>
                <w:szCs w:val="21"/>
              </w:rPr>
            </w:pPr>
            <w:r>
              <w:rPr>
                <w:rFonts w:hint="eastAsia" w:ascii="宋体" w:eastAsia="宋体"/>
                <w:sz w:val="21"/>
                <w:szCs w:val="21"/>
              </w:rPr>
              <w:t>超工作票范围的检修或擅自扩大工作面的</w:t>
            </w:r>
          </w:p>
        </w:tc>
        <w:tc>
          <w:tcPr>
            <w:tcW w:w="3412" w:type="dxa"/>
            <w:vAlign w:val="center"/>
          </w:tcPr>
          <w:p w14:paraId="132B5C30">
            <w:pPr>
              <w:rPr>
                <w:rFonts w:ascii="宋体" w:eastAsia="宋体"/>
                <w:sz w:val="21"/>
                <w:szCs w:val="21"/>
              </w:rPr>
            </w:pPr>
            <w:r>
              <w:rPr>
                <w:rFonts w:hint="eastAsia" w:ascii="宋体" w:eastAsia="宋体"/>
                <w:sz w:val="21"/>
                <w:szCs w:val="21"/>
              </w:rPr>
              <w:t>扣</w:t>
            </w:r>
            <w:r>
              <w:rPr>
                <w:rFonts w:ascii="宋体" w:eastAsia="宋体"/>
                <w:sz w:val="21"/>
                <w:szCs w:val="21"/>
              </w:rPr>
              <w:t>500-1000</w:t>
            </w:r>
            <w:r>
              <w:rPr>
                <w:rFonts w:hint="eastAsia" w:ascii="宋体" w:eastAsia="宋体"/>
                <w:sz w:val="21"/>
                <w:szCs w:val="21"/>
              </w:rPr>
              <w:t>元</w:t>
            </w:r>
            <w:r>
              <w:rPr>
                <w:rFonts w:ascii="宋体" w:eastAsia="宋体"/>
                <w:sz w:val="21"/>
                <w:szCs w:val="21"/>
              </w:rPr>
              <w:t>/次</w:t>
            </w:r>
          </w:p>
        </w:tc>
      </w:tr>
      <w:tr w14:paraId="3D45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857CA05">
            <w:pPr>
              <w:rPr>
                <w:rFonts w:ascii="宋体" w:eastAsia="宋体"/>
                <w:sz w:val="21"/>
                <w:szCs w:val="21"/>
              </w:rPr>
            </w:pPr>
            <w:r>
              <w:rPr>
                <w:rFonts w:ascii="宋体" w:eastAsia="宋体"/>
                <w:sz w:val="21"/>
                <w:szCs w:val="21"/>
              </w:rPr>
              <w:t>14</w:t>
            </w:r>
          </w:p>
        </w:tc>
        <w:tc>
          <w:tcPr>
            <w:tcW w:w="4438" w:type="dxa"/>
            <w:vAlign w:val="center"/>
          </w:tcPr>
          <w:p w14:paraId="18619900">
            <w:pPr>
              <w:rPr>
                <w:rFonts w:ascii="宋体" w:eastAsia="宋体"/>
                <w:sz w:val="21"/>
                <w:szCs w:val="21"/>
              </w:rPr>
            </w:pPr>
            <w:r>
              <w:rPr>
                <w:rFonts w:hint="eastAsia" w:ascii="宋体" w:eastAsia="宋体"/>
                <w:sz w:val="21"/>
                <w:szCs w:val="21"/>
              </w:rPr>
              <w:t>负责人临时离开，未指定工作负责人的，或工作负责人或工作班成员未履行变更手续的</w:t>
            </w:r>
          </w:p>
        </w:tc>
        <w:tc>
          <w:tcPr>
            <w:tcW w:w="3412" w:type="dxa"/>
            <w:vAlign w:val="center"/>
          </w:tcPr>
          <w:p w14:paraId="5FC19697">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2461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F6E1AEE">
            <w:pPr>
              <w:rPr>
                <w:rFonts w:ascii="宋体" w:eastAsia="宋体"/>
                <w:sz w:val="21"/>
                <w:szCs w:val="21"/>
              </w:rPr>
            </w:pPr>
            <w:r>
              <w:rPr>
                <w:rFonts w:ascii="宋体" w:eastAsia="宋体"/>
                <w:sz w:val="21"/>
                <w:szCs w:val="21"/>
              </w:rPr>
              <w:t>15</w:t>
            </w:r>
          </w:p>
        </w:tc>
        <w:tc>
          <w:tcPr>
            <w:tcW w:w="4438" w:type="dxa"/>
            <w:vAlign w:val="center"/>
          </w:tcPr>
          <w:p w14:paraId="42655060">
            <w:pPr>
              <w:rPr>
                <w:rFonts w:ascii="宋体" w:eastAsia="宋体"/>
                <w:sz w:val="21"/>
                <w:szCs w:val="21"/>
              </w:rPr>
            </w:pPr>
            <w:r>
              <w:rPr>
                <w:rFonts w:hint="eastAsia" w:ascii="宋体" w:eastAsia="宋体"/>
                <w:sz w:val="21"/>
                <w:szCs w:val="21"/>
              </w:rPr>
              <w:t>工作票或操作票存在弄虚作假的</w:t>
            </w:r>
          </w:p>
        </w:tc>
        <w:tc>
          <w:tcPr>
            <w:tcW w:w="3412" w:type="dxa"/>
            <w:vAlign w:val="center"/>
          </w:tcPr>
          <w:p w14:paraId="48F51BAD">
            <w:pPr>
              <w:rPr>
                <w:rFonts w:ascii="宋体" w:eastAsia="宋体"/>
                <w:sz w:val="21"/>
                <w:szCs w:val="21"/>
              </w:rPr>
            </w:pPr>
            <w:r>
              <w:rPr>
                <w:rFonts w:hint="eastAsia" w:ascii="宋体" w:eastAsia="宋体"/>
                <w:sz w:val="21"/>
                <w:szCs w:val="21"/>
              </w:rPr>
              <w:t>扣</w:t>
            </w:r>
            <w:r>
              <w:rPr>
                <w:rFonts w:ascii="宋体" w:eastAsia="宋体"/>
                <w:sz w:val="21"/>
                <w:szCs w:val="21"/>
              </w:rPr>
              <w:t>100-300元/次</w:t>
            </w:r>
          </w:p>
        </w:tc>
      </w:tr>
      <w:tr w14:paraId="5686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2D7E815">
            <w:pPr>
              <w:rPr>
                <w:rFonts w:ascii="宋体" w:eastAsia="宋体"/>
                <w:sz w:val="21"/>
                <w:szCs w:val="21"/>
              </w:rPr>
            </w:pPr>
            <w:r>
              <w:rPr>
                <w:rFonts w:ascii="宋体" w:eastAsia="宋体"/>
                <w:sz w:val="21"/>
                <w:szCs w:val="21"/>
              </w:rPr>
              <w:t>16</w:t>
            </w:r>
          </w:p>
        </w:tc>
        <w:tc>
          <w:tcPr>
            <w:tcW w:w="4438" w:type="dxa"/>
            <w:vAlign w:val="center"/>
          </w:tcPr>
          <w:p w14:paraId="0A9F6896">
            <w:pPr>
              <w:rPr>
                <w:rFonts w:ascii="宋体" w:eastAsia="宋体"/>
                <w:sz w:val="21"/>
                <w:szCs w:val="21"/>
              </w:rPr>
            </w:pPr>
            <w:r>
              <w:rPr>
                <w:rFonts w:hint="eastAsia" w:ascii="宋体" w:eastAsia="宋体"/>
                <w:color w:val="000000"/>
                <w:sz w:val="21"/>
                <w:szCs w:val="21"/>
              </w:rPr>
              <w:t>工作票内存在人员代签现象的</w:t>
            </w:r>
          </w:p>
        </w:tc>
        <w:tc>
          <w:tcPr>
            <w:tcW w:w="3412" w:type="dxa"/>
            <w:vAlign w:val="center"/>
          </w:tcPr>
          <w:p w14:paraId="75423A92">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36CF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C91DFC1">
            <w:pPr>
              <w:rPr>
                <w:rFonts w:ascii="宋体" w:eastAsia="宋体"/>
                <w:sz w:val="21"/>
                <w:szCs w:val="21"/>
              </w:rPr>
            </w:pPr>
            <w:r>
              <w:rPr>
                <w:rFonts w:ascii="宋体" w:eastAsia="宋体"/>
                <w:sz w:val="21"/>
                <w:szCs w:val="21"/>
              </w:rPr>
              <w:t>17</w:t>
            </w:r>
          </w:p>
        </w:tc>
        <w:tc>
          <w:tcPr>
            <w:tcW w:w="4438" w:type="dxa"/>
            <w:vAlign w:val="center"/>
          </w:tcPr>
          <w:p w14:paraId="0D94765E">
            <w:pPr>
              <w:rPr>
                <w:rFonts w:ascii="宋体" w:eastAsia="宋体"/>
                <w:sz w:val="21"/>
                <w:szCs w:val="21"/>
              </w:rPr>
            </w:pPr>
            <w:r>
              <w:rPr>
                <w:rFonts w:hint="eastAsia" w:ascii="宋体" w:eastAsia="宋体"/>
                <w:sz w:val="21"/>
                <w:szCs w:val="21"/>
              </w:rPr>
              <w:t>未办理延期手续的</w:t>
            </w:r>
          </w:p>
        </w:tc>
        <w:tc>
          <w:tcPr>
            <w:tcW w:w="3412" w:type="dxa"/>
            <w:vAlign w:val="center"/>
          </w:tcPr>
          <w:p w14:paraId="0488FF99">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2ADE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C13A0C7">
            <w:pPr>
              <w:rPr>
                <w:rFonts w:ascii="宋体" w:eastAsia="宋体"/>
                <w:sz w:val="21"/>
                <w:szCs w:val="21"/>
              </w:rPr>
            </w:pPr>
            <w:r>
              <w:rPr>
                <w:rFonts w:ascii="宋体" w:eastAsia="宋体"/>
                <w:sz w:val="21"/>
                <w:szCs w:val="21"/>
              </w:rPr>
              <w:t>18</w:t>
            </w:r>
          </w:p>
        </w:tc>
        <w:tc>
          <w:tcPr>
            <w:tcW w:w="4438" w:type="dxa"/>
            <w:vAlign w:val="center"/>
          </w:tcPr>
          <w:p w14:paraId="600237BB">
            <w:pPr>
              <w:rPr>
                <w:rFonts w:ascii="宋体" w:eastAsia="宋体"/>
                <w:sz w:val="21"/>
                <w:szCs w:val="21"/>
              </w:rPr>
            </w:pPr>
            <w:r>
              <w:rPr>
                <w:rFonts w:hint="eastAsia" w:ascii="宋体" w:eastAsia="宋体"/>
                <w:sz w:val="21"/>
                <w:szCs w:val="21"/>
              </w:rPr>
              <w:t>无票作业（操作）的</w:t>
            </w:r>
          </w:p>
        </w:tc>
        <w:tc>
          <w:tcPr>
            <w:tcW w:w="3412" w:type="dxa"/>
            <w:vAlign w:val="center"/>
          </w:tcPr>
          <w:p w14:paraId="5A5642D2">
            <w:pPr>
              <w:rPr>
                <w:rFonts w:ascii="宋体" w:eastAsia="宋体"/>
                <w:sz w:val="21"/>
                <w:szCs w:val="21"/>
              </w:rPr>
            </w:pPr>
            <w:r>
              <w:rPr>
                <w:rFonts w:hint="eastAsia" w:ascii="宋体" w:eastAsia="宋体"/>
                <w:sz w:val="21"/>
                <w:szCs w:val="21"/>
              </w:rPr>
              <w:t>扣</w:t>
            </w:r>
            <w:r>
              <w:rPr>
                <w:rFonts w:ascii="宋体" w:eastAsia="宋体"/>
                <w:sz w:val="21"/>
                <w:szCs w:val="21"/>
              </w:rPr>
              <w:t>500-1000</w:t>
            </w:r>
            <w:r>
              <w:rPr>
                <w:rFonts w:hint="eastAsia" w:ascii="宋体" w:eastAsia="宋体"/>
                <w:sz w:val="21"/>
                <w:szCs w:val="21"/>
              </w:rPr>
              <w:t>元</w:t>
            </w:r>
            <w:r>
              <w:rPr>
                <w:rFonts w:ascii="宋体" w:eastAsia="宋体"/>
                <w:sz w:val="21"/>
                <w:szCs w:val="21"/>
              </w:rPr>
              <w:t>/次</w:t>
            </w:r>
          </w:p>
        </w:tc>
      </w:tr>
      <w:tr w14:paraId="2590A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425A42B">
            <w:pPr>
              <w:rPr>
                <w:rFonts w:ascii="宋体" w:eastAsia="宋体"/>
                <w:sz w:val="21"/>
                <w:szCs w:val="21"/>
              </w:rPr>
            </w:pPr>
            <w:r>
              <w:rPr>
                <w:rFonts w:ascii="宋体" w:eastAsia="宋体"/>
                <w:sz w:val="21"/>
                <w:szCs w:val="21"/>
              </w:rPr>
              <w:t>19</w:t>
            </w:r>
          </w:p>
        </w:tc>
        <w:tc>
          <w:tcPr>
            <w:tcW w:w="4438" w:type="dxa"/>
            <w:vAlign w:val="center"/>
          </w:tcPr>
          <w:p w14:paraId="28EA7979">
            <w:pPr>
              <w:rPr>
                <w:rFonts w:ascii="宋体" w:eastAsia="宋体"/>
                <w:sz w:val="21"/>
                <w:szCs w:val="21"/>
              </w:rPr>
            </w:pPr>
            <w:r>
              <w:rPr>
                <w:rFonts w:hint="eastAsia" w:ascii="宋体" w:eastAsia="宋体"/>
                <w:sz w:val="21"/>
                <w:szCs w:val="21"/>
              </w:rPr>
              <w:t>检修结束后未及时恢复各类安全措施的</w:t>
            </w:r>
          </w:p>
        </w:tc>
        <w:tc>
          <w:tcPr>
            <w:tcW w:w="3412" w:type="dxa"/>
            <w:vAlign w:val="center"/>
          </w:tcPr>
          <w:p w14:paraId="189798D1">
            <w:pPr>
              <w:rPr>
                <w:rFonts w:ascii="宋体" w:eastAsia="宋体"/>
                <w:sz w:val="21"/>
                <w:szCs w:val="21"/>
              </w:rPr>
            </w:pPr>
            <w:r>
              <w:rPr>
                <w:rFonts w:hint="eastAsia" w:ascii="宋体" w:eastAsia="宋体"/>
                <w:sz w:val="21"/>
                <w:szCs w:val="21"/>
              </w:rPr>
              <w:t>扣</w:t>
            </w:r>
            <w:r>
              <w:rPr>
                <w:rFonts w:ascii="宋体" w:eastAsia="宋体"/>
                <w:sz w:val="21"/>
                <w:szCs w:val="21"/>
              </w:rPr>
              <w:t>100元-200元/次</w:t>
            </w:r>
          </w:p>
        </w:tc>
      </w:tr>
      <w:tr w14:paraId="0AC6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7A05C6F">
            <w:pPr>
              <w:rPr>
                <w:rFonts w:ascii="宋体" w:eastAsia="宋体"/>
                <w:sz w:val="21"/>
                <w:szCs w:val="21"/>
              </w:rPr>
            </w:pPr>
            <w:r>
              <w:rPr>
                <w:rFonts w:ascii="宋体" w:eastAsia="宋体"/>
                <w:sz w:val="21"/>
                <w:szCs w:val="21"/>
              </w:rPr>
              <w:t>20</w:t>
            </w:r>
          </w:p>
        </w:tc>
        <w:tc>
          <w:tcPr>
            <w:tcW w:w="4438" w:type="dxa"/>
            <w:vAlign w:val="center"/>
          </w:tcPr>
          <w:p w14:paraId="00A94954">
            <w:pPr>
              <w:rPr>
                <w:rFonts w:ascii="宋体" w:eastAsia="宋体"/>
                <w:sz w:val="21"/>
                <w:szCs w:val="21"/>
              </w:rPr>
            </w:pPr>
            <w:r>
              <w:rPr>
                <w:rFonts w:hint="eastAsia" w:ascii="宋体" w:eastAsia="宋体"/>
                <w:sz w:val="21"/>
                <w:szCs w:val="21"/>
              </w:rPr>
              <w:t>作业现场未随带工作票</w:t>
            </w:r>
          </w:p>
        </w:tc>
        <w:tc>
          <w:tcPr>
            <w:tcW w:w="3412" w:type="dxa"/>
            <w:vAlign w:val="center"/>
          </w:tcPr>
          <w:p w14:paraId="03D30093">
            <w:pPr>
              <w:rPr>
                <w:rFonts w:ascii="宋体" w:eastAsia="宋体"/>
                <w:sz w:val="21"/>
                <w:szCs w:val="21"/>
              </w:rPr>
            </w:pPr>
            <w:r>
              <w:rPr>
                <w:rFonts w:hint="eastAsia" w:ascii="宋体" w:eastAsia="宋体"/>
                <w:sz w:val="21"/>
                <w:szCs w:val="21"/>
              </w:rPr>
              <w:t>扣</w:t>
            </w:r>
            <w:r>
              <w:rPr>
                <w:rFonts w:ascii="宋体" w:eastAsia="宋体"/>
                <w:sz w:val="21"/>
                <w:szCs w:val="21"/>
              </w:rPr>
              <w:t>50元/次</w:t>
            </w:r>
          </w:p>
        </w:tc>
      </w:tr>
      <w:tr w14:paraId="1AFB0F7A">
        <w:tblPrEx>
          <w:tblCellMar>
            <w:top w:w="0" w:type="dxa"/>
            <w:left w:w="142" w:type="dxa"/>
            <w:bottom w:w="0" w:type="dxa"/>
            <w:right w:w="142" w:type="dxa"/>
          </w:tblCellMar>
        </w:tblPrEx>
        <w:trPr>
          <w:jc w:val="center"/>
        </w:trPr>
        <w:tc>
          <w:tcPr>
            <w:tcW w:w="740" w:type="dxa"/>
            <w:gridSpan w:val="2"/>
            <w:vAlign w:val="center"/>
          </w:tcPr>
          <w:p w14:paraId="7555D610">
            <w:pPr>
              <w:rPr>
                <w:rFonts w:ascii="宋体" w:eastAsia="宋体"/>
                <w:sz w:val="21"/>
                <w:szCs w:val="21"/>
              </w:rPr>
            </w:pPr>
            <w:r>
              <w:rPr>
                <w:rFonts w:ascii="宋体" w:eastAsia="宋体"/>
                <w:sz w:val="21"/>
                <w:szCs w:val="21"/>
              </w:rPr>
              <w:t>21</w:t>
            </w:r>
          </w:p>
        </w:tc>
        <w:tc>
          <w:tcPr>
            <w:tcW w:w="4438" w:type="dxa"/>
            <w:vAlign w:val="center"/>
          </w:tcPr>
          <w:p w14:paraId="7DD0C2F1">
            <w:pPr>
              <w:rPr>
                <w:rFonts w:ascii="宋体" w:eastAsia="宋体"/>
                <w:sz w:val="21"/>
                <w:szCs w:val="21"/>
              </w:rPr>
            </w:pPr>
            <w:r>
              <w:rPr>
                <w:rFonts w:hint="eastAsia" w:ascii="宋体" w:eastAsia="宋体"/>
                <w:sz w:val="21"/>
                <w:szCs w:val="21"/>
              </w:rPr>
              <w:t>其他违反公司《两票管理制度》的，视情节轻重</w:t>
            </w:r>
          </w:p>
        </w:tc>
        <w:tc>
          <w:tcPr>
            <w:tcW w:w="3412" w:type="dxa"/>
            <w:vAlign w:val="center"/>
          </w:tcPr>
          <w:p w14:paraId="7DD026DE">
            <w:pPr>
              <w:rPr>
                <w:rFonts w:ascii="宋体" w:eastAsia="宋体"/>
                <w:sz w:val="21"/>
                <w:szCs w:val="21"/>
              </w:rPr>
            </w:pPr>
            <w:r>
              <w:rPr>
                <w:rFonts w:hint="eastAsia" w:ascii="宋体" w:eastAsia="宋体"/>
                <w:sz w:val="21"/>
                <w:szCs w:val="21"/>
              </w:rPr>
              <w:t>扣</w:t>
            </w:r>
            <w:r>
              <w:rPr>
                <w:rFonts w:ascii="宋体" w:eastAsia="宋体"/>
                <w:sz w:val="21"/>
                <w:szCs w:val="21"/>
              </w:rPr>
              <w:t>50-500元/次</w:t>
            </w:r>
          </w:p>
        </w:tc>
      </w:tr>
      <w:tr w14:paraId="671B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5EAA896A">
            <w:pPr>
              <w:rPr>
                <w:rFonts w:ascii="宋体" w:eastAsia="宋体"/>
                <w:sz w:val="21"/>
                <w:szCs w:val="21"/>
              </w:rPr>
            </w:pPr>
            <w:r>
              <w:rPr>
                <w:rFonts w:hint="eastAsia" w:ascii="宋体" w:eastAsia="宋体"/>
                <w:sz w:val="21"/>
                <w:szCs w:val="21"/>
              </w:rPr>
              <w:t>安全文明生产考核</w:t>
            </w:r>
          </w:p>
        </w:tc>
      </w:tr>
      <w:tr w14:paraId="0363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27F5559">
            <w:pPr>
              <w:numPr>
                <w:ilvl w:val="0"/>
                <w:numId w:val="11"/>
              </w:numPr>
              <w:spacing w:line="240" w:lineRule="auto"/>
              <w:ind w:left="0" w:firstLine="0"/>
              <w:jc w:val="center"/>
              <w:rPr>
                <w:rFonts w:ascii="宋体" w:eastAsia="宋体"/>
                <w:sz w:val="21"/>
                <w:szCs w:val="21"/>
              </w:rPr>
            </w:pPr>
          </w:p>
        </w:tc>
        <w:tc>
          <w:tcPr>
            <w:tcW w:w="4438" w:type="dxa"/>
            <w:vAlign w:val="center"/>
          </w:tcPr>
          <w:p w14:paraId="34A7EEC9">
            <w:pPr>
              <w:rPr>
                <w:rFonts w:ascii="宋体" w:eastAsia="宋体"/>
                <w:sz w:val="21"/>
                <w:szCs w:val="21"/>
              </w:rPr>
            </w:pPr>
            <w:r>
              <w:rPr>
                <w:rFonts w:hint="eastAsia" w:ascii="宋体" w:eastAsia="宋体"/>
                <w:sz w:val="21"/>
                <w:szCs w:val="21"/>
              </w:rPr>
              <w:t>主、辅设备（包括架空管道、仪表管、控制屏、保护屏、仪表盘、试验台、操作台、自动装置、微机台、变送器、专用盘、动力箱、配电箱、机床、车辆、各类命名牌、警示牌、照明、空调、电扇等）积油、积水、积灰、积粉、积尘、污渍，设备上挂放与该设备无关物件，扣</w:t>
            </w:r>
            <w:r>
              <w:rPr>
                <w:rFonts w:ascii="宋体" w:eastAsia="宋体"/>
                <w:sz w:val="21"/>
                <w:szCs w:val="21"/>
              </w:rPr>
              <w:t>20-50元/</w:t>
            </w:r>
            <w:r>
              <w:rPr>
                <w:rFonts w:hint="eastAsia" w:ascii="宋体" w:eastAsia="宋体"/>
                <w:sz w:val="21"/>
                <w:szCs w:val="21"/>
              </w:rPr>
              <w:t>处</w:t>
            </w:r>
          </w:p>
        </w:tc>
        <w:tc>
          <w:tcPr>
            <w:tcW w:w="3412" w:type="dxa"/>
            <w:vAlign w:val="center"/>
          </w:tcPr>
          <w:p w14:paraId="54786E82">
            <w:pPr>
              <w:rPr>
                <w:rFonts w:ascii="宋体" w:eastAsia="宋体"/>
                <w:sz w:val="21"/>
                <w:szCs w:val="21"/>
              </w:rPr>
            </w:pPr>
            <w:r>
              <w:rPr>
                <w:rFonts w:hint="eastAsia" w:ascii="宋体" w:eastAsia="宋体"/>
                <w:sz w:val="21"/>
                <w:szCs w:val="21"/>
              </w:rPr>
              <w:t>扣</w:t>
            </w:r>
            <w:r>
              <w:rPr>
                <w:rFonts w:ascii="宋体" w:eastAsia="宋体"/>
                <w:sz w:val="21"/>
                <w:szCs w:val="21"/>
              </w:rPr>
              <w:t>20-50元/</w:t>
            </w:r>
            <w:r>
              <w:rPr>
                <w:rFonts w:hint="eastAsia" w:ascii="宋体" w:eastAsia="宋体"/>
                <w:sz w:val="21"/>
                <w:szCs w:val="21"/>
              </w:rPr>
              <w:t>处</w:t>
            </w:r>
          </w:p>
        </w:tc>
      </w:tr>
      <w:tr w14:paraId="2775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B0A185A">
            <w:pPr>
              <w:numPr>
                <w:ilvl w:val="0"/>
                <w:numId w:val="11"/>
              </w:numPr>
              <w:spacing w:line="240" w:lineRule="auto"/>
              <w:ind w:left="0" w:firstLine="0"/>
              <w:jc w:val="center"/>
              <w:rPr>
                <w:rFonts w:ascii="宋体" w:eastAsia="宋体"/>
                <w:sz w:val="21"/>
                <w:szCs w:val="21"/>
              </w:rPr>
            </w:pPr>
          </w:p>
        </w:tc>
        <w:tc>
          <w:tcPr>
            <w:tcW w:w="4438" w:type="dxa"/>
            <w:vAlign w:val="center"/>
          </w:tcPr>
          <w:p w14:paraId="04D43B46">
            <w:pPr>
              <w:rPr>
                <w:rFonts w:ascii="宋体" w:eastAsia="宋体"/>
                <w:sz w:val="21"/>
                <w:szCs w:val="21"/>
              </w:rPr>
            </w:pPr>
            <w:r>
              <w:rPr>
                <w:rFonts w:hint="eastAsia" w:ascii="宋体" w:eastAsia="宋体"/>
                <w:sz w:val="21"/>
                <w:szCs w:val="21"/>
              </w:rPr>
              <w:t>检修工作结束未做到工完料尽、场地清洁，视未清理面积</w:t>
            </w:r>
          </w:p>
        </w:tc>
        <w:tc>
          <w:tcPr>
            <w:tcW w:w="3412" w:type="dxa"/>
            <w:vAlign w:val="center"/>
          </w:tcPr>
          <w:p w14:paraId="52C09F8F">
            <w:pPr>
              <w:rPr>
                <w:rFonts w:ascii="宋体" w:eastAsia="宋体"/>
                <w:sz w:val="21"/>
                <w:szCs w:val="21"/>
              </w:rPr>
            </w:pPr>
            <w:r>
              <w:rPr>
                <w:rFonts w:hint="eastAsia" w:ascii="宋体" w:eastAsia="宋体"/>
                <w:sz w:val="21"/>
                <w:szCs w:val="21"/>
              </w:rPr>
              <w:t>扣</w:t>
            </w:r>
            <w:r>
              <w:rPr>
                <w:rFonts w:ascii="宋体" w:eastAsia="宋体"/>
                <w:sz w:val="21"/>
                <w:szCs w:val="21"/>
              </w:rPr>
              <w:t>50-100元</w:t>
            </w:r>
          </w:p>
        </w:tc>
      </w:tr>
      <w:tr w14:paraId="40A6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2F5F32B">
            <w:pPr>
              <w:numPr>
                <w:ilvl w:val="0"/>
                <w:numId w:val="11"/>
              </w:numPr>
              <w:spacing w:line="240" w:lineRule="auto"/>
              <w:ind w:left="0" w:firstLine="0"/>
              <w:jc w:val="center"/>
              <w:rPr>
                <w:rFonts w:ascii="宋体" w:eastAsia="宋体"/>
                <w:sz w:val="21"/>
                <w:szCs w:val="21"/>
              </w:rPr>
            </w:pPr>
          </w:p>
        </w:tc>
        <w:tc>
          <w:tcPr>
            <w:tcW w:w="4438" w:type="dxa"/>
            <w:vAlign w:val="center"/>
          </w:tcPr>
          <w:p w14:paraId="5D0B87E6">
            <w:pPr>
              <w:rPr>
                <w:rFonts w:ascii="宋体" w:eastAsia="宋体"/>
                <w:sz w:val="21"/>
                <w:szCs w:val="21"/>
              </w:rPr>
            </w:pPr>
            <w:r>
              <w:rPr>
                <w:rFonts w:hint="eastAsia" w:ascii="宋体" w:eastAsia="宋体"/>
                <w:sz w:val="21"/>
                <w:szCs w:val="21"/>
              </w:rPr>
              <w:t>生产车间现场（包括控制室、仓库等区域），现场工具材料（包括备品备件等）、杂物及垃圾乱放，或私搭违章建筑，视现场实际情况</w:t>
            </w:r>
          </w:p>
        </w:tc>
        <w:tc>
          <w:tcPr>
            <w:tcW w:w="3412" w:type="dxa"/>
            <w:vAlign w:val="center"/>
          </w:tcPr>
          <w:p w14:paraId="1C8D55F2">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4E2C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577F0C6">
            <w:pPr>
              <w:numPr>
                <w:ilvl w:val="0"/>
                <w:numId w:val="11"/>
              </w:numPr>
              <w:spacing w:line="240" w:lineRule="auto"/>
              <w:ind w:left="0" w:firstLine="0"/>
              <w:jc w:val="center"/>
              <w:rPr>
                <w:rFonts w:ascii="宋体" w:eastAsia="宋体"/>
                <w:sz w:val="21"/>
                <w:szCs w:val="21"/>
              </w:rPr>
            </w:pPr>
          </w:p>
        </w:tc>
        <w:tc>
          <w:tcPr>
            <w:tcW w:w="4438" w:type="dxa"/>
            <w:vAlign w:val="center"/>
          </w:tcPr>
          <w:p w14:paraId="32C72D77">
            <w:pPr>
              <w:rPr>
                <w:rFonts w:ascii="宋体" w:eastAsia="宋体"/>
                <w:sz w:val="21"/>
                <w:szCs w:val="21"/>
              </w:rPr>
            </w:pPr>
            <w:r>
              <w:rPr>
                <w:rFonts w:hint="eastAsia" w:ascii="宋体" w:eastAsia="宋体"/>
                <w:sz w:val="21"/>
                <w:szCs w:val="21"/>
              </w:rPr>
              <w:t>检修现场未采用橡胶垫、木板等保护措施的，或进行电、气焊作业，地面拌水泥等，未做好防护措施，损坏地面、墙面设施</w:t>
            </w:r>
            <w:r>
              <w:rPr>
                <w:rFonts w:ascii="宋体" w:eastAsia="宋体"/>
                <w:sz w:val="21"/>
                <w:szCs w:val="21"/>
              </w:rPr>
              <w:t xml:space="preserve"> </w:t>
            </w:r>
          </w:p>
        </w:tc>
        <w:tc>
          <w:tcPr>
            <w:tcW w:w="3412" w:type="dxa"/>
            <w:vAlign w:val="center"/>
          </w:tcPr>
          <w:p w14:paraId="67FA1BC7">
            <w:pPr>
              <w:rPr>
                <w:rFonts w:ascii="宋体" w:eastAsia="宋体"/>
                <w:sz w:val="21"/>
                <w:szCs w:val="21"/>
              </w:rPr>
            </w:pPr>
            <w:r>
              <w:rPr>
                <w:rFonts w:hint="eastAsia" w:ascii="宋体" w:eastAsia="宋体"/>
                <w:sz w:val="21"/>
                <w:szCs w:val="21"/>
              </w:rPr>
              <w:t>扣</w:t>
            </w:r>
            <w:r>
              <w:rPr>
                <w:rFonts w:ascii="宋体" w:eastAsia="宋体"/>
                <w:sz w:val="21"/>
                <w:szCs w:val="21"/>
              </w:rPr>
              <w:t>50-200元/</w:t>
            </w:r>
            <w:r>
              <w:rPr>
                <w:rFonts w:hint="eastAsia" w:ascii="宋体" w:eastAsia="宋体"/>
                <w:sz w:val="21"/>
                <w:szCs w:val="21"/>
              </w:rPr>
              <w:t>处，并赔偿损坏部分的维修费</w:t>
            </w:r>
          </w:p>
        </w:tc>
      </w:tr>
      <w:tr w14:paraId="0D29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464CB1F">
            <w:pPr>
              <w:numPr>
                <w:ilvl w:val="0"/>
                <w:numId w:val="11"/>
              </w:numPr>
              <w:spacing w:line="240" w:lineRule="auto"/>
              <w:ind w:left="0" w:firstLine="0"/>
              <w:jc w:val="center"/>
              <w:rPr>
                <w:rFonts w:ascii="宋体" w:eastAsia="宋体"/>
                <w:sz w:val="21"/>
                <w:szCs w:val="21"/>
              </w:rPr>
            </w:pPr>
          </w:p>
        </w:tc>
        <w:tc>
          <w:tcPr>
            <w:tcW w:w="4438" w:type="dxa"/>
            <w:vAlign w:val="center"/>
          </w:tcPr>
          <w:p w14:paraId="6D697C27">
            <w:pPr>
              <w:rPr>
                <w:rFonts w:ascii="宋体" w:eastAsia="宋体"/>
                <w:sz w:val="21"/>
                <w:szCs w:val="21"/>
              </w:rPr>
            </w:pPr>
            <w:r>
              <w:rPr>
                <w:rFonts w:hint="eastAsia" w:ascii="宋体" w:eastAsia="宋体"/>
                <w:sz w:val="21"/>
                <w:szCs w:val="21"/>
              </w:rPr>
              <w:t>现场电源线、电话线等乱拉、乱放、乱接</w:t>
            </w:r>
          </w:p>
        </w:tc>
        <w:tc>
          <w:tcPr>
            <w:tcW w:w="3412" w:type="dxa"/>
            <w:vAlign w:val="center"/>
          </w:tcPr>
          <w:p w14:paraId="4BE8D396">
            <w:pPr>
              <w:rPr>
                <w:rFonts w:ascii="宋体" w:eastAsia="宋体"/>
                <w:sz w:val="21"/>
                <w:szCs w:val="21"/>
              </w:rPr>
            </w:pPr>
            <w:r>
              <w:rPr>
                <w:rFonts w:hint="eastAsia" w:ascii="宋体" w:eastAsia="宋体"/>
                <w:sz w:val="21"/>
                <w:szCs w:val="21"/>
              </w:rPr>
              <w:t>扣</w:t>
            </w:r>
            <w:r>
              <w:rPr>
                <w:rFonts w:ascii="宋体" w:eastAsia="宋体"/>
                <w:sz w:val="21"/>
                <w:szCs w:val="21"/>
              </w:rPr>
              <w:t>50-100元/</w:t>
            </w:r>
            <w:r>
              <w:rPr>
                <w:rFonts w:hint="eastAsia" w:ascii="宋体" w:eastAsia="宋体"/>
                <w:sz w:val="21"/>
                <w:szCs w:val="21"/>
              </w:rPr>
              <w:t>处</w:t>
            </w:r>
          </w:p>
        </w:tc>
      </w:tr>
      <w:tr w14:paraId="0546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4CCB48F">
            <w:pPr>
              <w:numPr>
                <w:ilvl w:val="0"/>
                <w:numId w:val="11"/>
              </w:numPr>
              <w:spacing w:line="240" w:lineRule="auto"/>
              <w:ind w:left="0" w:firstLine="0"/>
              <w:jc w:val="center"/>
              <w:rPr>
                <w:rFonts w:ascii="宋体" w:eastAsia="宋体"/>
                <w:sz w:val="21"/>
                <w:szCs w:val="21"/>
              </w:rPr>
            </w:pPr>
          </w:p>
        </w:tc>
        <w:tc>
          <w:tcPr>
            <w:tcW w:w="4438" w:type="dxa"/>
            <w:vAlign w:val="center"/>
          </w:tcPr>
          <w:p w14:paraId="0EE540EC">
            <w:pPr>
              <w:rPr>
                <w:rFonts w:ascii="宋体" w:eastAsia="宋体"/>
                <w:sz w:val="21"/>
                <w:szCs w:val="21"/>
              </w:rPr>
            </w:pPr>
            <w:r>
              <w:rPr>
                <w:rFonts w:hint="eastAsia" w:ascii="宋体" w:eastAsia="宋体"/>
                <w:sz w:val="21"/>
                <w:szCs w:val="21"/>
              </w:rPr>
              <w:t>在生产、生活设备、设施、墙面等处乱涂、乱画、乱写、乱刻、有意印手印、脚印等</w:t>
            </w:r>
          </w:p>
        </w:tc>
        <w:tc>
          <w:tcPr>
            <w:tcW w:w="3412" w:type="dxa"/>
            <w:vAlign w:val="center"/>
          </w:tcPr>
          <w:p w14:paraId="6657D4BC">
            <w:pPr>
              <w:rPr>
                <w:rFonts w:ascii="宋体" w:eastAsia="宋体"/>
                <w:sz w:val="21"/>
                <w:szCs w:val="21"/>
              </w:rPr>
            </w:pPr>
            <w:r>
              <w:rPr>
                <w:rFonts w:hint="eastAsia" w:ascii="宋体" w:eastAsia="宋体"/>
                <w:sz w:val="21"/>
                <w:szCs w:val="21"/>
              </w:rPr>
              <w:t>扣</w:t>
            </w:r>
            <w:r>
              <w:rPr>
                <w:rFonts w:ascii="宋体" w:eastAsia="宋体"/>
                <w:sz w:val="21"/>
                <w:szCs w:val="21"/>
              </w:rPr>
              <w:t>50-100元/</w:t>
            </w:r>
            <w:r>
              <w:rPr>
                <w:rFonts w:hint="eastAsia" w:ascii="宋体" w:eastAsia="宋体"/>
                <w:sz w:val="21"/>
                <w:szCs w:val="21"/>
              </w:rPr>
              <w:t>处</w:t>
            </w:r>
          </w:p>
        </w:tc>
      </w:tr>
      <w:tr w14:paraId="7F7A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7F0647A">
            <w:pPr>
              <w:numPr>
                <w:ilvl w:val="0"/>
                <w:numId w:val="11"/>
              </w:numPr>
              <w:spacing w:line="240" w:lineRule="auto"/>
              <w:ind w:left="0" w:firstLine="0"/>
              <w:jc w:val="center"/>
              <w:rPr>
                <w:rFonts w:ascii="宋体" w:eastAsia="宋体"/>
                <w:sz w:val="21"/>
                <w:szCs w:val="21"/>
              </w:rPr>
            </w:pPr>
          </w:p>
        </w:tc>
        <w:tc>
          <w:tcPr>
            <w:tcW w:w="4438" w:type="dxa"/>
            <w:vAlign w:val="center"/>
          </w:tcPr>
          <w:p w14:paraId="01AB10A7">
            <w:pPr>
              <w:rPr>
                <w:rFonts w:ascii="宋体" w:eastAsia="宋体"/>
                <w:sz w:val="21"/>
                <w:szCs w:val="21"/>
              </w:rPr>
            </w:pPr>
            <w:r>
              <w:rPr>
                <w:rFonts w:hint="eastAsia" w:ascii="宋体" w:eastAsia="宋体"/>
                <w:sz w:val="21"/>
                <w:szCs w:val="21"/>
              </w:rPr>
              <w:t>其他不安全文明生产行为</w:t>
            </w:r>
          </w:p>
        </w:tc>
        <w:tc>
          <w:tcPr>
            <w:tcW w:w="3412" w:type="dxa"/>
            <w:vAlign w:val="center"/>
          </w:tcPr>
          <w:p w14:paraId="4D04636E">
            <w:pPr>
              <w:rPr>
                <w:rFonts w:ascii="宋体" w:eastAsia="宋体"/>
                <w:sz w:val="21"/>
                <w:szCs w:val="21"/>
              </w:rPr>
            </w:pPr>
            <w:r>
              <w:rPr>
                <w:rFonts w:hint="eastAsia" w:ascii="宋体" w:eastAsia="宋体"/>
                <w:sz w:val="21"/>
                <w:szCs w:val="21"/>
              </w:rPr>
              <w:t>扣</w:t>
            </w:r>
            <w:r>
              <w:rPr>
                <w:rFonts w:ascii="宋体" w:eastAsia="宋体"/>
                <w:sz w:val="21"/>
                <w:szCs w:val="21"/>
              </w:rPr>
              <w:t>50-200元/次</w:t>
            </w:r>
          </w:p>
        </w:tc>
      </w:tr>
      <w:tr w14:paraId="03D8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747C817C">
            <w:pPr>
              <w:rPr>
                <w:rFonts w:ascii="宋体" w:eastAsia="宋体"/>
                <w:color w:val="000000"/>
                <w:sz w:val="21"/>
                <w:szCs w:val="21"/>
              </w:rPr>
            </w:pPr>
            <w:r>
              <w:rPr>
                <w:rFonts w:hint="eastAsia" w:ascii="宋体" w:eastAsia="宋体"/>
                <w:color w:val="000000"/>
                <w:sz w:val="21"/>
                <w:szCs w:val="21"/>
              </w:rPr>
              <w:t>职业健康管理考核</w:t>
            </w:r>
          </w:p>
        </w:tc>
      </w:tr>
      <w:tr w14:paraId="2BE7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D5F9FCA">
            <w:pPr>
              <w:numPr>
                <w:ilvl w:val="0"/>
                <w:numId w:val="12"/>
              </w:numPr>
              <w:spacing w:line="240" w:lineRule="auto"/>
              <w:jc w:val="center"/>
              <w:rPr>
                <w:rFonts w:ascii="宋体" w:eastAsia="宋体"/>
                <w:sz w:val="21"/>
                <w:szCs w:val="21"/>
              </w:rPr>
            </w:pPr>
          </w:p>
        </w:tc>
        <w:tc>
          <w:tcPr>
            <w:tcW w:w="4438" w:type="dxa"/>
            <w:vAlign w:val="center"/>
          </w:tcPr>
          <w:p w14:paraId="54E16857">
            <w:pPr>
              <w:rPr>
                <w:rFonts w:ascii="宋体" w:eastAsia="宋体"/>
                <w:color w:val="000000"/>
                <w:sz w:val="21"/>
                <w:szCs w:val="21"/>
              </w:rPr>
            </w:pPr>
            <w:r>
              <w:rPr>
                <w:rFonts w:hint="eastAsia" w:ascii="宋体" w:eastAsia="宋体"/>
                <w:color w:val="000000"/>
                <w:sz w:val="21"/>
                <w:szCs w:val="21"/>
              </w:rPr>
              <w:t>未按规定组织人员职业健康体检的</w:t>
            </w:r>
          </w:p>
        </w:tc>
        <w:tc>
          <w:tcPr>
            <w:tcW w:w="3412" w:type="dxa"/>
            <w:vAlign w:val="center"/>
          </w:tcPr>
          <w:p w14:paraId="607D40A9">
            <w:pPr>
              <w:rPr>
                <w:rFonts w:ascii="宋体" w:eastAsia="宋体"/>
                <w:color w:val="000000"/>
                <w:sz w:val="21"/>
                <w:szCs w:val="21"/>
              </w:rPr>
            </w:pPr>
            <w:r>
              <w:rPr>
                <w:rFonts w:hint="eastAsia" w:ascii="宋体" w:eastAsia="宋体"/>
                <w:color w:val="000000"/>
                <w:sz w:val="21"/>
                <w:szCs w:val="21"/>
              </w:rPr>
              <w:t>扣</w:t>
            </w:r>
            <w:r>
              <w:rPr>
                <w:rFonts w:ascii="宋体" w:eastAsia="宋体"/>
                <w:color w:val="000000"/>
                <w:sz w:val="21"/>
                <w:szCs w:val="21"/>
              </w:rPr>
              <w:t>100元/</w:t>
            </w:r>
            <w:r>
              <w:rPr>
                <w:rFonts w:hint="eastAsia" w:ascii="宋体" w:eastAsia="宋体"/>
                <w:color w:val="000000"/>
                <w:sz w:val="21"/>
                <w:szCs w:val="21"/>
              </w:rPr>
              <w:t>人</w:t>
            </w:r>
            <w:r>
              <w:rPr>
                <w:rFonts w:ascii="宋体" w:eastAsia="宋体"/>
                <w:color w:val="000000"/>
                <w:sz w:val="21"/>
                <w:szCs w:val="21"/>
              </w:rPr>
              <w:t>/次</w:t>
            </w:r>
          </w:p>
        </w:tc>
      </w:tr>
      <w:tr w14:paraId="06A2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16176B6">
            <w:pPr>
              <w:numPr>
                <w:ilvl w:val="0"/>
                <w:numId w:val="12"/>
              </w:numPr>
              <w:spacing w:line="240" w:lineRule="auto"/>
              <w:ind w:left="0" w:firstLine="0"/>
              <w:jc w:val="center"/>
              <w:rPr>
                <w:rFonts w:ascii="宋体" w:eastAsia="宋体"/>
                <w:sz w:val="21"/>
                <w:szCs w:val="21"/>
              </w:rPr>
            </w:pPr>
          </w:p>
        </w:tc>
        <w:tc>
          <w:tcPr>
            <w:tcW w:w="4438" w:type="dxa"/>
            <w:vAlign w:val="center"/>
          </w:tcPr>
          <w:p w14:paraId="0FCD80E9">
            <w:pPr>
              <w:rPr>
                <w:rFonts w:ascii="宋体" w:eastAsia="宋体"/>
                <w:sz w:val="21"/>
                <w:szCs w:val="21"/>
              </w:rPr>
            </w:pPr>
            <w:r>
              <w:rPr>
                <w:rFonts w:hint="eastAsia" w:ascii="宋体" w:eastAsia="宋体"/>
                <w:sz w:val="21"/>
                <w:szCs w:val="21"/>
              </w:rPr>
              <w:t>未定期发放劳动防护用品的</w:t>
            </w:r>
          </w:p>
        </w:tc>
        <w:tc>
          <w:tcPr>
            <w:tcW w:w="3412" w:type="dxa"/>
            <w:vAlign w:val="center"/>
          </w:tcPr>
          <w:p w14:paraId="5A9EEBB9">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1458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B6EA199">
            <w:pPr>
              <w:numPr>
                <w:ilvl w:val="0"/>
                <w:numId w:val="12"/>
              </w:numPr>
              <w:spacing w:line="240" w:lineRule="auto"/>
              <w:ind w:left="0" w:firstLine="0"/>
              <w:jc w:val="center"/>
              <w:rPr>
                <w:rFonts w:ascii="宋体" w:eastAsia="宋体"/>
                <w:sz w:val="21"/>
                <w:szCs w:val="21"/>
              </w:rPr>
            </w:pPr>
          </w:p>
        </w:tc>
        <w:tc>
          <w:tcPr>
            <w:tcW w:w="4438" w:type="dxa"/>
            <w:vAlign w:val="center"/>
          </w:tcPr>
          <w:p w14:paraId="5BF7BEC6">
            <w:pPr>
              <w:rPr>
                <w:rFonts w:ascii="宋体" w:eastAsia="宋体"/>
                <w:sz w:val="21"/>
                <w:szCs w:val="21"/>
              </w:rPr>
            </w:pPr>
            <w:r>
              <w:rPr>
                <w:rFonts w:hint="eastAsia" w:ascii="宋体" w:eastAsia="宋体"/>
                <w:sz w:val="21"/>
                <w:szCs w:val="21"/>
              </w:rPr>
              <w:t>作业时未采取有效措施，导致较大扬尘</w:t>
            </w:r>
          </w:p>
        </w:tc>
        <w:tc>
          <w:tcPr>
            <w:tcW w:w="3412" w:type="dxa"/>
            <w:vAlign w:val="center"/>
          </w:tcPr>
          <w:p w14:paraId="69048255">
            <w:pPr>
              <w:rPr>
                <w:rFonts w:ascii="宋体" w:eastAsia="宋体"/>
                <w:sz w:val="21"/>
                <w:szCs w:val="21"/>
              </w:rPr>
            </w:pPr>
            <w:r>
              <w:rPr>
                <w:rFonts w:hint="eastAsia" w:ascii="宋体" w:eastAsia="宋体"/>
                <w:sz w:val="21"/>
                <w:szCs w:val="21"/>
              </w:rPr>
              <w:t>扣</w:t>
            </w:r>
            <w:r>
              <w:rPr>
                <w:rFonts w:ascii="宋体" w:eastAsia="宋体"/>
                <w:sz w:val="21"/>
                <w:szCs w:val="21"/>
              </w:rPr>
              <w:t>100-300</w:t>
            </w:r>
            <w:r>
              <w:rPr>
                <w:rFonts w:hint="eastAsia" w:ascii="宋体" w:eastAsia="宋体"/>
                <w:sz w:val="21"/>
                <w:szCs w:val="21"/>
              </w:rPr>
              <w:t>元</w:t>
            </w:r>
            <w:r>
              <w:rPr>
                <w:rFonts w:ascii="宋体" w:eastAsia="宋体"/>
                <w:sz w:val="21"/>
                <w:szCs w:val="21"/>
              </w:rPr>
              <w:t>/</w:t>
            </w:r>
            <w:r>
              <w:rPr>
                <w:rFonts w:hint="eastAsia" w:ascii="宋体" w:eastAsia="宋体"/>
                <w:sz w:val="21"/>
                <w:szCs w:val="21"/>
              </w:rPr>
              <w:t>点·次</w:t>
            </w:r>
          </w:p>
        </w:tc>
      </w:tr>
      <w:tr w14:paraId="59A3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935618F">
            <w:pPr>
              <w:numPr>
                <w:ilvl w:val="0"/>
                <w:numId w:val="12"/>
              </w:numPr>
              <w:spacing w:line="240" w:lineRule="auto"/>
              <w:ind w:left="0" w:firstLine="0"/>
              <w:jc w:val="center"/>
              <w:rPr>
                <w:rFonts w:ascii="宋体" w:eastAsia="宋体"/>
                <w:sz w:val="21"/>
                <w:szCs w:val="21"/>
              </w:rPr>
            </w:pPr>
          </w:p>
        </w:tc>
        <w:tc>
          <w:tcPr>
            <w:tcW w:w="4438" w:type="dxa"/>
            <w:vAlign w:val="center"/>
          </w:tcPr>
          <w:p w14:paraId="478CD44C">
            <w:pPr>
              <w:rPr>
                <w:rFonts w:ascii="宋体" w:eastAsia="宋体"/>
                <w:sz w:val="21"/>
                <w:szCs w:val="21"/>
              </w:rPr>
            </w:pPr>
            <w:r>
              <w:rPr>
                <w:rFonts w:hint="eastAsia" w:ascii="宋体" w:eastAsia="宋体"/>
                <w:sz w:val="21"/>
                <w:szCs w:val="21"/>
              </w:rPr>
              <w:t>其他违反职业健康管理的行为</w:t>
            </w:r>
          </w:p>
        </w:tc>
        <w:tc>
          <w:tcPr>
            <w:tcW w:w="3412" w:type="dxa"/>
            <w:vAlign w:val="center"/>
          </w:tcPr>
          <w:p w14:paraId="5E893491">
            <w:pPr>
              <w:rPr>
                <w:rFonts w:ascii="宋体" w:eastAsia="宋体"/>
                <w:sz w:val="21"/>
                <w:szCs w:val="21"/>
              </w:rPr>
            </w:pPr>
            <w:r>
              <w:rPr>
                <w:rFonts w:hint="eastAsia" w:ascii="宋体" w:eastAsia="宋体"/>
                <w:sz w:val="21"/>
                <w:szCs w:val="21"/>
              </w:rPr>
              <w:t>其他违反职业健康管理的行为，视情况扣</w:t>
            </w:r>
            <w:r>
              <w:rPr>
                <w:rFonts w:ascii="宋体" w:eastAsia="宋体"/>
                <w:sz w:val="21"/>
                <w:szCs w:val="21"/>
              </w:rPr>
              <w:t>50-500元/次</w:t>
            </w:r>
          </w:p>
        </w:tc>
      </w:tr>
      <w:tr w14:paraId="75DF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456FD120">
            <w:pPr>
              <w:rPr>
                <w:rFonts w:ascii="宋体" w:eastAsia="宋体"/>
                <w:sz w:val="21"/>
                <w:szCs w:val="21"/>
              </w:rPr>
            </w:pPr>
            <w:r>
              <w:rPr>
                <w:rFonts w:hint="eastAsia" w:ascii="宋体" w:eastAsia="宋体"/>
                <w:sz w:val="21"/>
                <w:szCs w:val="21"/>
              </w:rPr>
              <w:t>消防安全管理考核</w:t>
            </w:r>
          </w:p>
        </w:tc>
      </w:tr>
      <w:tr w14:paraId="106C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6E6A5D3">
            <w:pPr>
              <w:numPr>
                <w:ilvl w:val="0"/>
                <w:numId w:val="13"/>
              </w:numPr>
              <w:spacing w:line="240" w:lineRule="auto"/>
              <w:jc w:val="center"/>
              <w:rPr>
                <w:rFonts w:ascii="宋体" w:eastAsia="宋体"/>
                <w:sz w:val="21"/>
                <w:szCs w:val="21"/>
              </w:rPr>
            </w:pPr>
          </w:p>
        </w:tc>
        <w:tc>
          <w:tcPr>
            <w:tcW w:w="4438" w:type="dxa"/>
            <w:vAlign w:val="center"/>
          </w:tcPr>
          <w:p w14:paraId="4FC3D175">
            <w:pPr>
              <w:rPr>
                <w:rFonts w:ascii="宋体" w:eastAsia="宋体"/>
                <w:sz w:val="21"/>
                <w:szCs w:val="21"/>
              </w:rPr>
            </w:pPr>
            <w:r>
              <w:rPr>
                <w:rFonts w:hint="eastAsia" w:ascii="宋体" w:eastAsia="宋体"/>
                <w:sz w:val="21"/>
                <w:szCs w:val="21"/>
              </w:rPr>
              <w:t>未按规定对责任区内的消防设施、器材进行检查的</w:t>
            </w:r>
          </w:p>
        </w:tc>
        <w:tc>
          <w:tcPr>
            <w:tcW w:w="3412" w:type="dxa"/>
            <w:vAlign w:val="center"/>
          </w:tcPr>
          <w:p w14:paraId="1EDCCBC9">
            <w:pPr>
              <w:rPr>
                <w:rFonts w:ascii="宋体" w:eastAsia="宋体"/>
                <w:sz w:val="21"/>
                <w:szCs w:val="21"/>
              </w:rPr>
            </w:pPr>
            <w:r>
              <w:rPr>
                <w:rFonts w:hint="eastAsia" w:ascii="宋体" w:eastAsia="宋体"/>
                <w:sz w:val="21"/>
                <w:szCs w:val="21"/>
              </w:rPr>
              <w:t>扣</w:t>
            </w:r>
            <w:r>
              <w:rPr>
                <w:rFonts w:ascii="宋体" w:eastAsia="宋体"/>
                <w:sz w:val="21"/>
                <w:szCs w:val="21"/>
              </w:rPr>
              <w:t>50元/</w:t>
            </w:r>
            <w:r>
              <w:rPr>
                <w:rFonts w:hint="eastAsia" w:ascii="宋体" w:eastAsia="宋体"/>
                <w:sz w:val="21"/>
                <w:szCs w:val="21"/>
              </w:rPr>
              <w:t>次</w:t>
            </w:r>
          </w:p>
        </w:tc>
      </w:tr>
      <w:tr w14:paraId="7555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5E4D124">
            <w:pPr>
              <w:numPr>
                <w:ilvl w:val="0"/>
                <w:numId w:val="13"/>
              </w:numPr>
              <w:spacing w:line="240" w:lineRule="auto"/>
              <w:jc w:val="center"/>
              <w:rPr>
                <w:rFonts w:ascii="宋体" w:eastAsia="宋体"/>
                <w:sz w:val="21"/>
                <w:szCs w:val="21"/>
              </w:rPr>
            </w:pPr>
          </w:p>
        </w:tc>
        <w:tc>
          <w:tcPr>
            <w:tcW w:w="4438" w:type="dxa"/>
            <w:vAlign w:val="center"/>
          </w:tcPr>
          <w:p w14:paraId="72E2183D">
            <w:pPr>
              <w:rPr>
                <w:rFonts w:ascii="宋体" w:eastAsia="宋体"/>
                <w:sz w:val="21"/>
                <w:szCs w:val="21"/>
              </w:rPr>
            </w:pPr>
            <w:r>
              <w:rPr>
                <w:rFonts w:hint="eastAsia" w:ascii="宋体" w:eastAsia="宋体"/>
                <w:sz w:val="21"/>
                <w:szCs w:val="21"/>
              </w:rPr>
              <w:t>发生火险使用消防器材未在</w:t>
            </w:r>
            <w:r>
              <w:rPr>
                <w:rFonts w:ascii="宋体" w:eastAsia="宋体"/>
                <w:sz w:val="21"/>
                <w:szCs w:val="21"/>
              </w:rPr>
              <w:t>1小时内未报告的</w:t>
            </w:r>
          </w:p>
        </w:tc>
        <w:tc>
          <w:tcPr>
            <w:tcW w:w="3412" w:type="dxa"/>
            <w:vAlign w:val="center"/>
          </w:tcPr>
          <w:p w14:paraId="1E1C1D01">
            <w:pPr>
              <w:rPr>
                <w:rFonts w:ascii="宋体" w:eastAsia="宋体"/>
                <w:sz w:val="21"/>
                <w:szCs w:val="21"/>
              </w:rPr>
            </w:pPr>
            <w:r>
              <w:rPr>
                <w:rFonts w:hint="eastAsia" w:ascii="宋体" w:eastAsia="宋体"/>
                <w:sz w:val="21"/>
                <w:szCs w:val="21"/>
              </w:rPr>
              <w:t>扣</w:t>
            </w:r>
            <w:r>
              <w:rPr>
                <w:rFonts w:ascii="宋体" w:eastAsia="宋体"/>
                <w:sz w:val="21"/>
                <w:szCs w:val="21"/>
              </w:rPr>
              <w:t>100元/</w:t>
            </w:r>
            <w:r>
              <w:rPr>
                <w:rFonts w:hint="eastAsia" w:ascii="宋体" w:eastAsia="宋体"/>
                <w:sz w:val="21"/>
                <w:szCs w:val="21"/>
              </w:rPr>
              <w:t>次</w:t>
            </w:r>
          </w:p>
        </w:tc>
      </w:tr>
      <w:tr w14:paraId="0847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52F1EC8">
            <w:pPr>
              <w:numPr>
                <w:ilvl w:val="0"/>
                <w:numId w:val="13"/>
              </w:numPr>
              <w:spacing w:line="240" w:lineRule="auto"/>
              <w:jc w:val="center"/>
              <w:rPr>
                <w:rFonts w:ascii="宋体" w:eastAsia="宋体"/>
                <w:sz w:val="21"/>
                <w:szCs w:val="21"/>
              </w:rPr>
            </w:pPr>
          </w:p>
        </w:tc>
        <w:tc>
          <w:tcPr>
            <w:tcW w:w="4438" w:type="dxa"/>
            <w:vAlign w:val="center"/>
          </w:tcPr>
          <w:p w14:paraId="56798279">
            <w:pPr>
              <w:rPr>
                <w:rFonts w:ascii="宋体" w:eastAsia="宋体"/>
                <w:sz w:val="21"/>
                <w:szCs w:val="21"/>
              </w:rPr>
            </w:pPr>
            <w:r>
              <w:rPr>
                <w:rFonts w:hint="eastAsia" w:ascii="宋体" w:eastAsia="宋体"/>
                <w:sz w:val="21"/>
                <w:szCs w:val="21"/>
              </w:rPr>
              <w:t>非火警擅自启用消防器材及设施</w:t>
            </w:r>
          </w:p>
        </w:tc>
        <w:tc>
          <w:tcPr>
            <w:tcW w:w="3412" w:type="dxa"/>
            <w:vAlign w:val="center"/>
          </w:tcPr>
          <w:p w14:paraId="6A806312">
            <w:pPr>
              <w:rPr>
                <w:rFonts w:ascii="宋体" w:eastAsia="宋体"/>
                <w:sz w:val="21"/>
                <w:szCs w:val="21"/>
              </w:rPr>
            </w:pPr>
            <w:r>
              <w:rPr>
                <w:rFonts w:hint="eastAsia" w:ascii="宋体" w:eastAsia="宋体"/>
                <w:sz w:val="21"/>
                <w:szCs w:val="21"/>
              </w:rPr>
              <w:t>扣</w:t>
            </w:r>
            <w:r>
              <w:rPr>
                <w:rFonts w:ascii="宋体" w:eastAsia="宋体"/>
                <w:sz w:val="21"/>
                <w:szCs w:val="21"/>
              </w:rPr>
              <w:t>100元/</w:t>
            </w:r>
            <w:r>
              <w:rPr>
                <w:rFonts w:hint="eastAsia" w:ascii="宋体" w:eastAsia="宋体"/>
                <w:sz w:val="21"/>
                <w:szCs w:val="21"/>
              </w:rPr>
              <w:t>次</w:t>
            </w:r>
          </w:p>
        </w:tc>
      </w:tr>
      <w:tr w14:paraId="6A9A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FD8BC9E">
            <w:pPr>
              <w:numPr>
                <w:ilvl w:val="0"/>
                <w:numId w:val="13"/>
              </w:numPr>
              <w:spacing w:line="240" w:lineRule="auto"/>
              <w:jc w:val="center"/>
              <w:rPr>
                <w:rFonts w:ascii="宋体" w:eastAsia="宋体"/>
                <w:sz w:val="21"/>
                <w:szCs w:val="21"/>
              </w:rPr>
            </w:pPr>
          </w:p>
        </w:tc>
        <w:tc>
          <w:tcPr>
            <w:tcW w:w="4438" w:type="dxa"/>
            <w:vAlign w:val="center"/>
          </w:tcPr>
          <w:p w14:paraId="09A69E22">
            <w:pPr>
              <w:rPr>
                <w:rFonts w:ascii="宋体" w:eastAsia="宋体"/>
                <w:sz w:val="21"/>
                <w:szCs w:val="21"/>
              </w:rPr>
            </w:pPr>
            <w:r>
              <w:rPr>
                <w:rFonts w:hint="eastAsia" w:ascii="宋体" w:eastAsia="宋体"/>
                <w:sz w:val="21"/>
                <w:szCs w:val="21"/>
              </w:rPr>
              <w:t>擅自堆放物资阻塞消防设施或通道</w:t>
            </w:r>
          </w:p>
        </w:tc>
        <w:tc>
          <w:tcPr>
            <w:tcW w:w="3412" w:type="dxa"/>
            <w:vAlign w:val="center"/>
          </w:tcPr>
          <w:p w14:paraId="50A2291F">
            <w:pPr>
              <w:rPr>
                <w:rFonts w:ascii="宋体" w:eastAsia="宋体"/>
                <w:sz w:val="21"/>
                <w:szCs w:val="21"/>
              </w:rPr>
            </w:pPr>
            <w:r>
              <w:rPr>
                <w:rFonts w:hint="eastAsia" w:ascii="宋体" w:eastAsia="宋体"/>
                <w:sz w:val="21"/>
                <w:szCs w:val="21"/>
              </w:rPr>
              <w:t>扣</w:t>
            </w:r>
            <w:r>
              <w:rPr>
                <w:rFonts w:ascii="宋体" w:eastAsia="宋体"/>
                <w:sz w:val="21"/>
                <w:szCs w:val="21"/>
              </w:rPr>
              <w:t>50-100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w:t>
            </w:r>
          </w:p>
        </w:tc>
      </w:tr>
      <w:tr w14:paraId="36FB0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5F96944">
            <w:pPr>
              <w:numPr>
                <w:ilvl w:val="0"/>
                <w:numId w:val="13"/>
              </w:numPr>
              <w:spacing w:line="240" w:lineRule="auto"/>
              <w:jc w:val="center"/>
              <w:rPr>
                <w:rFonts w:ascii="宋体" w:eastAsia="宋体"/>
                <w:sz w:val="21"/>
                <w:szCs w:val="21"/>
              </w:rPr>
            </w:pPr>
          </w:p>
        </w:tc>
        <w:tc>
          <w:tcPr>
            <w:tcW w:w="4438" w:type="dxa"/>
            <w:vAlign w:val="center"/>
          </w:tcPr>
          <w:p w14:paraId="1C0AE642">
            <w:pPr>
              <w:rPr>
                <w:rFonts w:ascii="宋体" w:eastAsia="宋体"/>
                <w:sz w:val="21"/>
                <w:szCs w:val="21"/>
              </w:rPr>
            </w:pPr>
            <w:r>
              <w:rPr>
                <w:rFonts w:hint="eastAsia" w:ascii="宋体" w:eastAsia="宋体"/>
                <w:sz w:val="21"/>
                <w:szCs w:val="21"/>
              </w:rPr>
              <w:t>未经甲方许可，任意拆卸固定消防设备、擅自开启或关闭消防阀门的</w:t>
            </w:r>
          </w:p>
        </w:tc>
        <w:tc>
          <w:tcPr>
            <w:tcW w:w="3412" w:type="dxa"/>
            <w:vAlign w:val="center"/>
          </w:tcPr>
          <w:p w14:paraId="0EC21223">
            <w:pPr>
              <w:rPr>
                <w:rFonts w:ascii="宋体" w:eastAsia="宋体"/>
                <w:sz w:val="21"/>
                <w:szCs w:val="21"/>
              </w:rPr>
            </w:pPr>
            <w:r>
              <w:rPr>
                <w:rFonts w:hint="eastAsia" w:ascii="宋体" w:eastAsia="宋体"/>
                <w:sz w:val="21"/>
                <w:szCs w:val="21"/>
              </w:rPr>
              <w:t>扣</w:t>
            </w:r>
            <w:r>
              <w:rPr>
                <w:rFonts w:ascii="宋体" w:eastAsia="宋体"/>
                <w:sz w:val="21"/>
                <w:szCs w:val="21"/>
              </w:rPr>
              <w:t>50-100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w:t>
            </w:r>
          </w:p>
        </w:tc>
      </w:tr>
      <w:tr w14:paraId="3A09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8D53799">
            <w:pPr>
              <w:numPr>
                <w:ilvl w:val="0"/>
                <w:numId w:val="13"/>
              </w:numPr>
              <w:spacing w:line="240" w:lineRule="auto"/>
              <w:jc w:val="center"/>
              <w:rPr>
                <w:rFonts w:ascii="宋体" w:eastAsia="宋体"/>
                <w:sz w:val="21"/>
                <w:szCs w:val="21"/>
              </w:rPr>
            </w:pPr>
          </w:p>
        </w:tc>
        <w:tc>
          <w:tcPr>
            <w:tcW w:w="4438" w:type="dxa"/>
            <w:vAlign w:val="center"/>
          </w:tcPr>
          <w:p w14:paraId="5F3ED139">
            <w:pPr>
              <w:rPr>
                <w:rFonts w:ascii="宋体" w:eastAsia="宋体"/>
                <w:sz w:val="21"/>
                <w:szCs w:val="21"/>
              </w:rPr>
            </w:pPr>
            <w:r>
              <w:rPr>
                <w:rFonts w:hint="eastAsia" w:ascii="宋体" w:eastAsia="宋体"/>
                <w:sz w:val="21"/>
                <w:szCs w:val="21"/>
              </w:rPr>
              <w:t>一个年度内发生有责火险超过一次的</w:t>
            </w:r>
          </w:p>
        </w:tc>
        <w:tc>
          <w:tcPr>
            <w:tcW w:w="3412" w:type="dxa"/>
            <w:vAlign w:val="center"/>
          </w:tcPr>
          <w:p w14:paraId="10970684">
            <w:pPr>
              <w:rPr>
                <w:rFonts w:ascii="宋体" w:eastAsia="宋体"/>
                <w:sz w:val="21"/>
                <w:szCs w:val="21"/>
              </w:rPr>
            </w:pPr>
            <w:r>
              <w:rPr>
                <w:rFonts w:hint="eastAsia" w:ascii="宋体" w:eastAsia="宋体"/>
                <w:sz w:val="21"/>
                <w:szCs w:val="21"/>
              </w:rPr>
              <w:t>超出每次扣</w:t>
            </w:r>
            <w:r>
              <w:rPr>
                <w:rFonts w:ascii="宋体" w:eastAsia="宋体"/>
                <w:sz w:val="21"/>
                <w:szCs w:val="21"/>
              </w:rPr>
              <w:t>300-500元/次</w:t>
            </w:r>
          </w:p>
        </w:tc>
      </w:tr>
      <w:tr w14:paraId="39D6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4F5305C">
            <w:pPr>
              <w:numPr>
                <w:ilvl w:val="0"/>
                <w:numId w:val="13"/>
              </w:numPr>
              <w:spacing w:line="240" w:lineRule="auto"/>
              <w:jc w:val="center"/>
              <w:rPr>
                <w:rFonts w:ascii="宋体" w:eastAsia="宋体"/>
                <w:sz w:val="21"/>
                <w:szCs w:val="21"/>
              </w:rPr>
            </w:pPr>
          </w:p>
        </w:tc>
        <w:tc>
          <w:tcPr>
            <w:tcW w:w="4438" w:type="dxa"/>
            <w:vAlign w:val="center"/>
          </w:tcPr>
          <w:p w14:paraId="172935D4">
            <w:pPr>
              <w:rPr>
                <w:rFonts w:ascii="宋体" w:eastAsia="宋体"/>
                <w:sz w:val="21"/>
                <w:szCs w:val="21"/>
              </w:rPr>
            </w:pPr>
            <w:r>
              <w:rPr>
                <w:rFonts w:hint="eastAsia" w:ascii="宋体" w:eastAsia="宋体"/>
                <w:sz w:val="21"/>
                <w:szCs w:val="21"/>
              </w:rPr>
              <w:t>发现消防设施、器材缺陷，经督促仍未及时整改的</w:t>
            </w:r>
          </w:p>
        </w:tc>
        <w:tc>
          <w:tcPr>
            <w:tcW w:w="3412" w:type="dxa"/>
            <w:vAlign w:val="center"/>
          </w:tcPr>
          <w:p w14:paraId="0E67E5E2">
            <w:pPr>
              <w:rPr>
                <w:rFonts w:ascii="宋体" w:eastAsia="宋体"/>
                <w:sz w:val="21"/>
                <w:szCs w:val="21"/>
              </w:rPr>
            </w:pPr>
            <w:r>
              <w:rPr>
                <w:rFonts w:hint="eastAsia" w:ascii="宋体" w:eastAsia="宋体"/>
                <w:sz w:val="21"/>
                <w:szCs w:val="21"/>
              </w:rPr>
              <w:t>扣</w:t>
            </w:r>
            <w:r>
              <w:rPr>
                <w:rFonts w:ascii="宋体" w:eastAsia="宋体"/>
                <w:sz w:val="21"/>
                <w:szCs w:val="21"/>
              </w:rPr>
              <w:t>100元/</w:t>
            </w:r>
            <w:r>
              <w:rPr>
                <w:rFonts w:hint="eastAsia" w:ascii="宋体" w:eastAsia="宋体"/>
                <w:sz w:val="21"/>
                <w:szCs w:val="21"/>
              </w:rPr>
              <w:t>次</w:t>
            </w:r>
          </w:p>
        </w:tc>
      </w:tr>
      <w:tr w14:paraId="5FCA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B0E83DE">
            <w:pPr>
              <w:numPr>
                <w:ilvl w:val="0"/>
                <w:numId w:val="13"/>
              </w:numPr>
              <w:spacing w:line="240" w:lineRule="auto"/>
              <w:jc w:val="center"/>
              <w:rPr>
                <w:rFonts w:ascii="宋体" w:eastAsia="宋体"/>
                <w:sz w:val="21"/>
                <w:szCs w:val="21"/>
              </w:rPr>
            </w:pPr>
          </w:p>
        </w:tc>
        <w:tc>
          <w:tcPr>
            <w:tcW w:w="4438" w:type="dxa"/>
            <w:vAlign w:val="center"/>
          </w:tcPr>
          <w:p w14:paraId="7F234118">
            <w:pPr>
              <w:rPr>
                <w:rFonts w:ascii="宋体" w:eastAsia="宋体"/>
                <w:sz w:val="21"/>
                <w:szCs w:val="21"/>
              </w:rPr>
            </w:pPr>
            <w:r>
              <w:rPr>
                <w:rFonts w:hint="eastAsia" w:ascii="宋体" w:eastAsia="宋体"/>
                <w:sz w:val="21"/>
                <w:szCs w:val="21"/>
              </w:rPr>
              <w:t>私用电炉、电暖器等大功率电器的</w:t>
            </w:r>
          </w:p>
        </w:tc>
        <w:tc>
          <w:tcPr>
            <w:tcW w:w="3412" w:type="dxa"/>
            <w:vAlign w:val="center"/>
          </w:tcPr>
          <w:p w14:paraId="471AB7B5">
            <w:pPr>
              <w:rPr>
                <w:rFonts w:ascii="宋体" w:eastAsia="宋体"/>
                <w:sz w:val="21"/>
                <w:szCs w:val="21"/>
              </w:rPr>
            </w:pPr>
            <w:r>
              <w:rPr>
                <w:rFonts w:hint="eastAsia" w:ascii="宋体" w:eastAsia="宋体"/>
                <w:sz w:val="21"/>
                <w:szCs w:val="21"/>
              </w:rPr>
              <w:t>扣</w:t>
            </w:r>
            <w:r>
              <w:rPr>
                <w:rFonts w:ascii="宋体" w:eastAsia="宋体"/>
                <w:sz w:val="21"/>
                <w:szCs w:val="21"/>
              </w:rPr>
              <w:t>50～100</w:t>
            </w:r>
            <w:r>
              <w:rPr>
                <w:rFonts w:hint="eastAsia" w:ascii="宋体" w:eastAsia="宋体"/>
                <w:sz w:val="21"/>
                <w:szCs w:val="21"/>
              </w:rPr>
              <w:t>元</w:t>
            </w:r>
          </w:p>
        </w:tc>
      </w:tr>
      <w:tr w14:paraId="4AC6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B3717B5">
            <w:pPr>
              <w:numPr>
                <w:ilvl w:val="0"/>
                <w:numId w:val="13"/>
              </w:numPr>
              <w:spacing w:line="240" w:lineRule="auto"/>
              <w:jc w:val="center"/>
              <w:rPr>
                <w:rFonts w:ascii="宋体" w:eastAsia="宋体"/>
                <w:sz w:val="21"/>
                <w:szCs w:val="21"/>
              </w:rPr>
            </w:pPr>
          </w:p>
        </w:tc>
        <w:tc>
          <w:tcPr>
            <w:tcW w:w="4438" w:type="dxa"/>
            <w:vAlign w:val="center"/>
          </w:tcPr>
          <w:p w14:paraId="5F8E77F6">
            <w:pPr>
              <w:rPr>
                <w:rFonts w:ascii="宋体" w:eastAsia="宋体"/>
                <w:sz w:val="21"/>
                <w:szCs w:val="21"/>
              </w:rPr>
            </w:pPr>
            <w:r>
              <w:rPr>
                <w:rFonts w:hint="eastAsia" w:ascii="宋体" w:eastAsia="宋体"/>
                <w:sz w:val="21"/>
                <w:szCs w:val="21"/>
              </w:rPr>
              <w:t>违反车间、宿舍、公共场所消防管理规定造成火警事故，但未造成严重损失的，</w:t>
            </w:r>
          </w:p>
        </w:tc>
        <w:tc>
          <w:tcPr>
            <w:tcW w:w="3412" w:type="dxa"/>
            <w:vAlign w:val="center"/>
          </w:tcPr>
          <w:p w14:paraId="6C58E824">
            <w:pPr>
              <w:rPr>
                <w:rFonts w:ascii="宋体" w:eastAsia="宋体"/>
                <w:sz w:val="21"/>
                <w:szCs w:val="21"/>
              </w:rPr>
            </w:pPr>
            <w:r>
              <w:rPr>
                <w:rFonts w:hint="eastAsia" w:ascii="宋体" w:eastAsia="宋体"/>
                <w:sz w:val="21"/>
                <w:szCs w:val="21"/>
              </w:rPr>
              <w:t>扣</w:t>
            </w:r>
            <w:r>
              <w:rPr>
                <w:rFonts w:ascii="宋体" w:eastAsia="宋体"/>
                <w:sz w:val="21"/>
                <w:szCs w:val="21"/>
              </w:rPr>
              <w:t>100～300</w:t>
            </w:r>
            <w:r>
              <w:rPr>
                <w:rFonts w:hint="eastAsia" w:ascii="宋体" w:eastAsia="宋体"/>
                <w:sz w:val="21"/>
                <w:szCs w:val="21"/>
              </w:rPr>
              <w:t>元。</w:t>
            </w:r>
          </w:p>
        </w:tc>
      </w:tr>
      <w:tr w14:paraId="05EF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1150931">
            <w:pPr>
              <w:numPr>
                <w:ilvl w:val="0"/>
                <w:numId w:val="13"/>
              </w:numPr>
              <w:spacing w:line="240" w:lineRule="auto"/>
              <w:jc w:val="center"/>
              <w:rPr>
                <w:rFonts w:ascii="宋体" w:eastAsia="宋体"/>
                <w:sz w:val="21"/>
                <w:szCs w:val="21"/>
              </w:rPr>
            </w:pPr>
          </w:p>
        </w:tc>
        <w:tc>
          <w:tcPr>
            <w:tcW w:w="4438" w:type="dxa"/>
            <w:vAlign w:val="center"/>
          </w:tcPr>
          <w:p w14:paraId="7624AE92">
            <w:pPr>
              <w:rPr>
                <w:rFonts w:ascii="宋体" w:eastAsia="宋体"/>
                <w:sz w:val="21"/>
                <w:szCs w:val="21"/>
              </w:rPr>
            </w:pPr>
            <w:r>
              <w:rPr>
                <w:rFonts w:hint="eastAsia" w:ascii="宋体" w:eastAsia="宋体"/>
                <w:sz w:val="21"/>
                <w:szCs w:val="21"/>
              </w:rPr>
              <w:t>指使或者强令他人违反消防安全规定，冒险作业，尚未造成严重后果的</w:t>
            </w:r>
          </w:p>
        </w:tc>
        <w:tc>
          <w:tcPr>
            <w:tcW w:w="3412" w:type="dxa"/>
            <w:vAlign w:val="center"/>
          </w:tcPr>
          <w:p w14:paraId="5F8B74EA">
            <w:pPr>
              <w:rPr>
                <w:rFonts w:ascii="宋体" w:eastAsia="宋体"/>
                <w:sz w:val="21"/>
                <w:szCs w:val="21"/>
              </w:rPr>
            </w:pPr>
            <w:r>
              <w:rPr>
                <w:rFonts w:hint="eastAsia" w:ascii="宋体" w:eastAsia="宋体"/>
                <w:sz w:val="21"/>
                <w:szCs w:val="21"/>
              </w:rPr>
              <w:t>扣</w:t>
            </w:r>
            <w:r>
              <w:rPr>
                <w:rFonts w:ascii="宋体" w:eastAsia="宋体"/>
                <w:sz w:val="21"/>
                <w:szCs w:val="21"/>
              </w:rPr>
              <w:t>500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w:t>
            </w:r>
          </w:p>
        </w:tc>
      </w:tr>
      <w:tr w14:paraId="2F616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FAE2B3C">
            <w:pPr>
              <w:numPr>
                <w:ilvl w:val="0"/>
                <w:numId w:val="13"/>
              </w:numPr>
              <w:spacing w:line="240" w:lineRule="auto"/>
              <w:jc w:val="center"/>
              <w:rPr>
                <w:rFonts w:ascii="宋体" w:eastAsia="宋体"/>
                <w:sz w:val="21"/>
                <w:szCs w:val="21"/>
              </w:rPr>
            </w:pPr>
          </w:p>
        </w:tc>
        <w:tc>
          <w:tcPr>
            <w:tcW w:w="4438" w:type="dxa"/>
            <w:vAlign w:val="center"/>
          </w:tcPr>
          <w:p w14:paraId="4885BED9">
            <w:pPr>
              <w:rPr>
                <w:rFonts w:ascii="宋体" w:eastAsia="宋体"/>
                <w:sz w:val="21"/>
                <w:szCs w:val="21"/>
              </w:rPr>
            </w:pPr>
            <w:r>
              <w:rPr>
                <w:rFonts w:hint="eastAsia" w:ascii="宋体" w:eastAsia="宋体"/>
                <w:sz w:val="21"/>
                <w:szCs w:val="21"/>
              </w:rPr>
              <w:t>在非吸烟点吸烟</w:t>
            </w:r>
          </w:p>
        </w:tc>
        <w:tc>
          <w:tcPr>
            <w:tcW w:w="3412" w:type="dxa"/>
            <w:vAlign w:val="center"/>
          </w:tcPr>
          <w:p w14:paraId="3079BB80">
            <w:pPr>
              <w:rPr>
                <w:rFonts w:ascii="宋体" w:eastAsia="宋体"/>
                <w:sz w:val="21"/>
                <w:szCs w:val="21"/>
              </w:rPr>
            </w:pPr>
            <w:r>
              <w:rPr>
                <w:rFonts w:hint="eastAsia" w:ascii="宋体" w:eastAsia="宋体"/>
                <w:sz w:val="21"/>
                <w:szCs w:val="21"/>
              </w:rPr>
              <w:t>扣</w:t>
            </w:r>
            <w:r>
              <w:rPr>
                <w:rFonts w:ascii="宋体" w:eastAsia="宋体"/>
                <w:sz w:val="21"/>
                <w:szCs w:val="21"/>
              </w:rPr>
              <w:t>50-100元/</w:t>
            </w:r>
            <w:r>
              <w:rPr>
                <w:rFonts w:hint="eastAsia" w:ascii="宋体" w:eastAsia="宋体"/>
                <w:sz w:val="21"/>
                <w:szCs w:val="21"/>
              </w:rPr>
              <w:t>人</w:t>
            </w:r>
            <w:r>
              <w:rPr>
                <w:rFonts w:ascii="宋体" w:eastAsia="宋体"/>
                <w:sz w:val="21"/>
                <w:szCs w:val="21"/>
              </w:rPr>
              <w:t>/次</w:t>
            </w:r>
          </w:p>
        </w:tc>
      </w:tr>
      <w:tr w14:paraId="502C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02569C2">
            <w:pPr>
              <w:numPr>
                <w:ilvl w:val="0"/>
                <w:numId w:val="13"/>
              </w:numPr>
              <w:spacing w:line="240" w:lineRule="auto"/>
              <w:jc w:val="center"/>
              <w:rPr>
                <w:rFonts w:ascii="宋体" w:eastAsia="宋体"/>
                <w:sz w:val="21"/>
                <w:szCs w:val="21"/>
              </w:rPr>
            </w:pPr>
          </w:p>
        </w:tc>
        <w:tc>
          <w:tcPr>
            <w:tcW w:w="4438" w:type="dxa"/>
            <w:vAlign w:val="center"/>
          </w:tcPr>
          <w:p w14:paraId="36CBCC1C">
            <w:pPr>
              <w:rPr>
                <w:rFonts w:ascii="宋体" w:eastAsia="宋体"/>
                <w:sz w:val="21"/>
                <w:szCs w:val="21"/>
              </w:rPr>
            </w:pPr>
            <w:r>
              <w:rPr>
                <w:rFonts w:hint="eastAsia" w:ascii="宋体" w:eastAsia="宋体"/>
                <w:sz w:val="21"/>
                <w:szCs w:val="21"/>
              </w:rPr>
              <w:t>在公司或兰电的防火重点部位擅自动火、吸烟或其他明火作业的</w:t>
            </w:r>
          </w:p>
        </w:tc>
        <w:tc>
          <w:tcPr>
            <w:tcW w:w="3412" w:type="dxa"/>
            <w:vAlign w:val="center"/>
          </w:tcPr>
          <w:p w14:paraId="4EBEBD24">
            <w:pPr>
              <w:rPr>
                <w:rFonts w:ascii="宋体" w:eastAsia="宋体"/>
                <w:sz w:val="21"/>
                <w:szCs w:val="21"/>
              </w:rPr>
            </w:pPr>
            <w:r>
              <w:rPr>
                <w:rFonts w:hint="eastAsia" w:ascii="宋体" w:eastAsia="宋体"/>
                <w:sz w:val="21"/>
                <w:szCs w:val="21"/>
              </w:rPr>
              <w:t>扣</w:t>
            </w:r>
            <w:r>
              <w:rPr>
                <w:rFonts w:ascii="宋体" w:eastAsia="宋体"/>
                <w:sz w:val="21"/>
                <w:szCs w:val="21"/>
              </w:rPr>
              <w:t>200-500元/</w:t>
            </w:r>
            <w:r>
              <w:rPr>
                <w:rFonts w:hint="eastAsia" w:ascii="宋体" w:eastAsia="宋体"/>
                <w:sz w:val="21"/>
                <w:szCs w:val="21"/>
              </w:rPr>
              <w:t>次</w:t>
            </w:r>
          </w:p>
        </w:tc>
      </w:tr>
      <w:tr w14:paraId="02E5A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9324689">
            <w:pPr>
              <w:numPr>
                <w:ilvl w:val="0"/>
                <w:numId w:val="13"/>
              </w:numPr>
              <w:spacing w:line="240" w:lineRule="auto"/>
              <w:jc w:val="center"/>
              <w:rPr>
                <w:rFonts w:ascii="宋体" w:eastAsia="宋体"/>
                <w:sz w:val="21"/>
                <w:szCs w:val="21"/>
              </w:rPr>
            </w:pPr>
          </w:p>
        </w:tc>
        <w:tc>
          <w:tcPr>
            <w:tcW w:w="4438" w:type="dxa"/>
            <w:vAlign w:val="center"/>
          </w:tcPr>
          <w:p w14:paraId="7DEB8C03">
            <w:pPr>
              <w:rPr>
                <w:rFonts w:ascii="宋体" w:eastAsia="宋体"/>
                <w:sz w:val="21"/>
                <w:szCs w:val="21"/>
              </w:rPr>
            </w:pPr>
            <w:r>
              <w:rPr>
                <w:rFonts w:hint="eastAsia" w:ascii="宋体" w:eastAsia="宋体"/>
                <w:sz w:val="21"/>
                <w:szCs w:val="21"/>
              </w:rPr>
              <w:t>在厂区范围内未经许可焚烧任何物品、擅放烟花爆竹等的</w:t>
            </w:r>
          </w:p>
        </w:tc>
        <w:tc>
          <w:tcPr>
            <w:tcW w:w="3412" w:type="dxa"/>
            <w:vAlign w:val="center"/>
          </w:tcPr>
          <w:p w14:paraId="18E2A4CB">
            <w:pPr>
              <w:rPr>
                <w:rFonts w:ascii="宋体" w:eastAsia="宋体"/>
                <w:sz w:val="21"/>
                <w:szCs w:val="21"/>
              </w:rPr>
            </w:pPr>
            <w:r>
              <w:rPr>
                <w:rFonts w:hint="eastAsia" w:ascii="宋体" w:eastAsia="宋体"/>
                <w:sz w:val="21"/>
                <w:szCs w:val="21"/>
              </w:rPr>
              <w:t>扣</w:t>
            </w:r>
            <w:r>
              <w:rPr>
                <w:rFonts w:ascii="宋体" w:eastAsia="宋体"/>
                <w:sz w:val="21"/>
                <w:szCs w:val="21"/>
              </w:rPr>
              <w:t>200～500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w:t>
            </w:r>
          </w:p>
        </w:tc>
      </w:tr>
      <w:tr w14:paraId="3802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CC4013F">
            <w:pPr>
              <w:numPr>
                <w:ilvl w:val="0"/>
                <w:numId w:val="13"/>
              </w:numPr>
              <w:spacing w:line="240" w:lineRule="auto"/>
              <w:jc w:val="center"/>
              <w:rPr>
                <w:rFonts w:ascii="宋体" w:eastAsia="宋体"/>
                <w:sz w:val="21"/>
                <w:szCs w:val="21"/>
              </w:rPr>
            </w:pPr>
          </w:p>
        </w:tc>
        <w:tc>
          <w:tcPr>
            <w:tcW w:w="4438" w:type="dxa"/>
            <w:vAlign w:val="center"/>
          </w:tcPr>
          <w:p w14:paraId="10A72008">
            <w:pPr>
              <w:rPr>
                <w:rFonts w:ascii="宋体" w:eastAsia="宋体"/>
                <w:sz w:val="21"/>
                <w:szCs w:val="21"/>
              </w:rPr>
            </w:pPr>
            <w:r>
              <w:rPr>
                <w:rFonts w:hint="eastAsia" w:ascii="宋体" w:eastAsia="宋体"/>
                <w:sz w:val="21"/>
                <w:szCs w:val="21"/>
              </w:rPr>
              <w:t>其他违反《消防安全管理制度》和消防安全法律法规的行为</w:t>
            </w:r>
          </w:p>
        </w:tc>
        <w:tc>
          <w:tcPr>
            <w:tcW w:w="3412" w:type="dxa"/>
            <w:vAlign w:val="center"/>
          </w:tcPr>
          <w:p w14:paraId="23A36BB2">
            <w:pPr>
              <w:rPr>
                <w:rFonts w:ascii="宋体" w:eastAsia="宋体"/>
                <w:sz w:val="21"/>
                <w:szCs w:val="21"/>
              </w:rPr>
            </w:pPr>
            <w:r>
              <w:rPr>
                <w:rFonts w:hint="eastAsia" w:ascii="宋体" w:eastAsia="宋体"/>
                <w:sz w:val="21"/>
                <w:szCs w:val="21"/>
              </w:rPr>
              <w:t>视情况扣</w:t>
            </w:r>
            <w:r>
              <w:rPr>
                <w:rFonts w:ascii="宋体" w:eastAsia="宋体"/>
                <w:sz w:val="21"/>
                <w:szCs w:val="21"/>
              </w:rPr>
              <w:t>50-500元/次</w:t>
            </w:r>
          </w:p>
        </w:tc>
      </w:tr>
      <w:tr w14:paraId="2530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525B093C">
            <w:pPr>
              <w:rPr>
                <w:rFonts w:ascii="宋体" w:eastAsia="宋体"/>
                <w:sz w:val="21"/>
                <w:szCs w:val="21"/>
              </w:rPr>
            </w:pPr>
            <w:r>
              <w:rPr>
                <w:rFonts w:hint="eastAsia" w:ascii="宋体" w:eastAsia="宋体"/>
                <w:sz w:val="21"/>
                <w:szCs w:val="21"/>
              </w:rPr>
              <w:t>交通安全管理考核</w:t>
            </w:r>
          </w:p>
        </w:tc>
      </w:tr>
      <w:tr w14:paraId="0188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4FE9581">
            <w:pPr>
              <w:numPr>
                <w:ilvl w:val="0"/>
                <w:numId w:val="14"/>
              </w:numPr>
              <w:spacing w:line="240" w:lineRule="auto"/>
              <w:jc w:val="center"/>
              <w:rPr>
                <w:rFonts w:ascii="宋体" w:eastAsia="宋体"/>
                <w:sz w:val="21"/>
                <w:szCs w:val="21"/>
              </w:rPr>
            </w:pPr>
          </w:p>
        </w:tc>
        <w:tc>
          <w:tcPr>
            <w:tcW w:w="4438" w:type="dxa"/>
            <w:vAlign w:val="center"/>
          </w:tcPr>
          <w:p w14:paraId="3F84CBFB">
            <w:pPr>
              <w:rPr>
                <w:rFonts w:ascii="宋体" w:eastAsia="宋体"/>
                <w:sz w:val="21"/>
                <w:szCs w:val="21"/>
              </w:rPr>
            </w:pPr>
            <w:r>
              <w:rPr>
                <w:rFonts w:hint="eastAsia" w:ascii="宋体" w:eastAsia="宋体"/>
                <w:sz w:val="21"/>
                <w:szCs w:val="21"/>
              </w:rPr>
              <w:t>厂区内超速行驶</w:t>
            </w:r>
          </w:p>
        </w:tc>
        <w:tc>
          <w:tcPr>
            <w:tcW w:w="3412" w:type="dxa"/>
            <w:vAlign w:val="center"/>
          </w:tcPr>
          <w:p w14:paraId="54440260">
            <w:pPr>
              <w:rPr>
                <w:rFonts w:ascii="宋体" w:eastAsia="宋体"/>
                <w:sz w:val="21"/>
                <w:szCs w:val="21"/>
              </w:rPr>
            </w:pPr>
            <w:r>
              <w:rPr>
                <w:rFonts w:hint="eastAsia" w:ascii="宋体" w:eastAsia="宋体"/>
                <w:sz w:val="21"/>
                <w:szCs w:val="21"/>
              </w:rPr>
              <w:t>扣</w:t>
            </w:r>
            <w:r>
              <w:rPr>
                <w:rFonts w:ascii="宋体" w:eastAsia="宋体"/>
                <w:sz w:val="21"/>
                <w:szCs w:val="21"/>
              </w:rPr>
              <w:t>100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w:t>
            </w:r>
          </w:p>
        </w:tc>
      </w:tr>
      <w:tr w14:paraId="134F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C22D58A">
            <w:pPr>
              <w:numPr>
                <w:ilvl w:val="0"/>
                <w:numId w:val="14"/>
              </w:numPr>
              <w:spacing w:line="240" w:lineRule="auto"/>
              <w:jc w:val="center"/>
              <w:rPr>
                <w:rFonts w:ascii="宋体" w:eastAsia="宋体"/>
                <w:sz w:val="21"/>
                <w:szCs w:val="21"/>
              </w:rPr>
            </w:pPr>
          </w:p>
        </w:tc>
        <w:tc>
          <w:tcPr>
            <w:tcW w:w="4438" w:type="dxa"/>
            <w:vAlign w:val="center"/>
          </w:tcPr>
          <w:p w14:paraId="4FB234F1">
            <w:pPr>
              <w:rPr>
                <w:rFonts w:ascii="宋体" w:eastAsia="宋体"/>
                <w:sz w:val="21"/>
                <w:szCs w:val="21"/>
              </w:rPr>
            </w:pPr>
            <w:r>
              <w:rPr>
                <w:rFonts w:hint="eastAsia" w:ascii="宋体" w:eastAsia="宋体"/>
                <w:sz w:val="21"/>
                <w:szCs w:val="21"/>
              </w:rPr>
              <w:t>在厂区道路超载、闯禁令标志、乱装卸货等</w:t>
            </w:r>
          </w:p>
        </w:tc>
        <w:tc>
          <w:tcPr>
            <w:tcW w:w="3412" w:type="dxa"/>
            <w:vAlign w:val="center"/>
          </w:tcPr>
          <w:p w14:paraId="18C276E2">
            <w:pPr>
              <w:rPr>
                <w:rFonts w:ascii="宋体" w:eastAsia="宋体"/>
                <w:sz w:val="21"/>
                <w:szCs w:val="21"/>
              </w:rPr>
            </w:pPr>
            <w:r>
              <w:rPr>
                <w:rFonts w:hint="eastAsia" w:ascii="宋体" w:eastAsia="宋体"/>
                <w:sz w:val="21"/>
                <w:szCs w:val="21"/>
              </w:rPr>
              <w:t>扣</w:t>
            </w:r>
            <w:r>
              <w:rPr>
                <w:rFonts w:ascii="宋体" w:eastAsia="宋体"/>
                <w:sz w:val="21"/>
                <w:szCs w:val="21"/>
              </w:rPr>
              <w:t>100-300元/</w:t>
            </w:r>
            <w:r>
              <w:rPr>
                <w:rFonts w:hint="eastAsia" w:ascii="宋体" w:eastAsia="宋体"/>
                <w:sz w:val="21"/>
                <w:szCs w:val="21"/>
              </w:rPr>
              <w:t>次</w:t>
            </w:r>
          </w:p>
        </w:tc>
      </w:tr>
      <w:tr w14:paraId="6955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3E67FD9">
            <w:pPr>
              <w:numPr>
                <w:ilvl w:val="0"/>
                <w:numId w:val="14"/>
              </w:numPr>
              <w:spacing w:line="240" w:lineRule="auto"/>
              <w:jc w:val="center"/>
              <w:rPr>
                <w:rFonts w:ascii="宋体" w:eastAsia="宋体"/>
                <w:sz w:val="21"/>
                <w:szCs w:val="21"/>
              </w:rPr>
            </w:pPr>
          </w:p>
        </w:tc>
        <w:tc>
          <w:tcPr>
            <w:tcW w:w="4438" w:type="dxa"/>
            <w:vAlign w:val="center"/>
          </w:tcPr>
          <w:p w14:paraId="5F5D7A10">
            <w:pPr>
              <w:rPr>
                <w:rFonts w:ascii="宋体" w:eastAsia="宋体"/>
                <w:sz w:val="21"/>
                <w:szCs w:val="21"/>
              </w:rPr>
            </w:pPr>
            <w:r>
              <w:rPr>
                <w:rFonts w:hint="eastAsia" w:ascii="宋体" w:eastAsia="宋体"/>
                <w:sz w:val="21"/>
                <w:szCs w:val="21"/>
              </w:rPr>
              <w:t>运输车辆未按规定路线行驶和停放的</w:t>
            </w:r>
          </w:p>
        </w:tc>
        <w:tc>
          <w:tcPr>
            <w:tcW w:w="3412" w:type="dxa"/>
            <w:vAlign w:val="center"/>
          </w:tcPr>
          <w:p w14:paraId="4AE91B1D">
            <w:pPr>
              <w:rPr>
                <w:rFonts w:ascii="宋体" w:eastAsia="宋体"/>
                <w:sz w:val="21"/>
                <w:szCs w:val="21"/>
              </w:rPr>
            </w:pPr>
            <w:r>
              <w:rPr>
                <w:rFonts w:hint="eastAsia" w:ascii="宋体" w:eastAsia="宋体"/>
                <w:sz w:val="21"/>
                <w:szCs w:val="21"/>
              </w:rPr>
              <w:t>扣</w:t>
            </w:r>
            <w:r>
              <w:rPr>
                <w:rFonts w:ascii="宋体" w:eastAsia="宋体"/>
                <w:sz w:val="21"/>
                <w:szCs w:val="21"/>
              </w:rPr>
              <w:t>100-200元/</w:t>
            </w:r>
            <w:r>
              <w:rPr>
                <w:rFonts w:hint="eastAsia" w:ascii="宋体" w:eastAsia="宋体"/>
                <w:sz w:val="21"/>
                <w:szCs w:val="21"/>
              </w:rPr>
              <w:t>次</w:t>
            </w:r>
          </w:p>
        </w:tc>
      </w:tr>
      <w:tr w14:paraId="7B9C2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4B7E66B">
            <w:pPr>
              <w:numPr>
                <w:ilvl w:val="0"/>
                <w:numId w:val="14"/>
              </w:numPr>
              <w:spacing w:line="240" w:lineRule="auto"/>
              <w:jc w:val="center"/>
              <w:rPr>
                <w:rFonts w:ascii="宋体" w:eastAsia="宋体"/>
                <w:sz w:val="21"/>
                <w:szCs w:val="21"/>
              </w:rPr>
            </w:pPr>
          </w:p>
        </w:tc>
        <w:tc>
          <w:tcPr>
            <w:tcW w:w="4438" w:type="dxa"/>
            <w:vAlign w:val="center"/>
          </w:tcPr>
          <w:p w14:paraId="0CC9C107">
            <w:pPr>
              <w:rPr>
                <w:rFonts w:ascii="宋体" w:eastAsia="宋体"/>
                <w:sz w:val="21"/>
                <w:szCs w:val="21"/>
              </w:rPr>
            </w:pPr>
            <w:r>
              <w:rPr>
                <w:rFonts w:hint="eastAsia" w:ascii="宋体" w:eastAsia="宋体"/>
                <w:sz w:val="21"/>
                <w:szCs w:val="21"/>
              </w:rPr>
              <w:t>机动车、非机动车未按规定停放</w:t>
            </w:r>
          </w:p>
        </w:tc>
        <w:tc>
          <w:tcPr>
            <w:tcW w:w="3412" w:type="dxa"/>
            <w:vAlign w:val="center"/>
          </w:tcPr>
          <w:p w14:paraId="31C8A6B7">
            <w:pPr>
              <w:rPr>
                <w:rFonts w:ascii="宋体" w:eastAsia="宋体"/>
                <w:sz w:val="21"/>
                <w:szCs w:val="21"/>
              </w:rPr>
            </w:pPr>
            <w:r>
              <w:rPr>
                <w:rFonts w:hint="eastAsia" w:ascii="宋体" w:eastAsia="宋体"/>
                <w:sz w:val="21"/>
                <w:szCs w:val="21"/>
              </w:rPr>
              <w:t>扣</w:t>
            </w:r>
            <w:r>
              <w:rPr>
                <w:rFonts w:ascii="宋体" w:eastAsia="宋体"/>
                <w:sz w:val="21"/>
                <w:szCs w:val="21"/>
              </w:rPr>
              <w:t>50元/</w:t>
            </w:r>
            <w:r>
              <w:rPr>
                <w:rFonts w:hint="eastAsia" w:ascii="宋体" w:eastAsia="宋体"/>
                <w:sz w:val="21"/>
                <w:szCs w:val="21"/>
              </w:rPr>
              <w:t>次</w:t>
            </w:r>
          </w:p>
        </w:tc>
      </w:tr>
      <w:tr w14:paraId="4AF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57C3CF9">
            <w:pPr>
              <w:numPr>
                <w:ilvl w:val="0"/>
                <w:numId w:val="14"/>
              </w:numPr>
              <w:spacing w:line="240" w:lineRule="auto"/>
              <w:jc w:val="center"/>
              <w:rPr>
                <w:rFonts w:ascii="宋体" w:eastAsia="宋体"/>
                <w:sz w:val="21"/>
                <w:szCs w:val="21"/>
              </w:rPr>
            </w:pPr>
          </w:p>
        </w:tc>
        <w:tc>
          <w:tcPr>
            <w:tcW w:w="4438" w:type="dxa"/>
            <w:vAlign w:val="center"/>
          </w:tcPr>
          <w:p w14:paraId="6C0D6DAB">
            <w:pPr>
              <w:rPr>
                <w:rFonts w:ascii="宋体" w:eastAsia="宋体"/>
                <w:sz w:val="21"/>
                <w:szCs w:val="21"/>
              </w:rPr>
            </w:pPr>
            <w:r>
              <w:rPr>
                <w:rFonts w:hint="eastAsia" w:ascii="宋体" w:eastAsia="宋体"/>
                <w:sz w:val="21"/>
                <w:szCs w:val="21"/>
              </w:rPr>
              <w:t>无证驾驶机动车辆的</w:t>
            </w:r>
          </w:p>
        </w:tc>
        <w:tc>
          <w:tcPr>
            <w:tcW w:w="3412" w:type="dxa"/>
            <w:vAlign w:val="center"/>
          </w:tcPr>
          <w:p w14:paraId="42D6BC94">
            <w:pPr>
              <w:rPr>
                <w:rFonts w:ascii="宋体" w:eastAsia="宋体"/>
                <w:sz w:val="21"/>
                <w:szCs w:val="21"/>
              </w:rPr>
            </w:pPr>
            <w:r>
              <w:rPr>
                <w:rFonts w:hint="eastAsia" w:ascii="宋体" w:eastAsia="宋体"/>
                <w:sz w:val="21"/>
                <w:szCs w:val="21"/>
              </w:rPr>
              <w:t>扣</w:t>
            </w:r>
            <w:r>
              <w:rPr>
                <w:rFonts w:ascii="宋体" w:eastAsia="宋体"/>
                <w:sz w:val="21"/>
                <w:szCs w:val="21"/>
              </w:rPr>
              <w:t>200-500元/次</w:t>
            </w:r>
          </w:p>
        </w:tc>
      </w:tr>
      <w:tr w14:paraId="184B9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5838252">
            <w:pPr>
              <w:numPr>
                <w:ilvl w:val="0"/>
                <w:numId w:val="14"/>
              </w:numPr>
              <w:spacing w:line="240" w:lineRule="auto"/>
              <w:jc w:val="center"/>
              <w:rPr>
                <w:rFonts w:ascii="宋体" w:eastAsia="宋体"/>
                <w:sz w:val="21"/>
                <w:szCs w:val="21"/>
              </w:rPr>
            </w:pPr>
          </w:p>
        </w:tc>
        <w:tc>
          <w:tcPr>
            <w:tcW w:w="4438" w:type="dxa"/>
            <w:vAlign w:val="center"/>
          </w:tcPr>
          <w:p w14:paraId="57057576">
            <w:pPr>
              <w:rPr>
                <w:rFonts w:ascii="宋体" w:eastAsia="宋体"/>
                <w:sz w:val="21"/>
                <w:szCs w:val="21"/>
              </w:rPr>
            </w:pPr>
            <w:r>
              <w:rPr>
                <w:rFonts w:hint="eastAsia" w:ascii="宋体" w:eastAsia="宋体"/>
                <w:sz w:val="21"/>
                <w:szCs w:val="21"/>
              </w:rPr>
              <w:t>未经甲方认可擅自驾驶机动车（含厂内车辆、生产车辆等）的</w:t>
            </w:r>
          </w:p>
        </w:tc>
        <w:tc>
          <w:tcPr>
            <w:tcW w:w="3412" w:type="dxa"/>
            <w:vAlign w:val="center"/>
          </w:tcPr>
          <w:p w14:paraId="75A811D8">
            <w:pPr>
              <w:rPr>
                <w:rFonts w:ascii="宋体" w:eastAsia="宋体"/>
                <w:sz w:val="21"/>
                <w:szCs w:val="21"/>
              </w:rPr>
            </w:pPr>
            <w:r>
              <w:rPr>
                <w:rFonts w:hint="eastAsia" w:ascii="宋体" w:eastAsia="宋体"/>
                <w:sz w:val="21"/>
                <w:szCs w:val="21"/>
              </w:rPr>
              <w:t>扣</w:t>
            </w:r>
            <w:r>
              <w:rPr>
                <w:rFonts w:ascii="宋体" w:eastAsia="宋体"/>
                <w:sz w:val="21"/>
                <w:szCs w:val="21"/>
              </w:rPr>
              <w:t>100元/</w:t>
            </w:r>
            <w:r>
              <w:rPr>
                <w:rFonts w:hint="eastAsia" w:ascii="宋体" w:eastAsia="宋体"/>
                <w:sz w:val="21"/>
                <w:szCs w:val="21"/>
              </w:rPr>
              <w:t>次</w:t>
            </w:r>
          </w:p>
        </w:tc>
      </w:tr>
      <w:tr w14:paraId="2CA4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C34983E">
            <w:pPr>
              <w:numPr>
                <w:ilvl w:val="0"/>
                <w:numId w:val="14"/>
              </w:numPr>
              <w:spacing w:line="240" w:lineRule="auto"/>
              <w:jc w:val="center"/>
              <w:rPr>
                <w:rFonts w:ascii="宋体" w:eastAsia="宋体"/>
                <w:sz w:val="21"/>
                <w:szCs w:val="21"/>
              </w:rPr>
            </w:pPr>
          </w:p>
        </w:tc>
        <w:tc>
          <w:tcPr>
            <w:tcW w:w="4438" w:type="dxa"/>
            <w:vAlign w:val="center"/>
          </w:tcPr>
          <w:p w14:paraId="55C2999E">
            <w:pPr>
              <w:rPr>
                <w:rFonts w:ascii="宋体" w:eastAsia="宋体"/>
                <w:sz w:val="21"/>
                <w:szCs w:val="21"/>
              </w:rPr>
            </w:pPr>
            <w:r>
              <w:rPr>
                <w:rFonts w:hint="eastAsia" w:ascii="宋体" w:eastAsia="宋体"/>
                <w:sz w:val="21"/>
                <w:szCs w:val="21"/>
              </w:rPr>
              <w:t>私家车擅自进入公司生产区域的</w:t>
            </w:r>
          </w:p>
        </w:tc>
        <w:tc>
          <w:tcPr>
            <w:tcW w:w="3412" w:type="dxa"/>
            <w:vAlign w:val="center"/>
          </w:tcPr>
          <w:p w14:paraId="06160D0C">
            <w:pPr>
              <w:rPr>
                <w:rFonts w:ascii="宋体" w:eastAsia="宋体"/>
                <w:sz w:val="21"/>
                <w:szCs w:val="21"/>
              </w:rPr>
            </w:pPr>
            <w:r>
              <w:rPr>
                <w:rFonts w:hint="eastAsia" w:ascii="宋体" w:eastAsia="宋体"/>
                <w:sz w:val="21"/>
                <w:szCs w:val="21"/>
              </w:rPr>
              <w:t>扣</w:t>
            </w:r>
            <w:r>
              <w:rPr>
                <w:rFonts w:ascii="宋体" w:eastAsia="宋体"/>
                <w:sz w:val="21"/>
                <w:szCs w:val="21"/>
              </w:rPr>
              <w:t>100元/</w:t>
            </w:r>
            <w:r>
              <w:rPr>
                <w:rFonts w:hint="eastAsia" w:ascii="宋体" w:eastAsia="宋体"/>
                <w:sz w:val="21"/>
                <w:szCs w:val="21"/>
              </w:rPr>
              <w:t>次</w:t>
            </w:r>
          </w:p>
        </w:tc>
      </w:tr>
      <w:tr w14:paraId="5888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C8D5B18">
            <w:pPr>
              <w:numPr>
                <w:ilvl w:val="0"/>
                <w:numId w:val="14"/>
              </w:numPr>
              <w:spacing w:line="240" w:lineRule="auto"/>
              <w:jc w:val="center"/>
              <w:rPr>
                <w:rFonts w:ascii="宋体" w:eastAsia="宋体"/>
                <w:sz w:val="21"/>
                <w:szCs w:val="21"/>
              </w:rPr>
            </w:pPr>
          </w:p>
        </w:tc>
        <w:tc>
          <w:tcPr>
            <w:tcW w:w="4438" w:type="dxa"/>
            <w:vAlign w:val="center"/>
          </w:tcPr>
          <w:p w14:paraId="64A111B5">
            <w:pPr>
              <w:rPr>
                <w:rFonts w:ascii="宋体" w:eastAsia="宋体"/>
                <w:sz w:val="21"/>
                <w:szCs w:val="21"/>
              </w:rPr>
            </w:pPr>
            <w:r>
              <w:rPr>
                <w:rFonts w:hint="eastAsia" w:ascii="宋体" w:eastAsia="宋体"/>
                <w:sz w:val="21"/>
                <w:szCs w:val="21"/>
              </w:rPr>
              <w:t>随意在厂区道路上堆物，影响正常通行的</w:t>
            </w:r>
          </w:p>
        </w:tc>
        <w:tc>
          <w:tcPr>
            <w:tcW w:w="3412" w:type="dxa"/>
            <w:vAlign w:val="center"/>
          </w:tcPr>
          <w:p w14:paraId="5CDFB285">
            <w:pPr>
              <w:rPr>
                <w:rFonts w:ascii="宋体" w:eastAsia="宋体"/>
                <w:sz w:val="21"/>
                <w:szCs w:val="21"/>
              </w:rPr>
            </w:pPr>
            <w:r>
              <w:rPr>
                <w:rFonts w:hint="eastAsia" w:ascii="宋体" w:eastAsia="宋体"/>
                <w:sz w:val="21"/>
                <w:szCs w:val="21"/>
              </w:rPr>
              <w:t>扣</w:t>
            </w:r>
            <w:r>
              <w:rPr>
                <w:rFonts w:ascii="宋体" w:eastAsia="宋体"/>
                <w:sz w:val="21"/>
                <w:szCs w:val="21"/>
              </w:rPr>
              <w:t>50-100元/</w:t>
            </w:r>
            <w:r>
              <w:rPr>
                <w:rFonts w:hint="eastAsia" w:ascii="宋体" w:eastAsia="宋体"/>
                <w:sz w:val="21"/>
                <w:szCs w:val="21"/>
              </w:rPr>
              <w:t>次</w:t>
            </w:r>
          </w:p>
        </w:tc>
      </w:tr>
      <w:tr w14:paraId="0FB7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A866A40">
            <w:pPr>
              <w:numPr>
                <w:ilvl w:val="0"/>
                <w:numId w:val="14"/>
              </w:numPr>
              <w:spacing w:line="240" w:lineRule="auto"/>
              <w:jc w:val="center"/>
              <w:rPr>
                <w:rFonts w:ascii="宋体" w:eastAsia="宋体"/>
                <w:sz w:val="21"/>
                <w:szCs w:val="21"/>
              </w:rPr>
            </w:pPr>
          </w:p>
        </w:tc>
        <w:tc>
          <w:tcPr>
            <w:tcW w:w="4438" w:type="dxa"/>
            <w:vAlign w:val="center"/>
          </w:tcPr>
          <w:p w14:paraId="41408A86">
            <w:pPr>
              <w:rPr>
                <w:rFonts w:ascii="宋体" w:eastAsia="宋体"/>
                <w:sz w:val="21"/>
                <w:szCs w:val="21"/>
              </w:rPr>
            </w:pPr>
            <w:r>
              <w:rPr>
                <w:rFonts w:hint="eastAsia" w:ascii="宋体" w:eastAsia="宋体"/>
                <w:sz w:val="21"/>
                <w:szCs w:val="21"/>
              </w:rPr>
              <w:t>未经审批随意在厂区道路上挖沟（坑）、开凿或已办审批未设置警示标志等防护措施的</w:t>
            </w:r>
          </w:p>
        </w:tc>
        <w:tc>
          <w:tcPr>
            <w:tcW w:w="3412" w:type="dxa"/>
            <w:vAlign w:val="center"/>
          </w:tcPr>
          <w:p w14:paraId="45228438">
            <w:pPr>
              <w:rPr>
                <w:rFonts w:ascii="宋体" w:eastAsia="宋体"/>
                <w:sz w:val="21"/>
                <w:szCs w:val="21"/>
              </w:rPr>
            </w:pPr>
            <w:r>
              <w:rPr>
                <w:rFonts w:hint="eastAsia" w:ascii="宋体" w:eastAsia="宋体"/>
                <w:sz w:val="21"/>
                <w:szCs w:val="21"/>
              </w:rPr>
              <w:t>扣</w:t>
            </w:r>
            <w:r>
              <w:rPr>
                <w:rFonts w:ascii="宋体" w:eastAsia="宋体"/>
                <w:sz w:val="21"/>
                <w:szCs w:val="21"/>
              </w:rPr>
              <w:t>100</w:t>
            </w:r>
            <w:r>
              <w:rPr>
                <w:rFonts w:hint="eastAsia" w:ascii="宋体" w:eastAsia="宋体"/>
                <w:sz w:val="21"/>
                <w:szCs w:val="21"/>
              </w:rPr>
              <w:t>～</w:t>
            </w:r>
            <w:r>
              <w:rPr>
                <w:rFonts w:ascii="宋体" w:eastAsia="宋体"/>
                <w:sz w:val="21"/>
                <w:szCs w:val="21"/>
              </w:rPr>
              <w:t>200</w:t>
            </w:r>
            <w:r>
              <w:rPr>
                <w:rFonts w:hint="eastAsia" w:ascii="宋体" w:eastAsia="宋体"/>
                <w:sz w:val="21"/>
                <w:szCs w:val="21"/>
              </w:rPr>
              <w:t>元</w:t>
            </w:r>
            <w:r>
              <w:rPr>
                <w:rFonts w:ascii="宋体" w:eastAsia="宋体"/>
                <w:sz w:val="21"/>
                <w:szCs w:val="21"/>
              </w:rPr>
              <w:t>/次</w:t>
            </w:r>
          </w:p>
        </w:tc>
      </w:tr>
      <w:tr w14:paraId="7C5F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A06BE3C">
            <w:pPr>
              <w:numPr>
                <w:ilvl w:val="0"/>
                <w:numId w:val="14"/>
              </w:numPr>
              <w:spacing w:line="240" w:lineRule="auto"/>
              <w:jc w:val="center"/>
              <w:rPr>
                <w:rFonts w:ascii="宋体" w:eastAsia="宋体"/>
                <w:sz w:val="21"/>
                <w:szCs w:val="21"/>
              </w:rPr>
            </w:pPr>
          </w:p>
        </w:tc>
        <w:tc>
          <w:tcPr>
            <w:tcW w:w="4438" w:type="dxa"/>
            <w:vAlign w:val="center"/>
          </w:tcPr>
          <w:p w14:paraId="182A7D00">
            <w:pPr>
              <w:rPr>
                <w:rFonts w:ascii="宋体" w:eastAsia="宋体"/>
                <w:sz w:val="21"/>
                <w:szCs w:val="21"/>
              </w:rPr>
            </w:pPr>
            <w:r>
              <w:rPr>
                <w:rFonts w:hint="eastAsia" w:ascii="宋体" w:eastAsia="宋体"/>
                <w:sz w:val="21"/>
                <w:szCs w:val="21"/>
              </w:rPr>
              <w:t>运输车辆未按规定做好防抛洒、防扬尘等措施的，</w:t>
            </w:r>
          </w:p>
        </w:tc>
        <w:tc>
          <w:tcPr>
            <w:tcW w:w="3412" w:type="dxa"/>
            <w:vAlign w:val="center"/>
          </w:tcPr>
          <w:p w14:paraId="65CDBE28">
            <w:pPr>
              <w:rPr>
                <w:rFonts w:ascii="宋体" w:eastAsia="宋体"/>
                <w:sz w:val="21"/>
                <w:szCs w:val="21"/>
              </w:rPr>
            </w:pPr>
            <w:r>
              <w:rPr>
                <w:rFonts w:hint="eastAsia" w:ascii="宋体" w:eastAsia="宋体"/>
                <w:sz w:val="21"/>
                <w:szCs w:val="21"/>
              </w:rPr>
              <w:t>扣</w:t>
            </w:r>
            <w:r>
              <w:rPr>
                <w:rFonts w:ascii="宋体" w:eastAsia="宋体"/>
                <w:sz w:val="21"/>
                <w:szCs w:val="21"/>
              </w:rPr>
              <w:t>100-200元/次，并负责对污染区域的清理</w:t>
            </w:r>
          </w:p>
        </w:tc>
      </w:tr>
      <w:tr w14:paraId="41352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CD63FDC">
            <w:pPr>
              <w:numPr>
                <w:ilvl w:val="0"/>
                <w:numId w:val="14"/>
              </w:numPr>
              <w:spacing w:line="240" w:lineRule="auto"/>
              <w:jc w:val="center"/>
              <w:rPr>
                <w:rFonts w:ascii="宋体" w:eastAsia="宋体"/>
                <w:sz w:val="21"/>
                <w:szCs w:val="21"/>
              </w:rPr>
            </w:pPr>
          </w:p>
        </w:tc>
        <w:tc>
          <w:tcPr>
            <w:tcW w:w="4438" w:type="dxa"/>
            <w:vAlign w:val="center"/>
          </w:tcPr>
          <w:p w14:paraId="3AA42C45">
            <w:pPr>
              <w:rPr>
                <w:rFonts w:ascii="宋体" w:eastAsia="宋体"/>
                <w:sz w:val="21"/>
                <w:szCs w:val="21"/>
              </w:rPr>
            </w:pPr>
            <w:r>
              <w:rPr>
                <w:rFonts w:hint="eastAsia" w:ascii="宋体" w:eastAsia="宋体"/>
                <w:sz w:val="21"/>
                <w:szCs w:val="21"/>
              </w:rPr>
              <w:t>车辆驾驶员不服从公司人员指挥、管理，或违反公司相关管理规定的行为</w:t>
            </w:r>
          </w:p>
        </w:tc>
        <w:tc>
          <w:tcPr>
            <w:tcW w:w="3412" w:type="dxa"/>
            <w:vAlign w:val="center"/>
          </w:tcPr>
          <w:p w14:paraId="3E5ACFCA">
            <w:pPr>
              <w:rPr>
                <w:rFonts w:ascii="宋体" w:eastAsia="宋体"/>
                <w:sz w:val="21"/>
                <w:szCs w:val="21"/>
              </w:rPr>
            </w:pPr>
            <w:r>
              <w:rPr>
                <w:rFonts w:hint="eastAsia" w:ascii="宋体" w:eastAsia="宋体"/>
                <w:sz w:val="21"/>
                <w:szCs w:val="21"/>
              </w:rPr>
              <w:t>扣</w:t>
            </w:r>
            <w:r>
              <w:rPr>
                <w:rFonts w:ascii="宋体" w:eastAsia="宋体"/>
                <w:sz w:val="21"/>
                <w:szCs w:val="21"/>
              </w:rPr>
              <w:t>100-1000元，造成设备损坏的按原价赔偿</w:t>
            </w:r>
          </w:p>
        </w:tc>
      </w:tr>
      <w:tr w14:paraId="4282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1421E39">
            <w:pPr>
              <w:numPr>
                <w:ilvl w:val="0"/>
                <w:numId w:val="14"/>
              </w:numPr>
              <w:spacing w:line="240" w:lineRule="auto"/>
              <w:jc w:val="center"/>
              <w:rPr>
                <w:rFonts w:ascii="宋体" w:eastAsia="宋体"/>
                <w:sz w:val="21"/>
                <w:szCs w:val="21"/>
              </w:rPr>
            </w:pPr>
          </w:p>
        </w:tc>
        <w:tc>
          <w:tcPr>
            <w:tcW w:w="4438" w:type="dxa"/>
            <w:vAlign w:val="center"/>
          </w:tcPr>
          <w:p w14:paraId="3FB25C52">
            <w:pPr>
              <w:rPr>
                <w:rFonts w:ascii="宋体" w:eastAsia="宋体"/>
                <w:sz w:val="21"/>
                <w:szCs w:val="21"/>
              </w:rPr>
            </w:pPr>
            <w:r>
              <w:rPr>
                <w:rFonts w:hint="eastAsia" w:ascii="宋体" w:eastAsia="宋体"/>
                <w:sz w:val="21"/>
                <w:szCs w:val="21"/>
              </w:rPr>
              <w:t>其他违反公司《交通安全管理》或国家交通安全法律法规的行为，视情节轻重程度</w:t>
            </w:r>
          </w:p>
        </w:tc>
        <w:tc>
          <w:tcPr>
            <w:tcW w:w="3412" w:type="dxa"/>
            <w:vAlign w:val="center"/>
          </w:tcPr>
          <w:p w14:paraId="14442B9C">
            <w:pPr>
              <w:rPr>
                <w:rFonts w:ascii="宋体" w:eastAsia="宋体"/>
                <w:sz w:val="21"/>
                <w:szCs w:val="21"/>
              </w:rPr>
            </w:pPr>
            <w:r>
              <w:rPr>
                <w:rFonts w:hint="eastAsia" w:ascii="宋体" w:eastAsia="宋体"/>
                <w:sz w:val="21"/>
                <w:szCs w:val="21"/>
              </w:rPr>
              <w:t>扣</w:t>
            </w:r>
            <w:r>
              <w:rPr>
                <w:rFonts w:ascii="宋体" w:eastAsia="宋体"/>
                <w:sz w:val="21"/>
                <w:szCs w:val="21"/>
              </w:rPr>
              <w:t>50-1000元</w:t>
            </w:r>
          </w:p>
        </w:tc>
      </w:tr>
      <w:tr w14:paraId="384B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5990C2A2">
            <w:pPr>
              <w:rPr>
                <w:rFonts w:ascii="宋体" w:eastAsia="宋体"/>
                <w:sz w:val="21"/>
                <w:szCs w:val="21"/>
              </w:rPr>
            </w:pPr>
            <w:r>
              <w:rPr>
                <w:rFonts w:hint="eastAsia" w:ascii="宋体" w:eastAsia="宋体"/>
                <w:sz w:val="21"/>
                <w:szCs w:val="21"/>
              </w:rPr>
              <w:t>其他违章考核</w:t>
            </w:r>
          </w:p>
        </w:tc>
      </w:tr>
      <w:tr w14:paraId="741CA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6E93C37">
            <w:pPr>
              <w:numPr>
                <w:ilvl w:val="0"/>
                <w:numId w:val="15"/>
              </w:numPr>
              <w:spacing w:line="240" w:lineRule="auto"/>
              <w:jc w:val="both"/>
              <w:rPr>
                <w:rFonts w:ascii="宋体" w:eastAsia="宋体"/>
                <w:sz w:val="21"/>
                <w:szCs w:val="21"/>
              </w:rPr>
            </w:pPr>
          </w:p>
        </w:tc>
        <w:tc>
          <w:tcPr>
            <w:tcW w:w="4438" w:type="dxa"/>
            <w:vAlign w:val="center"/>
          </w:tcPr>
          <w:p w14:paraId="0C918C7A">
            <w:pPr>
              <w:rPr>
                <w:rFonts w:ascii="宋体" w:eastAsia="宋体"/>
                <w:sz w:val="21"/>
                <w:szCs w:val="21"/>
              </w:rPr>
            </w:pPr>
            <w:r>
              <w:rPr>
                <w:rFonts w:hint="eastAsia" w:ascii="宋体" w:eastAsia="宋体"/>
                <w:sz w:val="21"/>
                <w:szCs w:val="21"/>
              </w:rPr>
              <w:t>未按规定正确佩戴相应的劳动防护用品的</w:t>
            </w:r>
          </w:p>
        </w:tc>
        <w:tc>
          <w:tcPr>
            <w:tcW w:w="3412" w:type="dxa"/>
            <w:vAlign w:val="center"/>
          </w:tcPr>
          <w:p w14:paraId="7734E295">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2CE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91A5620">
            <w:pPr>
              <w:numPr>
                <w:ilvl w:val="0"/>
                <w:numId w:val="15"/>
              </w:numPr>
              <w:spacing w:line="240" w:lineRule="auto"/>
              <w:jc w:val="both"/>
              <w:rPr>
                <w:rFonts w:ascii="宋体" w:eastAsia="宋体"/>
                <w:sz w:val="21"/>
                <w:szCs w:val="21"/>
              </w:rPr>
            </w:pPr>
          </w:p>
        </w:tc>
        <w:tc>
          <w:tcPr>
            <w:tcW w:w="4438" w:type="dxa"/>
            <w:vAlign w:val="center"/>
          </w:tcPr>
          <w:p w14:paraId="59B451E3">
            <w:pPr>
              <w:rPr>
                <w:rFonts w:ascii="宋体" w:eastAsia="宋体"/>
                <w:sz w:val="21"/>
                <w:szCs w:val="21"/>
              </w:rPr>
            </w:pPr>
            <w:r>
              <w:rPr>
                <w:rFonts w:hint="eastAsia" w:ascii="宋体" w:eastAsia="宋体"/>
                <w:sz w:val="21"/>
                <w:szCs w:val="21"/>
              </w:rPr>
              <w:t>特种（特种设备）作业人员无证或证超期限未复审作业的</w:t>
            </w:r>
          </w:p>
        </w:tc>
        <w:tc>
          <w:tcPr>
            <w:tcW w:w="3412" w:type="dxa"/>
            <w:vAlign w:val="center"/>
          </w:tcPr>
          <w:p w14:paraId="6C8D036B">
            <w:pPr>
              <w:rPr>
                <w:rFonts w:ascii="宋体" w:eastAsia="宋体"/>
                <w:sz w:val="21"/>
                <w:szCs w:val="21"/>
              </w:rPr>
            </w:pPr>
            <w:r>
              <w:rPr>
                <w:rFonts w:hint="eastAsia" w:ascii="宋体" w:eastAsia="宋体"/>
                <w:sz w:val="21"/>
                <w:szCs w:val="21"/>
              </w:rPr>
              <w:t>扣</w:t>
            </w:r>
            <w:r>
              <w:rPr>
                <w:rFonts w:ascii="宋体" w:eastAsia="宋体"/>
                <w:sz w:val="21"/>
                <w:szCs w:val="21"/>
              </w:rPr>
              <w:t>200-500元/次</w:t>
            </w:r>
          </w:p>
        </w:tc>
      </w:tr>
      <w:tr w14:paraId="7860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627A4A2">
            <w:pPr>
              <w:numPr>
                <w:ilvl w:val="0"/>
                <w:numId w:val="15"/>
              </w:numPr>
              <w:spacing w:line="240" w:lineRule="auto"/>
              <w:jc w:val="both"/>
              <w:rPr>
                <w:rFonts w:ascii="宋体" w:eastAsia="宋体"/>
                <w:sz w:val="21"/>
                <w:szCs w:val="21"/>
              </w:rPr>
            </w:pPr>
          </w:p>
        </w:tc>
        <w:tc>
          <w:tcPr>
            <w:tcW w:w="4438" w:type="dxa"/>
            <w:vAlign w:val="center"/>
          </w:tcPr>
          <w:p w14:paraId="08D247E0">
            <w:pPr>
              <w:rPr>
                <w:rFonts w:ascii="宋体" w:eastAsia="宋体"/>
                <w:sz w:val="21"/>
                <w:szCs w:val="21"/>
              </w:rPr>
            </w:pPr>
            <w:r>
              <w:rPr>
                <w:rFonts w:hint="eastAsia" w:ascii="宋体" w:eastAsia="宋体"/>
                <w:sz w:val="21"/>
                <w:szCs w:val="21"/>
              </w:rPr>
              <w:t>强令员工违章作业、或默认员工违章作业</w:t>
            </w:r>
          </w:p>
        </w:tc>
        <w:tc>
          <w:tcPr>
            <w:tcW w:w="3412" w:type="dxa"/>
            <w:vAlign w:val="center"/>
          </w:tcPr>
          <w:p w14:paraId="61DFCD6F">
            <w:pPr>
              <w:rPr>
                <w:rFonts w:ascii="宋体" w:eastAsia="宋体"/>
                <w:sz w:val="21"/>
                <w:szCs w:val="21"/>
              </w:rPr>
            </w:pPr>
            <w:r>
              <w:rPr>
                <w:rFonts w:hint="eastAsia" w:ascii="宋体" w:eastAsia="宋体"/>
                <w:sz w:val="21"/>
                <w:szCs w:val="21"/>
              </w:rPr>
              <w:t>扣</w:t>
            </w:r>
            <w:r>
              <w:rPr>
                <w:rFonts w:ascii="宋体" w:eastAsia="宋体"/>
                <w:sz w:val="21"/>
                <w:szCs w:val="21"/>
              </w:rPr>
              <w:t>200-500元/次</w:t>
            </w:r>
          </w:p>
        </w:tc>
      </w:tr>
      <w:tr w14:paraId="4A6C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82BDE13">
            <w:pPr>
              <w:numPr>
                <w:ilvl w:val="0"/>
                <w:numId w:val="15"/>
              </w:numPr>
              <w:spacing w:line="240" w:lineRule="auto"/>
              <w:jc w:val="both"/>
              <w:rPr>
                <w:rFonts w:ascii="宋体" w:eastAsia="宋体"/>
                <w:sz w:val="21"/>
                <w:szCs w:val="21"/>
              </w:rPr>
            </w:pPr>
          </w:p>
        </w:tc>
        <w:tc>
          <w:tcPr>
            <w:tcW w:w="4438" w:type="dxa"/>
            <w:vAlign w:val="center"/>
          </w:tcPr>
          <w:p w14:paraId="6C803B39">
            <w:pPr>
              <w:rPr>
                <w:rFonts w:ascii="宋体" w:eastAsia="宋体"/>
                <w:sz w:val="21"/>
                <w:szCs w:val="21"/>
              </w:rPr>
            </w:pPr>
            <w:r>
              <w:rPr>
                <w:rFonts w:hint="eastAsia" w:ascii="宋体" w:eastAsia="宋体"/>
                <w:sz w:val="21"/>
                <w:szCs w:val="21"/>
              </w:rPr>
              <w:t>带领未经安全教育、安全交底的外包工、临时工、厂家人员进入现场工作</w:t>
            </w:r>
          </w:p>
        </w:tc>
        <w:tc>
          <w:tcPr>
            <w:tcW w:w="3412" w:type="dxa"/>
            <w:vAlign w:val="center"/>
          </w:tcPr>
          <w:p w14:paraId="6FB425FD">
            <w:pPr>
              <w:rPr>
                <w:rFonts w:ascii="宋体" w:eastAsia="宋体"/>
                <w:sz w:val="21"/>
                <w:szCs w:val="21"/>
              </w:rPr>
            </w:pPr>
            <w:r>
              <w:rPr>
                <w:rFonts w:hint="eastAsia" w:ascii="宋体" w:eastAsia="宋体"/>
                <w:sz w:val="21"/>
                <w:szCs w:val="21"/>
              </w:rPr>
              <w:t>扣</w:t>
            </w:r>
            <w:r>
              <w:rPr>
                <w:rFonts w:ascii="宋体" w:eastAsia="宋体"/>
                <w:sz w:val="21"/>
                <w:szCs w:val="21"/>
              </w:rPr>
              <w:t>100元/次</w:t>
            </w:r>
          </w:p>
        </w:tc>
      </w:tr>
      <w:tr w14:paraId="4134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B297854">
            <w:pPr>
              <w:numPr>
                <w:ilvl w:val="0"/>
                <w:numId w:val="15"/>
              </w:numPr>
              <w:spacing w:line="240" w:lineRule="auto"/>
              <w:jc w:val="both"/>
              <w:rPr>
                <w:rFonts w:ascii="宋体" w:eastAsia="宋体"/>
                <w:sz w:val="21"/>
                <w:szCs w:val="21"/>
              </w:rPr>
            </w:pPr>
          </w:p>
        </w:tc>
        <w:tc>
          <w:tcPr>
            <w:tcW w:w="4438" w:type="dxa"/>
            <w:vAlign w:val="center"/>
          </w:tcPr>
          <w:p w14:paraId="627B5D55">
            <w:pPr>
              <w:rPr>
                <w:rFonts w:ascii="宋体" w:eastAsia="宋体"/>
                <w:sz w:val="21"/>
                <w:szCs w:val="21"/>
              </w:rPr>
            </w:pPr>
            <w:r>
              <w:rPr>
                <w:rFonts w:hint="eastAsia" w:ascii="宋体" w:eastAsia="宋体"/>
                <w:sz w:val="21"/>
                <w:szCs w:val="21"/>
              </w:rPr>
              <w:t>带领无关人员或未成年人员进厂生产现场的</w:t>
            </w:r>
          </w:p>
        </w:tc>
        <w:tc>
          <w:tcPr>
            <w:tcW w:w="3412" w:type="dxa"/>
            <w:vAlign w:val="center"/>
          </w:tcPr>
          <w:p w14:paraId="414C2B03">
            <w:pPr>
              <w:rPr>
                <w:rFonts w:ascii="宋体" w:eastAsia="宋体"/>
                <w:sz w:val="21"/>
                <w:szCs w:val="21"/>
              </w:rPr>
            </w:pPr>
            <w:r>
              <w:rPr>
                <w:rFonts w:hint="eastAsia" w:ascii="宋体" w:eastAsia="宋体"/>
                <w:sz w:val="21"/>
                <w:szCs w:val="21"/>
              </w:rPr>
              <w:t>扣</w:t>
            </w:r>
            <w:r>
              <w:rPr>
                <w:rFonts w:ascii="宋体" w:eastAsia="宋体"/>
                <w:sz w:val="21"/>
                <w:szCs w:val="21"/>
              </w:rPr>
              <w:t>100元/次</w:t>
            </w:r>
          </w:p>
        </w:tc>
      </w:tr>
      <w:tr w14:paraId="6312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9A1E6C1">
            <w:pPr>
              <w:numPr>
                <w:ilvl w:val="0"/>
                <w:numId w:val="15"/>
              </w:numPr>
              <w:spacing w:line="240" w:lineRule="auto"/>
              <w:jc w:val="both"/>
              <w:rPr>
                <w:rFonts w:ascii="宋体" w:eastAsia="宋体"/>
                <w:sz w:val="21"/>
                <w:szCs w:val="21"/>
              </w:rPr>
            </w:pPr>
          </w:p>
        </w:tc>
        <w:tc>
          <w:tcPr>
            <w:tcW w:w="4438" w:type="dxa"/>
            <w:vAlign w:val="center"/>
          </w:tcPr>
          <w:p w14:paraId="4ED21281">
            <w:pPr>
              <w:rPr>
                <w:rFonts w:ascii="宋体" w:eastAsia="宋体"/>
                <w:sz w:val="21"/>
                <w:szCs w:val="21"/>
              </w:rPr>
            </w:pPr>
            <w:r>
              <w:rPr>
                <w:rFonts w:hint="eastAsia" w:ascii="宋体" w:eastAsia="宋体"/>
                <w:sz w:val="21"/>
                <w:szCs w:val="21"/>
              </w:rPr>
              <w:t>未经公司安全生产部进行安全资质审查或未按规定签署开工报审表，擅自同意开工的</w:t>
            </w:r>
          </w:p>
        </w:tc>
        <w:tc>
          <w:tcPr>
            <w:tcW w:w="3412" w:type="dxa"/>
            <w:vAlign w:val="center"/>
          </w:tcPr>
          <w:p w14:paraId="23427AFE">
            <w:pPr>
              <w:rPr>
                <w:rFonts w:ascii="宋体" w:eastAsia="宋体"/>
                <w:sz w:val="21"/>
                <w:szCs w:val="21"/>
              </w:rPr>
            </w:pPr>
            <w:r>
              <w:rPr>
                <w:rFonts w:hint="eastAsia" w:ascii="宋体" w:eastAsia="宋体"/>
                <w:sz w:val="21"/>
                <w:szCs w:val="21"/>
              </w:rPr>
              <w:t>扣</w:t>
            </w:r>
            <w:r>
              <w:rPr>
                <w:rFonts w:ascii="宋体" w:eastAsia="宋体"/>
                <w:sz w:val="21"/>
                <w:szCs w:val="21"/>
              </w:rPr>
              <w:t>100</w:t>
            </w:r>
            <w:r>
              <w:rPr>
                <w:rFonts w:hint="eastAsia" w:ascii="宋体" w:eastAsia="宋体"/>
                <w:sz w:val="21"/>
                <w:szCs w:val="21"/>
              </w:rPr>
              <w:t>～</w:t>
            </w:r>
            <w:r>
              <w:rPr>
                <w:rFonts w:ascii="宋体" w:eastAsia="宋体"/>
                <w:sz w:val="21"/>
                <w:szCs w:val="21"/>
              </w:rPr>
              <w:t>200</w:t>
            </w:r>
            <w:r>
              <w:rPr>
                <w:rFonts w:hint="eastAsia" w:ascii="宋体" w:eastAsia="宋体"/>
                <w:sz w:val="21"/>
                <w:szCs w:val="21"/>
              </w:rPr>
              <w:t>元</w:t>
            </w:r>
            <w:r>
              <w:rPr>
                <w:rFonts w:ascii="宋体" w:eastAsia="宋体"/>
                <w:sz w:val="21"/>
                <w:szCs w:val="21"/>
              </w:rPr>
              <w:t>/次</w:t>
            </w:r>
          </w:p>
        </w:tc>
      </w:tr>
      <w:tr w14:paraId="36A4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B65C604">
            <w:pPr>
              <w:numPr>
                <w:ilvl w:val="0"/>
                <w:numId w:val="15"/>
              </w:numPr>
              <w:spacing w:line="240" w:lineRule="auto"/>
              <w:jc w:val="both"/>
              <w:rPr>
                <w:rFonts w:ascii="宋体" w:eastAsia="宋体"/>
                <w:sz w:val="21"/>
                <w:szCs w:val="21"/>
              </w:rPr>
            </w:pPr>
          </w:p>
        </w:tc>
        <w:tc>
          <w:tcPr>
            <w:tcW w:w="4438" w:type="dxa"/>
            <w:vAlign w:val="center"/>
          </w:tcPr>
          <w:p w14:paraId="667BAD8C">
            <w:pPr>
              <w:rPr>
                <w:rFonts w:ascii="宋体" w:eastAsia="宋体"/>
                <w:sz w:val="21"/>
                <w:szCs w:val="21"/>
              </w:rPr>
            </w:pPr>
            <w:r>
              <w:rPr>
                <w:rFonts w:hint="eastAsia" w:ascii="宋体" w:eastAsia="宋体"/>
                <w:sz w:val="21"/>
                <w:szCs w:val="21"/>
              </w:rPr>
              <w:t>新员工或新上岗人员未进行三级安全教育、培训即上岗工作</w:t>
            </w:r>
          </w:p>
        </w:tc>
        <w:tc>
          <w:tcPr>
            <w:tcW w:w="3412" w:type="dxa"/>
            <w:vAlign w:val="center"/>
          </w:tcPr>
          <w:p w14:paraId="762404BB">
            <w:pPr>
              <w:rPr>
                <w:rFonts w:ascii="宋体" w:eastAsia="宋体"/>
                <w:sz w:val="21"/>
                <w:szCs w:val="21"/>
              </w:rPr>
            </w:pPr>
            <w:r>
              <w:rPr>
                <w:rFonts w:hint="eastAsia" w:ascii="宋体" w:eastAsia="宋体"/>
                <w:sz w:val="21"/>
                <w:szCs w:val="21"/>
              </w:rPr>
              <w:t>扣</w:t>
            </w:r>
            <w:r>
              <w:rPr>
                <w:rFonts w:ascii="宋体" w:eastAsia="宋体"/>
                <w:sz w:val="21"/>
                <w:szCs w:val="21"/>
              </w:rPr>
              <w:t>100元/次</w:t>
            </w:r>
          </w:p>
        </w:tc>
      </w:tr>
      <w:tr w14:paraId="084D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4DF09DC">
            <w:pPr>
              <w:numPr>
                <w:ilvl w:val="0"/>
                <w:numId w:val="15"/>
              </w:numPr>
              <w:spacing w:line="240" w:lineRule="auto"/>
              <w:jc w:val="both"/>
              <w:rPr>
                <w:rFonts w:ascii="宋体" w:eastAsia="宋体"/>
                <w:sz w:val="21"/>
                <w:szCs w:val="21"/>
              </w:rPr>
            </w:pPr>
          </w:p>
        </w:tc>
        <w:tc>
          <w:tcPr>
            <w:tcW w:w="4438" w:type="dxa"/>
            <w:vAlign w:val="center"/>
          </w:tcPr>
          <w:p w14:paraId="459D609B">
            <w:pPr>
              <w:rPr>
                <w:rFonts w:ascii="宋体" w:eastAsia="宋体"/>
                <w:sz w:val="21"/>
                <w:szCs w:val="21"/>
              </w:rPr>
            </w:pPr>
            <w:r>
              <w:rPr>
                <w:rFonts w:hint="eastAsia" w:ascii="宋体" w:eastAsia="宋体"/>
                <w:sz w:val="21"/>
                <w:szCs w:val="21"/>
              </w:rPr>
              <w:t>酒后从事各种工作</w:t>
            </w:r>
          </w:p>
        </w:tc>
        <w:tc>
          <w:tcPr>
            <w:tcW w:w="3412" w:type="dxa"/>
            <w:vAlign w:val="center"/>
          </w:tcPr>
          <w:p w14:paraId="6BEE7248">
            <w:pPr>
              <w:rPr>
                <w:rFonts w:ascii="宋体" w:eastAsia="宋体"/>
                <w:sz w:val="21"/>
                <w:szCs w:val="21"/>
              </w:rPr>
            </w:pPr>
            <w:r>
              <w:rPr>
                <w:rFonts w:hint="eastAsia" w:ascii="宋体" w:eastAsia="宋体"/>
                <w:sz w:val="21"/>
                <w:szCs w:val="21"/>
              </w:rPr>
              <w:t>扣</w:t>
            </w:r>
            <w:r>
              <w:rPr>
                <w:rFonts w:ascii="宋体" w:eastAsia="宋体"/>
                <w:sz w:val="21"/>
                <w:szCs w:val="21"/>
              </w:rPr>
              <w:t>200-300元/次</w:t>
            </w:r>
          </w:p>
        </w:tc>
      </w:tr>
      <w:tr w14:paraId="1421F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70FA97B">
            <w:pPr>
              <w:numPr>
                <w:ilvl w:val="0"/>
                <w:numId w:val="15"/>
              </w:numPr>
              <w:spacing w:line="240" w:lineRule="auto"/>
              <w:jc w:val="both"/>
              <w:rPr>
                <w:rFonts w:ascii="宋体" w:eastAsia="宋体"/>
                <w:sz w:val="21"/>
                <w:szCs w:val="21"/>
              </w:rPr>
            </w:pPr>
          </w:p>
        </w:tc>
        <w:tc>
          <w:tcPr>
            <w:tcW w:w="4438" w:type="dxa"/>
            <w:vAlign w:val="center"/>
          </w:tcPr>
          <w:p w14:paraId="4366C414">
            <w:pPr>
              <w:rPr>
                <w:rFonts w:ascii="宋体" w:eastAsia="宋体"/>
                <w:sz w:val="21"/>
                <w:szCs w:val="21"/>
              </w:rPr>
            </w:pPr>
            <w:r>
              <w:rPr>
                <w:rFonts w:hint="eastAsia" w:ascii="宋体" w:eastAsia="宋体"/>
                <w:sz w:val="21"/>
                <w:szCs w:val="21"/>
              </w:rPr>
              <w:t>检修、施工或其他危险作业区域未设置安全围护栏杆的</w:t>
            </w:r>
          </w:p>
        </w:tc>
        <w:tc>
          <w:tcPr>
            <w:tcW w:w="3412" w:type="dxa"/>
            <w:vAlign w:val="center"/>
          </w:tcPr>
          <w:p w14:paraId="4E02FEB8">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17CA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F27ED28">
            <w:pPr>
              <w:numPr>
                <w:ilvl w:val="0"/>
                <w:numId w:val="15"/>
              </w:numPr>
              <w:spacing w:line="240" w:lineRule="auto"/>
              <w:jc w:val="both"/>
              <w:rPr>
                <w:rFonts w:ascii="宋体" w:eastAsia="宋体"/>
                <w:sz w:val="21"/>
                <w:szCs w:val="21"/>
              </w:rPr>
            </w:pPr>
          </w:p>
        </w:tc>
        <w:tc>
          <w:tcPr>
            <w:tcW w:w="4438" w:type="dxa"/>
            <w:vAlign w:val="center"/>
          </w:tcPr>
          <w:p w14:paraId="1B4A803C">
            <w:pPr>
              <w:rPr>
                <w:rFonts w:ascii="宋体" w:eastAsia="宋体"/>
                <w:sz w:val="21"/>
                <w:szCs w:val="21"/>
              </w:rPr>
            </w:pPr>
            <w:r>
              <w:rPr>
                <w:rFonts w:hint="eastAsia" w:ascii="宋体" w:eastAsia="宋体"/>
                <w:sz w:val="21"/>
                <w:szCs w:val="21"/>
              </w:rPr>
              <w:t>孔洞、沟道盖板掀开后，未及时装设遮栏和设置警示标志</w:t>
            </w:r>
          </w:p>
        </w:tc>
        <w:tc>
          <w:tcPr>
            <w:tcW w:w="3412" w:type="dxa"/>
            <w:vAlign w:val="center"/>
          </w:tcPr>
          <w:p w14:paraId="1BAE08C1">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5C8C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76D1D7C">
            <w:pPr>
              <w:numPr>
                <w:ilvl w:val="0"/>
                <w:numId w:val="15"/>
              </w:numPr>
              <w:spacing w:line="240" w:lineRule="auto"/>
              <w:jc w:val="both"/>
              <w:rPr>
                <w:rFonts w:ascii="宋体" w:eastAsia="宋体"/>
                <w:sz w:val="21"/>
                <w:szCs w:val="21"/>
              </w:rPr>
            </w:pPr>
          </w:p>
        </w:tc>
        <w:tc>
          <w:tcPr>
            <w:tcW w:w="4438" w:type="dxa"/>
            <w:vAlign w:val="center"/>
          </w:tcPr>
          <w:p w14:paraId="4F9B6042">
            <w:pPr>
              <w:rPr>
                <w:rFonts w:ascii="宋体" w:eastAsia="宋体"/>
                <w:sz w:val="21"/>
                <w:szCs w:val="21"/>
              </w:rPr>
            </w:pPr>
            <w:r>
              <w:rPr>
                <w:rFonts w:hint="eastAsia" w:ascii="宋体" w:eastAsia="宋体"/>
                <w:sz w:val="21"/>
                <w:szCs w:val="21"/>
              </w:rPr>
              <w:t>危险化学品存放、使用、保管等不符合相关管理规定的</w:t>
            </w:r>
          </w:p>
        </w:tc>
        <w:tc>
          <w:tcPr>
            <w:tcW w:w="3412" w:type="dxa"/>
            <w:vAlign w:val="center"/>
          </w:tcPr>
          <w:p w14:paraId="5A76EE87">
            <w:pPr>
              <w:rPr>
                <w:rFonts w:ascii="宋体" w:eastAsia="宋体"/>
                <w:sz w:val="21"/>
                <w:szCs w:val="21"/>
              </w:rPr>
            </w:pPr>
            <w:r>
              <w:rPr>
                <w:rFonts w:hint="eastAsia" w:ascii="宋体" w:eastAsia="宋体"/>
                <w:sz w:val="21"/>
                <w:szCs w:val="21"/>
              </w:rPr>
              <w:t>扣</w:t>
            </w:r>
            <w:r>
              <w:rPr>
                <w:rFonts w:ascii="宋体" w:eastAsia="宋体"/>
                <w:sz w:val="21"/>
                <w:szCs w:val="21"/>
              </w:rPr>
              <w:t>50-200元/次</w:t>
            </w:r>
          </w:p>
        </w:tc>
      </w:tr>
      <w:tr w14:paraId="511A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D1E79FA">
            <w:pPr>
              <w:numPr>
                <w:ilvl w:val="0"/>
                <w:numId w:val="15"/>
              </w:numPr>
              <w:spacing w:line="240" w:lineRule="auto"/>
              <w:jc w:val="both"/>
              <w:rPr>
                <w:rFonts w:ascii="宋体" w:eastAsia="宋体"/>
                <w:sz w:val="21"/>
                <w:szCs w:val="21"/>
              </w:rPr>
            </w:pPr>
          </w:p>
        </w:tc>
        <w:tc>
          <w:tcPr>
            <w:tcW w:w="4438" w:type="dxa"/>
            <w:vAlign w:val="center"/>
          </w:tcPr>
          <w:p w14:paraId="09B027DE">
            <w:pPr>
              <w:rPr>
                <w:rFonts w:ascii="宋体" w:eastAsia="宋体"/>
                <w:sz w:val="21"/>
                <w:szCs w:val="21"/>
              </w:rPr>
            </w:pPr>
            <w:r>
              <w:rPr>
                <w:rFonts w:hint="eastAsia" w:ascii="宋体" w:eastAsia="宋体"/>
                <w:sz w:val="21"/>
                <w:szCs w:val="21"/>
              </w:rPr>
              <w:t>擅自拆除或移动安全遮栏、设施</w:t>
            </w:r>
          </w:p>
        </w:tc>
        <w:tc>
          <w:tcPr>
            <w:tcW w:w="3412" w:type="dxa"/>
            <w:vAlign w:val="center"/>
          </w:tcPr>
          <w:p w14:paraId="78852B43">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78C7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6179B96">
            <w:pPr>
              <w:numPr>
                <w:ilvl w:val="0"/>
                <w:numId w:val="15"/>
              </w:numPr>
              <w:spacing w:line="240" w:lineRule="auto"/>
              <w:jc w:val="both"/>
              <w:rPr>
                <w:rFonts w:ascii="宋体" w:eastAsia="宋体"/>
                <w:sz w:val="21"/>
                <w:szCs w:val="21"/>
              </w:rPr>
            </w:pPr>
          </w:p>
        </w:tc>
        <w:tc>
          <w:tcPr>
            <w:tcW w:w="4438" w:type="dxa"/>
            <w:vAlign w:val="center"/>
          </w:tcPr>
          <w:p w14:paraId="6712621E">
            <w:pPr>
              <w:rPr>
                <w:rFonts w:ascii="宋体" w:eastAsia="宋体"/>
                <w:sz w:val="21"/>
                <w:szCs w:val="21"/>
              </w:rPr>
            </w:pPr>
            <w:r>
              <w:rPr>
                <w:rFonts w:hint="eastAsia" w:ascii="宋体" w:eastAsia="宋体"/>
                <w:sz w:val="21"/>
                <w:szCs w:val="21"/>
              </w:rPr>
              <w:t>使用不合格的电动工器具或电动工器具未定期绝缘检测的</w:t>
            </w:r>
          </w:p>
        </w:tc>
        <w:tc>
          <w:tcPr>
            <w:tcW w:w="3412" w:type="dxa"/>
            <w:vAlign w:val="center"/>
          </w:tcPr>
          <w:p w14:paraId="28EFA084">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27F1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CA3D02D">
            <w:pPr>
              <w:numPr>
                <w:ilvl w:val="0"/>
                <w:numId w:val="15"/>
              </w:numPr>
              <w:spacing w:line="240" w:lineRule="auto"/>
              <w:jc w:val="both"/>
              <w:rPr>
                <w:rFonts w:ascii="宋体" w:eastAsia="宋体"/>
                <w:sz w:val="21"/>
                <w:szCs w:val="21"/>
              </w:rPr>
            </w:pPr>
          </w:p>
        </w:tc>
        <w:tc>
          <w:tcPr>
            <w:tcW w:w="4438" w:type="dxa"/>
            <w:vAlign w:val="center"/>
          </w:tcPr>
          <w:p w14:paraId="192A3843">
            <w:pPr>
              <w:rPr>
                <w:rFonts w:ascii="宋体" w:eastAsia="宋体"/>
                <w:sz w:val="21"/>
                <w:szCs w:val="21"/>
              </w:rPr>
            </w:pPr>
            <w:r>
              <w:rPr>
                <w:rFonts w:hint="eastAsia" w:ascii="宋体" w:eastAsia="宋体"/>
                <w:sz w:val="21"/>
                <w:szCs w:val="21"/>
              </w:rPr>
              <w:t>非电气人员任意接拆电源</w:t>
            </w:r>
          </w:p>
        </w:tc>
        <w:tc>
          <w:tcPr>
            <w:tcW w:w="3412" w:type="dxa"/>
            <w:vAlign w:val="center"/>
          </w:tcPr>
          <w:p w14:paraId="144378F7">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059B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3EF7E62">
            <w:pPr>
              <w:numPr>
                <w:ilvl w:val="0"/>
                <w:numId w:val="15"/>
              </w:numPr>
              <w:spacing w:line="240" w:lineRule="auto"/>
              <w:jc w:val="both"/>
              <w:rPr>
                <w:rFonts w:ascii="宋体" w:eastAsia="宋体"/>
                <w:sz w:val="21"/>
                <w:szCs w:val="21"/>
              </w:rPr>
            </w:pPr>
          </w:p>
        </w:tc>
        <w:tc>
          <w:tcPr>
            <w:tcW w:w="4438" w:type="dxa"/>
            <w:vAlign w:val="center"/>
          </w:tcPr>
          <w:p w14:paraId="41F4E601">
            <w:pPr>
              <w:rPr>
                <w:rFonts w:ascii="宋体" w:eastAsia="宋体"/>
                <w:sz w:val="21"/>
                <w:szCs w:val="21"/>
              </w:rPr>
            </w:pPr>
            <w:r>
              <w:rPr>
                <w:rFonts w:hint="eastAsia" w:ascii="宋体" w:eastAsia="宋体"/>
                <w:sz w:val="21"/>
                <w:szCs w:val="21"/>
              </w:rPr>
              <w:t>装设接地线前不验电</w:t>
            </w:r>
          </w:p>
        </w:tc>
        <w:tc>
          <w:tcPr>
            <w:tcW w:w="3412" w:type="dxa"/>
            <w:vAlign w:val="center"/>
          </w:tcPr>
          <w:p w14:paraId="127EE276">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3FFA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1FE8E7F">
            <w:pPr>
              <w:numPr>
                <w:ilvl w:val="0"/>
                <w:numId w:val="15"/>
              </w:numPr>
              <w:spacing w:line="240" w:lineRule="auto"/>
              <w:jc w:val="both"/>
              <w:rPr>
                <w:rFonts w:ascii="宋体" w:eastAsia="宋体"/>
                <w:sz w:val="21"/>
                <w:szCs w:val="21"/>
              </w:rPr>
            </w:pPr>
          </w:p>
        </w:tc>
        <w:tc>
          <w:tcPr>
            <w:tcW w:w="4438" w:type="dxa"/>
            <w:vAlign w:val="center"/>
          </w:tcPr>
          <w:p w14:paraId="4EADC369">
            <w:pPr>
              <w:rPr>
                <w:rFonts w:ascii="宋体" w:eastAsia="宋体"/>
                <w:sz w:val="21"/>
                <w:szCs w:val="21"/>
              </w:rPr>
            </w:pPr>
            <w:r>
              <w:rPr>
                <w:rFonts w:hint="eastAsia" w:ascii="宋体" w:eastAsia="宋体"/>
                <w:sz w:val="21"/>
                <w:szCs w:val="21"/>
              </w:rPr>
              <w:t>生产现场临时用电未审批或乱拉乱接临时检修电源的</w:t>
            </w:r>
          </w:p>
        </w:tc>
        <w:tc>
          <w:tcPr>
            <w:tcW w:w="3412" w:type="dxa"/>
            <w:vAlign w:val="center"/>
          </w:tcPr>
          <w:p w14:paraId="10C1681A">
            <w:pPr>
              <w:rPr>
                <w:rFonts w:ascii="宋体" w:eastAsia="宋体"/>
                <w:sz w:val="21"/>
                <w:szCs w:val="21"/>
              </w:rPr>
            </w:pPr>
            <w:r>
              <w:rPr>
                <w:rFonts w:hint="eastAsia" w:ascii="宋体" w:eastAsia="宋体"/>
                <w:sz w:val="21"/>
                <w:szCs w:val="21"/>
              </w:rPr>
              <w:t>扣</w:t>
            </w:r>
            <w:r>
              <w:rPr>
                <w:rFonts w:ascii="宋体" w:eastAsia="宋体"/>
                <w:sz w:val="21"/>
                <w:szCs w:val="21"/>
              </w:rPr>
              <w:t>100元/次</w:t>
            </w:r>
          </w:p>
        </w:tc>
      </w:tr>
      <w:tr w14:paraId="543E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261B954">
            <w:pPr>
              <w:numPr>
                <w:ilvl w:val="0"/>
                <w:numId w:val="15"/>
              </w:numPr>
              <w:spacing w:line="240" w:lineRule="auto"/>
              <w:jc w:val="both"/>
              <w:rPr>
                <w:rFonts w:ascii="宋体" w:eastAsia="宋体"/>
                <w:sz w:val="21"/>
                <w:szCs w:val="21"/>
              </w:rPr>
            </w:pPr>
          </w:p>
        </w:tc>
        <w:tc>
          <w:tcPr>
            <w:tcW w:w="4438" w:type="dxa"/>
            <w:vAlign w:val="center"/>
          </w:tcPr>
          <w:p w14:paraId="1B3D2378">
            <w:pPr>
              <w:rPr>
                <w:rFonts w:ascii="宋体" w:eastAsia="宋体"/>
                <w:sz w:val="21"/>
                <w:szCs w:val="21"/>
              </w:rPr>
            </w:pPr>
            <w:r>
              <w:rPr>
                <w:rFonts w:hint="eastAsia" w:ascii="宋体" w:eastAsia="宋体"/>
                <w:sz w:val="21"/>
                <w:szCs w:val="21"/>
              </w:rPr>
              <w:t>生产现场平台、楼梯未设置栏杆、护脚板或设置不合格的，楼梯、平台踏板有破损或不齐全</w:t>
            </w:r>
          </w:p>
        </w:tc>
        <w:tc>
          <w:tcPr>
            <w:tcW w:w="3412" w:type="dxa"/>
            <w:vAlign w:val="center"/>
          </w:tcPr>
          <w:p w14:paraId="285132D6">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5BA1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EC1D122">
            <w:pPr>
              <w:numPr>
                <w:ilvl w:val="0"/>
                <w:numId w:val="15"/>
              </w:numPr>
              <w:spacing w:line="240" w:lineRule="auto"/>
              <w:jc w:val="both"/>
              <w:rPr>
                <w:rFonts w:ascii="宋体" w:eastAsia="宋体"/>
                <w:sz w:val="21"/>
                <w:szCs w:val="21"/>
              </w:rPr>
            </w:pPr>
          </w:p>
        </w:tc>
        <w:tc>
          <w:tcPr>
            <w:tcW w:w="4438" w:type="dxa"/>
            <w:vAlign w:val="center"/>
          </w:tcPr>
          <w:p w14:paraId="6D651D31">
            <w:pPr>
              <w:rPr>
                <w:rFonts w:ascii="宋体" w:eastAsia="宋体"/>
                <w:sz w:val="21"/>
                <w:szCs w:val="21"/>
              </w:rPr>
            </w:pPr>
            <w:r>
              <w:rPr>
                <w:rFonts w:hint="eastAsia" w:ascii="宋体" w:eastAsia="宋体"/>
                <w:sz w:val="21"/>
                <w:szCs w:val="21"/>
              </w:rPr>
              <w:t>各类机械转动部分无保护装置或保护装置不全</w:t>
            </w:r>
          </w:p>
        </w:tc>
        <w:tc>
          <w:tcPr>
            <w:tcW w:w="3412" w:type="dxa"/>
            <w:vAlign w:val="center"/>
          </w:tcPr>
          <w:p w14:paraId="50C0959F">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1F7A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9702E9C">
            <w:pPr>
              <w:numPr>
                <w:ilvl w:val="0"/>
                <w:numId w:val="15"/>
              </w:numPr>
              <w:spacing w:line="240" w:lineRule="auto"/>
              <w:jc w:val="both"/>
              <w:rPr>
                <w:rFonts w:ascii="宋体" w:eastAsia="宋体"/>
                <w:sz w:val="21"/>
                <w:szCs w:val="21"/>
              </w:rPr>
            </w:pPr>
          </w:p>
        </w:tc>
        <w:tc>
          <w:tcPr>
            <w:tcW w:w="4438" w:type="dxa"/>
            <w:vAlign w:val="center"/>
          </w:tcPr>
          <w:p w14:paraId="79D05DDA">
            <w:pPr>
              <w:rPr>
                <w:rFonts w:ascii="宋体" w:eastAsia="宋体"/>
                <w:sz w:val="21"/>
                <w:szCs w:val="21"/>
              </w:rPr>
            </w:pPr>
            <w:r>
              <w:rPr>
                <w:rFonts w:hint="eastAsia" w:ascii="宋体" w:eastAsia="宋体"/>
                <w:sz w:val="21"/>
                <w:szCs w:val="21"/>
              </w:rPr>
              <w:t>行车、输送皮带音响或色灯信号装置不全或损坏，不能发出警告</w:t>
            </w:r>
          </w:p>
        </w:tc>
        <w:tc>
          <w:tcPr>
            <w:tcW w:w="3412" w:type="dxa"/>
            <w:vAlign w:val="center"/>
          </w:tcPr>
          <w:p w14:paraId="6E3D3065">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4437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F7F3557">
            <w:pPr>
              <w:numPr>
                <w:ilvl w:val="0"/>
                <w:numId w:val="15"/>
              </w:numPr>
              <w:spacing w:line="240" w:lineRule="auto"/>
              <w:jc w:val="both"/>
              <w:rPr>
                <w:rFonts w:ascii="宋体" w:eastAsia="宋体"/>
                <w:sz w:val="21"/>
                <w:szCs w:val="21"/>
              </w:rPr>
            </w:pPr>
          </w:p>
        </w:tc>
        <w:tc>
          <w:tcPr>
            <w:tcW w:w="4438" w:type="dxa"/>
            <w:vAlign w:val="center"/>
          </w:tcPr>
          <w:p w14:paraId="04BD5301">
            <w:pPr>
              <w:rPr>
                <w:rFonts w:ascii="宋体" w:eastAsia="宋体"/>
                <w:sz w:val="21"/>
                <w:szCs w:val="21"/>
              </w:rPr>
            </w:pPr>
            <w:r>
              <w:rPr>
                <w:rFonts w:hint="eastAsia" w:ascii="宋体" w:eastAsia="宋体"/>
                <w:sz w:val="21"/>
                <w:szCs w:val="21"/>
              </w:rPr>
              <w:t>使用不合格的工器具</w:t>
            </w:r>
          </w:p>
        </w:tc>
        <w:tc>
          <w:tcPr>
            <w:tcW w:w="3412" w:type="dxa"/>
            <w:vAlign w:val="center"/>
          </w:tcPr>
          <w:p w14:paraId="42AD368D">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49F0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C51D577">
            <w:pPr>
              <w:numPr>
                <w:ilvl w:val="0"/>
                <w:numId w:val="15"/>
              </w:numPr>
              <w:spacing w:line="240" w:lineRule="auto"/>
              <w:jc w:val="both"/>
              <w:rPr>
                <w:rFonts w:ascii="宋体" w:eastAsia="宋体"/>
                <w:sz w:val="21"/>
                <w:szCs w:val="21"/>
              </w:rPr>
            </w:pPr>
          </w:p>
        </w:tc>
        <w:tc>
          <w:tcPr>
            <w:tcW w:w="4438" w:type="dxa"/>
            <w:vAlign w:val="center"/>
          </w:tcPr>
          <w:p w14:paraId="399A5567">
            <w:pPr>
              <w:rPr>
                <w:rFonts w:ascii="宋体" w:eastAsia="宋体"/>
                <w:sz w:val="21"/>
                <w:szCs w:val="21"/>
              </w:rPr>
            </w:pPr>
            <w:r>
              <w:rPr>
                <w:rFonts w:hint="eastAsia" w:ascii="宋体" w:eastAsia="宋体"/>
                <w:sz w:val="21"/>
                <w:szCs w:val="21"/>
              </w:rPr>
              <w:t>驾驶存在安全隐患的车辆（如制动失灵、喇叭、灯光指示故障等）</w:t>
            </w:r>
          </w:p>
        </w:tc>
        <w:tc>
          <w:tcPr>
            <w:tcW w:w="3412" w:type="dxa"/>
            <w:vAlign w:val="center"/>
          </w:tcPr>
          <w:p w14:paraId="1EAA7A91">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001AD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742E9AF">
            <w:pPr>
              <w:numPr>
                <w:ilvl w:val="0"/>
                <w:numId w:val="15"/>
              </w:numPr>
              <w:spacing w:line="240" w:lineRule="auto"/>
              <w:jc w:val="both"/>
              <w:rPr>
                <w:rFonts w:ascii="宋体" w:eastAsia="宋体"/>
                <w:sz w:val="21"/>
                <w:szCs w:val="21"/>
              </w:rPr>
            </w:pPr>
          </w:p>
        </w:tc>
        <w:tc>
          <w:tcPr>
            <w:tcW w:w="4438" w:type="dxa"/>
            <w:vAlign w:val="center"/>
          </w:tcPr>
          <w:p w14:paraId="7082228B">
            <w:pPr>
              <w:rPr>
                <w:rFonts w:ascii="宋体" w:eastAsia="宋体"/>
                <w:sz w:val="21"/>
                <w:szCs w:val="21"/>
              </w:rPr>
            </w:pPr>
            <w:r>
              <w:rPr>
                <w:rFonts w:hint="eastAsia" w:ascii="宋体" w:eastAsia="宋体"/>
                <w:sz w:val="21"/>
                <w:szCs w:val="21"/>
              </w:rPr>
              <w:t>容器内作业未使用安全电压行灯</w:t>
            </w:r>
          </w:p>
        </w:tc>
        <w:tc>
          <w:tcPr>
            <w:tcW w:w="3412" w:type="dxa"/>
            <w:vAlign w:val="center"/>
          </w:tcPr>
          <w:p w14:paraId="1A446136">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47966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C787445">
            <w:pPr>
              <w:numPr>
                <w:ilvl w:val="0"/>
                <w:numId w:val="15"/>
              </w:numPr>
              <w:spacing w:line="240" w:lineRule="auto"/>
              <w:jc w:val="both"/>
              <w:rPr>
                <w:rFonts w:ascii="宋体" w:eastAsia="宋体"/>
                <w:sz w:val="21"/>
                <w:szCs w:val="21"/>
              </w:rPr>
            </w:pPr>
          </w:p>
        </w:tc>
        <w:tc>
          <w:tcPr>
            <w:tcW w:w="4438" w:type="dxa"/>
            <w:vAlign w:val="center"/>
          </w:tcPr>
          <w:p w14:paraId="7DA07DDE">
            <w:pPr>
              <w:spacing w:line="420" w:lineRule="atLeast"/>
              <w:rPr>
                <w:rFonts w:ascii="宋体" w:eastAsia="宋体"/>
                <w:sz w:val="21"/>
                <w:szCs w:val="21"/>
              </w:rPr>
            </w:pPr>
            <w:r>
              <w:rPr>
                <w:rFonts w:hint="eastAsia" w:ascii="宋体" w:eastAsia="宋体"/>
                <w:sz w:val="21"/>
                <w:szCs w:val="21"/>
              </w:rPr>
              <w:t>高处作业随意抛掷工具、材料杂物、垃圾或造成施工现场污染</w:t>
            </w:r>
          </w:p>
        </w:tc>
        <w:tc>
          <w:tcPr>
            <w:tcW w:w="3412" w:type="dxa"/>
            <w:vAlign w:val="center"/>
          </w:tcPr>
          <w:p w14:paraId="225F1EE5">
            <w:pPr>
              <w:rPr>
                <w:rFonts w:ascii="宋体" w:eastAsia="宋体"/>
                <w:sz w:val="21"/>
                <w:szCs w:val="21"/>
              </w:rPr>
            </w:pPr>
            <w:r>
              <w:rPr>
                <w:rFonts w:hint="eastAsia" w:ascii="宋体" w:eastAsia="宋体"/>
                <w:sz w:val="21"/>
                <w:szCs w:val="21"/>
              </w:rPr>
              <w:t>扣</w:t>
            </w:r>
            <w:r>
              <w:rPr>
                <w:rFonts w:ascii="宋体" w:eastAsia="宋体"/>
                <w:sz w:val="21"/>
                <w:szCs w:val="21"/>
              </w:rPr>
              <w:t>50-100元/次</w:t>
            </w:r>
          </w:p>
        </w:tc>
      </w:tr>
      <w:tr w14:paraId="48DC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BF92BAE">
            <w:pPr>
              <w:numPr>
                <w:ilvl w:val="0"/>
                <w:numId w:val="15"/>
              </w:numPr>
              <w:spacing w:line="240" w:lineRule="auto"/>
              <w:jc w:val="both"/>
              <w:rPr>
                <w:rFonts w:ascii="宋体" w:eastAsia="宋体"/>
                <w:sz w:val="21"/>
                <w:szCs w:val="21"/>
              </w:rPr>
            </w:pPr>
          </w:p>
        </w:tc>
        <w:tc>
          <w:tcPr>
            <w:tcW w:w="4438" w:type="dxa"/>
            <w:vAlign w:val="center"/>
          </w:tcPr>
          <w:p w14:paraId="180D0B79">
            <w:pPr>
              <w:rPr>
                <w:rFonts w:ascii="宋体" w:eastAsia="宋体"/>
                <w:sz w:val="21"/>
                <w:szCs w:val="21"/>
              </w:rPr>
            </w:pPr>
            <w:r>
              <w:rPr>
                <w:rFonts w:hint="eastAsia" w:ascii="宋体" w:eastAsia="宋体"/>
                <w:sz w:val="21"/>
                <w:szCs w:val="21"/>
              </w:rPr>
              <w:t>因违反脚手架的使用、搭设、拆除、高空作业、有限空间作业、起重作业、电焊和气焊、工业气瓶的使用、储存、运输等相关管理规定或技术标准的，无明确考核适用条款的，视严重程度，扣</w:t>
            </w:r>
            <w:r>
              <w:rPr>
                <w:rFonts w:ascii="宋体" w:eastAsia="宋体"/>
                <w:sz w:val="21"/>
                <w:szCs w:val="21"/>
              </w:rPr>
              <w:t>50-500</w:t>
            </w:r>
            <w:r>
              <w:rPr>
                <w:rFonts w:hint="eastAsia" w:ascii="宋体" w:eastAsia="宋体"/>
                <w:sz w:val="21"/>
                <w:szCs w:val="21"/>
              </w:rPr>
              <w:t>元</w:t>
            </w:r>
            <w:r>
              <w:rPr>
                <w:rFonts w:ascii="宋体" w:eastAsia="宋体"/>
                <w:sz w:val="21"/>
                <w:szCs w:val="21"/>
              </w:rPr>
              <w:t>/次</w:t>
            </w:r>
          </w:p>
        </w:tc>
        <w:tc>
          <w:tcPr>
            <w:tcW w:w="3412" w:type="dxa"/>
            <w:vAlign w:val="center"/>
          </w:tcPr>
          <w:p w14:paraId="4FC5FB46">
            <w:pPr>
              <w:rPr>
                <w:rFonts w:ascii="宋体" w:eastAsia="宋体"/>
                <w:sz w:val="21"/>
                <w:szCs w:val="21"/>
              </w:rPr>
            </w:pPr>
            <w:r>
              <w:rPr>
                <w:rFonts w:hint="eastAsia" w:ascii="宋体" w:eastAsia="宋体"/>
                <w:sz w:val="21"/>
                <w:szCs w:val="21"/>
              </w:rPr>
              <w:t>扣</w:t>
            </w:r>
            <w:r>
              <w:rPr>
                <w:rFonts w:ascii="宋体" w:eastAsia="宋体"/>
                <w:sz w:val="21"/>
                <w:szCs w:val="21"/>
              </w:rPr>
              <w:t>50-500元/次</w:t>
            </w:r>
          </w:p>
        </w:tc>
      </w:tr>
      <w:tr w14:paraId="66D6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3A13186">
            <w:pPr>
              <w:numPr>
                <w:ilvl w:val="0"/>
                <w:numId w:val="15"/>
              </w:numPr>
              <w:spacing w:line="240" w:lineRule="auto"/>
              <w:jc w:val="both"/>
              <w:rPr>
                <w:rFonts w:ascii="宋体" w:eastAsia="宋体"/>
                <w:sz w:val="21"/>
                <w:szCs w:val="21"/>
              </w:rPr>
            </w:pPr>
          </w:p>
        </w:tc>
        <w:tc>
          <w:tcPr>
            <w:tcW w:w="4438" w:type="dxa"/>
            <w:vAlign w:val="center"/>
          </w:tcPr>
          <w:p w14:paraId="67DA36FC">
            <w:pPr>
              <w:rPr>
                <w:rFonts w:ascii="宋体" w:eastAsia="宋体"/>
                <w:sz w:val="21"/>
                <w:szCs w:val="21"/>
              </w:rPr>
            </w:pPr>
            <w:r>
              <w:rPr>
                <w:rFonts w:hint="eastAsia" w:ascii="宋体" w:eastAsia="宋体"/>
                <w:sz w:val="21"/>
                <w:szCs w:val="21"/>
              </w:rPr>
              <w:t>其他违章作业现象，视违章可能造成的后果严重程度</w:t>
            </w:r>
          </w:p>
        </w:tc>
        <w:tc>
          <w:tcPr>
            <w:tcW w:w="3412" w:type="dxa"/>
            <w:vAlign w:val="center"/>
          </w:tcPr>
          <w:p w14:paraId="294792D5">
            <w:pPr>
              <w:rPr>
                <w:rFonts w:ascii="宋体" w:eastAsia="宋体"/>
                <w:sz w:val="21"/>
                <w:szCs w:val="21"/>
              </w:rPr>
            </w:pPr>
            <w:r>
              <w:rPr>
                <w:rFonts w:hint="eastAsia" w:ascii="宋体" w:eastAsia="宋体"/>
                <w:sz w:val="21"/>
                <w:szCs w:val="21"/>
              </w:rPr>
              <w:t>扣</w:t>
            </w:r>
            <w:r>
              <w:rPr>
                <w:rFonts w:ascii="宋体" w:eastAsia="宋体"/>
                <w:sz w:val="21"/>
                <w:szCs w:val="21"/>
              </w:rPr>
              <w:t>50-500元/次</w:t>
            </w:r>
          </w:p>
        </w:tc>
      </w:tr>
      <w:tr w14:paraId="6397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8590" w:type="dxa"/>
            <w:gridSpan w:val="4"/>
            <w:vAlign w:val="center"/>
          </w:tcPr>
          <w:p w14:paraId="54197AA2">
            <w:pPr>
              <w:rPr>
                <w:rFonts w:ascii="宋体" w:eastAsia="宋体"/>
                <w:sz w:val="21"/>
                <w:szCs w:val="21"/>
              </w:rPr>
            </w:pPr>
            <w:r>
              <w:rPr>
                <w:rFonts w:hint="eastAsia" w:ascii="宋体" w:eastAsia="宋体"/>
                <w:b/>
                <w:sz w:val="21"/>
                <w:szCs w:val="21"/>
                <w:lang w:val="en-US" w:eastAsia="zh-CN"/>
              </w:rPr>
              <w:t>四</w:t>
            </w:r>
            <w:r>
              <w:rPr>
                <w:rFonts w:hint="eastAsia" w:ascii="宋体" w:eastAsia="宋体"/>
                <w:b/>
                <w:sz w:val="21"/>
                <w:szCs w:val="21"/>
              </w:rPr>
              <w:t>、辅助运行操作考核</w:t>
            </w:r>
          </w:p>
        </w:tc>
      </w:tr>
      <w:tr w14:paraId="6EA1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678BF6E">
            <w:pPr>
              <w:numPr>
                <w:ilvl w:val="0"/>
                <w:numId w:val="16"/>
              </w:numPr>
              <w:spacing w:line="240" w:lineRule="auto"/>
              <w:jc w:val="center"/>
              <w:rPr>
                <w:rFonts w:ascii="宋体" w:eastAsia="宋体"/>
                <w:sz w:val="21"/>
                <w:szCs w:val="21"/>
              </w:rPr>
            </w:pPr>
          </w:p>
        </w:tc>
        <w:tc>
          <w:tcPr>
            <w:tcW w:w="7881" w:type="dxa"/>
            <w:gridSpan w:val="3"/>
            <w:vAlign w:val="center"/>
          </w:tcPr>
          <w:p w14:paraId="2B507DB3">
            <w:pPr>
              <w:rPr>
                <w:rFonts w:ascii="宋体" w:eastAsia="宋体"/>
                <w:sz w:val="21"/>
                <w:szCs w:val="21"/>
              </w:rPr>
            </w:pPr>
            <w:r>
              <w:rPr>
                <w:rFonts w:hint="eastAsia" w:ascii="宋体" w:eastAsia="宋体"/>
                <w:sz w:val="21"/>
                <w:szCs w:val="21"/>
              </w:rPr>
              <w:t>未严格执行相关的运行规程和安全操作规程等管理规定，</w:t>
            </w:r>
            <w:r>
              <w:rPr>
                <w:rFonts w:ascii="宋体" w:eastAsia="宋体"/>
                <w:sz w:val="21"/>
                <w:szCs w:val="21"/>
              </w:rPr>
              <w:t>100-200元/</w:t>
            </w:r>
            <w:r>
              <w:rPr>
                <w:rFonts w:hint="eastAsia" w:ascii="宋体" w:eastAsia="宋体"/>
                <w:sz w:val="21"/>
                <w:szCs w:val="21"/>
              </w:rPr>
              <w:t>次。因违章操作造成后果的，按照考核金额的</w:t>
            </w:r>
            <w:r>
              <w:rPr>
                <w:rFonts w:ascii="宋体" w:eastAsia="宋体"/>
                <w:sz w:val="21"/>
                <w:szCs w:val="21"/>
              </w:rPr>
              <w:t>2-5倍进行考核。</w:t>
            </w:r>
          </w:p>
        </w:tc>
      </w:tr>
      <w:tr w14:paraId="6242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84E1FEA">
            <w:pPr>
              <w:numPr>
                <w:ilvl w:val="0"/>
                <w:numId w:val="16"/>
              </w:numPr>
              <w:spacing w:line="240" w:lineRule="auto"/>
              <w:jc w:val="center"/>
              <w:rPr>
                <w:rFonts w:ascii="宋体" w:eastAsia="宋体"/>
                <w:sz w:val="21"/>
                <w:szCs w:val="21"/>
              </w:rPr>
            </w:pPr>
          </w:p>
        </w:tc>
        <w:tc>
          <w:tcPr>
            <w:tcW w:w="7881" w:type="dxa"/>
            <w:gridSpan w:val="3"/>
            <w:vAlign w:val="center"/>
          </w:tcPr>
          <w:p w14:paraId="7B14F9EC">
            <w:pPr>
              <w:rPr>
                <w:rFonts w:ascii="宋体" w:eastAsia="宋体"/>
                <w:sz w:val="21"/>
                <w:szCs w:val="21"/>
              </w:rPr>
            </w:pPr>
            <w:r>
              <w:rPr>
                <w:rFonts w:hint="eastAsia" w:ascii="宋体" w:eastAsia="宋体"/>
                <w:sz w:val="21"/>
                <w:szCs w:val="21"/>
              </w:rPr>
              <w:t>设备缺陷不符合《设备缺陷管理》要求的（如未及时上报、登记、未确认签字，未验收等），扣</w:t>
            </w:r>
            <w:r>
              <w:rPr>
                <w:rFonts w:ascii="宋体" w:eastAsia="宋体"/>
                <w:sz w:val="21"/>
                <w:szCs w:val="21"/>
              </w:rPr>
              <w:t>50-200元/次。</w:t>
            </w:r>
          </w:p>
        </w:tc>
      </w:tr>
      <w:tr w14:paraId="0459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2AC9E814">
            <w:pPr>
              <w:numPr>
                <w:ilvl w:val="0"/>
                <w:numId w:val="16"/>
              </w:numPr>
              <w:spacing w:line="240" w:lineRule="auto"/>
              <w:jc w:val="center"/>
              <w:rPr>
                <w:rFonts w:ascii="宋体" w:eastAsia="宋体"/>
                <w:sz w:val="21"/>
                <w:szCs w:val="21"/>
              </w:rPr>
            </w:pPr>
          </w:p>
        </w:tc>
        <w:tc>
          <w:tcPr>
            <w:tcW w:w="7881" w:type="dxa"/>
            <w:gridSpan w:val="3"/>
            <w:vAlign w:val="center"/>
          </w:tcPr>
          <w:p w14:paraId="3EF3E5AC">
            <w:pPr>
              <w:rPr>
                <w:rFonts w:ascii="宋体" w:eastAsia="宋体"/>
                <w:sz w:val="21"/>
                <w:szCs w:val="21"/>
              </w:rPr>
            </w:pPr>
            <w:r>
              <w:rPr>
                <w:rFonts w:hint="eastAsia" w:ascii="宋体" w:eastAsia="宋体"/>
                <w:sz w:val="21"/>
                <w:szCs w:val="21"/>
              </w:rPr>
              <w:t>未严格执行巡回检查制度的，或巡回检查不仔细、巡回检查记录不完善等，扣</w:t>
            </w:r>
            <w:r>
              <w:rPr>
                <w:rFonts w:ascii="宋体" w:eastAsia="宋体"/>
                <w:sz w:val="21"/>
                <w:szCs w:val="21"/>
              </w:rPr>
              <w:t>50-200元/次。</w:t>
            </w:r>
          </w:p>
        </w:tc>
      </w:tr>
      <w:tr w14:paraId="30BF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6274B449">
            <w:pPr>
              <w:numPr>
                <w:ilvl w:val="0"/>
                <w:numId w:val="16"/>
              </w:numPr>
              <w:spacing w:line="240" w:lineRule="auto"/>
              <w:jc w:val="center"/>
              <w:rPr>
                <w:rFonts w:ascii="宋体" w:eastAsia="宋体"/>
                <w:sz w:val="21"/>
                <w:szCs w:val="21"/>
              </w:rPr>
            </w:pPr>
          </w:p>
        </w:tc>
        <w:tc>
          <w:tcPr>
            <w:tcW w:w="7881" w:type="dxa"/>
            <w:gridSpan w:val="3"/>
            <w:vAlign w:val="center"/>
          </w:tcPr>
          <w:p w14:paraId="57628827">
            <w:pPr>
              <w:rPr>
                <w:rFonts w:ascii="宋体" w:eastAsia="宋体"/>
                <w:sz w:val="21"/>
                <w:szCs w:val="21"/>
              </w:rPr>
            </w:pPr>
            <w:r>
              <w:rPr>
                <w:rFonts w:hint="eastAsia" w:ascii="宋体" w:eastAsia="宋体"/>
                <w:sz w:val="21"/>
                <w:szCs w:val="21"/>
              </w:rPr>
              <w:t>运行值班记录不清晰、不完整，或数据不实、随意涂改等情况，扣</w:t>
            </w:r>
            <w:r>
              <w:rPr>
                <w:rFonts w:ascii="宋体" w:eastAsia="宋体"/>
                <w:sz w:val="21"/>
                <w:szCs w:val="21"/>
              </w:rPr>
              <w:t>50-100元/</w:t>
            </w:r>
            <w:r>
              <w:rPr>
                <w:rFonts w:hint="eastAsia" w:ascii="宋体" w:eastAsia="宋体"/>
                <w:sz w:val="21"/>
                <w:szCs w:val="21"/>
              </w:rPr>
              <w:t>次。</w:t>
            </w:r>
          </w:p>
        </w:tc>
      </w:tr>
      <w:tr w14:paraId="4BB7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7E663D89">
            <w:pPr>
              <w:numPr>
                <w:ilvl w:val="0"/>
                <w:numId w:val="16"/>
              </w:numPr>
              <w:spacing w:line="240" w:lineRule="auto"/>
              <w:jc w:val="center"/>
              <w:rPr>
                <w:rFonts w:ascii="宋体" w:eastAsia="宋体"/>
                <w:sz w:val="21"/>
                <w:szCs w:val="21"/>
              </w:rPr>
            </w:pPr>
          </w:p>
        </w:tc>
        <w:tc>
          <w:tcPr>
            <w:tcW w:w="7881" w:type="dxa"/>
            <w:gridSpan w:val="3"/>
            <w:vAlign w:val="center"/>
          </w:tcPr>
          <w:p w14:paraId="14BFD3A4">
            <w:pPr>
              <w:rPr>
                <w:rFonts w:ascii="宋体" w:eastAsia="宋体"/>
                <w:sz w:val="21"/>
                <w:szCs w:val="21"/>
              </w:rPr>
            </w:pPr>
            <w:r>
              <w:rPr>
                <w:rFonts w:hint="eastAsia" w:ascii="宋体" w:eastAsia="宋体"/>
                <w:sz w:val="21"/>
                <w:szCs w:val="21"/>
              </w:rPr>
              <w:t>设备运行异常未分析或采取有效措施的，扣</w:t>
            </w:r>
            <w:r>
              <w:rPr>
                <w:rFonts w:ascii="宋体" w:eastAsia="宋体"/>
                <w:sz w:val="21"/>
                <w:szCs w:val="21"/>
              </w:rPr>
              <w:t>100-200元/次。</w:t>
            </w:r>
          </w:p>
        </w:tc>
      </w:tr>
      <w:tr w14:paraId="6BD0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4B178582">
            <w:pPr>
              <w:numPr>
                <w:ilvl w:val="0"/>
                <w:numId w:val="16"/>
              </w:numPr>
              <w:spacing w:line="240" w:lineRule="auto"/>
              <w:jc w:val="center"/>
              <w:rPr>
                <w:rFonts w:ascii="宋体" w:eastAsia="宋体"/>
                <w:sz w:val="21"/>
                <w:szCs w:val="21"/>
              </w:rPr>
            </w:pPr>
          </w:p>
        </w:tc>
        <w:tc>
          <w:tcPr>
            <w:tcW w:w="7881" w:type="dxa"/>
            <w:gridSpan w:val="3"/>
            <w:vAlign w:val="center"/>
          </w:tcPr>
          <w:p w14:paraId="2C9B2E62">
            <w:pPr>
              <w:rPr>
                <w:rFonts w:ascii="宋体" w:eastAsia="宋体"/>
                <w:sz w:val="21"/>
                <w:szCs w:val="21"/>
              </w:rPr>
            </w:pPr>
            <w:r>
              <w:rPr>
                <w:rFonts w:hint="eastAsia" w:ascii="宋体" w:eastAsia="宋体"/>
                <w:sz w:val="21"/>
                <w:szCs w:val="21"/>
              </w:rPr>
              <w:t>不执行招标人下达的生产指令的，扣</w:t>
            </w:r>
            <w:r>
              <w:rPr>
                <w:rFonts w:ascii="宋体" w:eastAsia="宋体"/>
                <w:sz w:val="21"/>
                <w:szCs w:val="21"/>
              </w:rPr>
              <w:t>100-300元/次。</w:t>
            </w:r>
          </w:p>
        </w:tc>
      </w:tr>
      <w:tr w14:paraId="678A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4F841508">
            <w:pPr>
              <w:numPr>
                <w:ilvl w:val="0"/>
                <w:numId w:val="16"/>
              </w:numPr>
              <w:spacing w:line="240" w:lineRule="auto"/>
              <w:jc w:val="center"/>
              <w:rPr>
                <w:rFonts w:ascii="宋体" w:eastAsia="宋体"/>
                <w:sz w:val="21"/>
                <w:szCs w:val="21"/>
              </w:rPr>
            </w:pPr>
          </w:p>
        </w:tc>
        <w:tc>
          <w:tcPr>
            <w:tcW w:w="7881" w:type="dxa"/>
            <w:gridSpan w:val="3"/>
            <w:vAlign w:val="center"/>
          </w:tcPr>
          <w:p w14:paraId="1248A544">
            <w:pPr>
              <w:rPr>
                <w:rFonts w:ascii="宋体" w:eastAsia="宋体"/>
                <w:sz w:val="21"/>
                <w:szCs w:val="21"/>
              </w:rPr>
            </w:pPr>
            <w:r>
              <w:rPr>
                <w:rFonts w:hint="eastAsia" w:ascii="宋体" w:eastAsia="宋体"/>
                <w:sz w:val="21"/>
                <w:szCs w:val="21"/>
              </w:rPr>
              <w:t>各类生产指令未及时完成或完成效果不符合要求的，扣</w:t>
            </w:r>
            <w:r>
              <w:rPr>
                <w:rFonts w:ascii="宋体" w:eastAsia="宋体"/>
                <w:sz w:val="21"/>
                <w:szCs w:val="21"/>
              </w:rPr>
              <w:t>100-300元/次。</w:t>
            </w:r>
          </w:p>
        </w:tc>
      </w:tr>
      <w:tr w14:paraId="17AB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632378EE">
            <w:pPr>
              <w:numPr>
                <w:ilvl w:val="0"/>
                <w:numId w:val="16"/>
              </w:numPr>
              <w:spacing w:line="240" w:lineRule="auto"/>
              <w:jc w:val="center"/>
              <w:rPr>
                <w:rFonts w:ascii="宋体" w:eastAsia="宋体"/>
                <w:sz w:val="21"/>
                <w:szCs w:val="21"/>
              </w:rPr>
            </w:pPr>
          </w:p>
        </w:tc>
        <w:tc>
          <w:tcPr>
            <w:tcW w:w="7881" w:type="dxa"/>
            <w:gridSpan w:val="3"/>
            <w:vAlign w:val="center"/>
          </w:tcPr>
          <w:p w14:paraId="1E8EA71E">
            <w:pPr>
              <w:rPr>
                <w:rFonts w:ascii="宋体" w:eastAsia="宋体"/>
                <w:sz w:val="21"/>
                <w:szCs w:val="21"/>
              </w:rPr>
            </w:pPr>
            <w:r>
              <w:rPr>
                <w:rFonts w:hint="eastAsia" w:ascii="宋体" w:eastAsia="宋体"/>
                <w:sz w:val="21"/>
                <w:szCs w:val="21"/>
              </w:rPr>
              <w:t>固废运输驾驶员擅自操作公司设备设施的，考核运输单位</w:t>
            </w:r>
            <w:r>
              <w:rPr>
                <w:rFonts w:ascii="宋体" w:eastAsia="宋体"/>
                <w:sz w:val="21"/>
                <w:szCs w:val="21"/>
              </w:rPr>
              <w:t>300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次，同时考核当班放灰人员</w:t>
            </w:r>
            <w:r>
              <w:rPr>
                <w:rFonts w:ascii="宋体" w:eastAsia="宋体"/>
                <w:sz w:val="21"/>
                <w:szCs w:val="21"/>
              </w:rPr>
              <w:t>50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w:t>
            </w:r>
          </w:p>
        </w:tc>
      </w:tr>
      <w:tr w14:paraId="7125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E5CD075">
            <w:pPr>
              <w:numPr>
                <w:ilvl w:val="0"/>
                <w:numId w:val="16"/>
              </w:numPr>
              <w:spacing w:line="240" w:lineRule="auto"/>
              <w:jc w:val="center"/>
              <w:rPr>
                <w:rFonts w:ascii="宋体" w:eastAsia="宋体"/>
                <w:sz w:val="21"/>
                <w:szCs w:val="21"/>
              </w:rPr>
            </w:pPr>
          </w:p>
        </w:tc>
        <w:tc>
          <w:tcPr>
            <w:tcW w:w="7881" w:type="dxa"/>
            <w:gridSpan w:val="3"/>
            <w:vAlign w:val="center"/>
          </w:tcPr>
          <w:p w14:paraId="46765672">
            <w:pPr>
              <w:rPr>
                <w:rFonts w:ascii="宋体" w:eastAsia="宋体"/>
                <w:sz w:val="21"/>
                <w:szCs w:val="21"/>
              </w:rPr>
            </w:pPr>
            <w:r>
              <w:rPr>
                <w:rFonts w:hint="eastAsia" w:ascii="宋体" w:eastAsia="宋体"/>
                <w:sz w:val="21"/>
                <w:szCs w:val="21"/>
              </w:rPr>
              <w:t>装载量超过车厢挡板的，考核当班放灰人员</w:t>
            </w:r>
            <w:r>
              <w:rPr>
                <w:rFonts w:ascii="宋体" w:eastAsia="宋体"/>
                <w:sz w:val="21"/>
                <w:szCs w:val="21"/>
              </w:rPr>
              <w:t>50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次。。造成抛洒现象追加考核工作人员</w:t>
            </w:r>
            <w:r>
              <w:rPr>
                <w:rFonts w:ascii="宋体" w:eastAsia="宋体"/>
                <w:sz w:val="21"/>
                <w:szCs w:val="21"/>
              </w:rPr>
              <w:t>50</w:t>
            </w:r>
            <w:r>
              <w:rPr>
                <w:rFonts w:hint="eastAsia" w:ascii="宋体" w:eastAsia="宋体"/>
                <w:sz w:val="21"/>
                <w:szCs w:val="21"/>
              </w:rPr>
              <w:t>元</w:t>
            </w:r>
            <w:r>
              <w:rPr>
                <w:rFonts w:ascii="宋体" w:eastAsia="宋体"/>
                <w:sz w:val="21"/>
                <w:szCs w:val="21"/>
              </w:rPr>
              <w:t>/</w:t>
            </w:r>
            <w:r>
              <w:rPr>
                <w:rFonts w:hint="eastAsia" w:ascii="宋体" w:eastAsia="宋体"/>
                <w:sz w:val="21"/>
                <w:szCs w:val="21"/>
              </w:rPr>
              <w:t>次，并由责任人负责清扫。</w:t>
            </w:r>
          </w:p>
        </w:tc>
      </w:tr>
      <w:tr w14:paraId="69CE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079B7E39">
            <w:pPr>
              <w:numPr>
                <w:ilvl w:val="0"/>
                <w:numId w:val="16"/>
              </w:numPr>
              <w:spacing w:line="240" w:lineRule="auto"/>
              <w:jc w:val="center"/>
              <w:rPr>
                <w:rFonts w:ascii="宋体" w:eastAsia="宋体"/>
                <w:sz w:val="21"/>
                <w:szCs w:val="21"/>
              </w:rPr>
            </w:pPr>
          </w:p>
        </w:tc>
        <w:tc>
          <w:tcPr>
            <w:tcW w:w="7881" w:type="dxa"/>
            <w:gridSpan w:val="3"/>
            <w:vAlign w:val="center"/>
          </w:tcPr>
          <w:p w14:paraId="1F0321F0">
            <w:pPr>
              <w:rPr>
                <w:rFonts w:ascii="宋体" w:eastAsia="宋体"/>
                <w:sz w:val="21"/>
                <w:szCs w:val="21"/>
              </w:rPr>
            </w:pPr>
            <w:r>
              <w:rPr>
                <w:rFonts w:hint="eastAsia" w:ascii="宋体" w:eastAsia="宋体"/>
                <w:sz w:val="21"/>
                <w:szCs w:val="21"/>
              </w:rPr>
              <w:t>有打架、斗殴、谩骂、赌等不良行为的，视情节轻重，考核</w:t>
            </w:r>
            <w:r>
              <w:rPr>
                <w:rFonts w:ascii="宋体" w:eastAsia="宋体"/>
                <w:sz w:val="21"/>
                <w:szCs w:val="21"/>
              </w:rPr>
              <w:t>100</w:t>
            </w:r>
            <w:r>
              <w:rPr>
                <w:rFonts w:hint="eastAsia" w:ascii="宋体" w:eastAsia="宋体"/>
                <w:sz w:val="21"/>
                <w:szCs w:val="21"/>
              </w:rPr>
              <w:t>－</w:t>
            </w:r>
            <w:r>
              <w:rPr>
                <w:rFonts w:ascii="宋体" w:eastAsia="宋体"/>
                <w:sz w:val="21"/>
                <w:szCs w:val="21"/>
              </w:rPr>
              <w:t>1000</w:t>
            </w:r>
            <w:r>
              <w:rPr>
                <w:rFonts w:hint="eastAsia" w:ascii="宋体" w:eastAsia="宋体"/>
                <w:sz w:val="21"/>
                <w:szCs w:val="21"/>
              </w:rPr>
              <w:t>元。</w:t>
            </w:r>
          </w:p>
        </w:tc>
      </w:tr>
      <w:tr w14:paraId="758B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0524DB23">
            <w:pPr>
              <w:numPr>
                <w:ilvl w:val="0"/>
                <w:numId w:val="16"/>
              </w:numPr>
              <w:spacing w:line="240" w:lineRule="auto"/>
              <w:jc w:val="center"/>
              <w:rPr>
                <w:rFonts w:ascii="宋体" w:eastAsia="宋体"/>
                <w:sz w:val="21"/>
                <w:szCs w:val="21"/>
              </w:rPr>
            </w:pPr>
          </w:p>
        </w:tc>
        <w:tc>
          <w:tcPr>
            <w:tcW w:w="7881" w:type="dxa"/>
            <w:gridSpan w:val="3"/>
            <w:vAlign w:val="center"/>
          </w:tcPr>
          <w:p w14:paraId="1E86CAB3">
            <w:pPr>
              <w:rPr>
                <w:rFonts w:ascii="宋体" w:eastAsia="宋体"/>
                <w:sz w:val="21"/>
                <w:szCs w:val="21"/>
              </w:rPr>
            </w:pPr>
            <w:r>
              <w:rPr>
                <w:rFonts w:ascii="宋体" w:eastAsia="宋体"/>
                <w:sz w:val="21"/>
                <w:szCs w:val="21"/>
              </w:rPr>
              <w:t>投标人存在监督管理不到位的，按照考核金额的10-50%进行考核。</w:t>
            </w:r>
          </w:p>
        </w:tc>
      </w:tr>
      <w:tr w14:paraId="01FF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6995E31F">
            <w:pPr>
              <w:numPr>
                <w:ilvl w:val="0"/>
                <w:numId w:val="16"/>
              </w:numPr>
              <w:spacing w:line="240" w:lineRule="auto"/>
              <w:jc w:val="center"/>
              <w:rPr>
                <w:rFonts w:ascii="宋体" w:eastAsia="宋体"/>
                <w:sz w:val="21"/>
                <w:szCs w:val="21"/>
              </w:rPr>
            </w:pPr>
          </w:p>
        </w:tc>
        <w:tc>
          <w:tcPr>
            <w:tcW w:w="7881" w:type="dxa"/>
            <w:gridSpan w:val="3"/>
            <w:vAlign w:val="center"/>
          </w:tcPr>
          <w:p w14:paraId="35D33C72">
            <w:pPr>
              <w:rPr>
                <w:rFonts w:ascii="宋体" w:eastAsia="宋体"/>
                <w:sz w:val="21"/>
                <w:szCs w:val="21"/>
              </w:rPr>
            </w:pPr>
            <w:r>
              <w:rPr>
                <w:rFonts w:ascii="宋体" w:eastAsia="宋体"/>
                <w:sz w:val="21"/>
                <w:szCs w:val="21"/>
              </w:rPr>
              <w:t>投标人故意包庇、隐瞒各类违章事件的，视情节严重程度，考核100-1000元/次。</w:t>
            </w:r>
          </w:p>
        </w:tc>
      </w:tr>
      <w:tr w14:paraId="4F9E4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456AB4C4">
            <w:pPr>
              <w:numPr>
                <w:ilvl w:val="0"/>
                <w:numId w:val="16"/>
              </w:numPr>
              <w:spacing w:line="240" w:lineRule="auto"/>
              <w:jc w:val="center"/>
              <w:rPr>
                <w:rFonts w:ascii="宋体" w:eastAsia="宋体"/>
                <w:sz w:val="21"/>
                <w:szCs w:val="21"/>
              </w:rPr>
            </w:pPr>
          </w:p>
        </w:tc>
        <w:tc>
          <w:tcPr>
            <w:tcW w:w="7881" w:type="dxa"/>
            <w:gridSpan w:val="3"/>
            <w:vAlign w:val="center"/>
          </w:tcPr>
          <w:p w14:paraId="6F4A937B">
            <w:pPr>
              <w:rPr>
                <w:rFonts w:ascii="宋体" w:eastAsia="宋体"/>
                <w:sz w:val="21"/>
                <w:szCs w:val="21"/>
              </w:rPr>
            </w:pPr>
            <w:r>
              <w:rPr>
                <w:rFonts w:hint="eastAsia" w:ascii="宋体" w:eastAsia="宋体"/>
                <w:sz w:val="21"/>
                <w:szCs w:val="21"/>
              </w:rPr>
              <w:t>因操作运行原因造成设备、沟道等堵塞、满溢，每次扣</w:t>
            </w:r>
            <w:r>
              <w:rPr>
                <w:rFonts w:ascii="宋体" w:eastAsia="宋体"/>
                <w:sz w:val="21"/>
                <w:szCs w:val="21"/>
              </w:rPr>
              <w:t>100-200元/次，并负责或配合清理。</w:t>
            </w:r>
          </w:p>
        </w:tc>
      </w:tr>
      <w:tr w14:paraId="7CDC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2C5E9294">
            <w:pPr>
              <w:numPr>
                <w:ilvl w:val="0"/>
                <w:numId w:val="16"/>
              </w:numPr>
              <w:spacing w:line="240" w:lineRule="auto"/>
              <w:jc w:val="center"/>
              <w:rPr>
                <w:rFonts w:ascii="宋体" w:eastAsia="宋体"/>
                <w:sz w:val="21"/>
                <w:szCs w:val="21"/>
              </w:rPr>
            </w:pPr>
          </w:p>
        </w:tc>
        <w:tc>
          <w:tcPr>
            <w:tcW w:w="7881" w:type="dxa"/>
            <w:gridSpan w:val="3"/>
            <w:vAlign w:val="center"/>
          </w:tcPr>
          <w:p w14:paraId="4D488417">
            <w:pPr>
              <w:rPr>
                <w:rFonts w:ascii="宋体" w:eastAsia="宋体"/>
                <w:sz w:val="21"/>
                <w:szCs w:val="21"/>
              </w:rPr>
            </w:pPr>
            <w:r>
              <w:rPr>
                <w:rFonts w:hint="eastAsia" w:ascii="宋体" w:eastAsia="宋体"/>
                <w:sz w:val="21"/>
                <w:szCs w:val="21"/>
              </w:rPr>
              <w:t>异常情况处置不妥当或运行（操作）人员不熟悉应急处置流程造成事故（事件）扩大的，视情节严重程度，考核</w:t>
            </w:r>
            <w:r>
              <w:rPr>
                <w:rFonts w:ascii="宋体" w:eastAsia="宋体"/>
                <w:sz w:val="21"/>
                <w:szCs w:val="21"/>
              </w:rPr>
              <w:t>200-2000元。</w:t>
            </w:r>
          </w:p>
        </w:tc>
      </w:tr>
      <w:tr w14:paraId="32A6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4D12A74">
            <w:pPr>
              <w:numPr>
                <w:ilvl w:val="0"/>
                <w:numId w:val="16"/>
              </w:numPr>
              <w:spacing w:line="240" w:lineRule="auto"/>
              <w:jc w:val="center"/>
              <w:rPr>
                <w:rFonts w:ascii="宋体" w:eastAsia="宋体"/>
                <w:sz w:val="21"/>
                <w:szCs w:val="21"/>
              </w:rPr>
            </w:pPr>
          </w:p>
        </w:tc>
        <w:tc>
          <w:tcPr>
            <w:tcW w:w="7881" w:type="dxa"/>
            <w:gridSpan w:val="3"/>
            <w:vAlign w:val="center"/>
          </w:tcPr>
          <w:p w14:paraId="6C4E64A5">
            <w:pPr>
              <w:rPr>
                <w:rFonts w:ascii="宋体" w:eastAsia="宋体"/>
                <w:sz w:val="21"/>
                <w:szCs w:val="21"/>
              </w:rPr>
            </w:pPr>
            <w:r>
              <w:rPr>
                <w:rFonts w:hint="eastAsia" w:ascii="宋体" w:eastAsia="宋体"/>
                <w:sz w:val="21"/>
                <w:szCs w:val="21"/>
              </w:rPr>
              <w:t>违反招标人或兰电方其他管理规定的，按照其管理规定进行考核。</w:t>
            </w:r>
          </w:p>
        </w:tc>
      </w:tr>
      <w:tr w14:paraId="4448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8590" w:type="dxa"/>
            <w:gridSpan w:val="4"/>
            <w:vAlign w:val="center"/>
          </w:tcPr>
          <w:p w14:paraId="6525E96D">
            <w:pPr>
              <w:rPr>
                <w:rFonts w:ascii="宋体" w:eastAsia="宋体"/>
                <w:sz w:val="21"/>
                <w:szCs w:val="21"/>
              </w:rPr>
            </w:pPr>
            <w:r>
              <w:rPr>
                <w:rFonts w:hint="eastAsia" w:ascii="宋体" w:eastAsia="宋体"/>
                <w:b/>
                <w:sz w:val="21"/>
                <w:szCs w:val="21"/>
                <w:lang w:val="en-US" w:eastAsia="zh-CN"/>
              </w:rPr>
              <w:t>五</w:t>
            </w:r>
            <w:r>
              <w:rPr>
                <w:rFonts w:hint="eastAsia" w:ascii="宋体" w:eastAsia="宋体"/>
                <w:b/>
                <w:sz w:val="21"/>
                <w:szCs w:val="21"/>
              </w:rPr>
              <w:t>、检维修考核</w:t>
            </w:r>
          </w:p>
        </w:tc>
      </w:tr>
      <w:tr w14:paraId="529B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0BB85FCA">
            <w:pPr>
              <w:numPr>
                <w:ilvl w:val="0"/>
                <w:numId w:val="16"/>
              </w:numPr>
              <w:spacing w:line="240" w:lineRule="auto"/>
              <w:jc w:val="center"/>
              <w:rPr>
                <w:rFonts w:ascii="宋体" w:eastAsia="宋体"/>
                <w:sz w:val="21"/>
                <w:szCs w:val="21"/>
              </w:rPr>
            </w:pPr>
          </w:p>
        </w:tc>
        <w:tc>
          <w:tcPr>
            <w:tcW w:w="7881" w:type="dxa"/>
            <w:gridSpan w:val="3"/>
            <w:vAlign w:val="center"/>
          </w:tcPr>
          <w:p w14:paraId="499C31AE">
            <w:pPr>
              <w:rPr>
                <w:rFonts w:ascii="宋体" w:eastAsia="宋体"/>
                <w:sz w:val="21"/>
                <w:szCs w:val="21"/>
              </w:rPr>
            </w:pPr>
            <w:r>
              <w:rPr>
                <w:rFonts w:hint="eastAsia" w:ascii="宋体" w:eastAsia="宋体"/>
                <w:sz w:val="21"/>
                <w:szCs w:val="21"/>
              </w:rPr>
              <w:t>检维修作业未严格执行检维修操作规程的，考核</w:t>
            </w:r>
            <w:r>
              <w:rPr>
                <w:rFonts w:ascii="宋体" w:eastAsia="宋体"/>
                <w:sz w:val="21"/>
                <w:szCs w:val="21"/>
              </w:rPr>
              <w:t>100-200元/</w:t>
            </w:r>
            <w:r>
              <w:rPr>
                <w:rFonts w:hint="eastAsia" w:ascii="宋体" w:eastAsia="宋体"/>
                <w:sz w:val="21"/>
                <w:szCs w:val="21"/>
              </w:rPr>
              <w:t>次。因违章操作造成后果的，按照考核金额的</w:t>
            </w:r>
            <w:r>
              <w:rPr>
                <w:rFonts w:ascii="宋体" w:eastAsia="宋体"/>
                <w:sz w:val="21"/>
                <w:szCs w:val="21"/>
              </w:rPr>
              <w:t>2-5倍进行考核。</w:t>
            </w:r>
          </w:p>
        </w:tc>
      </w:tr>
      <w:tr w14:paraId="1E45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68DEAEF3">
            <w:pPr>
              <w:numPr>
                <w:ilvl w:val="0"/>
                <w:numId w:val="16"/>
              </w:numPr>
              <w:spacing w:line="240" w:lineRule="auto"/>
              <w:jc w:val="center"/>
              <w:rPr>
                <w:rFonts w:ascii="宋体" w:eastAsia="宋体"/>
                <w:sz w:val="21"/>
                <w:szCs w:val="21"/>
              </w:rPr>
            </w:pPr>
          </w:p>
        </w:tc>
        <w:tc>
          <w:tcPr>
            <w:tcW w:w="7881" w:type="dxa"/>
            <w:gridSpan w:val="3"/>
            <w:vAlign w:val="center"/>
          </w:tcPr>
          <w:p w14:paraId="5F268BD0">
            <w:pPr>
              <w:rPr>
                <w:rFonts w:ascii="宋体" w:eastAsia="宋体"/>
                <w:sz w:val="21"/>
                <w:szCs w:val="21"/>
              </w:rPr>
            </w:pPr>
            <w:r>
              <w:rPr>
                <w:rFonts w:hint="eastAsia" w:ascii="宋体" w:eastAsia="宋体"/>
                <w:sz w:val="21"/>
                <w:szCs w:val="21"/>
              </w:rPr>
              <w:t>设备检修过程中由于投标人操作不当造成设备损坏或造成环境污染的，视情节严重，考核</w:t>
            </w:r>
            <w:r>
              <w:rPr>
                <w:rFonts w:ascii="宋体" w:eastAsia="宋体"/>
                <w:sz w:val="21"/>
                <w:szCs w:val="21"/>
              </w:rPr>
              <w:t>300-2000元。</w:t>
            </w:r>
          </w:p>
        </w:tc>
      </w:tr>
      <w:tr w14:paraId="279E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7EFCC7C2">
            <w:pPr>
              <w:numPr>
                <w:ilvl w:val="0"/>
                <w:numId w:val="16"/>
              </w:numPr>
              <w:spacing w:line="240" w:lineRule="auto"/>
              <w:jc w:val="center"/>
              <w:rPr>
                <w:rFonts w:ascii="宋体" w:eastAsia="宋体"/>
                <w:sz w:val="21"/>
                <w:szCs w:val="21"/>
              </w:rPr>
            </w:pPr>
          </w:p>
        </w:tc>
        <w:tc>
          <w:tcPr>
            <w:tcW w:w="7881" w:type="dxa"/>
            <w:gridSpan w:val="3"/>
            <w:vAlign w:val="center"/>
          </w:tcPr>
          <w:p w14:paraId="13B499AF">
            <w:pPr>
              <w:rPr>
                <w:rFonts w:ascii="宋体" w:eastAsia="宋体"/>
                <w:sz w:val="21"/>
                <w:szCs w:val="21"/>
              </w:rPr>
            </w:pPr>
            <w:r>
              <w:rPr>
                <w:rFonts w:hint="eastAsia" w:ascii="宋体" w:eastAsia="宋体"/>
                <w:sz w:val="21"/>
                <w:szCs w:val="21"/>
              </w:rPr>
              <w:t>设备检修操作过程中由于投标人操作不当发生不安全事件的，视情节严重，考核</w:t>
            </w:r>
            <w:r>
              <w:rPr>
                <w:rFonts w:ascii="宋体" w:eastAsia="宋体"/>
                <w:sz w:val="21"/>
                <w:szCs w:val="21"/>
              </w:rPr>
              <w:t>300-2000元。</w:t>
            </w:r>
            <w:r>
              <w:rPr>
                <w:rFonts w:hint="eastAsia" w:ascii="宋体" w:eastAsia="宋体"/>
                <w:sz w:val="21"/>
                <w:szCs w:val="21"/>
              </w:rPr>
              <w:t>。</w:t>
            </w:r>
          </w:p>
        </w:tc>
      </w:tr>
      <w:tr w14:paraId="6B5C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6D6A1806">
            <w:pPr>
              <w:numPr>
                <w:ilvl w:val="0"/>
                <w:numId w:val="16"/>
              </w:numPr>
              <w:spacing w:line="240" w:lineRule="auto"/>
              <w:jc w:val="center"/>
              <w:rPr>
                <w:rFonts w:ascii="宋体" w:eastAsia="宋体"/>
                <w:sz w:val="21"/>
                <w:szCs w:val="21"/>
              </w:rPr>
            </w:pPr>
          </w:p>
        </w:tc>
        <w:tc>
          <w:tcPr>
            <w:tcW w:w="7881" w:type="dxa"/>
            <w:gridSpan w:val="3"/>
            <w:vAlign w:val="center"/>
          </w:tcPr>
          <w:p w14:paraId="1379F8DF">
            <w:pPr>
              <w:rPr>
                <w:rFonts w:ascii="宋体" w:eastAsia="宋体"/>
                <w:sz w:val="21"/>
                <w:szCs w:val="21"/>
              </w:rPr>
            </w:pPr>
            <w:r>
              <w:rPr>
                <w:rFonts w:hint="eastAsia" w:ascii="宋体" w:eastAsia="宋体"/>
                <w:sz w:val="21"/>
                <w:szCs w:val="21"/>
              </w:rPr>
              <w:t>设备检修结束后未做到工完料尽场地清，考核</w:t>
            </w:r>
            <w:r>
              <w:rPr>
                <w:rFonts w:ascii="宋体" w:eastAsia="宋体"/>
                <w:sz w:val="21"/>
                <w:szCs w:val="21"/>
              </w:rPr>
              <w:t>100-200元/次。</w:t>
            </w:r>
          </w:p>
        </w:tc>
      </w:tr>
      <w:tr w14:paraId="5D62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4712D8F2">
            <w:pPr>
              <w:numPr>
                <w:ilvl w:val="0"/>
                <w:numId w:val="16"/>
              </w:numPr>
              <w:spacing w:line="240" w:lineRule="auto"/>
              <w:jc w:val="center"/>
              <w:rPr>
                <w:rFonts w:ascii="宋体" w:eastAsia="宋体"/>
                <w:sz w:val="21"/>
                <w:szCs w:val="21"/>
              </w:rPr>
            </w:pPr>
          </w:p>
        </w:tc>
        <w:tc>
          <w:tcPr>
            <w:tcW w:w="7881" w:type="dxa"/>
            <w:gridSpan w:val="3"/>
            <w:vAlign w:val="center"/>
          </w:tcPr>
          <w:p w14:paraId="2AD30358">
            <w:pPr>
              <w:rPr>
                <w:rFonts w:ascii="宋体" w:eastAsia="宋体"/>
                <w:sz w:val="21"/>
                <w:szCs w:val="21"/>
              </w:rPr>
            </w:pPr>
            <w:r>
              <w:rPr>
                <w:rFonts w:hint="eastAsia" w:ascii="宋体" w:eastAsia="宋体"/>
                <w:sz w:val="21"/>
                <w:szCs w:val="21"/>
              </w:rPr>
              <w:t>投标人值班人员在收到招标人通知后不能按时到现场处理缺陷的，考核</w:t>
            </w:r>
            <w:r>
              <w:rPr>
                <w:rFonts w:ascii="宋体" w:eastAsia="宋体"/>
                <w:sz w:val="21"/>
                <w:szCs w:val="21"/>
              </w:rPr>
              <w:t>100-200元/次。未按照规定时限完成消缺的，扣200-500元</w:t>
            </w:r>
            <w:r>
              <w:rPr>
                <w:rFonts w:hint="eastAsia" w:ascii="宋体" w:eastAsia="宋体"/>
                <w:sz w:val="21"/>
                <w:szCs w:val="21"/>
              </w:rPr>
              <w:t>。</w:t>
            </w:r>
          </w:p>
        </w:tc>
      </w:tr>
      <w:tr w14:paraId="494F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7DB5135A">
            <w:pPr>
              <w:numPr>
                <w:ilvl w:val="0"/>
                <w:numId w:val="16"/>
              </w:numPr>
              <w:spacing w:line="240" w:lineRule="auto"/>
              <w:jc w:val="center"/>
              <w:rPr>
                <w:rFonts w:ascii="宋体" w:eastAsia="宋体"/>
                <w:sz w:val="21"/>
                <w:szCs w:val="21"/>
              </w:rPr>
            </w:pPr>
          </w:p>
        </w:tc>
        <w:tc>
          <w:tcPr>
            <w:tcW w:w="7881" w:type="dxa"/>
            <w:gridSpan w:val="3"/>
            <w:vAlign w:val="center"/>
          </w:tcPr>
          <w:p w14:paraId="74BB4958">
            <w:pPr>
              <w:rPr>
                <w:rFonts w:ascii="宋体" w:eastAsia="宋体"/>
                <w:sz w:val="21"/>
                <w:szCs w:val="21"/>
              </w:rPr>
            </w:pPr>
            <w:r>
              <w:rPr>
                <w:rFonts w:hint="eastAsia" w:ascii="宋体" w:eastAsia="宋体"/>
                <w:sz w:val="21"/>
                <w:szCs w:val="21"/>
              </w:rPr>
              <w:t>由于投标人检修质量、消缺不及时或重复消缺，造成车间停产或减产的按以下规定进行考核：</w:t>
            </w:r>
            <w:r>
              <w:rPr>
                <w:rFonts w:ascii="宋体" w:eastAsia="宋体"/>
                <w:sz w:val="21"/>
                <w:szCs w:val="21"/>
              </w:rPr>
              <w:t>1）不影响电厂机组正常运行和公司正常生产经营的，考核200-500元；2）影响电厂机组正常运行和公司正常生产经营的，按照“设备事故”进行考核。</w:t>
            </w:r>
          </w:p>
        </w:tc>
      </w:tr>
      <w:tr w14:paraId="5A1B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8590" w:type="dxa"/>
            <w:gridSpan w:val="4"/>
            <w:vAlign w:val="center"/>
          </w:tcPr>
          <w:p w14:paraId="3247BD26">
            <w:pPr>
              <w:rPr>
                <w:rFonts w:ascii="宋体" w:eastAsia="宋体"/>
                <w:sz w:val="21"/>
                <w:szCs w:val="21"/>
              </w:rPr>
            </w:pPr>
            <w:r>
              <w:rPr>
                <w:rFonts w:hint="eastAsia" w:ascii="宋体" w:eastAsia="宋体"/>
                <w:b/>
                <w:sz w:val="21"/>
                <w:szCs w:val="21"/>
                <w:lang w:val="en-US" w:eastAsia="zh-CN"/>
              </w:rPr>
              <w:t>六</w:t>
            </w:r>
            <w:r>
              <w:rPr>
                <w:rFonts w:hint="eastAsia" w:ascii="宋体" w:eastAsia="宋体"/>
                <w:b/>
                <w:sz w:val="21"/>
                <w:szCs w:val="21"/>
              </w:rPr>
              <w:t>、其他</w:t>
            </w:r>
          </w:p>
        </w:tc>
      </w:tr>
      <w:tr w14:paraId="1FF0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3E300A67">
            <w:pPr>
              <w:numPr>
                <w:ilvl w:val="0"/>
                <w:numId w:val="16"/>
              </w:numPr>
              <w:spacing w:line="240" w:lineRule="auto"/>
              <w:jc w:val="center"/>
              <w:rPr>
                <w:rFonts w:ascii="宋体" w:eastAsia="宋体"/>
                <w:sz w:val="21"/>
                <w:szCs w:val="21"/>
              </w:rPr>
            </w:pPr>
          </w:p>
        </w:tc>
        <w:tc>
          <w:tcPr>
            <w:tcW w:w="7881" w:type="dxa"/>
            <w:gridSpan w:val="3"/>
            <w:vAlign w:val="center"/>
          </w:tcPr>
          <w:p w14:paraId="2A2B7D19">
            <w:pPr>
              <w:rPr>
                <w:rFonts w:ascii="宋体" w:eastAsia="宋体"/>
                <w:b/>
                <w:sz w:val="21"/>
                <w:szCs w:val="21"/>
              </w:rPr>
            </w:pPr>
            <w:r>
              <w:rPr>
                <w:rFonts w:hint="eastAsia" w:ascii="宋体" w:eastAsia="宋体"/>
                <w:sz w:val="21"/>
                <w:szCs w:val="21"/>
              </w:rPr>
              <w:t>甲方有关规章制度，同时适用本考核标准所列的行为（事件），甲方有权按最严考核条款执行，但不进行重复考核</w:t>
            </w:r>
          </w:p>
        </w:tc>
      </w:tr>
      <w:tr w14:paraId="12F2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38" w:hRule="atLeast"/>
          <w:jc w:val="center"/>
        </w:trPr>
        <w:tc>
          <w:tcPr>
            <w:tcW w:w="709" w:type="dxa"/>
            <w:vAlign w:val="center"/>
          </w:tcPr>
          <w:p w14:paraId="52F203E3">
            <w:pPr>
              <w:numPr>
                <w:ilvl w:val="0"/>
                <w:numId w:val="16"/>
              </w:numPr>
              <w:spacing w:line="240" w:lineRule="auto"/>
              <w:jc w:val="center"/>
              <w:rPr>
                <w:rFonts w:ascii="宋体" w:eastAsia="宋体"/>
                <w:sz w:val="21"/>
                <w:szCs w:val="21"/>
              </w:rPr>
            </w:pPr>
          </w:p>
        </w:tc>
        <w:tc>
          <w:tcPr>
            <w:tcW w:w="7881" w:type="dxa"/>
            <w:gridSpan w:val="3"/>
            <w:vAlign w:val="center"/>
          </w:tcPr>
          <w:p w14:paraId="50ED6A9D">
            <w:pPr>
              <w:rPr>
                <w:rFonts w:ascii="宋体" w:eastAsia="宋体"/>
                <w:b/>
                <w:sz w:val="21"/>
                <w:szCs w:val="21"/>
              </w:rPr>
            </w:pPr>
            <w:r>
              <w:rPr>
                <w:rFonts w:hint="eastAsia" w:ascii="宋体" w:eastAsia="宋体"/>
                <w:sz w:val="21"/>
                <w:szCs w:val="21"/>
              </w:rPr>
              <w:t>发生重复违章的，按照上次违章考核金额的</w:t>
            </w:r>
            <w:r>
              <w:rPr>
                <w:rFonts w:ascii="宋体" w:eastAsia="宋体"/>
                <w:sz w:val="21"/>
                <w:szCs w:val="21"/>
              </w:rPr>
              <w:t>2倍处理</w:t>
            </w:r>
          </w:p>
        </w:tc>
      </w:tr>
      <w:tr w14:paraId="631F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38" w:hRule="atLeast"/>
          <w:jc w:val="center"/>
        </w:trPr>
        <w:tc>
          <w:tcPr>
            <w:tcW w:w="709" w:type="dxa"/>
            <w:vAlign w:val="center"/>
          </w:tcPr>
          <w:p w14:paraId="619BF81A">
            <w:pPr>
              <w:numPr>
                <w:ilvl w:val="0"/>
                <w:numId w:val="16"/>
              </w:numPr>
              <w:spacing w:line="240" w:lineRule="auto"/>
              <w:jc w:val="center"/>
              <w:rPr>
                <w:rFonts w:ascii="宋体" w:eastAsia="宋体"/>
                <w:sz w:val="21"/>
                <w:szCs w:val="21"/>
              </w:rPr>
            </w:pPr>
          </w:p>
        </w:tc>
        <w:tc>
          <w:tcPr>
            <w:tcW w:w="7881" w:type="dxa"/>
            <w:gridSpan w:val="3"/>
            <w:vAlign w:val="center"/>
          </w:tcPr>
          <w:p w14:paraId="14B0AC66">
            <w:pPr>
              <w:rPr>
                <w:rFonts w:ascii="宋体" w:eastAsia="宋体"/>
                <w:b/>
                <w:sz w:val="21"/>
                <w:szCs w:val="21"/>
              </w:rPr>
            </w:pPr>
            <w:r>
              <w:rPr>
                <w:rFonts w:hint="eastAsia" w:ascii="宋体" w:eastAsia="宋体"/>
                <w:sz w:val="21"/>
                <w:szCs w:val="21"/>
              </w:rPr>
              <w:t>瞒报各类生产安全事故（事件）的，按照处理额度的</w:t>
            </w:r>
            <w:r>
              <w:rPr>
                <w:rFonts w:ascii="宋体" w:eastAsia="宋体"/>
                <w:sz w:val="21"/>
                <w:szCs w:val="21"/>
              </w:rPr>
              <w:t>2倍处理</w:t>
            </w:r>
          </w:p>
        </w:tc>
      </w:tr>
      <w:tr w14:paraId="2CFFD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740" w:hRule="atLeast"/>
          <w:jc w:val="center"/>
        </w:trPr>
        <w:tc>
          <w:tcPr>
            <w:tcW w:w="709" w:type="dxa"/>
            <w:vAlign w:val="center"/>
          </w:tcPr>
          <w:p w14:paraId="1ACCDCE7">
            <w:pPr>
              <w:numPr>
                <w:ilvl w:val="0"/>
                <w:numId w:val="16"/>
              </w:numPr>
              <w:spacing w:line="240" w:lineRule="auto"/>
              <w:jc w:val="center"/>
              <w:rPr>
                <w:rFonts w:ascii="宋体" w:eastAsia="宋体"/>
                <w:sz w:val="21"/>
                <w:szCs w:val="21"/>
              </w:rPr>
            </w:pPr>
          </w:p>
        </w:tc>
        <w:tc>
          <w:tcPr>
            <w:tcW w:w="7881" w:type="dxa"/>
            <w:gridSpan w:val="3"/>
            <w:vAlign w:val="center"/>
          </w:tcPr>
          <w:p w14:paraId="37ED4BE5">
            <w:pPr>
              <w:rPr>
                <w:rFonts w:ascii="宋体" w:eastAsia="宋体"/>
                <w:b/>
                <w:sz w:val="21"/>
                <w:szCs w:val="21"/>
              </w:rPr>
            </w:pPr>
            <w:r>
              <w:rPr>
                <w:rFonts w:hint="eastAsia" w:ascii="宋体" w:eastAsia="宋体"/>
                <w:sz w:val="21"/>
                <w:szCs w:val="21"/>
              </w:rPr>
              <w:t>因违章作业而造成后果或未遂的，视后果严重程度，按照</w:t>
            </w:r>
            <w:r>
              <w:rPr>
                <w:rFonts w:ascii="宋体" w:eastAsia="宋体"/>
                <w:sz w:val="21"/>
                <w:szCs w:val="21"/>
              </w:rPr>
              <w:t>2-5倍的考核金额进行考核（如另有规定的，按照其规定执行）</w:t>
            </w:r>
          </w:p>
        </w:tc>
      </w:tr>
    </w:tbl>
    <w:p w14:paraId="18B9FEC3">
      <w:pPr>
        <w:spacing w:line="360" w:lineRule="auto"/>
      </w:pPr>
    </w:p>
    <w:p w14:paraId="675DEC4A">
      <w:pPr>
        <w:spacing w:line="360" w:lineRule="auto"/>
        <w:rPr>
          <w:rFonts w:ascii="宋体" w:eastAsia="宋体"/>
          <w:szCs w:val="24"/>
          <w:highlight w:val="none"/>
        </w:rPr>
      </w:pPr>
    </w:p>
    <w:p w14:paraId="22BA2460">
      <w:pPr>
        <w:pStyle w:val="20"/>
        <w:spacing w:line="360" w:lineRule="auto"/>
        <w:outlineLvl w:val="0"/>
        <w:rPr>
          <w:rFonts w:ascii="宋体" w:eastAsia="宋体"/>
          <w:b/>
          <w:sz w:val="24"/>
          <w:szCs w:val="24"/>
          <w:highlight w:val="none"/>
        </w:rPr>
      </w:pPr>
      <w:r>
        <w:rPr>
          <w:rFonts w:hint="eastAsia" w:ascii="宋体" w:eastAsia="宋体"/>
          <w:b/>
          <w:sz w:val="24"/>
          <w:szCs w:val="24"/>
          <w:highlight w:val="none"/>
        </w:rPr>
        <w:t>附件一： 检修时限性要求</w:t>
      </w:r>
    </w:p>
    <w:p w14:paraId="2421FB0F">
      <w:pPr>
        <w:pStyle w:val="20"/>
        <w:spacing w:line="360" w:lineRule="auto"/>
        <w:outlineLvl w:val="0"/>
        <w:rPr>
          <w:rFonts w:ascii="宋体" w:eastAsia="宋体"/>
          <w:szCs w:val="21"/>
          <w:highlight w:val="none"/>
        </w:rPr>
      </w:pPr>
      <w:bookmarkStart w:id="49" w:name="_Toc29469567"/>
      <w:bookmarkStart w:id="50" w:name="_Toc29469466"/>
      <w:r>
        <w:rPr>
          <w:rFonts w:hint="eastAsia" w:ascii="宋体" w:eastAsia="宋体"/>
          <w:szCs w:val="21"/>
          <w:highlight w:val="none"/>
        </w:rPr>
        <w:t>设备发生故障时，投标人应在规定的时间内完成消缺情况，具体检修时限见下表：</w:t>
      </w:r>
      <w:bookmarkEnd w:id="49"/>
      <w:bookmarkEnd w:id="50"/>
    </w:p>
    <w:tbl>
      <w:tblPr>
        <w:tblStyle w:val="54"/>
        <w:tblW w:w="84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6"/>
        <w:gridCol w:w="1414"/>
        <w:gridCol w:w="2850"/>
        <w:gridCol w:w="2637"/>
        <w:gridCol w:w="925"/>
      </w:tblGrid>
      <w:tr w14:paraId="350E1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2E0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bookmarkStart w:id="51" w:name="_Toc153985154"/>
            <w:r>
              <w:rPr>
                <w:rFonts w:hint="eastAsia" w:ascii="宋体" w:hAnsi="宋体" w:eastAsia="宋体" w:cs="宋体"/>
                <w:b/>
                <w:bCs/>
                <w:i w:val="0"/>
                <w:iCs w:val="0"/>
                <w:color w:val="000000"/>
                <w:kern w:val="0"/>
                <w:sz w:val="21"/>
                <w:szCs w:val="21"/>
                <w:u w:val="none"/>
                <w:lang w:val="en-US" w:eastAsia="zh-CN" w:bidi="ar"/>
              </w:rPr>
              <w:t>脱硫剂加工系统设备检修时限标准</w:t>
            </w:r>
          </w:p>
        </w:tc>
      </w:tr>
      <w:tr w14:paraId="7977D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E3E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D66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工段</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052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设备名称</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31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缺陷</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4F1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恢复时限</w:t>
            </w:r>
          </w:p>
        </w:tc>
      </w:tr>
      <w:tr w14:paraId="4296D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794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5A9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石灰上料系统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79BB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电动棒条阀</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677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卡塞，无法正常活动</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AAF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050E3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428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DDED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B2A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#1、#2石灰石输送皮带</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8355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皮带更换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08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24h</w:t>
            </w:r>
          </w:p>
        </w:tc>
      </w:tr>
      <w:tr w14:paraId="2E1DA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97C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47A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1B003">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C7D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托辊更换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F71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146A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9AC2E">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1CDA8">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87F6C">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BA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跑偏调整</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2E8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7381D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4EBA">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FFD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F9EF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#1提升机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C8A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单边链条断裂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6825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37A64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231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5B22">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B4DD">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E9E6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整副链条断裂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4620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708EA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6B4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9918">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BEEB6">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41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更换总成</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76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10911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772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BDA52">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599C">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B3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更换破损料斗</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23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1CA1D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145B2">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A926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D925">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D336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传动机构维护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CAC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123F8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1E8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0ED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磨细系统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52E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#1、#2磨头仓下料手动棒阀</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4A4D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卡塞，无法正常活动</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A80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D693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C715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6D1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8DF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#1、#2石灰石称重给料机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CC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更换托辊</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2CE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0048C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9AB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9FC31">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E545">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E49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更换皮带</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52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75F28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CC55">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CD98">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0C288">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518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更换电机减速机</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658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2AA10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1D1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A7F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9FD6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#1、#2磨机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AF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更换部分破损衬板及内部维护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664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56E6A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B0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C36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风粉系统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A61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#1、#2循环风机、电机维护</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46B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电机轴承维护加油、风机轴承维护加油、电机碳刷检查</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E0C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24h</w:t>
            </w:r>
          </w:p>
        </w:tc>
      </w:tr>
      <w:tr w14:paraId="3CD98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8D75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5E68">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098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阀门、风道</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BF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阀门、风道检查、维护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AE3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6B5A7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520B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3C73">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64F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#1、#2主收尘器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DDB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收尘器维护（布袋、电磁阀、提升阀更换）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E5A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24h</w:t>
            </w:r>
          </w:p>
        </w:tc>
      </w:tr>
      <w:tr w14:paraId="75424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9A1B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5C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出料系统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A0E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#3、#4提升机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C6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单边链条断裂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1742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19B5D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FEDB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F5604">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B0D6">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B8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整副链条断裂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09A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7FA8E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603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4BD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EAD1">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9F2F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更换总成</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4D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50036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193F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4518">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567FF">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45D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更换破损料斗</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71A8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9A95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E6E0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2F11D">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3D13">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1B2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传动机构维护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8D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348DC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450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46A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0AE5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斜槽</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E59D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滤布更换、风机更换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2DD5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7E973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511F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4A3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脱硫剂装车系统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F3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电、气动阀</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BD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电、气动阀卡塞疏通及更换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A1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06FD6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7A95">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DC61">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605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#1、#2卸料装置</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7A0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卸料头、伸缩套、钢丝绳、电机更换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57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7391B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6FF3">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9D3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040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#1、#2、#3、#4流化风机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01F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传动皮带、机油、空滤更换维护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A21B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1FCD2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DEA8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EF95">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7DA9">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E7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电机、风机更换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EB6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5527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75A2D">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427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88A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#1、#2、#3、#4流化风加热器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59A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电加热器检修</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976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6E15D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028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180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辅助系统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B2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#1、#2冷却水泵</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5AC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电机或水泵更换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E8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74AE0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87FF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539A0">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3B3F">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99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水池清理</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0C1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772C8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74E0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50B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7831">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4C4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过滤器清理或更换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798A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50186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F88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659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电控系统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A042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6KV开关柜</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69F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高压预试</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6C85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13E58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ABB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69B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B1FEE">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07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高压开关试验</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3FF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279B4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354D">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3561">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8CCF1">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7D5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柜内清扫维护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74AD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7AB4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1E8E">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7A8D">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981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变压器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A89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试验</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D9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25D4A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239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FDF8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F55DC">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82D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519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0D9E7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EB6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B060">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3C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380V配电柜</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75B8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电气配件更换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2E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7E94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5BA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532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DEA9B">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477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7EAF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45991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B8B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B620">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954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DCS/PLC</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F04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卡件、组件更换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BF1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13215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787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83151">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95C7">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3EF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9A9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0795E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9FE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固废综合利用设备检修时限标准</w:t>
            </w:r>
          </w:p>
        </w:tc>
      </w:tr>
      <w:tr w14:paraId="2E293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A350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C4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三期分选系统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A068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主风机、电机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0D4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维护保养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6853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45C38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ADD6">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A2AC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EE0E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各阀门及组织机构</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C9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检查、更换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402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68124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29766">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DBC87">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A0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5546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卡塞疏通</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DD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43655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4CFA2">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3D17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A8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分选各管道</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0F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漏点修补</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FC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1E1F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F057F">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FB5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804F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启动柜</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B8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软启动及电气故障修复</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52B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1780D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17DD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14D3D">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3B9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控制柜</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0F3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控制故障修复</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86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F20D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82ED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5E0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固废中心分选系统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0BAD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主风机、电机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81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维护保养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2F8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040B5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782B5">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B938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2A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各阀门及组织机构</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83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检查、更换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888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691EB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8DA6">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B2DD">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4F7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BC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卡塞疏通</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5796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1DA54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B2063">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E622">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5998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分选各管道</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E1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漏点修补</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1FBC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73CE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954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932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粗灰磨细系统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234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锁风给料机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3E73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卡塞疏通</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3454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17430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F206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E07B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3B3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称重给料机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144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更换托辊</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77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34310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8DB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91A99">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2793B">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4CC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更换皮带</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210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36DD1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1044D">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00483">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03A2">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B1A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更换电机减速机</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391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28B23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3129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283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8FE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进料器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C3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进料器修补或更换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39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6842A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6416D">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37C4">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486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磨机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053E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更换部分破损衬板及内部维护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2CE8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2AEE4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953D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8F3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FA8EB">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2925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加锻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E65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439C7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7F5C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CB82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BDB6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减速机润滑油站</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C0C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过滤器清洗、油箱加油</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DF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545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67ED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3D73">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F89C">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C4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表计及阀门更换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F85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58983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663A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0A57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C944D">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CB2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电机及油泵更换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F01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3A662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E6053">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AAAB0">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5D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主减速机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892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靠背轮尼龙棒更换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498D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2DC3F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F193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A6BD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AB1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主电机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5BB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轴承、碳刷维护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5CC3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333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643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CD927">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EED8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磨尾</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B8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筛桶更换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D010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52384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BD191">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84A9">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CD2E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锁气给料机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989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堵料疏通</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848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4C536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47A2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EA48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6643">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443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给料机更换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B457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59E09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024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7CEF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718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#1、#2罗茨风机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BFA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保养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B81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2AEB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F9EA3">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FE95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D4F4">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147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输送管道补漏</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2CC7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BAB2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EBB5">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DEC6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AF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喷射装置</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177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空压机更换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E1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E417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B06FE">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2069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931BA">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99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喷射油加油</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3C3B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2B199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060F">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09280">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C52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主收尘器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AC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收尘器维护（布袋、电磁阀、提升阀更换）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23DA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4C9AE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232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111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F09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主风机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2F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风机、电机及执行机构维护保养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672A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169FB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8059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D36F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干渣磨细系统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379D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电磁振动给料机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A219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电磁线圈烧毁更换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22B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3FCC7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5A23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31A0">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5D6EA">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02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溜槽破损修补</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884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35E6D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E74F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F1A8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89A9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干渣上料提升机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DC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单边链条断裂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9D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3DA9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725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B23B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AB1B0">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D9F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整副链条断裂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818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2133E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D221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46B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42357">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5542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更换总成</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CE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3ED1E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95BF">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79C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25D6C">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8B8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更换破损料斗</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B90B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3060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6B9E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B4354">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1D511">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FC4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传动机构维护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877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1B09D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0853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7E5B3">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F32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#1、#2干渣称重给料机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13D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更换托辊</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334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4F8D7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33B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E871">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BC5C3">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C9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更换皮带</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BB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3BBE0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00B6">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B80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3D952">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CDEA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更换电机减速机</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2A7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46414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A0CF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498E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CD7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#1、#2干渣输送皮带</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7988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皮带更换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85C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24h</w:t>
            </w:r>
          </w:p>
        </w:tc>
      </w:tr>
      <w:tr w14:paraId="09E10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5B70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A98F9">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EB72E">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51B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托辊更换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8DC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E394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058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B94C7">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98D4">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2C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跑偏调整</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66F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2CDE3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EB71">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DF11">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6DC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进料器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EA5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进料器修补或更换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DCC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4E101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B54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2423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9E5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磨机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FF1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更换部分破损衬板及内部维护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3A3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20873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AD42">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03751">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57C2">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25F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加锻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9AA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504D7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AFBC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9AD24">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6639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主减速机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18E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靠背轮尼龙棒更换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9FF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73D8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B37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63283">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835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主电机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24B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轴承、碳刷维护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0E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00918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16B6E">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FF859">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2B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磨尾</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00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筛桶更换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FDC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2C254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9C31F">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B197">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6D3D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干渣出料提升机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F43E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单边链条断裂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601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4F81C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279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27B0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CE02">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08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整副链条断裂</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274A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5A164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CE23">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9A80">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221D">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CC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更换总成</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9581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514E5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CE06E">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8E8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2654">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CC3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更换破损料斗</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93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1B985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DECE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84B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CBB04">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91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传动机构维护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6F2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10D6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606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C8112">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CA7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高效选粉机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90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定子、转子更换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30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0B29C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6D13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2200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898A8">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396B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主轴轴承、电机、传动皮带更换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E3D5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1ADDB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9AB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5788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8D84">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A33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内部衬胶修复</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6E4B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47066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5EFE">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2EDE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31A4">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906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斜槽滤布更换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3E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6465F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1674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49062">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1CCAF">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03BC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手动调节阀更换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99B3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37D8B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0A9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15DD">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55D5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回料斜槽</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D0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滤布更换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D5E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373B3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C696C">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0D24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113C">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DE7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风机更换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BB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38B6D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F1945">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9115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66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主收尘器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D80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收尘器维护（布袋、电磁阀、提升阀更换）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705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51617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EA8F">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80A8D">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EEE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主风机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F3C1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风机、电机及执行机构维护保养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7F2C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19290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1B002">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07342">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4BCD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锁气给料机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C86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堵料疏通</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0C4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21779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378E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2459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A655">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B6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给料机更换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1B4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8h</w:t>
            </w:r>
          </w:p>
        </w:tc>
      </w:tr>
      <w:tr w14:paraId="4D5BD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50A8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8BE4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8264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罗茨风机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F17C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保养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3302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01543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FDBF">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44C5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D9F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喷射装置</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310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空压机更换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F0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F002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614B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F487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F97A">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E0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喷射油加油</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94D9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r>
      <w:tr w14:paraId="3045E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8E1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6331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辅助系统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74E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#1、#2冷却水泵</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4B9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电机或水泵更换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B49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670C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D1A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E0E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080D7">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1301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水池清理</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D4F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4B920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FE11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FC5B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44741">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0DB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过滤器清理或更换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AC0E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48h</w:t>
            </w:r>
          </w:p>
        </w:tc>
      </w:tr>
      <w:tr w14:paraId="412F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D4B11">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C630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742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#1、#2磨机喷淋冷却水泵</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457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电机或水泵更换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AC1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7924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A775">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ECF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C58E">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1D4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水池清理</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28F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56CC8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BDA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A50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电控系统</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B71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6KV开关柜</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B22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高压预试</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0038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0989A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949A">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606C">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442A0">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D5E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高压开关试验</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F6E4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39A5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B63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6B747">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D579">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B29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柜内清扫维护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1C0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7BA9D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BDC2">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FD3B7">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52B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变压器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311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试验</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5F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12h</w:t>
            </w:r>
          </w:p>
        </w:tc>
      </w:tr>
      <w:tr w14:paraId="55085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07928">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CC6F">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1C92B">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91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CC2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3222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B5EEF">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266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B9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380V配电柜</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7E7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电气配件更换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785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4FDB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2A07">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AFE9">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357AE">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EAC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862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5FFB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18A1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BE69">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CB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DCS/PLC</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C50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卡件、组件更换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4701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480F0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9FCD5">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C7C99">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A571">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99E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清扫、维护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DFC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68698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0D7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FC14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其他设备</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9A07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各灰库卸料装车装置</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01AE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电、气动阀卡塞疏通及更换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FA5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0619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31A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4AF5B">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DF9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手动、气动阀</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9D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卸料头、伸缩套、钢丝绳、电机更换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036D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6A5A4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E880B">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2A7B7">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3F75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卸料装置</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15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传动皮带、机油、空滤更换维护</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912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38DE2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B379">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D344">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718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流化风机</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205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电机、风机更换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D15D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r w14:paraId="3906C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11F7E">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E4CA3">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7CF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流化风加热器</w:t>
            </w:r>
          </w:p>
        </w:tc>
        <w:tc>
          <w:tcPr>
            <w:tcW w:w="2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EED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电加热器检修</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470F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678AC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D814">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D68A">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BA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各调湿灰装置</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BA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叶片更换</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787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2A62E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10870">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CB1EE">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4DA5E">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4B1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电机及主减速机保养</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A34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6h</w:t>
            </w:r>
          </w:p>
        </w:tc>
      </w:tr>
      <w:tr w14:paraId="156F6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F0811">
            <w:pPr>
              <w:jc w:val="center"/>
              <w:rPr>
                <w:rFonts w:hint="eastAsia" w:ascii="宋体" w:hAnsi="宋体" w:eastAsia="宋体" w:cs="宋体"/>
                <w:i w:val="0"/>
                <w:iCs w:val="0"/>
                <w:color w:val="000000"/>
                <w:kern w:val="0"/>
                <w:sz w:val="21"/>
                <w:szCs w:val="21"/>
                <w:u w:val="none"/>
                <w:lang w:val="en-US" w:eastAsia="zh-CN" w:bidi="ar"/>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CF56">
            <w:pPr>
              <w:jc w:val="center"/>
              <w:rPr>
                <w:rFonts w:hint="eastAsia" w:ascii="宋体" w:hAnsi="宋体" w:eastAsia="宋体" w:cs="宋体"/>
                <w:i w:val="0"/>
                <w:iCs w:val="0"/>
                <w:color w:val="000000"/>
                <w:kern w:val="0"/>
                <w:sz w:val="21"/>
                <w:szCs w:val="21"/>
                <w:u w:val="none"/>
                <w:lang w:val="en-US" w:eastAsia="zh-CN" w:bidi="ar"/>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7EB60">
            <w:pPr>
              <w:jc w:val="center"/>
              <w:rPr>
                <w:rFonts w:hint="eastAsia" w:ascii="宋体" w:hAnsi="宋体" w:eastAsia="宋体" w:cs="宋体"/>
                <w:i w:val="0"/>
                <w:iCs w:val="0"/>
                <w:color w:val="000000"/>
                <w:kern w:val="0"/>
                <w:sz w:val="21"/>
                <w:szCs w:val="21"/>
                <w:u w:val="none"/>
                <w:lang w:val="en-US" w:eastAsia="zh-CN" w:bidi="ar"/>
              </w:rPr>
            </w:pP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5C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搅拌机清理</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F3F2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4h</w:t>
            </w:r>
          </w:p>
        </w:tc>
      </w:tr>
    </w:tbl>
    <w:p w14:paraId="74CF34E6">
      <w:pPr>
        <w:rPr>
          <w:rFonts w:ascii="宋体" w:eastAsia="宋体"/>
          <w:sz w:val="24"/>
          <w:szCs w:val="24"/>
        </w:rPr>
      </w:pPr>
    </w:p>
    <w:p w14:paraId="5E9F2959">
      <w:pPr>
        <w:pStyle w:val="2"/>
        <w:keepNext/>
        <w:keepLines/>
        <w:numPr>
          <w:ilvl w:val="0"/>
          <w:numId w:val="0"/>
        </w:numPr>
        <w:adjustRightInd w:val="0"/>
        <w:spacing w:before="0" w:after="0" w:line="360" w:lineRule="auto"/>
        <w:jc w:val="left"/>
        <w:textAlignment w:val="baseline"/>
        <w:rPr>
          <w:rFonts w:ascii="宋体" w:eastAsia="宋体"/>
          <w:b/>
          <w:bCs w:val="0"/>
          <w:kern w:val="0"/>
          <w:sz w:val="24"/>
          <w:szCs w:val="24"/>
        </w:rPr>
      </w:pPr>
      <w:r>
        <w:rPr>
          <w:rFonts w:hint="eastAsia" w:ascii="宋体" w:eastAsia="宋体"/>
          <w:b/>
          <w:sz w:val="24"/>
          <w:szCs w:val="24"/>
        </w:rPr>
        <w:t>附件二：</w:t>
      </w:r>
      <w:r>
        <w:rPr>
          <w:rFonts w:hint="eastAsia" w:ascii="宋体" w:eastAsia="宋体"/>
          <w:bCs w:val="0"/>
          <w:kern w:val="0"/>
          <w:sz w:val="24"/>
          <w:szCs w:val="24"/>
        </w:rPr>
        <w:t>技术差异表</w:t>
      </w:r>
      <w:bookmarkEnd w:id="51"/>
    </w:p>
    <w:p w14:paraId="3711DD43">
      <w:pPr>
        <w:pStyle w:val="31"/>
        <w:spacing w:line="440" w:lineRule="exact"/>
        <w:ind w:firstLine="480" w:firstLineChars="200"/>
        <w:jc w:val="left"/>
        <w:rPr>
          <w:rFonts w:ascii="宋体" w:eastAsia="宋体"/>
        </w:rPr>
      </w:pPr>
      <w:r>
        <w:rPr>
          <w:rFonts w:hint="eastAsia" w:ascii="宋体" w:eastAsia="宋体"/>
        </w:rPr>
        <w:t>投标人要将投标文件和招标文件的差异之处汇集成表。技术部分和商务部分要单独列表。</w:t>
      </w:r>
    </w:p>
    <w:p w14:paraId="5F918E26">
      <w:pPr>
        <w:pStyle w:val="31"/>
        <w:spacing w:line="500" w:lineRule="exact"/>
        <w:jc w:val="center"/>
        <w:rPr>
          <w:rFonts w:ascii="宋体" w:eastAsia="宋体"/>
        </w:rPr>
      </w:pPr>
      <w:r>
        <w:rPr>
          <w:rFonts w:ascii="宋体" w:eastAsia="宋体"/>
        </w:rPr>
        <w:t>差   异   表</w:t>
      </w:r>
    </w:p>
    <w:tbl>
      <w:tblPr>
        <w:tblStyle w:val="54"/>
        <w:tblW w:w="8916" w:type="dxa"/>
        <w:jc w:val="center"/>
        <w:tblLayout w:type="fixed"/>
        <w:tblCellMar>
          <w:top w:w="0" w:type="dxa"/>
          <w:left w:w="28" w:type="dxa"/>
          <w:bottom w:w="0" w:type="dxa"/>
          <w:right w:w="28" w:type="dxa"/>
        </w:tblCellMar>
      </w:tblPr>
      <w:tblGrid>
        <w:gridCol w:w="840"/>
        <w:gridCol w:w="965"/>
        <w:gridCol w:w="2995"/>
        <w:gridCol w:w="960"/>
        <w:gridCol w:w="3156"/>
      </w:tblGrid>
      <w:tr w14:paraId="274F2C66">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bottom w:val="nil"/>
              <w:right w:val="single" w:color="auto" w:sz="6" w:space="0"/>
            </w:tcBorders>
            <w:vAlign w:val="center"/>
          </w:tcPr>
          <w:p w14:paraId="0FA267C4">
            <w:pPr>
              <w:pStyle w:val="31"/>
              <w:spacing w:line="500" w:lineRule="exact"/>
              <w:ind w:firstLine="0"/>
              <w:jc w:val="center"/>
              <w:rPr>
                <w:rFonts w:ascii="宋体" w:eastAsia="宋体"/>
                <w:szCs w:val="24"/>
              </w:rPr>
            </w:pPr>
            <w:r>
              <w:rPr>
                <w:rFonts w:ascii="宋体" w:eastAsia="宋体"/>
                <w:szCs w:val="24"/>
              </w:rPr>
              <w:t>序号</w:t>
            </w:r>
          </w:p>
        </w:tc>
        <w:tc>
          <w:tcPr>
            <w:tcW w:w="3960" w:type="dxa"/>
            <w:gridSpan w:val="2"/>
            <w:tcBorders>
              <w:top w:val="single" w:color="auto" w:sz="6" w:space="0"/>
              <w:left w:val="nil"/>
              <w:bottom w:val="nil"/>
              <w:right w:val="single" w:color="auto" w:sz="6" w:space="0"/>
            </w:tcBorders>
            <w:vAlign w:val="center"/>
          </w:tcPr>
          <w:p w14:paraId="16FC615D">
            <w:pPr>
              <w:pStyle w:val="31"/>
              <w:spacing w:line="500" w:lineRule="exact"/>
              <w:ind w:left="480"/>
              <w:jc w:val="center"/>
              <w:rPr>
                <w:rFonts w:ascii="宋体" w:eastAsia="宋体"/>
                <w:szCs w:val="24"/>
              </w:rPr>
            </w:pPr>
            <w:r>
              <w:rPr>
                <w:rFonts w:ascii="宋体" w:eastAsia="宋体"/>
                <w:szCs w:val="24"/>
              </w:rPr>
              <w:t>招 标 文 件</w:t>
            </w:r>
          </w:p>
        </w:tc>
        <w:tc>
          <w:tcPr>
            <w:tcW w:w="4116" w:type="dxa"/>
            <w:gridSpan w:val="2"/>
            <w:tcBorders>
              <w:top w:val="single" w:color="auto" w:sz="6" w:space="0"/>
              <w:left w:val="nil"/>
              <w:bottom w:val="nil"/>
              <w:right w:val="single" w:color="auto" w:sz="6" w:space="0"/>
            </w:tcBorders>
            <w:vAlign w:val="center"/>
          </w:tcPr>
          <w:p w14:paraId="7E288BDB">
            <w:pPr>
              <w:pStyle w:val="31"/>
              <w:spacing w:line="500" w:lineRule="exact"/>
              <w:ind w:left="480"/>
              <w:jc w:val="center"/>
              <w:rPr>
                <w:rFonts w:ascii="宋体" w:eastAsia="宋体"/>
                <w:szCs w:val="24"/>
              </w:rPr>
            </w:pPr>
            <w:r>
              <w:rPr>
                <w:rFonts w:ascii="宋体" w:eastAsia="宋体"/>
                <w:szCs w:val="24"/>
              </w:rPr>
              <w:t>投 标 文 件</w:t>
            </w:r>
          </w:p>
        </w:tc>
      </w:tr>
      <w:tr w14:paraId="4B96B2F8">
        <w:tblPrEx>
          <w:tblCellMar>
            <w:top w:w="0" w:type="dxa"/>
            <w:left w:w="28" w:type="dxa"/>
            <w:bottom w:w="0" w:type="dxa"/>
            <w:right w:w="28" w:type="dxa"/>
          </w:tblCellMar>
        </w:tblPrEx>
        <w:trPr>
          <w:cantSplit/>
          <w:jc w:val="center"/>
        </w:trPr>
        <w:tc>
          <w:tcPr>
            <w:tcW w:w="840" w:type="dxa"/>
            <w:vMerge w:val="continue"/>
            <w:tcBorders>
              <w:top w:val="single" w:color="auto" w:sz="6" w:space="0"/>
              <w:left w:val="single" w:color="auto" w:sz="6" w:space="0"/>
              <w:bottom w:val="nil"/>
              <w:right w:val="single" w:color="auto" w:sz="6" w:space="0"/>
            </w:tcBorders>
            <w:vAlign w:val="center"/>
          </w:tcPr>
          <w:p w14:paraId="2BD149B0">
            <w:pPr>
              <w:pStyle w:val="31"/>
              <w:spacing w:line="500" w:lineRule="exact"/>
              <w:ind w:left="480"/>
              <w:jc w:val="center"/>
              <w:rPr>
                <w:rFonts w:ascii="宋体" w:eastAsia="宋体"/>
                <w:szCs w:val="24"/>
              </w:rPr>
            </w:pPr>
          </w:p>
        </w:tc>
        <w:tc>
          <w:tcPr>
            <w:tcW w:w="965" w:type="dxa"/>
            <w:tcBorders>
              <w:top w:val="single" w:color="auto" w:sz="6" w:space="0"/>
              <w:left w:val="nil"/>
              <w:bottom w:val="nil"/>
              <w:right w:val="single" w:color="auto" w:sz="6" w:space="0"/>
            </w:tcBorders>
            <w:vAlign w:val="center"/>
          </w:tcPr>
          <w:p w14:paraId="685CBC34">
            <w:pPr>
              <w:pStyle w:val="31"/>
              <w:spacing w:line="500" w:lineRule="exact"/>
              <w:ind w:firstLine="0"/>
              <w:jc w:val="center"/>
              <w:rPr>
                <w:rFonts w:ascii="宋体" w:eastAsia="宋体"/>
                <w:szCs w:val="24"/>
              </w:rPr>
            </w:pPr>
            <w:r>
              <w:rPr>
                <w:rFonts w:ascii="宋体" w:eastAsia="宋体"/>
                <w:szCs w:val="24"/>
              </w:rPr>
              <w:t>条目</w:t>
            </w:r>
          </w:p>
        </w:tc>
        <w:tc>
          <w:tcPr>
            <w:tcW w:w="2995" w:type="dxa"/>
            <w:tcBorders>
              <w:top w:val="single" w:color="auto" w:sz="6" w:space="0"/>
              <w:left w:val="nil"/>
              <w:bottom w:val="nil"/>
              <w:right w:val="single" w:color="auto" w:sz="6" w:space="0"/>
            </w:tcBorders>
            <w:vAlign w:val="center"/>
          </w:tcPr>
          <w:p w14:paraId="2AC0C1A3">
            <w:pPr>
              <w:pStyle w:val="31"/>
              <w:spacing w:line="500" w:lineRule="exact"/>
              <w:ind w:firstLine="0"/>
              <w:jc w:val="center"/>
              <w:rPr>
                <w:rFonts w:ascii="宋体" w:eastAsia="宋体"/>
                <w:szCs w:val="24"/>
              </w:rPr>
            </w:pPr>
            <w:r>
              <w:rPr>
                <w:rFonts w:ascii="宋体" w:eastAsia="宋体"/>
                <w:szCs w:val="24"/>
              </w:rPr>
              <w:t>简要内容</w:t>
            </w:r>
          </w:p>
        </w:tc>
        <w:tc>
          <w:tcPr>
            <w:tcW w:w="960" w:type="dxa"/>
            <w:tcBorders>
              <w:top w:val="single" w:color="auto" w:sz="6" w:space="0"/>
              <w:left w:val="nil"/>
              <w:bottom w:val="nil"/>
              <w:right w:val="single" w:color="auto" w:sz="6" w:space="0"/>
            </w:tcBorders>
            <w:vAlign w:val="center"/>
          </w:tcPr>
          <w:p w14:paraId="0BAFFB85">
            <w:pPr>
              <w:pStyle w:val="31"/>
              <w:spacing w:line="500" w:lineRule="exact"/>
              <w:ind w:firstLine="0"/>
              <w:jc w:val="center"/>
              <w:rPr>
                <w:rFonts w:ascii="宋体" w:eastAsia="宋体"/>
                <w:szCs w:val="24"/>
              </w:rPr>
            </w:pPr>
            <w:r>
              <w:rPr>
                <w:rFonts w:ascii="宋体" w:eastAsia="宋体"/>
                <w:szCs w:val="24"/>
              </w:rPr>
              <w:t>条目</w:t>
            </w:r>
          </w:p>
        </w:tc>
        <w:tc>
          <w:tcPr>
            <w:tcW w:w="3156" w:type="dxa"/>
            <w:tcBorders>
              <w:top w:val="single" w:color="auto" w:sz="6" w:space="0"/>
              <w:left w:val="nil"/>
              <w:bottom w:val="nil"/>
              <w:right w:val="single" w:color="auto" w:sz="6" w:space="0"/>
            </w:tcBorders>
            <w:vAlign w:val="center"/>
          </w:tcPr>
          <w:p w14:paraId="634DBAA3">
            <w:pPr>
              <w:pStyle w:val="31"/>
              <w:spacing w:line="500" w:lineRule="exact"/>
              <w:ind w:firstLine="0"/>
              <w:jc w:val="center"/>
              <w:rPr>
                <w:rFonts w:ascii="宋体" w:eastAsia="宋体"/>
                <w:szCs w:val="24"/>
              </w:rPr>
            </w:pPr>
            <w:r>
              <w:rPr>
                <w:rFonts w:ascii="宋体" w:eastAsia="宋体"/>
                <w:szCs w:val="24"/>
              </w:rPr>
              <w:t>简要内容</w:t>
            </w:r>
          </w:p>
        </w:tc>
      </w:tr>
      <w:tr w14:paraId="3807D16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708AFF8B">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3F417DA1">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6F1D0F3A">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66233EA6">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2A0B4448">
            <w:pPr>
              <w:spacing w:line="500" w:lineRule="exact"/>
              <w:ind w:firstLine="567"/>
              <w:jc w:val="center"/>
              <w:rPr>
                <w:rFonts w:ascii="宋体" w:eastAsia="宋体"/>
                <w:sz w:val="24"/>
                <w:szCs w:val="24"/>
              </w:rPr>
            </w:pPr>
          </w:p>
        </w:tc>
      </w:tr>
      <w:tr w14:paraId="6A48EE6D">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75C6DFB5">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50E6AAC1">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54B8D1B8">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2C62D56F">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3DE1D61C">
            <w:pPr>
              <w:spacing w:line="500" w:lineRule="exact"/>
              <w:ind w:firstLine="567"/>
              <w:jc w:val="center"/>
              <w:rPr>
                <w:rFonts w:ascii="宋体" w:eastAsia="宋体"/>
                <w:sz w:val="24"/>
                <w:szCs w:val="24"/>
              </w:rPr>
            </w:pPr>
          </w:p>
        </w:tc>
      </w:tr>
      <w:tr w14:paraId="1A941A8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10B73671">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74BCEFA4">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44C3C4D7">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4304EA7E">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253DA5E9">
            <w:pPr>
              <w:spacing w:line="500" w:lineRule="exact"/>
              <w:ind w:firstLine="567"/>
              <w:jc w:val="center"/>
              <w:rPr>
                <w:rFonts w:ascii="宋体" w:eastAsia="宋体"/>
                <w:sz w:val="24"/>
                <w:szCs w:val="24"/>
              </w:rPr>
            </w:pPr>
          </w:p>
        </w:tc>
      </w:tr>
      <w:tr w14:paraId="1A25B04D">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4CB80FB7">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5C037DDD">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472190B8">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7569422D">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641B4DB2">
            <w:pPr>
              <w:spacing w:line="500" w:lineRule="exact"/>
              <w:ind w:firstLine="567"/>
              <w:jc w:val="center"/>
              <w:rPr>
                <w:rFonts w:ascii="宋体" w:eastAsia="宋体"/>
                <w:sz w:val="24"/>
                <w:szCs w:val="24"/>
              </w:rPr>
            </w:pPr>
          </w:p>
        </w:tc>
      </w:tr>
      <w:tr w14:paraId="77B6406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1F61E0F2">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6E8ECE4C">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77A59786">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4EA07012">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69F76B2D">
            <w:pPr>
              <w:spacing w:line="500" w:lineRule="exact"/>
              <w:ind w:firstLine="567"/>
              <w:jc w:val="center"/>
              <w:rPr>
                <w:rFonts w:ascii="宋体" w:eastAsia="宋体"/>
                <w:sz w:val="24"/>
                <w:szCs w:val="24"/>
              </w:rPr>
            </w:pPr>
          </w:p>
        </w:tc>
      </w:tr>
      <w:tr w14:paraId="3C97779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6D4BED92">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4C2C75BB">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56C5AE38">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25335736">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0F78F5A1">
            <w:pPr>
              <w:spacing w:line="500" w:lineRule="exact"/>
              <w:ind w:firstLine="567"/>
              <w:jc w:val="center"/>
              <w:rPr>
                <w:rFonts w:ascii="宋体" w:eastAsia="宋体"/>
                <w:sz w:val="24"/>
                <w:szCs w:val="24"/>
              </w:rPr>
            </w:pPr>
          </w:p>
        </w:tc>
      </w:tr>
      <w:tr w14:paraId="3BE9608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6114D1ED">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24D4480C">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301FA2FF">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540F7096">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33332E09">
            <w:pPr>
              <w:spacing w:line="500" w:lineRule="exact"/>
              <w:ind w:firstLine="567"/>
              <w:jc w:val="center"/>
              <w:rPr>
                <w:rFonts w:ascii="宋体" w:eastAsia="宋体"/>
                <w:sz w:val="24"/>
                <w:szCs w:val="24"/>
              </w:rPr>
            </w:pPr>
          </w:p>
        </w:tc>
      </w:tr>
      <w:tr w14:paraId="43DDDB1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5BF2D1DF">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0B8A2E71">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64272A15">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41DD07EB">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383CED73">
            <w:pPr>
              <w:spacing w:line="500" w:lineRule="exact"/>
              <w:ind w:firstLine="567"/>
              <w:jc w:val="center"/>
              <w:rPr>
                <w:rFonts w:ascii="宋体" w:eastAsia="宋体"/>
                <w:sz w:val="24"/>
                <w:szCs w:val="24"/>
              </w:rPr>
            </w:pPr>
          </w:p>
        </w:tc>
      </w:tr>
      <w:tr w14:paraId="03F44B54">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2A11FEE8">
            <w:pPr>
              <w:spacing w:line="500" w:lineRule="exact"/>
              <w:ind w:firstLine="567"/>
              <w:jc w:val="center"/>
              <w:rPr>
                <w:rFonts w:ascii="宋体" w:eastAsia="宋体"/>
                <w:sz w:val="24"/>
                <w:szCs w:val="24"/>
              </w:rPr>
            </w:pPr>
          </w:p>
        </w:tc>
        <w:tc>
          <w:tcPr>
            <w:tcW w:w="965" w:type="dxa"/>
            <w:tcBorders>
              <w:top w:val="single" w:color="auto" w:sz="6" w:space="0"/>
              <w:left w:val="single" w:color="auto" w:sz="6" w:space="0"/>
              <w:bottom w:val="single" w:color="auto" w:sz="6" w:space="0"/>
              <w:right w:val="single" w:color="auto" w:sz="6" w:space="0"/>
            </w:tcBorders>
          </w:tcPr>
          <w:p w14:paraId="30229960">
            <w:pPr>
              <w:spacing w:line="500" w:lineRule="exact"/>
              <w:ind w:firstLine="567"/>
              <w:jc w:val="center"/>
              <w:rPr>
                <w:rFonts w:ascii="宋体" w:eastAsia="宋体"/>
                <w:sz w:val="24"/>
                <w:szCs w:val="24"/>
              </w:rPr>
            </w:pPr>
          </w:p>
        </w:tc>
        <w:tc>
          <w:tcPr>
            <w:tcW w:w="2995" w:type="dxa"/>
            <w:tcBorders>
              <w:top w:val="single" w:color="auto" w:sz="6" w:space="0"/>
              <w:left w:val="nil"/>
              <w:bottom w:val="single" w:color="auto" w:sz="6" w:space="0"/>
              <w:right w:val="nil"/>
            </w:tcBorders>
          </w:tcPr>
          <w:p w14:paraId="052D97B3">
            <w:pPr>
              <w:spacing w:line="500" w:lineRule="exact"/>
              <w:ind w:firstLine="567"/>
              <w:jc w:val="center"/>
              <w:rPr>
                <w:rFonts w:ascii="宋体" w:eastAsia="宋体"/>
                <w:sz w:val="24"/>
                <w:szCs w:val="24"/>
              </w:rPr>
            </w:pPr>
          </w:p>
        </w:tc>
        <w:tc>
          <w:tcPr>
            <w:tcW w:w="960" w:type="dxa"/>
            <w:tcBorders>
              <w:top w:val="single" w:color="auto" w:sz="6" w:space="0"/>
              <w:left w:val="single" w:color="auto" w:sz="6" w:space="0"/>
              <w:bottom w:val="single" w:color="auto" w:sz="6" w:space="0"/>
              <w:right w:val="single" w:color="auto" w:sz="6" w:space="0"/>
            </w:tcBorders>
          </w:tcPr>
          <w:p w14:paraId="53FC5E3E">
            <w:pPr>
              <w:spacing w:line="500" w:lineRule="exact"/>
              <w:ind w:firstLine="567"/>
              <w:jc w:val="center"/>
              <w:rPr>
                <w:rFonts w:ascii="宋体" w:eastAsia="宋体"/>
                <w:sz w:val="24"/>
                <w:szCs w:val="24"/>
              </w:rPr>
            </w:pPr>
          </w:p>
        </w:tc>
        <w:tc>
          <w:tcPr>
            <w:tcW w:w="3156" w:type="dxa"/>
            <w:tcBorders>
              <w:top w:val="single" w:color="auto" w:sz="6" w:space="0"/>
              <w:left w:val="nil"/>
              <w:bottom w:val="single" w:color="auto" w:sz="6" w:space="0"/>
              <w:right w:val="single" w:color="auto" w:sz="6" w:space="0"/>
            </w:tcBorders>
          </w:tcPr>
          <w:p w14:paraId="4A425984">
            <w:pPr>
              <w:spacing w:line="500" w:lineRule="exact"/>
              <w:ind w:firstLine="567"/>
              <w:jc w:val="center"/>
              <w:rPr>
                <w:rFonts w:ascii="宋体" w:eastAsia="宋体"/>
                <w:sz w:val="24"/>
                <w:szCs w:val="24"/>
              </w:rPr>
            </w:pPr>
          </w:p>
        </w:tc>
      </w:tr>
    </w:tbl>
    <w:p w14:paraId="7A33D703">
      <w:pPr>
        <w:spacing w:line="360" w:lineRule="auto"/>
        <w:rPr>
          <w:rFonts w:ascii="宋体" w:eastAsia="宋体"/>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2615929"/>
      <w:docPartObj>
        <w:docPartGallery w:val="autotext"/>
      </w:docPartObj>
    </w:sdtPr>
    <w:sdtContent>
      <w:p w14:paraId="2E96C1C9">
        <w:pPr>
          <w:pStyle w:val="33"/>
          <w:jc w:val="center"/>
        </w:pPr>
        <w:r>
          <w:fldChar w:fldCharType="begin"/>
        </w:r>
        <w:r>
          <w:instrText xml:space="preserve"> PAGE   \* MERGEFORMAT </w:instrText>
        </w:r>
        <w:r>
          <w:fldChar w:fldCharType="separate"/>
        </w:r>
        <w:r>
          <w:rPr>
            <w:lang w:val="zh-CN"/>
          </w:rPr>
          <w:t>23</w:t>
        </w:r>
        <w:r>
          <w:fldChar w:fldCharType="end"/>
        </w:r>
      </w:p>
    </w:sdtContent>
  </w:sdt>
  <w:p w14:paraId="4937586D">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81B4E"/>
    <w:multiLevelType w:val="singleLevel"/>
    <w:tmpl w:val="8A881B4E"/>
    <w:lvl w:ilvl="0" w:tentative="0">
      <w:start w:val="1"/>
      <w:numFmt w:val="decimal"/>
      <w:lvlText w:val="%1."/>
      <w:lvlJc w:val="left"/>
      <w:pPr>
        <w:tabs>
          <w:tab w:val="left" w:pos="312"/>
        </w:tabs>
      </w:pPr>
    </w:lvl>
  </w:abstractNum>
  <w:abstractNum w:abstractNumId="1">
    <w:nsid w:val="B262CC4D"/>
    <w:multiLevelType w:val="singleLevel"/>
    <w:tmpl w:val="B262CC4D"/>
    <w:lvl w:ilvl="0" w:tentative="0">
      <w:start w:val="1"/>
      <w:numFmt w:val="decimal"/>
      <w:lvlText w:val="%1."/>
      <w:lvlJc w:val="left"/>
      <w:pPr>
        <w:tabs>
          <w:tab w:val="left" w:pos="312"/>
        </w:tabs>
      </w:pPr>
    </w:lvl>
  </w:abstractNum>
  <w:abstractNum w:abstractNumId="2">
    <w:nsid w:val="EB104D5A"/>
    <w:multiLevelType w:val="singleLevel"/>
    <w:tmpl w:val="EB104D5A"/>
    <w:lvl w:ilvl="0" w:tentative="0">
      <w:start w:val="1"/>
      <w:numFmt w:val="decimal"/>
      <w:lvlText w:val="%1."/>
      <w:lvlJc w:val="left"/>
      <w:pPr>
        <w:tabs>
          <w:tab w:val="left" w:pos="312"/>
        </w:tabs>
      </w:pPr>
    </w:lvl>
  </w:abstractNum>
  <w:abstractNum w:abstractNumId="3">
    <w:nsid w:val="1E973DC1"/>
    <w:multiLevelType w:val="multilevel"/>
    <w:tmpl w:val="1E973DC1"/>
    <w:lvl w:ilvl="0" w:tentative="0">
      <w:start w:val="1"/>
      <w:numFmt w:val="decimal"/>
      <w:lvlText w:val="%1"/>
      <w:lvlJc w:val="left"/>
      <w:pPr>
        <w:ind w:left="0" w:firstLine="0"/>
      </w:pPr>
      <w:rPr>
        <w:rFonts w:hint="default"/>
      </w:rPr>
    </w:lvl>
    <w:lvl w:ilvl="1" w:tentative="0">
      <w:start w:val="1"/>
      <w:numFmt w:val="decimal"/>
      <w:lvlText w:val="%1.%2"/>
      <w:lvlJc w:val="left"/>
      <w:pPr>
        <w:ind w:left="367" w:firstLine="200"/>
      </w:pPr>
      <w:rPr>
        <w:rFonts w:hint="default" w:ascii="宋体" w:hAnsi="宋体" w:eastAsia="宋体" w:cs="宋体"/>
        <w:b w:val="0"/>
        <w:i w:val="0"/>
        <w:caps w:val="0"/>
        <w:strike w:val="0"/>
        <w:dstrike w:val="0"/>
        <w:vanish w:val="0"/>
        <w:color w:val="000000"/>
        <w:sz w:val="21"/>
        <w:szCs w:val="21"/>
        <w:vertAlign w:val="baseline"/>
      </w:rPr>
    </w:lvl>
    <w:lvl w:ilvl="2" w:tentative="0">
      <w:start w:val="1"/>
      <w:numFmt w:val="decimal"/>
      <w:lvlText w:val="%1.%2.%3"/>
      <w:lvlJc w:val="left"/>
      <w:pPr>
        <w:ind w:left="0" w:firstLine="400"/>
      </w:pPr>
      <w:rPr>
        <w:rFonts w:hint="default"/>
        <w:b w:val="0"/>
      </w:rPr>
    </w:lvl>
    <w:lvl w:ilvl="3" w:tentative="0">
      <w:start w:val="1"/>
      <w:numFmt w:val="decimal"/>
      <w:lvlText w:val="%1.%2.%3.%4"/>
      <w:lvlJc w:val="left"/>
      <w:pPr>
        <w:ind w:left="0" w:firstLine="400"/>
      </w:pPr>
      <w:rPr>
        <w:rFonts w:hint="default"/>
        <w:b w:val="0"/>
      </w:rPr>
    </w:lvl>
    <w:lvl w:ilvl="4" w:tentative="0">
      <w:start w:val="1"/>
      <w:numFmt w:val="decimal"/>
      <w:lvlText w:val="%1.%2.%3.%4.%5"/>
      <w:lvlJc w:val="left"/>
      <w:pPr>
        <w:ind w:left="2551" w:hanging="850"/>
      </w:pPr>
      <w:rPr>
        <w:rFonts w:hint="default"/>
      </w:rPr>
    </w:lvl>
    <w:lvl w:ilvl="5" w:tentative="0">
      <w:start w:val="1"/>
      <w:numFmt w:val="decimal"/>
      <w:lvlText w:val="%1.%2.%3.%4.%5.%6"/>
      <w:lvlJc w:val="left"/>
      <w:pPr>
        <w:ind w:left="3260" w:hanging="1134"/>
      </w:pPr>
      <w:rPr>
        <w:rFonts w:hint="default"/>
      </w:rPr>
    </w:lvl>
    <w:lvl w:ilvl="6" w:tentative="0">
      <w:start w:val="1"/>
      <w:numFmt w:val="decimal"/>
      <w:lvlText w:val="%1.%2.%3.%4.%5.%6.%7"/>
      <w:lvlJc w:val="left"/>
      <w:pPr>
        <w:ind w:left="3827" w:hanging="1276"/>
      </w:pPr>
      <w:rPr>
        <w:rFonts w:hint="default"/>
      </w:rPr>
    </w:lvl>
    <w:lvl w:ilvl="7" w:tentative="0">
      <w:start w:val="1"/>
      <w:numFmt w:val="decimal"/>
      <w:lvlText w:val="%1.%2.%3.%4.%5.%6.%7.%8"/>
      <w:lvlJc w:val="left"/>
      <w:pPr>
        <w:ind w:left="4394" w:hanging="1418"/>
      </w:pPr>
      <w:rPr>
        <w:rFonts w:hint="default"/>
      </w:rPr>
    </w:lvl>
    <w:lvl w:ilvl="8" w:tentative="0">
      <w:start w:val="1"/>
      <w:numFmt w:val="decimal"/>
      <w:lvlText w:val="%1.%2.%3.%4.%5.%6.%7.%8.%9"/>
      <w:lvlJc w:val="left"/>
      <w:pPr>
        <w:ind w:left="5102" w:hanging="1700"/>
      </w:pPr>
      <w:rPr>
        <w:rFonts w:hint="default"/>
      </w:rPr>
    </w:lvl>
  </w:abstractNum>
  <w:abstractNum w:abstractNumId="4">
    <w:nsid w:val="202317C0"/>
    <w:multiLevelType w:val="multilevel"/>
    <w:tmpl w:val="202317C0"/>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2E2DFE"/>
    <w:multiLevelType w:val="multilevel"/>
    <w:tmpl w:val="2C2E2DFE"/>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8B58C5"/>
    <w:multiLevelType w:val="multilevel"/>
    <w:tmpl w:val="358B58C5"/>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4C50F90"/>
    <w:multiLevelType w:val="multilevel"/>
    <w:tmpl w:val="44C50F90"/>
    <w:lvl w:ilvl="0" w:tentative="0">
      <w:start w:val="1"/>
      <w:numFmt w:val="lowerLetter"/>
      <w:pStyle w:val="177"/>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5AAB23C4"/>
    <w:multiLevelType w:val="singleLevel"/>
    <w:tmpl w:val="5AAB23C4"/>
    <w:lvl w:ilvl="0" w:tentative="0">
      <w:start w:val="1"/>
      <w:numFmt w:val="decimal"/>
      <w:lvlText w:val="%1."/>
      <w:lvlJc w:val="left"/>
      <w:pPr>
        <w:tabs>
          <w:tab w:val="left" w:pos="312"/>
        </w:tabs>
      </w:pPr>
    </w:lvl>
  </w:abstractNum>
  <w:abstractNum w:abstractNumId="9">
    <w:nsid w:val="611B067D"/>
    <w:multiLevelType w:val="singleLevel"/>
    <w:tmpl w:val="611B067D"/>
    <w:lvl w:ilvl="0" w:tentative="0">
      <w:start w:val="2"/>
      <w:numFmt w:val="decimal"/>
      <w:suff w:val="nothing"/>
      <w:lvlText w:val="%1."/>
      <w:lvlJc w:val="left"/>
    </w:lvl>
  </w:abstractNum>
  <w:abstractNum w:abstractNumId="10">
    <w:nsid w:val="63BD26E5"/>
    <w:multiLevelType w:val="multilevel"/>
    <w:tmpl w:val="63BD26E5"/>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8C0A925"/>
    <w:multiLevelType w:val="singleLevel"/>
    <w:tmpl w:val="68C0A925"/>
    <w:lvl w:ilvl="0" w:tentative="0">
      <w:start w:val="1"/>
      <w:numFmt w:val="decimal"/>
      <w:lvlText w:val="%1."/>
      <w:lvlJc w:val="left"/>
      <w:pPr>
        <w:tabs>
          <w:tab w:val="left" w:pos="312"/>
        </w:tabs>
      </w:pPr>
    </w:lvl>
  </w:abstractNum>
  <w:abstractNum w:abstractNumId="12">
    <w:nsid w:val="75F0393B"/>
    <w:multiLevelType w:val="multilevel"/>
    <w:tmpl w:val="75F0393B"/>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6044202"/>
    <w:multiLevelType w:val="multilevel"/>
    <w:tmpl w:val="76044202"/>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8513BC5"/>
    <w:multiLevelType w:val="singleLevel"/>
    <w:tmpl w:val="78513BC5"/>
    <w:lvl w:ilvl="0" w:tentative="0">
      <w:start w:val="1"/>
      <w:numFmt w:val="decimal"/>
      <w:lvlText w:val="%1."/>
      <w:lvlJc w:val="left"/>
      <w:pPr>
        <w:tabs>
          <w:tab w:val="left" w:pos="312"/>
        </w:tabs>
      </w:pPr>
    </w:lvl>
  </w:abstractNum>
  <w:abstractNum w:abstractNumId="15">
    <w:nsid w:val="7D8CEABA"/>
    <w:multiLevelType w:val="singleLevel"/>
    <w:tmpl w:val="7D8CEABA"/>
    <w:lvl w:ilvl="0" w:tentative="0">
      <w:start w:val="1"/>
      <w:numFmt w:val="decimal"/>
      <w:lvlText w:val="%1."/>
      <w:lvlJc w:val="left"/>
      <w:pPr>
        <w:tabs>
          <w:tab w:val="left" w:pos="312"/>
        </w:tabs>
      </w:pPr>
    </w:lvl>
  </w:abstractNum>
  <w:num w:numId="1">
    <w:abstractNumId w:val="7"/>
  </w:num>
  <w:num w:numId="2">
    <w:abstractNumId w:val="3"/>
  </w:num>
  <w:num w:numId="3">
    <w:abstractNumId w:val="2"/>
  </w:num>
  <w:num w:numId="4">
    <w:abstractNumId w:val="11"/>
  </w:num>
  <w:num w:numId="5">
    <w:abstractNumId w:val="0"/>
  </w:num>
  <w:num w:numId="6">
    <w:abstractNumId w:val="9"/>
  </w:num>
  <w:num w:numId="7">
    <w:abstractNumId w:val="14"/>
  </w:num>
  <w:num w:numId="8">
    <w:abstractNumId w:val="8"/>
  </w:num>
  <w:num w:numId="9">
    <w:abstractNumId w:val="15"/>
  </w:num>
  <w:num w:numId="10">
    <w:abstractNumId w:val="1"/>
  </w:num>
  <w:num w:numId="11">
    <w:abstractNumId w:val="4"/>
  </w:num>
  <w:num w:numId="12">
    <w:abstractNumId w:val="6"/>
  </w:num>
  <w:num w:numId="13">
    <w:abstractNumId w:val="5"/>
  </w:num>
  <w:num w:numId="14">
    <w:abstractNumId w:val="1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hNzcwNDU4NWYyMTNhODhmODllNDE5YmExZDM1MzUifQ=="/>
  </w:docVars>
  <w:rsids>
    <w:rsidRoot w:val="00F17660"/>
    <w:rsid w:val="000008E9"/>
    <w:rsid w:val="000061D3"/>
    <w:rsid w:val="000100B6"/>
    <w:rsid w:val="00012D35"/>
    <w:rsid w:val="000145C3"/>
    <w:rsid w:val="00026258"/>
    <w:rsid w:val="00032A67"/>
    <w:rsid w:val="0003397B"/>
    <w:rsid w:val="00035174"/>
    <w:rsid w:val="000372BE"/>
    <w:rsid w:val="000416A9"/>
    <w:rsid w:val="000428AA"/>
    <w:rsid w:val="00044DAA"/>
    <w:rsid w:val="00051C63"/>
    <w:rsid w:val="00055845"/>
    <w:rsid w:val="00064C35"/>
    <w:rsid w:val="00070EA5"/>
    <w:rsid w:val="00071F57"/>
    <w:rsid w:val="000729F7"/>
    <w:rsid w:val="00072CD8"/>
    <w:rsid w:val="00074FB7"/>
    <w:rsid w:val="00080093"/>
    <w:rsid w:val="00081F7E"/>
    <w:rsid w:val="00084957"/>
    <w:rsid w:val="00085272"/>
    <w:rsid w:val="000901A5"/>
    <w:rsid w:val="00097FEF"/>
    <w:rsid w:val="000B1246"/>
    <w:rsid w:val="000B1799"/>
    <w:rsid w:val="000B1C01"/>
    <w:rsid w:val="000B4998"/>
    <w:rsid w:val="000B5DFC"/>
    <w:rsid w:val="000C4F1E"/>
    <w:rsid w:val="000D6710"/>
    <w:rsid w:val="000E00B0"/>
    <w:rsid w:val="000E3262"/>
    <w:rsid w:val="000F51EC"/>
    <w:rsid w:val="00105A32"/>
    <w:rsid w:val="001258B5"/>
    <w:rsid w:val="0013365B"/>
    <w:rsid w:val="00134B95"/>
    <w:rsid w:val="00137098"/>
    <w:rsid w:val="00145F4C"/>
    <w:rsid w:val="00146E13"/>
    <w:rsid w:val="0015099D"/>
    <w:rsid w:val="00161349"/>
    <w:rsid w:val="00162EF8"/>
    <w:rsid w:val="001673C2"/>
    <w:rsid w:val="00167EE1"/>
    <w:rsid w:val="00180195"/>
    <w:rsid w:val="0018028A"/>
    <w:rsid w:val="00183AF5"/>
    <w:rsid w:val="00183F17"/>
    <w:rsid w:val="00186263"/>
    <w:rsid w:val="00187FFC"/>
    <w:rsid w:val="001900B5"/>
    <w:rsid w:val="00195F03"/>
    <w:rsid w:val="001A2D84"/>
    <w:rsid w:val="001A2E31"/>
    <w:rsid w:val="001A7B36"/>
    <w:rsid w:val="001B2402"/>
    <w:rsid w:val="001B4788"/>
    <w:rsid w:val="001C0216"/>
    <w:rsid w:val="001C0E1B"/>
    <w:rsid w:val="001C585D"/>
    <w:rsid w:val="001D054A"/>
    <w:rsid w:val="001D0F0B"/>
    <w:rsid w:val="001D14AC"/>
    <w:rsid w:val="001E0817"/>
    <w:rsid w:val="00203128"/>
    <w:rsid w:val="0020338F"/>
    <w:rsid w:val="002039EF"/>
    <w:rsid w:val="00211E9B"/>
    <w:rsid w:val="00214257"/>
    <w:rsid w:val="0021662F"/>
    <w:rsid w:val="0022624D"/>
    <w:rsid w:val="0023102E"/>
    <w:rsid w:val="00235260"/>
    <w:rsid w:val="0024113E"/>
    <w:rsid w:val="00242BE0"/>
    <w:rsid w:val="00244428"/>
    <w:rsid w:val="00245A8B"/>
    <w:rsid w:val="002460BD"/>
    <w:rsid w:val="0024619A"/>
    <w:rsid w:val="00254B05"/>
    <w:rsid w:val="0025691A"/>
    <w:rsid w:val="002654F1"/>
    <w:rsid w:val="0027375F"/>
    <w:rsid w:val="00280913"/>
    <w:rsid w:val="00281378"/>
    <w:rsid w:val="002B6559"/>
    <w:rsid w:val="002B6907"/>
    <w:rsid w:val="002C2875"/>
    <w:rsid w:val="002C756F"/>
    <w:rsid w:val="002C7E2E"/>
    <w:rsid w:val="002D2357"/>
    <w:rsid w:val="002E0004"/>
    <w:rsid w:val="002E0498"/>
    <w:rsid w:val="002E6F74"/>
    <w:rsid w:val="002F27A2"/>
    <w:rsid w:val="00314982"/>
    <w:rsid w:val="00324612"/>
    <w:rsid w:val="00327557"/>
    <w:rsid w:val="0033625C"/>
    <w:rsid w:val="00346A00"/>
    <w:rsid w:val="0035008C"/>
    <w:rsid w:val="00361B72"/>
    <w:rsid w:val="00362C5C"/>
    <w:rsid w:val="0036406F"/>
    <w:rsid w:val="003845BF"/>
    <w:rsid w:val="0039776A"/>
    <w:rsid w:val="003A00C2"/>
    <w:rsid w:val="003A43F1"/>
    <w:rsid w:val="003B19A9"/>
    <w:rsid w:val="003B292D"/>
    <w:rsid w:val="003B7D98"/>
    <w:rsid w:val="003D059B"/>
    <w:rsid w:val="003D0C4E"/>
    <w:rsid w:val="003D5F5E"/>
    <w:rsid w:val="003E30CC"/>
    <w:rsid w:val="003F0224"/>
    <w:rsid w:val="00402509"/>
    <w:rsid w:val="00405E56"/>
    <w:rsid w:val="00414002"/>
    <w:rsid w:val="00421B9E"/>
    <w:rsid w:val="00424CE0"/>
    <w:rsid w:val="0043289B"/>
    <w:rsid w:val="00440F34"/>
    <w:rsid w:val="004477E3"/>
    <w:rsid w:val="004524CE"/>
    <w:rsid w:val="00453ACA"/>
    <w:rsid w:val="0046434D"/>
    <w:rsid w:val="00464B2E"/>
    <w:rsid w:val="00464DCB"/>
    <w:rsid w:val="0047665C"/>
    <w:rsid w:val="00480024"/>
    <w:rsid w:val="004852D7"/>
    <w:rsid w:val="004901BA"/>
    <w:rsid w:val="00494546"/>
    <w:rsid w:val="004A5071"/>
    <w:rsid w:val="004B1612"/>
    <w:rsid w:val="004D27EC"/>
    <w:rsid w:val="004E153F"/>
    <w:rsid w:val="004E6BD7"/>
    <w:rsid w:val="004F4F18"/>
    <w:rsid w:val="004F594F"/>
    <w:rsid w:val="004F789B"/>
    <w:rsid w:val="005119E4"/>
    <w:rsid w:val="00512783"/>
    <w:rsid w:val="00515052"/>
    <w:rsid w:val="0051683B"/>
    <w:rsid w:val="00516DDD"/>
    <w:rsid w:val="00522A94"/>
    <w:rsid w:val="00526E98"/>
    <w:rsid w:val="00527980"/>
    <w:rsid w:val="00540315"/>
    <w:rsid w:val="00554172"/>
    <w:rsid w:val="00556FBE"/>
    <w:rsid w:val="00566F2F"/>
    <w:rsid w:val="0057607A"/>
    <w:rsid w:val="0058270E"/>
    <w:rsid w:val="00583BD6"/>
    <w:rsid w:val="005862DE"/>
    <w:rsid w:val="0059199B"/>
    <w:rsid w:val="00592E79"/>
    <w:rsid w:val="0059400B"/>
    <w:rsid w:val="00594D31"/>
    <w:rsid w:val="005A2A73"/>
    <w:rsid w:val="005B1DB4"/>
    <w:rsid w:val="005B5AF2"/>
    <w:rsid w:val="005B64BA"/>
    <w:rsid w:val="005C369E"/>
    <w:rsid w:val="005C7B1C"/>
    <w:rsid w:val="005D57D6"/>
    <w:rsid w:val="005E037A"/>
    <w:rsid w:val="005E26E8"/>
    <w:rsid w:val="005E5A69"/>
    <w:rsid w:val="005F0E8E"/>
    <w:rsid w:val="005F2A47"/>
    <w:rsid w:val="006001D8"/>
    <w:rsid w:val="00600F98"/>
    <w:rsid w:val="00601C52"/>
    <w:rsid w:val="00602138"/>
    <w:rsid w:val="00607676"/>
    <w:rsid w:val="0061004B"/>
    <w:rsid w:val="00615A80"/>
    <w:rsid w:val="006216D9"/>
    <w:rsid w:val="00621D1F"/>
    <w:rsid w:val="00622ECF"/>
    <w:rsid w:val="00624EC2"/>
    <w:rsid w:val="0063288C"/>
    <w:rsid w:val="00647E48"/>
    <w:rsid w:val="00661C0B"/>
    <w:rsid w:val="00662021"/>
    <w:rsid w:val="00667C64"/>
    <w:rsid w:val="00667EDA"/>
    <w:rsid w:val="00671FB0"/>
    <w:rsid w:val="00674586"/>
    <w:rsid w:val="00675DC5"/>
    <w:rsid w:val="00686DED"/>
    <w:rsid w:val="006A0012"/>
    <w:rsid w:val="006A5096"/>
    <w:rsid w:val="006B0744"/>
    <w:rsid w:val="006D136F"/>
    <w:rsid w:val="006D1AC4"/>
    <w:rsid w:val="006D1B49"/>
    <w:rsid w:val="006D3071"/>
    <w:rsid w:val="006D6462"/>
    <w:rsid w:val="006E3F27"/>
    <w:rsid w:val="006E440D"/>
    <w:rsid w:val="006E71D2"/>
    <w:rsid w:val="006F1097"/>
    <w:rsid w:val="00706755"/>
    <w:rsid w:val="00711A20"/>
    <w:rsid w:val="00717F8A"/>
    <w:rsid w:val="00722ED0"/>
    <w:rsid w:val="00726EA1"/>
    <w:rsid w:val="00734DC7"/>
    <w:rsid w:val="00736243"/>
    <w:rsid w:val="00747D53"/>
    <w:rsid w:val="00751B55"/>
    <w:rsid w:val="00753C46"/>
    <w:rsid w:val="00765DE2"/>
    <w:rsid w:val="00780672"/>
    <w:rsid w:val="00793B4D"/>
    <w:rsid w:val="007A0129"/>
    <w:rsid w:val="007B1495"/>
    <w:rsid w:val="007B49C8"/>
    <w:rsid w:val="007B4DFE"/>
    <w:rsid w:val="007C1C3F"/>
    <w:rsid w:val="007C64E4"/>
    <w:rsid w:val="007D1A6D"/>
    <w:rsid w:val="007D2058"/>
    <w:rsid w:val="007D5260"/>
    <w:rsid w:val="007D54D6"/>
    <w:rsid w:val="007E7492"/>
    <w:rsid w:val="00800DA8"/>
    <w:rsid w:val="00804276"/>
    <w:rsid w:val="008125EF"/>
    <w:rsid w:val="008205BC"/>
    <w:rsid w:val="008312B9"/>
    <w:rsid w:val="008355AC"/>
    <w:rsid w:val="00835E8E"/>
    <w:rsid w:val="00837BD1"/>
    <w:rsid w:val="00844AAF"/>
    <w:rsid w:val="008464A9"/>
    <w:rsid w:val="00855FEE"/>
    <w:rsid w:val="00860AD5"/>
    <w:rsid w:val="00861094"/>
    <w:rsid w:val="008637CF"/>
    <w:rsid w:val="00877081"/>
    <w:rsid w:val="00877425"/>
    <w:rsid w:val="008776DA"/>
    <w:rsid w:val="0088723C"/>
    <w:rsid w:val="008930F7"/>
    <w:rsid w:val="0089373E"/>
    <w:rsid w:val="008A0A3A"/>
    <w:rsid w:val="008A4617"/>
    <w:rsid w:val="008A65F9"/>
    <w:rsid w:val="008B0130"/>
    <w:rsid w:val="008B0556"/>
    <w:rsid w:val="008B132D"/>
    <w:rsid w:val="008B1800"/>
    <w:rsid w:val="008B5C72"/>
    <w:rsid w:val="008C360E"/>
    <w:rsid w:val="008C73D3"/>
    <w:rsid w:val="008D1A2A"/>
    <w:rsid w:val="008D4754"/>
    <w:rsid w:val="008D5026"/>
    <w:rsid w:val="008E119A"/>
    <w:rsid w:val="008F2696"/>
    <w:rsid w:val="008F4D5C"/>
    <w:rsid w:val="00901D50"/>
    <w:rsid w:val="00903AA2"/>
    <w:rsid w:val="00933FFC"/>
    <w:rsid w:val="00947E08"/>
    <w:rsid w:val="00947FAF"/>
    <w:rsid w:val="00964603"/>
    <w:rsid w:val="00965291"/>
    <w:rsid w:val="00967371"/>
    <w:rsid w:val="00971D3D"/>
    <w:rsid w:val="009A16E8"/>
    <w:rsid w:val="009B111E"/>
    <w:rsid w:val="009B3F9C"/>
    <w:rsid w:val="009B512C"/>
    <w:rsid w:val="009D2DC2"/>
    <w:rsid w:val="009D37C9"/>
    <w:rsid w:val="009E48D9"/>
    <w:rsid w:val="009E5CFD"/>
    <w:rsid w:val="009F0EDC"/>
    <w:rsid w:val="009F3282"/>
    <w:rsid w:val="00A01477"/>
    <w:rsid w:val="00A01A2E"/>
    <w:rsid w:val="00A03FD7"/>
    <w:rsid w:val="00A07483"/>
    <w:rsid w:val="00A1744D"/>
    <w:rsid w:val="00A218A2"/>
    <w:rsid w:val="00A222EC"/>
    <w:rsid w:val="00A27B7A"/>
    <w:rsid w:val="00A37EA1"/>
    <w:rsid w:val="00A4114F"/>
    <w:rsid w:val="00A43DCD"/>
    <w:rsid w:val="00A4766B"/>
    <w:rsid w:val="00A479F1"/>
    <w:rsid w:val="00A71B15"/>
    <w:rsid w:val="00A75050"/>
    <w:rsid w:val="00A75455"/>
    <w:rsid w:val="00A77D80"/>
    <w:rsid w:val="00A81B97"/>
    <w:rsid w:val="00A83EDB"/>
    <w:rsid w:val="00A872E3"/>
    <w:rsid w:val="00A9474D"/>
    <w:rsid w:val="00AA30C2"/>
    <w:rsid w:val="00AD1AAD"/>
    <w:rsid w:val="00AD1F36"/>
    <w:rsid w:val="00AD71D8"/>
    <w:rsid w:val="00AE11A1"/>
    <w:rsid w:val="00AE1996"/>
    <w:rsid w:val="00AE20AC"/>
    <w:rsid w:val="00AF7A57"/>
    <w:rsid w:val="00AF7ABB"/>
    <w:rsid w:val="00B05083"/>
    <w:rsid w:val="00B1545F"/>
    <w:rsid w:val="00B22B1F"/>
    <w:rsid w:val="00B2319A"/>
    <w:rsid w:val="00B303D7"/>
    <w:rsid w:val="00B36546"/>
    <w:rsid w:val="00B43FB1"/>
    <w:rsid w:val="00B5025A"/>
    <w:rsid w:val="00B54E33"/>
    <w:rsid w:val="00B63BD2"/>
    <w:rsid w:val="00B64BB6"/>
    <w:rsid w:val="00B66AD4"/>
    <w:rsid w:val="00B80058"/>
    <w:rsid w:val="00B85D24"/>
    <w:rsid w:val="00B9439E"/>
    <w:rsid w:val="00BA3A31"/>
    <w:rsid w:val="00BA5044"/>
    <w:rsid w:val="00BA7B29"/>
    <w:rsid w:val="00BB08D6"/>
    <w:rsid w:val="00BB2C0A"/>
    <w:rsid w:val="00BC614F"/>
    <w:rsid w:val="00BD7876"/>
    <w:rsid w:val="00BD7A51"/>
    <w:rsid w:val="00BE0A00"/>
    <w:rsid w:val="00BF6683"/>
    <w:rsid w:val="00BF67DF"/>
    <w:rsid w:val="00C030C1"/>
    <w:rsid w:val="00C21A02"/>
    <w:rsid w:val="00C2752C"/>
    <w:rsid w:val="00C425CA"/>
    <w:rsid w:val="00C452ED"/>
    <w:rsid w:val="00C50FFD"/>
    <w:rsid w:val="00C61143"/>
    <w:rsid w:val="00C63338"/>
    <w:rsid w:val="00C704C6"/>
    <w:rsid w:val="00C7069B"/>
    <w:rsid w:val="00C77343"/>
    <w:rsid w:val="00C835AF"/>
    <w:rsid w:val="00C85C30"/>
    <w:rsid w:val="00C86A26"/>
    <w:rsid w:val="00C93D32"/>
    <w:rsid w:val="00C93E3B"/>
    <w:rsid w:val="00C95499"/>
    <w:rsid w:val="00C95EFF"/>
    <w:rsid w:val="00C9722B"/>
    <w:rsid w:val="00CA5BBA"/>
    <w:rsid w:val="00CA7189"/>
    <w:rsid w:val="00CB02C4"/>
    <w:rsid w:val="00CB1259"/>
    <w:rsid w:val="00CD1051"/>
    <w:rsid w:val="00CD54EF"/>
    <w:rsid w:val="00CE485A"/>
    <w:rsid w:val="00CF3BF2"/>
    <w:rsid w:val="00D0511A"/>
    <w:rsid w:val="00D23F14"/>
    <w:rsid w:val="00D24DE8"/>
    <w:rsid w:val="00D2569B"/>
    <w:rsid w:val="00D30A0C"/>
    <w:rsid w:val="00D37A1E"/>
    <w:rsid w:val="00D406CF"/>
    <w:rsid w:val="00D50192"/>
    <w:rsid w:val="00D56D4B"/>
    <w:rsid w:val="00D57899"/>
    <w:rsid w:val="00D61861"/>
    <w:rsid w:val="00D70127"/>
    <w:rsid w:val="00D74CA3"/>
    <w:rsid w:val="00D74EF4"/>
    <w:rsid w:val="00D91E81"/>
    <w:rsid w:val="00D942EC"/>
    <w:rsid w:val="00D964E4"/>
    <w:rsid w:val="00DB018B"/>
    <w:rsid w:val="00DB5A9D"/>
    <w:rsid w:val="00DB69E0"/>
    <w:rsid w:val="00DD23E6"/>
    <w:rsid w:val="00DD448D"/>
    <w:rsid w:val="00DD472F"/>
    <w:rsid w:val="00DD5EEA"/>
    <w:rsid w:val="00DD758D"/>
    <w:rsid w:val="00DE5A07"/>
    <w:rsid w:val="00DE6D0C"/>
    <w:rsid w:val="00DE7DCC"/>
    <w:rsid w:val="00DF35D7"/>
    <w:rsid w:val="00DF3EDB"/>
    <w:rsid w:val="00E026CC"/>
    <w:rsid w:val="00E028F9"/>
    <w:rsid w:val="00E067D2"/>
    <w:rsid w:val="00E06B5F"/>
    <w:rsid w:val="00E16CA9"/>
    <w:rsid w:val="00E17A28"/>
    <w:rsid w:val="00E254D6"/>
    <w:rsid w:val="00E26467"/>
    <w:rsid w:val="00E36F0F"/>
    <w:rsid w:val="00E41024"/>
    <w:rsid w:val="00E4150B"/>
    <w:rsid w:val="00E41595"/>
    <w:rsid w:val="00E439E5"/>
    <w:rsid w:val="00E47991"/>
    <w:rsid w:val="00E47A19"/>
    <w:rsid w:val="00E51624"/>
    <w:rsid w:val="00E52345"/>
    <w:rsid w:val="00E61780"/>
    <w:rsid w:val="00E64C73"/>
    <w:rsid w:val="00E724A3"/>
    <w:rsid w:val="00E81C9E"/>
    <w:rsid w:val="00E93FA0"/>
    <w:rsid w:val="00E9711D"/>
    <w:rsid w:val="00EA6D4E"/>
    <w:rsid w:val="00EB2529"/>
    <w:rsid w:val="00EC7253"/>
    <w:rsid w:val="00ED0A1D"/>
    <w:rsid w:val="00ED0E97"/>
    <w:rsid w:val="00ED40EC"/>
    <w:rsid w:val="00EE0EE7"/>
    <w:rsid w:val="00EE3444"/>
    <w:rsid w:val="00EF1810"/>
    <w:rsid w:val="00EF7F1F"/>
    <w:rsid w:val="00F052DD"/>
    <w:rsid w:val="00F05F51"/>
    <w:rsid w:val="00F07E65"/>
    <w:rsid w:val="00F11C27"/>
    <w:rsid w:val="00F13787"/>
    <w:rsid w:val="00F16469"/>
    <w:rsid w:val="00F17660"/>
    <w:rsid w:val="00F23876"/>
    <w:rsid w:val="00F238C8"/>
    <w:rsid w:val="00F26823"/>
    <w:rsid w:val="00F26D30"/>
    <w:rsid w:val="00F31EB4"/>
    <w:rsid w:val="00F326FE"/>
    <w:rsid w:val="00F42FFF"/>
    <w:rsid w:val="00F462CB"/>
    <w:rsid w:val="00F55E0B"/>
    <w:rsid w:val="00F65323"/>
    <w:rsid w:val="00F659ED"/>
    <w:rsid w:val="00F76C64"/>
    <w:rsid w:val="00F868C4"/>
    <w:rsid w:val="00FA50FD"/>
    <w:rsid w:val="00FB1287"/>
    <w:rsid w:val="00FB4718"/>
    <w:rsid w:val="00FC0A2F"/>
    <w:rsid w:val="00FC1CAF"/>
    <w:rsid w:val="00FC3A69"/>
    <w:rsid w:val="00FC7F00"/>
    <w:rsid w:val="00FE0BCE"/>
    <w:rsid w:val="00FE43DE"/>
    <w:rsid w:val="028D0821"/>
    <w:rsid w:val="0565181B"/>
    <w:rsid w:val="06711231"/>
    <w:rsid w:val="0B6D1085"/>
    <w:rsid w:val="0D01653F"/>
    <w:rsid w:val="12E066EF"/>
    <w:rsid w:val="144F679D"/>
    <w:rsid w:val="164B31B4"/>
    <w:rsid w:val="19897720"/>
    <w:rsid w:val="1F3542A4"/>
    <w:rsid w:val="2841227E"/>
    <w:rsid w:val="381E5E4A"/>
    <w:rsid w:val="42DA6547"/>
    <w:rsid w:val="4C5B0C46"/>
    <w:rsid w:val="4DFC07C0"/>
    <w:rsid w:val="5D2852C4"/>
    <w:rsid w:val="5FDF20F7"/>
    <w:rsid w:val="62FF4B4C"/>
    <w:rsid w:val="649A2907"/>
    <w:rsid w:val="6F7C6EDF"/>
    <w:rsid w:val="707324D0"/>
    <w:rsid w:val="712511B4"/>
    <w:rsid w:val="724E167C"/>
    <w:rsid w:val="72C61959"/>
    <w:rsid w:val="7428537F"/>
    <w:rsid w:val="76285B0A"/>
    <w:rsid w:val="7E801F6E"/>
    <w:rsid w:val="7E8B5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tLeast"/>
    </w:pPr>
    <w:rPr>
      <w:rFonts w:ascii="Courier New" w:hAnsi="宋体" w:eastAsia="黑体" w:cs="宋体"/>
      <w:sz w:val="24"/>
      <w:lang w:val="en-US" w:eastAsia="zh-CN" w:bidi="ar-SA"/>
    </w:rPr>
  </w:style>
  <w:style w:type="paragraph" w:styleId="2">
    <w:name w:val="heading 1"/>
    <w:basedOn w:val="1"/>
    <w:next w:val="1"/>
    <w:link w:val="63"/>
    <w:qFormat/>
    <w:uiPriority w:val="0"/>
    <w:pPr>
      <w:spacing w:before="340" w:after="330" w:line="576" w:lineRule="auto"/>
      <w:jc w:val="both"/>
      <w:outlineLvl w:val="0"/>
    </w:pPr>
    <w:rPr>
      <w:b/>
      <w:sz w:val="44"/>
    </w:rPr>
  </w:style>
  <w:style w:type="paragraph" w:styleId="3">
    <w:name w:val="heading 2"/>
    <w:basedOn w:val="1"/>
    <w:next w:val="1"/>
    <w:link w:val="64"/>
    <w:qFormat/>
    <w:uiPriority w:val="0"/>
    <w:pPr>
      <w:spacing w:before="260" w:after="260" w:line="416" w:lineRule="atLeast"/>
      <w:outlineLvl w:val="1"/>
    </w:pPr>
    <w:rPr>
      <w:rFonts w:ascii="黑体"/>
      <w:b/>
      <w:sz w:val="28"/>
    </w:rPr>
  </w:style>
  <w:style w:type="paragraph" w:styleId="4">
    <w:name w:val="heading 3"/>
    <w:basedOn w:val="1"/>
    <w:next w:val="1"/>
    <w:link w:val="65"/>
    <w:qFormat/>
    <w:uiPriority w:val="0"/>
    <w:pPr>
      <w:spacing w:before="260" w:after="260" w:line="416" w:lineRule="atLeast"/>
      <w:outlineLvl w:val="2"/>
    </w:pPr>
    <w:rPr>
      <w:b/>
      <w:sz w:val="32"/>
    </w:rPr>
  </w:style>
  <w:style w:type="paragraph" w:styleId="5">
    <w:name w:val="heading 4"/>
    <w:basedOn w:val="1"/>
    <w:next w:val="1"/>
    <w:link w:val="66"/>
    <w:autoRedefine/>
    <w:qFormat/>
    <w:uiPriority w:val="0"/>
    <w:pPr>
      <w:spacing w:line="360" w:lineRule="auto"/>
      <w:ind w:left="454"/>
      <w:outlineLvl w:val="3"/>
    </w:pPr>
    <w:rPr>
      <w:rFonts w:ascii="黑体"/>
      <w:i/>
    </w:rPr>
  </w:style>
  <w:style w:type="paragraph" w:styleId="6">
    <w:name w:val="heading 5"/>
    <w:basedOn w:val="1"/>
    <w:next w:val="1"/>
    <w:link w:val="67"/>
    <w:autoRedefine/>
    <w:qFormat/>
    <w:uiPriority w:val="0"/>
    <w:pPr>
      <w:spacing w:line="460" w:lineRule="exact"/>
      <w:ind w:left="2775" w:firstLine="510"/>
      <w:outlineLvl w:val="4"/>
    </w:pPr>
  </w:style>
  <w:style w:type="paragraph" w:styleId="7">
    <w:name w:val="heading 6"/>
    <w:basedOn w:val="1"/>
    <w:next w:val="1"/>
    <w:link w:val="68"/>
    <w:qFormat/>
    <w:uiPriority w:val="0"/>
    <w:pPr>
      <w:spacing w:line="460" w:lineRule="exact"/>
      <w:ind w:left="3195" w:firstLine="510"/>
      <w:outlineLvl w:val="5"/>
    </w:pPr>
  </w:style>
  <w:style w:type="paragraph" w:styleId="8">
    <w:name w:val="heading 7"/>
    <w:basedOn w:val="1"/>
    <w:next w:val="1"/>
    <w:link w:val="69"/>
    <w:qFormat/>
    <w:uiPriority w:val="0"/>
    <w:pPr>
      <w:spacing w:line="460" w:lineRule="exact"/>
      <w:ind w:left="964" w:hanging="340"/>
      <w:outlineLvl w:val="6"/>
    </w:pPr>
  </w:style>
  <w:style w:type="paragraph" w:styleId="9">
    <w:name w:val="heading 8"/>
    <w:basedOn w:val="1"/>
    <w:next w:val="1"/>
    <w:link w:val="70"/>
    <w:autoRedefine/>
    <w:qFormat/>
    <w:uiPriority w:val="0"/>
    <w:pPr>
      <w:spacing w:line="460" w:lineRule="exact"/>
      <w:ind w:left="1021" w:hanging="284"/>
      <w:outlineLvl w:val="7"/>
    </w:pPr>
  </w:style>
  <w:style w:type="paragraph" w:styleId="10">
    <w:name w:val="heading 9"/>
    <w:basedOn w:val="1"/>
    <w:next w:val="1"/>
    <w:link w:val="71"/>
    <w:autoRedefine/>
    <w:qFormat/>
    <w:uiPriority w:val="0"/>
    <w:pPr>
      <w:spacing w:before="240" w:after="64" w:line="320" w:lineRule="atLeast"/>
      <w:ind w:left="4455" w:hanging="420"/>
      <w:outlineLvl w:val="8"/>
    </w:pPr>
    <w:rPr>
      <w:rFonts w:ascii="Garamond" w:eastAsia="Wingdings"/>
    </w:rPr>
  </w:style>
  <w:style w:type="character" w:default="1" w:styleId="56">
    <w:name w:val="Default Paragraph Font"/>
    <w:autoRedefine/>
    <w:semiHidden/>
    <w:unhideWhenUsed/>
    <w:qFormat/>
    <w:uiPriority w:val="1"/>
  </w:style>
  <w:style w:type="table" w:default="1" w:styleId="54">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1440"/>
    </w:pPr>
    <w:rPr>
      <w:sz w:val="18"/>
    </w:rPr>
  </w:style>
  <w:style w:type="paragraph" w:styleId="12">
    <w:name w:val="index 8"/>
    <w:basedOn w:val="1"/>
    <w:next w:val="1"/>
    <w:autoRedefine/>
    <w:qFormat/>
    <w:uiPriority w:val="0"/>
    <w:pPr>
      <w:spacing w:line="240" w:lineRule="auto"/>
      <w:ind w:left="1680" w:hanging="210"/>
    </w:pPr>
    <w:rPr>
      <w:sz w:val="21"/>
    </w:rPr>
  </w:style>
  <w:style w:type="paragraph" w:styleId="13">
    <w:name w:val="Normal Indent"/>
    <w:basedOn w:val="1"/>
    <w:autoRedefine/>
    <w:qFormat/>
    <w:uiPriority w:val="0"/>
    <w:pPr>
      <w:ind w:firstLine="420"/>
    </w:pPr>
  </w:style>
  <w:style w:type="paragraph" w:styleId="14">
    <w:name w:val="caption"/>
    <w:basedOn w:val="1"/>
    <w:next w:val="1"/>
    <w:autoRedefine/>
    <w:qFormat/>
    <w:uiPriority w:val="0"/>
    <w:pPr>
      <w:widowControl/>
      <w:spacing w:line="240" w:lineRule="auto"/>
      <w:jc w:val="both"/>
    </w:pPr>
    <w:rPr>
      <w:rFonts w:ascii="Times New Roman"/>
      <w:i/>
      <w:sz w:val="21"/>
    </w:rPr>
  </w:style>
  <w:style w:type="paragraph" w:styleId="15">
    <w:name w:val="index 5"/>
    <w:basedOn w:val="1"/>
    <w:next w:val="1"/>
    <w:qFormat/>
    <w:uiPriority w:val="0"/>
    <w:pPr>
      <w:spacing w:line="240" w:lineRule="auto"/>
      <w:ind w:left="1050" w:hanging="210"/>
    </w:pPr>
    <w:rPr>
      <w:sz w:val="21"/>
    </w:rPr>
  </w:style>
  <w:style w:type="paragraph" w:styleId="16">
    <w:name w:val="Document Map"/>
    <w:basedOn w:val="1"/>
    <w:link w:val="115"/>
    <w:autoRedefine/>
    <w:qFormat/>
    <w:uiPriority w:val="0"/>
    <w:pPr>
      <w:shd w:val="clear" w:color="000000" w:fill="000080"/>
    </w:pPr>
  </w:style>
  <w:style w:type="paragraph" w:styleId="17">
    <w:name w:val="annotation text"/>
    <w:basedOn w:val="1"/>
    <w:link w:val="112"/>
    <w:autoRedefine/>
    <w:unhideWhenUsed/>
    <w:qFormat/>
    <w:uiPriority w:val="0"/>
  </w:style>
  <w:style w:type="paragraph" w:styleId="18">
    <w:name w:val="index 6"/>
    <w:basedOn w:val="1"/>
    <w:next w:val="1"/>
    <w:qFormat/>
    <w:uiPriority w:val="0"/>
    <w:pPr>
      <w:spacing w:line="240" w:lineRule="auto"/>
      <w:ind w:left="1260" w:hanging="210"/>
    </w:pPr>
    <w:rPr>
      <w:sz w:val="21"/>
    </w:rPr>
  </w:style>
  <w:style w:type="paragraph" w:styleId="19">
    <w:name w:val="Body Text 3"/>
    <w:basedOn w:val="1"/>
    <w:next w:val="20"/>
    <w:link w:val="125"/>
    <w:autoRedefine/>
    <w:qFormat/>
    <w:uiPriority w:val="0"/>
    <w:pPr>
      <w:widowControl/>
      <w:autoSpaceDE w:val="0"/>
      <w:autoSpaceDN w:val="0"/>
      <w:spacing w:line="460" w:lineRule="exact"/>
      <w:jc w:val="center"/>
    </w:pPr>
    <w:rPr>
      <w:rFonts w:ascii="黑体"/>
      <w:sz w:val="28"/>
    </w:rPr>
  </w:style>
  <w:style w:type="paragraph" w:styleId="20">
    <w:name w:val="Plain Text"/>
    <w:basedOn w:val="1"/>
    <w:link w:val="119"/>
    <w:autoRedefine/>
    <w:qFormat/>
    <w:uiPriority w:val="0"/>
    <w:pPr>
      <w:spacing w:line="240" w:lineRule="auto"/>
      <w:jc w:val="both"/>
    </w:pPr>
    <w:rPr>
      <w:rFonts w:ascii="黑体"/>
      <w:sz w:val="21"/>
    </w:rPr>
  </w:style>
  <w:style w:type="paragraph" w:styleId="21">
    <w:name w:val="Body Text"/>
    <w:basedOn w:val="1"/>
    <w:link w:val="118"/>
    <w:qFormat/>
    <w:uiPriority w:val="0"/>
    <w:pPr>
      <w:spacing w:after="120"/>
    </w:pPr>
  </w:style>
  <w:style w:type="paragraph" w:styleId="22">
    <w:name w:val="Body Text Indent"/>
    <w:basedOn w:val="1"/>
    <w:next w:val="23"/>
    <w:link w:val="122"/>
    <w:autoRedefine/>
    <w:qFormat/>
    <w:uiPriority w:val="0"/>
    <w:pPr>
      <w:spacing w:line="280" w:lineRule="atLeast"/>
      <w:ind w:left="900" w:hanging="50"/>
      <w:jc w:val="both"/>
    </w:pPr>
  </w:style>
  <w:style w:type="paragraph" w:styleId="23">
    <w:name w:val="Date"/>
    <w:basedOn w:val="1"/>
    <w:next w:val="1"/>
    <w:link w:val="117"/>
    <w:qFormat/>
    <w:uiPriority w:val="0"/>
    <w:pPr>
      <w:jc w:val="both"/>
    </w:pPr>
    <w:rPr>
      <w:rFonts w:ascii="黑体"/>
    </w:rPr>
  </w:style>
  <w:style w:type="paragraph" w:styleId="24">
    <w:name w:val="Block Text"/>
    <w:basedOn w:val="1"/>
    <w:next w:val="25"/>
    <w:autoRedefine/>
    <w:qFormat/>
    <w:uiPriority w:val="0"/>
    <w:pPr>
      <w:spacing w:before="60" w:after="120" w:line="320" w:lineRule="exact"/>
      <w:ind w:left="420" w:right="-357"/>
      <w:jc w:val="both"/>
    </w:pPr>
    <w:rPr>
      <w:rFonts w:ascii="黑体"/>
      <w:color w:val="000000"/>
      <w:sz w:val="28"/>
    </w:rPr>
  </w:style>
  <w:style w:type="paragraph" w:styleId="25">
    <w:name w:val="header"/>
    <w:basedOn w:val="1"/>
    <w:link w:val="116"/>
    <w:autoRedefine/>
    <w:qFormat/>
    <w:uiPriority w:val="99"/>
    <w:pPr>
      <w:spacing w:line="240" w:lineRule="atLeast"/>
      <w:jc w:val="center"/>
    </w:pPr>
    <w:rPr>
      <w:sz w:val="18"/>
    </w:rPr>
  </w:style>
  <w:style w:type="paragraph" w:styleId="26">
    <w:name w:val="index 4"/>
    <w:basedOn w:val="1"/>
    <w:next w:val="1"/>
    <w:autoRedefine/>
    <w:qFormat/>
    <w:uiPriority w:val="0"/>
    <w:pPr>
      <w:spacing w:line="240" w:lineRule="auto"/>
      <w:ind w:left="840" w:hanging="210"/>
    </w:pPr>
    <w:rPr>
      <w:sz w:val="21"/>
    </w:rPr>
  </w:style>
  <w:style w:type="paragraph" w:styleId="27">
    <w:name w:val="toc 5"/>
    <w:basedOn w:val="1"/>
    <w:next w:val="1"/>
    <w:autoRedefine/>
    <w:qFormat/>
    <w:uiPriority w:val="0"/>
    <w:pPr>
      <w:ind w:left="960"/>
    </w:pPr>
    <w:rPr>
      <w:sz w:val="18"/>
    </w:rPr>
  </w:style>
  <w:style w:type="paragraph" w:styleId="28">
    <w:name w:val="toc 3"/>
    <w:basedOn w:val="1"/>
    <w:next w:val="1"/>
    <w:autoRedefine/>
    <w:qFormat/>
    <w:uiPriority w:val="0"/>
    <w:pPr>
      <w:ind w:left="480"/>
    </w:pPr>
    <w:rPr>
      <w:i/>
      <w:sz w:val="20"/>
    </w:rPr>
  </w:style>
  <w:style w:type="paragraph" w:styleId="29">
    <w:name w:val="toc 8"/>
    <w:basedOn w:val="1"/>
    <w:next w:val="1"/>
    <w:autoRedefine/>
    <w:qFormat/>
    <w:uiPriority w:val="0"/>
    <w:pPr>
      <w:ind w:left="1680"/>
    </w:pPr>
    <w:rPr>
      <w:sz w:val="18"/>
    </w:rPr>
  </w:style>
  <w:style w:type="paragraph" w:styleId="30">
    <w:name w:val="index 3"/>
    <w:basedOn w:val="1"/>
    <w:next w:val="1"/>
    <w:autoRedefine/>
    <w:qFormat/>
    <w:uiPriority w:val="0"/>
    <w:pPr>
      <w:spacing w:line="240" w:lineRule="auto"/>
      <w:ind w:left="630" w:hanging="210"/>
    </w:pPr>
    <w:rPr>
      <w:sz w:val="21"/>
    </w:rPr>
  </w:style>
  <w:style w:type="paragraph" w:styleId="31">
    <w:name w:val="Body Text Indent 2"/>
    <w:basedOn w:val="1"/>
    <w:next w:val="30"/>
    <w:link w:val="124"/>
    <w:autoRedefine/>
    <w:qFormat/>
    <w:uiPriority w:val="0"/>
    <w:pPr>
      <w:spacing w:line="280" w:lineRule="atLeast"/>
      <w:ind w:firstLine="435"/>
      <w:jc w:val="both"/>
    </w:pPr>
  </w:style>
  <w:style w:type="paragraph" w:styleId="32">
    <w:name w:val="Balloon Text"/>
    <w:basedOn w:val="1"/>
    <w:link w:val="111"/>
    <w:autoRedefine/>
    <w:qFormat/>
    <w:uiPriority w:val="0"/>
    <w:rPr>
      <w:sz w:val="18"/>
    </w:rPr>
  </w:style>
  <w:style w:type="paragraph" w:styleId="33">
    <w:name w:val="footer"/>
    <w:basedOn w:val="1"/>
    <w:next w:val="29"/>
    <w:link w:val="126"/>
    <w:autoRedefine/>
    <w:qFormat/>
    <w:uiPriority w:val="99"/>
    <w:pPr>
      <w:spacing w:line="240" w:lineRule="atLeast"/>
    </w:pPr>
    <w:rPr>
      <w:sz w:val="18"/>
    </w:rPr>
  </w:style>
  <w:style w:type="paragraph" w:styleId="34">
    <w:name w:val="toc 1"/>
    <w:basedOn w:val="1"/>
    <w:next w:val="1"/>
    <w:autoRedefine/>
    <w:qFormat/>
    <w:uiPriority w:val="39"/>
    <w:pPr>
      <w:spacing w:before="120" w:after="120"/>
    </w:pPr>
    <w:rPr>
      <w:b/>
      <w:caps/>
      <w:sz w:val="20"/>
    </w:rPr>
  </w:style>
  <w:style w:type="paragraph" w:styleId="35">
    <w:name w:val="toc 4"/>
    <w:basedOn w:val="1"/>
    <w:next w:val="1"/>
    <w:autoRedefine/>
    <w:qFormat/>
    <w:uiPriority w:val="0"/>
    <w:pPr>
      <w:ind w:left="720"/>
    </w:pPr>
    <w:rPr>
      <w:sz w:val="18"/>
    </w:rPr>
  </w:style>
  <w:style w:type="paragraph" w:styleId="36">
    <w:name w:val="index heading"/>
    <w:basedOn w:val="1"/>
    <w:next w:val="37"/>
    <w:autoRedefine/>
    <w:qFormat/>
    <w:uiPriority w:val="0"/>
    <w:pPr>
      <w:spacing w:before="120" w:after="120" w:line="240" w:lineRule="auto"/>
    </w:pPr>
    <w:rPr>
      <w:b/>
      <w:i/>
      <w:sz w:val="21"/>
    </w:rPr>
  </w:style>
  <w:style w:type="paragraph" w:styleId="37">
    <w:name w:val="Normal (Web)"/>
    <w:basedOn w:val="1"/>
    <w:autoRedefine/>
    <w:qFormat/>
    <w:uiPriority w:val="99"/>
    <w:pPr>
      <w:widowControl/>
      <w:spacing w:before="100" w:after="100" w:line="240" w:lineRule="auto"/>
    </w:pPr>
    <w:rPr>
      <w:rFonts w:ascii="黑体"/>
    </w:rPr>
  </w:style>
  <w:style w:type="paragraph" w:styleId="38">
    <w:name w:val="Subtitle"/>
    <w:next w:val="1"/>
    <w:link w:val="72"/>
    <w:autoRedefine/>
    <w:qFormat/>
    <w:uiPriority w:val="0"/>
    <w:pPr>
      <w:wordWrap w:val="0"/>
      <w:spacing w:after="60"/>
      <w:jc w:val="center"/>
    </w:pPr>
    <w:rPr>
      <w:rFonts w:ascii="宋体" w:hAnsi="宋体" w:eastAsia="宋体" w:cs="宋体"/>
      <w:sz w:val="24"/>
      <w:lang w:val="en-US" w:eastAsia="zh-CN" w:bidi="ar-SA"/>
    </w:rPr>
  </w:style>
  <w:style w:type="paragraph" w:styleId="39">
    <w:name w:val="footnote text"/>
    <w:basedOn w:val="1"/>
    <w:next w:val="21"/>
    <w:link w:val="123"/>
    <w:autoRedefine/>
    <w:qFormat/>
    <w:uiPriority w:val="0"/>
    <w:pPr>
      <w:spacing w:line="240" w:lineRule="auto"/>
    </w:pPr>
    <w:rPr>
      <w:rFonts w:eastAsia="宋体"/>
      <w:sz w:val="18"/>
    </w:rPr>
  </w:style>
  <w:style w:type="paragraph" w:styleId="40">
    <w:name w:val="toc 6"/>
    <w:basedOn w:val="1"/>
    <w:next w:val="1"/>
    <w:autoRedefine/>
    <w:qFormat/>
    <w:uiPriority w:val="0"/>
    <w:pPr>
      <w:ind w:left="1200"/>
    </w:pPr>
    <w:rPr>
      <w:sz w:val="18"/>
    </w:rPr>
  </w:style>
  <w:style w:type="paragraph" w:styleId="41">
    <w:name w:val="Body Text Indent 3"/>
    <w:basedOn w:val="1"/>
    <w:link w:val="114"/>
    <w:autoRedefine/>
    <w:qFormat/>
    <w:uiPriority w:val="0"/>
    <w:pPr>
      <w:spacing w:line="280" w:lineRule="atLeast"/>
      <w:ind w:left="900" w:hanging="40"/>
      <w:jc w:val="both"/>
    </w:pPr>
  </w:style>
  <w:style w:type="paragraph" w:styleId="42">
    <w:name w:val="index 7"/>
    <w:basedOn w:val="1"/>
    <w:next w:val="1"/>
    <w:autoRedefine/>
    <w:qFormat/>
    <w:uiPriority w:val="0"/>
    <w:pPr>
      <w:spacing w:line="240" w:lineRule="auto"/>
      <w:ind w:left="1470" w:hanging="210"/>
    </w:pPr>
    <w:rPr>
      <w:sz w:val="21"/>
    </w:rPr>
  </w:style>
  <w:style w:type="paragraph" w:styleId="43">
    <w:name w:val="index 9"/>
    <w:basedOn w:val="1"/>
    <w:next w:val="1"/>
    <w:autoRedefine/>
    <w:qFormat/>
    <w:uiPriority w:val="0"/>
    <w:pPr>
      <w:spacing w:line="240" w:lineRule="auto"/>
      <w:ind w:left="1890" w:hanging="210"/>
    </w:pPr>
    <w:rPr>
      <w:sz w:val="21"/>
    </w:rPr>
  </w:style>
  <w:style w:type="paragraph" w:styleId="44">
    <w:name w:val="toc 2"/>
    <w:basedOn w:val="1"/>
    <w:next w:val="1"/>
    <w:autoRedefine/>
    <w:qFormat/>
    <w:uiPriority w:val="39"/>
    <w:pPr>
      <w:ind w:left="240"/>
    </w:pPr>
    <w:rPr>
      <w:smallCaps/>
      <w:sz w:val="20"/>
    </w:rPr>
  </w:style>
  <w:style w:type="paragraph" w:styleId="45">
    <w:name w:val="toc 9"/>
    <w:basedOn w:val="1"/>
    <w:next w:val="1"/>
    <w:autoRedefine/>
    <w:qFormat/>
    <w:uiPriority w:val="0"/>
    <w:pPr>
      <w:ind w:left="1920"/>
    </w:pPr>
    <w:rPr>
      <w:sz w:val="18"/>
    </w:rPr>
  </w:style>
  <w:style w:type="paragraph" w:styleId="46">
    <w:name w:val="Body Text 2"/>
    <w:basedOn w:val="1"/>
    <w:next w:val="14"/>
    <w:link w:val="121"/>
    <w:autoRedefine/>
    <w:qFormat/>
    <w:uiPriority w:val="0"/>
    <w:pPr>
      <w:spacing w:after="120" w:line="480" w:lineRule="auto"/>
    </w:pPr>
  </w:style>
  <w:style w:type="paragraph" w:styleId="47">
    <w:name w:val="index 1"/>
    <w:basedOn w:val="1"/>
    <w:next w:val="1"/>
    <w:autoRedefine/>
    <w:qFormat/>
    <w:uiPriority w:val="0"/>
    <w:pPr>
      <w:spacing w:line="240" w:lineRule="auto"/>
      <w:ind w:left="210" w:hanging="210"/>
    </w:pPr>
    <w:rPr>
      <w:sz w:val="21"/>
    </w:rPr>
  </w:style>
  <w:style w:type="paragraph" w:styleId="48">
    <w:name w:val="index 2"/>
    <w:basedOn w:val="1"/>
    <w:next w:val="1"/>
    <w:autoRedefine/>
    <w:qFormat/>
    <w:uiPriority w:val="0"/>
    <w:pPr>
      <w:spacing w:line="240" w:lineRule="auto"/>
      <w:ind w:left="420" w:hanging="210"/>
    </w:pPr>
    <w:rPr>
      <w:sz w:val="21"/>
    </w:rPr>
  </w:style>
  <w:style w:type="paragraph" w:styleId="49">
    <w:name w:val="Title"/>
    <w:basedOn w:val="1"/>
    <w:link w:val="172"/>
    <w:autoRedefine/>
    <w:qFormat/>
    <w:uiPriority w:val="0"/>
    <w:pPr>
      <w:spacing w:before="240" w:after="60" w:line="240" w:lineRule="auto"/>
      <w:jc w:val="center"/>
      <w:outlineLvl w:val="0"/>
    </w:pPr>
    <w:rPr>
      <w:rFonts w:ascii="Arial" w:hAnsi="Arial" w:eastAsia="宋体" w:cs="Times New Roman"/>
      <w:b/>
      <w:kern w:val="2"/>
      <w:sz w:val="32"/>
    </w:rPr>
  </w:style>
  <w:style w:type="paragraph" w:styleId="50">
    <w:name w:val="annotation subject"/>
    <w:next w:val="26"/>
    <w:link w:val="113"/>
    <w:autoRedefine/>
    <w:qFormat/>
    <w:uiPriority w:val="0"/>
    <w:pPr>
      <w:widowControl w:val="0"/>
      <w:spacing w:line="360" w:lineRule="atLeast"/>
    </w:pPr>
    <w:rPr>
      <w:rFonts w:ascii="Courier New" w:hAnsi="宋体" w:eastAsia="黑体" w:cs="宋体"/>
      <w:b/>
      <w:sz w:val="24"/>
      <w:lang w:val="en-US" w:eastAsia="zh-CN" w:bidi="ar-SA"/>
    </w:rPr>
  </w:style>
  <w:style w:type="paragraph" w:styleId="51">
    <w:name w:val="Body Text First Indent"/>
    <w:next w:val="52"/>
    <w:link w:val="166"/>
    <w:autoRedefine/>
    <w:qFormat/>
    <w:uiPriority w:val="0"/>
    <w:pPr>
      <w:widowControl w:val="0"/>
      <w:spacing w:after="120" w:line="360" w:lineRule="atLeast"/>
      <w:ind w:firstLine="420"/>
    </w:pPr>
    <w:rPr>
      <w:rFonts w:ascii="宋体" w:hAnsi="宋体" w:eastAsia="宋体" w:cs="宋体"/>
      <w:sz w:val="24"/>
      <w:lang w:val="en-US" w:eastAsia="zh-CN" w:bidi="ar-SA"/>
    </w:rPr>
  </w:style>
  <w:style w:type="paragraph" w:customStyle="1" w:styleId="52">
    <w:name w:val="Char Char Char Char Char Char"/>
    <w:basedOn w:val="1"/>
    <w:next w:val="53"/>
    <w:autoRedefine/>
    <w:qFormat/>
    <w:uiPriority w:val="0"/>
    <w:pPr>
      <w:spacing w:line="240" w:lineRule="auto"/>
      <w:jc w:val="both"/>
    </w:pPr>
    <w:rPr>
      <w:sz w:val="21"/>
    </w:rPr>
  </w:style>
  <w:style w:type="paragraph" w:customStyle="1" w:styleId="53">
    <w:name w:val="正文1"/>
    <w:basedOn w:val="1"/>
    <w:next w:val="48"/>
    <w:autoRedefine/>
    <w:qFormat/>
    <w:uiPriority w:val="0"/>
    <w:rPr>
      <w:rFonts w:ascii="黑体"/>
    </w:rPr>
  </w:style>
  <w:style w:type="table" w:styleId="55">
    <w:name w:val="Table Grid"/>
    <w:basedOn w:val="54"/>
    <w:autoRedefine/>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autoRedefine/>
    <w:qFormat/>
    <w:uiPriority w:val="22"/>
    <w:rPr>
      <w:b/>
      <w:sz w:val="20"/>
    </w:rPr>
  </w:style>
  <w:style w:type="character" w:styleId="58">
    <w:name w:val="page number"/>
    <w:autoRedefine/>
    <w:qFormat/>
    <w:uiPriority w:val="0"/>
    <w:rPr>
      <w:sz w:val="20"/>
    </w:rPr>
  </w:style>
  <w:style w:type="character" w:styleId="59">
    <w:name w:val="Emphasis"/>
    <w:autoRedefine/>
    <w:qFormat/>
    <w:uiPriority w:val="0"/>
    <w:rPr>
      <w:i/>
      <w:sz w:val="21"/>
    </w:rPr>
  </w:style>
  <w:style w:type="character" w:styleId="60">
    <w:name w:val="Hyperlink"/>
    <w:autoRedefine/>
    <w:qFormat/>
    <w:uiPriority w:val="99"/>
    <w:rPr>
      <w:color w:val="0000FF"/>
      <w:sz w:val="20"/>
      <w:u w:val="single"/>
    </w:rPr>
  </w:style>
  <w:style w:type="character" w:styleId="61">
    <w:name w:val="annotation reference"/>
    <w:autoRedefine/>
    <w:qFormat/>
    <w:uiPriority w:val="0"/>
    <w:rPr>
      <w:sz w:val="20"/>
    </w:rPr>
  </w:style>
  <w:style w:type="character" w:styleId="62">
    <w:name w:val="footnote reference"/>
    <w:autoRedefine/>
    <w:qFormat/>
    <w:uiPriority w:val="0"/>
    <w:rPr>
      <w:sz w:val="20"/>
      <w:vertAlign w:val="superscript"/>
    </w:rPr>
  </w:style>
  <w:style w:type="character" w:customStyle="1" w:styleId="63">
    <w:name w:val="标题 1 Char"/>
    <w:basedOn w:val="56"/>
    <w:link w:val="2"/>
    <w:autoRedefine/>
    <w:qFormat/>
    <w:uiPriority w:val="0"/>
    <w:rPr>
      <w:rFonts w:ascii="Courier New" w:hAnsi="宋体" w:eastAsia="黑体" w:cs="宋体"/>
      <w:b/>
      <w:kern w:val="0"/>
      <w:sz w:val="44"/>
      <w:szCs w:val="20"/>
    </w:rPr>
  </w:style>
  <w:style w:type="character" w:customStyle="1" w:styleId="64">
    <w:name w:val="标题 2 Char"/>
    <w:basedOn w:val="56"/>
    <w:link w:val="3"/>
    <w:autoRedefine/>
    <w:qFormat/>
    <w:uiPriority w:val="0"/>
    <w:rPr>
      <w:rFonts w:ascii="黑体" w:hAnsi="宋体" w:eastAsia="黑体" w:cs="宋体"/>
      <w:b/>
      <w:kern w:val="0"/>
      <w:sz w:val="28"/>
      <w:szCs w:val="20"/>
    </w:rPr>
  </w:style>
  <w:style w:type="character" w:customStyle="1" w:styleId="65">
    <w:name w:val="标题 3 Char"/>
    <w:basedOn w:val="56"/>
    <w:link w:val="4"/>
    <w:autoRedefine/>
    <w:qFormat/>
    <w:uiPriority w:val="0"/>
    <w:rPr>
      <w:rFonts w:ascii="Courier New" w:hAnsi="宋体" w:eastAsia="黑体" w:cs="宋体"/>
      <w:b/>
      <w:kern w:val="0"/>
      <w:sz w:val="32"/>
      <w:szCs w:val="20"/>
    </w:rPr>
  </w:style>
  <w:style w:type="character" w:customStyle="1" w:styleId="66">
    <w:name w:val="标题 4 Char"/>
    <w:basedOn w:val="56"/>
    <w:link w:val="5"/>
    <w:autoRedefine/>
    <w:qFormat/>
    <w:uiPriority w:val="0"/>
    <w:rPr>
      <w:rFonts w:ascii="黑体" w:hAnsi="宋体" w:eastAsia="黑体" w:cs="宋体"/>
      <w:i/>
      <w:kern w:val="0"/>
      <w:sz w:val="24"/>
      <w:szCs w:val="20"/>
    </w:rPr>
  </w:style>
  <w:style w:type="character" w:customStyle="1" w:styleId="67">
    <w:name w:val="标题 5 Char"/>
    <w:basedOn w:val="56"/>
    <w:link w:val="6"/>
    <w:autoRedefine/>
    <w:qFormat/>
    <w:uiPriority w:val="0"/>
    <w:rPr>
      <w:rFonts w:ascii="Courier New" w:hAnsi="宋体" w:eastAsia="黑体" w:cs="宋体"/>
      <w:kern w:val="0"/>
      <w:sz w:val="24"/>
      <w:szCs w:val="20"/>
    </w:rPr>
  </w:style>
  <w:style w:type="character" w:customStyle="1" w:styleId="68">
    <w:name w:val="标题 6 Char"/>
    <w:basedOn w:val="56"/>
    <w:link w:val="7"/>
    <w:autoRedefine/>
    <w:qFormat/>
    <w:uiPriority w:val="0"/>
    <w:rPr>
      <w:rFonts w:ascii="Courier New" w:hAnsi="宋体" w:eastAsia="黑体" w:cs="宋体"/>
      <w:kern w:val="0"/>
      <w:sz w:val="24"/>
      <w:szCs w:val="20"/>
    </w:rPr>
  </w:style>
  <w:style w:type="character" w:customStyle="1" w:styleId="69">
    <w:name w:val="标题 7 Char"/>
    <w:basedOn w:val="56"/>
    <w:link w:val="8"/>
    <w:autoRedefine/>
    <w:qFormat/>
    <w:uiPriority w:val="0"/>
    <w:rPr>
      <w:rFonts w:ascii="Courier New" w:hAnsi="宋体" w:eastAsia="黑体" w:cs="宋体"/>
      <w:kern w:val="0"/>
      <w:sz w:val="24"/>
      <w:szCs w:val="20"/>
    </w:rPr>
  </w:style>
  <w:style w:type="character" w:customStyle="1" w:styleId="70">
    <w:name w:val="标题 8 Char"/>
    <w:basedOn w:val="56"/>
    <w:link w:val="9"/>
    <w:autoRedefine/>
    <w:qFormat/>
    <w:uiPriority w:val="0"/>
    <w:rPr>
      <w:rFonts w:ascii="Courier New" w:hAnsi="宋体" w:eastAsia="黑体" w:cs="宋体"/>
      <w:kern w:val="0"/>
      <w:sz w:val="24"/>
      <w:szCs w:val="20"/>
    </w:rPr>
  </w:style>
  <w:style w:type="character" w:customStyle="1" w:styleId="71">
    <w:name w:val="标题 9 Char"/>
    <w:basedOn w:val="56"/>
    <w:link w:val="10"/>
    <w:qFormat/>
    <w:uiPriority w:val="0"/>
    <w:rPr>
      <w:rFonts w:ascii="Garamond" w:hAnsi="宋体" w:eastAsia="Wingdings" w:cs="宋体"/>
      <w:kern w:val="0"/>
      <w:sz w:val="24"/>
      <w:szCs w:val="20"/>
    </w:rPr>
  </w:style>
  <w:style w:type="character" w:customStyle="1" w:styleId="72">
    <w:name w:val="副标题 Char"/>
    <w:basedOn w:val="56"/>
    <w:link w:val="38"/>
    <w:autoRedefine/>
    <w:qFormat/>
    <w:uiPriority w:val="0"/>
    <w:rPr>
      <w:rFonts w:ascii="宋体" w:hAnsi="宋体" w:eastAsia="宋体" w:cs="宋体"/>
      <w:kern w:val="0"/>
      <w:sz w:val="24"/>
      <w:szCs w:val="20"/>
    </w:rPr>
  </w:style>
  <w:style w:type="character" w:customStyle="1" w:styleId="73">
    <w:name w:val="不明显强调1"/>
    <w:autoRedefine/>
    <w:qFormat/>
    <w:uiPriority w:val="0"/>
    <w:rPr>
      <w:i/>
      <w:color w:val="404040"/>
      <w:sz w:val="21"/>
    </w:rPr>
  </w:style>
  <w:style w:type="character" w:customStyle="1" w:styleId="74">
    <w:name w:val="明显强调1"/>
    <w:autoRedefine/>
    <w:qFormat/>
    <w:uiPriority w:val="0"/>
    <w:rPr>
      <w:i/>
      <w:color w:val="5B9BD5"/>
      <w:sz w:val="21"/>
    </w:rPr>
  </w:style>
  <w:style w:type="paragraph" w:styleId="75">
    <w:name w:val="Quote"/>
    <w:next w:val="1"/>
    <w:link w:val="76"/>
    <w:autoRedefine/>
    <w:qFormat/>
    <w:uiPriority w:val="0"/>
    <w:pPr>
      <w:wordWrap w:val="0"/>
      <w:spacing w:before="200" w:after="160"/>
      <w:ind w:left="864" w:right="864"/>
      <w:jc w:val="center"/>
    </w:pPr>
    <w:rPr>
      <w:rFonts w:ascii="宋体" w:hAnsi="宋体" w:eastAsia="宋体" w:cs="宋体"/>
      <w:i/>
      <w:color w:val="404040"/>
      <w:sz w:val="21"/>
      <w:lang w:val="en-US" w:eastAsia="zh-CN" w:bidi="ar-SA"/>
    </w:rPr>
  </w:style>
  <w:style w:type="character" w:customStyle="1" w:styleId="76">
    <w:name w:val="引用 Char"/>
    <w:basedOn w:val="56"/>
    <w:link w:val="75"/>
    <w:autoRedefine/>
    <w:qFormat/>
    <w:uiPriority w:val="0"/>
    <w:rPr>
      <w:rFonts w:ascii="宋体" w:hAnsi="宋体" w:eastAsia="宋体" w:cs="宋体"/>
      <w:i/>
      <w:color w:val="404040"/>
      <w:kern w:val="0"/>
      <w:szCs w:val="20"/>
    </w:rPr>
  </w:style>
  <w:style w:type="paragraph" w:styleId="77">
    <w:name w:val="Intense Quote"/>
    <w:next w:val="1"/>
    <w:link w:val="78"/>
    <w:autoRedefine/>
    <w:qFormat/>
    <w:uiPriority w:val="0"/>
    <w:pPr>
      <w:wordWrap w:val="0"/>
      <w:spacing w:before="360" w:after="360"/>
      <w:ind w:left="950" w:right="950"/>
      <w:jc w:val="center"/>
    </w:pPr>
    <w:rPr>
      <w:rFonts w:ascii="宋体" w:hAnsi="宋体" w:eastAsia="宋体" w:cs="宋体"/>
      <w:i/>
      <w:color w:val="5B9BD5"/>
      <w:sz w:val="21"/>
      <w:lang w:val="en-US" w:eastAsia="zh-CN" w:bidi="ar-SA"/>
    </w:rPr>
  </w:style>
  <w:style w:type="character" w:customStyle="1" w:styleId="78">
    <w:name w:val="明显引用 Char"/>
    <w:basedOn w:val="56"/>
    <w:link w:val="77"/>
    <w:autoRedefine/>
    <w:qFormat/>
    <w:uiPriority w:val="0"/>
    <w:rPr>
      <w:rFonts w:ascii="宋体" w:hAnsi="宋体" w:eastAsia="宋体" w:cs="宋体"/>
      <w:i/>
      <w:color w:val="5B9BD5"/>
      <w:kern w:val="0"/>
      <w:szCs w:val="20"/>
    </w:rPr>
  </w:style>
  <w:style w:type="character" w:customStyle="1" w:styleId="79">
    <w:name w:val="不明显参考1"/>
    <w:autoRedefine/>
    <w:qFormat/>
    <w:uiPriority w:val="0"/>
    <w:rPr>
      <w:color w:val="5A5A5A"/>
      <w:sz w:val="21"/>
    </w:rPr>
  </w:style>
  <w:style w:type="character" w:customStyle="1" w:styleId="80">
    <w:name w:val="明显参考1"/>
    <w:autoRedefine/>
    <w:qFormat/>
    <w:uiPriority w:val="0"/>
    <w:rPr>
      <w:b/>
      <w:color w:val="5B9BD5"/>
      <w:sz w:val="21"/>
    </w:rPr>
  </w:style>
  <w:style w:type="character" w:customStyle="1" w:styleId="81">
    <w:name w:val="书籍标题1"/>
    <w:autoRedefine/>
    <w:qFormat/>
    <w:uiPriority w:val="0"/>
    <w:rPr>
      <w:b/>
      <w:i/>
      <w:sz w:val="21"/>
    </w:rPr>
  </w:style>
  <w:style w:type="paragraph" w:styleId="82">
    <w:name w:val="List Paragraph"/>
    <w:next w:val="1"/>
    <w:autoRedefine/>
    <w:qFormat/>
    <w:uiPriority w:val="34"/>
    <w:pPr>
      <w:wordWrap w:val="0"/>
      <w:ind w:left="850"/>
      <w:jc w:val="both"/>
    </w:pPr>
    <w:rPr>
      <w:rFonts w:ascii="宋体" w:hAnsi="宋体" w:eastAsia="宋体" w:cs="宋体"/>
      <w:sz w:val="21"/>
      <w:lang w:val="en-US" w:eastAsia="zh-CN" w:bidi="ar-SA"/>
    </w:rPr>
  </w:style>
  <w:style w:type="paragraph" w:customStyle="1" w:styleId="83">
    <w:name w:val="TOC 标题1"/>
    <w:next w:val="1"/>
    <w:autoRedefine/>
    <w:qFormat/>
    <w:uiPriority w:val="0"/>
    <w:pPr>
      <w:wordWrap w:val="0"/>
    </w:pPr>
    <w:rPr>
      <w:rFonts w:ascii="宋体" w:hAnsi="宋体" w:eastAsia="宋体" w:cs="宋体"/>
      <w:color w:val="2E74B5"/>
      <w:sz w:val="32"/>
      <w:lang w:val="en-US" w:eastAsia="zh-CN" w:bidi="ar-SA"/>
    </w:rPr>
  </w:style>
  <w:style w:type="paragraph" w:customStyle="1" w:styleId="84">
    <w:name w:val="目录 21"/>
    <w:next w:val="1"/>
    <w:autoRedefine/>
    <w:qFormat/>
    <w:uiPriority w:val="0"/>
    <w:pPr>
      <w:wordWrap w:val="0"/>
      <w:jc w:val="both"/>
    </w:pPr>
    <w:rPr>
      <w:rFonts w:ascii="宋体" w:hAnsi="宋体" w:eastAsia="宋体" w:cs="宋体"/>
      <w:sz w:val="21"/>
      <w:lang w:val="en-US" w:eastAsia="zh-CN" w:bidi="ar-SA"/>
    </w:rPr>
  </w:style>
  <w:style w:type="paragraph" w:customStyle="1" w:styleId="85">
    <w:name w:val="目录 31"/>
    <w:next w:val="1"/>
    <w:autoRedefine/>
    <w:qFormat/>
    <w:uiPriority w:val="0"/>
    <w:pPr>
      <w:wordWrap w:val="0"/>
      <w:ind w:left="425"/>
      <w:jc w:val="both"/>
    </w:pPr>
    <w:rPr>
      <w:rFonts w:ascii="宋体" w:hAnsi="宋体" w:eastAsia="宋体" w:cs="宋体"/>
      <w:sz w:val="21"/>
      <w:lang w:val="en-US" w:eastAsia="zh-CN" w:bidi="ar-SA"/>
    </w:rPr>
  </w:style>
  <w:style w:type="paragraph" w:customStyle="1" w:styleId="86">
    <w:name w:val="目录 41"/>
    <w:next w:val="1"/>
    <w:autoRedefine/>
    <w:qFormat/>
    <w:uiPriority w:val="0"/>
    <w:pPr>
      <w:wordWrap w:val="0"/>
      <w:ind w:left="850"/>
      <w:jc w:val="both"/>
    </w:pPr>
    <w:rPr>
      <w:rFonts w:ascii="宋体" w:hAnsi="宋体" w:eastAsia="宋体" w:cs="宋体"/>
      <w:sz w:val="21"/>
      <w:lang w:val="en-US" w:eastAsia="zh-CN" w:bidi="ar-SA"/>
    </w:rPr>
  </w:style>
  <w:style w:type="paragraph" w:customStyle="1" w:styleId="87">
    <w:name w:val="目录 5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88">
    <w:name w:val="目录 6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89">
    <w:name w:val="目录 7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90">
    <w:name w:val="目录 8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91">
    <w:name w:val="目录 91"/>
    <w:next w:val="1"/>
    <w:qFormat/>
    <w:uiPriority w:val="0"/>
    <w:pPr>
      <w:wordWrap w:val="0"/>
      <w:ind w:left="2975"/>
      <w:jc w:val="both"/>
    </w:pPr>
    <w:rPr>
      <w:rFonts w:ascii="宋体" w:hAnsi="宋体" w:eastAsia="宋体" w:cs="宋体"/>
      <w:sz w:val="21"/>
      <w:lang w:val="en-US" w:eastAsia="zh-CN" w:bidi="ar-SA"/>
    </w:rPr>
  </w:style>
  <w:style w:type="paragraph" w:customStyle="1" w:styleId="92">
    <w:name w:val="正文缩进2"/>
    <w:next w:val="1"/>
    <w:autoRedefine/>
    <w:qFormat/>
    <w:uiPriority w:val="0"/>
    <w:pPr>
      <w:wordWrap w:val="0"/>
      <w:ind w:left="3400"/>
      <w:jc w:val="both"/>
    </w:pPr>
    <w:rPr>
      <w:rFonts w:ascii="宋体" w:hAnsi="宋体" w:eastAsia="宋体" w:cs="宋体"/>
      <w:sz w:val="21"/>
      <w:lang w:val="en-US" w:eastAsia="zh-CN" w:bidi="ar-SA"/>
    </w:rPr>
  </w:style>
  <w:style w:type="character" w:customStyle="1" w:styleId="93">
    <w:name w:val="页脚 Char"/>
    <w:autoRedefine/>
    <w:qFormat/>
    <w:uiPriority w:val="99"/>
    <w:rPr>
      <w:sz w:val="20"/>
    </w:rPr>
  </w:style>
  <w:style w:type="character" w:customStyle="1" w:styleId="94">
    <w:name w:val="Char Char11"/>
    <w:autoRedefine/>
    <w:qFormat/>
    <w:uiPriority w:val="0"/>
    <w:rPr>
      <w:b/>
      <w:sz w:val="20"/>
    </w:rPr>
  </w:style>
  <w:style w:type="character" w:customStyle="1" w:styleId="95">
    <w:name w:val="日期 Char"/>
    <w:autoRedefine/>
    <w:qFormat/>
    <w:uiPriority w:val="0"/>
    <w:rPr>
      <w:sz w:val="20"/>
    </w:rPr>
  </w:style>
  <w:style w:type="character" w:customStyle="1" w:styleId="96">
    <w:name w:val="页眉 Char"/>
    <w:autoRedefine/>
    <w:qFormat/>
    <w:uiPriority w:val="99"/>
    <w:rPr>
      <w:sz w:val="20"/>
    </w:rPr>
  </w:style>
  <w:style w:type="character" w:customStyle="1" w:styleId="97">
    <w:name w:val="正文缩进 Char"/>
    <w:autoRedefine/>
    <w:qFormat/>
    <w:uiPriority w:val="0"/>
    <w:rPr>
      <w:sz w:val="20"/>
    </w:rPr>
  </w:style>
  <w:style w:type="character" w:customStyle="1" w:styleId="98">
    <w:name w:val="正文文本 3 Char"/>
    <w:autoRedefine/>
    <w:qFormat/>
    <w:uiPriority w:val="0"/>
    <w:rPr>
      <w:sz w:val="20"/>
    </w:rPr>
  </w:style>
  <w:style w:type="character" w:customStyle="1" w:styleId="99">
    <w:name w:val="纯文本 Char"/>
    <w:autoRedefine/>
    <w:qFormat/>
    <w:uiPriority w:val="0"/>
    <w:rPr>
      <w:sz w:val="20"/>
    </w:rPr>
  </w:style>
  <w:style w:type="character" w:customStyle="1" w:styleId="100">
    <w:name w:val="首行缩进:  2 字符 Char"/>
    <w:autoRedefine/>
    <w:qFormat/>
    <w:uiPriority w:val="0"/>
    <w:rPr>
      <w:sz w:val="20"/>
    </w:rPr>
  </w:style>
  <w:style w:type="character" w:customStyle="1" w:styleId="101">
    <w:name w:val="脚注文本 Char"/>
    <w:autoRedefine/>
    <w:qFormat/>
    <w:uiPriority w:val="0"/>
    <w:rPr>
      <w:sz w:val="20"/>
    </w:rPr>
  </w:style>
  <w:style w:type="character" w:customStyle="1" w:styleId="102">
    <w:name w:val="脚注文本 Char1"/>
    <w:autoRedefine/>
    <w:qFormat/>
    <w:uiPriority w:val="0"/>
    <w:rPr>
      <w:sz w:val="20"/>
    </w:rPr>
  </w:style>
  <w:style w:type="character" w:customStyle="1" w:styleId="103">
    <w:name w:val="正文文本 Char"/>
    <w:autoRedefine/>
    <w:qFormat/>
    <w:uiPriority w:val="0"/>
    <w:rPr>
      <w:sz w:val="20"/>
    </w:rPr>
  </w:style>
  <w:style w:type="character" w:customStyle="1" w:styleId="104">
    <w:name w:val="正文文本 Char1"/>
    <w:autoRedefine/>
    <w:qFormat/>
    <w:uiPriority w:val="0"/>
    <w:rPr>
      <w:sz w:val="20"/>
    </w:rPr>
  </w:style>
  <w:style w:type="character" w:customStyle="1" w:styleId="105">
    <w:name w:val="正文文本缩进 Char"/>
    <w:autoRedefine/>
    <w:qFormat/>
    <w:uiPriority w:val="0"/>
    <w:rPr>
      <w:sz w:val="20"/>
    </w:rPr>
  </w:style>
  <w:style w:type="character" w:customStyle="1" w:styleId="106">
    <w:name w:val="正文文本缩进 Char1"/>
    <w:autoRedefine/>
    <w:qFormat/>
    <w:uiPriority w:val="0"/>
    <w:rPr>
      <w:sz w:val="20"/>
    </w:rPr>
  </w:style>
  <w:style w:type="character" w:customStyle="1" w:styleId="107">
    <w:name w:val="文档结构图 Char"/>
    <w:autoRedefine/>
    <w:qFormat/>
    <w:uiPriority w:val="0"/>
    <w:rPr>
      <w:sz w:val="20"/>
    </w:rPr>
  </w:style>
  <w:style w:type="character" w:customStyle="1" w:styleId="108">
    <w:name w:val="批注框文本 Char"/>
    <w:autoRedefine/>
    <w:qFormat/>
    <w:uiPriority w:val="0"/>
    <w:rPr>
      <w:sz w:val="20"/>
    </w:rPr>
  </w:style>
  <w:style w:type="character" w:customStyle="1" w:styleId="109">
    <w:name w:val="无间距字符"/>
    <w:autoRedefine/>
    <w:qFormat/>
    <w:uiPriority w:val="0"/>
    <w:rPr>
      <w:sz w:val="20"/>
    </w:rPr>
  </w:style>
  <w:style w:type="character" w:customStyle="1" w:styleId="110">
    <w:name w:val="正文 加粗"/>
    <w:autoRedefine/>
    <w:qFormat/>
    <w:uiPriority w:val="0"/>
    <w:rPr>
      <w:b/>
      <w:sz w:val="20"/>
    </w:rPr>
  </w:style>
  <w:style w:type="character" w:customStyle="1" w:styleId="111">
    <w:name w:val="批注框文本 Char1"/>
    <w:basedOn w:val="56"/>
    <w:link w:val="32"/>
    <w:autoRedefine/>
    <w:qFormat/>
    <w:uiPriority w:val="0"/>
    <w:rPr>
      <w:rFonts w:ascii="Courier New" w:hAnsi="宋体" w:eastAsia="黑体" w:cs="宋体"/>
      <w:kern w:val="0"/>
      <w:sz w:val="18"/>
      <w:szCs w:val="20"/>
    </w:rPr>
  </w:style>
  <w:style w:type="character" w:customStyle="1" w:styleId="112">
    <w:name w:val="批注文字 Char"/>
    <w:basedOn w:val="56"/>
    <w:link w:val="17"/>
    <w:autoRedefine/>
    <w:qFormat/>
    <w:uiPriority w:val="0"/>
    <w:rPr>
      <w:rFonts w:ascii="Courier New" w:hAnsi="宋体" w:eastAsia="黑体" w:cs="宋体"/>
      <w:kern w:val="0"/>
      <w:sz w:val="24"/>
      <w:szCs w:val="20"/>
    </w:rPr>
  </w:style>
  <w:style w:type="character" w:customStyle="1" w:styleId="113">
    <w:name w:val="批注主题 Char"/>
    <w:basedOn w:val="112"/>
    <w:link w:val="50"/>
    <w:autoRedefine/>
    <w:qFormat/>
    <w:uiPriority w:val="0"/>
    <w:rPr>
      <w:rFonts w:ascii="Courier New" w:hAnsi="宋体" w:eastAsia="黑体" w:cs="宋体"/>
      <w:b/>
      <w:kern w:val="0"/>
      <w:sz w:val="24"/>
      <w:szCs w:val="20"/>
    </w:rPr>
  </w:style>
  <w:style w:type="character" w:customStyle="1" w:styleId="114">
    <w:name w:val="正文文本缩进 3 Char"/>
    <w:basedOn w:val="56"/>
    <w:link w:val="41"/>
    <w:autoRedefine/>
    <w:qFormat/>
    <w:uiPriority w:val="0"/>
    <w:rPr>
      <w:rFonts w:ascii="Courier New" w:hAnsi="宋体" w:eastAsia="黑体" w:cs="宋体"/>
      <w:kern w:val="0"/>
      <w:sz w:val="24"/>
      <w:szCs w:val="20"/>
    </w:rPr>
  </w:style>
  <w:style w:type="character" w:customStyle="1" w:styleId="115">
    <w:name w:val="文档结构图 Char1"/>
    <w:basedOn w:val="56"/>
    <w:link w:val="16"/>
    <w:autoRedefine/>
    <w:qFormat/>
    <w:uiPriority w:val="0"/>
    <w:rPr>
      <w:rFonts w:ascii="Courier New" w:hAnsi="宋体" w:eastAsia="黑体" w:cs="宋体"/>
      <w:kern w:val="0"/>
      <w:sz w:val="24"/>
      <w:szCs w:val="20"/>
      <w:shd w:val="clear" w:color="000000" w:fill="000080"/>
    </w:rPr>
  </w:style>
  <w:style w:type="character" w:customStyle="1" w:styleId="116">
    <w:name w:val="页眉 Char1"/>
    <w:basedOn w:val="56"/>
    <w:link w:val="25"/>
    <w:autoRedefine/>
    <w:qFormat/>
    <w:uiPriority w:val="99"/>
    <w:rPr>
      <w:rFonts w:ascii="Courier New" w:hAnsi="宋体" w:eastAsia="黑体" w:cs="宋体"/>
      <w:kern w:val="0"/>
      <w:sz w:val="18"/>
      <w:szCs w:val="20"/>
    </w:rPr>
  </w:style>
  <w:style w:type="character" w:customStyle="1" w:styleId="117">
    <w:name w:val="日期 Char1"/>
    <w:basedOn w:val="56"/>
    <w:link w:val="23"/>
    <w:autoRedefine/>
    <w:qFormat/>
    <w:uiPriority w:val="0"/>
    <w:rPr>
      <w:rFonts w:ascii="黑体" w:hAnsi="宋体" w:eastAsia="黑体" w:cs="宋体"/>
      <w:kern w:val="0"/>
      <w:sz w:val="24"/>
      <w:szCs w:val="20"/>
    </w:rPr>
  </w:style>
  <w:style w:type="character" w:customStyle="1" w:styleId="118">
    <w:name w:val="正文文本 Char2"/>
    <w:basedOn w:val="56"/>
    <w:link w:val="21"/>
    <w:autoRedefine/>
    <w:qFormat/>
    <w:uiPriority w:val="0"/>
    <w:rPr>
      <w:rFonts w:ascii="Courier New" w:hAnsi="宋体" w:eastAsia="黑体" w:cs="宋体"/>
      <w:kern w:val="0"/>
      <w:sz w:val="24"/>
      <w:szCs w:val="20"/>
    </w:rPr>
  </w:style>
  <w:style w:type="character" w:customStyle="1" w:styleId="119">
    <w:name w:val="纯文本 Char1"/>
    <w:basedOn w:val="56"/>
    <w:link w:val="20"/>
    <w:autoRedefine/>
    <w:qFormat/>
    <w:uiPriority w:val="0"/>
    <w:rPr>
      <w:rFonts w:ascii="黑体" w:hAnsi="宋体" w:eastAsia="黑体" w:cs="宋体"/>
      <w:kern w:val="0"/>
      <w:szCs w:val="20"/>
    </w:rPr>
  </w:style>
  <w:style w:type="paragraph" w:customStyle="1" w:styleId="120">
    <w:name w:val="1 Char"/>
    <w:basedOn w:val="1"/>
    <w:autoRedefine/>
    <w:qFormat/>
    <w:uiPriority w:val="0"/>
    <w:pPr>
      <w:spacing w:line="240" w:lineRule="auto"/>
      <w:ind w:left="-48"/>
      <w:jc w:val="both"/>
    </w:pPr>
    <w:rPr>
      <w:sz w:val="21"/>
    </w:rPr>
  </w:style>
  <w:style w:type="character" w:customStyle="1" w:styleId="121">
    <w:name w:val="正文文本 2 Char"/>
    <w:basedOn w:val="56"/>
    <w:link w:val="46"/>
    <w:autoRedefine/>
    <w:qFormat/>
    <w:uiPriority w:val="0"/>
    <w:rPr>
      <w:rFonts w:ascii="Courier New" w:hAnsi="宋体" w:eastAsia="黑体" w:cs="宋体"/>
      <w:kern w:val="0"/>
      <w:sz w:val="24"/>
      <w:szCs w:val="20"/>
    </w:rPr>
  </w:style>
  <w:style w:type="character" w:customStyle="1" w:styleId="122">
    <w:name w:val="正文文本缩进 Char2"/>
    <w:basedOn w:val="56"/>
    <w:link w:val="22"/>
    <w:autoRedefine/>
    <w:qFormat/>
    <w:uiPriority w:val="0"/>
    <w:rPr>
      <w:rFonts w:ascii="Courier New" w:hAnsi="宋体" w:eastAsia="黑体" w:cs="宋体"/>
      <w:kern w:val="0"/>
      <w:sz w:val="24"/>
      <w:szCs w:val="20"/>
    </w:rPr>
  </w:style>
  <w:style w:type="character" w:customStyle="1" w:styleId="123">
    <w:name w:val="脚注文本 Char2"/>
    <w:basedOn w:val="56"/>
    <w:link w:val="39"/>
    <w:autoRedefine/>
    <w:qFormat/>
    <w:uiPriority w:val="0"/>
    <w:rPr>
      <w:rFonts w:ascii="Courier New" w:hAnsi="宋体" w:eastAsia="宋体" w:cs="宋体"/>
      <w:kern w:val="0"/>
      <w:sz w:val="18"/>
      <w:szCs w:val="20"/>
    </w:rPr>
  </w:style>
  <w:style w:type="character" w:customStyle="1" w:styleId="124">
    <w:name w:val="正文文本缩进 2 Char"/>
    <w:basedOn w:val="56"/>
    <w:link w:val="31"/>
    <w:autoRedefine/>
    <w:qFormat/>
    <w:uiPriority w:val="0"/>
    <w:rPr>
      <w:rFonts w:ascii="Courier New" w:hAnsi="宋体" w:eastAsia="黑体" w:cs="宋体"/>
      <w:kern w:val="0"/>
      <w:sz w:val="24"/>
      <w:szCs w:val="20"/>
    </w:rPr>
  </w:style>
  <w:style w:type="character" w:customStyle="1" w:styleId="125">
    <w:name w:val="正文文本 3 Char1"/>
    <w:basedOn w:val="56"/>
    <w:link w:val="19"/>
    <w:autoRedefine/>
    <w:qFormat/>
    <w:uiPriority w:val="0"/>
    <w:rPr>
      <w:rFonts w:ascii="黑体" w:hAnsi="宋体" w:eastAsia="黑体" w:cs="宋体"/>
      <w:kern w:val="0"/>
      <w:sz w:val="28"/>
      <w:szCs w:val="20"/>
    </w:rPr>
  </w:style>
  <w:style w:type="character" w:customStyle="1" w:styleId="126">
    <w:name w:val="页脚 Char1"/>
    <w:basedOn w:val="56"/>
    <w:link w:val="33"/>
    <w:autoRedefine/>
    <w:qFormat/>
    <w:uiPriority w:val="99"/>
    <w:rPr>
      <w:rFonts w:ascii="Courier New" w:hAnsi="宋体" w:eastAsia="黑体" w:cs="宋体"/>
      <w:kern w:val="0"/>
      <w:sz w:val="18"/>
      <w:szCs w:val="20"/>
    </w:rPr>
  </w:style>
  <w:style w:type="paragraph" w:customStyle="1" w:styleId="127">
    <w:name w:val="批注框文本 Char Char"/>
    <w:basedOn w:val="1"/>
    <w:next w:val="120"/>
    <w:autoRedefine/>
    <w:qFormat/>
    <w:uiPriority w:val="0"/>
    <w:pPr>
      <w:autoSpaceDE w:val="0"/>
      <w:autoSpaceDN w:val="0"/>
      <w:spacing w:line="240" w:lineRule="auto"/>
    </w:pPr>
    <w:rPr>
      <w:rFonts w:ascii="黑体"/>
      <w:sz w:val="18"/>
    </w:rPr>
  </w:style>
  <w:style w:type="paragraph" w:customStyle="1" w:styleId="128">
    <w:name w:val="Char Char Char Char Char Char Char"/>
    <w:basedOn w:val="1"/>
    <w:next w:val="28"/>
    <w:autoRedefine/>
    <w:qFormat/>
    <w:uiPriority w:val="0"/>
    <w:pPr>
      <w:spacing w:line="240" w:lineRule="auto"/>
      <w:ind w:left="-48"/>
      <w:jc w:val="both"/>
    </w:pPr>
    <w:rPr>
      <w:sz w:val="21"/>
    </w:rPr>
  </w:style>
  <w:style w:type="paragraph" w:customStyle="1" w:styleId="129">
    <w:name w:val="_Style 37"/>
    <w:basedOn w:val="1"/>
    <w:autoRedefine/>
    <w:qFormat/>
    <w:uiPriority w:val="0"/>
    <w:pPr>
      <w:spacing w:line="240" w:lineRule="auto"/>
      <w:ind w:firstLine="420"/>
      <w:jc w:val="both"/>
    </w:pPr>
    <w:rPr>
      <w:sz w:val="21"/>
    </w:rPr>
  </w:style>
  <w:style w:type="paragraph" w:customStyle="1" w:styleId="130">
    <w:name w:val="日期1"/>
    <w:basedOn w:val="1"/>
    <w:next w:val="1"/>
    <w:autoRedefine/>
    <w:qFormat/>
    <w:uiPriority w:val="0"/>
    <w:pPr>
      <w:spacing w:line="240" w:lineRule="auto"/>
      <w:jc w:val="both"/>
    </w:pPr>
  </w:style>
  <w:style w:type="paragraph" w:customStyle="1" w:styleId="131">
    <w:name w:val="样式1"/>
    <w:basedOn w:val="1"/>
    <w:next w:val="40"/>
    <w:link w:val="171"/>
    <w:autoRedefine/>
    <w:qFormat/>
    <w:uiPriority w:val="0"/>
    <w:pPr>
      <w:autoSpaceDE w:val="0"/>
      <w:autoSpaceDN w:val="0"/>
      <w:spacing w:line="288" w:lineRule="auto"/>
      <w:jc w:val="both"/>
    </w:pPr>
    <w:rPr>
      <w:rFonts w:ascii="黑体" w:cs="Times New Roman"/>
      <w:sz w:val="28"/>
    </w:rPr>
  </w:style>
  <w:style w:type="paragraph" w:customStyle="1" w:styleId="132">
    <w:name w:val="_Style 16"/>
    <w:basedOn w:val="1"/>
    <w:autoRedefine/>
    <w:qFormat/>
    <w:uiPriority w:val="0"/>
    <w:pPr>
      <w:spacing w:line="240" w:lineRule="auto"/>
      <w:jc w:val="both"/>
    </w:pPr>
    <w:rPr>
      <w:sz w:val="28"/>
    </w:rPr>
  </w:style>
  <w:style w:type="paragraph" w:customStyle="1" w:styleId="133">
    <w:name w:val="节"/>
    <w:basedOn w:val="3"/>
    <w:next w:val="34"/>
    <w:autoRedefine/>
    <w:qFormat/>
    <w:uiPriority w:val="0"/>
    <w:pPr>
      <w:spacing w:before="160" w:after="160" w:line="720" w:lineRule="exact"/>
      <w:jc w:val="center"/>
    </w:pPr>
    <w:rPr>
      <w:rFonts w:ascii="Times New Roman"/>
    </w:rPr>
  </w:style>
  <w:style w:type="paragraph" w:customStyle="1" w:styleId="134">
    <w:name w:val="样式2"/>
    <w:basedOn w:val="1"/>
    <w:next w:val="11"/>
    <w:autoRedefine/>
    <w:qFormat/>
    <w:uiPriority w:val="0"/>
    <w:pPr>
      <w:spacing w:line="410" w:lineRule="atLeast"/>
    </w:pPr>
  </w:style>
  <w:style w:type="paragraph" w:customStyle="1" w:styleId="135">
    <w:name w:val="无间距"/>
    <w:next w:val="27"/>
    <w:autoRedefine/>
    <w:qFormat/>
    <w:uiPriority w:val="0"/>
    <w:rPr>
      <w:rFonts w:ascii="Calibri" w:hAnsi="宋体" w:eastAsia="宋体" w:cs="宋体"/>
      <w:sz w:val="22"/>
      <w:lang w:val="en-US" w:eastAsia="zh-CN" w:bidi="ar-SA"/>
    </w:rPr>
  </w:style>
  <w:style w:type="paragraph" w:customStyle="1" w:styleId="136">
    <w:name w:val="默认段落字体 Para Char Char Char Char"/>
    <w:basedOn w:val="1"/>
    <w:next w:val="45"/>
    <w:autoRedefine/>
    <w:qFormat/>
    <w:uiPriority w:val="0"/>
    <w:pPr>
      <w:spacing w:line="240" w:lineRule="auto"/>
      <w:jc w:val="both"/>
    </w:pPr>
    <w:rPr>
      <w:sz w:val="21"/>
    </w:rPr>
  </w:style>
  <w:style w:type="paragraph" w:customStyle="1" w:styleId="137">
    <w:name w:val="Char Char Char1"/>
    <w:basedOn w:val="1"/>
    <w:next w:val="24"/>
    <w:autoRedefine/>
    <w:qFormat/>
    <w:uiPriority w:val="0"/>
    <w:pPr>
      <w:spacing w:before="312" w:line="240" w:lineRule="auto"/>
      <w:jc w:val="both"/>
    </w:pPr>
    <w:rPr>
      <w:sz w:val="21"/>
    </w:rPr>
  </w:style>
  <w:style w:type="paragraph" w:customStyle="1" w:styleId="138">
    <w:name w:val="样式 标题 1 + 小二 段前: 0 磅 段后: 0 磅 行距: 2 倍行距"/>
    <w:next w:val="42"/>
    <w:autoRedefine/>
    <w:qFormat/>
    <w:uiPriority w:val="0"/>
    <w:pPr>
      <w:spacing w:line="480" w:lineRule="auto"/>
      <w:ind w:firstLine="2530"/>
    </w:pPr>
    <w:rPr>
      <w:rFonts w:ascii="宋体" w:hAnsi="宋体" w:eastAsia="宋体" w:cs="宋体"/>
      <w:b/>
      <w:sz w:val="36"/>
      <w:lang w:val="en-US" w:eastAsia="zh-CN" w:bidi="ar-SA"/>
    </w:rPr>
  </w:style>
  <w:style w:type="paragraph" w:customStyle="1" w:styleId="139">
    <w:name w:val="文1"/>
    <w:basedOn w:val="1"/>
    <w:next w:val="22"/>
    <w:autoRedefine/>
    <w:qFormat/>
    <w:uiPriority w:val="0"/>
    <w:pPr>
      <w:spacing w:line="500" w:lineRule="atLeast"/>
      <w:ind w:firstLine="540"/>
      <w:jc w:val="both"/>
    </w:pPr>
    <w:rPr>
      <w:sz w:val="28"/>
    </w:rPr>
  </w:style>
  <w:style w:type="paragraph" w:customStyle="1" w:styleId="140">
    <w:name w:val="简单回函地址"/>
    <w:basedOn w:val="1"/>
    <w:next w:val="39"/>
    <w:autoRedefine/>
    <w:qFormat/>
    <w:uiPriority w:val="0"/>
    <w:pPr>
      <w:spacing w:line="240" w:lineRule="auto"/>
      <w:jc w:val="both"/>
    </w:pPr>
    <w:rPr>
      <w:rFonts w:ascii="Times New Roman" w:eastAsia="宋体"/>
      <w:sz w:val="21"/>
    </w:rPr>
  </w:style>
  <w:style w:type="paragraph" w:customStyle="1" w:styleId="141">
    <w:name w:val="Char Char Char Char Char Char1 Char Char Char"/>
    <w:basedOn w:val="1"/>
    <w:next w:val="31"/>
    <w:autoRedefine/>
    <w:qFormat/>
    <w:uiPriority w:val="0"/>
    <w:pPr>
      <w:spacing w:line="240" w:lineRule="auto"/>
      <w:ind w:left="-48"/>
      <w:jc w:val="both"/>
    </w:pPr>
    <w:rPr>
      <w:sz w:val="21"/>
    </w:rPr>
  </w:style>
  <w:style w:type="paragraph" w:customStyle="1" w:styleId="142">
    <w:name w:val="二级条标题"/>
    <w:basedOn w:val="1"/>
    <w:next w:val="1"/>
    <w:autoRedefine/>
    <w:qFormat/>
    <w:uiPriority w:val="0"/>
    <w:pPr>
      <w:widowControl/>
      <w:spacing w:line="240" w:lineRule="auto"/>
      <w:ind w:left="1134" w:hanging="1134"/>
      <w:outlineLvl w:val="3"/>
    </w:pPr>
    <w:rPr>
      <w:rFonts w:ascii="Times New Roman"/>
      <w:sz w:val="21"/>
    </w:rPr>
  </w:style>
  <w:style w:type="paragraph" w:customStyle="1" w:styleId="143">
    <w:name w:val="_Style 30"/>
    <w:basedOn w:val="1"/>
    <w:next w:val="25"/>
    <w:autoRedefine/>
    <w:qFormat/>
    <w:uiPriority w:val="0"/>
    <w:pPr>
      <w:spacing w:before="60" w:after="120" w:line="320" w:lineRule="exact"/>
      <w:ind w:left="420" w:right="-357"/>
      <w:jc w:val="both"/>
    </w:pPr>
    <w:rPr>
      <w:rFonts w:ascii="黑体"/>
      <w:color w:val="000000"/>
      <w:sz w:val="28"/>
    </w:rPr>
  </w:style>
  <w:style w:type="paragraph" w:customStyle="1" w:styleId="144">
    <w:name w:val="Char5"/>
    <w:basedOn w:val="1"/>
    <w:next w:val="36"/>
    <w:autoRedefine/>
    <w:qFormat/>
    <w:uiPriority w:val="0"/>
    <w:pPr>
      <w:spacing w:line="240" w:lineRule="auto"/>
      <w:jc w:val="both"/>
    </w:pPr>
    <w:rPr>
      <w:rFonts w:ascii="Times New Roman" w:eastAsia="宋体"/>
      <w:sz w:val="21"/>
    </w:rPr>
  </w:style>
  <w:style w:type="paragraph" w:customStyle="1" w:styleId="145">
    <w:name w:val="样式 标题 1 + 宋体 小三"/>
    <w:next w:val="15"/>
    <w:autoRedefine/>
    <w:qFormat/>
    <w:uiPriority w:val="0"/>
    <w:rPr>
      <w:rFonts w:ascii="黑体" w:hAnsi="宋体" w:eastAsia="宋体" w:cs="宋体"/>
      <w:b/>
      <w:sz w:val="30"/>
      <w:lang w:val="en-US" w:eastAsia="zh-CN" w:bidi="ar-SA"/>
    </w:rPr>
  </w:style>
  <w:style w:type="paragraph" w:customStyle="1" w:styleId="146">
    <w:name w:val="Char"/>
    <w:basedOn w:val="1"/>
    <w:next w:val="33"/>
    <w:autoRedefine/>
    <w:qFormat/>
    <w:uiPriority w:val="0"/>
    <w:pPr>
      <w:spacing w:line="240" w:lineRule="auto"/>
      <w:ind w:left="-48"/>
      <w:jc w:val="both"/>
    </w:pPr>
    <w:rPr>
      <w:rFonts w:ascii="黑体"/>
      <w:sz w:val="28"/>
    </w:rPr>
  </w:style>
  <w:style w:type="paragraph" w:customStyle="1" w:styleId="147">
    <w:name w:val="正文文本 31"/>
    <w:basedOn w:val="1"/>
    <w:next w:val="127"/>
    <w:autoRedefine/>
    <w:qFormat/>
    <w:uiPriority w:val="0"/>
    <w:pPr>
      <w:spacing w:line="360" w:lineRule="auto"/>
      <w:jc w:val="center"/>
    </w:pPr>
    <w:rPr>
      <w:rFonts w:ascii="黑体"/>
      <w:b/>
      <w:color w:val="FF0000"/>
      <w:u w:val="single"/>
    </w:rPr>
  </w:style>
  <w:style w:type="paragraph" w:customStyle="1" w:styleId="148">
    <w:name w:val="Char Char Char Char Char Char1"/>
    <w:basedOn w:val="1"/>
    <w:next w:val="128"/>
    <w:autoRedefine/>
    <w:qFormat/>
    <w:uiPriority w:val="0"/>
    <w:pPr>
      <w:spacing w:line="240" w:lineRule="auto"/>
      <w:jc w:val="both"/>
    </w:pPr>
    <w:rPr>
      <w:sz w:val="21"/>
    </w:rPr>
  </w:style>
  <w:style w:type="paragraph" w:customStyle="1" w:styleId="149">
    <w:name w:val="Char1 Char Char Char"/>
    <w:basedOn w:val="1"/>
    <w:next w:val="129"/>
    <w:autoRedefine/>
    <w:qFormat/>
    <w:uiPriority w:val="0"/>
    <w:pPr>
      <w:spacing w:line="240" w:lineRule="auto"/>
      <w:jc w:val="both"/>
    </w:pPr>
    <w:rPr>
      <w:sz w:val="21"/>
    </w:rPr>
  </w:style>
  <w:style w:type="paragraph" w:customStyle="1" w:styleId="150">
    <w:name w:val="_Style 68"/>
    <w:basedOn w:val="1"/>
    <w:next w:val="130"/>
    <w:autoRedefine/>
    <w:qFormat/>
    <w:uiPriority w:val="0"/>
    <w:pPr>
      <w:spacing w:line="360" w:lineRule="exact"/>
      <w:ind w:firstLine="510"/>
    </w:pPr>
  </w:style>
  <w:style w:type="paragraph" w:customStyle="1" w:styleId="151">
    <w:name w:val="彩色列表 - 强调文字颜色 11"/>
    <w:basedOn w:val="1"/>
    <w:next w:val="131"/>
    <w:autoRedefine/>
    <w:qFormat/>
    <w:uiPriority w:val="0"/>
    <w:pPr>
      <w:spacing w:line="240" w:lineRule="auto"/>
      <w:ind w:firstLine="420"/>
      <w:jc w:val="both"/>
    </w:pPr>
    <w:rPr>
      <w:rFonts w:ascii="Calibri" w:eastAsia="宋体"/>
      <w:sz w:val="21"/>
    </w:rPr>
  </w:style>
  <w:style w:type="paragraph" w:customStyle="1" w:styleId="152">
    <w:name w:val="首行缩进:  2 字符"/>
    <w:basedOn w:val="1"/>
    <w:next w:val="132"/>
    <w:autoRedefine/>
    <w:qFormat/>
    <w:uiPriority w:val="0"/>
    <w:pPr>
      <w:spacing w:line="312" w:lineRule="auto"/>
      <w:ind w:firstLine="200"/>
    </w:pPr>
    <w:rPr>
      <w:rFonts w:eastAsia="宋体"/>
      <w:sz w:val="21"/>
    </w:rPr>
  </w:style>
  <w:style w:type="paragraph" w:customStyle="1" w:styleId="153">
    <w:name w:val="正标题 居中"/>
    <w:basedOn w:val="1"/>
    <w:next w:val="1"/>
    <w:autoRedefine/>
    <w:qFormat/>
    <w:uiPriority w:val="0"/>
    <w:pPr>
      <w:spacing w:line="312" w:lineRule="auto"/>
      <w:jc w:val="center"/>
    </w:pPr>
    <w:rPr>
      <w:rFonts w:ascii="Times New Roman" w:eastAsia="宋体"/>
      <w:b/>
      <w:sz w:val="21"/>
    </w:rPr>
  </w:style>
  <w:style w:type="paragraph" w:customStyle="1" w:styleId="154">
    <w:name w:val="Char1"/>
    <w:basedOn w:val="1"/>
    <w:next w:val="134"/>
    <w:autoRedefine/>
    <w:qFormat/>
    <w:uiPriority w:val="0"/>
    <w:pPr>
      <w:spacing w:line="240" w:lineRule="auto"/>
      <w:jc w:val="both"/>
    </w:pPr>
    <w:rPr>
      <w:rFonts w:ascii="Times New Roman" w:eastAsia="宋体"/>
      <w:sz w:val="21"/>
    </w:rPr>
  </w:style>
  <w:style w:type="paragraph" w:customStyle="1" w:styleId="155">
    <w:name w:val="内文正文"/>
    <w:next w:val="135"/>
    <w:autoRedefine/>
    <w:qFormat/>
    <w:uiPriority w:val="0"/>
    <w:pPr>
      <w:autoSpaceDE w:val="0"/>
      <w:autoSpaceDN w:val="0"/>
      <w:spacing w:line="400" w:lineRule="exact"/>
      <w:ind w:firstLine="200"/>
      <w:jc w:val="both"/>
    </w:pPr>
    <w:rPr>
      <w:rFonts w:ascii="宋体" w:hAnsi="宋体" w:eastAsia="宋体" w:cs="宋体"/>
      <w:sz w:val="21"/>
      <w:lang w:val="en-US" w:eastAsia="zh-CN" w:bidi="ar-SA"/>
    </w:rPr>
  </w:style>
  <w:style w:type="paragraph" w:customStyle="1" w:styleId="156">
    <w:name w:val="章标题"/>
    <w:next w:val="1"/>
    <w:autoRedefine/>
    <w:qFormat/>
    <w:uiPriority w:val="0"/>
    <w:pPr>
      <w:spacing w:before="50" w:after="50"/>
      <w:jc w:val="both"/>
      <w:outlineLvl w:val="1"/>
    </w:pPr>
    <w:rPr>
      <w:rFonts w:ascii="黑体" w:hAnsi="宋体" w:eastAsia="宋体" w:cs="宋体"/>
      <w:b/>
      <w:sz w:val="21"/>
      <w:lang w:val="en-US" w:eastAsia="zh-CN" w:bidi="ar-SA"/>
    </w:rPr>
  </w:style>
  <w:style w:type="paragraph" w:customStyle="1" w:styleId="157">
    <w:name w:val="一级条标题"/>
    <w:next w:val="1"/>
    <w:autoRedefine/>
    <w:qFormat/>
    <w:uiPriority w:val="0"/>
    <w:pPr>
      <w:jc w:val="both"/>
      <w:outlineLvl w:val="2"/>
    </w:pPr>
    <w:rPr>
      <w:rFonts w:ascii="黑体" w:hAnsi="宋体" w:eastAsia="宋体" w:cs="宋体"/>
      <w:b/>
      <w:sz w:val="21"/>
      <w:lang w:val="en-US" w:eastAsia="zh-CN" w:bidi="ar-SA"/>
    </w:rPr>
  </w:style>
  <w:style w:type="paragraph" w:customStyle="1" w:styleId="158">
    <w:name w:val="三级条标题"/>
    <w:next w:val="1"/>
    <w:autoRedefine/>
    <w:qFormat/>
    <w:uiPriority w:val="0"/>
    <w:pPr>
      <w:ind w:left="105" w:hanging="1134"/>
      <w:jc w:val="both"/>
      <w:outlineLvl w:val="4"/>
    </w:pPr>
    <w:rPr>
      <w:rFonts w:ascii="黑体" w:hAnsi="宋体" w:eastAsia="黑体" w:cs="宋体"/>
      <w:b/>
      <w:sz w:val="21"/>
      <w:lang w:val="en-US" w:eastAsia="zh-CN" w:bidi="ar-SA"/>
    </w:rPr>
  </w:style>
  <w:style w:type="paragraph" w:customStyle="1" w:styleId="159">
    <w:name w:val="四级条标题"/>
    <w:next w:val="1"/>
    <w:autoRedefine/>
    <w:qFormat/>
    <w:uiPriority w:val="0"/>
    <w:pPr>
      <w:ind w:left="1021" w:hanging="1021"/>
      <w:jc w:val="both"/>
      <w:outlineLvl w:val="5"/>
    </w:pPr>
    <w:rPr>
      <w:rFonts w:ascii="黑体" w:hAnsi="宋体" w:eastAsia="黑体" w:cs="宋体"/>
      <w:b/>
      <w:sz w:val="21"/>
      <w:lang w:val="en-US" w:eastAsia="zh-CN" w:bidi="ar-SA"/>
    </w:rPr>
  </w:style>
  <w:style w:type="paragraph" w:customStyle="1" w:styleId="160">
    <w:name w:val="五级条标题"/>
    <w:next w:val="1"/>
    <w:autoRedefine/>
    <w:qFormat/>
    <w:uiPriority w:val="0"/>
    <w:pPr>
      <w:jc w:val="both"/>
      <w:outlineLvl w:val="6"/>
    </w:pPr>
    <w:rPr>
      <w:rFonts w:ascii="黑体" w:hAnsi="宋体" w:eastAsia="黑体" w:cs="宋体"/>
      <w:b/>
      <w:sz w:val="21"/>
      <w:lang w:val="en-US" w:eastAsia="zh-CN" w:bidi="ar-SA"/>
    </w:rPr>
  </w:style>
  <w:style w:type="paragraph" w:customStyle="1" w:styleId="161">
    <w:name w:val="样式3"/>
    <w:basedOn w:val="1"/>
    <w:next w:val="142"/>
    <w:autoRedefine/>
    <w:qFormat/>
    <w:uiPriority w:val="0"/>
    <w:pPr>
      <w:widowControl/>
      <w:spacing w:before="30" w:after="30" w:line="300" w:lineRule="auto"/>
      <w:ind w:left="360" w:hanging="360"/>
      <w:jc w:val="both"/>
      <w:outlineLvl w:val="2"/>
    </w:pPr>
    <w:rPr>
      <w:rFonts w:ascii="Times New Roman" w:eastAsia="宋体"/>
      <w:color w:val="000000"/>
    </w:rPr>
  </w:style>
  <w:style w:type="character" w:customStyle="1" w:styleId="162">
    <w:name w:val="正文缩进 Char1"/>
    <w:autoRedefine/>
    <w:qFormat/>
    <w:uiPriority w:val="0"/>
    <w:rPr>
      <w:sz w:val="20"/>
    </w:rPr>
  </w:style>
  <w:style w:type="character" w:customStyle="1" w:styleId="163">
    <w:name w:val="首行缩进:  2 字符 Char Char"/>
    <w:autoRedefine/>
    <w:qFormat/>
    <w:uiPriority w:val="0"/>
    <w:rPr>
      <w:sz w:val="20"/>
    </w:rPr>
  </w:style>
  <w:style w:type="paragraph" w:customStyle="1" w:styleId="164">
    <w:name w:val="正文居中"/>
    <w:basedOn w:val="1"/>
    <w:next w:val="145"/>
    <w:autoRedefine/>
    <w:qFormat/>
    <w:uiPriority w:val="0"/>
    <w:pPr>
      <w:spacing w:line="312" w:lineRule="auto"/>
      <w:jc w:val="center"/>
    </w:pPr>
    <w:rPr>
      <w:rFonts w:ascii="Calibri" w:eastAsia="宋体"/>
      <w:b/>
      <w:sz w:val="21"/>
    </w:rPr>
  </w:style>
  <w:style w:type="paragraph" w:customStyle="1" w:styleId="165">
    <w:name w:val="正文文本 311"/>
    <w:basedOn w:val="1"/>
    <w:next w:val="146"/>
    <w:autoRedefine/>
    <w:qFormat/>
    <w:uiPriority w:val="0"/>
    <w:pPr>
      <w:spacing w:line="360" w:lineRule="auto"/>
      <w:jc w:val="center"/>
    </w:pPr>
    <w:rPr>
      <w:rFonts w:ascii="黑体"/>
      <w:b/>
      <w:color w:val="FF0000"/>
      <w:u w:val="single"/>
    </w:rPr>
  </w:style>
  <w:style w:type="character" w:customStyle="1" w:styleId="166">
    <w:name w:val="正文首行缩进 Char"/>
    <w:basedOn w:val="118"/>
    <w:link w:val="51"/>
    <w:autoRedefine/>
    <w:qFormat/>
    <w:uiPriority w:val="0"/>
    <w:rPr>
      <w:rFonts w:ascii="宋体" w:hAnsi="宋体" w:eastAsia="宋体" w:cs="宋体"/>
      <w:kern w:val="0"/>
      <w:sz w:val="24"/>
      <w:szCs w:val="20"/>
    </w:rPr>
  </w:style>
  <w:style w:type="paragraph" w:customStyle="1" w:styleId="167">
    <w:name w:val="列出段落1"/>
    <w:basedOn w:val="1"/>
    <w:next w:val="149"/>
    <w:autoRedefine/>
    <w:qFormat/>
    <w:uiPriority w:val="0"/>
    <w:pPr>
      <w:spacing w:line="240" w:lineRule="auto"/>
      <w:ind w:firstLine="420"/>
      <w:jc w:val="both"/>
    </w:pPr>
    <w:rPr>
      <w:rFonts w:ascii="Calibri" w:eastAsia="宋体"/>
      <w:sz w:val="21"/>
    </w:rPr>
  </w:style>
  <w:style w:type="paragraph" w:customStyle="1" w:styleId="168">
    <w:name w:val="标题2"/>
    <w:basedOn w:val="1"/>
    <w:next w:val="150"/>
    <w:autoRedefine/>
    <w:qFormat/>
    <w:uiPriority w:val="0"/>
    <w:pPr>
      <w:spacing w:line="240" w:lineRule="auto"/>
      <w:ind w:left="720" w:hanging="720"/>
      <w:jc w:val="both"/>
    </w:pPr>
    <w:rPr>
      <w:rFonts w:ascii="Times New Roman" w:eastAsia="宋体"/>
    </w:rPr>
  </w:style>
  <w:style w:type="paragraph" w:customStyle="1" w:styleId="169">
    <w:name w:val="标题3"/>
    <w:basedOn w:val="1"/>
    <w:next w:val="151"/>
    <w:autoRedefine/>
    <w:qFormat/>
    <w:uiPriority w:val="0"/>
    <w:pPr>
      <w:spacing w:line="240" w:lineRule="auto"/>
      <w:ind w:left="720" w:hanging="720"/>
      <w:jc w:val="both"/>
    </w:pPr>
    <w:rPr>
      <w:rFonts w:ascii="Times New Roman" w:eastAsia="宋体"/>
      <w:sz w:val="21"/>
    </w:rPr>
  </w:style>
  <w:style w:type="paragraph" w:customStyle="1" w:styleId="170">
    <w:name w:val="正文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171">
    <w:name w:val="样式1 Char"/>
    <w:link w:val="131"/>
    <w:qFormat/>
    <w:uiPriority w:val="0"/>
    <w:rPr>
      <w:rFonts w:ascii="黑体" w:hAnsi="宋体" w:eastAsia="黑体" w:cs="Times New Roman"/>
      <w:kern w:val="0"/>
      <w:sz w:val="28"/>
      <w:szCs w:val="20"/>
    </w:rPr>
  </w:style>
  <w:style w:type="character" w:customStyle="1" w:styleId="172">
    <w:name w:val="标题 Char"/>
    <w:basedOn w:val="56"/>
    <w:link w:val="49"/>
    <w:autoRedefine/>
    <w:qFormat/>
    <w:uiPriority w:val="0"/>
    <w:rPr>
      <w:rFonts w:ascii="Arial" w:hAnsi="Arial" w:eastAsia="宋体" w:cs="Times New Roman"/>
      <w:b/>
      <w:sz w:val="32"/>
      <w:szCs w:val="20"/>
    </w:rPr>
  </w:style>
  <w:style w:type="paragraph" w:customStyle="1" w:styleId="173">
    <w:name w:val="Char Char Char Char"/>
    <w:basedOn w:val="1"/>
    <w:autoRedefine/>
    <w:qFormat/>
    <w:uiPriority w:val="0"/>
    <w:pPr>
      <w:adjustRightInd w:val="0"/>
      <w:textAlignment w:val="baseline"/>
    </w:pPr>
    <w:rPr>
      <w:rFonts w:ascii="Times New Roman" w:hAnsi="Times New Roman" w:eastAsia="宋体" w:cs="Times New Roman"/>
    </w:rPr>
  </w:style>
  <w:style w:type="character" w:customStyle="1" w:styleId="174">
    <w:name w:val="articlebody3"/>
    <w:basedOn w:val="56"/>
    <w:autoRedefine/>
    <w:qFormat/>
    <w:uiPriority w:val="0"/>
    <w:rPr>
      <w:spacing w:val="360"/>
      <w:sz w:val="21"/>
      <w:szCs w:val="21"/>
    </w:rPr>
  </w:style>
  <w:style w:type="paragraph" w:customStyle="1" w:styleId="175">
    <w:name w:val="样式 标题 1 + (西文) 宋体 五号"/>
    <w:basedOn w:val="2"/>
    <w:autoRedefine/>
    <w:qFormat/>
    <w:uiPriority w:val="0"/>
    <w:pPr>
      <w:keepLines/>
      <w:widowControl/>
      <w:spacing w:before="120" w:after="240" w:line="360" w:lineRule="auto"/>
      <w:jc w:val="center"/>
    </w:pPr>
    <w:rPr>
      <w:rFonts w:ascii="宋体" w:eastAsia="宋体" w:cs="Times New Roman"/>
      <w:bCs/>
      <w:kern w:val="44"/>
      <w:sz w:val="28"/>
      <w:szCs w:val="28"/>
    </w:rPr>
  </w:style>
  <w:style w:type="paragraph" w:customStyle="1" w:styleId="176">
    <w:name w:val="WPSOffice手动目录 1"/>
    <w:autoRedefine/>
    <w:qFormat/>
    <w:uiPriority w:val="0"/>
    <w:rPr>
      <w:rFonts w:ascii="Times New Roman" w:hAnsi="Times New Roman" w:eastAsia="宋体" w:cs="Times New Roman"/>
      <w:lang w:val="en-US" w:eastAsia="zh-CN" w:bidi="ar-SA"/>
    </w:rPr>
  </w:style>
  <w:style w:type="paragraph" w:customStyle="1" w:styleId="177">
    <w:name w:val="字母编号列项（一级）"/>
    <w:qFormat/>
    <w:uiPriority w:val="0"/>
    <w:pPr>
      <w:numPr>
        <w:ilvl w:val="0"/>
        <w:numId w:val="1"/>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27</Pages>
  <Words>1327</Words>
  <Characters>1439</Characters>
  <Lines>178</Lines>
  <Paragraphs>50</Paragraphs>
  <TotalTime>1</TotalTime>
  <ScaleCrop>false</ScaleCrop>
  <LinksUpToDate>false</LinksUpToDate>
  <CharactersWithSpaces>1517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2021-08-16T07:28:00Z</dcterms:created>
  <dc:creator>wangjian</dc:creator>
  <cp:lastModifiedBy>紫水晶</cp:lastModifiedBy>
  <cp:lastPrinted>2021-08-31T00:23:00Z</cp:lastPrinted>
  <dcterms:modified xsi:type="dcterms:W3CDTF">2024-12-17T01:12:54Z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DA19AAF7B97C4FCE80B18A42C271FDA8_13</vt:lpwstr>
  </property>
</Properties>
</file>