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5CFAD2">
      <w:pPr>
        <w:jc w:val="center"/>
        <w:rPr>
          <w:rFonts w:hint="eastAsia" w:ascii="宋体" w:hAnsi="宋体" w:cs="宋体"/>
          <w:b/>
          <w:color w:val="auto"/>
          <w:sz w:val="48"/>
          <w:szCs w:val="48"/>
          <w:highlight w:val="none"/>
        </w:rPr>
      </w:pPr>
    </w:p>
    <w:p w14:paraId="77E1FA2E">
      <w:pPr>
        <w:jc w:val="center"/>
        <w:rPr>
          <w:rFonts w:hint="eastAsia" w:ascii="宋体" w:hAnsi="宋体" w:cs="宋体"/>
          <w:b/>
          <w:color w:val="auto"/>
          <w:sz w:val="48"/>
          <w:szCs w:val="48"/>
          <w:highlight w:val="none"/>
          <w:u w:val="single"/>
        </w:rPr>
      </w:pPr>
    </w:p>
    <w:p w14:paraId="552E15BD">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outlineLvl w:val="0"/>
        <w:rPr>
          <w:rFonts w:hint="eastAsia" w:ascii="宋体" w:hAnsi="宋体" w:cs="宋体"/>
          <w:b/>
          <w:color w:val="auto"/>
          <w:sz w:val="48"/>
          <w:szCs w:val="48"/>
          <w:highlight w:val="none"/>
          <w:lang w:val="en-US" w:eastAsia="zh-CN"/>
        </w:rPr>
      </w:pPr>
      <w:r>
        <w:rPr>
          <w:rFonts w:hint="eastAsia" w:ascii="宋体" w:hAnsi="宋体" w:cs="宋体"/>
          <w:b/>
          <w:color w:val="auto"/>
          <w:sz w:val="48"/>
          <w:szCs w:val="48"/>
          <w:highlight w:val="none"/>
          <w:lang w:val="en-US" w:eastAsia="zh-CN"/>
        </w:rPr>
        <w:t>浙江浙能乐清发电有限责任公司</w:t>
      </w:r>
    </w:p>
    <w:p w14:paraId="3FE9EB5A">
      <w:pPr>
        <w:spacing w:line="360" w:lineRule="auto"/>
        <w:jc w:val="center"/>
        <w:outlineLvl w:val="0"/>
        <w:rPr>
          <w:rFonts w:hint="eastAsia" w:ascii="宋体" w:hAnsi="宋体" w:cs="宋体"/>
          <w:b/>
          <w:color w:val="auto"/>
          <w:sz w:val="48"/>
          <w:szCs w:val="48"/>
          <w:highlight w:val="none"/>
        </w:rPr>
      </w:pPr>
      <w:r>
        <w:rPr>
          <w:rFonts w:hint="eastAsia" w:ascii="宋体" w:hAnsi="宋体" w:cs="宋体"/>
          <w:b/>
          <w:color w:val="auto"/>
          <w:sz w:val="48"/>
          <w:szCs w:val="48"/>
          <w:highlight w:val="none"/>
          <w:lang w:val="en-US" w:eastAsia="zh-CN"/>
        </w:rPr>
        <w:t>1号发变组保护改造工程</w:t>
      </w:r>
    </w:p>
    <w:p w14:paraId="643D3C9F">
      <w:pPr>
        <w:jc w:val="center"/>
        <w:rPr>
          <w:rFonts w:hint="eastAsia" w:ascii="宋体" w:hAnsi="宋体" w:cs="宋体"/>
          <w:b/>
          <w:color w:val="auto"/>
          <w:sz w:val="48"/>
          <w:szCs w:val="48"/>
          <w:highlight w:val="none"/>
        </w:rPr>
      </w:pPr>
    </w:p>
    <w:p w14:paraId="76C91508">
      <w:pPr>
        <w:jc w:val="center"/>
        <w:rPr>
          <w:rFonts w:hint="eastAsia" w:ascii="宋体" w:hAnsi="宋体" w:cs="宋体"/>
          <w:b/>
          <w:color w:val="auto"/>
          <w:sz w:val="48"/>
          <w:szCs w:val="48"/>
          <w:highlight w:val="none"/>
          <w:u w:val="single"/>
        </w:rPr>
      </w:pPr>
    </w:p>
    <w:p w14:paraId="4E2AA428">
      <w:pPr>
        <w:jc w:val="center"/>
        <w:outlineLvl w:val="1"/>
        <w:rPr>
          <w:rFonts w:hint="eastAsia" w:ascii="宋体" w:hAnsi="宋体" w:cs="宋体"/>
          <w:b/>
          <w:color w:val="auto"/>
          <w:sz w:val="48"/>
          <w:szCs w:val="48"/>
          <w:highlight w:val="none"/>
        </w:rPr>
      </w:pPr>
      <w:r>
        <w:rPr>
          <w:rFonts w:hint="eastAsia" w:ascii="宋体" w:hAnsi="宋体" w:cs="宋体"/>
          <w:b/>
          <w:color w:val="auto"/>
          <w:sz w:val="48"/>
          <w:szCs w:val="48"/>
          <w:highlight w:val="none"/>
        </w:rPr>
        <w:t>发变组保护设备</w:t>
      </w:r>
      <w:r>
        <w:rPr>
          <w:rFonts w:hint="eastAsia" w:ascii="宋体" w:hAnsi="宋体" w:cs="宋体"/>
          <w:b/>
          <w:color w:val="auto"/>
          <w:sz w:val="48"/>
          <w:szCs w:val="48"/>
          <w:highlight w:val="none"/>
          <w:lang w:val="en-US" w:eastAsia="zh-CN"/>
        </w:rPr>
        <w:t>技术规范书</w:t>
      </w:r>
    </w:p>
    <w:p w14:paraId="0CE8C1DB">
      <w:pPr>
        <w:jc w:val="center"/>
        <w:rPr>
          <w:rFonts w:hint="eastAsia" w:ascii="宋体" w:hAnsi="宋体" w:cs="宋体"/>
          <w:color w:val="auto"/>
          <w:sz w:val="48"/>
          <w:szCs w:val="48"/>
          <w:highlight w:val="none"/>
        </w:rPr>
      </w:pPr>
    </w:p>
    <w:p w14:paraId="55BA105D">
      <w:pPr>
        <w:jc w:val="center"/>
        <w:rPr>
          <w:rFonts w:hint="eastAsia" w:ascii="宋体" w:hAnsi="宋体" w:cs="宋体"/>
          <w:color w:val="auto"/>
          <w:sz w:val="48"/>
          <w:szCs w:val="48"/>
          <w:highlight w:val="none"/>
        </w:rPr>
      </w:pPr>
    </w:p>
    <w:p w14:paraId="04B06AC6">
      <w:pPr>
        <w:jc w:val="center"/>
        <w:rPr>
          <w:rFonts w:hint="eastAsia" w:ascii="宋体" w:hAnsi="宋体" w:cs="宋体"/>
          <w:color w:val="auto"/>
          <w:sz w:val="48"/>
          <w:szCs w:val="48"/>
          <w:highlight w:val="none"/>
        </w:rPr>
      </w:pPr>
    </w:p>
    <w:p w14:paraId="0ACBD435">
      <w:pPr>
        <w:jc w:val="center"/>
        <w:rPr>
          <w:rFonts w:hint="eastAsia" w:ascii="宋体" w:hAnsi="宋体" w:cs="宋体"/>
          <w:b/>
          <w:color w:val="auto"/>
          <w:sz w:val="48"/>
          <w:szCs w:val="48"/>
          <w:highlight w:val="none"/>
        </w:rPr>
      </w:pPr>
      <w:bookmarkStart w:id="0" w:name="_Toc286153212"/>
      <w:bookmarkStart w:id="1" w:name="_Toc215298661"/>
      <w:bookmarkStart w:id="2" w:name="_Toc215298563"/>
      <w:bookmarkStart w:id="3" w:name="_Toc215298515"/>
      <w:r>
        <w:rPr>
          <w:rFonts w:hint="eastAsia" w:ascii="宋体" w:hAnsi="宋体" w:cs="宋体"/>
          <w:b/>
          <w:color w:val="auto"/>
          <w:sz w:val="48"/>
          <w:szCs w:val="48"/>
          <w:highlight w:val="none"/>
        </w:rPr>
        <w:t>技术规范</w:t>
      </w:r>
      <w:bookmarkEnd w:id="0"/>
      <w:bookmarkEnd w:id="1"/>
      <w:bookmarkEnd w:id="2"/>
      <w:bookmarkEnd w:id="3"/>
      <w:r>
        <w:rPr>
          <w:rFonts w:hint="eastAsia" w:ascii="宋体" w:hAnsi="宋体" w:cs="宋体"/>
          <w:b/>
          <w:color w:val="auto"/>
          <w:sz w:val="48"/>
          <w:szCs w:val="48"/>
          <w:highlight w:val="none"/>
        </w:rPr>
        <w:t>书</w:t>
      </w:r>
    </w:p>
    <w:p w14:paraId="0C486E53">
      <w:pPr>
        <w:widowControl/>
        <w:ind w:firstLine="0" w:firstLineChars="0"/>
        <w:jc w:val="both"/>
        <w:rPr>
          <w:rFonts w:hint="eastAsia" w:ascii="宋体" w:hAnsi="宋体" w:cs="宋体"/>
          <w:b/>
          <w:color w:val="auto"/>
          <w:sz w:val="44"/>
          <w:szCs w:val="44"/>
          <w:highlight w:val="none"/>
        </w:rPr>
      </w:pPr>
      <w:r>
        <w:rPr>
          <w:rFonts w:hint="eastAsia" w:ascii="宋体" w:hAnsi="宋体" w:cs="宋体"/>
          <w:color w:val="auto"/>
          <w:highlight w:val="none"/>
        </w:rPr>
        <w:br w:type="page"/>
      </w:r>
      <w:r>
        <w:rPr>
          <w:rFonts w:hint="eastAsia" w:ascii="宋体" w:hAnsi="宋体" w:cs="宋体"/>
          <w:b/>
          <w:color w:val="auto"/>
          <w:sz w:val="36"/>
          <w:szCs w:val="36"/>
          <w:highlight w:val="none"/>
        </w:rPr>
        <w:t>目录</w:t>
      </w:r>
    </w:p>
    <w:p w14:paraId="3259CA43">
      <w:pPr>
        <w:spacing w:line="360" w:lineRule="auto"/>
        <w:rPr>
          <w:rStyle w:val="20"/>
          <w:rFonts w:hint="eastAsia" w:ascii="宋体" w:hAnsi="宋体" w:cs="宋体"/>
          <w:b/>
          <w:bCs/>
          <w:caps/>
          <w:color w:val="auto"/>
          <w:highlight w:val="none"/>
        </w:rPr>
      </w:pPr>
    </w:p>
    <w:p w14:paraId="763E170F">
      <w:pPr>
        <w:pStyle w:val="14"/>
        <w:tabs>
          <w:tab w:val="right" w:leader="dot" w:pos="8296"/>
        </w:tabs>
        <w:spacing w:line="480" w:lineRule="auto"/>
        <w:rPr>
          <w:rFonts w:hint="eastAsia" w:ascii="宋体" w:hAnsi="宋体" w:cs="宋体"/>
          <w:color w:val="auto"/>
          <w:sz w:val="24"/>
          <w:szCs w:val="24"/>
          <w:highlight w:val="none"/>
        </w:rPr>
      </w:pPr>
      <w:r>
        <w:rPr>
          <w:rStyle w:val="20"/>
          <w:rFonts w:hint="eastAsia" w:ascii="宋体" w:hAnsi="宋体" w:cs="宋体"/>
          <w:bCs/>
          <w:color w:val="auto"/>
          <w:highlight w:val="none"/>
        </w:rPr>
        <w:fldChar w:fldCharType="begin"/>
      </w:r>
      <w:r>
        <w:rPr>
          <w:rStyle w:val="20"/>
          <w:rFonts w:hint="eastAsia" w:ascii="宋体" w:hAnsi="宋体" w:cs="宋体"/>
          <w:bCs/>
          <w:color w:val="auto"/>
          <w:highlight w:val="none"/>
        </w:rPr>
        <w:instrText xml:space="preserve"> TOC \o "1-1" \h \z \u </w:instrText>
      </w:r>
      <w:r>
        <w:rPr>
          <w:rStyle w:val="20"/>
          <w:rFonts w:hint="eastAsia" w:ascii="宋体" w:hAnsi="宋体" w:cs="宋体"/>
          <w:bCs/>
          <w:color w:val="auto"/>
          <w:highlight w:val="none"/>
        </w:rPr>
        <w:fldChar w:fldCharType="separate"/>
      </w:r>
      <w:r>
        <w:rPr>
          <w:rStyle w:val="20"/>
          <w:rFonts w:hint="eastAsia" w:ascii="宋体" w:hAnsi="宋体" w:cs="宋体"/>
          <w:color w:val="auto"/>
          <w:highlight w:val="none"/>
        </w:rPr>
        <w:fldChar w:fldCharType="begin"/>
      </w:r>
      <w:r>
        <w:rPr>
          <w:rStyle w:val="20"/>
          <w:rFonts w:hint="eastAsia" w:ascii="宋体" w:hAnsi="宋体" w:cs="宋体"/>
          <w:color w:val="auto"/>
          <w:highlight w:val="none"/>
        </w:rPr>
        <w:instrText xml:space="preserve"> </w:instrText>
      </w:r>
      <w:r>
        <w:rPr>
          <w:rFonts w:hint="eastAsia" w:ascii="宋体" w:hAnsi="宋体" w:cs="宋体"/>
          <w:color w:val="auto"/>
          <w:highlight w:val="none"/>
        </w:rPr>
        <w:instrText xml:space="preserve">HYPERLINK \l "_Toc526944929"</w:instrText>
      </w:r>
      <w:r>
        <w:rPr>
          <w:rStyle w:val="20"/>
          <w:rFonts w:hint="eastAsia" w:ascii="宋体" w:hAnsi="宋体" w:cs="宋体"/>
          <w:color w:val="auto"/>
          <w:highlight w:val="none"/>
        </w:rPr>
        <w:instrText xml:space="preserve"> </w:instrText>
      </w:r>
      <w:r>
        <w:rPr>
          <w:rStyle w:val="20"/>
          <w:rFonts w:hint="eastAsia" w:ascii="宋体" w:hAnsi="宋体" w:cs="宋体"/>
          <w:color w:val="auto"/>
          <w:highlight w:val="none"/>
        </w:rPr>
        <w:fldChar w:fldCharType="separate"/>
      </w:r>
      <w:r>
        <w:rPr>
          <w:rStyle w:val="20"/>
          <w:rFonts w:hint="eastAsia" w:ascii="宋体" w:hAnsi="宋体" w:cs="宋体"/>
          <w:color w:val="auto"/>
          <w:highlight w:val="none"/>
        </w:rPr>
        <w:t xml:space="preserve">附件1 </w:t>
      </w:r>
      <w:r>
        <w:rPr>
          <w:rStyle w:val="20"/>
          <w:rFonts w:hint="eastAsia" w:ascii="宋体" w:hAnsi="宋体" w:cs="宋体"/>
          <w:color w:val="auto"/>
          <w:sz w:val="24"/>
          <w:szCs w:val="24"/>
          <w:highlight w:val="none"/>
          <w:lang w:val="en-US" w:eastAsia="zh-CN"/>
        </w:rPr>
        <w:t xml:space="preserve"> </w:t>
      </w:r>
      <w:r>
        <w:rPr>
          <w:rStyle w:val="20"/>
          <w:rFonts w:hint="eastAsia" w:ascii="宋体" w:hAnsi="宋体" w:cs="宋体"/>
          <w:color w:val="auto"/>
          <w:highlight w:val="none"/>
        </w:rPr>
        <w:t>技术规范</w:t>
      </w:r>
      <w:r>
        <w:rPr>
          <w:rStyle w:val="20"/>
          <w:rFonts w:hint="eastAsia" w:ascii="宋体" w:hAnsi="宋体" w:cs="宋体"/>
          <w:color w:val="auto"/>
          <w:highlight w:val="none"/>
        </w:rPr>
        <w:fldChar w:fldCharType="end"/>
      </w:r>
    </w:p>
    <w:p w14:paraId="03E94B35">
      <w:pPr>
        <w:pStyle w:val="14"/>
        <w:tabs>
          <w:tab w:val="right" w:leader="dot" w:pos="8296"/>
        </w:tabs>
        <w:spacing w:line="480" w:lineRule="auto"/>
        <w:rPr>
          <w:rFonts w:hint="eastAsia" w:ascii="宋体" w:hAnsi="宋体" w:cs="宋体"/>
          <w:color w:val="auto"/>
          <w:sz w:val="24"/>
          <w:szCs w:val="24"/>
          <w:highlight w:val="none"/>
        </w:rPr>
      </w:pPr>
      <w:r>
        <w:rPr>
          <w:rStyle w:val="20"/>
          <w:rFonts w:hint="eastAsia" w:ascii="宋体" w:hAnsi="宋体" w:cs="宋体"/>
          <w:color w:val="auto"/>
          <w:highlight w:val="none"/>
        </w:rPr>
        <w:fldChar w:fldCharType="begin"/>
      </w:r>
      <w:r>
        <w:rPr>
          <w:rStyle w:val="20"/>
          <w:rFonts w:hint="eastAsia" w:ascii="宋体" w:hAnsi="宋体" w:cs="宋体"/>
          <w:color w:val="auto"/>
          <w:highlight w:val="none"/>
        </w:rPr>
        <w:instrText xml:space="preserve"> </w:instrText>
      </w:r>
      <w:r>
        <w:rPr>
          <w:rFonts w:hint="eastAsia" w:ascii="宋体" w:hAnsi="宋体" w:cs="宋体"/>
          <w:color w:val="auto"/>
          <w:highlight w:val="none"/>
        </w:rPr>
        <w:instrText xml:space="preserve">HYPERLINK \l "_Toc526944930"</w:instrText>
      </w:r>
      <w:r>
        <w:rPr>
          <w:rStyle w:val="20"/>
          <w:rFonts w:hint="eastAsia" w:ascii="宋体" w:hAnsi="宋体" w:cs="宋体"/>
          <w:color w:val="auto"/>
          <w:highlight w:val="none"/>
        </w:rPr>
        <w:instrText xml:space="preserve"> </w:instrText>
      </w:r>
      <w:r>
        <w:rPr>
          <w:rStyle w:val="20"/>
          <w:rFonts w:hint="eastAsia" w:ascii="宋体" w:hAnsi="宋体" w:cs="宋体"/>
          <w:color w:val="auto"/>
          <w:highlight w:val="none"/>
        </w:rPr>
        <w:fldChar w:fldCharType="separate"/>
      </w:r>
      <w:r>
        <w:rPr>
          <w:rStyle w:val="20"/>
          <w:rFonts w:hint="eastAsia" w:ascii="宋体" w:hAnsi="宋体" w:cs="宋体"/>
          <w:color w:val="auto"/>
          <w:highlight w:val="none"/>
        </w:rPr>
        <w:t>附件2  供货范围</w:t>
      </w:r>
      <w:r>
        <w:rPr>
          <w:rStyle w:val="20"/>
          <w:rFonts w:hint="eastAsia" w:ascii="宋体" w:hAnsi="宋体" w:cs="宋体"/>
          <w:color w:val="auto"/>
          <w:highlight w:val="none"/>
        </w:rPr>
        <w:fldChar w:fldCharType="end"/>
      </w:r>
    </w:p>
    <w:p w14:paraId="7DD241AC">
      <w:pPr>
        <w:pStyle w:val="14"/>
        <w:tabs>
          <w:tab w:val="right" w:leader="dot" w:pos="8296"/>
        </w:tabs>
        <w:spacing w:line="480" w:lineRule="auto"/>
        <w:rPr>
          <w:rFonts w:hint="eastAsia" w:ascii="宋体" w:hAnsi="宋体" w:cs="宋体"/>
          <w:color w:val="auto"/>
          <w:sz w:val="24"/>
          <w:szCs w:val="24"/>
          <w:highlight w:val="none"/>
        </w:rPr>
      </w:pPr>
      <w:r>
        <w:rPr>
          <w:rStyle w:val="20"/>
          <w:rFonts w:hint="eastAsia" w:ascii="宋体" w:hAnsi="宋体" w:cs="宋体"/>
          <w:color w:val="auto"/>
          <w:highlight w:val="none"/>
        </w:rPr>
        <w:fldChar w:fldCharType="begin"/>
      </w:r>
      <w:r>
        <w:rPr>
          <w:rStyle w:val="20"/>
          <w:rFonts w:hint="eastAsia" w:ascii="宋体" w:hAnsi="宋体" w:cs="宋体"/>
          <w:color w:val="auto"/>
          <w:highlight w:val="none"/>
        </w:rPr>
        <w:instrText xml:space="preserve"> </w:instrText>
      </w:r>
      <w:r>
        <w:rPr>
          <w:rFonts w:hint="eastAsia" w:ascii="宋体" w:hAnsi="宋体" w:cs="宋体"/>
          <w:color w:val="auto"/>
          <w:highlight w:val="none"/>
        </w:rPr>
        <w:instrText xml:space="preserve">HYPERLINK \l "_Toc526944931"</w:instrText>
      </w:r>
      <w:r>
        <w:rPr>
          <w:rStyle w:val="20"/>
          <w:rFonts w:hint="eastAsia" w:ascii="宋体" w:hAnsi="宋体" w:cs="宋体"/>
          <w:color w:val="auto"/>
          <w:highlight w:val="none"/>
        </w:rPr>
        <w:instrText xml:space="preserve"> </w:instrText>
      </w:r>
      <w:r>
        <w:rPr>
          <w:rStyle w:val="20"/>
          <w:rFonts w:hint="eastAsia" w:ascii="宋体" w:hAnsi="宋体" w:cs="宋体"/>
          <w:color w:val="auto"/>
          <w:highlight w:val="none"/>
        </w:rPr>
        <w:fldChar w:fldCharType="separate"/>
      </w:r>
      <w:r>
        <w:rPr>
          <w:rStyle w:val="20"/>
          <w:rFonts w:hint="eastAsia" w:ascii="宋体" w:hAnsi="宋体" w:cs="宋体"/>
          <w:color w:val="auto"/>
          <w:highlight w:val="none"/>
        </w:rPr>
        <w:t>附件3  技术资料及交付进度</w:t>
      </w:r>
      <w:r>
        <w:rPr>
          <w:rStyle w:val="20"/>
          <w:rFonts w:hint="eastAsia" w:ascii="宋体" w:hAnsi="宋体" w:cs="宋体"/>
          <w:color w:val="auto"/>
          <w:highlight w:val="none"/>
        </w:rPr>
        <w:fldChar w:fldCharType="end"/>
      </w:r>
    </w:p>
    <w:p w14:paraId="264BE322">
      <w:pPr>
        <w:pStyle w:val="14"/>
        <w:tabs>
          <w:tab w:val="right" w:leader="dot" w:pos="8296"/>
        </w:tabs>
        <w:spacing w:line="480" w:lineRule="auto"/>
        <w:rPr>
          <w:rFonts w:hint="eastAsia" w:ascii="宋体" w:hAnsi="宋体" w:cs="宋体"/>
          <w:color w:val="auto"/>
          <w:sz w:val="24"/>
          <w:szCs w:val="24"/>
          <w:highlight w:val="none"/>
        </w:rPr>
      </w:pPr>
      <w:r>
        <w:rPr>
          <w:rStyle w:val="20"/>
          <w:rFonts w:hint="eastAsia" w:ascii="宋体" w:hAnsi="宋体" w:cs="宋体"/>
          <w:color w:val="auto"/>
          <w:highlight w:val="none"/>
        </w:rPr>
        <w:fldChar w:fldCharType="begin"/>
      </w:r>
      <w:r>
        <w:rPr>
          <w:rStyle w:val="20"/>
          <w:rFonts w:hint="eastAsia" w:ascii="宋体" w:hAnsi="宋体" w:cs="宋体"/>
          <w:color w:val="auto"/>
          <w:highlight w:val="none"/>
        </w:rPr>
        <w:instrText xml:space="preserve"> </w:instrText>
      </w:r>
      <w:r>
        <w:rPr>
          <w:rFonts w:hint="eastAsia" w:ascii="宋体" w:hAnsi="宋体" w:cs="宋体"/>
          <w:color w:val="auto"/>
          <w:highlight w:val="none"/>
        </w:rPr>
        <w:instrText xml:space="preserve">HYPERLINK \l "_Toc526944932"</w:instrText>
      </w:r>
      <w:r>
        <w:rPr>
          <w:rStyle w:val="20"/>
          <w:rFonts w:hint="eastAsia" w:ascii="宋体" w:hAnsi="宋体" w:cs="宋体"/>
          <w:color w:val="auto"/>
          <w:highlight w:val="none"/>
        </w:rPr>
        <w:instrText xml:space="preserve"> </w:instrText>
      </w:r>
      <w:r>
        <w:rPr>
          <w:rStyle w:val="20"/>
          <w:rFonts w:hint="eastAsia" w:ascii="宋体" w:hAnsi="宋体" w:cs="宋体"/>
          <w:color w:val="auto"/>
          <w:highlight w:val="none"/>
        </w:rPr>
        <w:fldChar w:fldCharType="separate"/>
      </w:r>
      <w:r>
        <w:rPr>
          <w:rStyle w:val="20"/>
          <w:rFonts w:hint="eastAsia" w:ascii="宋体" w:hAnsi="宋体" w:cs="宋体"/>
          <w:color w:val="auto"/>
          <w:highlight w:val="none"/>
        </w:rPr>
        <w:t>附件4  设备交货进度</w:t>
      </w:r>
      <w:r>
        <w:rPr>
          <w:rStyle w:val="20"/>
          <w:rFonts w:hint="eastAsia" w:ascii="宋体" w:hAnsi="宋体" w:cs="宋体"/>
          <w:color w:val="auto"/>
          <w:highlight w:val="none"/>
        </w:rPr>
        <w:fldChar w:fldCharType="end"/>
      </w:r>
    </w:p>
    <w:p w14:paraId="13D65593">
      <w:pPr>
        <w:pStyle w:val="14"/>
        <w:tabs>
          <w:tab w:val="right" w:leader="dot" w:pos="8296"/>
        </w:tabs>
        <w:spacing w:line="480" w:lineRule="auto"/>
        <w:rPr>
          <w:rFonts w:hint="eastAsia" w:ascii="宋体" w:hAnsi="宋体" w:cs="宋体"/>
          <w:color w:val="auto"/>
          <w:sz w:val="24"/>
          <w:szCs w:val="24"/>
          <w:highlight w:val="none"/>
        </w:rPr>
      </w:pPr>
      <w:r>
        <w:rPr>
          <w:rStyle w:val="20"/>
          <w:rFonts w:hint="eastAsia" w:ascii="宋体" w:hAnsi="宋体" w:cs="宋体"/>
          <w:color w:val="auto"/>
          <w:highlight w:val="none"/>
        </w:rPr>
        <w:fldChar w:fldCharType="begin"/>
      </w:r>
      <w:r>
        <w:rPr>
          <w:rStyle w:val="20"/>
          <w:rFonts w:hint="eastAsia" w:ascii="宋体" w:hAnsi="宋体" w:cs="宋体"/>
          <w:color w:val="auto"/>
          <w:highlight w:val="none"/>
        </w:rPr>
        <w:instrText xml:space="preserve"> </w:instrText>
      </w:r>
      <w:r>
        <w:rPr>
          <w:rFonts w:hint="eastAsia" w:ascii="宋体" w:hAnsi="宋体" w:cs="宋体"/>
          <w:color w:val="auto"/>
          <w:highlight w:val="none"/>
        </w:rPr>
        <w:instrText xml:space="preserve">HYPERLINK \l "_Toc526944933"</w:instrText>
      </w:r>
      <w:r>
        <w:rPr>
          <w:rStyle w:val="20"/>
          <w:rFonts w:hint="eastAsia" w:ascii="宋体" w:hAnsi="宋体" w:cs="宋体"/>
          <w:color w:val="auto"/>
          <w:highlight w:val="none"/>
        </w:rPr>
        <w:instrText xml:space="preserve"> </w:instrText>
      </w:r>
      <w:r>
        <w:rPr>
          <w:rStyle w:val="20"/>
          <w:rFonts w:hint="eastAsia" w:ascii="宋体" w:hAnsi="宋体" w:cs="宋体"/>
          <w:color w:val="auto"/>
          <w:highlight w:val="none"/>
        </w:rPr>
        <w:fldChar w:fldCharType="separate"/>
      </w:r>
      <w:r>
        <w:rPr>
          <w:rStyle w:val="20"/>
          <w:rFonts w:hint="eastAsia" w:ascii="宋体" w:hAnsi="宋体" w:cs="宋体"/>
          <w:color w:val="auto"/>
          <w:highlight w:val="none"/>
        </w:rPr>
        <w:t>附件5  设备监造、检验和性能验收试验</w:t>
      </w:r>
      <w:r>
        <w:rPr>
          <w:rStyle w:val="20"/>
          <w:rFonts w:hint="eastAsia" w:ascii="宋体" w:hAnsi="宋体" w:cs="宋体"/>
          <w:color w:val="auto"/>
          <w:highlight w:val="none"/>
        </w:rPr>
        <w:fldChar w:fldCharType="end"/>
      </w:r>
    </w:p>
    <w:p w14:paraId="569319AD">
      <w:pPr>
        <w:pStyle w:val="14"/>
        <w:tabs>
          <w:tab w:val="right" w:leader="dot" w:pos="8296"/>
        </w:tabs>
        <w:spacing w:line="480" w:lineRule="auto"/>
        <w:rPr>
          <w:rFonts w:hint="eastAsia" w:ascii="宋体" w:hAnsi="宋体" w:cs="宋体"/>
          <w:color w:val="auto"/>
          <w:sz w:val="24"/>
          <w:szCs w:val="24"/>
          <w:highlight w:val="none"/>
        </w:rPr>
      </w:pPr>
      <w:r>
        <w:rPr>
          <w:rStyle w:val="20"/>
          <w:rFonts w:hint="eastAsia" w:ascii="宋体" w:hAnsi="宋体" w:cs="宋体"/>
          <w:color w:val="auto"/>
          <w:highlight w:val="none"/>
        </w:rPr>
        <w:fldChar w:fldCharType="begin"/>
      </w:r>
      <w:r>
        <w:rPr>
          <w:rStyle w:val="20"/>
          <w:rFonts w:hint="eastAsia" w:ascii="宋体" w:hAnsi="宋体" w:cs="宋体"/>
          <w:color w:val="auto"/>
          <w:highlight w:val="none"/>
        </w:rPr>
        <w:instrText xml:space="preserve"> </w:instrText>
      </w:r>
      <w:r>
        <w:rPr>
          <w:rFonts w:hint="eastAsia" w:ascii="宋体" w:hAnsi="宋体" w:cs="宋体"/>
          <w:color w:val="auto"/>
          <w:highlight w:val="none"/>
        </w:rPr>
        <w:instrText xml:space="preserve">HYPERLINK \l "_Toc526944934"</w:instrText>
      </w:r>
      <w:r>
        <w:rPr>
          <w:rStyle w:val="20"/>
          <w:rFonts w:hint="eastAsia" w:ascii="宋体" w:hAnsi="宋体" w:cs="宋体"/>
          <w:color w:val="auto"/>
          <w:highlight w:val="none"/>
        </w:rPr>
        <w:instrText xml:space="preserve"> </w:instrText>
      </w:r>
      <w:r>
        <w:rPr>
          <w:rStyle w:val="20"/>
          <w:rFonts w:hint="eastAsia" w:ascii="宋体" w:hAnsi="宋体" w:cs="宋体"/>
          <w:color w:val="auto"/>
          <w:highlight w:val="none"/>
        </w:rPr>
        <w:fldChar w:fldCharType="separate"/>
      </w:r>
      <w:r>
        <w:rPr>
          <w:rStyle w:val="20"/>
          <w:rFonts w:hint="eastAsia" w:ascii="宋体" w:hAnsi="宋体" w:cs="宋体"/>
          <w:color w:val="auto"/>
          <w:highlight w:val="none"/>
        </w:rPr>
        <w:t>附件6  技术服务和联络</w:t>
      </w:r>
      <w:r>
        <w:rPr>
          <w:rStyle w:val="20"/>
          <w:rFonts w:hint="eastAsia" w:ascii="宋体" w:hAnsi="宋体" w:cs="宋体"/>
          <w:color w:val="auto"/>
          <w:highlight w:val="none"/>
        </w:rPr>
        <w:fldChar w:fldCharType="end"/>
      </w:r>
    </w:p>
    <w:p w14:paraId="740A303D">
      <w:pPr>
        <w:pStyle w:val="14"/>
        <w:tabs>
          <w:tab w:val="right" w:leader="dot" w:pos="8296"/>
        </w:tabs>
        <w:spacing w:line="480" w:lineRule="auto"/>
        <w:rPr>
          <w:rFonts w:hint="eastAsia" w:ascii="宋体" w:hAnsi="宋体" w:cs="宋体"/>
          <w:color w:val="auto"/>
          <w:sz w:val="24"/>
          <w:szCs w:val="24"/>
          <w:highlight w:val="none"/>
        </w:rPr>
      </w:pPr>
      <w:r>
        <w:rPr>
          <w:rStyle w:val="20"/>
          <w:rFonts w:hint="eastAsia" w:ascii="宋体" w:hAnsi="宋体" w:cs="宋体"/>
          <w:color w:val="auto"/>
          <w:highlight w:val="none"/>
        </w:rPr>
        <w:fldChar w:fldCharType="begin"/>
      </w:r>
      <w:r>
        <w:rPr>
          <w:rStyle w:val="20"/>
          <w:rFonts w:hint="eastAsia" w:ascii="宋体" w:hAnsi="宋体" w:cs="宋体"/>
          <w:color w:val="auto"/>
          <w:highlight w:val="none"/>
        </w:rPr>
        <w:instrText xml:space="preserve"> </w:instrText>
      </w:r>
      <w:r>
        <w:rPr>
          <w:rFonts w:hint="eastAsia" w:ascii="宋体" w:hAnsi="宋体" w:cs="宋体"/>
          <w:color w:val="auto"/>
          <w:highlight w:val="none"/>
        </w:rPr>
        <w:instrText xml:space="preserve">HYPERLINK \l "_Toc526944935"</w:instrText>
      </w:r>
      <w:r>
        <w:rPr>
          <w:rStyle w:val="20"/>
          <w:rFonts w:hint="eastAsia" w:ascii="宋体" w:hAnsi="宋体" w:cs="宋体"/>
          <w:color w:val="auto"/>
          <w:highlight w:val="none"/>
        </w:rPr>
        <w:instrText xml:space="preserve"> </w:instrText>
      </w:r>
      <w:r>
        <w:rPr>
          <w:rStyle w:val="20"/>
          <w:rFonts w:hint="eastAsia" w:ascii="宋体" w:hAnsi="宋体" w:cs="宋体"/>
          <w:color w:val="auto"/>
          <w:highlight w:val="none"/>
        </w:rPr>
        <w:fldChar w:fldCharType="separate"/>
      </w:r>
      <w:r>
        <w:rPr>
          <w:rStyle w:val="20"/>
          <w:rFonts w:hint="eastAsia" w:ascii="宋体" w:hAnsi="宋体" w:cs="宋体"/>
          <w:color w:val="auto"/>
          <w:highlight w:val="none"/>
        </w:rPr>
        <w:t>附件7  分包与外购</w:t>
      </w:r>
      <w:r>
        <w:rPr>
          <w:rStyle w:val="20"/>
          <w:rFonts w:hint="eastAsia" w:ascii="宋体" w:hAnsi="宋体" w:cs="宋体"/>
          <w:color w:val="auto"/>
          <w:highlight w:val="none"/>
        </w:rPr>
        <w:fldChar w:fldCharType="end"/>
      </w:r>
    </w:p>
    <w:p w14:paraId="4DCBFC49">
      <w:pPr>
        <w:pStyle w:val="14"/>
        <w:tabs>
          <w:tab w:val="right" w:leader="dot" w:pos="8296"/>
        </w:tabs>
        <w:spacing w:line="480" w:lineRule="auto"/>
        <w:rPr>
          <w:rFonts w:hint="eastAsia" w:ascii="宋体" w:hAnsi="宋体" w:cs="宋体"/>
          <w:color w:val="auto"/>
          <w:sz w:val="24"/>
          <w:szCs w:val="24"/>
          <w:highlight w:val="none"/>
        </w:rPr>
      </w:pPr>
      <w:r>
        <w:rPr>
          <w:rStyle w:val="20"/>
          <w:rFonts w:hint="eastAsia" w:ascii="宋体" w:hAnsi="宋体" w:cs="宋体"/>
          <w:color w:val="auto"/>
          <w:highlight w:val="none"/>
        </w:rPr>
        <w:fldChar w:fldCharType="begin"/>
      </w:r>
      <w:r>
        <w:rPr>
          <w:rStyle w:val="20"/>
          <w:rFonts w:hint="eastAsia" w:ascii="宋体" w:hAnsi="宋体" w:cs="宋体"/>
          <w:color w:val="auto"/>
          <w:highlight w:val="none"/>
        </w:rPr>
        <w:instrText xml:space="preserve"> </w:instrText>
      </w:r>
      <w:r>
        <w:rPr>
          <w:rFonts w:hint="eastAsia" w:ascii="宋体" w:hAnsi="宋体" w:cs="宋体"/>
          <w:color w:val="auto"/>
          <w:highlight w:val="none"/>
        </w:rPr>
        <w:instrText xml:space="preserve">HYPERLINK \l "_Toc526944936"</w:instrText>
      </w:r>
      <w:r>
        <w:rPr>
          <w:rStyle w:val="20"/>
          <w:rFonts w:hint="eastAsia" w:ascii="宋体" w:hAnsi="宋体" w:cs="宋体"/>
          <w:color w:val="auto"/>
          <w:highlight w:val="none"/>
        </w:rPr>
        <w:instrText xml:space="preserve"> </w:instrText>
      </w:r>
      <w:r>
        <w:rPr>
          <w:rStyle w:val="20"/>
          <w:rFonts w:hint="eastAsia" w:ascii="宋体" w:hAnsi="宋体" w:cs="宋体"/>
          <w:color w:val="auto"/>
          <w:highlight w:val="none"/>
        </w:rPr>
        <w:fldChar w:fldCharType="separate"/>
      </w:r>
      <w:r>
        <w:rPr>
          <w:rStyle w:val="20"/>
          <w:rFonts w:hint="eastAsia" w:ascii="宋体" w:hAnsi="宋体" w:cs="宋体"/>
          <w:color w:val="auto"/>
          <w:highlight w:val="none"/>
        </w:rPr>
        <w:t>附件8  运行维护手册</w:t>
      </w:r>
      <w:r>
        <w:rPr>
          <w:rStyle w:val="20"/>
          <w:rFonts w:hint="eastAsia" w:ascii="宋体" w:hAnsi="宋体" w:cs="宋体"/>
          <w:color w:val="auto"/>
          <w:highlight w:val="none"/>
        </w:rPr>
        <w:fldChar w:fldCharType="end"/>
      </w:r>
    </w:p>
    <w:p w14:paraId="3DACC034">
      <w:pPr>
        <w:pStyle w:val="14"/>
        <w:tabs>
          <w:tab w:val="right" w:leader="dot" w:pos="8296"/>
        </w:tabs>
        <w:spacing w:line="480" w:lineRule="auto"/>
        <w:rPr>
          <w:rFonts w:hint="eastAsia" w:ascii="宋体" w:hAnsi="宋体" w:cs="宋体"/>
          <w:color w:val="auto"/>
          <w:sz w:val="24"/>
          <w:szCs w:val="24"/>
          <w:highlight w:val="none"/>
        </w:rPr>
      </w:pPr>
      <w:r>
        <w:rPr>
          <w:rStyle w:val="20"/>
          <w:rFonts w:hint="eastAsia" w:ascii="宋体" w:hAnsi="宋体" w:cs="宋体"/>
          <w:color w:val="auto"/>
          <w:highlight w:val="none"/>
        </w:rPr>
        <w:fldChar w:fldCharType="begin"/>
      </w:r>
      <w:r>
        <w:rPr>
          <w:rStyle w:val="20"/>
          <w:rFonts w:hint="eastAsia" w:ascii="宋体" w:hAnsi="宋体" w:cs="宋体"/>
          <w:color w:val="auto"/>
          <w:highlight w:val="none"/>
        </w:rPr>
        <w:instrText xml:space="preserve"> </w:instrText>
      </w:r>
      <w:r>
        <w:rPr>
          <w:rFonts w:hint="eastAsia" w:ascii="宋体" w:hAnsi="宋体" w:cs="宋体"/>
          <w:color w:val="auto"/>
          <w:highlight w:val="none"/>
        </w:rPr>
        <w:instrText xml:space="preserve">HYPERLINK \l "_Toc526944937"</w:instrText>
      </w:r>
      <w:r>
        <w:rPr>
          <w:rStyle w:val="20"/>
          <w:rFonts w:hint="eastAsia" w:ascii="宋体" w:hAnsi="宋体" w:cs="宋体"/>
          <w:color w:val="auto"/>
          <w:highlight w:val="none"/>
        </w:rPr>
        <w:instrText xml:space="preserve"> </w:instrText>
      </w:r>
      <w:r>
        <w:rPr>
          <w:rStyle w:val="20"/>
          <w:rFonts w:hint="eastAsia" w:ascii="宋体" w:hAnsi="宋体" w:cs="宋体"/>
          <w:color w:val="auto"/>
          <w:highlight w:val="none"/>
        </w:rPr>
        <w:fldChar w:fldCharType="separate"/>
      </w:r>
      <w:r>
        <w:rPr>
          <w:rStyle w:val="20"/>
          <w:rFonts w:hint="eastAsia" w:ascii="宋体" w:hAnsi="宋体" w:cs="宋体"/>
          <w:color w:val="auto"/>
          <w:highlight w:val="none"/>
        </w:rPr>
        <w:t>附件9  大（部）件情况</w:t>
      </w:r>
      <w:r>
        <w:rPr>
          <w:rStyle w:val="20"/>
          <w:rFonts w:hint="eastAsia" w:ascii="宋体" w:hAnsi="宋体" w:cs="宋体"/>
          <w:color w:val="auto"/>
          <w:highlight w:val="none"/>
        </w:rPr>
        <w:fldChar w:fldCharType="end"/>
      </w:r>
    </w:p>
    <w:p w14:paraId="56BFA03A">
      <w:pPr>
        <w:pStyle w:val="14"/>
        <w:tabs>
          <w:tab w:val="right" w:leader="dot" w:pos="8296"/>
        </w:tabs>
        <w:spacing w:line="480" w:lineRule="auto"/>
        <w:rPr>
          <w:rFonts w:hint="eastAsia" w:ascii="宋体" w:hAnsi="宋体" w:cs="宋体"/>
          <w:color w:val="auto"/>
          <w:sz w:val="24"/>
          <w:szCs w:val="24"/>
          <w:highlight w:val="none"/>
        </w:rPr>
      </w:pPr>
      <w:r>
        <w:rPr>
          <w:rStyle w:val="20"/>
          <w:rFonts w:hint="eastAsia" w:ascii="宋体" w:hAnsi="宋体" w:cs="宋体"/>
          <w:color w:val="auto"/>
          <w:highlight w:val="none"/>
        </w:rPr>
        <w:fldChar w:fldCharType="begin"/>
      </w:r>
      <w:r>
        <w:rPr>
          <w:rStyle w:val="20"/>
          <w:rFonts w:hint="eastAsia" w:ascii="宋体" w:hAnsi="宋体" w:cs="宋体"/>
          <w:color w:val="auto"/>
          <w:highlight w:val="none"/>
        </w:rPr>
        <w:instrText xml:space="preserve"> </w:instrText>
      </w:r>
      <w:r>
        <w:rPr>
          <w:rFonts w:hint="eastAsia" w:ascii="宋体" w:hAnsi="宋体" w:cs="宋体"/>
          <w:color w:val="auto"/>
          <w:highlight w:val="none"/>
        </w:rPr>
        <w:instrText xml:space="preserve">HYPERLINK \l "_Toc526944938"</w:instrText>
      </w:r>
      <w:r>
        <w:rPr>
          <w:rStyle w:val="20"/>
          <w:rFonts w:hint="eastAsia" w:ascii="宋体" w:hAnsi="宋体" w:cs="宋体"/>
          <w:color w:val="auto"/>
          <w:highlight w:val="none"/>
        </w:rPr>
        <w:instrText xml:space="preserve"> </w:instrText>
      </w:r>
      <w:r>
        <w:rPr>
          <w:rStyle w:val="20"/>
          <w:rFonts w:hint="eastAsia" w:ascii="宋体" w:hAnsi="宋体" w:cs="宋体"/>
          <w:color w:val="auto"/>
          <w:highlight w:val="none"/>
        </w:rPr>
        <w:fldChar w:fldCharType="separate"/>
      </w:r>
      <w:r>
        <w:rPr>
          <w:rStyle w:val="20"/>
          <w:rFonts w:hint="eastAsia" w:ascii="宋体" w:hAnsi="宋体" w:cs="宋体"/>
          <w:color w:val="auto"/>
          <w:highlight w:val="none"/>
        </w:rPr>
        <w:t>附件10 技术差异表</w:t>
      </w:r>
      <w:r>
        <w:rPr>
          <w:rStyle w:val="20"/>
          <w:rFonts w:hint="eastAsia" w:ascii="宋体" w:hAnsi="宋体" w:cs="宋体"/>
          <w:color w:val="auto"/>
          <w:highlight w:val="none"/>
        </w:rPr>
        <w:fldChar w:fldCharType="end"/>
      </w:r>
    </w:p>
    <w:p w14:paraId="4EB38AED">
      <w:pPr>
        <w:pStyle w:val="14"/>
        <w:tabs>
          <w:tab w:val="right" w:leader="dot" w:pos="8296"/>
        </w:tabs>
        <w:spacing w:line="480" w:lineRule="auto"/>
        <w:rPr>
          <w:rFonts w:hint="eastAsia" w:ascii="宋体" w:hAnsi="宋体" w:cs="宋体"/>
          <w:color w:val="auto"/>
          <w:sz w:val="24"/>
          <w:szCs w:val="24"/>
          <w:highlight w:val="none"/>
        </w:rPr>
      </w:pPr>
      <w:r>
        <w:rPr>
          <w:rStyle w:val="20"/>
          <w:rFonts w:hint="eastAsia" w:ascii="宋体" w:hAnsi="宋体" w:cs="宋体"/>
          <w:color w:val="auto"/>
          <w:highlight w:val="none"/>
        </w:rPr>
        <w:fldChar w:fldCharType="begin"/>
      </w:r>
      <w:r>
        <w:rPr>
          <w:rStyle w:val="20"/>
          <w:rFonts w:hint="eastAsia" w:ascii="宋体" w:hAnsi="宋体" w:cs="宋体"/>
          <w:color w:val="auto"/>
          <w:highlight w:val="none"/>
        </w:rPr>
        <w:instrText xml:space="preserve"> </w:instrText>
      </w:r>
      <w:r>
        <w:rPr>
          <w:rFonts w:hint="eastAsia" w:ascii="宋体" w:hAnsi="宋体" w:cs="宋体"/>
          <w:color w:val="auto"/>
          <w:highlight w:val="none"/>
        </w:rPr>
        <w:instrText xml:space="preserve">HYPERLINK \l "_Toc526944939"</w:instrText>
      </w:r>
      <w:r>
        <w:rPr>
          <w:rStyle w:val="20"/>
          <w:rFonts w:hint="eastAsia" w:ascii="宋体" w:hAnsi="宋体" w:cs="宋体"/>
          <w:color w:val="auto"/>
          <w:highlight w:val="none"/>
        </w:rPr>
        <w:instrText xml:space="preserve"> </w:instrText>
      </w:r>
      <w:r>
        <w:rPr>
          <w:rStyle w:val="20"/>
          <w:rFonts w:hint="eastAsia" w:ascii="宋体" w:hAnsi="宋体" w:cs="宋体"/>
          <w:color w:val="auto"/>
          <w:highlight w:val="none"/>
        </w:rPr>
        <w:fldChar w:fldCharType="separate"/>
      </w:r>
      <w:r>
        <w:rPr>
          <w:rStyle w:val="20"/>
          <w:rFonts w:hint="eastAsia" w:ascii="宋体" w:hAnsi="宋体" w:cs="宋体"/>
          <w:color w:val="auto"/>
          <w:highlight w:val="none"/>
        </w:rPr>
        <w:t>附件11 附图</w:t>
      </w:r>
      <w:r>
        <w:rPr>
          <w:rStyle w:val="20"/>
          <w:rFonts w:hint="eastAsia" w:ascii="宋体" w:hAnsi="宋体" w:cs="宋体"/>
          <w:color w:val="auto"/>
          <w:highlight w:val="none"/>
        </w:rPr>
        <w:fldChar w:fldCharType="end"/>
      </w:r>
    </w:p>
    <w:p w14:paraId="4F350FED">
      <w:pPr>
        <w:pStyle w:val="14"/>
        <w:tabs>
          <w:tab w:val="right" w:leader="dot" w:pos="8296"/>
        </w:tabs>
        <w:spacing w:line="480" w:lineRule="auto"/>
        <w:rPr>
          <w:rFonts w:hint="eastAsia" w:ascii="宋体" w:hAnsi="宋体" w:cs="宋体"/>
          <w:color w:val="auto"/>
          <w:sz w:val="24"/>
          <w:szCs w:val="24"/>
          <w:highlight w:val="none"/>
        </w:rPr>
      </w:pPr>
      <w:r>
        <w:rPr>
          <w:rStyle w:val="20"/>
          <w:rFonts w:hint="eastAsia" w:ascii="宋体" w:hAnsi="宋体" w:cs="宋体"/>
          <w:color w:val="auto"/>
          <w:highlight w:val="none"/>
        </w:rPr>
        <w:fldChar w:fldCharType="begin"/>
      </w:r>
      <w:r>
        <w:rPr>
          <w:rStyle w:val="20"/>
          <w:rFonts w:hint="eastAsia" w:ascii="宋体" w:hAnsi="宋体" w:cs="宋体"/>
          <w:color w:val="auto"/>
          <w:highlight w:val="none"/>
        </w:rPr>
        <w:instrText xml:space="preserve"> </w:instrText>
      </w:r>
      <w:r>
        <w:rPr>
          <w:rFonts w:hint="eastAsia" w:ascii="宋体" w:hAnsi="宋体" w:cs="宋体"/>
          <w:color w:val="auto"/>
          <w:highlight w:val="none"/>
        </w:rPr>
        <w:instrText xml:space="preserve">HYPERLINK \l "_Toc526944940"</w:instrText>
      </w:r>
      <w:r>
        <w:rPr>
          <w:rStyle w:val="20"/>
          <w:rFonts w:hint="eastAsia" w:ascii="宋体" w:hAnsi="宋体" w:cs="宋体"/>
          <w:color w:val="auto"/>
          <w:highlight w:val="none"/>
        </w:rPr>
        <w:instrText xml:space="preserve"> </w:instrText>
      </w:r>
      <w:r>
        <w:rPr>
          <w:rStyle w:val="20"/>
          <w:rFonts w:hint="eastAsia" w:ascii="宋体" w:hAnsi="宋体" w:cs="宋体"/>
          <w:color w:val="auto"/>
          <w:highlight w:val="none"/>
        </w:rPr>
        <w:fldChar w:fldCharType="separate"/>
      </w:r>
      <w:r>
        <w:rPr>
          <w:rStyle w:val="20"/>
          <w:rFonts w:hint="eastAsia" w:ascii="宋体" w:hAnsi="宋体" w:cs="宋体"/>
          <w:color w:val="auto"/>
          <w:highlight w:val="none"/>
        </w:rPr>
        <w:t>附件12 性能考核条款</w:t>
      </w:r>
      <w:r>
        <w:rPr>
          <w:rStyle w:val="20"/>
          <w:rFonts w:hint="eastAsia" w:ascii="宋体" w:hAnsi="宋体" w:cs="宋体"/>
          <w:color w:val="auto"/>
          <w:highlight w:val="none"/>
        </w:rPr>
        <w:fldChar w:fldCharType="end"/>
      </w:r>
    </w:p>
    <w:p w14:paraId="239941BA">
      <w:pPr>
        <w:pStyle w:val="14"/>
        <w:tabs>
          <w:tab w:val="right" w:leader="dot" w:pos="8296"/>
        </w:tabs>
        <w:spacing w:line="480" w:lineRule="auto"/>
        <w:rPr>
          <w:rFonts w:hint="eastAsia" w:ascii="宋体" w:hAnsi="宋体" w:cs="宋体"/>
          <w:color w:val="auto"/>
          <w:sz w:val="21"/>
          <w:szCs w:val="22"/>
          <w:highlight w:val="none"/>
        </w:rPr>
      </w:pPr>
      <w:r>
        <w:rPr>
          <w:rStyle w:val="20"/>
          <w:rFonts w:hint="eastAsia" w:ascii="宋体" w:hAnsi="宋体" w:cs="宋体"/>
          <w:color w:val="auto"/>
          <w:highlight w:val="none"/>
        </w:rPr>
        <w:fldChar w:fldCharType="begin"/>
      </w:r>
      <w:r>
        <w:rPr>
          <w:rStyle w:val="20"/>
          <w:rFonts w:hint="eastAsia" w:ascii="宋体" w:hAnsi="宋体" w:cs="宋体"/>
          <w:color w:val="auto"/>
          <w:highlight w:val="none"/>
        </w:rPr>
        <w:instrText xml:space="preserve"> </w:instrText>
      </w:r>
      <w:r>
        <w:rPr>
          <w:rFonts w:hint="eastAsia" w:ascii="宋体" w:hAnsi="宋体" w:cs="宋体"/>
          <w:color w:val="auto"/>
          <w:highlight w:val="none"/>
        </w:rPr>
        <w:instrText xml:space="preserve">HYPERLINK \l "_Toc526944941"</w:instrText>
      </w:r>
      <w:r>
        <w:rPr>
          <w:rStyle w:val="20"/>
          <w:rFonts w:hint="eastAsia" w:ascii="宋体" w:hAnsi="宋体" w:cs="宋体"/>
          <w:color w:val="auto"/>
          <w:highlight w:val="none"/>
        </w:rPr>
        <w:instrText xml:space="preserve"> </w:instrText>
      </w:r>
      <w:r>
        <w:rPr>
          <w:rStyle w:val="20"/>
          <w:rFonts w:hint="eastAsia" w:ascii="宋体" w:hAnsi="宋体" w:cs="宋体"/>
          <w:color w:val="auto"/>
          <w:highlight w:val="none"/>
        </w:rPr>
        <w:fldChar w:fldCharType="separate"/>
      </w:r>
      <w:r>
        <w:rPr>
          <w:rStyle w:val="20"/>
          <w:rFonts w:hint="eastAsia" w:ascii="宋体" w:hAnsi="宋体" w:cs="宋体"/>
          <w:color w:val="auto"/>
          <w:highlight w:val="none"/>
        </w:rPr>
        <w:t>附件13 投标人需要说明的其他问题（质量承诺及售后服务承诺等）</w:t>
      </w:r>
      <w:r>
        <w:rPr>
          <w:rStyle w:val="20"/>
          <w:rFonts w:hint="eastAsia" w:ascii="宋体" w:hAnsi="宋体" w:cs="宋体"/>
          <w:color w:val="auto"/>
          <w:highlight w:val="none"/>
        </w:rPr>
        <w:fldChar w:fldCharType="end"/>
      </w:r>
    </w:p>
    <w:p w14:paraId="63458F1D">
      <w:pPr>
        <w:widowControl/>
        <w:spacing w:before="0" w:beforeLines="0" w:after="0" w:afterLines="0" w:line="360" w:lineRule="auto"/>
        <w:jc w:val="left"/>
        <w:rPr>
          <w:rFonts w:hint="eastAsia" w:ascii="宋体" w:hAnsi="宋体" w:cs="宋体"/>
          <w:color w:val="auto"/>
          <w:sz w:val="30"/>
          <w:szCs w:val="30"/>
          <w:highlight w:val="none"/>
        </w:rPr>
      </w:pPr>
      <w:r>
        <w:rPr>
          <w:rStyle w:val="20"/>
          <w:rFonts w:hint="eastAsia" w:ascii="宋体" w:hAnsi="宋体" w:cs="宋体"/>
          <w:bCs/>
          <w:color w:val="auto"/>
          <w:highlight w:val="none"/>
        </w:rPr>
        <w:fldChar w:fldCharType="end"/>
      </w:r>
      <w:r>
        <w:rPr>
          <w:rStyle w:val="20"/>
          <w:rFonts w:hint="eastAsia" w:ascii="宋体" w:hAnsi="宋体" w:cs="宋体"/>
          <w:bCs/>
          <w:color w:val="auto"/>
          <w:highlight w:val="none"/>
        </w:rPr>
        <w:br w:type="page"/>
      </w:r>
      <w:bookmarkStart w:id="4" w:name="_Toc526944929"/>
      <w:r>
        <w:rPr>
          <w:rFonts w:hint="eastAsia" w:asciiTheme="majorEastAsia" w:hAnsiTheme="majorEastAsia" w:eastAsiaTheme="majorEastAsia" w:cstheme="majorEastAsia"/>
          <w:b/>
          <w:bCs/>
          <w:color w:val="auto"/>
          <w:sz w:val="30"/>
          <w:szCs w:val="30"/>
          <w:highlight w:val="none"/>
        </w:rPr>
        <w:t>附件1 技术规范</w:t>
      </w:r>
      <w:bookmarkEnd w:id="4"/>
    </w:p>
    <w:p w14:paraId="73DC9851">
      <w:pPr>
        <w:pStyle w:val="24"/>
        <w:numPr>
          <w:ilvl w:val="-1"/>
          <w:numId w:val="0"/>
        </w:numPr>
        <w:adjustRightInd/>
        <w:spacing w:before="0" w:beforeLines="0" w:after="0" w:afterLines="0" w:line="360" w:lineRule="auto"/>
        <w:outlineLvl w:val="0"/>
        <w:rPr>
          <w:rFonts w:hint="eastAsia" w:ascii="宋体" w:hAnsi="宋体" w:eastAsia="宋体" w:cs="宋体"/>
          <w:b/>
          <w:bCs/>
          <w:color w:val="auto"/>
          <w:sz w:val="28"/>
          <w:szCs w:val="28"/>
          <w:highlight w:val="none"/>
        </w:rPr>
      </w:pPr>
      <w:bookmarkStart w:id="5" w:name="_Toc170270571"/>
      <w:bookmarkStart w:id="6" w:name="_Toc96238072"/>
      <w:bookmarkStart w:id="7" w:name="_Toc170462597"/>
      <w:bookmarkStart w:id="8" w:name="_Toc513261526"/>
      <w:bookmarkStart w:id="9" w:name="_Toc512332294"/>
      <w:bookmarkStart w:id="10" w:name="_Toc529267697"/>
      <w:bookmarkStart w:id="11" w:name="_Toc536410859"/>
      <w:bookmarkStart w:id="12" w:name="_Toc223320089"/>
      <w:bookmarkStart w:id="13" w:name="_Toc513001933"/>
      <w:bookmarkStart w:id="14" w:name="_Toc501817560"/>
      <w:bookmarkStart w:id="15" w:name="_Toc223835839"/>
      <w:r>
        <w:rPr>
          <w:rFonts w:hint="eastAsia" w:ascii="宋体" w:hAnsi="宋体" w:eastAsia="宋体" w:cs="宋体"/>
          <w:b/>
          <w:bCs/>
          <w:color w:val="auto"/>
          <w:sz w:val="28"/>
          <w:szCs w:val="28"/>
          <w:highlight w:val="none"/>
          <w:lang w:val="en-US" w:eastAsia="zh-CN"/>
        </w:rPr>
        <w:t xml:space="preserve">1 </w:t>
      </w:r>
      <w:r>
        <w:rPr>
          <w:rFonts w:hint="eastAsia" w:ascii="宋体" w:hAnsi="宋体" w:eastAsia="宋体" w:cs="宋体"/>
          <w:b/>
          <w:bCs/>
          <w:color w:val="auto"/>
          <w:sz w:val="28"/>
          <w:szCs w:val="28"/>
          <w:highlight w:val="none"/>
        </w:rPr>
        <w:t>总则</w:t>
      </w:r>
      <w:bookmarkEnd w:id="5"/>
      <w:bookmarkEnd w:id="6"/>
      <w:bookmarkEnd w:id="7"/>
    </w:p>
    <w:p w14:paraId="2E39ED5C">
      <w:pPr>
        <w:pStyle w:val="24"/>
        <w:numPr>
          <w:ilvl w:val="-1"/>
          <w:numId w:val="0"/>
        </w:numPr>
        <w:spacing w:before="0" w:beforeLines="0" w:after="0" w:afterLines="0" w:line="360" w:lineRule="auto"/>
        <w:ind w:left="0" w:firstLine="0" w:firstLineChars="0"/>
        <w:outlineLvl w:val="1"/>
        <w:rPr>
          <w:rFonts w:hint="eastAsia" w:ascii="宋体" w:hAnsi="宋体" w:cs="宋体"/>
          <w:b/>
          <w:bCs/>
          <w:color w:val="auto"/>
          <w:highlight w:val="none"/>
        </w:rPr>
      </w:pPr>
      <w:r>
        <w:rPr>
          <w:rFonts w:hint="eastAsia" w:ascii="宋体" w:hAnsi="宋体" w:cs="宋体"/>
          <w:b/>
          <w:bCs/>
          <w:color w:val="auto"/>
          <w:sz w:val="24"/>
          <w:szCs w:val="24"/>
          <w:highlight w:val="none"/>
          <w:lang w:val="en-US" w:eastAsia="zh-CN"/>
        </w:rPr>
        <w:t xml:space="preserve">1.1 </w:t>
      </w:r>
      <w:r>
        <w:rPr>
          <w:rFonts w:hint="eastAsia" w:ascii="宋体" w:hAnsi="宋体" w:cs="宋体"/>
          <w:b/>
          <w:bCs/>
          <w:color w:val="auto"/>
          <w:highlight w:val="none"/>
        </w:rPr>
        <w:t>一般规定</w:t>
      </w:r>
    </w:p>
    <w:p w14:paraId="470A6376">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1.1.1 本</w:t>
      </w:r>
      <w:r>
        <w:rPr>
          <w:rFonts w:hint="eastAsia" w:ascii="宋体" w:hAnsi="宋体" w:cs="宋体"/>
          <w:color w:val="auto"/>
          <w:sz w:val="21"/>
          <w:szCs w:val="21"/>
          <w:highlight w:val="none"/>
          <w:lang w:eastAsia="zh-CN"/>
        </w:rPr>
        <w:t>技术规范书</w:t>
      </w:r>
      <w:r>
        <w:rPr>
          <w:rFonts w:hint="eastAsia" w:ascii="宋体" w:hAnsi="宋体" w:cs="宋体"/>
          <w:color w:val="auto"/>
          <w:sz w:val="21"/>
          <w:szCs w:val="21"/>
          <w:highlight w:val="none"/>
        </w:rPr>
        <w:t>适用于</w:t>
      </w:r>
      <w:r>
        <w:rPr>
          <w:rFonts w:hint="eastAsia" w:ascii="宋体" w:hAnsi="宋体" w:cs="宋体"/>
          <w:color w:val="auto"/>
          <w:sz w:val="21"/>
          <w:szCs w:val="21"/>
          <w:highlight w:val="none"/>
          <w:u w:val="single"/>
        </w:rPr>
        <w:t>浙江浙能</w:t>
      </w:r>
      <w:r>
        <w:rPr>
          <w:rFonts w:hint="eastAsia" w:ascii="宋体" w:hAnsi="宋体" w:eastAsia="宋体" w:cs="宋体"/>
          <w:color w:val="auto"/>
          <w:sz w:val="21"/>
          <w:szCs w:val="21"/>
          <w:highlight w:val="none"/>
          <w:u w:val="single"/>
        </w:rPr>
        <w:t>乐清发电有限责任公司</w:t>
      </w:r>
      <w:r>
        <w:rPr>
          <w:rFonts w:hint="eastAsia" w:ascii="宋体" w:hAnsi="宋体" w:cs="宋体"/>
          <w:color w:val="auto"/>
          <w:sz w:val="21"/>
          <w:szCs w:val="21"/>
          <w:highlight w:val="none"/>
          <w:u w:val="single"/>
          <w:lang w:val="en-US" w:eastAsia="zh-CN"/>
        </w:rPr>
        <w:t>1号发变组保护改造</w:t>
      </w:r>
      <w:r>
        <w:rPr>
          <w:rFonts w:hint="eastAsia" w:ascii="宋体" w:hAnsi="宋体" w:cs="宋体"/>
          <w:color w:val="auto"/>
          <w:sz w:val="21"/>
          <w:szCs w:val="21"/>
          <w:highlight w:val="none"/>
        </w:rPr>
        <w:t>工程（</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u w:val="single"/>
          <w:lang w:eastAsia="zh-CN"/>
        </w:rPr>
        <w:t>6</w:t>
      </w:r>
      <w:r>
        <w:rPr>
          <w:rFonts w:hint="eastAsia" w:ascii="宋体" w:hAnsi="宋体" w:cs="宋体"/>
          <w:color w:val="auto"/>
          <w:sz w:val="21"/>
          <w:szCs w:val="21"/>
          <w:highlight w:val="none"/>
          <w:u w:val="single"/>
          <w:lang w:val="en-US" w:eastAsia="zh-CN"/>
        </w:rPr>
        <w:t xml:space="preserve">60 </w:t>
      </w:r>
      <w:r>
        <w:rPr>
          <w:rFonts w:hint="eastAsia" w:ascii="宋体" w:hAnsi="宋体" w:cs="宋体"/>
          <w:color w:val="auto"/>
          <w:sz w:val="21"/>
          <w:szCs w:val="21"/>
          <w:highlight w:val="none"/>
          <w:u w:val="single"/>
        </w:rPr>
        <w:t>MW</w:t>
      </w:r>
      <w:r>
        <w:rPr>
          <w:rFonts w:hint="eastAsia" w:ascii="宋体" w:hAnsi="宋体" w:cs="宋体"/>
          <w:color w:val="auto"/>
          <w:sz w:val="21"/>
          <w:szCs w:val="21"/>
          <w:highlight w:val="none"/>
        </w:rPr>
        <w:t>）等级机组的发电机、励磁变、主变压器以及高压厂变微机型继电保护装置，它提出了装置的功能设计、结构、性能、制造、安装和试验等方面的技术要求，以及供货现场技术服务。投标人投标时，应按项目分别详细说明技术方案并分别列出全部技术数据。</w:t>
      </w:r>
    </w:p>
    <w:p w14:paraId="2DCCA14E">
      <w:pPr>
        <w:spacing w:line="360" w:lineRule="auto"/>
        <w:rPr>
          <w:rFonts w:hint="eastAsia" w:ascii="宋体" w:hAnsi="宋体" w:cs="宋体"/>
          <w:color w:val="auto"/>
          <w:spacing w:val="5"/>
          <w:sz w:val="21"/>
          <w:szCs w:val="21"/>
          <w:highlight w:val="none"/>
        </w:rPr>
      </w:pPr>
      <w:r>
        <w:rPr>
          <w:rFonts w:hint="eastAsia" w:ascii="宋体" w:hAnsi="宋体" w:cs="宋体"/>
          <w:color w:val="auto"/>
          <w:spacing w:val="5"/>
          <w:sz w:val="21"/>
          <w:szCs w:val="21"/>
          <w:highlight w:val="none"/>
        </w:rPr>
        <w:t>1.1.2</w:t>
      </w:r>
      <w:r>
        <w:rPr>
          <w:rFonts w:hint="eastAsia" w:ascii="宋体" w:hAnsi="宋体" w:cs="宋体"/>
          <w:color w:val="auto"/>
          <w:spacing w:val="5"/>
          <w:sz w:val="21"/>
          <w:szCs w:val="21"/>
          <w:highlight w:val="none"/>
          <w:lang w:val="en-US" w:eastAsia="zh-CN"/>
        </w:rPr>
        <w:t xml:space="preserve"> </w:t>
      </w:r>
      <w:r>
        <w:rPr>
          <w:rFonts w:hint="eastAsia" w:ascii="宋体" w:hAnsi="宋体" w:cs="宋体"/>
          <w:color w:val="auto"/>
          <w:spacing w:val="5"/>
          <w:sz w:val="21"/>
          <w:szCs w:val="21"/>
          <w:highlight w:val="none"/>
        </w:rPr>
        <w:t>招标人在本</w:t>
      </w:r>
      <w:r>
        <w:rPr>
          <w:rFonts w:hint="eastAsia" w:ascii="宋体" w:hAnsi="宋体" w:cs="宋体"/>
          <w:color w:val="auto"/>
          <w:spacing w:val="5"/>
          <w:sz w:val="21"/>
          <w:szCs w:val="21"/>
          <w:highlight w:val="none"/>
          <w:lang w:eastAsia="zh-CN"/>
        </w:rPr>
        <w:t>技术规范书</w:t>
      </w:r>
      <w:r>
        <w:rPr>
          <w:rFonts w:hint="eastAsia" w:ascii="宋体" w:hAnsi="宋体" w:cs="宋体"/>
          <w:color w:val="auto"/>
          <w:spacing w:val="5"/>
          <w:sz w:val="21"/>
          <w:szCs w:val="21"/>
          <w:highlight w:val="none"/>
        </w:rPr>
        <w:t>中提出了最低限度的技术要求，并未规定所有的技术要求和适用的标准，投标人应提供满足本</w:t>
      </w:r>
      <w:r>
        <w:rPr>
          <w:rFonts w:hint="eastAsia" w:ascii="宋体" w:hAnsi="宋体" w:cs="宋体"/>
          <w:color w:val="auto"/>
          <w:spacing w:val="5"/>
          <w:sz w:val="21"/>
          <w:szCs w:val="21"/>
          <w:highlight w:val="none"/>
          <w:lang w:eastAsia="zh-CN"/>
        </w:rPr>
        <w:t>技术规范书</w:t>
      </w:r>
      <w:r>
        <w:rPr>
          <w:rFonts w:hint="eastAsia" w:ascii="宋体" w:hAnsi="宋体" w:cs="宋体"/>
          <w:color w:val="auto"/>
          <w:spacing w:val="5"/>
          <w:sz w:val="21"/>
          <w:szCs w:val="21"/>
          <w:highlight w:val="none"/>
        </w:rPr>
        <w:t>和所列标准要求的高质量产品及其相应服务。并必须同时满足国家有关安全、环保等强制性标准要求。</w:t>
      </w:r>
    </w:p>
    <w:p w14:paraId="07AC08AA">
      <w:pPr>
        <w:spacing w:line="360" w:lineRule="auto"/>
        <w:rPr>
          <w:rFonts w:hint="eastAsia" w:ascii="宋体" w:hAnsi="宋体" w:cs="宋体"/>
          <w:color w:val="auto"/>
          <w:spacing w:val="5"/>
          <w:sz w:val="21"/>
          <w:szCs w:val="21"/>
          <w:highlight w:val="none"/>
        </w:rPr>
      </w:pPr>
      <w:r>
        <w:rPr>
          <w:rFonts w:hint="eastAsia" w:ascii="宋体" w:hAnsi="宋体" w:cs="宋体"/>
          <w:color w:val="auto"/>
          <w:spacing w:val="5"/>
          <w:sz w:val="21"/>
          <w:szCs w:val="21"/>
          <w:highlight w:val="none"/>
        </w:rPr>
        <w:t>1.1.3</w:t>
      </w:r>
      <w:r>
        <w:rPr>
          <w:rFonts w:hint="eastAsia" w:ascii="宋体" w:hAnsi="宋体" w:cs="宋体"/>
          <w:color w:val="auto"/>
          <w:spacing w:val="5"/>
          <w:sz w:val="21"/>
          <w:szCs w:val="21"/>
          <w:highlight w:val="none"/>
          <w:lang w:eastAsia="zh-CN"/>
        </w:rPr>
        <w:t xml:space="preserve"> </w:t>
      </w:r>
      <w:r>
        <w:rPr>
          <w:rFonts w:hint="eastAsia" w:ascii="宋体" w:hAnsi="宋体" w:cs="宋体"/>
          <w:color w:val="auto"/>
          <w:spacing w:val="5"/>
          <w:sz w:val="21"/>
          <w:szCs w:val="21"/>
          <w:highlight w:val="none"/>
        </w:rPr>
        <w:t>投标人应在投标文件中，对于</w:t>
      </w:r>
      <w:r>
        <w:rPr>
          <w:rFonts w:hint="eastAsia" w:ascii="宋体" w:hAnsi="宋体" w:cs="宋体"/>
          <w:color w:val="auto"/>
          <w:spacing w:val="5"/>
          <w:sz w:val="21"/>
          <w:szCs w:val="21"/>
          <w:highlight w:val="none"/>
          <w:lang w:eastAsia="zh-CN"/>
        </w:rPr>
        <w:t>本技术规范书</w:t>
      </w:r>
      <w:r>
        <w:rPr>
          <w:rFonts w:hint="eastAsia" w:ascii="宋体" w:hAnsi="宋体" w:cs="宋体"/>
          <w:color w:val="auto"/>
          <w:spacing w:val="5"/>
          <w:sz w:val="21"/>
          <w:szCs w:val="21"/>
          <w:highlight w:val="none"/>
        </w:rPr>
        <w:t>进行逐段应答，表明是否接受和同意本</w:t>
      </w:r>
      <w:r>
        <w:rPr>
          <w:rFonts w:hint="eastAsia" w:ascii="宋体" w:hAnsi="宋体" w:cs="宋体"/>
          <w:color w:val="auto"/>
          <w:spacing w:val="5"/>
          <w:sz w:val="21"/>
          <w:szCs w:val="21"/>
          <w:highlight w:val="none"/>
          <w:lang w:eastAsia="zh-CN"/>
        </w:rPr>
        <w:t>技术规范书</w:t>
      </w:r>
      <w:r>
        <w:rPr>
          <w:rFonts w:hint="eastAsia" w:ascii="宋体" w:hAnsi="宋体" w:cs="宋体"/>
          <w:color w:val="auto"/>
          <w:spacing w:val="5"/>
          <w:sz w:val="21"/>
          <w:szCs w:val="21"/>
          <w:highlight w:val="none"/>
        </w:rPr>
        <w:t>的要求，如：接受和同意</w:t>
      </w:r>
      <w:r>
        <w:rPr>
          <w:rFonts w:hint="eastAsia" w:ascii="宋体" w:hAnsi="宋体" w:cs="宋体"/>
          <w:color w:val="auto"/>
          <w:spacing w:val="5"/>
          <w:sz w:val="21"/>
          <w:szCs w:val="21"/>
          <w:highlight w:val="none"/>
          <w:lang w:eastAsia="zh-CN"/>
        </w:rPr>
        <w:t>技术规范书</w:t>
      </w:r>
      <w:r>
        <w:rPr>
          <w:rFonts w:hint="eastAsia" w:ascii="宋体" w:hAnsi="宋体" w:cs="宋体"/>
          <w:color w:val="auto"/>
          <w:spacing w:val="5"/>
          <w:sz w:val="21"/>
          <w:szCs w:val="21"/>
          <w:highlight w:val="none"/>
        </w:rPr>
        <w:t>某条款的要求，则在该条款后注明：“理解并承诺完全响应上述条款的要求”；若针对某条款，投标人有特别的建议、方案、技术特点或差异，请在该条款下加以描述和说明，并在“技术差异表”中列出。</w:t>
      </w:r>
    </w:p>
    <w:p w14:paraId="4511AFDB">
      <w:pPr>
        <w:spacing w:line="360" w:lineRule="auto"/>
        <w:rPr>
          <w:rFonts w:hint="eastAsia" w:ascii="宋体" w:hAnsi="宋体" w:cs="宋体"/>
          <w:color w:val="auto"/>
          <w:spacing w:val="5"/>
          <w:sz w:val="21"/>
          <w:szCs w:val="21"/>
          <w:highlight w:val="none"/>
        </w:rPr>
      </w:pPr>
      <w:r>
        <w:rPr>
          <w:rFonts w:hint="eastAsia" w:ascii="宋体" w:hAnsi="宋体" w:cs="宋体"/>
          <w:color w:val="auto"/>
          <w:spacing w:val="5"/>
          <w:sz w:val="21"/>
          <w:szCs w:val="21"/>
          <w:highlight w:val="none"/>
        </w:rPr>
        <w:t>1.1.4</w:t>
      </w:r>
      <w:r>
        <w:rPr>
          <w:rFonts w:hint="eastAsia" w:ascii="宋体" w:hAnsi="宋体" w:cs="宋体"/>
          <w:color w:val="auto"/>
          <w:spacing w:val="5"/>
          <w:sz w:val="21"/>
          <w:szCs w:val="21"/>
          <w:highlight w:val="none"/>
          <w:lang w:val="en-US" w:eastAsia="zh-CN"/>
        </w:rPr>
        <w:t xml:space="preserve"> </w:t>
      </w:r>
      <w:r>
        <w:rPr>
          <w:rFonts w:hint="eastAsia" w:ascii="宋体" w:hAnsi="宋体" w:cs="宋体"/>
          <w:color w:val="auto"/>
          <w:spacing w:val="5"/>
          <w:sz w:val="21"/>
          <w:szCs w:val="21"/>
          <w:highlight w:val="none"/>
        </w:rPr>
        <w:t>投标人如对本</w:t>
      </w:r>
      <w:r>
        <w:rPr>
          <w:rFonts w:hint="eastAsia" w:ascii="宋体" w:hAnsi="宋体" w:cs="宋体"/>
          <w:color w:val="auto"/>
          <w:spacing w:val="5"/>
          <w:sz w:val="21"/>
          <w:szCs w:val="21"/>
          <w:highlight w:val="none"/>
          <w:lang w:eastAsia="zh-CN"/>
        </w:rPr>
        <w:t>技术规范书</w:t>
      </w:r>
      <w:r>
        <w:rPr>
          <w:rFonts w:hint="eastAsia" w:ascii="宋体" w:hAnsi="宋体" w:cs="宋体"/>
          <w:color w:val="auto"/>
          <w:spacing w:val="5"/>
          <w:sz w:val="21"/>
          <w:szCs w:val="21"/>
          <w:highlight w:val="none"/>
        </w:rPr>
        <w:t>有偏差(无论多少或微小)都必须清楚地表示在本</w:t>
      </w:r>
      <w:r>
        <w:rPr>
          <w:rFonts w:hint="eastAsia" w:ascii="宋体" w:hAnsi="宋体" w:cs="宋体"/>
          <w:color w:val="auto"/>
          <w:spacing w:val="5"/>
          <w:sz w:val="21"/>
          <w:szCs w:val="21"/>
          <w:highlight w:val="none"/>
          <w:lang w:eastAsia="zh-CN"/>
        </w:rPr>
        <w:t>技术规范书</w:t>
      </w:r>
      <w:r>
        <w:rPr>
          <w:rFonts w:hint="eastAsia" w:ascii="宋体" w:hAnsi="宋体" w:cs="宋体"/>
          <w:color w:val="auto"/>
          <w:spacing w:val="5"/>
          <w:sz w:val="21"/>
          <w:szCs w:val="21"/>
          <w:highlight w:val="none"/>
        </w:rPr>
        <w:t>的附件“技术差异表”中。否则招标人将认为投标人完全接受和同意本</w:t>
      </w:r>
      <w:r>
        <w:rPr>
          <w:rFonts w:hint="eastAsia" w:ascii="宋体" w:hAnsi="宋体" w:cs="宋体"/>
          <w:color w:val="auto"/>
          <w:spacing w:val="5"/>
          <w:sz w:val="21"/>
          <w:szCs w:val="21"/>
          <w:highlight w:val="none"/>
          <w:lang w:eastAsia="zh-CN"/>
        </w:rPr>
        <w:t>技术规范书</w:t>
      </w:r>
      <w:r>
        <w:rPr>
          <w:rFonts w:hint="eastAsia" w:ascii="宋体" w:hAnsi="宋体" w:cs="宋体"/>
          <w:color w:val="auto"/>
          <w:spacing w:val="5"/>
          <w:sz w:val="21"/>
          <w:szCs w:val="21"/>
          <w:highlight w:val="none"/>
        </w:rPr>
        <w:t>的要求。</w:t>
      </w:r>
    </w:p>
    <w:p w14:paraId="682E974F">
      <w:pPr>
        <w:spacing w:line="360" w:lineRule="auto"/>
        <w:rPr>
          <w:rFonts w:hint="eastAsia" w:ascii="宋体" w:hAnsi="宋体" w:cs="宋体"/>
          <w:color w:val="auto"/>
          <w:spacing w:val="5"/>
          <w:sz w:val="21"/>
          <w:szCs w:val="21"/>
          <w:highlight w:val="none"/>
        </w:rPr>
      </w:pPr>
      <w:r>
        <w:rPr>
          <w:rFonts w:hint="eastAsia" w:ascii="宋体" w:hAnsi="宋体" w:cs="宋体"/>
          <w:color w:val="auto"/>
          <w:spacing w:val="5"/>
          <w:sz w:val="21"/>
          <w:szCs w:val="21"/>
          <w:highlight w:val="none"/>
        </w:rPr>
        <w:t>1.1.5</w:t>
      </w:r>
      <w:r>
        <w:rPr>
          <w:rFonts w:hint="eastAsia" w:ascii="宋体" w:hAnsi="宋体" w:cs="宋体"/>
          <w:color w:val="auto"/>
          <w:spacing w:val="5"/>
          <w:sz w:val="21"/>
          <w:szCs w:val="21"/>
          <w:highlight w:val="none"/>
          <w:lang w:val="en-US" w:eastAsia="zh-CN"/>
        </w:rPr>
        <w:t xml:space="preserve"> </w:t>
      </w:r>
      <w:r>
        <w:rPr>
          <w:rFonts w:hint="eastAsia" w:ascii="宋体" w:hAnsi="宋体" w:cs="宋体"/>
          <w:color w:val="auto"/>
          <w:spacing w:val="5"/>
          <w:sz w:val="21"/>
          <w:szCs w:val="21"/>
          <w:highlight w:val="none"/>
        </w:rPr>
        <w:t>投标人应执行本</w:t>
      </w:r>
      <w:r>
        <w:rPr>
          <w:rFonts w:hint="eastAsia" w:ascii="宋体" w:hAnsi="宋体" w:cs="宋体"/>
          <w:color w:val="auto"/>
          <w:spacing w:val="5"/>
          <w:sz w:val="21"/>
          <w:szCs w:val="21"/>
          <w:highlight w:val="none"/>
          <w:lang w:eastAsia="zh-CN"/>
        </w:rPr>
        <w:t>技术规范书</w:t>
      </w:r>
      <w:r>
        <w:rPr>
          <w:rFonts w:hint="eastAsia" w:ascii="宋体" w:hAnsi="宋体" w:cs="宋体"/>
          <w:color w:val="auto"/>
          <w:spacing w:val="5"/>
          <w:sz w:val="21"/>
          <w:szCs w:val="21"/>
          <w:highlight w:val="none"/>
        </w:rPr>
        <w:t>所列标准，有不一致时，按较高标准执行。投标人在设备设计和制造中所涉及的各项规程、规范和标准必须遵循现行最新标准版本。若投标人所提供的投标文件前后有不一致的地方，应以更有利于设备安装运行、工程质量为原则，由招标人确定。</w:t>
      </w:r>
    </w:p>
    <w:p w14:paraId="02949E7F">
      <w:pPr>
        <w:spacing w:line="360" w:lineRule="auto"/>
        <w:rPr>
          <w:rFonts w:hint="eastAsia" w:ascii="宋体" w:hAnsi="宋体" w:cs="宋体"/>
          <w:color w:val="auto"/>
          <w:spacing w:val="5"/>
          <w:sz w:val="21"/>
          <w:szCs w:val="21"/>
          <w:highlight w:val="none"/>
        </w:rPr>
      </w:pPr>
      <w:r>
        <w:rPr>
          <w:rFonts w:hint="eastAsia" w:ascii="宋体" w:hAnsi="宋体" w:cs="宋体"/>
          <w:color w:val="auto"/>
          <w:spacing w:val="5"/>
          <w:sz w:val="21"/>
          <w:szCs w:val="21"/>
          <w:highlight w:val="none"/>
        </w:rPr>
        <w:t>1.1.6</w:t>
      </w:r>
      <w:r>
        <w:rPr>
          <w:rFonts w:hint="eastAsia" w:ascii="宋体" w:hAnsi="宋体" w:cs="宋体"/>
          <w:color w:val="auto"/>
          <w:spacing w:val="5"/>
          <w:sz w:val="21"/>
          <w:szCs w:val="21"/>
          <w:highlight w:val="none"/>
          <w:lang w:val="en-US" w:eastAsia="zh-CN"/>
        </w:rPr>
        <w:t xml:space="preserve"> </w:t>
      </w:r>
      <w:r>
        <w:rPr>
          <w:rFonts w:hint="eastAsia" w:ascii="宋体" w:hAnsi="宋体" w:cs="宋体"/>
          <w:color w:val="auto"/>
          <w:spacing w:val="5"/>
          <w:sz w:val="21"/>
          <w:szCs w:val="21"/>
          <w:highlight w:val="none"/>
        </w:rPr>
        <w:t>在合同签定后，招标人有权因规范、标准、规程发生变化而提出一些补充要求，在设备投料生产前，投标人应在设计上给以修改。</w:t>
      </w:r>
    </w:p>
    <w:p w14:paraId="28E496F9">
      <w:pPr>
        <w:spacing w:line="360" w:lineRule="auto"/>
        <w:rPr>
          <w:rFonts w:hint="eastAsia" w:ascii="宋体" w:hAnsi="宋体" w:cs="宋体"/>
          <w:bCs/>
          <w:color w:val="auto"/>
          <w:sz w:val="21"/>
          <w:szCs w:val="21"/>
          <w:highlight w:val="none"/>
        </w:rPr>
      </w:pPr>
      <w:r>
        <w:rPr>
          <w:rFonts w:hint="eastAsia" w:ascii="宋体" w:hAnsi="宋体" w:cs="宋体"/>
          <w:color w:val="auto"/>
          <w:spacing w:val="5"/>
          <w:sz w:val="21"/>
          <w:szCs w:val="21"/>
          <w:highlight w:val="none"/>
        </w:rPr>
        <w:t>1.1.7</w:t>
      </w:r>
      <w:r>
        <w:rPr>
          <w:rFonts w:hint="eastAsia" w:ascii="宋体" w:hAnsi="宋体" w:cs="宋体"/>
          <w:color w:val="auto"/>
          <w:spacing w:val="5"/>
          <w:sz w:val="21"/>
          <w:szCs w:val="21"/>
          <w:highlight w:val="none"/>
          <w:lang w:val="en-US" w:eastAsia="zh-CN"/>
        </w:rPr>
        <w:t xml:space="preserve"> </w:t>
      </w:r>
      <w:r>
        <w:rPr>
          <w:rFonts w:hint="eastAsia" w:ascii="宋体" w:hAnsi="宋体" w:cs="宋体"/>
          <w:bCs/>
          <w:color w:val="auto"/>
          <w:sz w:val="21"/>
          <w:szCs w:val="21"/>
          <w:highlight w:val="none"/>
        </w:rPr>
        <w:t>设备采用的专利涉及到的全部费用均被认为已包含在设备报价中，投标人应保证招标人不承担有关设备专利的一切责任。</w:t>
      </w:r>
    </w:p>
    <w:p w14:paraId="51C3068C">
      <w:pPr>
        <w:spacing w:line="360" w:lineRule="auto"/>
        <w:rPr>
          <w:rFonts w:hint="eastAsia" w:ascii="宋体" w:hAnsi="宋体" w:cs="宋体"/>
          <w:color w:val="auto"/>
          <w:sz w:val="21"/>
          <w:szCs w:val="21"/>
          <w:highlight w:val="none"/>
        </w:rPr>
      </w:pPr>
      <w:r>
        <w:rPr>
          <w:rFonts w:hint="eastAsia" w:ascii="宋体" w:hAnsi="宋体" w:cs="宋体"/>
          <w:color w:val="auto"/>
          <w:spacing w:val="5"/>
          <w:sz w:val="21"/>
          <w:szCs w:val="21"/>
          <w:highlight w:val="none"/>
        </w:rPr>
        <w:t>1.1.8</w:t>
      </w:r>
      <w:r>
        <w:rPr>
          <w:rFonts w:hint="eastAsia" w:ascii="宋体" w:hAnsi="宋体" w:cs="宋体"/>
          <w:color w:val="auto"/>
          <w:spacing w:val="5"/>
          <w:sz w:val="21"/>
          <w:szCs w:val="21"/>
          <w:highlight w:val="none"/>
          <w:lang w:val="en-US" w:eastAsia="zh-CN"/>
        </w:rPr>
        <w:t xml:space="preserve"> 本技术</w:t>
      </w:r>
      <w:r>
        <w:rPr>
          <w:rFonts w:hint="eastAsia" w:ascii="宋体" w:hAnsi="宋体" w:cs="宋体"/>
          <w:color w:val="auto"/>
          <w:sz w:val="21"/>
          <w:szCs w:val="21"/>
          <w:highlight w:val="none"/>
        </w:rPr>
        <w:t>规范书经招投标双方确认后，作为合同的附件，与合同正文具有同等的法律效力。</w:t>
      </w:r>
      <w:r>
        <w:rPr>
          <w:rFonts w:hint="eastAsia" w:ascii="宋体" w:hAnsi="宋体" w:cs="宋体"/>
          <w:color w:val="auto"/>
          <w:sz w:val="21"/>
          <w:szCs w:val="21"/>
          <w:highlight w:val="none"/>
          <w:lang w:eastAsia="zh-CN"/>
        </w:rPr>
        <w:t>投标人</w:t>
      </w:r>
      <w:r>
        <w:rPr>
          <w:rFonts w:hint="eastAsia" w:ascii="宋体" w:hAnsi="宋体" w:cs="宋体"/>
          <w:color w:val="auto"/>
          <w:sz w:val="21"/>
          <w:szCs w:val="21"/>
          <w:highlight w:val="none"/>
        </w:rPr>
        <w:t>中标后，投标文件经技术澄清后，承诺内容和技术协议具有同等约束力，与订货合同正文具有同等效力。</w:t>
      </w:r>
    </w:p>
    <w:p w14:paraId="0BCE47C7">
      <w:pPr>
        <w:tabs>
          <w:tab w:val="left" w:pos="2862"/>
        </w:tabs>
        <w:spacing w:line="360" w:lineRule="auto"/>
        <w:rPr>
          <w:rFonts w:hint="eastAsia" w:ascii="宋体" w:hAnsi="宋体" w:cs="宋体"/>
          <w:b/>
          <w:color w:val="auto"/>
          <w:sz w:val="21"/>
          <w:szCs w:val="21"/>
          <w:highlight w:val="none"/>
        </w:rPr>
      </w:pPr>
      <w:r>
        <w:rPr>
          <w:rFonts w:hint="eastAsia" w:ascii="宋体" w:hAnsi="宋体" w:cs="宋体"/>
          <w:b/>
          <w:color w:val="auto"/>
          <w:sz w:val="21"/>
          <w:szCs w:val="21"/>
          <w:highlight w:val="none"/>
        </w:rPr>
        <w:t>*1.1.9</w:t>
      </w:r>
      <w:r>
        <w:rPr>
          <w:rFonts w:hint="eastAsia" w:ascii="宋体" w:hAnsi="宋体" w:cs="宋体"/>
          <w:b/>
          <w:color w:val="auto"/>
          <w:sz w:val="21"/>
          <w:szCs w:val="21"/>
          <w:highlight w:val="none"/>
          <w:lang w:val="en-US" w:eastAsia="zh-CN"/>
        </w:rPr>
        <w:t xml:space="preserve"> </w:t>
      </w:r>
      <w:r>
        <w:rPr>
          <w:rFonts w:hint="eastAsia" w:ascii="宋体" w:hAnsi="宋体" w:cs="宋体"/>
          <w:b/>
          <w:color w:val="auto"/>
          <w:sz w:val="21"/>
          <w:szCs w:val="21"/>
          <w:highlight w:val="none"/>
          <w:lang w:eastAsia="zh-CN"/>
        </w:rPr>
        <w:t>投标人</w:t>
      </w:r>
      <w:r>
        <w:rPr>
          <w:rFonts w:hint="eastAsia" w:ascii="宋体" w:hAnsi="宋体" w:cs="宋体"/>
          <w:b/>
          <w:color w:val="auto"/>
          <w:sz w:val="21"/>
          <w:szCs w:val="21"/>
          <w:highlight w:val="none"/>
        </w:rPr>
        <w:t>所投产品</w:t>
      </w:r>
      <w:r>
        <w:rPr>
          <w:rFonts w:hint="eastAsia" w:ascii="宋体" w:hAnsi="宋体" w:cs="宋体"/>
          <w:b/>
          <w:color w:val="auto"/>
          <w:sz w:val="21"/>
          <w:szCs w:val="21"/>
          <w:highlight w:val="none"/>
          <w:lang w:eastAsia="zh-CN"/>
        </w:rPr>
        <w:t>（</w:t>
      </w:r>
      <w:r>
        <w:rPr>
          <w:rFonts w:hint="eastAsia" w:ascii="宋体" w:hAnsi="宋体" w:cs="宋体"/>
          <w:b/>
          <w:color w:val="auto"/>
          <w:sz w:val="21"/>
          <w:szCs w:val="21"/>
          <w:highlight w:val="none"/>
          <w:lang w:val="en-US" w:eastAsia="zh-CN"/>
        </w:rPr>
        <w:t>发变组保护装置、启备变保护装置</w:t>
      </w:r>
      <w:r>
        <w:rPr>
          <w:rFonts w:hint="eastAsia" w:ascii="宋体" w:hAnsi="宋体" w:cs="宋体"/>
          <w:b/>
          <w:color w:val="auto"/>
          <w:sz w:val="21"/>
          <w:szCs w:val="21"/>
          <w:highlight w:val="none"/>
          <w:lang w:eastAsia="zh-CN"/>
        </w:rPr>
        <w:t>）</w:t>
      </w:r>
      <w:r>
        <w:rPr>
          <w:rFonts w:hint="eastAsia" w:ascii="宋体" w:hAnsi="宋体" w:cs="宋体"/>
          <w:b/>
          <w:color w:val="auto"/>
          <w:sz w:val="21"/>
          <w:szCs w:val="21"/>
          <w:highlight w:val="none"/>
        </w:rPr>
        <w:t>应在国家或电力工业检验检测机构通过型式试验、动模试验并提供相应的报告。</w:t>
      </w:r>
    </w:p>
    <w:p w14:paraId="69D5B62E">
      <w:pPr>
        <w:tabs>
          <w:tab w:val="left" w:pos="2862"/>
        </w:tabs>
        <w:spacing w:line="360" w:lineRule="auto"/>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1.1.10</w:t>
      </w:r>
      <w:r>
        <w:rPr>
          <w:rFonts w:hint="eastAsia" w:ascii="宋体" w:hAnsi="宋体" w:cs="宋体"/>
          <w:b/>
          <w:bCs w:val="0"/>
          <w:color w:val="auto"/>
          <w:sz w:val="21"/>
          <w:szCs w:val="21"/>
          <w:highlight w:val="none"/>
          <w:lang w:val="en-US" w:eastAsia="zh-CN"/>
        </w:rPr>
        <w:t xml:space="preserve"> 投标</w:t>
      </w:r>
      <w:r>
        <w:rPr>
          <w:rFonts w:hint="eastAsia" w:ascii="宋体" w:hAnsi="宋体" w:cs="宋体"/>
          <w:b/>
          <w:bCs w:val="0"/>
          <w:color w:val="auto"/>
          <w:sz w:val="21"/>
          <w:szCs w:val="21"/>
          <w:highlight w:val="none"/>
        </w:rPr>
        <w:t>人所投产品（发变组保护装置、启备变保护装置）应由具备资质的第三方检测机构通过IEC 61850标准一次性检测试验并提供相应的报告。</w:t>
      </w:r>
    </w:p>
    <w:p w14:paraId="25B71B3D">
      <w:pPr>
        <w:spacing w:line="360" w:lineRule="auto"/>
        <w:rPr>
          <w:rFonts w:hint="eastAsia" w:ascii="宋体" w:hAnsi="宋体" w:cs="宋体"/>
          <w:color w:val="auto"/>
          <w:spacing w:val="5"/>
          <w:sz w:val="21"/>
          <w:szCs w:val="21"/>
          <w:highlight w:val="none"/>
        </w:rPr>
      </w:pPr>
      <w:r>
        <w:rPr>
          <w:rFonts w:hint="eastAsia" w:ascii="宋体" w:hAnsi="宋体" w:cs="宋体"/>
          <w:color w:val="auto"/>
          <w:spacing w:val="5"/>
          <w:sz w:val="21"/>
          <w:szCs w:val="21"/>
          <w:highlight w:val="none"/>
        </w:rPr>
        <w:t>1.1.11</w:t>
      </w:r>
      <w:r>
        <w:rPr>
          <w:rFonts w:hint="eastAsia" w:ascii="宋体" w:hAnsi="宋体" w:cs="宋体"/>
          <w:color w:val="auto"/>
          <w:spacing w:val="5"/>
          <w:sz w:val="21"/>
          <w:szCs w:val="21"/>
          <w:highlight w:val="none"/>
          <w:lang w:val="en-US" w:eastAsia="zh-CN"/>
        </w:rPr>
        <w:t xml:space="preserve"> </w:t>
      </w:r>
      <w:r>
        <w:rPr>
          <w:rFonts w:hint="eastAsia" w:ascii="宋体" w:hAnsi="宋体" w:cs="宋体"/>
          <w:color w:val="auto"/>
          <w:sz w:val="21"/>
          <w:szCs w:val="21"/>
          <w:highlight w:val="none"/>
        </w:rPr>
        <w:t>投标人应对所供设备进行编码，按照GB/T 50549《电厂标识系统编码标准》执行，满足招标人编码原则。</w:t>
      </w:r>
      <w:r>
        <w:rPr>
          <w:rFonts w:hint="eastAsia" w:ascii="宋体" w:hAnsi="宋体" w:cs="宋体"/>
          <w:color w:val="auto"/>
          <w:spacing w:val="5"/>
          <w:sz w:val="21"/>
          <w:szCs w:val="21"/>
          <w:highlight w:val="none"/>
        </w:rPr>
        <w:t>编码范围包括投标人所供系统、设备、部件和构筑物。</w:t>
      </w:r>
      <w:r>
        <w:rPr>
          <w:rFonts w:hint="eastAsia" w:ascii="宋体" w:hAnsi="宋体" w:cs="宋体"/>
          <w:color w:val="auto"/>
          <w:sz w:val="21"/>
          <w:szCs w:val="21"/>
          <w:highlight w:val="none"/>
        </w:rPr>
        <w:t>中标后，招标人将向投标人提供电厂标识系统的编码原则和要求，投标人应据此对其所提供的系统、设备、部件进行编码，并编制在提供的技术文件(包括图纸及说明书)中</w:t>
      </w:r>
      <w:r>
        <w:rPr>
          <w:rFonts w:hint="eastAsia" w:ascii="宋体" w:hAnsi="宋体" w:cs="宋体"/>
          <w:color w:val="auto"/>
          <w:spacing w:val="5"/>
          <w:sz w:val="21"/>
          <w:szCs w:val="21"/>
          <w:highlight w:val="none"/>
        </w:rPr>
        <w:t>。</w:t>
      </w:r>
    </w:p>
    <w:p w14:paraId="34D6738A">
      <w:pPr>
        <w:spacing w:line="360" w:lineRule="auto"/>
        <w:outlineLvl w:val="2"/>
        <w:rPr>
          <w:rFonts w:hint="eastAsia" w:ascii="宋体" w:hAnsi="宋体" w:cs="宋体"/>
          <w:b/>
          <w:bCs/>
          <w:color w:val="auto"/>
          <w:spacing w:val="5"/>
          <w:sz w:val="21"/>
          <w:szCs w:val="21"/>
          <w:highlight w:val="none"/>
        </w:rPr>
      </w:pPr>
      <w:r>
        <w:rPr>
          <w:rFonts w:hint="eastAsia" w:ascii="宋体" w:hAnsi="宋体" w:cs="宋体"/>
          <w:b/>
          <w:bCs/>
          <w:color w:val="auto"/>
          <w:spacing w:val="5"/>
          <w:sz w:val="21"/>
          <w:szCs w:val="21"/>
          <w:highlight w:val="none"/>
        </w:rPr>
        <w:t>1.1.12</w:t>
      </w:r>
      <w:r>
        <w:rPr>
          <w:rFonts w:hint="eastAsia" w:ascii="宋体" w:hAnsi="宋体" w:cs="宋体"/>
          <w:b/>
          <w:bCs/>
          <w:color w:val="auto"/>
          <w:spacing w:val="5"/>
          <w:sz w:val="21"/>
          <w:szCs w:val="21"/>
          <w:highlight w:val="none"/>
          <w:lang w:eastAsia="zh-CN"/>
        </w:rPr>
        <w:t xml:space="preserve"> </w:t>
      </w:r>
      <w:r>
        <w:rPr>
          <w:rFonts w:hint="eastAsia" w:ascii="宋体" w:hAnsi="宋体" w:cs="宋体"/>
          <w:b/>
          <w:bCs/>
          <w:color w:val="auto"/>
          <w:spacing w:val="5"/>
          <w:sz w:val="21"/>
          <w:szCs w:val="21"/>
          <w:highlight w:val="none"/>
        </w:rPr>
        <w:t>应满足</w:t>
      </w:r>
      <w:r>
        <w:rPr>
          <w:rFonts w:hint="eastAsia" w:ascii="宋体" w:hAnsi="宋体" w:cs="宋体"/>
          <w:b/>
          <w:bCs/>
          <w:color w:val="auto"/>
          <w:spacing w:val="5"/>
          <w:sz w:val="21"/>
          <w:szCs w:val="21"/>
          <w:highlight w:val="none"/>
          <w:lang w:val="en-US" w:eastAsia="zh-CN"/>
        </w:rPr>
        <w:t>浙江</w:t>
      </w:r>
      <w:r>
        <w:rPr>
          <w:rFonts w:hint="eastAsia" w:ascii="宋体" w:hAnsi="宋体" w:cs="宋体"/>
          <w:b/>
          <w:bCs/>
          <w:color w:val="auto"/>
          <w:spacing w:val="5"/>
          <w:sz w:val="21"/>
          <w:szCs w:val="21"/>
          <w:highlight w:val="none"/>
        </w:rPr>
        <w:t>电网公司对网源协调的技术要求。</w:t>
      </w:r>
    </w:p>
    <w:p w14:paraId="73B33D22">
      <w:pPr>
        <w:spacing w:line="360" w:lineRule="auto"/>
        <w:rPr>
          <w:rFonts w:hint="eastAsia" w:ascii="宋体" w:hAnsi="宋体" w:cs="宋体"/>
          <w:b/>
          <w:bCs/>
          <w:color w:val="auto"/>
          <w:spacing w:val="5"/>
          <w:sz w:val="21"/>
          <w:szCs w:val="21"/>
          <w:highlight w:val="none"/>
          <w:lang w:val="en-US" w:eastAsia="zh-CN"/>
        </w:rPr>
      </w:pPr>
      <w:r>
        <w:rPr>
          <w:rFonts w:hint="eastAsia" w:ascii="宋体" w:hAnsi="宋体" w:cs="宋体"/>
          <w:b/>
          <w:bCs/>
          <w:color w:val="auto"/>
          <w:spacing w:val="5"/>
          <w:sz w:val="21"/>
          <w:szCs w:val="21"/>
          <w:highlight w:val="none"/>
        </w:rPr>
        <w:t>1.1.1</w:t>
      </w:r>
      <w:r>
        <w:rPr>
          <w:rFonts w:hint="eastAsia" w:ascii="宋体" w:hAnsi="宋体" w:cs="宋体"/>
          <w:b/>
          <w:bCs/>
          <w:color w:val="auto"/>
          <w:spacing w:val="5"/>
          <w:sz w:val="21"/>
          <w:szCs w:val="21"/>
          <w:highlight w:val="none"/>
          <w:lang w:val="en-US" w:eastAsia="zh-CN"/>
        </w:rPr>
        <w:t>3</w:t>
      </w:r>
      <w:r>
        <w:rPr>
          <w:rFonts w:hint="eastAsia" w:ascii="宋体" w:hAnsi="宋体" w:cs="宋体"/>
          <w:b/>
          <w:bCs/>
          <w:color w:val="auto"/>
          <w:spacing w:val="5"/>
          <w:sz w:val="21"/>
          <w:szCs w:val="21"/>
          <w:highlight w:val="none"/>
        </w:rPr>
        <w:t xml:space="preserve"> </w:t>
      </w:r>
      <w:r>
        <w:rPr>
          <w:rFonts w:hint="eastAsia" w:ascii="宋体" w:hAnsi="宋体" w:cs="宋体"/>
          <w:b/>
          <w:bCs/>
          <w:color w:val="auto"/>
          <w:spacing w:val="5"/>
          <w:sz w:val="21"/>
          <w:szCs w:val="21"/>
          <w:highlight w:val="none"/>
          <w:lang w:val="en-US" w:eastAsia="zh-CN"/>
        </w:rPr>
        <w:t>按照</w:t>
      </w:r>
      <w:r>
        <w:rPr>
          <w:rFonts w:hint="eastAsia" w:ascii="宋体" w:hAnsi="宋体" w:eastAsia="宋体" w:cs="宋体"/>
          <w:b/>
          <w:bCs/>
          <w:color w:val="auto"/>
          <w:spacing w:val="5"/>
          <w:sz w:val="21"/>
          <w:szCs w:val="21"/>
          <w:highlight w:val="none"/>
        </w:rPr>
        <w:t>华东电网对于500kV系统保护配置的要求，投标人应确保所提供的产品满足华东电网500kV系统继电保护的专门技术要求和设计组屏规范</w:t>
      </w:r>
      <w:r>
        <w:rPr>
          <w:rFonts w:hint="eastAsia" w:ascii="宋体" w:hAnsi="宋体" w:cs="宋体"/>
          <w:b/>
          <w:bCs/>
          <w:color w:val="auto"/>
          <w:spacing w:val="5"/>
          <w:sz w:val="21"/>
          <w:szCs w:val="21"/>
          <w:highlight w:val="none"/>
          <w:lang w:eastAsia="zh-CN"/>
        </w:rPr>
        <w:t>，</w:t>
      </w:r>
      <w:r>
        <w:rPr>
          <w:rFonts w:hint="eastAsia" w:ascii="宋体" w:hAnsi="宋体" w:cs="宋体"/>
          <w:b/>
          <w:bCs/>
          <w:color w:val="auto"/>
          <w:spacing w:val="5"/>
          <w:sz w:val="21"/>
          <w:szCs w:val="21"/>
          <w:highlight w:val="none"/>
          <w:lang w:val="en-US" w:eastAsia="zh-CN"/>
        </w:rPr>
        <w:t>且还应</w:t>
      </w:r>
      <w:r>
        <w:rPr>
          <w:rFonts w:hint="eastAsia" w:ascii="宋体" w:hAnsi="宋体" w:cs="宋体"/>
          <w:b/>
          <w:bCs/>
          <w:color w:val="auto"/>
          <w:spacing w:val="5"/>
          <w:sz w:val="21"/>
          <w:szCs w:val="21"/>
          <w:highlight w:val="none"/>
        </w:rPr>
        <w:t>满足</w:t>
      </w:r>
      <w:r>
        <w:rPr>
          <w:rFonts w:hint="eastAsia" w:ascii="宋体" w:hAnsi="宋体" w:cs="宋体"/>
          <w:b/>
          <w:bCs/>
          <w:color w:val="auto"/>
          <w:spacing w:val="5"/>
          <w:sz w:val="21"/>
          <w:szCs w:val="21"/>
          <w:highlight w:val="none"/>
          <w:u w:val="none"/>
        </w:rPr>
        <w:t>浙江电网</w:t>
      </w:r>
      <w:r>
        <w:rPr>
          <w:rFonts w:hint="eastAsia" w:ascii="宋体" w:hAnsi="宋体" w:cs="宋体"/>
          <w:b/>
          <w:bCs/>
          <w:color w:val="auto"/>
          <w:spacing w:val="5"/>
          <w:sz w:val="21"/>
          <w:szCs w:val="21"/>
          <w:highlight w:val="none"/>
        </w:rPr>
        <w:t>大型发电机组继电保护技术应用规范等要求</w:t>
      </w:r>
      <w:r>
        <w:rPr>
          <w:rFonts w:hint="eastAsia" w:ascii="宋体" w:hAnsi="宋体" w:cs="宋体"/>
          <w:b/>
          <w:bCs/>
          <w:color w:val="auto"/>
          <w:spacing w:val="5"/>
          <w:sz w:val="21"/>
          <w:szCs w:val="21"/>
          <w:highlight w:val="none"/>
          <w:lang w:eastAsia="zh-CN"/>
        </w:rPr>
        <w:t>；</w:t>
      </w:r>
      <w:r>
        <w:rPr>
          <w:rFonts w:hint="eastAsia" w:ascii="宋体" w:hAnsi="宋体" w:cs="宋体"/>
          <w:b/>
          <w:bCs/>
          <w:color w:val="auto"/>
          <w:spacing w:val="5"/>
          <w:sz w:val="21"/>
          <w:szCs w:val="21"/>
          <w:highlight w:val="none"/>
          <w:lang w:val="en-US" w:eastAsia="zh-CN"/>
        </w:rPr>
        <w:t>投标人还应负责发变组保护信息接入现有500kV继电保护信息子站以及与华东电网主站的通讯调试工作。</w:t>
      </w:r>
    </w:p>
    <w:p w14:paraId="4EF9065F">
      <w:pPr>
        <w:spacing w:line="360" w:lineRule="auto"/>
        <w:rPr>
          <w:rFonts w:hint="default" w:ascii="宋体" w:hAnsi="宋体" w:cs="宋体"/>
          <w:color w:val="auto"/>
          <w:sz w:val="21"/>
          <w:szCs w:val="21"/>
          <w:highlight w:val="none"/>
          <w:lang w:val="en-US" w:eastAsia="zh-CN"/>
        </w:rPr>
      </w:pPr>
      <w:r>
        <w:rPr>
          <w:rFonts w:hint="eastAsia" w:ascii="宋体" w:hAnsi="宋体" w:cs="宋体"/>
          <w:b/>
          <w:bCs/>
          <w:color w:val="auto"/>
          <w:spacing w:val="5"/>
          <w:sz w:val="21"/>
          <w:szCs w:val="21"/>
          <w:highlight w:val="none"/>
        </w:rPr>
        <w:t>1.1.1</w:t>
      </w:r>
      <w:r>
        <w:rPr>
          <w:rFonts w:hint="eastAsia" w:ascii="宋体" w:hAnsi="宋体" w:cs="宋体"/>
          <w:b/>
          <w:bCs/>
          <w:color w:val="auto"/>
          <w:spacing w:val="5"/>
          <w:sz w:val="21"/>
          <w:szCs w:val="21"/>
          <w:highlight w:val="none"/>
          <w:lang w:val="en-US" w:eastAsia="zh-CN"/>
        </w:rPr>
        <w:t>4</w:t>
      </w:r>
      <w:r>
        <w:rPr>
          <w:rFonts w:hint="eastAsia" w:ascii="宋体" w:hAnsi="宋体" w:cs="宋体"/>
          <w:b/>
          <w:bCs/>
          <w:color w:val="auto"/>
          <w:spacing w:val="5"/>
          <w:sz w:val="21"/>
          <w:szCs w:val="21"/>
          <w:highlight w:val="none"/>
        </w:rPr>
        <w:t xml:space="preserve"> </w:t>
      </w:r>
      <w:r>
        <w:rPr>
          <w:rFonts w:hint="default" w:ascii="宋体" w:hAnsi="宋体" w:cs="宋体"/>
          <w:color w:val="auto"/>
          <w:sz w:val="21"/>
          <w:szCs w:val="21"/>
          <w:highlight w:val="none"/>
          <w:lang w:val="en-US" w:eastAsia="zh-CN"/>
        </w:rPr>
        <w:t>发变组、启备变保护装置采用南瑞继保、北京四方、国电南自、许继电气或相当于</w:t>
      </w:r>
      <w:r>
        <w:rPr>
          <w:rFonts w:hint="eastAsia" w:ascii="宋体" w:hAnsi="宋体" w:cs="宋体"/>
          <w:color w:val="auto"/>
          <w:sz w:val="21"/>
          <w:szCs w:val="21"/>
          <w:highlight w:val="none"/>
          <w:lang w:val="en-US" w:eastAsia="zh-CN"/>
        </w:rPr>
        <w:t>。</w:t>
      </w:r>
    </w:p>
    <w:p w14:paraId="1543ECE8">
      <w:pPr>
        <w:spacing w:before="0" w:beforeLines="0" w:after="0" w:afterLines="0" w:line="360" w:lineRule="auto"/>
        <w:outlineLvl w:val="1"/>
        <w:rPr>
          <w:rFonts w:hint="eastAsia" w:ascii="宋体" w:hAnsi="宋体" w:cs="宋体"/>
          <w:b/>
          <w:color w:val="auto"/>
          <w:highlight w:val="none"/>
        </w:rPr>
      </w:pPr>
      <w:bookmarkStart w:id="16" w:name="_Toc223836901"/>
      <w:bookmarkStart w:id="17" w:name="_Toc509632990"/>
      <w:bookmarkStart w:id="18" w:name="_Toc509632878"/>
      <w:bookmarkStart w:id="19" w:name="_Toc48273143"/>
      <w:bookmarkStart w:id="20" w:name="_Toc500906676"/>
      <w:bookmarkStart w:id="21" w:name="_Toc502332487"/>
      <w:bookmarkStart w:id="22" w:name="_Toc502331792"/>
      <w:r>
        <w:rPr>
          <w:rFonts w:hint="eastAsia" w:ascii="宋体" w:hAnsi="宋体" w:cs="宋体"/>
          <w:b/>
          <w:color w:val="auto"/>
          <w:highlight w:val="none"/>
        </w:rPr>
        <w:t>1.2 标准和规范</w:t>
      </w:r>
      <w:bookmarkEnd w:id="16"/>
      <w:bookmarkEnd w:id="17"/>
      <w:bookmarkEnd w:id="18"/>
      <w:bookmarkEnd w:id="19"/>
      <w:bookmarkEnd w:id="20"/>
      <w:bookmarkEnd w:id="21"/>
      <w:bookmarkEnd w:id="22"/>
    </w:p>
    <w:p w14:paraId="2BD009CC">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1.2.1 合同设备包括投标人向其他厂商购买的所有附件和设备。所有设备和附件都应符合相应的标准、规范或法规的最新版本的要求，除非另有特别外，投标期内有效的任何修正和补充都应包括在内。</w:t>
      </w:r>
    </w:p>
    <w:p w14:paraId="590E944D">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1.2.2 除非合同另有规定，均须遵守最新的国家标准(GB)和国际电工委员会(IEC)标准以及国际单位制(SI)标准。如采用合资或合作产品，还应遵守合作方国家标准，当上述标准不一致时按高标准执行。</w:t>
      </w:r>
    </w:p>
    <w:p w14:paraId="3771FB5B">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1.2.3 投标人提供的设备和配套件要符合以下标准但不局限于以下标准（按现行最新有效标准）：</w:t>
      </w:r>
    </w:p>
    <w:p w14:paraId="12817A32">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GB</w:t>
      </w:r>
      <w:r>
        <w:rPr>
          <w:rFonts w:hint="eastAsia" w:ascii="宋体" w:hAnsi="宋体" w:eastAsia="宋体" w:cs="宋体"/>
          <w:color w:val="auto"/>
          <w:spacing w:val="5"/>
          <w:sz w:val="21"/>
          <w:szCs w:val="21"/>
          <w:highlight w:val="none"/>
          <w:lang w:val="en-US" w:eastAsia="zh-CN"/>
        </w:rPr>
        <w:t xml:space="preserve"> </w:t>
      </w:r>
      <w:r>
        <w:rPr>
          <w:rFonts w:hint="eastAsia" w:ascii="宋体" w:hAnsi="宋体" w:eastAsia="宋体" w:cs="宋体"/>
          <w:color w:val="auto"/>
          <w:spacing w:val="5"/>
          <w:sz w:val="21"/>
          <w:szCs w:val="21"/>
          <w:highlight w:val="none"/>
        </w:rPr>
        <w:t>50171</w:t>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eastAsia="宋体" w:cs="宋体"/>
          <w:color w:val="auto"/>
          <w:spacing w:val="5"/>
          <w:sz w:val="21"/>
          <w:szCs w:val="21"/>
          <w:highlight w:val="none"/>
        </w:rPr>
        <w:t>电气装置安装工程盘、柜及二次</w:t>
      </w:r>
      <w:r>
        <w:rPr>
          <w:rFonts w:hint="eastAsia" w:ascii="宋体" w:hAnsi="宋体" w:eastAsia="宋体" w:cs="宋体"/>
          <w:color w:val="auto"/>
          <w:spacing w:val="5"/>
          <w:sz w:val="21"/>
          <w:szCs w:val="21"/>
          <w:highlight w:val="none"/>
          <w:lang w:val="en-US" w:eastAsia="zh-CN"/>
        </w:rPr>
        <w:t>回路接线</w:t>
      </w:r>
      <w:r>
        <w:rPr>
          <w:rFonts w:hint="eastAsia" w:ascii="宋体" w:hAnsi="宋体" w:eastAsia="宋体" w:cs="宋体"/>
          <w:color w:val="auto"/>
          <w:spacing w:val="5"/>
          <w:sz w:val="21"/>
          <w:szCs w:val="21"/>
          <w:highlight w:val="none"/>
        </w:rPr>
        <w:t>施工及验收规范</w:t>
      </w:r>
    </w:p>
    <w:p w14:paraId="2601E9A5">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GB</w:t>
      </w:r>
      <w:r>
        <w:rPr>
          <w:rFonts w:hint="eastAsia" w:ascii="宋体" w:hAnsi="宋体" w:eastAsia="宋体" w:cs="宋体"/>
          <w:color w:val="auto"/>
          <w:spacing w:val="5"/>
          <w:sz w:val="21"/>
          <w:szCs w:val="21"/>
          <w:highlight w:val="none"/>
          <w:lang w:val="en-US" w:eastAsia="zh-CN"/>
        </w:rPr>
        <w:t xml:space="preserve">/T </w:t>
      </w:r>
      <w:r>
        <w:rPr>
          <w:rFonts w:hint="eastAsia" w:ascii="宋体" w:hAnsi="宋体" w:eastAsia="宋体" w:cs="宋体"/>
          <w:color w:val="auto"/>
          <w:spacing w:val="5"/>
          <w:sz w:val="21"/>
          <w:szCs w:val="21"/>
          <w:highlight w:val="none"/>
        </w:rPr>
        <w:t>2423</w:t>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eastAsia="宋体" w:cs="宋体"/>
          <w:color w:val="auto"/>
          <w:spacing w:val="5"/>
          <w:sz w:val="21"/>
          <w:szCs w:val="21"/>
          <w:highlight w:val="none"/>
        </w:rPr>
        <w:t>电工电子产品环境试验</w:t>
      </w:r>
    </w:p>
    <w:p w14:paraId="3BAA8A87">
      <w:pPr>
        <w:spacing w:line="360" w:lineRule="auto"/>
        <w:ind w:firstLine="440" w:firstLineChars="200"/>
        <w:rPr>
          <w:rFonts w:hint="eastAsia" w:ascii="宋体" w:hAnsi="宋体" w:eastAsia="宋体" w:cs="宋体"/>
          <w:color w:val="auto"/>
          <w:spacing w:val="5"/>
          <w:sz w:val="21"/>
          <w:szCs w:val="21"/>
          <w:highlight w:val="none"/>
          <w:lang w:val="en-US" w:eastAsia="zh-CN"/>
        </w:rPr>
      </w:pPr>
      <w:r>
        <w:rPr>
          <w:rFonts w:hint="eastAsia" w:ascii="宋体" w:hAnsi="宋体" w:eastAsia="宋体" w:cs="宋体"/>
          <w:color w:val="auto"/>
          <w:spacing w:val="5"/>
          <w:sz w:val="21"/>
          <w:szCs w:val="21"/>
          <w:highlight w:val="none"/>
        </w:rPr>
        <w:t>GB</w:t>
      </w:r>
      <w:r>
        <w:rPr>
          <w:rFonts w:hint="eastAsia" w:ascii="宋体" w:hAnsi="宋体" w:eastAsia="宋体" w:cs="宋体"/>
          <w:color w:val="auto"/>
          <w:spacing w:val="5"/>
          <w:sz w:val="21"/>
          <w:szCs w:val="21"/>
          <w:highlight w:val="none"/>
          <w:lang w:val="en-US" w:eastAsia="zh-CN"/>
        </w:rPr>
        <w:t xml:space="preserve">/T </w:t>
      </w:r>
      <w:r>
        <w:rPr>
          <w:rFonts w:hint="eastAsia" w:ascii="宋体" w:hAnsi="宋体" w:eastAsia="宋体" w:cs="宋体"/>
          <w:color w:val="auto"/>
          <w:spacing w:val="5"/>
          <w:sz w:val="21"/>
          <w:szCs w:val="21"/>
          <w:highlight w:val="none"/>
        </w:rPr>
        <w:t>2887</w:t>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eastAsia="宋体" w:cs="宋体"/>
          <w:color w:val="auto"/>
          <w:spacing w:val="5"/>
          <w:sz w:val="21"/>
          <w:szCs w:val="21"/>
          <w:highlight w:val="none"/>
        </w:rPr>
        <w:t>计算机场地</w:t>
      </w:r>
      <w:r>
        <w:rPr>
          <w:rFonts w:hint="eastAsia" w:ascii="宋体" w:hAnsi="宋体" w:eastAsia="宋体" w:cs="宋体"/>
          <w:color w:val="auto"/>
          <w:spacing w:val="5"/>
          <w:sz w:val="21"/>
          <w:szCs w:val="21"/>
          <w:highlight w:val="none"/>
          <w:lang w:val="en-US" w:eastAsia="zh-CN"/>
        </w:rPr>
        <w:t>通用规范</w:t>
      </w:r>
    </w:p>
    <w:p w14:paraId="608D5889">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GB</w:t>
      </w:r>
      <w:r>
        <w:rPr>
          <w:rFonts w:hint="eastAsia" w:ascii="宋体" w:hAnsi="宋体" w:eastAsia="宋体" w:cs="宋体"/>
          <w:color w:val="auto"/>
          <w:spacing w:val="5"/>
          <w:sz w:val="21"/>
          <w:szCs w:val="21"/>
          <w:highlight w:val="none"/>
          <w:lang w:val="en-US" w:eastAsia="zh-CN"/>
        </w:rPr>
        <w:t xml:space="preserve">/T </w:t>
      </w:r>
      <w:r>
        <w:rPr>
          <w:rFonts w:hint="eastAsia" w:ascii="宋体" w:hAnsi="宋体" w:eastAsia="宋体" w:cs="宋体"/>
          <w:color w:val="auto"/>
          <w:spacing w:val="5"/>
          <w:sz w:val="21"/>
          <w:szCs w:val="21"/>
          <w:highlight w:val="none"/>
        </w:rPr>
        <w:t>4208</w:t>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eastAsia="宋体" w:cs="宋体"/>
          <w:color w:val="auto"/>
          <w:spacing w:val="5"/>
          <w:sz w:val="21"/>
          <w:szCs w:val="21"/>
          <w:highlight w:val="none"/>
        </w:rPr>
        <w:t>外壳防护等级</w:t>
      </w:r>
    </w:p>
    <w:p w14:paraId="1EC9438E">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GB</w:t>
      </w:r>
      <w:r>
        <w:rPr>
          <w:rFonts w:hint="eastAsia" w:ascii="宋体" w:hAnsi="宋体" w:eastAsia="宋体" w:cs="宋体"/>
          <w:color w:val="auto"/>
          <w:spacing w:val="5"/>
          <w:sz w:val="21"/>
          <w:szCs w:val="21"/>
          <w:highlight w:val="none"/>
          <w:lang w:val="en-US" w:eastAsia="zh-CN"/>
        </w:rPr>
        <w:t xml:space="preserve">/T </w:t>
      </w:r>
      <w:r>
        <w:rPr>
          <w:rFonts w:hint="eastAsia" w:ascii="宋体" w:hAnsi="宋体" w:eastAsia="宋体" w:cs="宋体"/>
          <w:color w:val="auto"/>
          <w:spacing w:val="5"/>
          <w:sz w:val="21"/>
          <w:szCs w:val="21"/>
          <w:highlight w:val="none"/>
        </w:rPr>
        <w:t>7261</w:t>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eastAsia="宋体" w:cs="宋体"/>
          <w:color w:val="auto"/>
          <w:spacing w:val="5"/>
          <w:sz w:val="21"/>
          <w:szCs w:val="21"/>
          <w:highlight w:val="none"/>
        </w:rPr>
        <w:t>继电保护和安全自动装置基本试验方法</w:t>
      </w:r>
    </w:p>
    <w:p w14:paraId="3ED6E699">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GB/T 11287</w:t>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eastAsia="宋体" w:cs="宋体"/>
          <w:color w:val="auto"/>
          <w:spacing w:val="5"/>
          <w:sz w:val="21"/>
          <w:szCs w:val="21"/>
          <w:highlight w:val="none"/>
        </w:rPr>
        <w:t>量度继电器和保护装置的振动、冲击、碰撞和地震试验</w:t>
      </w:r>
    </w:p>
    <w:p w14:paraId="33D3CF42">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GB/T</w:t>
      </w:r>
      <w:r>
        <w:rPr>
          <w:rFonts w:hint="eastAsia" w:ascii="宋体" w:hAnsi="宋体" w:eastAsia="宋体" w:cs="宋体"/>
          <w:color w:val="auto"/>
          <w:spacing w:val="5"/>
          <w:sz w:val="21"/>
          <w:szCs w:val="21"/>
          <w:highlight w:val="none"/>
          <w:lang w:val="en-US" w:eastAsia="zh-CN"/>
        </w:rPr>
        <w:t xml:space="preserve"> </w:t>
      </w:r>
      <w:r>
        <w:rPr>
          <w:rFonts w:hint="eastAsia" w:ascii="宋体" w:hAnsi="宋体" w:eastAsia="宋体" w:cs="宋体"/>
          <w:color w:val="auto"/>
          <w:spacing w:val="5"/>
          <w:sz w:val="21"/>
          <w:szCs w:val="21"/>
          <w:highlight w:val="none"/>
        </w:rPr>
        <w:t>13926</w:t>
      </w:r>
      <w:r>
        <w:rPr>
          <w:rFonts w:hint="eastAsia" w:ascii="宋体" w:hAnsi="宋体" w:cs="宋体"/>
          <w:color w:val="auto"/>
          <w:spacing w:val="5"/>
          <w:sz w:val="21"/>
          <w:szCs w:val="21"/>
          <w:highlight w:val="none"/>
          <w:lang w:val="en-US" w:eastAsia="zh-CN"/>
        </w:rPr>
        <w:t>.1</w:t>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eastAsia="宋体" w:cs="宋体"/>
          <w:color w:val="auto"/>
          <w:spacing w:val="5"/>
          <w:sz w:val="21"/>
          <w:szCs w:val="21"/>
          <w:highlight w:val="none"/>
        </w:rPr>
        <w:t>工业过程测量和控制装置的电磁兼容性</w:t>
      </w:r>
    </w:p>
    <w:p w14:paraId="3A57C37F">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GB</w:t>
      </w:r>
      <w:r>
        <w:rPr>
          <w:rFonts w:hint="eastAsia" w:ascii="宋体" w:hAnsi="宋体" w:eastAsia="宋体" w:cs="宋体"/>
          <w:color w:val="auto"/>
          <w:spacing w:val="5"/>
          <w:sz w:val="21"/>
          <w:szCs w:val="21"/>
          <w:highlight w:val="none"/>
          <w:lang w:val="en-US" w:eastAsia="zh-CN"/>
        </w:rPr>
        <w:t xml:space="preserve">/T </w:t>
      </w:r>
      <w:r>
        <w:rPr>
          <w:rFonts w:hint="eastAsia" w:ascii="宋体" w:hAnsi="宋体" w:eastAsia="宋体" w:cs="宋体"/>
          <w:color w:val="auto"/>
          <w:spacing w:val="5"/>
          <w:sz w:val="21"/>
          <w:szCs w:val="21"/>
          <w:highlight w:val="none"/>
        </w:rPr>
        <w:t>14285</w:t>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eastAsia="宋体" w:cs="宋体"/>
          <w:color w:val="auto"/>
          <w:spacing w:val="5"/>
          <w:sz w:val="21"/>
          <w:szCs w:val="21"/>
          <w:highlight w:val="none"/>
        </w:rPr>
        <w:t>继电保护和安全自动装置技术规程</w:t>
      </w:r>
    </w:p>
    <w:p w14:paraId="3764E198">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GB</w:t>
      </w:r>
      <w:r>
        <w:rPr>
          <w:rFonts w:hint="eastAsia" w:ascii="宋体" w:hAnsi="宋体" w:eastAsia="宋体" w:cs="宋体"/>
          <w:color w:val="auto"/>
          <w:spacing w:val="5"/>
          <w:sz w:val="21"/>
          <w:szCs w:val="21"/>
          <w:highlight w:val="none"/>
          <w:lang w:val="en-US" w:eastAsia="zh-CN"/>
        </w:rPr>
        <w:t xml:space="preserve">/T </w:t>
      </w:r>
      <w:r>
        <w:rPr>
          <w:rFonts w:hint="eastAsia" w:ascii="宋体" w:hAnsi="宋体" w:eastAsia="宋体" w:cs="宋体"/>
          <w:color w:val="auto"/>
          <w:spacing w:val="5"/>
          <w:sz w:val="21"/>
          <w:szCs w:val="21"/>
          <w:highlight w:val="none"/>
        </w:rPr>
        <w:t>14537</w:t>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eastAsia="宋体" w:cs="宋体"/>
          <w:color w:val="auto"/>
          <w:spacing w:val="5"/>
          <w:sz w:val="21"/>
          <w:szCs w:val="21"/>
          <w:highlight w:val="none"/>
        </w:rPr>
        <w:t>量度继电器和保护装置的冲击和碰撞试验</w:t>
      </w:r>
    </w:p>
    <w:p w14:paraId="7C4AA0B6">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GB/T 14598.3</w:t>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eastAsia="宋体" w:cs="宋体"/>
          <w:color w:val="auto"/>
          <w:spacing w:val="5"/>
          <w:sz w:val="21"/>
          <w:szCs w:val="21"/>
          <w:highlight w:val="none"/>
        </w:rPr>
        <w:t>量度继电器和保护装置的绝缘配合要求和试验</w:t>
      </w:r>
    </w:p>
    <w:p w14:paraId="16FF383F">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GB/T</w:t>
      </w:r>
      <w:r>
        <w:rPr>
          <w:rFonts w:hint="eastAsia" w:ascii="宋体" w:hAnsi="宋体" w:eastAsia="宋体" w:cs="宋体"/>
          <w:color w:val="auto"/>
          <w:spacing w:val="5"/>
          <w:sz w:val="21"/>
          <w:szCs w:val="21"/>
          <w:highlight w:val="none"/>
          <w:lang w:val="en-US" w:eastAsia="zh-CN"/>
        </w:rPr>
        <w:t xml:space="preserve"> </w:t>
      </w:r>
      <w:r>
        <w:rPr>
          <w:rFonts w:hint="eastAsia" w:ascii="宋体" w:hAnsi="宋体" w:eastAsia="宋体" w:cs="宋体"/>
          <w:color w:val="auto"/>
          <w:spacing w:val="5"/>
          <w:sz w:val="21"/>
          <w:szCs w:val="21"/>
          <w:highlight w:val="none"/>
        </w:rPr>
        <w:t xml:space="preserve">14598.9 </w:t>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eastAsia="宋体" w:cs="宋体"/>
          <w:color w:val="auto"/>
          <w:spacing w:val="5"/>
          <w:sz w:val="21"/>
          <w:szCs w:val="21"/>
          <w:highlight w:val="none"/>
        </w:rPr>
        <w:t>辐射电磁场骚扰试验</w:t>
      </w:r>
    </w:p>
    <w:p w14:paraId="105E8CB0">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GB/T</w:t>
      </w:r>
      <w:r>
        <w:rPr>
          <w:rFonts w:hint="eastAsia" w:ascii="宋体" w:hAnsi="宋体" w:eastAsia="宋体" w:cs="宋体"/>
          <w:color w:val="auto"/>
          <w:spacing w:val="5"/>
          <w:sz w:val="21"/>
          <w:szCs w:val="21"/>
          <w:highlight w:val="none"/>
          <w:lang w:val="en-US" w:eastAsia="zh-CN"/>
        </w:rPr>
        <w:t xml:space="preserve"> </w:t>
      </w:r>
      <w:r>
        <w:rPr>
          <w:rFonts w:hint="eastAsia" w:ascii="宋体" w:hAnsi="宋体" w:eastAsia="宋体" w:cs="宋体"/>
          <w:color w:val="auto"/>
          <w:spacing w:val="5"/>
          <w:sz w:val="21"/>
          <w:szCs w:val="21"/>
          <w:highlight w:val="none"/>
        </w:rPr>
        <w:t>14598.10</w:t>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eastAsia="宋体" w:cs="宋体"/>
          <w:color w:val="auto"/>
          <w:spacing w:val="5"/>
          <w:sz w:val="21"/>
          <w:szCs w:val="21"/>
          <w:highlight w:val="none"/>
        </w:rPr>
        <w:t>电快速瞬变/脉冲群抗扰度试验</w:t>
      </w:r>
    </w:p>
    <w:p w14:paraId="4CE8D396">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GB/T</w:t>
      </w:r>
      <w:r>
        <w:rPr>
          <w:rFonts w:hint="eastAsia" w:ascii="宋体" w:hAnsi="宋体" w:eastAsia="宋体" w:cs="宋体"/>
          <w:color w:val="auto"/>
          <w:spacing w:val="5"/>
          <w:sz w:val="21"/>
          <w:szCs w:val="21"/>
          <w:highlight w:val="none"/>
          <w:lang w:val="en-US" w:eastAsia="zh-CN"/>
        </w:rPr>
        <w:t xml:space="preserve"> </w:t>
      </w:r>
      <w:r>
        <w:rPr>
          <w:rFonts w:hint="eastAsia" w:ascii="宋体" w:hAnsi="宋体" w:eastAsia="宋体" w:cs="宋体"/>
          <w:color w:val="auto"/>
          <w:spacing w:val="5"/>
          <w:sz w:val="21"/>
          <w:szCs w:val="21"/>
          <w:highlight w:val="none"/>
        </w:rPr>
        <w:t>14598.13</w:t>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eastAsia="宋体" w:cs="宋体"/>
          <w:color w:val="auto"/>
          <w:spacing w:val="5"/>
          <w:sz w:val="21"/>
          <w:szCs w:val="21"/>
          <w:highlight w:val="none"/>
        </w:rPr>
        <w:t>1MHz脉冲群抗扰度试验</w:t>
      </w:r>
    </w:p>
    <w:p w14:paraId="57D56D2F">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GB/T</w:t>
      </w:r>
      <w:r>
        <w:rPr>
          <w:rFonts w:hint="eastAsia" w:ascii="宋体" w:hAnsi="宋体" w:eastAsia="宋体" w:cs="宋体"/>
          <w:color w:val="auto"/>
          <w:spacing w:val="5"/>
          <w:sz w:val="21"/>
          <w:szCs w:val="21"/>
          <w:highlight w:val="none"/>
          <w:lang w:val="en-US" w:eastAsia="zh-CN"/>
        </w:rPr>
        <w:t xml:space="preserve"> </w:t>
      </w:r>
      <w:r>
        <w:rPr>
          <w:rFonts w:hint="eastAsia" w:ascii="宋体" w:hAnsi="宋体" w:eastAsia="宋体" w:cs="宋体"/>
          <w:color w:val="auto"/>
          <w:spacing w:val="5"/>
          <w:sz w:val="21"/>
          <w:szCs w:val="21"/>
          <w:highlight w:val="none"/>
        </w:rPr>
        <w:t>14598.14</w:t>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eastAsia="宋体" w:cs="宋体"/>
          <w:color w:val="auto"/>
          <w:spacing w:val="5"/>
          <w:sz w:val="21"/>
          <w:szCs w:val="21"/>
          <w:highlight w:val="none"/>
        </w:rPr>
        <w:t>静电放电试验</w:t>
      </w:r>
    </w:p>
    <w:p w14:paraId="6D58803D">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GB/T 14598.17</w:t>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eastAsia="宋体" w:cs="宋体"/>
          <w:color w:val="auto"/>
          <w:spacing w:val="5"/>
          <w:sz w:val="21"/>
          <w:szCs w:val="21"/>
          <w:highlight w:val="none"/>
        </w:rPr>
        <w:t>射频场感应的传导骚扰抗扰度</w:t>
      </w:r>
    </w:p>
    <w:p w14:paraId="6504C7C3">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GB/T 14598.18</w:t>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eastAsia="宋体" w:cs="宋体"/>
          <w:color w:val="auto"/>
          <w:spacing w:val="5"/>
          <w:sz w:val="21"/>
          <w:szCs w:val="21"/>
          <w:highlight w:val="none"/>
        </w:rPr>
        <w:t>浪涌抗扰度试验</w:t>
      </w:r>
    </w:p>
    <w:p w14:paraId="13CB8667">
      <w:pPr>
        <w:spacing w:line="360" w:lineRule="auto"/>
        <w:ind w:firstLine="440" w:firstLineChars="200"/>
        <w:rPr>
          <w:rFonts w:hint="eastAsia" w:ascii="宋体" w:hAnsi="宋体" w:eastAsia="宋体" w:cs="宋体"/>
          <w:color w:val="auto"/>
          <w:spacing w:val="5"/>
          <w:sz w:val="21"/>
          <w:szCs w:val="21"/>
          <w:highlight w:val="none"/>
          <w:lang w:val="en-US" w:eastAsia="zh-CN"/>
        </w:rPr>
      </w:pPr>
      <w:r>
        <w:rPr>
          <w:rFonts w:hint="eastAsia" w:ascii="宋体" w:hAnsi="宋体" w:eastAsia="宋体" w:cs="宋体"/>
          <w:color w:val="auto"/>
          <w:spacing w:val="5"/>
          <w:sz w:val="21"/>
          <w:szCs w:val="21"/>
          <w:highlight w:val="none"/>
        </w:rPr>
        <w:t>GB/T 14598.19</w:t>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eastAsia="宋体" w:cs="宋体"/>
          <w:color w:val="auto"/>
          <w:spacing w:val="5"/>
          <w:sz w:val="21"/>
          <w:szCs w:val="21"/>
          <w:highlight w:val="none"/>
        </w:rPr>
        <w:t>工频抗扰度试验</w:t>
      </w:r>
    </w:p>
    <w:p w14:paraId="69A84454">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GB</w:t>
      </w:r>
      <w:r>
        <w:rPr>
          <w:rFonts w:hint="eastAsia" w:ascii="宋体" w:hAnsi="宋体" w:eastAsia="宋体" w:cs="宋体"/>
          <w:color w:val="auto"/>
          <w:spacing w:val="5"/>
          <w:sz w:val="21"/>
          <w:szCs w:val="21"/>
          <w:highlight w:val="none"/>
          <w:lang w:val="en-US" w:eastAsia="zh-CN"/>
        </w:rPr>
        <w:t xml:space="preserve">/T </w:t>
      </w:r>
      <w:r>
        <w:rPr>
          <w:rFonts w:hint="eastAsia" w:ascii="宋体" w:hAnsi="宋体" w:eastAsia="宋体" w:cs="宋体"/>
          <w:color w:val="auto"/>
          <w:spacing w:val="5"/>
          <w:sz w:val="21"/>
          <w:szCs w:val="21"/>
          <w:highlight w:val="none"/>
        </w:rPr>
        <w:t>50065</w:t>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eastAsia="宋体" w:cs="宋体"/>
          <w:color w:val="auto"/>
          <w:spacing w:val="5"/>
          <w:sz w:val="21"/>
          <w:szCs w:val="21"/>
          <w:highlight w:val="none"/>
        </w:rPr>
        <w:t>交流电气装置的接地设计规范</w:t>
      </w:r>
    </w:p>
    <w:p w14:paraId="5BD9B192">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GB/T</w:t>
      </w:r>
      <w:r>
        <w:rPr>
          <w:rFonts w:hint="eastAsia" w:ascii="宋体" w:hAnsi="宋体" w:eastAsia="宋体" w:cs="宋体"/>
          <w:color w:val="auto"/>
          <w:spacing w:val="5"/>
          <w:sz w:val="21"/>
          <w:szCs w:val="21"/>
          <w:highlight w:val="none"/>
          <w:lang w:val="en-US" w:eastAsia="zh-CN"/>
        </w:rPr>
        <w:t xml:space="preserve"> </w:t>
      </w:r>
      <w:r>
        <w:rPr>
          <w:rFonts w:hint="eastAsia" w:ascii="宋体" w:hAnsi="宋体" w:eastAsia="宋体" w:cs="宋体"/>
          <w:color w:val="auto"/>
          <w:spacing w:val="5"/>
          <w:sz w:val="21"/>
          <w:szCs w:val="21"/>
          <w:highlight w:val="none"/>
        </w:rPr>
        <w:t>50549</w:t>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eastAsia="宋体" w:cs="宋体"/>
          <w:color w:val="auto"/>
          <w:spacing w:val="5"/>
          <w:sz w:val="21"/>
          <w:szCs w:val="21"/>
          <w:highlight w:val="none"/>
        </w:rPr>
        <w:t>电厂标识系统编码标准</w:t>
      </w:r>
    </w:p>
    <w:p w14:paraId="4AC08F86">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DL</w:t>
      </w:r>
      <w:r>
        <w:rPr>
          <w:rFonts w:hint="eastAsia" w:ascii="宋体" w:hAnsi="宋体" w:eastAsia="宋体" w:cs="宋体"/>
          <w:color w:val="auto"/>
          <w:spacing w:val="5"/>
          <w:sz w:val="21"/>
          <w:szCs w:val="21"/>
          <w:highlight w:val="none"/>
          <w:lang w:val="en-US" w:eastAsia="zh-CN"/>
        </w:rPr>
        <w:t xml:space="preserve">/T </w:t>
      </w:r>
      <w:r>
        <w:rPr>
          <w:rFonts w:hint="eastAsia" w:ascii="宋体" w:hAnsi="宋体" w:eastAsia="宋体" w:cs="宋体"/>
          <w:color w:val="auto"/>
          <w:spacing w:val="5"/>
          <w:sz w:val="21"/>
          <w:szCs w:val="21"/>
          <w:highlight w:val="none"/>
        </w:rPr>
        <w:t>478</w:t>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eastAsia="宋体" w:cs="宋体"/>
          <w:color w:val="auto"/>
          <w:spacing w:val="5"/>
          <w:sz w:val="21"/>
          <w:szCs w:val="21"/>
          <w:highlight w:val="none"/>
        </w:rPr>
        <w:t>继电保护及安全自动装置通用技术条件</w:t>
      </w:r>
    </w:p>
    <w:p w14:paraId="10ED1065">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DL/T 587</w:t>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eastAsia="宋体" w:cs="宋体"/>
          <w:color w:val="auto"/>
          <w:spacing w:val="5"/>
          <w:sz w:val="21"/>
          <w:szCs w:val="21"/>
          <w:highlight w:val="none"/>
        </w:rPr>
        <w:t>继电保护和安全自动装置运行管理规程</w:t>
      </w:r>
    </w:p>
    <w:p w14:paraId="59AEB763">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DL/T</w:t>
      </w:r>
      <w:r>
        <w:rPr>
          <w:rFonts w:hint="eastAsia" w:ascii="宋体" w:hAnsi="宋体" w:eastAsia="宋体" w:cs="宋体"/>
          <w:color w:val="auto"/>
          <w:spacing w:val="5"/>
          <w:sz w:val="21"/>
          <w:szCs w:val="21"/>
          <w:highlight w:val="none"/>
          <w:lang w:val="en-US" w:eastAsia="zh-CN"/>
        </w:rPr>
        <w:t xml:space="preserve"> </w:t>
      </w:r>
      <w:r>
        <w:rPr>
          <w:rFonts w:hint="eastAsia" w:ascii="宋体" w:hAnsi="宋体" w:eastAsia="宋体" w:cs="宋体"/>
          <w:color w:val="auto"/>
          <w:spacing w:val="5"/>
          <w:sz w:val="21"/>
          <w:szCs w:val="21"/>
          <w:highlight w:val="none"/>
        </w:rPr>
        <w:t>671</w:t>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eastAsia="宋体" w:cs="宋体"/>
          <w:color w:val="auto"/>
          <w:spacing w:val="5"/>
          <w:sz w:val="21"/>
          <w:szCs w:val="21"/>
          <w:highlight w:val="none"/>
        </w:rPr>
        <w:t xml:space="preserve">发电机变压器组保护装置通用技术条件  </w:t>
      </w:r>
    </w:p>
    <w:p w14:paraId="3E165C3D">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DL/T</w:t>
      </w:r>
      <w:r>
        <w:rPr>
          <w:rFonts w:hint="eastAsia" w:ascii="宋体" w:hAnsi="宋体" w:eastAsia="宋体" w:cs="宋体"/>
          <w:color w:val="auto"/>
          <w:spacing w:val="5"/>
          <w:sz w:val="21"/>
          <w:szCs w:val="21"/>
          <w:highlight w:val="none"/>
          <w:lang w:val="en-US" w:eastAsia="zh-CN"/>
        </w:rPr>
        <w:t xml:space="preserve"> </w:t>
      </w:r>
      <w:r>
        <w:rPr>
          <w:rFonts w:hint="eastAsia" w:ascii="宋体" w:hAnsi="宋体" w:eastAsia="宋体" w:cs="宋体"/>
          <w:color w:val="auto"/>
          <w:spacing w:val="5"/>
          <w:sz w:val="21"/>
          <w:szCs w:val="21"/>
          <w:highlight w:val="none"/>
        </w:rPr>
        <w:t>667</w:t>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eastAsia="宋体" w:cs="宋体"/>
          <w:color w:val="auto"/>
          <w:spacing w:val="5"/>
          <w:sz w:val="21"/>
          <w:szCs w:val="21"/>
          <w:highlight w:val="none"/>
        </w:rPr>
        <w:t>远动设备及系统 第5部分 传输规约 第103篇 继电保护设备信息 接口配套标准</w:t>
      </w:r>
    </w:p>
    <w:p w14:paraId="1902D796">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DL/T 720</w:t>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eastAsia="宋体" w:cs="宋体"/>
          <w:color w:val="auto"/>
          <w:spacing w:val="5"/>
          <w:sz w:val="21"/>
          <w:szCs w:val="21"/>
          <w:highlight w:val="none"/>
        </w:rPr>
        <w:t>电力系统继电保护柜、屏通用技术条件</w:t>
      </w:r>
    </w:p>
    <w:p w14:paraId="66BA973E">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DL/T 769</w:t>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eastAsia="宋体" w:cs="宋体"/>
          <w:color w:val="auto"/>
          <w:spacing w:val="5"/>
          <w:sz w:val="21"/>
          <w:szCs w:val="21"/>
          <w:highlight w:val="none"/>
        </w:rPr>
        <w:t>电力系统微机继电保护技术导则</w:t>
      </w:r>
    </w:p>
    <w:p w14:paraId="3393FFA2">
      <w:pPr>
        <w:spacing w:line="360" w:lineRule="auto"/>
        <w:ind w:firstLine="440" w:firstLineChars="200"/>
        <w:rPr>
          <w:rFonts w:hint="eastAsia" w:ascii="宋体" w:hAnsi="宋体" w:eastAsia="宋体" w:cs="宋体"/>
          <w:color w:val="auto"/>
          <w:spacing w:val="5"/>
          <w:sz w:val="21"/>
          <w:szCs w:val="21"/>
          <w:highlight w:val="none"/>
          <w:lang w:val="en-US" w:eastAsia="zh-CN"/>
        </w:rPr>
      </w:pPr>
      <w:r>
        <w:rPr>
          <w:rFonts w:hint="eastAsia" w:ascii="宋体" w:hAnsi="宋体" w:eastAsia="宋体" w:cs="宋体"/>
          <w:color w:val="auto"/>
          <w:spacing w:val="5"/>
          <w:sz w:val="21"/>
          <w:szCs w:val="21"/>
          <w:highlight w:val="none"/>
        </w:rPr>
        <w:t>DL/T 995</w:t>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eastAsia="宋体" w:cs="宋体"/>
          <w:color w:val="auto"/>
          <w:spacing w:val="5"/>
          <w:sz w:val="21"/>
          <w:szCs w:val="21"/>
          <w:highlight w:val="none"/>
        </w:rPr>
        <w:t>继电保护和电网安全自动装置检验规程</w:t>
      </w:r>
    </w:p>
    <w:p w14:paraId="73A8D13B">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DL/T</w:t>
      </w:r>
      <w:r>
        <w:rPr>
          <w:rFonts w:hint="eastAsia" w:ascii="宋体" w:hAnsi="宋体" w:eastAsia="宋体" w:cs="宋体"/>
          <w:color w:val="auto"/>
          <w:spacing w:val="5"/>
          <w:sz w:val="21"/>
          <w:szCs w:val="21"/>
          <w:highlight w:val="none"/>
          <w:lang w:val="en-US" w:eastAsia="zh-CN"/>
        </w:rPr>
        <w:t xml:space="preserve"> </w:t>
      </w:r>
      <w:r>
        <w:rPr>
          <w:rFonts w:hint="eastAsia" w:ascii="宋体" w:hAnsi="宋体" w:eastAsia="宋体" w:cs="宋体"/>
          <w:color w:val="auto"/>
          <w:spacing w:val="5"/>
          <w:sz w:val="21"/>
          <w:szCs w:val="21"/>
          <w:highlight w:val="none"/>
        </w:rPr>
        <w:t>1870</w:t>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eastAsia="宋体" w:cs="宋体"/>
          <w:color w:val="auto"/>
          <w:spacing w:val="5"/>
          <w:sz w:val="21"/>
          <w:szCs w:val="21"/>
          <w:highlight w:val="none"/>
        </w:rPr>
        <w:t>电力系统网源协调技术规程</w:t>
      </w:r>
    </w:p>
    <w:p w14:paraId="08466415">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DL/T</w:t>
      </w:r>
      <w:r>
        <w:rPr>
          <w:rFonts w:hint="eastAsia" w:ascii="宋体" w:hAnsi="宋体" w:eastAsia="宋体" w:cs="宋体"/>
          <w:color w:val="auto"/>
          <w:spacing w:val="5"/>
          <w:sz w:val="21"/>
          <w:szCs w:val="21"/>
          <w:highlight w:val="none"/>
          <w:lang w:val="en-US" w:eastAsia="zh-CN"/>
        </w:rPr>
        <w:t xml:space="preserve"> </w:t>
      </w:r>
      <w:r>
        <w:rPr>
          <w:rFonts w:hint="eastAsia" w:ascii="宋体" w:hAnsi="宋体" w:eastAsia="宋体" w:cs="宋体"/>
          <w:color w:val="auto"/>
          <w:spacing w:val="5"/>
          <w:sz w:val="21"/>
          <w:szCs w:val="21"/>
          <w:highlight w:val="none"/>
        </w:rPr>
        <w:t>5136</w:t>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eastAsia="宋体" w:cs="宋体"/>
          <w:color w:val="auto"/>
          <w:spacing w:val="5"/>
          <w:sz w:val="21"/>
          <w:szCs w:val="21"/>
          <w:highlight w:val="none"/>
        </w:rPr>
        <w:t>火力发电厂、变电所二次接线设计技术规程</w:t>
      </w:r>
    </w:p>
    <w:p w14:paraId="53754B5F">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Q/GDW-11-271</w:t>
      </w:r>
      <w:r>
        <w:rPr>
          <w:rFonts w:hint="eastAsia" w:ascii="宋体" w:hAnsi="宋体" w:cs="宋体"/>
          <w:color w:val="auto"/>
          <w:spacing w:val="5"/>
          <w:sz w:val="21"/>
          <w:szCs w:val="21"/>
          <w:highlight w:val="none"/>
          <w:lang w:val="en-US" w:eastAsia="zh-CN"/>
        </w:rPr>
        <w:tab/>
      </w:r>
      <w:r>
        <w:rPr>
          <w:rFonts w:hint="eastAsia" w:ascii="宋体" w:hAnsi="宋体" w:cs="宋体"/>
          <w:color w:val="auto"/>
          <w:spacing w:val="5"/>
          <w:sz w:val="21"/>
          <w:szCs w:val="21"/>
          <w:highlight w:val="none"/>
          <w:lang w:val="en-US" w:eastAsia="zh-CN"/>
        </w:rPr>
        <w:tab/>
      </w:r>
      <w:r>
        <w:rPr>
          <w:rFonts w:hint="eastAsia" w:ascii="宋体" w:hAnsi="宋体" w:eastAsia="宋体" w:cs="宋体"/>
          <w:color w:val="auto"/>
          <w:spacing w:val="5"/>
          <w:sz w:val="21"/>
          <w:szCs w:val="21"/>
          <w:highlight w:val="none"/>
        </w:rPr>
        <w:t>浙江电网大型发电机组继电保护技术应用规范</w:t>
      </w:r>
    </w:p>
    <w:p w14:paraId="30D261A9">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国家电网公司十八项电网重大反事故措施</w:t>
      </w:r>
    </w:p>
    <w:p w14:paraId="7F8593C8">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防止电力生产事故的二十五项重点要求</w:t>
      </w:r>
    </w:p>
    <w:p w14:paraId="177E209F">
      <w:pPr>
        <w:spacing w:line="360" w:lineRule="auto"/>
        <w:ind w:firstLine="440" w:firstLineChars="200"/>
        <w:outlineLvl w:val="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电力监控系统安全防护规定</w:t>
      </w:r>
    </w:p>
    <w:p w14:paraId="4D203F55">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这些法则和标准提出了最基本要求，如果根据投标人的意见并经用户接受，使用优于或更为经济的设计或材料</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并能使投标人设备良好地、连续地在本规范所规定的条件下运行时，则这些标准也可以由投标人超越。</w:t>
      </w:r>
    </w:p>
    <w:p w14:paraId="678D9027">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1.2.4 如果投标人选用本标书上规定以外的标准时，则需提交这种替换标准供审查和分析，仅在投标人已证明替换标准相当或优于标书规定的标准，并从招标人处获得书面认可后才能使用。提供审查的标准应为中文版本。</w:t>
      </w:r>
    </w:p>
    <w:p w14:paraId="1D8B5DE9">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1.2.5 当标准、规范之间出现矛盾时，投标人应将矛盾情况提交招标人，以便在开始生产前制定解决方案。</w:t>
      </w:r>
    </w:p>
    <w:p w14:paraId="2A84F432">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1.2.6 所有螺栓、双头螺栓、螺纹、管螺纹、螺栓夹及螺母均应遵守国际标准化组织(ISO)和国际单位制(SI)的标准。</w:t>
      </w:r>
    </w:p>
    <w:p w14:paraId="762D0ACA">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1.2.7 合同签订后</w:t>
      </w:r>
      <w:r>
        <w:rPr>
          <w:rFonts w:hint="eastAsia" w:ascii="宋体" w:hAnsi="宋体" w:cs="宋体"/>
          <w:color w:val="auto"/>
          <w:sz w:val="21"/>
          <w:szCs w:val="21"/>
          <w:highlight w:val="none"/>
          <w:lang w:eastAsia="zh-CN"/>
        </w:rPr>
        <w:t>1</w:t>
      </w:r>
      <w:r>
        <w:rPr>
          <w:rFonts w:hint="eastAsia" w:ascii="宋体" w:hAnsi="宋体" w:cs="宋体"/>
          <w:color w:val="auto"/>
          <w:sz w:val="21"/>
          <w:szCs w:val="21"/>
          <w:highlight w:val="none"/>
        </w:rPr>
        <w:t>个月，投标人提出合同设备的设计﹑制造﹑装配﹑安装﹑调试﹑试运﹑验收﹑试验﹑运行和维护等标准清单给招标人，招标人确认。</w:t>
      </w:r>
    </w:p>
    <w:p w14:paraId="50177D8A">
      <w:pPr>
        <w:spacing w:line="360" w:lineRule="auto"/>
        <w:rPr>
          <w:rFonts w:hint="eastAsia" w:ascii="宋体" w:hAnsi="宋体" w:cs="宋体"/>
          <w:color w:val="auto"/>
          <w:kern w:val="0"/>
          <w:sz w:val="21"/>
          <w:szCs w:val="21"/>
          <w:highlight w:val="none"/>
        </w:rPr>
      </w:pPr>
      <w:r>
        <w:rPr>
          <w:rFonts w:hint="eastAsia" w:ascii="宋体" w:hAnsi="宋体" w:cs="宋体"/>
          <w:color w:val="auto"/>
          <w:sz w:val="21"/>
          <w:szCs w:val="21"/>
          <w:highlight w:val="none"/>
        </w:rPr>
        <w:t>1.2.8 投标人所供设备除满足以上及相关的标</w:t>
      </w:r>
      <w:r>
        <w:rPr>
          <w:rFonts w:hint="eastAsia" w:ascii="宋体" w:hAnsi="宋体" w:cs="宋体"/>
          <w:color w:val="auto"/>
          <w:spacing w:val="10"/>
          <w:sz w:val="21"/>
          <w:szCs w:val="21"/>
          <w:highlight w:val="none"/>
        </w:rPr>
        <w:t>准外还应</w:t>
      </w:r>
      <w:r>
        <w:rPr>
          <w:rFonts w:hint="eastAsia" w:ascii="宋体" w:hAnsi="宋体" w:cs="宋体"/>
          <w:color w:val="auto"/>
          <w:sz w:val="21"/>
          <w:szCs w:val="21"/>
          <w:highlight w:val="none"/>
        </w:rPr>
        <w:t>满足有关的</w:t>
      </w:r>
      <w:r>
        <w:rPr>
          <w:rFonts w:hint="eastAsia" w:ascii="宋体" w:hAnsi="宋体" w:cs="宋体"/>
          <w:color w:val="auto"/>
          <w:kern w:val="0"/>
          <w:sz w:val="21"/>
          <w:szCs w:val="21"/>
          <w:highlight w:val="none"/>
        </w:rPr>
        <w:t>安全、消防、环境保护等标准。</w:t>
      </w:r>
    </w:p>
    <w:bookmarkEnd w:id="8"/>
    <w:bookmarkEnd w:id="9"/>
    <w:bookmarkEnd w:id="10"/>
    <w:bookmarkEnd w:id="11"/>
    <w:bookmarkEnd w:id="12"/>
    <w:bookmarkEnd w:id="13"/>
    <w:bookmarkEnd w:id="14"/>
    <w:bookmarkEnd w:id="15"/>
    <w:p w14:paraId="15DA61ED">
      <w:pPr>
        <w:numPr>
          <w:ilvl w:val="0"/>
          <w:numId w:val="0"/>
        </w:numPr>
        <w:spacing w:before="0" w:beforeLines="0" w:after="0" w:afterLines="0" w:line="360" w:lineRule="auto"/>
        <w:outlineLvl w:val="0"/>
        <w:rPr>
          <w:rFonts w:hint="eastAsia" w:ascii="宋体" w:hAnsi="宋体" w:eastAsia="宋体" w:cs="宋体"/>
          <w:b/>
          <w:color w:val="auto"/>
          <w:sz w:val="28"/>
          <w:szCs w:val="28"/>
          <w:highlight w:val="none"/>
        </w:rPr>
      </w:pPr>
      <w:bookmarkStart w:id="23" w:name="_Toc223835840"/>
      <w:bookmarkStart w:id="24" w:name="_Toc529267698"/>
      <w:bookmarkStart w:id="25" w:name="_Toc513001934"/>
      <w:bookmarkStart w:id="26" w:name="_Toc536410860"/>
      <w:bookmarkStart w:id="27" w:name="_Toc223320090"/>
      <w:bookmarkStart w:id="28" w:name="_Toc513261527"/>
      <w:r>
        <w:rPr>
          <w:rFonts w:hint="eastAsia" w:ascii="宋体" w:hAnsi="宋体" w:cs="宋体"/>
          <w:b/>
          <w:color w:val="auto"/>
          <w:sz w:val="28"/>
          <w:szCs w:val="28"/>
          <w:highlight w:val="none"/>
          <w:lang w:val="en-US" w:eastAsia="zh-CN"/>
        </w:rPr>
        <w:t>2</w:t>
      </w:r>
      <w:r>
        <w:rPr>
          <w:rFonts w:hint="eastAsia" w:ascii="宋体" w:hAnsi="宋体" w:eastAsia="宋体" w:cs="宋体"/>
          <w:b/>
          <w:color w:val="auto"/>
          <w:sz w:val="28"/>
          <w:szCs w:val="28"/>
          <w:highlight w:val="none"/>
          <w:lang w:val="en-US" w:eastAsia="zh-CN"/>
        </w:rPr>
        <w:t xml:space="preserve"> </w:t>
      </w:r>
      <w:r>
        <w:rPr>
          <w:rFonts w:hint="eastAsia" w:ascii="宋体" w:hAnsi="宋体" w:eastAsia="宋体" w:cs="宋体"/>
          <w:b/>
          <w:color w:val="auto"/>
          <w:sz w:val="28"/>
          <w:szCs w:val="28"/>
          <w:highlight w:val="none"/>
        </w:rPr>
        <w:t>工程概况</w:t>
      </w:r>
    </w:p>
    <w:p w14:paraId="5FB9D173">
      <w:pPr>
        <w:spacing w:line="360" w:lineRule="auto"/>
        <w:outlineLvl w:val="1"/>
        <w:rPr>
          <w:rFonts w:hint="eastAsia" w:ascii="宋体" w:hAnsi="宋体" w:eastAsia="宋体" w:cs="宋体"/>
          <w:b/>
          <w:bCs/>
          <w:color w:val="auto"/>
          <w:spacing w:val="5"/>
          <w:sz w:val="24"/>
          <w:szCs w:val="24"/>
          <w:highlight w:val="none"/>
        </w:rPr>
      </w:pPr>
      <w:r>
        <w:rPr>
          <w:rFonts w:hint="eastAsia" w:ascii="宋体" w:hAnsi="宋体" w:cs="宋体"/>
          <w:b/>
          <w:bCs/>
          <w:color w:val="auto"/>
          <w:spacing w:val="5"/>
          <w:sz w:val="24"/>
          <w:szCs w:val="24"/>
          <w:highlight w:val="none"/>
          <w:lang w:val="en-US" w:eastAsia="zh-CN"/>
        </w:rPr>
        <w:t>2</w:t>
      </w:r>
      <w:r>
        <w:rPr>
          <w:rFonts w:hint="eastAsia" w:ascii="宋体" w:hAnsi="宋体" w:eastAsia="宋体" w:cs="宋体"/>
          <w:b/>
          <w:bCs/>
          <w:color w:val="auto"/>
          <w:spacing w:val="5"/>
          <w:sz w:val="24"/>
          <w:szCs w:val="24"/>
          <w:highlight w:val="none"/>
        </w:rPr>
        <w:t>.1</w:t>
      </w:r>
      <w:r>
        <w:rPr>
          <w:rFonts w:hint="eastAsia" w:ascii="宋体" w:hAnsi="宋体" w:eastAsia="宋体" w:cs="宋体"/>
          <w:b/>
          <w:bCs/>
          <w:color w:val="auto"/>
          <w:spacing w:val="5"/>
          <w:sz w:val="24"/>
          <w:szCs w:val="24"/>
          <w:highlight w:val="none"/>
          <w:lang w:val="en-US" w:eastAsia="zh-CN"/>
        </w:rPr>
        <w:t xml:space="preserve"> </w:t>
      </w:r>
      <w:r>
        <w:rPr>
          <w:rFonts w:hint="eastAsia" w:ascii="宋体" w:hAnsi="宋体" w:cs="宋体"/>
          <w:b/>
          <w:bCs/>
          <w:color w:val="auto"/>
          <w:spacing w:val="5"/>
          <w:sz w:val="24"/>
          <w:szCs w:val="24"/>
          <w:highlight w:val="none"/>
        </w:rPr>
        <w:t>厂址条件及工程现状</w:t>
      </w:r>
    </w:p>
    <w:p w14:paraId="79F134C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浙江浙能</w:t>
      </w:r>
      <w:r>
        <w:rPr>
          <w:rFonts w:hint="eastAsia" w:ascii="宋体" w:hAnsi="宋体" w:eastAsia="宋体" w:cs="宋体"/>
          <w:color w:val="auto"/>
          <w:sz w:val="21"/>
          <w:szCs w:val="21"/>
          <w:highlight w:val="none"/>
        </w:rPr>
        <w:t>乐清发电有限责任公司位于温州市东北方向的乐清市南岳</w:t>
      </w:r>
      <w:r>
        <w:rPr>
          <w:rFonts w:hint="eastAsia" w:ascii="宋体" w:hAnsi="宋体" w:eastAsia="宋体" w:cs="宋体"/>
          <w:color w:val="auto"/>
          <w:sz w:val="21"/>
          <w:szCs w:val="21"/>
          <w:highlight w:val="none"/>
          <w:lang w:val="en-US" w:eastAsia="zh-CN"/>
        </w:rPr>
        <w:t>镇</w:t>
      </w:r>
      <w:r>
        <w:rPr>
          <w:rFonts w:hint="eastAsia" w:ascii="宋体" w:hAnsi="宋体" w:eastAsia="宋体" w:cs="宋体"/>
          <w:color w:val="auto"/>
          <w:sz w:val="21"/>
          <w:szCs w:val="21"/>
          <w:highlight w:val="none"/>
        </w:rPr>
        <w:t>，距温州市</w:t>
      </w:r>
      <w:r>
        <w:rPr>
          <w:rFonts w:hint="eastAsia" w:ascii="宋体" w:hAnsi="宋体" w:eastAsia="宋体" w:cs="宋体"/>
          <w:color w:val="auto"/>
          <w:sz w:val="21"/>
          <w:szCs w:val="21"/>
          <w:highlight w:val="none"/>
          <w:lang w:val="en-US" w:eastAsia="zh-CN"/>
        </w:rPr>
        <w:t>中心</w:t>
      </w:r>
      <w:r>
        <w:rPr>
          <w:rFonts w:hint="eastAsia" w:ascii="宋体" w:hAnsi="宋体" w:cs="宋体"/>
          <w:color w:val="auto"/>
          <w:sz w:val="21"/>
          <w:szCs w:val="21"/>
          <w:highlight w:val="none"/>
          <w:lang w:val="en-US" w:eastAsia="zh-CN"/>
        </w:rPr>
        <w:t>约</w:t>
      </w:r>
      <w:r>
        <w:rPr>
          <w:rFonts w:hint="eastAsia" w:ascii="宋体" w:hAnsi="宋体" w:eastAsia="宋体" w:cs="宋体"/>
          <w:color w:val="auto"/>
          <w:sz w:val="21"/>
          <w:szCs w:val="21"/>
          <w:highlight w:val="none"/>
        </w:rPr>
        <w:t>40</w:t>
      </w:r>
      <w:r>
        <w:rPr>
          <w:rFonts w:hint="eastAsia" w:ascii="宋体" w:hAnsi="宋体" w:cs="宋体"/>
          <w:color w:val="auto"/>
          <w:sz w:val="21"/>
          <w:szCs w:val="21"/>
          <w:highlight w:val="none"/>
          <w:lang w:val="en-US" w:eastAsia="zh-CN"/>
        </w:rPr>
        <w:t xml:space="preserve"> km</w:t>
      </w:r>
      <w:r>
        <w:rPr>
          <w:rFonts w:hint="eastAsia" w:ascii="宋体" w:hAnsi="宋体" w:eastAsia="宋体" w:cs="宋体"/>
          <w:color w:val="auto"/>
          <w:sz w:val="21"/>
          <w:szCs w:val="21"/>
          <w:highlight w:val="none"/>
        </w:rPr>
        <w:t>，距乐清市中心约10</w:t>
      </w:r>
      <w:r>
        <w:rPr>
          <w:rFonts w:hint="eastAsia" w:ascii="宋体" w:hAnsi="宋体" w:cs="宋体"/>
          <w:color w:val="auto"/>
          <w:sz w:val="21"/>
          <w:szCs w:val="21"/>
          <w:highlight w:val="none"/>
          <w:lang w:val="en-US" w:eastAsia="zh-CN"/>
        </w:rPr>
        <w:t xml:space="preserve"> km</w:t>
      </w:r>
      <w:r>
        <w:rPr>
          <w:rFonts w:hint="eastAsia" w:ascii="宋体" w:hAnsi="宋体" w:eastAsia="宋体" w:cs="宋体"/>
          <w:color w:val="auto"/>
          <w:sz w:val="21"/>
          <w:szCs w:val="21"/>
          <w:highlight w:val="none"/>
          <w:lang w:eastAsia="zh-CN"/>
        </w:rPr>
        <w:t>。</w:t>
      </w:r>
    </w:p>
    <w:p w14:paraId="6DCA370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浙江浙能</w:t>
      </w:r>
      <w:r>
        <w:rPr>
          <w:rFonts w:hint="eastAsia" w:ascii="宋体" w:hAnsi="宋体" w:eastAsia="宋体" w:cs="宋体"/>
          <w:color w:val="auto"/>
          <w:sz w:val="21"/>
          <w:szCs w:val="21"/>
          <w:highlight w:val="none"/>
        </w:rPr>
        <w:t>乐清发电有限责任公司</w:t>
      </w:r>
      <w:r>
        <w:rPr>
          <w:rFonts w:hint="eastAsia" w:ascii="宋体" w:hAnsi="宋体" w:eastAsia="宋体" w:cs="宋体"/>
          <w:color w:val="auto"/>
          <w:sz w:val="21"/>
          <w:szCs w:val="21"/>
          <w:highlight w:val="none"/>
          <w:lang w:val="en-US" w:eastAsia="zh-CN"/>
        </w:rPr>
        <w:t>一期工程装机容量为2</w:t>
      </w:r>
      <w:r>
        <w:rPr>
          <w:rFonts w:hint="eastAsia" w:ascii="宋体" w:hAnsi="宋体" w:eastAsia="宋体" w:cs="宋体"/>
          <w:color w:val="auto"/>
          <w:sz w:val="21"/>
          <w:szCs w:val="21"/>
          <w:highlight w:val="none"/>
        </w:rPr>
        <w:t>×660</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MW</w:t>
      </w:r>
      <w:r>
        <w:rPr>
          <w:rFonts w:hint="eastAsia" w:ascii="宋体" w:hAnsi="宋体" w:eastAsia="宋体" w:cs="宋体"/>
          <w:color w:val="auto"/>
          <w:sz w:val="21"/>
          <w:szCs w:val="21"/>
          <w:highlight w:val="none"/>
          <w:lang w:val="en-US" w:eastAsia="zh-CN"/>
        </w:rPr>
        <w:t>超</w:t>
      </w:r>
      <w:r>
        <w:rPr>
          <w:rFonts w:hint="eastAsia" w:ascii="宋体" w:hAnsi="宋体" w:eastAsia="宋体" w:cs="宋体"/>
          <w:color w:val="auto"/>
          <w:sz w:val="21"/>
          <w:szCs w:val="21"/>
          <w:highlight w:val="none"/>
        </w:rPr>
        <w:t>临界燃煤机组</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二</w:t>
      </w:r>
      <w:r>
        <w:rPr>
          <w:rFonts w:hint="eastAsia" w:ascii="宋体" w:hAnsi="宋体" w:eastAsia="宋体" w:cs="宋体"/>
          <w:color w:val="auto"/>
          <w:sz w:val="21"/>
          <w:szCs w:val="21"/>
          <w:highlight w:val="none"/>
          <w:lang w:val="en-US" w:eastAsia="zh-CN"/>
        </w:rPr>
        <w:t>期工程装机容量为2</w:t>
      </w:r>
      <w:r>
        <w:rPr>
          <w:rFonts w:hint="eastAsia" w:ascii="宋体" w:hAnsi="宋体" w:eastAsia="宋体" w:cs="宋体"/>
          <w:color w:val="auto"/>
          <w:sz w:val="21"/>
          <w:szCs w:val="21"/>
          <w:highlight w:val="none"/>
        </w:rPr>
        <w:t>×660</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MW</w:t>
      </w:r>
      <w:r>
        <w:rPr>
          <w:rFonts w:hint="eastAsia" w:ascii="宋体" w:hAnsi="宋体" w:eastAsia="宋体" w:cs="宋体"/>
          <w:color w:val="auto"/>
          <w:sz w:val="21"/>
          <w:szCs w:val="21"/>
          <w:highlight w:val="none"/>
          <w:lang w:val="en-US" w:eastAsia="zh-CN"/>
        </w:rPr>
        <w:t>超</w:t>
      </w:r>
      <w:r>
        <w:rPr>
          <w:rFonts w:hint="eastAsia" w:ascii="宋体" w:hAnsi="宋体" w:cs="宋体"/>
          <w:color w:val="auto"/>
          <w:sz w:val="21"/>
          <w:szCs w:val="21"/>
          <w:highlight w:val="none"/>
          <w:lang w:val="en-US" w:eastAsia="zh-CN"/>
        </w:rPr>
        <w:t>超</w:t>
      </w:r>
      <w:r>
        <w:rPr>
          <w:rFonts w:hint="eastAsia" w:ascii="宋体" w:hAnsi="宋体" w:eastAsia="宋体" w:cs="宋体"/>
          <w:color w:val="auto"/>
          <w:sz w:val="21"/>
          <w:szCs w:val="21"/>
          <w:highlight w:val="none"/>
        </w:rPr>
        <w:t>临界燃煤机组</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三</w:t>
      </w:r>
      <w:r>
        <w:rPr>
          <w:rFonts w:hint="eastAsia" w:ascii="宋体" w:hAnsi="宋体" w:eastAsia="宋体" w:cs="宋体"/>
          <w:color w:val="auto"/>
          <w:sz w:val="21"/>
          <w:szCs w:val="21"/>
          <w:highlight w:val="none"/>
          <w:lang w:val="en-US" w:eastAsia="zh-CN"/>
        </w:rPr>
        <w:t>期工程装机容量为2</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 xml:space="preserve">1000 </w:t>
      </w:r>
      <w:r>
        <w:rPr>
          <w:rFonts w:hint="eastAsia" w:ascii="宋体" w:hAnsi="宋体" w:eastAsia="宋体" w:cs="宋体"/>
          <w:color w:val="auto"/>
          <w:sz w:val="21"/>
          <w:szCs w:val="21"/>
          <w:highlight w:val="none"/>
        </w:rPr>
        <w:t>MW</w:t>
      </w:r>
      <w:r>
        <w:rPr>
          <w:rFonts w:hint="eastAsia" w:ascii="宋体" w:hAnsi="宋体" w:eastAsia="宋体" w:cs="宋体"/>
          <w:color w:val="auto"/>
          <w:sz w:val="21"/>
          <w:szCs w:val="21"/>
          <w:highlight w:val="none"/>
          <w:lang w:val="en-US" w:eastAsia="zh-CN"/>
        </w:rPr>
        <w:t>超</w:t>
      </w:r>
      <w:r>
        <w:rPr>
          <w:rFonts w:hint="eastAsia" w:ascii="宋体" w:hAnsi="宋体" w:cs="宋体"/>
          <w:color w:val="auto"/>
          <w:sz w:val="21"/>
          <w:szCs w:val="21"/>
          <w:highlight w:val="none"/>
          <w:lang w:val="en-US" w:eastAsia="zh-CN"/>
        </w:rPr>
        <w:t>超</w:t>
      </w:r>
      <w:r>
        <w:rPr>
          <w:rFonts w:hint="eastAsia" w:ascii="宋体" w:hAnsi="宋体" w:eastAsia="宋体" w:cs="宋体"/>
          <w:color w:val="auto"/>
          <w:sz w:val="21"/>
          <w:szCs w:val="21"/>
          <w:highlight w:val="none"/>
        </w:rPr>
        <w:t>临界燃煤机组</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 xml:space="preserve">装机总容量为4640 </w:t>
      </w:r>
      <w:r>
        <w:rPr>
          <w:rFonts w:hint="eastAsia" w:ascii="宋体" w:hAnsi="宋体" w:eastAsia="宋体" w:cs="宋体"/>
          <w:color w:val="auto"/>
          <w:sz w:val="21"/>
          <w:szCs w:val="21"/>
          <w:highlight w:val="none"/>
        </w:rPr>
        <w:t>MW</w:t>
      </w:r>
      <w:r>
        <w:rPr>
          <w:rFonts w:hint="eastAsia" w:ascii="宋体" w:hAnsi="宋体" w:cs="宋体"/>
          <w:color w:val="auto"/>
          <w:sz w:val="21"/>
          <w:szCs w:val="21"/>
          <w:highlight w:val="none"/>
          <w:lang w:eastAsia="zh-CN"/>
        </w:rPr>
        <w:t>。</w:t>
      </w:r>
    </w:p>
    <w:p w14:paraId="0B08998D">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本次改造</w:t>
      </w:r>
      <w:r>
        <w:rPr>
          <w:rFonts w:hint="eastAsia" w:ascii="宋体" w:hAnsi="宋体" w:cs="宋体"/>
          <w:b/>
          <w:bCs/>
          <w:color w:val="auto"/>
          <w:sz w:val="21"/>
          <w:szCs w:val="21"/>
          <w:highlight w:val="none"/>
          <w:lang w:val="en-US" w:eastAsia="zh-CN"/>
        </w:rPr>
        <w:t>工程</w:t>
      </w:r>
      <w:r>
        <w:rPr>
          <w:rFonts w:hint="eastAsia" w:ascii="宋体" w:hAnsi="宋体" w:eastAsia="宋体" w:cs="宋体"/>
          <w:b/>
          <w:bCs/>
          <w:color w:val="auto"/>
          <w:sz w:val="21"/>
          <w:szCs w:val="21"/>
          <w:highlight w:val="none"/>
        </w:rPr>
        <w:t>项目为</w:t>
      </w:r>
      <w:r>
        <w:rPr>
          <w:rFonts w:hint="eastAsia" w:ascii="宋体" w:hAnsi="宋体" w:cs="宋体"/>
          <w:b/>
          <w:bCs/>
          <w:color w:val="auto"/>
          <w:sz w:val="21"/>
          <w:szCs w:val="21"/>
          <w:highlight w:val="none"/>
          <w:lang w:val="en-US" w:eastAsia="zh-CN"/>
        </w:rPr>
        <w:t>1</w:t>
      </w:r>
      <w:r>
        <w:rPr>
          <w:rFonts w:hint="eastAsia" w:ascii="宋体" w:hAnsi="宋体" w:eastAsia="宋体" w:cs="宋体"/>
          <w:b/>
          <w:bCs/>
          <w:color w:val="auto"/>
          <w:sz w:val="21"/>
          <w:szCs w:val="21"/>
          <w:highlight w:val="none"/>
        </w:rPr>
        <w:t>号发变组保护改造。</w:t>
      </w:r>
    </w:p>
    <w:p w14:paraId="28EEE70D">
      <w:pPr>
        <w:spacing w:line="360" w:lineRule="auto"/>
        <w:outlineLvl w:val="1"/>
        <w:rPr>
          <w:rFonts w:hint="eastAsia" w:ascii="宋体" w:hAnsi="宋体" w:eastAsia="宋体" w:cs="宋体"/>
          <w:b/>
          <w:bCs/>
          <w:color w:val="auto"/>
          <w:spacing w:val="5"/>
          <w:sz w:val="24"/>
          <w:szCs w:val="24"/>
          <w:highlight w:val="none"/>
        </w:rPr>
      </w:pPr>
      <w:r>
        <w:rPr>
          <w:rFonts w:hint="eastAsia" w:ascii="宋体" w:hAnsi="宋体" w:eastAsia="宋体" w:cs="宋体"/>
          <w:b/>
          <w:bCs/>
          <w:color w:val="auto"/>
          <w:spacing w:val="5"/>
          <w:sz w:val="24"/>
          <w:szCs w:val="24"/>
          <w:highlight w:val="none"/>
          <w:lang w:val="en-US" w:eastAsia="zh-CN"/>
        </w:rPr>
        <w:t>2</w:t>
      </w:r>
      <w:r>
        <w:rPr>
          <w:rFonts w:hint="eastAsia" w:ascii="宋体" w:hAnsi="宋体" w:eastAsia="宋体" w:cs="宋体"/>
          <w:b/>
          <w:bCs/>
          <w:color w:val="auto"/>
          <w:spacing w:val="5"/>
          <w:sz w:val="24"/>
          <w:szCs w:val="24"/>
          <w:highlight w:val="none"/>
        </w:rPr>
        <w:t>.2 气象</w:t>
      </w:r>
      <w:r>
        <w:rPr>
          <w:rFonts w:hint="eastAsia" w:ascii="宋体" w:hAnsi="宋体" w:eastAsia="宋体" w:cs="宋体"/>
          <w:b/>
          <w:bCs/>
          <w:color w:val="auto"/>
          <w:spacing w:val="5"/>
          <w:sz w:val="24"/>
          <w:szCs w:val="24"/>
          <w:highlight w:val="none"/>
          <w:lang w:val="en-US" w:eastAsia="zh-CN"/>
        </w:rPr>
        <w:t>资料</w:t>
      </w:r>
    </w:p>
    <w:p w14:paraId="398EBEBB">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累年平均大气压：</w:t>
      </w:r>
      <w:r>
        <w:rPr>
          <w:rFonts w:hint="eastAsia" w:ascii="宋体" w:hAnsi="宋体" w:eastAsia="宋体" w:cs="宋体"/>
          <w:color w:val="auto"/>
          <w:spacing w:val="5"/>
          <w:sz w:val="21"/>
          <w:szCs w:val="21"/>
          <w:highlight w:val="none"/>
          <w:u w:val="single"/>
        </w:rPr>
        <w:t xml:space="preserve"> 1015.6 </w:t>
      </w:r>
      <w:r>
        <w:rPr>
          <w:rFonts w:hint="eastAsia" w:ascii="宋体" w:hAnsi="宋体" w:eastAsia="宋体" w:cs="宋体"/>
          <w:color w:val="auto"/>
          <w:spacing w:val="5"/>
          <w:sz w:val="21"/>
          <w:szCs w:val="21"/>
          <w:highlight w:val="none"/>
        </w:rPr>
        <w:t>hPa</w:t>
      </w:r>
    </w:p>
    <w:p w14:paraId="66244AA5">
      <w:pPr>
        <w:spacing w:line="360" w:lineRule="auto"/>
        <w:ind w:firstLine="440" w:firstLineChars="200"/>
        <w:rPr>
          <w:rFonts w:hint="eastAsia" w:ascii="宋体" w:hAnsi="宋体" w:eastAsia="宋体" w:cs="宋体"/>
          <w:color w:val="auto"/>
          <w:spacing w:val="5"/>
          <w:sz w:val="21"/>
          <w:szCs w:val="21"/>
          <w:highlight w:val="none"/>
          <w:u w:val="single"/>
        </w:rPr>
      </w:pPr>
      <w:r>
        <w:rPr>
          <w:rFonts w:hint="eastAsia" w:ascii="宋体" w:hAnsi="宋体" w:eastAsia="宋体" w:cs="宋体"/>
          <w:color w:val="auto"/>
          <w:spacing w:val="5"/>
          <w:sz w:val="21"/>
          <w:szCs w:val="21"/>
          <w:highlight w:val="none"/>
        </w:rPr>
        <w:t>累年平均气温：</w:t>
      </w:r>
      <w:r>
        <w:rPr>
          <w:rFonts w:hint="eastAsia" w:ascii="宋体" w:hAnsi="宋体" w:eastAsia="宋体" w:cs="宋体"/>
          <w:color w:val="auto"/>
          <w:spacing w:val="5"/>
          <w:sz w:val="21"/>
          <w:szCs w:val="21"/>
          <w:highlight w:val="none"/>
          <w:u w:val="single"/>
        </w:rPr>
        <w:t xml:space="preserve"> 17.7 </w:t>
      </w:r>
      <w:r>
        <w:rPr>
          <w:rFonts w:hint="eastAsia" w:ascii="宋体" w:hAnsi="宋体" w:eastAsia="宋体" w:cs="宋体"/>
          <w:color w:val="auto"/>
          <w:sz w:val="21"/>
          <w:szCs w:val="21"/>
          <w:highlight w:val="none"/>
        </w:rPr>
        <w:t>℃</w:t>
      </w:r>
    </w:p>
    <w:p w14:paraId="674F7B5A">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累年平均最高气温：</w:t>
      </w:r>
      <w:r>
        <w:rPr>
          <w:rFonts w:hint="eastAsia" w:ascii="宋体" w:hAnsi="宋体" w:eastAsia="宋体" w:cs="宋体"/>
          <w:color w:val="auto"/>
          <w:spacing w:val="5"/>
          <w:sz w:val="21"/>
          <w:szCs w:val="21"/>
          <w:highlight w:val="none"/>
          <w:u w:val="single"/>
        </w:rPr>
        <w:t xml:space="preserve"> 19.7 </w:t>
      </w:r>
      <w:r>
        <w:rPr>
          <w:rFonts w:hint="eastAsia" w:ascii="宋体" w:hAnsi="宋体" w:eastAsia="宋体" w:cs="宋体"/>
          <w:color w:val="auto"/>
          <w:sz w:val="21"/>
          <w:szCs w:val="21"/>
          <w:highlight w:val="none"/>
        </w:rPr>
        <w:t>℃</w:t>
      </w:r>
    </w:p>
    <w:p w14:paraId="1A0645EB">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累年平均最低气温：</w:t>
      </w:r>
      <w:r>
        <w:rPr>
          <w:rFonts w:hint="eastAsia" w:ascii="宋体" w:hAnsi="宋体" w:eastAsia="宋体" w:cs="宋体"/>
          <w:color w:val="auto"/>
          <w:spacing w:val="5"/>
          <w:sz w:val="21"/>
          <w:szCs w:val="21"/>
          <w:highlight w:val="none"/>
          <w:u w:val="single"/>
        </w:rPr>
        <w:t xml:space="preserve"> 14.4 </w:t>
      </w:r>
      <w:r>
        <w:rPr>
          <w:rFonts w:hint="eastAsia" w:ascii="宋体" w:hAnsi="宋体" w:eastAsia="宋体" w:cs="宋体"/>
          <w:color w:val="auto"/>
          <w:sz w:val="21"/>
          <w:szCs w:val="21"/>
          <w:highlight w:val="none"/>
        </w:rPr>
        <w:t>℃</w:t>
      </w:r>
    </w:p>
    <w:p w14:paraId="2BC3A727">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极端最高气温：</w:t>
      </w:r>
      <w:r>
        <w:rPr>
          <w:rFonts w:hint="eastAsia" w:ascii="宋体" w:hAnsi="宋体" w:eastAsia="宋体" w:cs="宋体"/>
          <w:color w:val="auto"/>
          <w:spacing w:val="5"/>
          <w:sz w:val="21"/>
          <w:szCs w:val="21"/>
          <w:highlight w:val="none"/>
          <w:u w:val="single"/>
        </w:rPr>
        <w:t xml:space="preserve"> 36.6 </w:t>
      </w:r>
      <w:r>
        <w:rPr>
          <w:rFonts w:hint="eastAsia" w:ascii="宋体" w:hAnsi="宋体" w:eastAsia="宋体" w:cs="宋体"/>
          <w:color w:val="auto"/>
          <w:sz w:val="21"/>
          <w:szCs w:val="21"/>
          <w:highlight w:val="none"/>
        </w:rPr>
        <w:t>℃</w:t>
      </w:r>
    </w:p>
    <w:p w14:paraId="6A5DC77E">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极端最低气温：</w:t>
      </w:r>
      <w:r>
        <w:rPr>
          <w:rFonts w:hint="eastAsia" w:ascii="宋体" w:hAnsi="宋体" w:eastAsia="宋体" w:cs="宋体"/>
          <w:color w:val="auto"/>
          <w:spacing w:val="5"/>
          <w:sz w:val="21"/>
          <w:szCs w:val="21"/>
          <w:highlight w:val="none"/>
          <w:u w:val="single"/>
        </w:rPr>
        <w:t xml:space="preserve"> -5.8 </w:t>
      </w:r>
      <w:r>
        <w:rPr>
          <w:rFonts w:hint="eastAsia" w:ascii="宋体" w:hAnsi="宋体" w:eastAsia="宋体" w:cs="宋体"/>
          <w:color w:val="auto"/>
          <w:sz w:val="21"/>
          <w:szCs w:val="21"/>
          <w:highlight w:val="none"/>
        </w:rPr>
        <w:t>℃</w:t>
      </w:r>
    </w:p>
    <w:p w14:paraId="11EBD871">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最热月（8月）平均气温：</w:t>
      </w:r>
      <w:r>
        <w:rPr>
          <w:rFonts w:hint="eastAsia" w:ascii="宋体" w:hAnsi="宋体" w:eastAsia="宋体" w:cs="宋体"/>
          <w:color w:val="auto"/>
          <w:spacing w:val="5"/>
          <w:sz w:val="21"/>
          <w:szCs w:val="21"/>
          <w:highlight w:val="none"/>
          <w:u w:val="single"/>
        </w:rPr>
        <w:t xml:space="preserve"> 29.1 </w:t>
      </w:r>
      <w:r>
        <w:rPr>
          <w:rFonts w:hint="eastAsia" w:ascii="宋体" w:hAnsi="宋体" w:eastAsia="宋体" w:cs="宋体"/>
          <w:color w:val="auto"/>
          <w:sz w:val="21"/>
          <w:szCs w:val="21"/>
          <w:highlight w:val="none"/>
        </w:rPr>
        <w:t>℃</w:t>
      </w:r>
    </w:p>
    <w:p w14:paraId="19D0C0DC">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最冷月（1月）平均气温：</w:t>
      </w:r>
      <w:r>
        <w:rPr>
          <w:rFonts w:hint="eastAsia" w:ascii="宋体" w:hAnsi="宋体" w:eastAsia="宋体" w:cs="宋体"/>
          <w:color w:val="auto"/>
          <w:spacing w:val="5"/>
          <w:sz w:val="21"/>
          <w:szCs w:val="21"/>
          <w:highlight w:val="none"/>
          <w:u w:val="single"/>
        </w:rPr>
        <w:t xml:space="preserve"> 4.0 </w:t>
      </w:r>
      <w:r>
        <w:rPr>
          <w:rFonts w:hint="eastAsia" w:ascii="宋体" w:hAnsi="宋体" w:eastAsia="宋体" w:cs="宋体"/>
          <w:color w:val="auto"/>
          <w:sz w:val="21"/>
          <w:szCs w:val="21"/>
          <w:highlight w:val="none"/>
        </w:rPr>
        <w:t>℃</w:t>
      </w:r>
    </w:p>
    <w:p w14:paraId="2894DA35">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累年平均降水量：</w:t>
      </w:r>
      <w:r>
        <w:rPr>
          <w:rFonts w:hint="eastAsia" w:ascii="宋体" w:hAnsi="宋体" w:eastAsia="宋体" w:cs="宋体"/>
          <w:color w:val="auto"/>
          <w:spacing w:val="5"/>
          <w:sz w:val="21"/>
          <w:szCs w:val="21"/>
          <w:highlight w:val="none"/>
          <w:u w:val="single"/>
        </w:rPr>
        <w:t xml:space="preserve"> 1535.9 </w:t>
      </w:r>
      <w:r>
        <w:rPr>
          <w:rFonts w:hint="eastAsia" w:ascii="宋体" w:hAnsi="宋体" w:eastAsia="宋体" w:cs="宋体"/>
          <w:color w:val="auto"/>
          <w:spacing w:val="5"/>
          <w:sz w:val="21"/>
          <w:szCs w:val="21"/>
          <w:highlight w:val="none"/>
        </w:rPr>
        <w:t>mm</w:t>
      </w:r>
    </w:p>
    <w:p w14:paraId="2D2B8978">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累年最大年降水量：</w:t>
      </w:r>
      <w:r>
        <w:rPr>
          <w:rFonts w:hint="eastAsia" w:ascii="宋体" w:hAnsi="宋体" w:eastAsia="宋体" w:cs="宋体"/>
          <w:color w:val="auto"/>
          <w:spacing w:val="5"/>
          <w:sz w:val="21"/>
          <w:szCs w:val="21"/>
          <w:highlight w:val="none"/>
          <w:u w:val="single"/>
        </w:rPr>
        <w:t xml:space="preserve"> 1752.4 </w:t>
      </w:r>
      <w:r>
        <w:rPr>
          <w:rFonts w:hint="eastAsia" w:ascii="宋体" w:hAnsi="宋体" w:eastAsia="宋体" w:cs="宋体"/>
          <w:color w:val="auto"/>
          <w:spacing w:val="5"/>
          <w:sz w:val="21"/>
          <w:szCs w:val="21"/>
          <w:highlight w:val="none"/>
        </w:rPr>
        <w:t>mm</w:t>
      </w:r>
    </w:p>
    <w:p w14:paraId="0353AEDD">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累年最小年降水量：</w:t>
      </w:r>
      <w:r>
        <w:rPr>
          <w:rFonts w:hint="eastAsia" w:ascii="宋体" w:hAnsi="宋体" w:eastAsia="宋体" w:cs="宋体"/>
          <w:color w:val="auto"/>
          <w:spacing w:val="5"/>
          <w:sz w:val="21"/>
          <w:szCs w:val="21"/>
          <w:highlight w:val="none"/>
          <w:u w:val="single"/>
        </w:rPr>
        <w:t xml:space="preserve"> 648 </w:t>
      </w:r>
      <w:r>
        <w:rPr>
          <w:rFonts w:hint="eastAsia" w:ascii="宋体" w:hAnsi="宋体" w:eastAsia="宋体" w:cs="宋体"/>
          <w:color w:val="auto"/>
          <w:spacing w:val="5"/>
          <w:sz w:val="21"/>
          <w:szCs w:val="21"/>
          <w:highlight w:val="none"/>
        </w:rPr>
        <w:t>mm</w:t>
      </w:r>
    </w:p>
    <w:p w14:paraId="55D053FE">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最大24小时降水量：</w:t>
      </w:r>
      <w:r>
        <w:rPr>
          <w:rFonts w:hint="eastAsia" w:ascii="宋体" w:hAnsi="宋体" w:eastAsia="宋体" w:cs="宋体"/>
          <w:color w:val="auto"/>
          <w:spacing w:val="5"/>
          <w:sz w:val="21"/>
          <w:szCs w:val="21"/>
          <w:highlight w:val="none"/>
          <w:u w:val="single"/>
        </w:rPr>
        <w:t xml:space="preserve"> 446.7 </w:t>
      </w:r>
      <w:r>
        <w:rPr>
          <w:rFonts w:hint="eastAsia" w:ascii="宋体" w:hAnsi="宋体" w:eastAsia="宋体" w:cs="宋体"/>
          <w:color w:val="auto"/>
          <w:spacing w:val="5"/>
          <w:sz w:val="21"/>
          <w:szCs w:val="21"/>
          <w:highlight w:val="none"/>
        </w:rPr>
        <w:t>mm</w:t>
      </w:r>
    </w:p>
    <w:p w14:paraId="5FEA8B06">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最大1小时降水量：</w:t>
      </w:r>
      <w:r>
        <w:rPr>
          <w:rFonts w:hint="eastAsia" w:ascii="宋体" w:hAnsi="宋体" w:eastAsia="宋体" w:cs="宋体"/>
          <w:color w:val="auto"/>
          <w:spacing w:val="5"/>
          <w:sz w:val="21"/>
          <w:szCs w:val="21"/>
          <w:highlight w:val="none"/>
          <w:u w:val="single"/>
        </w:rPr>
        <w:t xml:space="preserve"> 104.8 </w:t>
      </w:r>
      <w:r>
        <w:rPr>
          <w:rFonts w:hint="eastAsia" w:ascii="宋体" w:hAnsi="宋体" w:eastAsia="宋体" w:cs="宋体"/>
          <w:color w:val="auto"/>
          <w:spacing w:val="5"/>
          <w:sz w:val="21"/>
          <w:szCs w:val="21"/>
          <w:highlight w:val="none"/>
        </w:rPr>
        <w:t>mm</w:t>
      </w:r>
    </w:p>
    <w:p w14:paraId="3C50A502">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累年历时最长一次降水过程：</w:t>
      </w:r>
      <w:r>
        <w:rPr>
          <w:rFonts w:hint="eastAsia" w:ascii="宋体" w:hAnsi="宋体" w:eastAsia="宋体" w:cs="宋体"/>
          <w:color w:val="auto"/>
          <w:spacing w:val="5"/>
          <w:sz w:val="21"/>
          <w:szCs w:val="21"/>
          <w:highlight w:val="none"/>
          <w:u w:val="single"/>
        </w:rPr>
        <w:t xml:space="preserve"> 23 </w:t>
      </w:r>
      <w:r>
        <w:rPr>
          <w:rFonts w:hint="eastAsia" w:ascii="宋体" w:hAnsi="宋体" w:eastAsia="宋体" w:cs="宋体"/>
          <w:color w:val="auto"/>
          <w:spacing w:val="5"/>
          <w:sz w:val="21"/>
          <w:szCs w:val="21"/>
          <w:highlight w:val="none"/>
        </w:rPr>
        <w:t>d</w:t>
      </w:r>
    </w:p>
    <w:p w14:paraId="32ACCEE5">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累年平均蒸发量：</w:t>
      </w:r>
      <w:r>
        <w:rPr>
          <w:rFonts w:hint="eastAsia" w:ascii="宋体" w:hAnsi="宋体" w:eastAsia="宋体" w:cs="宋体"/>
          <w:color w:val="auto"/>
          <w:spacing w:val="5"/>
          <w:sz w:val="21"/>
          <w:szCs w:val="21"/>
          <w:highlight w:val="none"/>
          <w:u w:val="single"/>
        </w:rPr>
        <w:t xml:space="preserve"> 1263.3 </w:t>
      </w:r>
      <w:r>
        <w:rPr>
          <w:rFonts w:hint="eastAsia" w:ascii="宋体" w:hAnsi="宋体" w:eastAsia="宋体" w:cs="宋体"/>
          <w:color w:val="auto"/>
          <w:spacing w:val="5"/>
          <w:sz w:val="21"/>
          <w:szCs w:val="21"/>
          <w:highlight w:val="none"/>
        </w:rPr>
        <w:t>mm</w:t>
      </w:r>
    </w:p>
    <w:p w14:paraId="58BABD6B">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累年平均相对湿度：</w:t>
      </w:r>
      <w:r>
        <w:rPr>
          <w:rFonts w:hint="eastAsia" w:ascii="宋体" w:hAnsi="宋体" w:eastAsia="宋体" w:cs="宋体"/>
          <w:color w:val="auto"/>
          <w:spacing w:val="5"/>
          <w:sz w:val="21"/>
          <w:szCs w:val="21"/>
          <w:highlight w:val="none"/>
          <w:u w:val="single"/>
        </w:rPr>
        <w:t xml:space="preserve"> 81 </w:t>
      </w:r>
      <w:r>
        <w:rPr>
          <w:rFonts w:hint="eastAsia" w:ascii="宋体" w:hAnsi="宋体" w:eastAsia="宋体" w:cs="宋体"/>
          <w:color w:val="auto"/>
          <w:spacing w:val="5"/>
          <w:sz w:val="21"/>
          <w:szCs w:val="21"/>
          <w:highlight w:val="none"/>
          <w:lang w:eastAsia="zh-CN"/>
        </w:rPr>
        <w:t>％</w:t>
      </w:r>
    </w:p>
    <w:p w14:paraId="3FB3710B">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累年平均水汽压：</w:t>
      </w:r>
      <w:r>
        <w:rPr>
          <w:rFonts w:hint="eastAsia" w:ascii="宋体" w:hAnsi="宋体" w:eastAsia="宋体" w:cs="宋体"/>
          <w:color w:val="auto"/>
          <w:spacing w:val="5"/>
          <w:sz w:val="21"/>
          <w:szCs w:val="21"/>
          <w:highlight w:val="none"/>
          <w:u w:val="single"/>
        </w:rPr>
        <w:t xml:space="preserve"> 18.4 </w:t>
      </w:r>
      <w:r>
        <w:rPr>
          <w:rFonts w:hint="eastAsia" w:ascii="宋体" w:hAnsi="宋体" w:eastAsia="宋体" w:cs="宋体"/>
          <w:color w:val="auto"/>
          <w:spacing w:val="5"/>
          <w:sz w:val="21"/>
          <w:szCs w:val="21"/>
          <w:highlight w:val="none"/>
        </w:rPr>
        <w:t>hPa</w:t>
      </w:r>
    </w:p>
    <w:p w14:paraId="3CD8C1E4">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累年平均年雷暴日数：</w:t>
      </w:r>
      <w:r>
        <w:rPr>
          <w:rFonts w:hint="eastAsia" w:ascii="宋体" w:hAnsi="宋体" w:eastAsia="宋体" w:cs="宋体"/>
          <w:color w:val="auto"/>
          <w:spacing w:val="5"/>
          <w:sz w:val="21"/>
          <w:szCs w:val="21"/>
          <w:highlight w:val="none"/>
          <w:u w:val="single"/>
        </w:rPr>
        <w:t xml:space="preserve"> 43.1 </w:t>
      </w:r>
      <w:r>
        <w:rPr>
          <w:rFonts w:hint="eastAsia" w:ascii="宋体" w:hAnsi="宋体" w:eastAsia="宋体" w:cs="宋体"/>
          <w:color w:val="auto"/>
          <w:spacing w:val="5"/>
          <w:sz w:val="21"/>
          <w:szCs w:val="21"/>
          <w:highlight w:val="none"/>
        </w:rPr>
        <w:t>d</w:t>
      </w:r>
    </w:p>
    <w:p w14:paraId="0D9B2CB3">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累年最多年雷暴日数：</w:t>
      </w:r>
      <w:r>
        <w:rPr>
          <w:rFonts w:hint="eastAsia" w:ascii="宋体" w:hAnsi="宋体" w:eastAsia="宋体" w:cs="宋体"/>
          <w:color w:val="auto"/>
          <w:spacing w:val="5"/>
          <w:sz w:val="21"/>
          <w:szCs w:val="21"/>
          <w:highlight w:val="none"/>
          <w:u w:val="single"/>
        </w:rPr>
        <w:t xml:space="preserve"> 58 </w:t>
      </w:r>
      <w:r>
        <w:rPr>
          <w:rFonts w:hint="eastAsia" w:ascii="宋体" w:hAnsi="宋体" w:eastAsia="宋体" w:cs="宋体"/>
          <w:color w:val="auto"/>
          <w:spacing w:val="5"/>
          <w:sz w:val="21"/>
          <w:szCs w:val="21"/>
          <w:highlight w:val="none"/>
        </w:rPr>
        <w:t>d</w:t>
      </w:r>
    </w:p>
    <w:p w14:paraId="30C71299">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累年平均年雾日数：</w:t>
      </w:r>
      <w:r>
        <w:rPr>
          <w:rFonts w:hint="eastAsia" w:ascii="宋体" w:hAnsi="宋体" w:eastAsia="宋体" w:cs="宋体"/>
          <w:color w:val="auto"/>
          <w:spacing w:val="5"/>
          <w:sz w:val="21"/>
          <w:szCs w:val="21"/>
          <w:highlight w:val="none"/>
          <w:u w:val="single"/>
        </w:rPr>
        <w:t xml:space="preserve"> 19.6 </w:t>
      </w:r>
      <w:r>
        <w:rPr>
          <w:rFonts w:hint="eastAsia" w:ascii="宋体" w:hAnsi="宋体" w:eastAsia="宋体" w:cs="宋体"/>
          <w:color w:val="auto"/>
          <w:spacing w:val="5"/>
          <w:sz w:val="21"/>
          <w:szCs w:val="21"/>
          <w:highlight w:val="none"/>
        </w:rPr>
        <w:t>d</w:t>
      </w:r>
    </w:p>
    <w:p w14:paraId="047896C9">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累年最大积雪深度：</w:t>
      </w:r>
      <w:r>
        <w:rPr>
          <w:rFonts w:hint="eastAsia" w:ascii="宋体" w:hAnsi="宋体" w:eastAsia="宋体" w:cs="宋体"/>
          <w:color w:val="auto"/>
          <w:spacing w:val="5"/>
          <w:sz w:val="21"/>
          <w:szCs w:val="21"/>
          <w:highlight w:val="none"/>
          <w:u w:val="single"/>
        </w:rPr>
        <w:t xml:space="preserve"> 120 </w:t>
      </w:r>
      <w:r>
        <w:rPr>
          <w:rFonts w:hint="eastAsia" w:ascii="宋体" w:hAnsi="宋体" w:eastAsia="宋体" w:cs="宋体"/>
          <w:color w:val="auto"/>
          <w:spacing w:val="5"/>
          <w:sz w:val="21"/>
          <w:szCs w:val="21"/>
          <w:highlight w:val="none"/>
        </w:rPr>
        <w:t>mm</w:t>
      </w:r>
    </w:p>
    <w:p w14:paraId="40B9948E">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累年平均风速：</w:t>
      </w:r>
      <w:r>
        <w:rPr>
          <w:rFonts w:hint="eastAsia" w:ascii="宋体" w:hAnsi="宋体" w:eastAsia="宋体" w:cs="宋体"/>
          <w:color w:val="auto"/>
          <w:spacing w:val="5"/>
          <w:sz w:val="21"/>
          <w:szCs w:val="21"/>
          <w:highlight w:val="none"/>
          <w:u w:val="single"/>
        </w:rPr>
        <w:t xml:space="preserve"> 1.94 </w:t>
      </w:r>
      <w:r>
        <w:rPr>
          <w:rFonts w:hint="eastAsia" w:ascii="宋体" w:hAnsi="宋体" w:eastAsia="宋体" w:cs="宋体"/>
          <w:color w:val="auto"/>
          <w:spacing w:val="5"/>
          <w:sz w:val="21"/>
          <w:szCs w:val="21"/>
          <w:highlight w:val="none"/>
        </w:rPr>
        <w:t>m/s</w:t>
      </w:r>
    </w:p>
    <w:p w14:paraId="14FD47BE">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累年最大风速：</w:t>
      </w:r>
      <w:r>
        <w:rPr>
          <w:rFonts w:hint="eastAsia" w:ascii="宋体" w:hAnsi="宋体" w:eastAsia="宋体" w:cs="宋体"/>
          <w:color w:val="auto"/>
          <w:spacing w:val="5"/>
          <w:sz w:val="21"/>
          <w:szCs w:val="21"/>
          <w:highlight w:val="none"/>
          <w:u w:val="single"/>
        </w:rPr>
        <w:t xml:space="preserve"> 38 </w:t>
      </w:r>
      <w:r>
        <w:rPr>
          <w:rFonts w:hint="eastAsia" w:ascii="宋体" w:hAnsi="宋体" w:eastAsia="宋体" w:cs="宋体"/>
          <w:color w:val="auto"/>
          <w:spacing w:val="5"/>
          <w:sz w:val="21"/>
          <w:szCs w:val="21"/>
          <w:highlight w:val="none"/>
        </w:rPr>
        <w:t>m/s</w:t>
      </w:r>
    </w:p>
    <w:p w14:paraId="6B37B2C3">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风向：</w:t>
      </w:r>
    </w:p>
    <w:p w14:paraId="2400C735">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全年主导风向：</w:t>
      </w:r>
      <w:r>
        <w:rPr>
          <w:rFonts w:hint="eastAsia" w:ascii="宋体" w:hAnsi="宋体" w:eastAsia="宋体" w:cs="宋体"/>
          <w:color w:val="auto"/>
          <w:spacing w:val="5"/>
          <w:sz w:val="21"/>
          <w:szCs w:val="21"/>
          <w:highlight w:val="none"/>
          <w:u w:val="single"/>
        </w:rPr>
        <w:t xml:space="preserve"> ESE（15</w:t>
      </w:r>
      <w:r>
        <w:rPr>
          <w:rFonts w:hint="eastAsia" w:ascii="宋体" w:hAnsi="宋体" w:eastAsia="宋体" w:cs="宋体"/>
          <w:color w:val="auto"/>
          <w:spacing w:val="5"/>
          <w:sz w:val="21"/>
          <w:szCs w:val="21"/>
          <w:highlight w:val="none"/>
          <w:u w:val="single"/>
          <w:lang w:eastAsia="zh-CN"/>
        </w:rPr>
        <w:t>％</w:t>
      </w:r>
      <w:r>
        <w:rPr>
          <w:rFonts w:hint="eastAsia" w:ascii="宋体" w:hAnsi="宋体" w:eastAsia="宋体" w:cs="宋体"/>
          <w:color w:val="auto"/>
          <w:spacing w:val="5"/>
          <w:sz w:val="21"/>
          <w:szCs w:val="21"/>
          <w:highlight w:val="none"/>
          <w:u w:val="single"/>
        </w:rPr>
        <w:t>）</w:t>
      </w:r>
    </w:p>
    <w:p w14:paraId="70404C4F">
      <w:pPr>
        <w:spacing w:line="360" w:lineRule="auto"/>
        <w:ind w:firstLine="440" w:firstLineChars="200"/>
        <w:rPr>
          <w:rFonts w:hint="eastAsia" w:ascii="宋体" w:hAnsi="宋体" w:eastAsia="宋体" w:cs="宋体"/>
          <w:color w:val="auto"/>
          <w:spacing w:val="5"/>
          <w:sz w:val="21"/>
          <w:szCs w:val="21"/>
          <w:highlight w:val="none"/>
          <w:u w:val="single"/>
        </w:rPr>
      </w:pPr>
      <w:r>
        <w:rPr>
          <w:rFonts w:hint="eastAsia" w:ascii="宋体" w:hAnsi="宋体" w:eastAsia="宋体" w:cs="宋体"/>
          <w:color w:val="auto"/>
          <w:spacing w:val="5"/>
          <w:sz w:val="21"/>
          <w:szCs w:val="21"/>
          <w:highlight w:val="none"/>
        </w:rPr>
        <w:t>夏季主导风向：</w:t>
      </w:r>
      <w:r>
        <w:rPr>
          <w:rFonts w:hint="eastAsia" w:ascii="宋体" w:hAnsi="宋体" w:eastAsia="宋体" w:cs="宋体"/>
          <w:color w:val="auto"/>
          <w:spacing w:val="5"/>
          <w:sz w:val="21"/>
          <w:szCs w:val="21"/>
          <w:highlight w:val="none"/>
          <w:u w:val="single"/>
        </w:rPr>
        <w:t xml:space="preserve"> E </w:t>
      </w:r>
    </w:p>
    <w:p w14:paraId="7D0B36FB">
      <w:pPr>
        <w:spacing w:line="360" w:lineRule="auto"/>
        <w:ind w:firstLine="440"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冬季主导风向：</w:t>
      </w:r>
      <w:r>
        <w:rPr>
          <w:rFonts w:hint="eastAsia" w:ascii="宋体" w:hAnsi="宋体" w:eastAsia="宋体" w:cs="宋体"/>
          <w:color w:val="auto"/>
          <w:spacing w:val="5"/>
          <w:sz w:val="21"/>
          <w:szCs w:val="21"/>
          <w:highlight w:val="none"/>
          <w:u w:val="single"/>
        </w:rPr>
        <w:t xml:space="preserve"> NW </w:t>
      </w:r>
    </w:p>
    <w:p w14:paraId="1CB4D163">
      <w:pPr>
        <w:spacing w:line="360" w:lineRule="auto"/>
        <w:outlineLvl w:val="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2.3 正常使用条件</w:t>
      </w:r>
    </w:p>
    <w:p w14:paraId="06338145">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海拔高度：</w:t>
      </w:r>
      <w:r>
        <w:rPr>
          <w:rFonts w:hint="eastAsia" w:ascii="宋体" w:hAnsi="宋体" w:eastAsia="宋体" w:cs="宋体"/>
          <w:color w:val="auto"/>
          <w:spacing w:val="5"/>
          <w:sz w:val="21"/>
          <w:szCs w:val="21"/>
          <w:highlight w:val="none"/>
          <w:u w:val="single"/>
          <w:lang w:val="en-US" w:eastAsia="zh-CN"/>
        </w:rPr>
        <w:t xml:space="preserve"> </w:t>
      </w:r>
      <w:r>
        <w:rPr>
          <w:rFonts w:hint="eastAsia" w:ascii="宋体" w:hAnsi="宋体" w:eastAsia="宋体" w:cs="宋体"/>
          <w:color w:val="auto"/>
          <w:spacing w:val="5"/>
          <w:sz w:val="21"/>
          <w:szCs w:val="21"/>
          <w:highlight w:val="none"/>
          <w:u w:val="single"/>
        </w:rPr>
        <w:t>&lt;100</w:t>
      </w:r>
      <w:r>
        <w:rPr>
          <w:rFonts w:hint="eastAsia" w:ascii="宋体" w:hAnsi="宋体" w:eastAsia="宋体" w:cs="宋体"/>
          <w:color w:val="auto"/>
          <w:spacing w:val="5"/>
          <w:sz w:val="21"/>
          <w:szCs w:val="21"/>
          <w:highlight w:val="none"/>
          <w:u w:val="single"/>
          <w:lang w:val="en-US" w:eastAsia="zh-CN"/>
        </w:rPr>
        <w:t xml:space="preserve"> </w:t>
      </w:r>
      <w:r>
        <w:rPr>
          <w:rFonts w:hint="eastAsia" w:ascii="宋体" w:hAnsi="宋体" w:eastAsia="宋体" w:cs="宋体"/>
          <w:color w:val="auto"/>
          <w:spacing w:val="5"/>
          <w:sz w:val="21"/>
          <w:szCs w:val="21"/>
          <w:highlight w:val="none"/>
        </w:rPr>
        <w:t>m</w:t>
      </w:r>
    </w:p>
    <w:p w14:paraId="40CFD399">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最高气温：</w:t>
      </w:r>
      <w:r>
        <w:rPr>
          <w:rFonts w:hint="eastAsia" w:ascii="宋体" w:hAnsi="宋体" w:eastAsia="宋体" w:cs="宋体"/>
          <w:color w:val="auto"/>
          <w:spacing w:val="5"/>
          <w:sz w:val="21"/>
          <w:szCs w:val="21"/>
          <w:highlight w:val="none"/>
          <w:u w:val="single"/>
          <w:lang w:val="en-US" w:eastAsia="zh-CN"/>
        </w:rPr>
        <w:t xml:space="preserve"> </w:t>
      </w:r>
      <w:r>
        <w:rPr>
          <w:rFonts w:hint="eastAsia" w:ascii="宋体" w:hAnsi="宋体" w:eastAsia="宋体" w:cs="宋体"/>
          <w:color w:val="auto"/>
          <w:spacing w:val="5"/>
          <w:sz w:val="21"/>
          <w:szCs w:val="21"/>
          <w:highlight w:val="none"/>
          <w:u w:val="single"/>
        </w:rPr>
        <w:t>36.6</w:t>
      </w:r>
      <w:r>
        <w:rPr>
          <w:rFonts w:hint="eastAsia" w:ascii="宋体" w:hAnsi="宋体" w:eastAsia="宋体" w:cs="宋体"/>
          <w:color w:val="auto"/>
          <w:spacing w:val="5"/>
          <w:sz w:val="21"/>
          <w:szCs w:val="21"/>
          <w:highlight w:val="none"/>
          <w:u w:val="single"/>
          <w:lang w:val="en-US" w:eastAsia="zh-CN"/>
        </w:rPr>
        <w:t xml:space="preserve"> </w:t>
      </w:r>
      <w:r>
        <w:rPr>
          <w:rFonts w:hint="eastAsia" w:ascii="宋体" w:hAnsi="宋体" w:eastAsia="宋体" w:cs="宋体"/>
          <w:color w:val="auto"/>
          <w:spacing w:val="5"/>
          <w:sz w:val="21"/>
          <w:szCs w:val="21"/>
          <w:highlight w:val="none"/>
          <w:u w:val="none"/>
        </w:rPr>
        <w:t>℃</w:t>
      </w:r>
    </w:p>
    <w:p w14:paraId="3D4707A2">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最低气温：</w:t>
      </w:r>
      <w:r>
        <w:rPr>
          <w:rFonts w:hint="eastAsia" w:ascii="宋体" w:hAnsi="宋体" w:eastAsia="宋体" w:cs="宋体"/>
          <w:color w:val="auto"/>
          <w:spacing w:val="5"/>
          <w:sz w:val="21"/>
          <w:szCs w:val="21"/>
          <w:highlight w:val="none"/>
          <w:u w:val="single"/>
          <w:lang w:val="en-US" w:eastAsia="zh-CN"/>
        </w:rPr>
        <w:t xml:space="preserve"> </w:t>
      </w:r>
      <w:r>
        <w:rPr>
          <w:rFonts w:hint="eastAsia" w:ascii="宋体" w:hAnsi="宋体" w:eastAsia="宋体" w:cs="宋体"/>
          <w:color w:val="auto"/>
          <w:spacing w:val="5"/>
          <w:sz w:val="21"/>
          <w:szCs w:val="21"/>
          <w:highlight w:val="none"/>
          <w:u w:val="single"/>
        </w:rPr>
        <w:t>-5.8</w:t>
      </w:r>
      <w:r>
        <w:rPr>
          <w:rFonts w:hint="eastAsia" w:ascii="宋体" w:hAnsi="宋体" w:eastAsia="宋体" w:cs="宋体"/>
          <w:color w:val="auto"/>
          <w:spacing w:val="5"/>
          <w:sz w:val="21"/>
          <w:szCs w:val="21"/>
          <w:highlight w:val="none"/>
          <w:u w:val="single"/>
          <w:lang w:val="en-US" w:eastAsia="zh-CN"/>
        </w:rPr>
        <w:t xml:space="preserve"> </w:t>
      </w:r>
      <w:r>
        <w:rPr>
          <w:rFonts w:hint="eastAsia" w:ascii="宋体" w:hAnsi="宋体" w:eastAsia="宋体" w:cs="宋体"/>
          <w:color w:val="auto"/>
          <w:spacing w:val="5"/>
          <w:sz w:val="21"/>
          <w:szCs w:val="21"/>
          <w:highlight w:val="none"/>
          <w:u w:val="none"/>
        </w:rPr>
        <w:t>℃</w:t>
      </w:r>
    </w:p>
    <w:p w14:paraId="7E2A8236">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最大日温差</w:t>
      </w:r>
      <w:r>
        <w:rPr>
          <w:rFonts w:hint="eastAsia" w:ascii="宋体" w:hAnsi="宋体" w:eastAsia="宋体" w:cs="宋体"/>
          <w:color w:val="auto"/>
          <w:spacing w:val="5"/>
          <w:sz w:val="21"/>
          <w:szCs w:val="21"/>
          <w:highlight w:val="none"/>
          <w:lang w:eastAsia="zh-CN"/>
        </w:rPr>
        <w:t>：</w:t>
      </w:r>
      <w:r>
        <w:rPr>
          <w:rFonts w:hint="eastAsia" w:ascii="宋体" w:hAnsi="宋体" w:eastAsia="宋体" w:cs="宋体"/>
          <w:color w:val="auto"/>
          <w:spacing w:val="5"/>
          <w:sz w:val="21"/>
          <w:szCs w:val="21"/>
          <w:highlight w:val="none"/>
          <w:u w:val="single"/>
          <w:lang w:val="en-US" w:eastAsia="zh-CN"/>
        </w:rPr>
        <w:t xml:space="preserve"> </w:t>
      </w:r>
      <w:r>
        <w:rPr>
          <w:rFonts w:hint="eastAsia" w:ascii="宋体" w:hAnsi="宋体" w:eastAsia="宋体" w:cs="宋体"/>
          <w:color w:val="auto"/>
          <w:spacing w:val="5"/>
          <w:sz w:val="21"/>
          <w:szCs w:val="21"/>
          <w:highlight w:val="none"/>
          <w:u w:val="single"/>
        </w:rPr>
        <w:t>25</w:t>
      </w:r>
      <w:r>
        <w:rPr>
          <w:rFonts w:hint="eastAsia" w:ascii="宋体" w:hAnsi="宋体" w:eastAsia="宋体" w:cs="宋体"/>
          <w:color w:val="auto"/>
          <w:spacing w:val="5"/>
          <w:sz w:val="21"/>
          <w:szCs w:val="21"/>
          <w:highlight w:val="none"/>
          <w:u w:val="single"/>
          <w:lang w:val="en-US" w:eastAsia="zh-CN"/>
        </w:rPr>
        <w:t xml:space="preserve"> </w:t>
      </w:r>
      <w:r>
        <w:rPr>
          <w:rFonts w:hint="eastAsia" w:ascii="宋体" w:hAnsi="宋体" w:eastAsia="宋体" w:cs="宋体"/>
          <w:color w:val="auto"/>
          <w:spacing w:val="5"/>
          <w:sz w:val="21"/>
          <w:szCs w:val="21"/>
          <w:highlight w:val="none"/>
          <w:u w:val="none"/>
        </w:rPr>
        <w:t>K</w:t>
      </w:r>
    </w:p>
    <w:p w14:paraId="09E4FBFC">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耐地震能力按7度设防（正弦三个周波，安全系数1.67以上）</w:t>
      </w:r>
    </w:p>
    <w:p w14:paraId="010BEAA5">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地面水平加速度：</w:t>
      </w:r>
      <w:r>
        <w:rPr>
          <w:rFonts w:hint="eastAsia" w:ascii="宋体" w:hAnsi="宋体" w:eastAsia="宋体" w:cs="宋体"/>
          <w:color w:val="auto"/>
          <w:spacing w:val="5"/>
          <w:sz w:val="21"/>
          <w:szCs w:val="21"/>
          <w:highlight w:val="none"/>
          <w:u w:val="single"/>
          <w:lang w:val="en-US" w:eastAsia="zh-CN"/>
        </w:rPr>
        <w:t xml:space="preserve"> </w:t>
      </w:r>
      <w:r>
        <w:rPr>
          <w:rFonts w:hint="eastAsia" w:ascii="宋体" w:hAnsi="宋体" w:eastAsia="宋体" w:cs="宋体"/>
          <w:color w:val="auto"/>
          <w:spacing w:val="5"/>
          <w:sz w:val="21"/>
          <w:szCs w:val="21"/>
          <w:highlight w:val="none"/>
          <w:u w:val="single"/>
        </w:rPr>
        <w:t xml:space="preserve">0.2 </w:t>
      </w:r>
      <w:r>
        <w:rPr>
          <w:rFonts w:hint="eastAsia" w:ascii="宋体" w:hAnsi="宋体" w:eastAsia="宋体" w:cs="宋体"/>
          <w:color w:val="auto"/>
          <w:spacing w:val="5"/>
          <w:sz w:val="21"/>
          <w:szCs w:val="21"/>
          <w:highlight w:val="none"/>
        </w:rPr>
        <w:t>g</w:t>
      </w:r>
    </w:p>
    <w:p w14:paraId="6C7D4BBE">
      <w:pPr>
        <w:spacing w:line="360" w:lineRule="auto"/>
        <w:ind w:firstLine="44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地面垂直加速度：</w:t>
      </w:r>
      <w:r>
        <w:rPr>
          <w:rFonts w:hint="eastAsia" w:ascii="宋体" w:hAnsi="宋体" w:eastAsia="宋体" w:cs="宋体"/>
          <w:color w:val="auto"/>
          <w:spacing w:val="5"/>
          <w:sz w:val="21"/>
          <w:szCs w:val="21"/>
          <w:highlight w:val="none"/>
          <w:u w:val="single"/>
          <w:lang w:val="en-US" w:eastAsia="zh-CN"/>
        </w:rPr>
        <w:t xml:space="preserve"> </w:t>
      </w:r>
      <w:r>
        <w:rPr>
          <w:rFonts w:hint="eastAsia" w:ascii="宋体" w:hAnsi="宋体" w:eastAsia="宋体" w:cs="宋体"/>
          <w:color w:val="auto"/>
          <w:spacing w:val="5"/>
          <w:sz w:val="21"/>
          <w:szCs w:val="21"/>
          <w:highlight w:val="none"/>
          <w:u w:val="single"/>
        </w:rPr>
        <w:t xml:space="preserve">0.1 </w:t>
      </w:r>
      <w:r>
        <w:rPr>
          <w:rFonts w:hint="eastAsia" w:ascii="宋体" w:hAnsi="宋体" w:eastAsia="宋体" w:cs="宋体"/>
          <w:color w:val="auto"/>
          <w:spacing w:val="5"/>
          <w:sz w:val="21"/>
          <w:szCs w:val="21"/>
          <w:highlight w:val="none"/>
        </w:rPr>
        <w:t>g</w:t>
      </w:r>
    </w:p>
    <w:p w14:paraId="2D423965">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b/>
          <w:color w:val="auto"/>
          <w:sz w:val="24"/>
          <w:szCs w:val="24"/>
          <w:highlight w:val="none"/>
          <w:lang w:val="en-US" w:eastAsia="zh-CN"/>
        </w:rPr>
      </w:pPr>
      <w:bookmarkStart w:id="29" w:name="_Toc173689273"/>
      <w:bookmarkStart w:id="30" w:name="_Toc63596320"/>
      <w:bookmarkStart w:id="31" w:name="_Toc58821141"/>
      <w:r>
        <w:rPr>
          <w:rFonts w:hint="eastAsia" w:ascii="宋体" w:hAnsi="宋体" w:eastAsia="宋体" w:cs="宋体"/>
          <w:b/>
          <w:color w:val="auto"/>
          <w:sz w:val="24"/>
          <w:szCs w:val="24"/>
          <w:highlight w:val="none"/>
          <w:lang w:val="en-US" w:eastAsia="zh-CN"/>
        </w:rPr>
        <w:t xml:space="preserve">2.4 </w:t>
      </w:r>
      <w:bookmarkEnd w:id="29"/>
      <w:bookmarkEnd w:id="30"/>
      <w:bookmarkEnd w:id="31"/>
      <w:r>
        <w:rPr>
          <w:rFonts w:hint="eastAsia" w:ascii="宋体" w:hAnsi="宋体" w:eastAsia="宋体" w:cs="宋体"/>
          <w:b/>
          <w:color w:val="auto"/>
          <w:sz w:val="24"/>
          <w:szCs w:val="24"/>
          <w:highlight w:val="none"/>
          <w:lang w:val="en-US" w:eastAsia="zh-CN"/>
        </w:rPr>
        <w:t>工程条件</w:t>
      </w:r>
    </w:p>
    <w:p w14:paraId="65ED0E3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kern w:val="2"/>
          <w:sz w:val="21"/>
          <w:szCs w:val="21"/>
          <w:highlight w:val="none"/>
          <w:lang w:val="en-US" w:eastAsia="zh-CN" w:bidi="ar-SA"/>
        </w:rPr>
      </w:pPr>
      <w:bookmarkStart w:id="32" w:name="_Hlt513197696"/>
      <w:bookmarkEnd w:id="32"/>
      <w:r>
        <w:rPr>
          <w:rFonts w:hint="eastAsia" w:ascii="宋体" w:hAnsi="宋体" w:eastAsia="宋体" w:cs="宋体"/>
          <w:color w:val="auto"/>
          <w:sz w:val="21"/>
          <w:szCs w:val="21"/>
          <w:highlight w:val="none"/>
        </w:rPr>
        <w:t>一</w:t>
      </w:r>
      <w:r>
        <w:rPr>
          <w:rFonts w:hint="eastAsia" w:ascii="宋体" w:hAnsi="宋体" w:eastAsia="宋体" w:cs="宋体"/>
          <w:color w:val="auto"/>
          <w:kern w:val="2"/>
          <w:sz w:val="21"/>
          <w:szCs w:val="21"/>
          <w:highlight w:val="none"/>
          <w:lang w:val="en-US" w:eastAsia="zh-CN" w:bidi="ar-SA"/>
        </w:rPr>
        <w:t>次系统采用发电机－变压器接线的方式，发电机装设出口断路器（GCB），主变高压侧以500</w:t>
      </w:r>
      <w:r>
        <w:rPr>
          <w:rFonts w:hint="eastAsia" w:ascii="宋体" w:hAnsi="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kV电压接入系统，高压断路器为GIS结构的3/2断路器接线方式。</w:t>
      </w:r>
    </w:p>
    <w:p w14:paraId="7EBBDA7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发电机额定容量：</w:t>
      </w:r>
      <w:r>
        <w:rPr>
          <w:rFonts w:hint="eastAsia" w:ascii="宋体" w:hAnsi="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u w:val="single"/>
          <w:lang w:val="en-US" w:eastAsia="zh-CN" w:bidi="ar-SA"/>
        </w:rPr>
        <w:t xml:space="preserve">733 </w:t>
      </w:r>
      <w:r>
        <w:rPr>
          <w:rFonts w:hint="eastAsia" w:ascii="宋体" w:hAnsi="宋体" w:eastAsia="宋体" w:cs="宋体"/>
          <w:color w:val="auto"/>
          <w:kern w:val="2"/>
          <w:sz w:val="21"/>
          <w:szCs w:val="21"/>
          <w:highlight w:val="none"/>
          <w:lang w:val="en-US" w:eastAsia="zh-CN" w:bidi="ar-SA"/>
        </w:rPr>
        <w:t>MVA</w:t>
      </w:r>
    </w:p>
    <w:p w14:paraId="5EC91A4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发电机额定电压：</w:t>
      </w:r>
      <w:r>
        <w:rPr>
          <w:rFonts w:hint="eastAsia" w:ascii="宋体" w:hAnsi="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u w:val="single"/>
          <w:lang w:val="en-US" w:eastAsia="zh-CN" w:bidi="ar-SA"/>
        </w:rPr>
        <w:t xml:space="preserve">20 </w:t>
      </w:r>
      <w:r>
        <w:rPr>
          <w:rFonts w:hint="eastAsia" w:ascii="宋体" w:hAnsi="宋体" w:eastAsia="宋体" w:cs="宋体"/>
          <w:color w:val="auto"/>
          <w:kern w:val="2"/>
          <w:sz w:val="21"/>
          <w:szCs w:val="21"/>
          <w:highlight w:val="none"/>
          <w:lang w:val="en-US" w:eastAsia="zh-CN" w:bidi="ar-SA"/>
        </w:rPr>
        <w:t>kV</w:t>
      </w:r>
    </w:p>
    <w:p w14:paraId="2F6C32CB">
      <w:pPr>
        <w:pStyle w:val="9"/>
        <w:keepNext w:val="0"/>
        <w:keepLines w:val="0"/>
        <w:pageBreakBefore w:val="0"/>
        <w:widowControl w:val="0"/>
        <w:kinsoku/>
        <w:wordWrap/>
        <w:overflowPunct/>
        <w:topLinePunct w:val="0"/>
        <w:autoSpaceDE/>
        <w:autoSpaceDN/>
        <w:bidi w:val="0"/>
        <w:snapToGrid/>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发电机出口断路器（GCB）：</w:t>
      </w:r>
      <w:r>
        <w:rPr>
          <w:rFonts w:hint="eastAsia" w:ascii="宋体" w:hAnsi="宋体" w:eastAsia="宋体" w:cs="宋体"/>
          <w:color w:val="auto"/>
          <w:kern w:val="2"/>
          <w:sz w:val="21"/>
          <w:szCs w:val="21"/>
          <w:highlight w:val="none"/>
          <w:u w:val="single"/>
          <w:lang w:val="en-US" w:eastAsia="zh-CN" w:bidi="ar-SA"/>
        </w:rPr>
        <w:t>有</w:t>
      </w:r>
    </w:p>
    <w:p w14:paraId="72E57B84">
      <w:pPr>
        <w:pStyle w:val="9"/>
        <w:keepNext w:val="0"/>
        <w:keepLines w:val="0"/>
        <w:pageBreakBefore w:val="0"/>
        <w:widowControl w:val="0"/>
        <w:kinsoku/>
        <w:wordWrap/>
        <w:overflowPunct/>
        <w:topLinePunct w:val="0"/>
        <w:autoSpaceDE/>
        <w:autoSpaceDN/>
        <w:bidi w:val="0"/>
        <w:snapToGrid/>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励磁变额定容量：</w:t>
      </w:r>
      <w:r>
        <w:rPr>
          <w:rFonts w:hint="eastAsia" w:hAnsi="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u w:val="single"/>
          <w:lang w:val="en-US" w:eastAsia="zh-CN" w:bidi="ar-SA"/>
        </w:rPr>
        <w:t>7</w:t>
      </w:r>
      <w:r>
        <w:rPr>
          <w:rFonts w:hint="eastAsia" w:hAnsi="宋体" w:cs="宋体"/>
          <w:color w:val="auto"/>
          <w:kern w:val="2"/>
          <w:sz w:val="21"/>
          <w:szCs w:val="21"/>
          <w:highlight w:val="none"/>
          <w:u w:val="single"/>
          <w:lang w:val="en-US" w:eastAsia="zh-CN" w:bidi="ar-SA"/>
        </w:rPr>
        <w:t>5</w:t>
      </w:r>
      <w:r>
        <w:rPr>
          <w:rFonts w:hint="eastAsia" w:ascii="宋体" w:hAnsi="宋体" w:eastAsia="宋体" w:cs="宋体"/>
          <w:color w:val="auto"/>
          <w:kern w:val="2"/>
          <w:sz w:val="21"/>
          <w:szCs w:val="21"/>
          <w:highlight w:val="none"/>
          <w:u w:val="single"/>
          <w:lang w:val="en-US" w:eastAsia="zh-CN" w:bidi="ar-SA"/>
        </w:rPr>
        <w:t xml:space="preserve">00 </w:t>
      </w:r>
      <w:r>
        <w:rPr>
          <w:rFonts w:hint="eastAsia" w:ascii="宋体" w:hAnsi="宋体" w:eastAsia="宋体" w:cs="宋体"/>
          <w:color w:val="auto"/>
          <w:kern w:val="2"/>
          <w:sz w:val="21"/>
          <w:szCs w:val="21"/>
          <w:highlight w:val="none"/>
          <w:lang w:val="en-US" w:eastAsia="zh-CN" w:bidi="ar-SA"/>
        </w:rPr>
        <w:t>kVA</w:t>
      </w:r>
    </w:p>
    <w:p w14:paraId="26008399">
      <w:pPr>
        <w:pStyle w:val="9"/>
        <w:keepNext w:val="0"/>
        <w:keepLines w:val="0"/>
        <w:pageBreakBefore w:val="0"/>
        <w:widowControl w:val="0"/>
        <w:kinsoku/>
        <w:wordWrap/>
        <w:overflowPunct/>
        <w:topLinePunct w:val="0"/>
        <w:autoSpaceDE/>
        <w:autoSpaceDN/>
        <w:bidi w:val="0"/>
        <w:snapToGrid/>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励磁变联结组别：</w:t>
      </w:r>
      <w:r>
        <w:rPr>
          <w:rFonts w:hint="eastAsia" w:ascii="宋体" w:hAnsi="宋体" w:eastAsia="宋体" w:cs="宋体"/>
          <w:color w:val="auto"/>
          <w:kern w:val="2"/>
          <w:sz w:val="21"/>
          <w:szCs w:val="21"/>
          <w:highlight w:val="none"/>
          <w:u w:val="single"/>
          <w:lang w:val="en-US" w:eastAsia="zh-CN" w:bidi="ar-SA"/>
        </w:rPr>
        <w:t>DYn11</w:t>
      </w:r>
    </w:p>
    <w:p w14:paraId="6F877DDE">
      <w:pPr>
        <w:pStyle w:val="9"/>
        <w:keepNext w:val="0"/>
        <w:keepLines w:val="0"/>
        <w:pageBreakBefore w:val="0"/>
        <w:widowControl w:val="0"/>
        <w:kinsoku/>
        <w:wordWrap/>
        <w:overflowPunct/>
        <w:topLinePunct w:val="0"/>
        <w:autoSpaceDE/>
        <w:autoSpaceDN/>
        <w:bidi w:val="0"/>
        <w:snapToGrid/>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励磁方式：自并励静止励磁</w:t>
      </w:r>
    </w:p>
    <w:p w14:paraId="65120F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主变压器额定容量：</w:t>
      </w:r>
      <w:r>
        <w:rPr>
          <w:rFonts w:hint="eastAsia" w:ascii="宋体" w:hAnsi="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u w:val="single"/>
          <w:lang w:val="en-US" w:eastAsia="zh-CN" w:bidi="ar-SA"/>
        </w:rPr>
        <w:t xml:space="preserve">800 </w:t>
      </w:r>
      <w:r>
        <w:rPr>
          <w:rFonts w:hint="eastAsia" w:ascii="宋体" w:hAnsi="宋体" w:eastAsia="宋体" w:cs="宋体"/>
          <w:color w:val="auto"/>
          <w:kern w:val="2"/>
          <w:sz w:val="21"/>
          <w:szCs w:val="21"/>
          <w:highlight w:val="none"/>
          <w:lang w:val="en-US" w:eastAsia="zh-CN" w:bidi="ar-SA"/>
        </w:rPr>
        <w:t>MVA</w:t>
      </w:r>
    </w:p>
    <w:p w14:paraId="0EF7B9E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主变压器高压侧额定电压：</w:t>
      </w:r>
      <w:r>
        <w:rPr>
          <w:rFonts w:hint="eastAsia" w:ascii="宋体" w:hAnsi="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u w:val="single"/>
          <w:lang w:val="en-US" w:eastAsia="zh-CN" w:bidi="ar-SA"/>
        </w:rPr>
        <w:t xml:space="preserve">500 </w:t>
      </w:r>
      <w:r>
        <w:rPr>
          <w:rFonts w:hint="eastAsia" w:ascii="宋体" w:hAnsi="宋体" w:eastAsia="宋体" w:cs="宋体"/>
          <w:color w:val="auto"/>
          <w:kern w:val="2"/>
          <w:sz w:val="21"/>
          <w:szCs w:val="21"/>
          <w:highlight w:val="none"/>
          <w:lang w:val="en-US" w:eastAsia="zh-CN" w:bidi="ar-SA"/>
        </w:rPr>
        <w:t>kV</w:t>
      </w:r>
    </w:p>
    <w:p w14:paraId="6975B2B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主变压器联结组别：</w:t>
      </w:r>
      <w:r>
        <w:rPr>
          <w:rFonts w:hint="eastAsia" w:ascii="宋体" w:hAnsi="宋体" w:eastAsia="宋体" w:cs="宋体"/>
          <w:color w:val="auto"/>
          <w:kern w:val="2"/>
          <w:sz w:val="21"/>
          <w:szCs w:val="21"/>
          <w:highlight w:val="none"/>
          <w:u w:val="single"/>
          <w:lang w:val="en-US" w:eastAsia="zh-CN" w:bidi="ar-SA"/>
        </w:rPr>
        <w:t>YnD11</w:t>
      </w:r>
    </w:p>
    <w:p w14:paraId="43DD244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高压厂变额定容量：</w:t>
      </w:r>
      <w:r>
        <w:rPr>
          <w:rFonts w:hint="eastAsia" w:ascii="宋体" w:hAnsi="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u w:val="single"/>
          <w:lang w:val="en-US" w:eastAsia="zh-CN" w:bidi="ar-SA"/>
        </w:rPr>
        <w:t xml:space="preserve">40 </w:t>
      </w:r>
      <w:r>
        <w:rPr>
          <w:rFonts w:hint="eastAsia" w:ascii="宋体" w:hAnsi="宋体" w:eastAsia="宋体" w:cs="宋体"/>
          <w:color w:val="auto"/>
          <w:kern w:val="2"/>
          <w:sz w:val="21"/>
          <w:szCs w:val="21"/>
          <w:highlight w:val="none"/>
          <w:lang w:val="en-US" w:eastAsia="zh-CN" w:bidi="ar-SA"/>
        </w:rPr>
        <w:t>MVA</w:t>
      </w:r>
    </w:p>
    <w:p w14:paraId="1361FE26">
      <w:pPr>
        <w:pStyle w:val="9"/>
        <w:keepNext w:val="0"/>
        <w:keepLines w:val="0"/>
        <w:pageBreakBefore w:val="0"/>
        <w:widowControl w:val="0"/>
        <w:kinsoku/>
        <w:wordWrap/>
        <w:overflowPunct/>
        <w:topLinePunct w:val="0"/>
        <w:autoSpaceDE/>
        <w:autoSpaceDN/>
        <w:bidi w:val="0"/>
        <w:snapToGrid/>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高压厂变额定电压：高压侧</w:t>
      </w:r>
      <w:r>
        <w:rPr>
          <w:rFonts w:hint="eastAsia" w:hAnsi="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u w:val="single"/>
          <w:lang w:val="en-US" w:eastAsia="zh-CN" w:bidi="ar-SA"/>
        </w:rPr>
        <w:t xml:space="preserve">20 </w:t>
      </w:r>
      <w:r>
        <w:rPr>
          <w:rFonts w:hint="eastAsia" w:ascii="宋体" w:hAnsi="宋体" w:eastAsia="宋体" w:cs="宋体"/>
          <w:color w:val="auto"/>
          <w:kern w:val="2"/>
          <w:sz w:val="21"/>
          <w:szCs w:val="21"/>
          <w:highlight w:val="none"/>
          <w:lang w:val="en-US" w:eastAsia="zh-CN" w:bidi="ar-SA"/>
        </w:rPr>
        <w:t>kV</w:t>
      </w:r>
    </w:p>
    <w:p w14:paraId="09A41E87">
      <w:pPr>
        <w:pStyle w:val="9"/>
        <w:keepNext w:val="0"/>
        <w:keepLines w:val="0"/>
        <w:pageBreakBefore w:val="0"/>
        <w:widowControl w:val="0"/>
        <w:kinsoku/>
        <w:wordWrap/>
        <w:overflowPunct/>
        <w:topLinePunct w:val="0"/>
        <w:autoSpaceDE/>
        <w:autoSpaceDN/>
        <w:bidi w:val="0"/>
        <w:snapToGrid/>
        <w:spacing w:line="360" w:lineRule="auto"/>
        <w:ind w:firstLine="2310" w:firstLineChars="11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低压侧</w:t>
      </w:r>
      <w:r>
        <w:rPr>
          <w:rFonts w:hint="eastAsia" w:hAnsi="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u w:val="single"/>
          <w:lang w:val="en-US" w:eastAsia="zh-CN" w:bidi="ar-SA"/>
        </w:rPr>
        <w:t xml:space="preserve">6.3 </w:t>
      </w:r>
      <w:r>
        <w:rPr>
          <w:rFonts w:hint="eastAsia" w:ascii="宋体" w:hAnsi="宋体" w:eastAsia="宋体" w:cs="宋体"/>
          <w:color w:val="auto"/>
          <w:kern w:val="2"/>
          <w:sz w:val="21"/>
          <w:szCs w:val="21"/>
          <w:highlight w:val="none"/>
          <w:lang w:val="en-US" w:eastAsia="zh-CN" w:bidi="ar-SA"/>
        </w:rPr>
        <w:t>kV</w:t>
      </w:r>
    </w:p>
    <w:p w14:paraId="7C8E09F7">
      <w:pPr>
        <w:pStyle w:val="9"/>
        <w:keepNext w:val="0"/>
        <w:keepLines w:val="0"/>
        <w:pageBreakBefore w:val="0"/>
        <w:widowControl w:val="0"/>
        <w:kinsoku/>
        <w:wordWrap/>
        <w:overflowPunct/>
        <w:topLinePunct w:val="0"/>
        <w:autoSpaceDE/>
        <w:autoSpaceDN/>
        <w:bidi w:val="0"/>
        <w:snapToGrid/>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高压厂变联结组别：</w:t>
      </w:r>
      <w:r>
        <w:rPr>
          <w:rFonts w:hint="eastAsia" w:ascii="宋体" w:hAnsi="宋体" w:eastAsia="宋体" w:cs="宋体"/>
          <w:color w:val="auto"/>
          <w:kern w:val="2"/>
          <w:sz w:val="21"/>
          <w:szCs w:val="21"/>
          <w:highlight w:val="none"/>
          <w:u w:val="single"/>
          <w:lang w:val="en-US" w:eastAsia="zh-CN" w:bidi="ar-SA"/>
        </w:rPr>
        <w:t>DYn1</w:t>
      </w:r>
    </w:p>
    <w:p w14:paraId="033F7E0D">
      <w:pPr>
        <w:pStyle w:val="9"/>
        <w:keepNext w:val="0"/>
        <w:keepLines w:val="0"/>
        <w:pageBreakBefore w:val="0"/>
        <w:widowControl w:val="0"/>
        <w:kinsoku/>
        <w:wordWrap/>
        <w:overflowPunct/>
        <w:topLinePunct w:val="0"/>
        <w:autoSpaceDE/>
        <w:autoSpaceDN/>
        <w:bidi w:val="0"/>
        <w:snapToGrid/>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高压厂变接地方式：</w:t>
      </w:r>
      <w:r>
        <w:rPr>
          <w:rFonts w:hint="eastAsia" w:hAnsi="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u w:val="single"/>
          <w:lang w:val="en-US" w:eastAsia="zh-CN" w:bidi="ar-SA"/>
        </w:rPr>
        <w:t xml:space="preserve">6.3 </w:t>
      </w:r>
      <w:r>
        <w:rPr>
          <w:rFonts w:hint="eastAsia" w:ascii="宋体" w:hAnsi="宋体" w:eastAsia="宋体" w:cs="宋体"/>
          <w:color w:val="auto"/>
          <w:kern w:val="2"/>
          <w:sz w:val="21"/>
          <w:szCs w:val="21"/>
          <w:highlight w:val="none"/>
          <w:lang w:val="en-US" w:eastAsia="zh-CN" w:bidi="ar-SA"/>
        </w:rPr>
        <w:t>kV中性点接地电阻</w:t>
      </w:r>
      <w:r>
        <w:rPr>
          <w:rFonts w:hint="eastAsia" w:hAnsi="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u w:val="single"/>
          <w:lang w:val="en-US" w:eastAsia="zh-CN" w:bidi="ar-SA"/>
        </w:rPr>
        <w:t xml:space="preserve">18.2 </w:t>
      </w:r>
      <w:r>
        <w:rPr>
          <w:rFonts w:hint="eastAsia" w:ascii="宋体" w:hAnsi="宋体" w:eastAsia="宋体" w:cs="宋体"/>
          <w:color w:val="auto"/>
          <w:kern w:val="2"/>
          <w:sz w:val="21"/>
          <w:szCs w:val="21"/>
          <w:highlight w:val="none"/>
          <w:lang w:val="en-US" w:eastAsia="zh-CN" w:bidi="ar-SA"/>
        </w:rPr>
        <w:t>Ω</w:t>
      </w:r>
    </w:p>
    <w:p w14:paraId="14A81B46">
      <w:pPr>
        <w:pStyle w:val="9"/>
        <w:keepNext w:val="0"/>
        <w:keepLines w:val="0"/>
        <w:pageBreakBefore w:val="0"/>
        <w:widowControl w:val="0"/>
        <w:kinsoku/>
        <w:wordWrap/>
        <w:overflowPunct/>
        <w:topLinePunct w:val="0"/>
        <w:autoSpaceDE/>
        <w:autoSpaceDN/>
        <w:bidi w:val="0"/>
        <w:snapToGrid/>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最大短路电流：500 kV侧</w:t>
      </w:r>
      <w:r>
        <w:rPr>
          <w:rFonts w:hint="eastAsia" w:hAnsi="宋体" w:cs="宋体"/>
          <w:color w:val="auto"/>
          <w:kern w:val="2"/>
          <w:sz w:val="21"/>
          <w:szCs w:val="21"/>
          <w:highlight w:val="none"/>
          <w:u w:val="single"/>
          <w:lang w:val="en-US" w:eastAsia="zh-CN" w:bidi="ar-SA"/>
        </w:rPr>
        <w:t xml:space="preserve"> 39454.80 </w:t>
      </w:r>
      <w:r>
        <w:rPr>
          <w:rFonts w:hint="eastAsia" w:ascii="宋体" w:hAnsi="宋体" w:eastAsia="宋体" w:cs="宋体"/>
          <w:color w:val="auto"/>
          <w:kern w:val="2"/>
          <w:sz w:val="21"/>
          <w:szCs w:val="21"/>
          <w:highlight w:val="none"/>
          <w:lang w:val="en-US" w:eastAsia="zh-CN" w:bidi="ar-SA"/>
        </w:rPr>
        <w:t>A</w:t>
      </w:r>
    </w:p>
    <w:p w14:paraId="4AA81C2C">
      <w:pPr>
        <w:pStyle w:val="9"/>
        <w:keepNext w:val="0"/>
        <w:keepLines w:val="0"/>
        <w:pageBreakBefore w:val="0"/>
        <w:widowControl w:val="0"/>
        <w:kinsoku/>
        <w:wordWrap/>
        <w:overflowPunct/>
        <w:topLinePunct w:val="0"/>
        <w:autoSpaceDE/>
        <w:autoSpaceDN/>
        <w:bidi w:val="0"/>
        <w:snapToGrid/>
        <w:spacing w:line="360" w:lineRule="auto"/>
        <w:ind w:firstLine="1890" w:firstLineChars="9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发电机出口侧</w:t>
      </w:r>
      <w:r>
        <w:rPr>
          <w:rFonts w:hint="eastAsia" w:hAnsi="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u w:val="single"/>
          <w:lang w:val="en-US" w:eastAsia="zh-CN" w:bidi="ar-SA"/>
        </w:rPr>
        <w:t>20</w:t>
      </w:r>
      <w:r>
        <w:rPr>
          <w:rFonts w:hint="eastAsia" w:hAnsi="宋体" w:cs="宋体"/>
          <w:color w:val="auto"/>
          <w:kern w:val="2"/>
          <w:sz w:val="21"/>
          <w:szCs w:val="21"/>
          <w:highlight w:val="none"/>
          <w:u w:val="single"/>
          <w:lang w:val="en-US" w:eastAsia="zh-CN" w:bidi="ar-SA"/>
        </w:rPr>
        <w:t xml:space="preserve">4917.46 </w:t>
      </w:r>
      <w:r>
        <w:rPr>
          <w:rFonts w:hint="eastAsia" w:ascii="宋体" w:hAnsi="宋体" w:eastAsia="宋体" w:cs="宋体"/>
          <w:color w:val="auto"/>
          <w:kern w:val="2"/>
          <w:sz w:val="21"/>
          <w:szCs w:val="21"/>
          <w:highlight w:val="none"/>
          <w:lang w:val="en-US" w:eastAsia="zh-CN" w:bidi="ar-SA"/>
        </w:rPr>
        <w:t>A</w:t>
      </w:r>
    </w:p>
    <w:p w14:paraId="60EEA943">
      <w:pPr>
        <w:pStyle w:val="9"/>
        <w:keepNext w:val="0"/>
        <w:keepLines w:val="0"/>
        <w:pageBreakBefore w:val="0"/>
        <w:widowControl w:val="0"/>
        <w:kinsoku/>
        <w:wordWrap/>
        <w:overflowPunct/>
        <w:topLinePunct w:val="0"/>
        <w:autoSpaceDE/>
        <w:autoSpaceDN/>
        <w:bidi w:val="0"/>
        <w:snapToGrid/>
        <w:spacing w:line="360" w:lineRule="auto"/>
        <w:ind w:firstLine="1890" w:firstLineChars="9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高压厂变低压侧</w:t>
      </w:r>
      <w:r>
        <w:rPr>
          <w:rFonts w:hint="eastAsia" w:hAnsi="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u w:val="single"/>
          <w:lang w:val="en-US" w:eastAsia="zh-CN" w:bidi="ar-SA"/>
        </w:rPr>
        <w:t>22131.</w:t>
      </w:r>
      <w:r>
        <w:rPr>
          <w:rFonts w:hint="eastAsia" w:hAnsi="宋体" w:cs="宋体"/>
          <w:color w:val="auto"/>
          <w:kern w:val="2"/>
          <w:sz w:val="21"/>
          <w:szCs w:val="21"/>
          <w:highlight w:val="none"/>
          <w:u w:val="single"/>
          <w:lang w:val="en-US" w:eastAsia="zh-CN" w:bidi="ar-SA"/>
        </w:rPr>
        <w:t xml:space="preserve">32 </w:t>
      </w:r>
      <w:r>
        <w:rPr>
          <w:rFonts w:hint="eastAsia" w:ascii="宋体" w:hAnsi="宋体" w:eastAsia="宋体" w:cs="宋体"/>
          <w:color w:val="auto"/>
          <w:kern w:val="2"/>
          <w:sz w:val="21"/>
          <w:szCs w:val="21"/>
          <w:highlight w:val="none"/>
          <w:lang w:val="en-US" w:eastAsia="zh-CN" w:bidi="ar-SA"/>
        </w:rPr>
        <w:t>A</w:t>
      </w:r>
    </w:p>
    <w:p w14:paraId="55C91BD6">
      <w:pPr>
        <w:pStyle w:val="9"/>
        <w:keepNext w:val="0"/>
        <w:keepLines w:val="0"/>
        <w:pageBreakBefore w:val="0"/>
        <w:widowControl w:val="0"/>
        <w:kinsoku/>
        <w:wordWrap/>
        <w:overflowPunct/>
        <w:topLinePunct w:val="0"/>
        <w:autoSpaceDE/>
        <w:autoSpaceDN/>
        <w:bidi w:val="0"/>
        <w:snapToGrid/>
        <w:spacing w:line="360" w:lineRule="auto"/>
        <w:ind w:firstLine="1890" w:firstLineChars="9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励磁变低压侧</w:t>
      </w:r>
      <w:r>
        <w:rPr>
          <w:rFonts w:hint="eastAsia" w:hAnsi="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u w:val="single"/>
          <w:lang w:val="en-US" w:eastAsia="zh-CN" w:bidi="ar-SA"/>
        </w:rPr>
        <w:t>5</w:t>
      </w:r>
      <w:r>
        <w:rPr>
          <w:rFonts w:hint="eastAsia" w:hAnsi="宋体" w:cs="宋体"/>
          <w:color w:val="auto"/>
          <w:kern w:val="2"/>
          <w:sz w:val="21"/>
          <w:szCs w:val="21"/>
          <w:highlight w:val="none"/>
          <w:u w:val="single"/>
          <w:lang w:val="en-US" w:eastAsia="zh-CN" w:bidi="ar-SA"/>
        </w:rPr>
        <w:t xml:space="preserve">5055.46 </w:t>
      </w:r>
      <w:r>
        <w:rPr>
          <w:rFonts w:hint="eastAsia" w:ascii="宋体" w:hAnsi="宋体" w:eastAsia="宋体" w:cs="宋体"/>
          <w:color w:val="auto"/>
          <w:kern w:val="2"/>
          <w:sz w:val="21"/>
          <w:szCs w:val="21"/>
          <w:highlight w:val="none"/>
          <w:lang w:val="en-US" w:eastAsia="zh-CN" w:bidi="ar-SA"/>
        </w:rPr>
        <w:t>A</w:t>
      </w:r>
    </w:p>
    <w:p w14:paraId="53C4A3E4">
      <w:pPr>
        <w:pStyle w:val="9"/>
        <w:keepNext w:val="0"/>
        <w:keepLines w:val="0"/>
        <w:pageBreakBefore w:val="0"/>
        <w:widowControl w:val="0"/>
        <w:kinsoku/>
        <w:wordWrap/>
        <w:overflowPunct/>
        <w:topLinePunct w:val="0"/>
        <w:autoSpaceDE/>
        <w:autoSpaceDN/>
        <w:bidi w:val="0"/>
        <w:snapToGrid/>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安装形式：</w:t>
      </w:r>
      <w:r>
        <w:rPr>
          <w:rFonts w:hint="eastAsia" w:ascii="宋体" w:hAnsi="宋体" w:eastAsia="宋体" w:cs="宋体"/>
          <w:color w:val="auto"/>
          <w:kern w:val="2"/>
          <w:sz w:val="21"/>
          <w:szCs w:val="21"/>
          <w:highlight w:val="none"/>
          <w:u w:val="single"/>
          <w:lang w:val="en-US" w:eastAsia="zh-CN" w:bidi="ar-SA"/>
        </w:rPr>
        <w:t>室内</w:t>
      </w:r>
    </w:p>
    <w:bookmarkEnd w:id="23"/>
    <w:bookmarkEnd w:id="24"/>
    <w:bookmarkEnd w:id="25"/>
    <w:bookmarkEnd w:id="26"/>
    <w:bookmarkEnd w:id="27"/>
    <w:bookmarkEnd w:id="28"/>
    <w:p w14:paraId="6A213382">
      <w:pPr>
        <w:numPr>
          <w:ilvl w:val="0"/>
          <w:numId w:val="0"/>
        </w:numPr>
        <w:spacing w:before="0" w:beforeLines="0" w:after="0" w:afterLines="0" w:line="360" w:lineRule="auto"/>
        <w:outlineLvl w:val="0"/>
        <w:rPr>
          <w:rFonts w:hint="eastAsia" w:ascii="宋体" w:hAnsi="宋体" w:eastAsia="宋体" w:cs="宋体"/>
          <w:b/>
          <w:color w:val="auto"/>
          <w:sz w:val="28"/>
          <w:szCs w:val="28"/>
          <w:highlight w:val="none"/>
          <w:lang w:val="en-US" w:eastAsia="zh-CN"/>
        </w:rPr>
      </w:pPr>
      <w:r>
        <w:rPr>
          <w:rFonts w:hint="eastAsia" w:ascii="宋体" w:hAnsi="宋体" w:cs="宋体"/>
          <w:b/>
          <w:color w:val="auto"/>
          <w:sz w:val="28"/>
          <w:szCs w:val="28"/>
          <w:highlight w:val="none"/>
          <w:lang w:val="en-US" w:eastAsia="zh-CN"/>
        </w:rPr>
        <w:t>3</w:t>
      </w:r>
      <w:r>
        <w:rPr>
          <w:rFonts w:hint="eastAsia" w:ascii="宋体" w:hAnsi="宋体" w:eastAsia="宋体" w:cs="宋体"/>
          <w:b/>
          <w:color w:val="auto"/>
          <w:sz w:val="28"/>
          <w:szCs w:val="28"/>
          <w:highlight w:val="none"/>
          <w:lang w:val="en-US" w:eastAsia="zh-CN"/>
        </w:rPr>
        <w:t xml:space="preserve"> </w:t>
      </w:r>
      <w:r>
        <w:rPr>
          <w:rFonts w:hint="eastAsia" w:ascii="宋体" w:hAnsi="宋体" w:cs="宋体"/>
          <w:b/>
          <w:color w:val="auto"/>
          <w:sz w:val="28"/>
          <w:szCs w:val="28"/>
          <w:highlight w:val="none"/>
          <w:lang w:val="en-US" w:eastAsia="zh-CN"/>
        </w:rPr>
        <w:t>设计和运行条件</w:t>
      </w:r>
    </w:p>
    <w:p w14:paraId="2073DE50">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 xml:space="preserve">3.1 </w:t>
      </w:r>
      <w:r>
        <w:rPr>
          <w:rFonts w:hint="eastAsia" w:ascii="宋体" w:hAnsi="宋体" w:eastAsia="宋体" w:cs="宋体"/>
          <w:b/>
          <w:color w:val="auto"/>
          <w:sz w:val="24"/>
          <w:szCs w:val="24"/>
          <w:highlight w:val="none"/>
          <w:lang w:val="en-US" w:eastAsia="zh-CN"/>
        </w:rPr>
        <w:t>基本技术条件</w:t>
      </w:r>
    </w:p>
    <w:p w14:paraId="7D857668">
      <w:pPr>
        <w:numPr>
          <w:ilvl w:val="0"/>
          <w:numId w:val="0"/>
        </w:numPr>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型式：微机型保护装置</w:t>
      </w:r>
    </w:p>
    <w:p w14:paraId="32009E93">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3.2 控制电源</w:t>
      </w:r>
    </w:p>
    <w:p w14:paraId="45AA89EF">
      <w:pPr>
        <w:numPr>
          <w:ilvl w:val="0"/>
          <w:numId w:val="0"/>
        </w:numPr>
        <w:spacing w:line="360" w:lineRule="auto"/>
        <w:outlineLvl w:val="2"/>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3.2.1交流控制电源</w:t>
      </w:r>
    </w:p>
    <w:p w14:paraId="70E8675B">
      <w:pPr>
        <w:numPr>
          <w:ilvl w:val="0"/>
          <w:numId w:val="0"/>
        </w:numPr>
        <w:spacing w:line="36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1）额定电压：220</w:t>
      </w:r>
      <w:r>
        <w:rPr>
          <w:rFonts w:hint="eastAsia" w:ascii="宋体" w:hAnsi="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V</w:t>
      </w:r>
      <w:r>
        <w:rPr>
          <w:rFonts w:hint="eastAsia" w:ascii="宋体" w:hAnsi="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＋10％～－15％</w:t>
      </w:r>
    </w:p>
    <w:p w14:paraId="49E7FA8A">
      <w:pPr>
        <w:numPr>
          <w:ilvl w:val="0"/>
          <w:numId w:val="0"/>
        </w:numPr>
        <w:spacing w:line="36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2）波形：正弦，波形畸变不大于5％</w:t>
      </w:r>
    </w:p>
    <w:p w14:paraId="473B4A04">
      <w:pPr>
        <w:numPr>
          <w:ilvl w:val="0"/>
          <w:numId w:val="0"/>
        </w:numPr>
        <w:spacing w:line="36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3）频率：50</w:t>
      </w:r>
      <w:r>
        <w:rPr>
          <w:rFonts w:hint="eastAsia" w:ascii="宋体" w:hAnsi="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Hz±0.5％</w:t>
      </w:r>
    </w:p>
    <w:p w14:paraId="6014CF68">
      <w:pPr>
        <w:numPr>
          <w:ilvl w:val="0"/>
          <w:numId w:val="0"/>
        </w:numPr>
        <w:spacing w:line="360" w:lineRule="auto"/>
        <w:outlineLvl w:val="2"/>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3.2.2 直流控制电源</w:t>
      </w:r>
    </w:p>
    <w:p w14:paraId="39AF6F04">
      <w:pPr>
        <w:numPr>
          <w:ilvl w:val="0"/>
          <w:numId w:val="0"/>
        </w:numPr>
        <w:spacing w:line="36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1）额定电压：115</w:t>
      </w:r>
      <w:r>
        <w:rPr>
          <w:rFonts w:hint="eastAsia" w:ascii="宋体" w:hAnsi="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V</w:t>
      </w:r>
      <w:r>
        <w:rPr>
          <w:rFonts w:hint="eastAsia" w:ascii="宋体" w:hAnsi="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＋10％～－15％</w:t>
      </w:r>
    </w:p>
    <w:p w14:paraId="341D9B7F">
      <w:pPr>
        <w:numPr>
          <w:ilvl w:val="0"/>
          <w:numId w:val="0"/>
        </w:numPr>
        <w:spacing w:line="36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2）波纹系数：不大于5％</w:t>
      </w:r>
    </w:p>
    <w:p w14:paraId="032760B9">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3.3 主要设备技术参数</w:t>
      </w:r>
    </w:p>
    <w:p w14:paraId="4D69CEBE">
      <w:pPr>
        <w:numPr>
          <w:ilvl w:val="0"/>
          <w:numId w:val="0"/>
        </w:numPr>
        <w:spacing w:line="360" w:lineRule="auto"/>
        <w:outlineLvl w:val="2"/>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3.3.1 额定数据</w:t>
      </w:r>
    </w:p>
    <w:p w14:paraId="46C9AFE6">
      <w:pPr>
        <w:numPr>
          <w:ilvl w:val="0"/>
          <w:numId w:val="0"/>
        </w:numPr>
        <w:spacing w:line="360" w:lineRule="auto"/>
        <w:outlineLvl w:val="3"/>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lang w:val="en-US" w:eastAsia="zh-CN" w:bidi="ar-SA"/>
        </w:rPr>
        <w:t>CT</w:t>
      </w:r>
      <w:r>
        <w:rPr>
          <w:rFonts w:hint="eastAsia" w:ascii="宋体" w:hAnsi="宋体" w:cs="宋体"/>
          <w:color w:val="auto"/>
          <w:kern w:val="2"/>
          <w:sz w:val="21"/>
          <w:szCs w:val="21"/>
          <w:highlight w:val="none"/>
          <w:lang w:val="en-US" w:eastAsia="zh-CN" w:bidi="ar-SA"/>
        </w:rPr>
        <w:t>参数</w:t>
      </w:r>
    </w:p>
    <w:p w14:paraId="1F6DE75F">
      <w:pPr>
        <w:numPr>
          <w:ilvl w:val="0"/>
          <w:numId w:val="0"/>
        </w:numPr>
        <w:spacing w:line="360" w:lineRule="auto"/>
        <w:ind w:firstLine="480"/>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500kV侧</w:t>
      </w:r>
      <w:r>
        <w:rPr>
          <w:rFonts w:hint="eastAsia" w:ascii="宋体" w:hAnsi="宋体" w:cs="宋体"/>
          <w:color w:val="auto"/>
          <w:kern w:val="2"/>
          <w:sz w:val="21"/>
          <w:szCs w:val="21"/>
          <w:highlight w:val="none"/>
          <w:lang w:val="en-US" w:eastAsia="zh-CN" w:bidi="ar-SA"/>
        </w:rPr>
        <w:t>串内CT</w:t>
      </w:r>
      <w:r>
        <w:rPr>
          <w:rFonts w:hint="eastAsia" w:ascii="宋体" w:hAnsi="宋体" w:eastAsia="宋体" w:cs="宋体"/>
          <w:color w:val="auto"/>
          <w:kern w:val="2"/>
          <w:sz w:val="21"/>
          <w:szCs w:val="21"/>
          <w:highlight w:val="none"/>
          <w:lang w:val="en-US" w:eastAsia="zh-CN" w:bidi="ar-SA"/>
        </w:rPr>
        <w:t>：</w:t>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变比</w:t>
      </w:r>
      <w:r>
        <w:rPr>
          <w:rFonts w:hint="eastAsia" w:ascii="宋体" w:hAnsi="宋体" w:eastAsia="宋体" w:cs="宋体"/>
          <w:color w:val="auto"/>
          <w:kern w:val="2"/>
          <w:sz w:val="21"/>
          <w:szCs w:val="21"/>
          <w:highlight w:val="none"/>
          <w:lang w:val="en-US" w:eastAsia="zh-CN" w:bidi="ar-SA"/>
        </w:rPr>
        <w:t>2000/5 A</w:t>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准确等级5P20</w:t>
      </w:r>
    </w:p>
    <w:p w14:paraId="75FBF2E6">
      <w:pPr>
        <w:numPr>
          <w:ilvl w:val="0"/>
          <w:numId w:val="0"/>
        </w:numPr>
        <w:spacing w:line="360" w:lineRule="auto"/>
        <w:ind w:firstLine="48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主变压器高压侧套管</w:t>
      </w:r>
      <w:r>
        <w:rPr>
          <w:rFonts w:hint="eastAsia" w:ascii="宋体" w:hAnsi="宋体" w:cs="宋体"/>
          <w:color w:val="auto"/>
          <w:kern w:val="2"/>
          <w:sz w:val="21"/>
          <w:szCs w:val="21"/>
          <w:highlight w:val="none"/>
          <w:lang w:val="en-US" w:eastAsia="zh-CN" w:bidi="ar-SA"/>
        </w:rPr>
        <w:t>CT</w:t>
      </w:r>
      <w:r>
        <w:rPr>
          <w:rFonts w:hint="eastAsia" w:ascii="宋体" w:hAnsi="宋体" w:eastAsia="宋体" w:cs="宋体"/>
          <w:color w:val="auto"/>
          <w:kern w:val="2"/>
          <w:sz w:val="21"/>
          <w:szCs w:val="21"/>
          <w:highlight w:val="none"/>
          <w:lang w:val="en-US" w:eastAsia="zh-CN" w:bidi="ar-SA"/>
        </w:rPr>
        <w:t>：</w:t>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变比</w:t>
      </w:r>
      <w:r>
        <w:rPr>
          <w:rFonts w:hint="eastAsia" w:ascii="宋体" w:hAnsi="宋体" w:eastAsia="宋体" w:cs="宋体"/>
          <w:color w:val="auto"/>
          <w:kern w:val="2"/>
          <w:sz w:val="21"/>
          <w:szCs w:val="21"/>
          <w:highlight w:val="none"/>
          <w:lang w:val="en-US" w:eastAsia="zh-CN" w:bidi="ar-SA"/>
        </w:rPr>
        <w:t>12</w:t>
      </w:r>
      <w:r>
        <w:rPr>
          <w:rFonts w:hint="eastAsia" w:ascii="宋体" w:hAnsi="宋体" w:cs="宋体"/>
          <w:color w:val="auto"/>
          <w:kern w:val="2"/>
          <w:sz w:val="21"/>
          <w:szCs w:val="21"/>
          <w:highlight w:val="none"/>
          <w:lang w:val="en-US" w:eastAsia="zh-CN" w:bidi="ar-SA"/>
        </w:rPr>
        <w:t>5</w:t>
      </w:r>
      <w:r>
        <w:rPr>
          <w:rFonts w:hint="eastAsia" w:ascii="宋体" w:hAnsi="宋体" w:eastAsia="宋体" w:cs="宋体"/>
          <w:color w:val="auto"/>
          <w:kern w:val="2"/>
          <w:sz w:val="21"/>
          <w:szCs w:val="21"/>
          <w:highlight w:val="none"/>
          <w:lang w:val="en-US" w:eastAsia="zh-CN" w:bidi="ar-SA"/>
        </w:rPr>
        <w:t>0/5 A</w:t>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准确等级5P30</w:t>
      </w:r>
    </w:p>
    <w:p w14:paraId="6B3BE74B">
      <w:pPr>
        <w:numPr>
          <w:ilvl w:val="0"/>
          <w:numId w:val="0"/>
        </w:numPr>
        <w:spacing w:line="360" w:lineRule="auto"/>
        <w:ind w:firstLine="480"/>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主变压器中性点零序</w:t>
      </w:r>
      <w:r>
        <w:rPr>
          <w:rFonts w:hint="eastAsia" w:ascii="宋体" w:hAnsi="宋体" w:cs="宋体"/>
          <w:color w:val="auto"/>
          <w:kern w:val="2"/>
          <w:sz w:val="21"/>
          <w:szCs w:val="21"/>
          <w:highlight w:val="none"/>
          <w:lang w:val="en-US" w:eastAsia="zh-CN" w:bidi="ar-SA"/>
        </w:rPr>
        <w:t>CT</w:t>
      </w:r>
      <w:r>
        <w:rPr>
          <w:rFonts w:hint="eastAsia" w:ascii="宋体" w:hAnsi="宋体" w:eastAsia="宋体" w:cs="宋体"/>
          <w:color w:val="auto"/>
          <w:kern w:val="2"/>
          <w:sz w:val="21"/>
          <w:szCs w:val="21"/>
          <w:highlight w:val="none"/>
          <w:lang w:val="en-US" w:eastAsia="zh-CN" w:bidi="ar-SA"/>
        </w:rPr>
        <w:t>：</w:t>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变比</w:t>
      </w:r>
      <w:r>
        <w:rPr>
          <w:rFonts w:hint="eastAsia" w:ascii="宋体" w:hAnsi="宋体" w:eastAsia="宋体" w:cs="宋体"/>
          <w:color w:val="auto"/>
          <w:kern w:val="2"/>
          <w:sz w:val="21"/>
          <w:szCs w:val="21"/>
          <w:highlight w:val="none"/>
          <w:lang w:val="en-US" w:eastAsia="zh-CN" w:bidi="ar-SA"/>
        </w:rPr>
        <w:t>500/5 A</w:t>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准确等级5P30</w:t>
      </w:r>
    </w:p>
    <w:p w14:paraId="7FD260A0">
      <w:pPr>
        <w:numPr>
          <w:ilvl w:val="0"/>
          <w:numId w:val="0"/>
        </w:numPr>
        <w:spacing w:line="360" w:lineRule="auto"/>
        <w:ind w:firstLine="48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发电机机端侧</w:t>
      </w:r>
      <w:r>
        <w:rPr>
          <w:rFonts w:hint="eastAsia" w:ascii="宋体" w:hAnsi="宋体" w:cs="宋体"/>
          <w:color w:val="auto"/>
          <w:kern w:val="2"/>
          <w:sz w:val="21"/>
          <w:szCs w:val="21"/>
          <w:highlight w:val="none"/>
          <w:lang w:val="en-US" w:eastAsia="zh-CN" w:bidi="ar-SA"/>
        </w:rPr>
        <w:t>CT</w:t>
      </w:r>
      <w:r>
        <w:rPr>
          <w:rFonts w:hint="eastAsia" w:ascii="宋体" w:hAnsi="宋体" w:eastAsia="宋体" w:cs="宋体"/>
          <w:color w:val="auto"/>
          <w:kern w:val="2"/>
          <w:sz w:val="21"/>
          <w:szCs w:val="21"/>
          <w:highlight w:val="none"/>
          <w:lang w:val="en-US" w:eastAsia="zh-CN" w:bidi="ar-SA"/>
        </w:rPr>
        <w:t>：</w:t>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变比</w:t>
      </w:r>
      <w:r>
        <w:rPr>
          <w:rFonts w:hint="eastAsia" w:ascii="宋体" w:hAnsi="宋体" w:eastAsia="宋体" w:cs="宋体"/>
          <w:color w:val="auto"/>
          <w:kern w:val="2"/>
          <w:sz w:val="21"/>
          <w:szCs w:val="21"/>
          <w:highlight w:val="none"/>
          <w:lang w:val="en-US" w:eastAsia="zh-CN" w:bidi="ar-SA"/>
        </w:rPr>
        <w:t>25000/5 A</w:t>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准确等级5P20</w:t>
      </w:r>
    </w:p>
    <w:p w14:paraId="5EE2B131">
      <w:pPr>
        <w:numPr>
          <w:ilvl w:val="0"/>
          <w:numId w:val="0"/>
        </w:numPr>
        <w:spacing w:line="360" w:lineRule="auto"/>
        <w:ind w:firstLine="480"/>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发电机中性点侧</w:t>
      </w:r>
      <w:r>
        <w:rPr>
          <w:rFonts w:hint="eastAsia" w:ascii="宋体" w:hAnsi="宋体" w:cs="宋体"/>
          <w:color w:val="auto"/>
          <w:kern w:val="2"/>
          <w:sz w:val="21"/>
          <w:szCs w:val="21"/>
          <w:highlight w:val="none"/>
          <w:lang w:val="en-US" w:eastAsia="zh-CN" w:bidi="ar-SA"/>
        </w:rPr>
        <w:t>CT</w:t>
      </w:r>
      <w:r>
        <w:rPr>
          <w:rFonts w:hint="eastAsia" w:ascii="宋体" w:hAnsi="宋体" w:eastAsia="宋体" w:cs="宋体"/>
          <w:color w:val="auto"/>
          <w:kern w:val="2"/>
          <w:sz w:val="21"/>
          <w:szCs w:val="21"/>
          <w:highlight w:val="none"/>
          <w:lang w:val="en-US" w:eastAsia="zh-CN" w:bidi="ar-SA"/>
        </w:rPr>
        <w:t>：</w:t>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变比</w:t>
      </w:r>
      <w:r>
        <w:rPr>
          <w:rFonts w:hint="eastAsia" w:ascii="宋体" w:hAnsi="宋体" w:eastAsia="宋体" w:cs="宋体"/>
          <w:color w:val="auto"/>
          <w:kern w:val="2"/>
          <w:sz w:val="21"/>
          <w:szCs w:val="21"/>
          <w:highlight w:val="none"/>
          <w:lang w:val="en-US" w:eastAsia="zh-CN" w:bidi="ar-SA"/>
        </w:rPr>
        <w:t>25000/5 A</w:t>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准确等级5P20</w:t>
      </w:r>
    </w:p>
    <w:p w14:paraId="303EB18B">
      <w:pPr>
        <w:numPr>
          <w:ilvl w:val="0"/>
          <w:numId w:val="0"/>
        </w:numPr>
        <w:spacing w:line="360" w:lineRule="auto"/>
        <w:ind w:firstLine="48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励磁变高压侧</w:t>
      </w:r>
      <w:r>
        <w:rPr>
          <w:rFonts w:hint="eastAsia" w:ascii="宋体" w:hAnsi="宋体" w:cs="宋体"/>
          <w:color w:val="auto"/>
          <w:kern w:val="2"/>
          <w:sz w:val="21"/>
          <w:szCs w:val="21"/>
          <w:highlight w:val="none"/>
          <w:lang w:val="en-US" w:eastAsia="zh-CN" w:bidi="ar-SA"/>
        </w:rPr>
        <w:t>CT</w:t>
      </w:r>
      <w:r>
        <w:rPr>
          <w:rFonts w:hint="eastAsia" w:ascii="宋体" w:hAnsi="宋体" w:eastAsia="宋体" w:cs="宋体"/>
          <w:color w:val="auto"/>
          <w:kern w:val="2"/>
          <w:sz w:val="21"/>
          <w:szCs w:val="21"/>
          <w:highlight w:val="none"/>
          <w:lang w:val="en-US" w:eastAsia="zh-CN" w:bidi="ar-SA"/>
        </w:rPr>
        <w:t>：</w:t>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变比</w:t>
      </w:r>
      <w:r>
        <w:rPr>
          <w:rFonts w:hint="eastAsia" w:ascii="宋体" w:hAnsi="宋体" w:eastAsia="宋体" w:cs="宋体"/>
          <w:color w:val="auto"/>
          <w:kern w:val="2"/>
          <w:sz w:val="21"/>
          <w:szCs w:val="21"/>
          <w:highlight w:val="none"/>
          <w:lang w:val="en-US" w:eastAsia="zh-CN" w:bidi="ar-SA"/>
        </w:rPr>
        <w:t>300/</w:t>
      </w:r>
      <w:r>
        <w:rPr>
          <w:rFonts w:hint="eastAsia" w:ascii="宋体" w:hAnsi="宋体" w:cs="宋体"/>
          <w:color w:val="auto"/>
          <w:kern w:val="2"/>
          <w:sz w:val="21"/>
          <w:szCs w:val="21"/>
          <w:highlight w:val="none"/>
          <w:lang w:val="en-US" w:eastAsia="zh-CN" w:bidi="ar-SA"/>
        </w:rPr>
        <w:t>5</w:t>
      </w:r>
      <w:r>
        <w:rPr>
          <w:rFonts w:hint="eastAsia" w:ascii="宋体" w:hAnsi="宋体" w:eastAsia="宋体" w:cs="宋体"/>
          <w:color w:val="auto"/>
          <w:kern w:val="2"/>
          <w:sz w:val="21"/>
          <w:szCs w:val="21"/>
          <w:highlight w:val="none"/>
          <w:lang w:val="en-US" w:eastAsia="zh-CN" w:bidi="ar-SA"/>
        </w:rPr>
        <w:t xml:space="preserve"> A</w:t>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准确等级5P30</w:t>
      </w:r>
    </w:p>
    <w:p w14:paraId="287847B0">
      <w:pPr>
        <w:numPr>
          <w:ilvl w:val="0"/>
          <w:numId w:val="0"/>
        </w:numPr>
        <w:spacing w:line="360" w:lineRule="auto"/>
        <w:ind w:firstLine="480"/>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励磁变低压侧</w:t>
      </w:r>
      <w:r>
        <w:rPr>
          <w:rFonts w:hint="eastAsia" w:ascii="宋体" w:hAnsi="宋体" w:cs="宋体"/>
          <w:color w:val="auto"/>
          <w:kern w:val="2"/>
          <w:sz w:val="21"/>
          <w:szCs w:val="21"/>
          <w:highlight w:val="none"/>
          <w:lang w:val="en-US" w:eastAsia="zh-CN" w:bidi="ar-SA"/>
        </w:rPr>
        <w:t>CT</w:t>
      </w:r>
      <w:r>
        <w:rPr>
          <w:rFonts w:hint="eastAsia" w:ascii="宋体" w:hAnsi="宋体" w:eastAsia="宋体" w:cs="宋体"/>
          <w:color w:val="auto"/>
          <w:kern w:val="2"/>
          <w:sz w:val="21"/>
          <w:szCs w:val="21"/>
          <w:highlight w:val="none"/>
          <w:lang w:val="en-US" w:eastAsia="zh-CN" w:bidi="ar-SA"/>
        </w:rPr>
        <w:t>：</w:t>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变比</w:t>
      </w:r>
      <w:r>
        <w:rPr>
          <w:rFonts w:hint="eastAsia" w:ascii="宋体" w:hAnsi="宋体" w:eastAsia="宋体" w:cs="宋体"/>
          <w:color w:val="auto"/>
          <w:kern w:val="2"/>
          <w:sz w:val="21"/>
          <w:szCs w:val="21"/>
          <w:highlight w:val="none"/>
          <w:lang w:val="en-US" w:eastAsia="zh-CN" w:bidi="ar-SA"/>
        </w:rPr>
        <w:t>6000/</w:t>
      </w:r>
      <w:r>
        <w:rPr>
          <w:rFonts w:hint="eastAsia" w:ascii="宋体" w:hAnsi="宋体" w:cs="宋体"/>
          <w:color w:val="auto"/>
          <w:kern w:val="2"/>
          <w:sz w:val="21"/>
          <w:szCs w:val="21"/>
          <w:highlight w:val="none"/>
          <w:lang w:val="en-US" w:eastAsia="zh-CN" w:bidi="ar-SA"/>
        </w:rPr>
        <w:t>5</w:t>
      </w:r>
      <w:r>
        <w:rPr>
          <w:rFonts w:hint="eastAsia" w:ascii="宋体" w:hAnsi="宋体" w:eastAsia="宋体" w:cs="宋体"/>
          <w:color w:val="auto"/>
          <w:kern w:val="2"/>
          <w:sz w:val="21"/>
          <w:szCs w:val="21"/>
          <w:highlight w:val="none"/>
          <w:lang w:val="en-US" w:eastAsia="zh-CN" w:bidi="ar-SA"/>
        </w:rPr>
        <w:t xml:space="preserve"> A</w:t>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准确等级5P30</w:t>
      </w:r>
    </w:p>
    <w:p w14:paraId="69DFF29C">
      <w:pPr>
        <w:numPr>
          <w:ilvl w:val="0"/>
          <w:numId w:val="0"/>
        </w:numPr>
        <w:spacing w:line="360" w:lineRule="auto"/>
        <w:ind w:firstLine="48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高压厂变高压侧</w:t>
      </w:r>
      <w:r>
        <w:rPr>
          <w:rFonts w:hint="eastAsia" w:ascii="宋体" w:hAnsi="宋体" w:cs="宋体"/>
          <w:color w:val="auto"/>
          <w:kern w:val="2"/>
          <w:sz w:val="21"/>
          <w:szCs w:val="21"/>
          <w:highlight w:val="none"/>
          <w:lang w:val="en-US" w:eastAsia="zh-CN" w:bidi="ar-SA"/>
        </w:rPr>
        <w:t>CT</w:t>
      </w:r>
      <w:r>
        <w:rPr>
          <w:rFonts w:hint="eastAsia" w:ascii="宋体" w:hAnsi="宋体" w:eastAsia="宋体" w:cs="宋体"/>
          <w:color w:val="auto"/>
          <w:kern w:val="2"/>
          <w:sz w:val="21"/>
          <w:szCs w:val="21"/>
          <w:highlight w:val="none"/>
          <w:lang w:val="en-US" w:eastAsia="zh-CN" w:bidi="ar-SA"/>
        </w:rPr>
        <w:t>：</w:t>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变比</w:t>
      </w:r>
      <w:r>
        <w:rPr>
          <w:rFonts w:hint="eastAsia" w:ascii="宋体" w:hAnsi="宋体" w:eastAsia="宋体" w:cs="宋体"/>
          <w:color w:val="auto"/>
          <w:kern w:val="2"/>
          <w:sz w:val="21"/>
          <w:szCs w:val="21"/>
          <w:highlight w:val="none"/>
          <w:lang w:val="en-US" w:eastAsia="zh-CN" w:bidi="ar-SA"/>
        </w:rPr>
        <w:t>6000/5 A</w:t>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准确等级5P40</w:t>
      </w:r>
    </w:p>
    <w:p w14:paraId="3CE248EF">
      <w:pPr>
        <w:numPr>
          <w:ilvl w:val="0"/>
          <w:numId w:val="0"/>
        </w:numPr>
        <w:spacing w:line="360" w:lineRule="auto"/>
        <w:ind w:firstLine="480"/>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高压厂变低压侧零序</w:t>
      </w:r>
      <w:r>
        <w:rPr>
          <w:rFonts w:hint="eastAsia" w:ascii="宋体" w:hAnsi="宋体" w:cs="宋体"/>
          <w:color w:val="auto"/>
          <w:kern w:val="2"/>
          <w:sz w:val="21"/>
          <w:szCs w:val="21"/>
          <w:highlight w:val="none"/>
          <w:lang w:val="en-US" w:eastAsia="zh-CN" w:bidi="ar-SA"/>
        </w:rPr>
        <w:t>CT</w:t>
      </w:r>
      <w:r>
        <w:rPr>
          <w:rFonts w:hint="eastAsia" w:ascii="宋体" w:hAnsi="宋体" w:eastAsia="宋体" w:cs="宋体"/>
          <w:color w:val="auto"/>
          <w:kern w:val="2"/>
          <w:sz w:val="21"/>
          <w:szCs w:val="21"/>
          <w:highlight w:val="none"/>
          <w:lang w:val="en-US" w:eastAsia="zh-CN" w:bidi="ar-SA"/>
        </w:rPr>
        <w:t>：</w:t>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变比</w:t>
      </w:r>
      <w:r>
        <w:rPr>
          <w:rFonts w:hint="eastAsia" w:ascii="宋体" w:hAnsi="宋体" w:eastAsia="宋体" w:cs="宋体"/>
          <w:color w:val="auto"/>
          <w:kern w:val="2"/>
          <w:sz w:val="21"/>
          <w:szCs w:val="21"/>
          <w:highlight w:val="none"/>
          <w:lang w:val="en-US" w:eastAsia="zh-CN" w:bidi="ar-SA"/>
        </w:rPr>
        <w:t>300/5 A</w:t>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准确等级5P20</w:t>
      </w:r>
    </w:p>
    <w:p w14:paraId="19C1B6BC">
      <w:pPr>
        <w:numPr>
          <w:ilvl w:val="0"/>
          <w:numId w:val="0"/>
        </w:numPr>
        <w:spacing w:line="360" w:lineRule="auto"/>
        <w:ind w:firstLine="48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厂用分支进线侧</w:t>
      </w:r>
      <w:r>
        <w:rPr>
          <w:rFonts w:hint="eastAsia" w:ascii="宋体" w:hAnsi="宋体" w:cs="宋体"/>
          <w:color w:val="auto"/>
          <w:kern w:val="2"/>
          <w:sz w:val="21"/>
          <w:szCs w:val="21"/>
          <w:highlight w:val="none"/>
          <w:lang w:val="en-US" w:eastAsia="zh-CN" w:bidi="ar-SA"/>
        </w:rPr>
        <w:t>CT</w:t>
      </w:r>
      <w:r>
        <w:rPr>
          <w:rFonts w:hint="eastAsia" w:ascii="宋体" w:hAnsi="宋体" w:eastAsia="宋体" w:cs="宋体"/>
          <w:color w:val="auto"/>
          <w:kern w:val="2"/>
          <w:sz w:val="21"/>
          <w:szCs w:val="21"/>
          <w:highlight w:val="none"/>
          <w:lang w:val="en-US" w:eastAsia="zh-CN" w:bidi="ar-SA"/>
        </w:rPr>
        <w:t>：</w:t>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变比</w:t>
      </w:r>
      <w:r>
        <w:rPr>
          <w:rFonts w:hint="eastAsia" w:ascii="宋体" w:hAnsi="宋体" w:eastAsia="宋体" w:cs="宋体"/>
          <w:color w:val="auto"/>
          <w:kern w:val="2"/>
          <w:sz w:val="21"/>
          <w:szCs w:val="21"/>
          <w:highlight w:val="none"/>
          <w:lang w:val="en-US" w:eastAsia="zh-CN" w:bidi="ar-SA"/>
        </w:rPr>
        <w:t>5000/5 A</w:t>
      </w:r>
      <w:r>
        <w:rPr>
          <w:rFonts w:hint="eastAsia" w:ascii="宋体" w:hAnsi="宋体" w:cs="宋体"/>
          <w:color w:val="auto"/>
          <w:kern w:val="2"/>
          <w:sz w:val="21"/>
          <w:szCs w:val="21"/>
          <w:highlight w:val="none"/>
          <w:lang w:val="en-US" w:eastAsia="zh-CN" w:bidi="ar-SA"/>
        </w:rPr>
        <w:tab/>
      </w:r>
      <w:r>
        <w:rPr>
          <w:rFonts w:hint="eastAsia" w:ascii="宋体" w:hAnsi="宋体" w:cs="宋体"/>
          <w:color w:val="auto"/>
          <w:kern w:val="2"/>
          <w:sz w:val="21"/>
          <w:szCs w:val="21"/>
          <w:highlight w:val="none"/>
          <w:lang w:val="en-US" w:eastAsia="zh-CN" w:bidi="ar-SA"/>
        </w:rPr>
        <w:t>准确等级5P20</w:t>
      </w:r>
    </w:p>
    <w:p w14:paraId="44DEBD60">
      <w:pPr>
        <w:numPr>
          <w:ilvl w:val="0"/>
          <w:numId w:val="0"/>
        </w:numPr>
        <w:spacing w:line="360" w:lineRule="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2）</w:t>
      </w:r>
      <w:r>
        <w:rPr>
          <w:rFonts w:hint="eastAsia" w:ascii="宋体" w:hAnsi="宋体" w:eastAsia="宋体" w:cs="宋体"/>
          <w:color w:val="auto"/>
          <w:kern w:val="2"/>
          <w:sz w:val="21"/>
          <w:szCs w:val="21"/>
          <w:highlight w:val="none"/>
          <w:lang w:val="en-US" w:eastAsia="zh-CN" w:bidi="ar-SA"/>
        </w:rPr>
        <w:t>PT二次电压：100</w:t>
      </w:r>
      <w:r>
        <w:rPr>
          <w:rFonts w:hint="eastAsia" w:ascii="宋体" w:hAnsi="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V</w:t>
      </w:r>
    </w:p>
    <w:p w14:paraId="5D2A1DE8">
      <w:pPr>
        <w:numPr>
          <w:ilvl w:val="0"/>
          <w:numId w:val="0"/>
        </w:numPr>
        <w:spacing w:line="360" w:lineRule="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3）</w:t>
      </w:r>
      <w:r>
        <w:rPr>
          <w:rFonts w:hint="eastAsia" w:ascii="宋体" w:hAnsi="宋体" w:eastAsia="宋体" w:cs="宋体"/>
          <w:color w:val="auto"/>
          <w:kern w:val="2"/>
          <w:sz w:val="21"/>
          <w:szCs w:val="21"/>
          <w:highlight w:val="none"/>
          <w:lang w:val="en-US" w:eastAsia="zh-CN" w:bidi="ar-SA"/>
        </w:rPr>
        <w:t>频率：50</w:t>
      </w:r>
      <w:r>
        <w:rPr>
          <w:rFonts w:hint="eastAsia" w:ascii="宋体" w:hAnsi="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Hz</w:t>
      </w:r>
    </w:p>
    <w:p w14:paraId="7807E204">
      <w:pPr>
        <w:numPr>
          <w:ilvl w:val="0"/>
          <w:numId w:val="0"/>
        </w:numPr>
        <w:spacing w:line="360" w:lineRule="auto"/>
        <w:outlineLvl w:val="2"/>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 xml:space="preserve">3.3.2 </w:t>
      </w:r>
      <w:r>
        <w:rPr>
          <w:rFonts w:hint="eastAsia" w:ascii="宋体" w:hAnsi="宋体" w:eastAsia="宋体" w:cs="宋体"/>
          <w:color w:val="auto"/>
          <w:kern w:val="2"/>
          <w:sz w:val="21"/>
          <w:szCs w:val="21"/>
          <w:highlight w:val="none"/>
          <w:lang w:val="en-US" w:eastAsia="zh-CN" w:bidi="ar-SA"/>
        </w:rPr>
        <w:t>500kV断路器参数</w:t>
      </w:r>
    </w:p>
    <w:p w14:paraId="7649EB15">
      <w:pPr>
        <w:numPr>
          <w:ilvl w:val="0"/>
          <w:numId w:val="0"/>
        </w:numPr>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控制电压：DC</w:t>
      </w:r>
      <w:r>
        <w:rPr>
          <w:rFonts w:hint="eastAsia" w:ascii="宋体" w:hAnsi="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115</w:t>
      </w:r>
      <w:r>
        <w:rPr>
          <w:rFonts w:hint="eastAsia" w:ascii="宋体" w:hAnsi="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V</w:t>
      </w:r>
    </w:p>
    <w:p w14:paraId="4A3CF230">
      <w:pPr>
        <w:numPr>
          <w:ilvl w:val="0"/>
          <w:numId w:val="0"/>
        </w:numPr>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合闸电流：3.5 A</w:t>
      </w:r>
    </w:p>
    <w:p w14:paraId="55805B44">
      <w:pPr>
        <w:numPr>
          <w:ilvl w:val="0"/>
          <w:numId w:val="0"/>
        </w:numPr>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跳闸电流：5.3 A（分相）</w:t>
      </w:r>
    </w:p>
    <w:p w14:paraId="047BC32C">
      <w:pPr>
        <w:numPr>
          <w:ilvl w:val="0"/>
          <w:numId w:val="0"/>
        </w:numPr>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操作方式：分相操作</w:t>
      </w:r>
    </w:p>
    <w:p w14:paraId="57EF6AFD">
      <w:pPr>
        <w:numPr>
          <w:ilvl w:val="0"/>
          <w:numId w:val="0"/>
        </w:numPr>
        <w:spacing w:line="360" w:lineRule="auto"/>
        <w:outlineLvl w:val="2"/>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 xml:space="preserve">3.3.3 </w:t>
      </w:r>
      <w:r>
        <w:rPr>
          <w:rFonts w:hint="eastAsia" w:ascii="宋体" w:hAnsi="宋体" w:eastAsia="宋体" w:cs="宋体"/>
          <w:color w:val="auto"/>
          <w:kern w:val="2"/>
          <w:sz w:val="21"/>
          <w:szCs w:val="21"/>
          <w:highlight w:val="none"/>
          <w:lang w:val="en-US" w:eastAsia="zh-CN" w:bidi="ar-SA"/>
        </w:rPr>
        <w:t>发电机出口断路器参数</w:t>
      </w:r>
    </w:p>
    <w:p w14:paraId="1B1224E8">
      <w:pPr>
        <w:numPr>
          <w:ilvl w:val="0"/>
          <w:numId w:val="0"/>
        </w:numPr>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控制电压：DC 115</w:t>
      </w:r>
      <w:r>
        <w:rPr>
          <w:rFonts w:hint="eastAsia" w:ascii="宋体" w:hAnsi="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V</w:t>
      </w:r>
    </w:p>
    <w:p w14:paraId="25F167EE">
      <w:pPr>
        <w:numPr>
          <w:ilvl w:val="0"/>
          <w:numId w:val="0"/>
        </w:numPr>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合闸电流：3.6</w:t>
      </w:r>
      <w:r>
        <w:rPr>
          <w:rFonts w:hint="eastAsia" w:ascii="宋体" w:hAnsi="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A</w:t>
      </w:r>
    </w:p>
    <w:p w14:paraId="6AFB24E0">
      <w:pPr>
        <w:numPr>
          <w:ilvl w:val="0"/>
          <w:numId w:val="0"/>
        </w:numPr>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跳闸电流：3.5</w:t>
      </w:r>
      <w:r>
        <w:rPr>
          <w:rFonts w:hint="eastAsia" w:ascii="宋体" w:hAnsi="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A</w:t>
      </w:r>
    </w:p>
    <w:p w14:paraId="38EB397E">
      <w:pPr>
        <w:numPr>
          <w:ilvl w:val="0"/>
          <w:numId w:val="0"/>
        </w:numPr>
        <w:spacing w:line="360" w:lineRule="auto"/>
        <w:outlineLvl w:val="2"/>
        <w:rPr>
          <w:rFonts w:hint="eastAsia" w:ascii="宋体" w:hAnsi="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3.3.4 磁场断路器参数</w:t>
      </w:r>
    </w:p>
    <w:p w14:paraId="23F17C65">
      <w:pPr>
        <w:numPr>
          <w:ilvl w:val="0"/>
          <w:numId w:val="0"/>
        </w:numPr>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控制电压：DC 115</w:t>
      </w:r>
      <w:r>
        <w:rPr>
          <w:rFonts w:hint="eastAsia" w:ascii="宋体" w:hAnsi="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V</w:t>
      </w:r>
    </w:p>
    <w:p w14:paraId="76FB948F">
      <w:pPr>
        <w:numPr>
          <w:ilvl w:val="0"/>
          <w:numId w:val="0"/>
        </w:numPr>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合闸电流：3</w:t>
      </w:r>
      <w:r>
        <w:rPr>
          <w:rFonts w:hint="eastAsia" w:ascii="宋体" w:hAnsi="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A</w:t>
      </w:r>
    </w:p>
    <w:p w14:paraId="644BF851">
      <w:pPr>
        <w:numPr>
          <w:ilvl w:val="0"/>
          <w:numId w:val="0"/>
        </w:numPr>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跳闸电流：3 A</w:t>
      </w:r>
    </w:p>
    <w:p w14:paraId="746F6DAE">
      <w:pPr>
        <w:numPr>
          <w:ilvl w:val="0"/>
          <w:numId w:val="0"/>
        </w:numPr>
        <w:spacing w:line="360" w:lineRule="auto"/>
        <w:outlineLvl w:val="2"/>
        <w:rPr>
          <w:rFonts w:hint="eastAsia" w:ascii="宋体" w:hAnsi="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3.3.5 中压断路器参数</w:t>
      </w:r>
    </w:p>
    <w:p w14:paraId="56FEDDC9">
      <w:pPr>
        <w:numPr>
          <w:ilvl w:val="0"/>
          <w:numId w:val="0"/>
        </w:numPr>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控制电压：DC 115</w:t>
      </w:r>
      <w:r>
        <w:rPr>
          <w:rFonts w:hint="eastAsia" w:ascii="宋体" w:hAnsi="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V</w:t>
      </w:r>
    </w:p>
    <w:p w14:paraId="1EF2C318">
      <w:pPr>
        <w:numPr>
          <w:ilvl w:val="0"/>
          <w:numId w:val="0"/>
        </w:numPr>
        <w:spacing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合闸电流：3</w:t>
      </w:r>
      <w:r>
        <w:rPr>
          <w:rFonts w:hint="eastAsia" w:ascii="宋体" w:hAnsi="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A</w:t>
      </w:r>
    </w:p>
    <w:p w14:paraId="61CCA237">
      <w:pPr>
        <w:numPr>
          <w:ilvl w:val="0"/>
          <w:numId w:val="0"/>
        </w:numPr>
        <w:adjustRightInd/>
        <w:spacing w:before="0" w:after="0"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跳闸电流：3 A</w:t>
      </w:r>
    </w:p>
    <w:p w14:paraId="63416502">
      <w:pPr>
        <w:numPr>
          <w:ilvl w:val="-1"/>
          <w:numId w:val="0"/>
        </w:numPr>
        <w:spacing w:line="360" w:lineRule="auto"/>
        <w:ind w:left="0" w:firstLine="0" w:firstLineChars="0"/>
        <w:outlineLvl w:val="1"/>
        <w:rPr>
          <w:rFonts w:hint="eastAsia" w:ascii="宋体" w:hAnsi="宋体" w:eastAsia="宋体" w:cs="宋体"/>
          <w:b/>
          <w:color w:val="auto"/>
          <w:sz w:val="24"/>
          <w:szCs w:val="24"/>
          <w:highlight w:val="none"/>
        </w:rPr>
      </w:pPr>
      <w:r>
        <w:rPr>
          <w:rFonts w:hint="eastAsia" w:ascii="宋体" w:hAnsi="宋体" w:eastAsia="宋体" w:cs="宋体"/>
          <w:b/>
          <w:color w:val="auto"/>
          <w:kern w:val="2"/>
          <w:sz w:val="24"/>
          <w:szCs w:val="24"/>
          <w:highlight w:val="none"/>
          <w:lang w:val="en-US" w:eastAsia="zh-CN" w:bidi="ar-SA"/>
        </w:rPr>
        <w:t xml:space="preserve">3.4 </w:t>
      </w:r>
      <w:r>
        <w:rPr>
          <w:rFonts w:hint="eastAsia" w:ascii="宋体" w:hAnsi="宋体" w:eastAsia="宋体" w:cs="宋体"/>
          <w:b/>
          <w:color w:val="auto"/>
          <w:sz w:val="24"/>
          <w:szCs w:val="24"/>
          <w:highlight w:val="none"/>
        </w:rPr>
        <w:t>整套装置的主要功能</w:t>
      </w:r>
    </w:p>
    <w:p w14:paraId="5972C73D">
      <w:pPr>
        <w:numPr>
          <w:ilvl w:val="-1"/>
          <w:numId w:val="0"/>
        </w:numPr>
        <w:snapToGrid/>
        <w:spacing w:line="360" w:lineRule="auto"/>
        <w:ind w:left="0" w:firstLine="0"/>
        <w:outlineLvl w:val="2"/>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3.4.1 </w:t>
      </w:r>
      <w:r>
        <w:rPr>
          <w:rFonts w:hint="eastAsia" w:ascii="宋体" w:hAnsi="宋体" w:cs="宋体"/>
          <w:color w:val="auto"/>
          <w:sz w:val="21"/>
          <w:szCs w:val="21"/>
          <w:highlight w:val="none"/>
        </w:rPr>
        <w:t>微机保护的额定输入</w:t>
      </w:r>
    </w:p>
    <w:p w14:paraId="2465A355">
      <w:pPr>
        <w:numPr>
          <w:ilvl w:val="0"/>
          <w:numId w:val="0"/>
        </w:numPr>
        <w:spacing w:line="360" w:lineRule="auto"/>
        <w:ind w:left="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额定交流电流：5</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A、1</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A（详见保护配置图）</w:t>
      </w:r>
    </w:p>
    <w:p w14:paraId="0DF30B8B">
      <w:pPr>
        <w:numPr>
          <w:ilvl w:val="0"/>
          <w:numId w:val="0"/>
        </w:numPr>
        <w:spacing w:line="360" w:lineRule="auto"/>
        <w:ind w:left="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额定交流电压：100</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rPr>
        <w:t>V（相间），100</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rPr>
        <w:t>V（零序电压）</w:t>
      </w:r>
    </w:p>
    <w:p w14:paraId="7DB9A1A2">
      <w:pPr>
        <w:numPr>
          <w:ilvl w:val="0"/>
          <w:numId w:val="0"/>
        </w:numPr>
        <w:spacing w:line="360" w:lineRule="auto"/>
        <w:ind w:left="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额定交流频率：50</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rPr>
        <w:t>Hz</w:t>
      </w:r>
    </w:p>
    <w:p w14:paraId="510DBE76">
      <w:pPr>
        <w:numPr>
          <w:ilvl w:val="0"/>
          <w:numId w:val="0"/>
        </w:numPr>
        <w:spacing w:line="360" w:lineRule="auto"/>
        <w:ind w:left="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直流电源电压：</w:t>
      </w:r>
      <w:r>
        <w:rPr>
          <w:rFonts w:hint="eastAsia" w:ascii="宋体" w:hAnsi="宋体" w:cs="宋体"/>
          <w:color w:val="auto"/>
          <w:sz w:val="21"/>
          <w:szCs w:val="21"/>
          <w:highlight w:val="none"/>
          <w:u w:val="none"/>
        </w:rPr>
        <w:t>93.5</w:t>
      </w:r>
      <w:r>
        <w:rPr>
          <w:rFonts w:hint="eastAsia" w:ascii="宋体" w:hAnsi="宋体" w:eastAsia="宋体" w:cs="宋体"/>
          <w:color w:val="auto"/>
          <w:sz w:val="21"/>
          <w:szCs w:val="21"/>
          <w:highlight w:val="none"/>
          <w:u w:val="none"/>
        </w:rPr>
        <w:t>～</w:t>
      </w:r>
      <w:r>
        <w:rPr>
          <w:rFonts w:hint="eastAsia" w:ascii="宋体" w:hAnsi="宋体" w:cs="宋体"/>
          <w:color w:val="auto"/>
          <w:sz w:val="21"/>
          <w:szCs w:val="21"/>
          <w:highlight w:val="none"/>
          <w:u w:val="none"/>
        </w:rPr>
        <w:t>121</w:t>
      </w:r>
      <w:r>
        <w:rPr>
          <w:rFonts w:hint="eastAsia" w:ascii="宋体" w:hAnsi="宋体" w:eastAsia="宋体" w:cs="宋体"/>
          <w:color w:val="auto"/>
          <w:sz w:val="21"/>
          <w:szCs w:val="21"/>
          <w:highlight w:val="none"/>
          <w:u w:val="none"/>
          <w:lang w:val="en-US" w:eastAsia="zh-CN"/>
        </w:rPr>
        <w:t xml:space="preserve"> </w:t>
      </w:r>
      <w:r>
        <w:rPr>
          <w:rFonts w:hint="eastAsia" w:ascii="宋体" w:hAnsi="宋体" w:cs="宋体"/>
          <w:color w:val="auto"/>
          <w:sz w:val="21"/>
          <w:szCs w:val="21"/>
          <w:highlight w:val="none"/>
        </w:rPr>
        <w:t>V，电源波纹系数不大于5</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w:t>
      </w:r>
    </w:p>
    <w:p w14:paraId="408275DD">
      <w:pPr>
        <w:numPr>
          <w:ilvl w:val="-1"/>
          <w:numId w:val="0"/>
        </w:numPr>
        <w:snapToGrid/>
        <w:spacing w:line="360" w:lineRule="auto"/>
        <w:ind w:left="0" w:firstLine="0"/>
        <w:outlineLvl w:val="2"/>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3.4.2 </w:t>
      </w:r>
      <w:r>
        <w:rPr>
          <w:rFonts w:hint="eastAsia" w:ascii="宋体" w:hAnsi="宋体" w:cs="宋体"/>
          <w:color w:val="auto"/>
          <w:sz w:val="21"/>
          <w:szCs w:val="21"/>
          <w:highlight w:val="none"/>
        </w:rPr>
        <w:t>微机保护的过载能力</w:t>
      </w:r>
    </w:p>
    <w:p w14:paraId="5B1B1676">
      <w:pPr>
        <w:numPr>
          <w:ilvl w:val="0"/>
          <w:numId w:val="0"/>
        </w:numPr>
        <w:spacing w:line="360" w:lineRule="auto"/>
        <w:ind w:left="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交流电流回路：2倍额定电流，连续工作</w:t>
      </w:r>
    </w:p>
    <w:p w14:paraId="260D2FDA">
      <w:pPr>
        <w:numPr>
          <w:ilvl w:val="0"/>
          <w:numId w:val="0"/>
        </w:numPr>
        <w:spacing w:line="360" w:lineRule="auto"/>
        <w:ind w:left="0" w:firstLine="1890" w:firstLineChars="900"/>
        <w:rPr>
          <w:rFonts w:hint="eastAsia" w:ascii="宋体" w:hAnsi="宋体" w:cs="宋体"/>
          <w:color w:val="auto"/>
          <w:sz w:val="21"/>
          <w:szCs w:val="21"/>
          <w:highlight w:val="none"/>
        </w:rPr>
      </w:pPr>
      <w:r>
        <w:rPr>
          <w:rFonts w:hint="eastAsia" w:ascii="宋体" w:hAnsi="宋体" w:cs="宋体"/>
          <w:color w:val="auto"/>
          <w:sz w:val="21"/>
          <w:szCs w:val="21"/>
          <w:highlight w:val="none"/>
        </w:rPr>
        <w:t>10倍额定电流，工作≥10</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s</w:t>
      </w:r>
    </w:p>
    <w:p w14:paraId="03184841">
      <w:pPr>
        <w:numPr>
          <w:ilvl w:val="0"/>
          <w:numId w:val="0"/>
        </w:numPr>
        <w:spacing w:line="360" w:lineRule="auto"/>
        <w:ind w:firstLine="1890" w:firstLineChars="900"/>
        <w:rPr>
          <w:rFonts w:hint="eastAsia" w:ascii="宋体" w:hAnsi="宋体" w:cs="宋体"/>
          <w:color w:val="auto"/>
          <w:sz w:val="21"/>
          <w:szCs w:val="21"/>
          <w:highlight w:val="none"/>
        </w:rPr>
      </w:pPr>
      <w:r>
        <w:rPr>
          <w:rFonts w:hint="eastAsia" w:ascii="宋体" w:hAnsi="宋体" w:cs="宋体"/>
          <w:color w:val="auto"/>
          <w:sz w:val="21"/>
          <w:szCs w:val="21"/>
          <w:highlight w:val="none"/>
        </w:rPr>
        <w:t>40倍额定电流，工作≥1</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s</w:t>
      </w:r>
    </w:p>
    <w:p w14:paraId="0F9A645B">
      <w:pPr>
        <w:numPr>
          <w:ilvl w:val="0"/>
          <w:numId w:val="0"/>
        </w:numPr>
        <w:spacing w:line="360" w:lineRule="auto"/>
        <w:ind w:left="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交流电压回路：1.2倍额定电压连续工作</w:t>
      </w:r>
    </w:p>
    <w:p w14:paraId="3DB1107A">
      <w:pPr>
        <w:pStyle w:val="10"/>
        <w:numPr>
          <w:ilvl w:val="-1"/>
          <w:numId w:val="0"/>
        </w:numPr>
        <w:adjustRightInd/>
        <w:snapToGrid/>
        <w:spacing w:line="360" w:lineRule="auto"/>
        <w:ind w:left="0" w:firstLine="0"/>
        <w:textAlignment w:val="auto"/>
        <w:rPr>
          <w:rFonts w:hint="eastAsia" w:ascii="宋体" w:hAnsi="宋体" w:cs="宋体"/>
          <w:color w:val="auto"/>
          <w:kern w:val="2"/>
          <w:sz w:val="21"/>
          <w:szCs w:val="21"/>
          <w:highlight w:val="none"/>
        </w:rPr>
      </w:pPr>
      <w:r>
        <w:rPr>
          <w:rFonts w:hint="eastAsia" w:hAnsi="宋体" w:cs="宋体"/>
          <w:color w:val="auto"/>
          <w:kern w:val="2"/>
          <w:sz w:val="21"/>
          <w:szCs w:val="21"/>
          <w:highlight w:val="none"/>
          <w:lang w:val="en-US" w:eastAsia="zh-CN"/>
        </w:rPr>
        <w:t xml:space="preserve">3.4.3 </w:t>
      </w:r>
      <w:r>
        <w:rPr>
          <w:rFonts w:hint="eastAsia" w:ascii="宋体" w:hAnsi="宋体" w:cs="宋体"/>
          <w:color w:val="auto"/>
          <w:kern w:val="2"/>
          <w:sz w:val="21"/>
          <w:szCs w:val="21"/>
          <w:highlight w:val="none"/>
        </w:rPr>
        <w:t>装置应具有独立性、完整性和成套性。被保护设备包括发电机、励磁变、主变压器、高压厂变等，保护装置按上述元件双重化独立配置。非电量保护</w:t>
      </w:r>
      <w:r>
        <w:rPr>
          <w:rFonts w:hint="eastAsia" w:ascii="宋体" w:hAnsi="宋体" w:cs="宋体"/>
          <w:color w:val="auto"/>
          <w:sz w:val="21"/>
          <w:szCs w:val="21"/>
          <w:highlight w:val="none"/>
        </w:rPr>
        <w:t>单套配置。</w:t>
      </w:r>
      <w:r>
        <w:rPr>
          <w:rFonts w:hint="eastAsia" w:ascii="宋体" w:hAnsi="宋体" w:cs="宋体"/>
          <w:color w:val="auto"/>
          <w:kern w:val="2"/>
          <w:sz w:val="21"/>
          <w:szCs w:val="21"/>
          <w:highlight w:val="none"/>
        </w:rPr>
        <w:t>在成套装置内应具有被保护设备所必需的保护功能。</w:t>
      </w:r>
    </w:p>
    <w:p w14:paraId="64060790">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投标人应在投标时提供保护原理及实现方式的具体说明。</w:t>
      </w:r>
    </w:p>
    <w:p w14:paraId="184BEBCE">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3.4.4 </w:t>
      </w:r>
      <w:r>
        <w:rPr>
          <w:rFonts w:hint="eastAsia" w:ascii="宋体" w:hAnsi="宋体" w:cs="宋体"/>
          <w:color w:val="auto"/>
          <w:sz w:val="21"/>
          <w:szCs w:val="21"/>
          <w:highlight w:val="none"/>
        </w:rPr>
        <w:t>各种保护装置的动作特性应不受交流输入量的频率变化影响，特别在机组起动时的低频状态下。</w:t>
      </w:r>
    </w:p>
    <w:p w14:paraId="356F2E0F">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3.4.5 </w:t>
      </w:r>
      <w:r>
        <w:rPr>
          <w:rFonts w:hint="eastAsia" w:ascii="宋体" w:hAnsi="宋体" w:cs="宋体"/>
          <w:color w:val="auto"/>
          <w:sz w:val="21"/>
          <w:szCs w:val="21"/>
          <w:highlight w:val="none"/>
        </w:rPr>
        <w:t>各种保护装置测量元件设定值与实际动作值的误差应小于±3</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，时间元件的误差应小于±3</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。各种保护装置的CPU负荷率应小于30</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w:t>
      </w:r>
    </w:p>
    <w:p w14:paraId="6E3880DF">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3.4.6 </w:t>
      </w:r>
      <w:r>
        <w:rPr>
          <w:rFonts w:hint="eastAsia" w:ascii="宋体" w:hAnsi="宋体" w:cs="宋体"/>
          <w:color w:val="auto"/>
          <w:sz w:val="21"/>
          <w:szCs w:val="21"/>
          <w:highlight w:val="none"/>
        </w:rPr>
        <w:t>装置的强电开入回路应与装置保护电源隔离；开入回路的启动电压值不大于0.7倍额定电压值，且不小于0.55倍额定电压值。动作速度不小于10</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ms。</w:t>
      </w:r>
    </w:p>
    <w:p w14:paraId="197F3EBD">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3.4.7 </w:t>
      </w:r>
      <w:r>
        <w:rPr>
          <w:rFonts w:hint="eastAsia" w:ascii="宋体" w:hAnsi="宋体" w:cs="宋体"/>
          <w:color w:val="auto"/>
          <w:sz w:val="21"/>
          <w:szCs w:val="21"/>
          <w:highlight w:val="none"/>
        </w:rPr>
        <w:t>所有涉及直接跳闸的回路应采用启动电压值不大于0.7倍额定电压值，且不小于0.55倍额定电压值的中间继电器，并要求启动功率不低于5</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W。</w:t>
      </w:r>
    </w:p>
    <w:p w14:paraId="36A30DCA">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3.4.8 </w:t>
      </w:r>
      <w:r>
        <w:rPr>
          <w:rFonts w:hint="eastAsia" w:ascii="宋体" w:hAnsi="宋体" w:cs="宋体"/>
          <w:color w:val="auto"/>
          <w:sz w:val="21"/>
          <w:szCs w:val="21"/>
          <w:highlight w:val="none"/>
        </w:rPr>
        <w:t>各种保护装置应具备宽广的整定范围，当直流电源消失时整定值</w:t>
      </w:r>
      <w:r>
        <w:rPr>
          <w:rFonts w:hint="eastAsia" w:ascii="宋体" w:hAnsi="宋体" w:cs="宋体"/>
          <w:color w:val="auto"/>
          <w:sz w:val="21"/>
          <w:szCs w:val="21"/>
          <w:highlight w:val="none"/>
          <w:lang w:val="en-US" w:eastAsia="zh-CN"/>
        </w:rPr>
        <w:t>不应</w:t>
      </w:r>
      <w:r>
        <w:rPr>
          <w:rFonts w:hint="eastAsia" w:ascii="宋体" w:hAnsi="宋体" w:cs="宋体"/>
          <w:color w:val="auto"/>
          <w:sz w:val="21"/>
          <w:szCs w:val="21"/>
          <w:highlight w:val="none"/>
        </w:rPr>
        <w:t>丢失。</w:t>
      </w:r>
    </w:p>
    <w:p w14:paraId="5ACB9EF3">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3.4.9 </w:t>
      </w:r>
      <w:r>
        <w:rPr>
          <w:rFonts w:hint="eastAsia" w:ascii="宋体" w:hAnsi="宋体" w:cs="宋体"/>
          <w:color w:val="auto"/>
          <w:sz w:val="21"/>
          <w:szCs w:val="21"/>
          <w:highlight w:val="none"/>
        </w:rPr>
        <w:t>宜采用电流、电压电气量判别机组运行状态的变化，若采用外部输入接点判别时，输入接点异常时应能发出告警信号。</w:t>
      </w:r>
    </w:p>
    <w:p w14:paraId="45FAD9E8">
      <w:pPr>
        <w:pStyle w:val="10"/>
        <w:numPr>
          <w:ilvl w:val="-1"/>
          <w:numId w:val="0"/>
        </w:numPr>
        <w:adjustRightInd/>
        <w:snapToGrid/>
        <w:spacing w:line="360" w:lineRule="auto"/>
        <w:ind w:left="0" w:firstLine="0"/>
        <w:textAlignment w:val="auto"/>
        <w:rPr>
          <w:rFonts w:hint="eastAsia" w:ascii="宋体" w:hAnsi="宋体" w:cs="宋体"/>
          <w:color w:val="auto"/>
          <w:sz w:val="21"/>
          <w:szCs w:val="21"/>
          <w:highlight w:val="none"/>
        </w:rPr>
      </w:pPr>
      <w:r>
        <w:rPr>
          <w:rFonts w:hint="eastAsia" w:hAnsi="宋体" w:cs="宋体"/>
          <w:color w:val="auto"/>
          <w:kern w:val="2"/>
          <w:sz w:val="21"/>
          <w:szCs w:val="21"/>
          <w:highlight w:val="none"/>
          <w:lang w:val="en-US" w:eastAsia="zh-CN"/>
        </w:rPr>
        <w:t xml:space="preserve">3.4.10 </w:t>
      </w:r>
      <w:r>
        <w:rPr>
          <w:rFonts w:hint="eastAsia" w:ascii="宋体" w:hAnsi="宋体" w:cs="宋体"/>
          <w:color w:val="auto"/>
          <w:kern w:val="2"/>
          <w:sz w:val="21"/>
          <w:szCs w:val="21"/>
          <w:highlight w:val="none"/>
        </w:rPr>
        <w:t>保护装置应具备事件记录及故障录波等功能，当直流电源消失时，所记录的信息量不应丢失。</w:t>
      </w:r>
    </w:p>
    <w:p w14:paraId="7FD5DC5A">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3.4.11 </w:t>
      </w:r>
      <w:r>
        <w:rPr>
          <w:rFonts w:hint="eastAsia" w:ascii="宋体" w:hAnsi="宋体" w:cs="宋体"/>
          <w:color w:val="auto"/>
          <w:sz w:val="21"/>
          <w:szCs w:val="21"/>
          <w:highlight w:val="none"/>
        </w:rPr>
        <w:t>事件记录的分辨率应不大于1</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ms。故障录波每个录波的最大持续时间不小于10周波。</w:t>
      </w:r>
    </w:p>
    <w:p w14:paraId="2E4FA84D">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3.4.12 </w:t>
      </w:r>
      <w:r>
        <w:rPr>
          <w:rFonts w:hint="eastAsia" w:ascii="宋体" w:hAnsi="宋体" w:cs="宋体"/>
          <w:color w:val="auto"/>
          <w:sz w:val="21"/>
          <w:szCs w:val="21"/>
          <w:highlight w:val="none"/>
        </w:rPr>
        <w:t>采样回路应采用A/D冗余结构（公用一个电压或电流源），采样频率不应低于1000 Hz。保护装置的每个电流采样回路应能满足0.1I</w:t>
      </w:r>
      <w:r>
        <w:rPr>
          <w:rFonts w:hint="eastAsia" w:ascii="宋体" w:hAnsi="宋体" w:cs="宋体"/>
          <w:color w:val="auto"/>
          <w:sz w:val="21"/>
          <w:szCs w:val="21"/>
          <w:highlight w:val="none"/>
          <w:vertAlign w:val="subscript"/>
        </w:rPr>
        <w:t>N</w:t>
      </w:r>
      <w:r>
        <w:rPr>
          <w:rFonts w:hint="eastAsia" w:ascii="宋体" w:hAnsi="宋体" w:cs="宋体"/>
          <w:color w:val="auto"/>
          <w:sz w:val="21"/>
          <w:szCs w:val="21"/>
          <w:highlight w:val="none"/>
        </w:rPr>
        <w:t>以下使用要求，在（0.05～30）I</w:t>
      </w:r>
      <w:r>
        <w:rPr>
          <w:rFonts w:hint="eastAsia" w:ascii="宋体" w:hAnsi="宋体" w:cs="宋体"/>
          <w:color w:val="auto"/>
          <w:sz w:val="21"/>
          <w:szCs w:val="21"/>
          <w:highlight w:val="none"/>
          <w:vertAlign w:val="subscript"/>
        </w:rPr>
        <w:t>N</w:t>
      </w:r>
      <w:r>
        <w:rPr>
          <w:rFonts w:hint="eastAsia" w:ascii="宋体" w:hAnsi="宋体" w:cs="宋体"/>
          <w:color w:val="auto"/>
          <w:sz w:val="21"/>
          <w:szCs w:val="21"/>
          <w:highlight w:val="none"/>
        </w:rPr>
        <w:t>时相对误差不大于5</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或绝对误差不大于2</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I</w:t>
      </w:r>
      <w:r>
        <w:rPr>
          <w:rFonts w:hint="eastAsia" w:ascii="宋体" w:hAnsi="宋体" w:cs="宋体"/>
          <w:color w:val="auto"/>
          <w:sz w:val="21"/>
          <w:szCs w:val="21"/>
          <w:highlight w:val="none"/>
          <w:vertAlign w:val="subscript"/>
        </w:rPr>
        <w:t>N</w:t>
      </w:r>
      <w:r>
        <w:rPr>
          <w:rFonts w:hint="eastAsia" w:ascii="宋体" w:hAnsi="宋体" w:cs="宋体"/>
          <w:color w:val="auto"/>
          <w:sz w:val="21"/>
          <w:szCs w:val="21"/>
          <w:highlight w:val="none"/>
        </w:rPr>
        <w:t>。启动和故障判别功能宜由不同的CPU完成，保护出口宜由不同</w:t>
      </w:r>
      <w:r>
        <w:rPr>
          <w:rFonts w:hint="eastAsia" w:ascii="宋体" w:hAnsi="宋体" w:cs="宋体"/>
          <w:color w:val="auto"/>
          <w:sz w:val="21"/>
          <w:szCs w:val="21"/>
          <w:highlight w:val="none"/>
          <w:lang w:val="en-US" w:eastAsia="zh-CN"/>
        </w:rPr>
        <w:t>的</w:t>
      </w:r>
      <w:r>
        <w:rPr>
          <w:rFonts w:hint="eastAsia" w:ascii="宋体" w:hAnsi="宋体" w:cs="宋体"/>
          <w:color w:val="auto"/>
          <w:sz w:val="21"/>
          <w:szCs w:val="21"/>
          <w:highlight w:val="none"/>
        </w:rPr>
        <w:t>CPU控制。</w:t>
      </w:r>
    </w:p>
    <w:p w14:paraId="7126D156">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3.4.13 </w:t>
      </w:r>
      <w:r>
        <w:rPr>
          <w:rFonts w:hint="eastAsia" w:ascii="宋体" w:hAnsi="宋体" w:cs="宋体"/>
          <w:color w:val="auto"/>
          <w:sz w:val="21"/>
          <w:szCs w:val="21"/>
          <w:highlight w:val="none"/>
        </w:rPr>
        <w:t>保护装置应具有同步时钟对时功能，具有硬对时和软对时接口，可采用RS-485串行数据通信接口接收同步时钟发出IRIG-B（DC）时码作为对时信号源，对时误差&lt;1 ms。</w:t>
      </w:r>
    </w:p>
    <w:p w14:paraId="0C058892">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3.4.14 </w:t>
      </w:r>
      <w:r>
        <w:rPr>
          <w:rFonts w:hint="eastAsia" w:ascii="宋体" w:hAnsi="宋体" w:cs="宋体"/>
          <w:color w:val="auto"/>
          <w:sz w:val="21"/>
          <w:szCs w:val="21"/>
          <w:highlight w:val="none"/>
        </w:rPr>
        <w:t>保护装置中的各类保护，应设有方便的投退功能，并能在装置面板上显示。设置跳闸出口压板。</w:t>
      </w:r>
    </w:p>
    <w:p w14:paraId="38E08DB0">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3.4.15 </w:t>
      </w:r>
      <w:r>
        <w:rPr>
          <w:rFonts w:hint="eastAsia" w:ascii="宋体" w:hAnsi="宋体" w:cs="宋体"/>
          <w:color w:val="auto"/>
          <w:sz w:val="21"/>
          <w:szCs w:val="21"/>
          <w:highlight w:val="none"/>
        </w:rPr>
        <w:t>保护装置应具备在线连续监视和自检功能，装置故障时，应发出相应的信号，且不能造成保护误动作。包括保护硬件损坏、功能失效和二次回路异常运行状态的自动检测。除出口继电器外，装置内的任一元件损坏时，装置不应误动作跳闸，自动检测回路应能发出告警或装置异常信号，并给出有关信息指明损坏元件的所在部位，在最不利情况下应能将故障定位至模块（插件）。</w:t>
      </w:r>
    </w:p>
    <w:p w14:paraId="5E3FE242">
      <w:pPr>
        <w:numPr>
          <w:ilvl w:val="-1"/>
          <w:numId w:val="0"/>
        </w:numPr>
        <w:snapToGrid/>
        <w:spacing w:line="360" w:lineRule="auto"/>
        <w:ind w:left="0" w:firstLine="0"/>
        <w:outlineLvl w:val="2"/>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3.4.16 </w:t>
      </w:r>
      <w:r>
        <w:rPr>
          <w:rFonts w:hint="eastAsia" w:ascii="宋体" w:hAnsi="宋体" w:cs="宋体"/>
          <w:color w:val="auto"/>
          <w:sz w:val="21"/>
          <w:szCs w:val="21"/>
          <w:highlight w:val="none"/>
        </w:rPr>
        <w:t>保护装置各保护软件在任何情况下都不得相互影响。</w:t>
      </w:r>
    </w:p>
    <w:p w14:paraId="258DBA10">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3.4.17 </w:t>
      </w:r>
      <w:r>
        <w:rPr>
          <w:rFonts w:hint="eastAsia" w:ascii="宋体" w:hAnsi="宋体" w:eastAsia="宋体" w:cs="宋体"/>
          <w:b w:val="0"/>
          <w:bCs w:val="0"/>
          <w:color w:val="auto"/>
          <w:kern w:val="2"/>
          <w:sz w:val="21"/>
          <w:szCs w:val="21"/>
          <w:highlight w:val="none"/>
          <w:lang w:val="en-US" w:eastAsia="zh-CN" w:bidi="ar-SA"/>
        </w:rPr>
        <w:t>保护装置的主网口应按3路光口配置，发变组保护信息应</w:t>
      </w:r>
      <w:r>
        <w:rPr>
          <w:rFonts w:hint="eastAsia" w:cs="宋体"/>
          <w:b w:val="0"/>
          <w:bCs w:val="0"/>
          <w:color w:val="auto"/>
          <w:kern w:val="2"/>
          <w:sz w:val="21"/>
          <w:szCs w:val="21"/>
          <w:highlight w:val="none"/>
          <w:lang w:val="en-US" w:eastAsia="zh-CN" w:bidi="ar-SA"/>
        </w:rPr>
        <w:t>在保护管理机屏</w:t>
      </w:r>
      <w:r>
        <w:rPr>
          <w:rFonts w:hint="eastAsia" w:ascii="宋体" w:hAnsi="宋体" w:eastAsia="宋体" w:cs="宋体"/>
          <w:b w:val="0"/>
          <w:bCs w:val="0"/>
          <w:color w:val="auto"/>
          <w:kern w:val="2"/>
          <w:sz w:val="21"/>
          <w:szCs w:val="21"/>
          <w:highlight w:val="none"/>
          <w:lang w:val="en-US" w:eastAsia="zh-CN" w:bidi="ar-SA"/>
        </w:rPr>
        <w:t>组网后</w:t>
      </w:r>
      <w:r>
        <w:rPr>
          <w:rFonts w:hint="eastAsia" w:cs="宋体"/>
          <w:b w:val="0"/>
          <w:bCs w:val="0"/>
          <w:color w:val="auto"/>
          <w:kern w:val="2"/>
          <w:sz w:val="21"/>
          <w:szCs w:val="21"/>
          <w:highlight w:val="none"/>
          <w:lang w:val="en-US" w:eastAsia="zh-CN" w:bidi="ar-SA"/>
        </w:rPr>
        <w:t>通过</w:t>
      </w:r>
      <w:r>
        <w:rPr>
          <w:rFonts w:hint="eastAsia" w:ascii="宋体" w:hAnsi="宋体" w:eastAsia="宋体" w:cs="宋体"/>
          <w:b w:val="0"/>
          <w:bCs w:val="0"/>
          <w:color w:val="auto"/>
          <w:kern w:val="2"/>
          <w:sz w:val="21"/>
          <w:szCs w:val="21"/>
          <w:highlight w:val="none"/>
          <w:lang w:val="en-US" w:eastAsia="zh-CN" w:bidi="ar-SA"/>
        </w:rPr>
        <w:t>两台光交换机</w:t>
      </w:r>
      <w:r>
        <w:rPr>
          <w:rFonts w:hint="eastAsia" w:cs="宋体"/>
          <w:b w:val="0"/>
          <w:bCs w:val="0"/>
          <w:color w:val="auto"/>
          <w:kern w:val="2"/>
          <w:sz w:val="21"/>
          <w:szCs w:val="21"/>
          <w:highlight w:val="none"/>
          <w:lang w:val="en-US" w:eastAsia="zh-CN" w:bidi="ar-SA"/>
        </w:rPr>
        <w:t>双通道</w:t>
      </w:r>
      <w:r>
        <w:rPr>
          <w:rFonts w:hint="eastAsia" w:ascii="宋体" w:hAnsi="宋体" w:eastAsia="宋体" w:cs="宋体"/>
          <w:b w:val="0"/>
          <w:bCs w:val="0"/>
          <w:color w:val="auto"/>
          <w:kern w:val="2"/>
          <w:sz w:val="21"/>
          <w:szCs w:val="21"/>
          <w:highlight w:val="none"/>
          <w:lang w:val="en-US" w:eastAsia="zh-CN" w:bidi="ar-SA"/>
        </w:rPr>
        <w:t>送至</w:t>
      </w:r>
      <w:r>
        <w:rPr>
          <w:rFonts w:hint="eastAsia" w:ascii="宋体" w:hAnsi="宋体" w:cs="宋体"/>
          <w:b w:val="0"/>
          <w:bCs w:val="0"/>
          <w:color w:val="auto"/>
          <w:kern w:val="2"/>
          <w:sz w:val="21"/>
          <w:szCs w:val="21"/>
          <w:highlight w:val="none"/>
          <w:lang w:val="en-US" w:eastAsia="zh-CN" w:bidi="ar-SA"/>
        </w:rPr>
        <w:t>现有500kV</w:t>
      </w:r>
      <w:r>
        <w:rPr>
          <w:rFonts w:hint="eastAsia" w:cs="宋体"/>
          <w:b w:val="0"/>
          <w:bCs w:val="0"/>
          <w:color w:val="auto"/>
          <w:kern w:val="2"/>
          <w:sz w:val="21"/>
          <w:szCs w:val="21"/>
          <w:highlight w:val="none"/>
          <w:lang w:val="en-US" w:eastAsia="zh-CN" w:bidi="ar-SA"/>
        </w:rPr>
        <w:t>继电保护信息</w:t>
      </w:r>
      <w:r>
        <w:rPr>
          <w:rFonts w:hint="eastAsia" w:ascii="宋体" w:hAnsi="宋体" w:eastAsia="宋体" w:cs="宋体"/>
          <w:b w:val="0"/>
          <w:bCs w:val="0"/>
          <w:color w:val="auto"/>
          <w:kern w:val="2"/>
          <w:sz w:val="21"/>
          <w:szCs w:val="21"/>
          <w:highlight w:val="none"/>
          <w:lang w:val="en-US" w:eastAsia="zh-CN" w:bidi="ar-SA"/>
        </w:rPr>
        <w:t>子站</w:t>
      </w:r>
      <w:r>
        <w:rPr>
          <w:rFonts w:hint="eastAsia" w:ascii="宋体" w:hAnsi="宋体" w:cs="宋体"/>
          <w:b w:val="0"/>
          <w:bCs w:val="0"/>
          <w:color w:val="auto"/>
          <w:kern w:val="2"/>
          <w:sz w:val="21"/>
          <w:szCs w:val="21"/>
          <w:highlight w:val="none"/>
          <w:lang w:val="en-US" w:eastAsia="zh-CN" w:bidi="ar-SA"/>
        </w:rPr>
        <w:t>（上海泽鑫Z2000型继电保护故障信息系统）</w:t>
      </w:r>
      <w:r>
        <w:rPr>
          <w:rFonts w:hint="eastAsia" w:ascii="宋体" w:hAnsi="宋体" w:eastAsia="宋体" w:cs="宋体"/>
          <w:b w:val="0"/>
          <w:bCs w:val="0"/>
          <w:color w:val="auto"/>
          <w:kern w:val="2"/>
          <w:sz w:val="21"/>
          <w:szCs w:val="21"/>
          <w:highlight w:val="none"/>
          <w:lang w:val="en-US" w:eastAsia="zh-CN" w:bidi="ar-SA"/>
        </w:rPr>
        <w:t>。</w:t>
      </w:r>
    </w:p>
    <w:p w14:paraId="04EE5F38">
      <w:pPr>
        <w:numPr>
          <w:ilvl w:val="-1"/>
          <w:numId w:val="0"/>
        </w:numPr>
        <w:snapToGrid/>
        <w:spacing w:line="360" w:lineRule="auto"/>
        <w:ind w:left="0" w:firstLine="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3.4.18 每台机组设置一块保护管理机屏，负责该台机组的各套保护装置的通讯接口的组合，并分别与每台机组的DCS或ECMS进行通信接口；提供接口并接入保护的数据网，传输保护装置的各种信息以及进行远方诊断和整定。保护管理机采用工控机，大于等于4核CPU，主频2.7 GHz及以上，16 G内存，1 T硬盘配套提供后台监控软件，</w:t>
      </w:r>
      <w:r>
        <w:rPr>
          <w:rFonts w:hint="eastAsia" w:ascii="宋体" w:hAnsi="宋体" w:cs="宋体"/>
          <w:b/>
          <w:bCs/>
          <w:color w:val="auto"/>
          <w:sz w:val="21"/>
          <w:szCs w:val="21"/>
          <w:highlight w:val="none"/>
          <w:lang w:val="en-US" w:eastAsia="zh-CN"/>
        </w:rPr>
        <w:t>操作系统采用国产安全操作系统</w:t>
      </w:r>
      <w:r>
        <w:rPr>
          <w:rFonts w:hint="eastAsia" w:ascii="宋体" w:hAnsi="宋体" w:cs="宋体"/>
          <w:color w:val="auto"/>
          <w:sz w:val="21"/>
          <w:szCs w:val="21"/>
          <w:highlight w:val="none"/>
          <w:lang w:val="en-US" w:eastAsia="zh-CN"/>
        </w:rPr>
        <w:t>，并配置激光打印机。</w:t>
      </w:r>
    </w:p>
    <w:p w14:paraId="2E9DD654">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3.4.19 </w:t>
      </w:r>
      <w:r>
        <w:rPr>
          <w:rFonts w:hint="eastAsia" w:ascii="宋体" w:hAnsi="宋体" w:cs="宋体"/>
          <w:color w:val="auto"/>
          <w:sz w:val="21"/>
          <w:szCs w:val="21"/>
          <w:highlight w:val="none"/>
        </w:rPr>
        <w:t>所有保护装置在谐波、直流分量、励磁涌流及穿越性短路电流稳态和瞬态影响下，不应误动作。交、直流输入回路不应外接抗干扰元件来满足有关电磁兼容标准的要求。</w:t>
      </w:r>
    </w:p>
    <w:p w14:paraId="60059A6C">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3.4.20 </w:t>
      </w:r>
      <w:r>
        <w:rPr>
          <w:rFonts w:hint="eastAsia" w:ascii="宋体" w:hAnsi="宋体" w:cs="宋体"/>
          <w:color w:val="auto"/>
          <w:sz w:val="21"/>
          <w:szCs w:val="21"/>
          <w:highlight w:val="none"/>
        </w:rPr>
        <w:t>在雷电过电压、一次回路操作、配电装置故障及其它强干扰作用下，或在二次回路操作干扰下，在拉合直流电源、插件熔丝发生重复击穿火花时，所有保护装置（包括测量元件）均不应发生误动或拒动。</w:t>
      </w:r>
    </w:p>
    <w:p w14:paraId="14368925">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3.4.21 </w:t>
      </w:r>
      <w:r>
        <w:rPr>
          <w:rFonts w:hint="eastAsia" w:ascii="宋体" w:hAnsi="宋体" w:cs="宋体"/>
          <w:color w:val="auto"/>
          <w:sz w:val="21"/>
          <w:szCs w:val="21"/>
          <w:highlight w:val="none"/>
        </w:rPr>
        <w:t>保护屏的直流电源</w:t>
      </w:r>
      <w:r>
        <w:rPr>
          <w:rFonts w:hint="eastAsia" w:ascii="宋体" w:hAnsi="宋体" w:cs="宋体"/>
          <w:color w:val="auto"/>
          <w:sz w:val="21"/>
          <w:szCs w:val="21"/>
          <w:highlight w:val="none"/>
          <w:lang w:val="en-US" w:eastAsia="zh-CN"/>
        </w:rPr>
        <w:t>应</w:t>
      </w:r>
      <w:r>
        <w:rPr>
          <w:rFonts w:hint="eastAsia" w:ascii="宋体" w:hAnsi="宋体" w:cs="宋体"/>
          <w:color w:val="auto"/>
          <w:sz w:val="21"/>
          <w:szCs w:val="21"/>
          <w:highlight w:val="none"/>
        </w:rPr>
        <w:t>经过直流空气开关接入，各保护装置的逻辑回路应由独立的逆变器供电。拉、合装置直流电源或直流电压缓慢下降及上升时，装置不应误动作。在直流电源恢复(包括缓慢恢复)至额定电压的80</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时直流逆变电源应能自动恢复。直流电源回路应有监视。当直流电源失去时，应发出相应信号，且不能造成保护装置误动作。直流空气开关采用B特性直流专用型</w:t>
      </w:r>
      <w:r>
        <w:rPr>
          <w:rFonts w:hint="eastAsia" w:ascii="宋体" w:hAnsi="宋体" w:cs="宋体"/>
          <w:color w:val="auto"/>
          <w:sz w:val="21"/>
          <w:szCs w:val="21"/>
          <w:highlight w:val="none"/>
          <w:lang w:val="en-US" w:eastAsia="zh-CN"/>
        </w:rPr>
        <w:t>空气开关</w:t>
      </w: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空气开关</w:t>
      </w:r>
      <w:r>
        <w:rPr>
          <w:rFonts w:hint="eastAsia" w:ascii="宋体" w:hAnsi="宋体" w:cs="宋体"/>
          <w:color w:val="auto"/>
          <w:sz w:val="21"/>
          <w:szCs w:val="21"/>
          <w:highlight w:val="none"/>
        </w:rPr>
        <w:t>品牌选用ABB、西门子、施耐德或相当于，直流开断能力：</w:t>
      </w:r>
      <w:r>
        <w:rPr>
          <w:rFonts w:hint="eastAsia" w:ascii="宋体" w:hAnsi="宋体" w:cs="宋体"/>
          <w:color w:val="auto"/>
          <w:sz w:val="21"/>
          <w:szCs w:val="21"/>
          <w:highlight w:val="none"/>
          <w:u w:val="single"/>
        </w:rPr>
        <w:t>DC</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rPr>
        <w:t>110V，10</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rPr>
        <w:t>kA。</w:t>
      </w:r>
    </w:p>
    <w:p w14:paraId="6448E6CF">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3.4.22 </w:t>
      </w:r>
      <w:r>
        <w:rPr>
          <w:rFonts w:hint="eastAsia" w:ascii="宋体" w:hAnsi="宋体" w:cs="宋体"/>
          <w:color w:val="auto"/>
          <w:sz w:val="21"/>
          <w:szCs w:val="21"/>
          <w:highlight w:val="none"/>
        </w:rPr>
        <w:t>保护屏的交流电压</w:t>
      </w:r>
      <w:r>
        <w:rPr>
          <w:rFonts w:hint="eastAsia" w:ascii="宋体" w:hAnsi="宋体" w:cs="宋体"/>
          <w:color w:val="auto"/>
          <w:sz w:val="21"/>
          <w:szCs w:val="21"/>
          <w:highlight w:val="none"/>
          <w:lang w:val="en-US" w:eastAsia="zh-CN"/>
        </w:rPr>
        <w:t>应</w:t>
      </w:r>
      <w:r>
        <w:rPr>
          <w:rFonts w:hint="eastAsia" w:ascii="宋体" w:hAnsi="宋体" w:cs="宋体"/>
          <w:color w:val="auto"/>
          <w:sz w:val="21"/>
          <w:szCs w:val="21"/>
          <w:highlight w:val="none"/>
        </w:rPr>
        <w:t>经过交流空气开关接入，当电压互感器二次回路一相、两相或三相同时断线、失压时，接于该组电压互感器的保护装置应闭锁该装置中可能误动作的保护，并发出“电压互感器断线”告警信号。</w:t>
      </w:r>
    </w:p>
    <w:p w14:paraId="577783B6">
      <w:pPr>
        <w:pStyle w:val="10"/>
        <w:numPr>
          <w:ilvl w:val="-1"/>
          <w:numId w:val="0"/>
        </w:numPr>
        <w:adjustRightInd/>
        <w:snapToGrid/>
        <w:spacing w:line="360" w:lineRule="auto"/>
        <w:ind w:left="0" w:firstLine="0"/>
        <w:textAlignment w:val="auto"/>
        <w:rPr>
          <w:rFonts w:hint="eastAsia" w:ascii="宋体" w:hAnsi="宋体" w:cs="宋体"/>
          <w:color w:val="auto"/>
          <w:kern w:val="2"/>
          <w:sz w:val="21"/>
          <w:szCs w:val="21"/>
          <w:highlight w:val="none"/>
        </w:rPr>
      </w:pPr>
      <w:r>
        <w:rPr>
          <w:rFonts w:hint="eastAsia" w:hAnsi="宋体" w:cs="宋体"/>
          <w:color w:val="auto"/>
          <w:kern w:val="2"/>
          <w:sz w:val="21"/>
          <w:szCs w:val="21"/>
          <w:highlight w:val="none"/>
          <w:lang w:val="en-US" w:eastAsia="zh-CN"/>
        </w:rPr>
        <w:t>3.4.23 在</w:t>
      </w:r>
      <w:r>
        <w:rPr>
          <w:rFonts w:hint="eastAsia" w:ascii="宋体" w:hAnsi="宋体" w:cs="宋体"/>
          <w:color w:val="auto"/>
          <w:kern w:val="2"/>
          <w:sz w:val="21"/>
          <w:szCs w:val="21"/>
          <w:highlight w:val="none"/>
        </w:rPr>
        <w:t>发电机励磁方式为机端静态励磁</w:t>
      </w:r>
      <w:r>
        <w:rPr>
          <w:rFonts w:hint="eastAsia" w:hAnsi="宋体" w:cs="宋体"/>
          <w:color w:val="auto"/>
          <w:kern w:val="2"/>
          <w:sz w:val="21"/>
          <w:szCs w:val="21"/>
          <w:highlight w:val="none"/>
          <w:lang w:val="en-US" w:eastAsia="zh-CN"/>
        </w:rPr>
        <w:t>时</w:t>
      </w:r>
      <w:r>
        <w:rPr>
          <w:rFonts w:hint="eastAsia" w:ascii="宋体" w:hAnsi="宋体" w:cs="宋体"/>
          <w:color w:val="auto"/>
          <w:kern w:val="2"/>
          <w:sz w:val="21"/>
          <w:szCs w:val="21"/>
          <w:highlight w:val="none"/>
        </w:rPr>
        <w:t>，后备保护应能满足以下情况发生时的正确动作：在机端及其邻近区域发生短路故障时，由于机端电压下降，引起励磁电压下降，进而导致短路电流衰减时。</w:t>
      </w:r>
    </w:p>
    <w:p w14:paraId="54C28477">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3.4.24 </w:t>
      </w:r>
      <w:r>
        <w:rPr>
          <w:rFonts w:hint="eastAsia" w:ascii="宋体" w:hAnsi="宋体" w:cs="宋体"/>
          <w:color w:val="auto"/>
          <w:sz w:val="21"/>
          <w:szCs w:val="21"/>
          <w:highlight w:val="none"/>
        </w:rPr>
        <w:t>各种保护装置的出口继电器可采用操作继电器箱。双重化保护的出口继电器也应独立装设。保护动作后在继电器上有明显的信号指示并可由运行人员手动复归。出口继电器的输出接点应满足逻辑图要求并留有四付备用接点。出口继电器的输出接点容量：在</w:t>
      </w:r>
      <w:r>
        <w:rPr>
          <w:rFonts w:hint="eastAsia" w:ascii="宋体" w:hAnsi="宋体" w:cs="宋体"/>
          <w:color w:val="auto"/>
          <w:sz w:val="21"/>
          <w:szCs w:val="21"/>
          <w:highlight w:val="none"/>
          <w:u w:val="none"/>
        </w:rPr>
        <w:t>110</w:t>
      </w:r>
      <w:r>
        <w:rPr>
          <w:rFonts w:hint="eastAsia" w:ascii="宋体" w:hAnsi="宋体" w:cs="宋体"/>
          <w:color w:val="auto"/>
          <w:sz w:val="21"/>
          <w:szCs w:val="21"/>
          <w:highlight w:val="none"/>
          <w:u w:val="none"/>
          <w:lang w:val="en-US" w:eastAsia="zh-CN"/>
        </w:rPr>
        <w:t xml:space="preserve"> </w:t>
      </w:r>
      <w:r>
        <w:rPr>
          <w:rFonts w:hint="eastAsia" w:ascii="宋体" w:hAnsi="宋体" w:cs="宋体"/>
          <w:color w:val="auto"/>
          <w:sz w:val="21"/>
          <w:szCs w:val="21"/>
          <w:highlight w:val="none"/>
          <w:u w:val="none"/>
        </w:rPr>
        <w:t>V</w:t>
      </w:r>
      <w:r>
        <w:rPr>
          <w:rFonts w:hint="eastAsia" w:ascii="宋体" w:hAnsi="宋体" w:cs="宋体"/>
          <w:color w:val="auto"/>
          <w:sz w:val="21"/>
          <w:szCs w:val="21"/>
          <w:highlight w:val="none"/>
        </w:rPr>
        <w:t>直流电压下的长期允许通过电流不小于10</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A，0.2秒30</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A。在直流电压110</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V电感回路中（T</w:t>
      </w:r>
      <w:r>
        <w:rPr>
          <w:rFonts w:hint="eastAsia" w:ascii="宋体" w:hAnsi="宋体" w:eastAsia="宋体" w:cs="宋体"/>
          <w:color w:val="auto"/>
          <w:sz w:val="21"/>
          <w:szCs w:val="21"/>
          <w:highlight w:val="none"/>
        </w:rPr>
        <w:t>&lt;</w:t>
      </w:r>
      <w:r>
        <w:rPr>
          <w:rFonts w:hint="eastAsia" w:ascii="宋体" w:hAnsi="宋体" w:cs="宋体"/>
          <w:color w:val="auto"/>
          <w:sz w:val="21"/>
          <w:szCs w:val="21"/>
          <w:highlight w:val="none"/>
        </w:rPr>
        <w:t>40</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ms）中的断开容量不小于50</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W。继电器的动作时间不大于10</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ms。非电量保护应装设重动继电器，重动继电器启动功率应大于5</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W，启动电压应介于额定直流电压的55</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～70</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，动作时间应介于10～35 ms。</w:t>
      </w:r>
    </w:p>
    <w:p w14:paraId="5E03BFE8">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3.4.25 </w:t>
      </w:r>
      <w:r>
        <w:rPr>
          <w:rFonts w:hint="eastAsia" w:ascii="宋体" w:hAnsi="宋体" w:cs="宋体"/>
          <w:color w:val="auto"/>
          <w:sz w:val="21"/>
          <w:szCs w:val="21"/>
          <w:highlight w:val="none"/>
        </w:rPr>
        <w:t>起动断路器失灵保护的无源接点应为非闭锁型的快速返回接点。</w:t>
      </w:r>
    </w:p>
    <w:p w14:paraId="41729FE1">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3.4.26 </w:t>
      </w:r>
      <w:r>
        <w:rPr>
          <w:rFonts w:hint="eastAsia" w:ascii="宋体" w:hAnsi="宋体" w:cs="宋体"/>
          <w:color w:val="auto"/>
          <w:sz w:val="21"/>
          <w:szCs w:val="21"/>
          <w:highlight w:val="none"/>
        </w:rPr>
        <w:t>保护装置的信号接点在</w:t>
      </w:r>
      <w:r>
        <w:rPr>
          <w:rFonts w:hint="eastAsia" w:ascii="宋体" w:hAnsi="宋体" w:cs="宋体"/>
          <w:color w:val="auto"/>
          <w:sz w:val="21"/>
          <w:szCs w:val="21"/>
          <w:highlight w:val="none"/>
          <w:u w:val="none"/>
        </w:rPr>
        <w:t>110</w:t>
      </w:r>
      <w:r>
        <w:rPr>
          <w:rFonts w:hint="eastAsia" w:ascii="宋体" w:hAnsi="宋体" w:cs="宋体"/>
          <w:color w:val="auto"/>
          <w:sz w:val="21"/>
          <w:szCs w:val="21"/>
          <w:highlight w:val="none"/>
          <w:u w:val="none"/>
          <w:lang w:val="en-US" w:eastAsia="zh-CN"/>
        </w:rPr>
        <w:t xml:space="preserve"> </w:t>
      </w:r>
      <w:r>
        <w:rPr>
          <w:rFonts w:hint="eastAsia" w:ascii="宋体" w:hAnsi="宋体" w:cs="宋体"/>
          <w:color w:val="auto"/>
          <w:sz w:val="21"/>
          <w:szCs w:val="21"/>
          <w:highlight w:val="none"/>
          <w:u w:val="none"/>
        </w:rPr>
        <w:t>V</w:t>
      </w:r>
      <w:r>
        <w:rPr>
          <w:rFonts w:hint="eastAsia" w:ascii="宋体" w:hAnsi="宋体" w:cs="宋体"/>
          <w:color w:val="auto"/>
          <w:sz w:val="21"/>
          <w:szCs w:val="21"/>
          <w:highlight w:val="none"/>
        </w:rPr>
        <w:t>直流电压下的长期允许通过电流不小于5</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A。装置每套保护输出</w:t>
      </w:r>
      <w:r>
        <w:rPr>
          <w:rFonts w:hint="eastAsia" w:ascii="宋体" w:hAnsi="宋体" w:cs="宋体"/>
          <w:color w:val="auto"/>
          <w:sz w:val="21"/>
          <w:szCs w:val="21"/>
          <w:highlight w:val="none"/>
          <w:lang w:val="en-US" w:eastAsia="zh-CN"/>
        </w:rPr>
        <w:t>三副</w:t>
      </w:r>
      <w:r>
        <w:rPr>
          <w:rFonts w:hint="eastAsia" w:ascii="宋体" w:hAnsi="宋体" w:cs="宋体"/>
          <w:color w:val="auto"/>
          <w:sz w:val="21"/>
          <w:szCs w:val="21"/>
          <w:highlight w:val="none"/>
        </w:rPr>
        <w:t>信号接点，其中一</w:t>
      </w:r>
      <w:r>
        <w:rPr>
          <w:rFonts w:hint="eastAsia" w:ascii="宋体" w:hAnsi="宋体" w:cs="宋体"/>
          <w:color w:val="auto"/>
          <w:sz w:val="21"/>
          <w:szCs w:val="21"/>
          <w:highlight w:val="none"/>
          <w:lang w:val="en-US" w:eastAsia="zh-CN"/>
        </w:rPr>
        <w:t>副</w:t>
      </w:r>
      <w:r>
        <w:rPr>
          <w:rFonts w:hint="eastAsia" w:ascii="宋体" w:hAnsi="宋体" w:cs="宋体"/>
          <w:color w:val="auto"/>
          <w:sz w:val="21"/>
          <w:szCs w:val="21"/>
          <w:highlight w:val="none"/>
        </w:rPr>
        <w:t>启动故障录波器，一</w:t>
      </w:r>
      <w:r>
        <w:rPr>
          <w:rFonts w:hint="eastAsia" w:ascii="宋体" w:hAnsi="宋体" w:cs="宋体"/>
          <w:color w:val="auto"/>
          <w:sz w:val="21"/>
          <w:szCs w:val="21"/>
          <w:highlight w:val="none"/>
          <w:lang w:val="en-US" w:eastAsia="zh-CN"/>
        </w:rPr>
        <w:t>副</w:t>
      </w:r>
      <w:r>
        <w:rPr>
          <w:rFonts w:hint="eastAsia" w:ascii="宋体" w:hAnsi="宋体" w:cs="宋体"/>
          <w:color w:val="auto"/>
          <w:sz w:val="21"/>
          <w:szCs w:val="21"/>
          <w:highlight w:val="none"/>
        </w:rPr>
        <w:t>送至DCS，一</w:t>
      </w:r>
      <w:r>
        <w:rPr>
          <w:rFonts w:hint="eastAsia" w:ascii="宋体" w:hAnsi="宋体" w:cs="宋体"/>
          <w:color w:val="auto"/>
          <w:sz w:val="21"/>
          <w:szCs w:val="21"/>
          <w:highlight w:val="none"/>
          <w:lang w:val="en-US" w:eastAsia="zh-CN"/>
        </w:rPr>
        <w:t>副</w:t>
      </w:r>
      <w:r>
        <w:rPr>
          <w:rFonts w:hint="eastAsia" w:ascii="宋体" w:hAnsi="宋体" w:cs="宋体"/>
          <w:color w:val="auto"/>
          <w:sz w:val="21"/>
          <w:szCs w:val="21"/>
          <w:highlight w:val="none"/>
        </w:rPr>
        <w:t>将发电机、主变、高压厂变等主保护信号和瓦斯信号接点发至远动遥信。</w:t>
      </w:r>
    </w:p>
    <w:p w14:paraId="792F17DD">
      <w:pPr>
        <w:numPr>
          <w:ilvl w:val="-1"/>
          <w:numId w:val="0"/>
        </w:numPr>
        <w:tabs>
          <w:tab w:val="left" w:pos="945"/>
        </w:tabs>
        <w:snapToGrid/>
        <w:spacing w:line="360" w:lineRule="auto"/>
        <w:ind w:left="0" w:firstLine="0"/>
        <w:rPr>
          <w:rFonts w:hint="eastAsia" w:ascii="宋体" w:hAnsi="宋体" w:cs="宋体"/>
          <w:color w:val="auto"/>
          <w:sz w:val="21"/>
          <w:szCs w:val="21"/>
          <w:highlight w:val="none"/>
          <w:shd w:val="pct10" w:color="auto" w:fill="FFFFFF"/>
        </w:rPr>
      </w:pPr>
      <w:r>
        <w:rPr>
          <w:rFonts w:hint="eastAsia" w:ascii="宋体" w:hAnsi="宋体" w:cs="宋体"/>
          <w:color w:val="auto"/>
          <w:sz w:val="21"/>
          <w:szCs w:val="21"/>
          <w:highlight w:val="none"/>
          <w:lang w:val="en-US" w:eastAsia="zh-CN"/>
        </w:rPr>
        <w:t xml:space="preserve">3.4.27 </w:t>
      </w:r>
      <w:r>
        <w:rPr>
          <w:rFonts w:hint="eastAsia" w:ascii="宋体" w:hAnsi="宋体" w:cs="宋体"/>
          <w:color w:val="auto"/>
          <w:sz w:val="21"/>
          <w:szCs w:val="21"/>
          <w:highlight w:val="none"/>
        </w:rPr>
        <w:t>招标人不对保护装置外壳设置专用的接地网，其接地接于主接地网，主接地网的接地电阻不大于0.5</w:t>
      </w:r>
      <w:r>
        <w:rPr>
          <w:rFonts w:hint="eastAsia" w:ascii="宋体" w:hAnsi="宋体" w:cs="宋体"/>
          <w:color w:val="auto"/>
          <w:sz w:val="21"/>
          <w:szCs w:val="21"/>
          <w:highlight w:val="none"/>
          <w:lang w:val="en-US" w:eastAsia="zh-CN"/>
        </w:rPr>
        <w:t xml:space="preserve"> </w:t>
      </w:r>
      <w:r>
        <w:rPr>
          <w:rFonts w:hint="eastAsia" w:ascii="楷体" w:hAnsi="楷体" w:eastAsia="楷体" w:cs="楷体"/>
          <w:color w:val="auto"/>
          <w:sz w:val="21"/>
          <w:szCs w:val="21"/>
          <w:highlight w:val="none"/>
        </w:rPr>
        <w:t>Ω</w:t>
      </w:r>
      <w:r>
        <w:rPr>
          <w:rFonts w:hint="eastAsia" w:ascii="宋体" w:hAnsi="宋体" w:cs="宋体"/>
          <w:color w:val="auto"/>
          <w:sz w:val="21"/>
          <w:szCs w:val="21"/>
          <w:highlight w:val="none"/>
        </w:rPr>
        <w:t>。</w:t>
      </w:r>
    </w:p>
    <w:p w14:paraId="1B4A01F5">
      <w:pPr>
        <w:numPr>
          <w:ilvl w:val="0"/>
          <w:numId w:val="0"/>
        </w:numPr>
        <w:tabs>
          <w:tab w:val="left" w:pos="945"/>
        </w:tabs>
        <w:snapToGrid/>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3.4.28 </w:t>
      </w:r>
      <w:bookmarkStart w:id="33" w:name="OLE_LINK3"/>
      <w:r>
        <w:rPr>
          <w:rFonts w:hint="eastAsia" w:ascii="宋体" w:hAnsi="宋体" w:cs="宋体"/>
          <w:color w:val="auto"/>
          <w:sz w:val="21"/>
          <w:szCs w:val="21"/>
          <w:highlight w:val="none"/>
        </w:rPr>
        <w:t>每台机组的</w:t>
      </w:r>
      <w:bookmarkEnd w:id="33"/>
      <w:r>
        <w:rPr>
          <w:rFonts w:hint="eastAsia" w:ascii="宋体" w:hAnsi="宋体" w:cs="宋体"/>
          <w:color w:val="auto"/>
          <w:sz w:val="21"/>
          <w:szCs w:val="21"/>
          <w:highlight w:val="none"/>
        </w:rPr>
        <w:t>发电机、励磁变保护装置设二面柜</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A</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B套各设一面屏（A、B柜均装设完整的主保护和后备保护，A柜另装设独立的非电量保护装置）；主变压器、高压厂变保护装置共设三面屏，</w:t>
      </w:r>
      <w:r>
        <w:rPr>
          <w:rFonts w:hint="eastAsia" w:ascii="宋体" w:hAnsi="宋体" w:cs="宋体"/>
          <w:color w:val="auto"/>
          <w:sz w:val="21"/>
          <w:szCs w:val="21"/>
          <w:highlight w:val="none"/>
          <w:lang w:val="en-US" w:eastAsia="zh-CN"/>
        </w:rPr>
        <w:t>C</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D</w:t>
      </w:r>
      <w:r>
        <w:rPr>
          <w:rFonts w:hint="eastAsia" w:ascii="宋体" w:hAnsi="宋体" w:cs="宋体"/>
          <w:color w:val="auto"/>
          <w:sz w:val="21"/>
          <w:szCs w:val="21"/>
          <w:highlight w:val="none"/>
        </w:rPr>
        <w:t>套各设一面屏（</w:t>
      </w:r>
      <w:r>
        <w:rPr>
          <w:rFonts w:hint="eastAsia" w:ascii="宋体" w:hAnsi="宋体" w:cs="宋体"/>
          <w:color w:val="auto"/>
          <w:sz w:val="21"/>
          <w:szCs w:val="21"/>
          <w:highlight w:val="none"/>
          <w:lang w:val="en-US" w:eastAsia="zh-CN"/>
        </w:rPr>
        <w:t>C</w:t>
      </w: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D</w:t>
      </w:r>
      <w:r>
        <w:rPr>
          <w:rFonts w:hint="eastAsia" w:ascii="宋体" w:hAnsi="宋体" w:cs="宋体"/>
          <w:color w:val="auto"/>
          <w:sz w:val="21"/>
          <w:szCs w:val="21"/>
          <w:highlight w:val="none"/>
        </w:rPr>
        <w:t>柜均装设完整的主保护和后备保护），变压器非电量保护装置及操作箱</w:t>
      </w:r>
      <w:r>
        <w:rPr>
          <w:rFonts w:hint="eastAsia" w:ascii="宋体" w:hAnsi="宋体" w:cs="宋体"/>
          <w:color w:val="auto"/>
          <w:sz w:val="21"/>
          <w:szCs w:val="21"/>
          <w:highlight w:val="none"/>
          <w:lang w:val="en-US" w:eastAsia="zh-CN"/>
        </w:rPr>
        <w:t>另</w:t>
      </w:r>
      <w:r>
        <w:rPr>
          <w:rFonts w:hint="eastAsia" w:ascii="宋体" w:hAnsi="宋体" w:cs="宋体"/>
          <w:color w:val="auto"/>
          <w:sz w:val="21"/>
          <w:szCs w:val="21"/>
          <w:highlight w:val="none"/>
        </w:rPr>
        <w:t>设一面屏</w:t>
      </w:r>
      <w:r>
        <w:rPr>
          <w:rFonts w:hint="eastAsia" w:ascii="宋体" w:hAnsi="宋体" w:cs="宋体"/>
          <w:color w:val="auto"/>
          <w:sz w:val="21"/>
          <w:szCs w:val="21"/>
          <w:highlight w:val="none"/>
          <w:lang w:val="en-US" w:eastAsia="zh-CN"/>
        </w:rPr>
        <w:t>(F)</w:t>
      </w:r>
      <w:r>
        <w:rPr>
          <w:rFonts w:hint="eastAsia" w:ascii="宋体" w:hAnsi="宋体" w:cs="宋体"/>
          <w:color w:val="auto"/>
          <w:sz w:val="21"/>
          <w:szCs w:val="21"/>
          <w:highlight w:val="none"/>
        </w:rPr>
        <w:t>；每台机组设一面保护管理机屏</w:t>
      </w:r>
      <w:r>
        <w:rPr>
          <w:rFonts w:hint="eastAsia" w:ascii="宋体" w:hAnsi="宋体" w:cs="宋体"/>
          <w:color w:val="auto"/>
          <w:sz w:val="21"/>
          <w:szCs w:val="21"/>
          <w:highlight w:val="none"/>
          <w:lang w:val="en-US" w:eastAsia="zh-CN"/>
        </w:rPr>
        <w:t>(G）</w:t>
      </w:r>
      <w:r>
        <w:rPr>
          <w:rFonts w:hint="eastAsia" w:ascii="宋体" w:hAnsi="宋体" w:cs="宋体"/>
          <w:color w:val="auto"/>
          <w:sz w:val="21"/>
          <w:szCs w:val="21"/>
          <w:highlight w:val="none"/>
        </w:rPr>
        <w:t>。</w:t>
      </w:r>
    </w:p>
    <w:p w14:paraId="6EB6473F">
      <w:pPr>
        <w:numPr>
          <w:ilvl w:val="-1"/>
          <w:numId w:val="0"/>
        </w:numPr>
        <w:tabs>
          <w:tab w:val="left" w:pos="945"/>
        </w:tabs>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3.4.29 </w:t>
      </w:r>
      <w:r>
        <w:rPr>
          <w:rFonts w:hint="eastAsia" w:ascii="宋体" w:hAnsi="宋体" w:cs="宋体"/>
          <w:color w:val="auto"/>
          <w:sz w:val="21"/>
          <w:szCs w:val="21"/>
          <w:highlight w:val="none"/>
        </w:rPr>
        <w:t>至每个断路器的跳闸线圈的跳闸回路须有供回路投退的连接片，非电量保护须有供投退的连接片连接片投退应不影响各保护的信号出口。</w:t>
      </w:r>
    </w:p>
    <w:p w14:paraId="41F79990">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3.4.30 </w:t>
      </w:r>
      <w:r>
        <w:rPr>
          <w:rFonts w:hint="eastAsia" w:ascii="宋体" w:hAnsi="宋体" w:cs="宋体"/>
          <w:color w:val="auto"/>
          <w:sz w:val="21"/>
          <w:szCs w:val="21"/>
          <w:highlight w:val="none"/>
        </w:rPr>
        <w:t>每套保护装置的面板上至少应有下列LED指示灯：装置带电、各种保护动作。</w:t>
      </w:r>
    </w:p>
    <w:p w14:paraId="06EF15CB">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3.4.31 </w:t>
      </w:r>
      <w:r>
        <w:rPr>
          <w:rFonts w:hint="eastAsia" w:ascii="宋体" w:hAnsi="宋体" w:cs="宋体"/>
          <w:color w:val="auto"/>
          <w:sz w:val="21"/>
          <w:szCs w:val="21"/>
          <w:highlight w:val="none"/>
        </w:rPr>
        <w:t>各种保护动作的LED指示灯可以用保护装置面板上的复归按钮复归，或由输入复归命令复归。</w:t>
      </w:r>
    </w:p>
    <w:p w14:paraId="36976753">
      <w:pPr>
        <w:pStyle w:val="10"/>
        <w:numPr>
          <w:ilvl w:val="-1"/>
          <w:numId w:val="0"/>
        </w:numPr>
        <w:adjustRightInd/>
        <w:snapToGrid/>
        <w:spacing w:line="360" w:lineRule="auto"/>
        <w:ind w:left="0" w:firstLine="0"/>
        <w:textAlignment w:val="auto"/>
        <w:rPr>
          <w:rFonts w:hint="eastAsia" w:ascii="宋体" w:hAnsi="宋体" w:cs="宋体"/>
          <w:color w:val="auto"/>
          <w:kern w:val="2"/>
          <w:sz w:val="21"/>
          <w:szCs w:val="21"/>
          <w:highlight w:val="none"/>
        </w:rPr>
      </w:pPr>
      <w:r>
        <w:rPr>
          <w:rFonts w:hint="eastAsia" w:hAnsi="宋体" w:cs="宋体"/>
          <w:color w:val="auto"/>
          <w:kern w:val="2"/>
          <w:sz w:val="21"/>
          <w:szCs w:val="21"/>
          <w:highlight w:val="none"/>
          <w:lang w:val="en-US" w:eastAsia="zh-CN"/>
        </w:rPr>
        <w:t xml:space="preserve">3.4.32 </w:t>
      </w:r>
      <w:r>
        <w:rPr>
          <w:rFonts w:hint="eastAsia" w:ascii="宋体" w:hAnsi="宋体" w:cs="宋体"/>
          <w:color w:val="auto"/>
          <w:kern w:val="2"/>
          <w:sz w:val="21"/>
          <w:szCs w:val="21"/>
          <w:highlight w:val="none"/>
        </w:rPr>
        <w:t>投标人应提供微机型保护装置调试、整定和维护等可安装的全套软件</w:t>
      </w:r>
      <w:r>
        <w:rPr>
          <w:rFonts w:hint="eastAsia" w:hAnsi="宋体" w:cs="宋体"/>
          <w:color w:val="auto"/>
          <w:kern w:val="2"/>
          <w:sz w:val="21"/>
          <w:szCs w:val="21"/>
          <w:highlight w:val="none"/>
          <w:lang w:val="en-US" w:eastAsia="zh-CN"/>
        </w:rPr>
        <w:t>和工具</w:t>
      </w:r>
      <w:r>
        <w:rPr>
          <w:rFonts w:hint="eastAsia" w:ascii="宋体" w:hAnsi="宋体" w:cs="宋体"/>
          <w:color w:val="auto"/>
          <w:kern w:val="2"/>
          <w:sz w:val="21"/>
          <w:szCs w:val="21"/>
          <w:highlight w:val="none"/>
        </w:rPr>
        <w:t>。</w:t>
      </w:r>
    </w:p>
    <w:p w14:paraId="20AB5728">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kern w:val="0"/>
          <w:sz w:val="21"/>
          <w:szCs w:val="21"/>
          <w:highlight w:val="none"/>
          <w:lang w:val="en-US" w:eastAsia="zh-CN"/>
        </w:rPr>
        <w:t xml:space="preserve">3.4.33 </w:t>
      </w:r>
      <w:r>
        <w:rPr>
          <w:rFonts w:hint="eastAsia" w:ascii="宋体" w:hAnsi="宋体" w:cs="宋体"/>
          <w:color w:val="auto"/>
          <w:kern w:val="0"/>
          <w:sz w:val="21"/>
          <w:szCs w:val="21"/>
          <w:highlight w:val="none"/>
        </w:rPr>
        <w:t>保护装置的温度特性：室内温度在-10</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℃～+50</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℃；最大变化率10</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℃/h；相对湿度5</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rPr>
        <w:t>～95</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rPr>
        <w:t>；最大绝对湿度28</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g/m</w:t>
      </w:r>
      <w:r>
        <w:rPr>
          <w:rFonts w:hint="eastAsia" w:ascii="宋体" w:hAnsi="宋体" w:cs="宋体"/>
          <w:color w:val="auto"/>
          <w:kern w:val="0"/>
          <w:sz w:val="21"/>
          <w:szCs w:val="21"/>
          <w:highlight w:val="none"/>
          <w:vertAlign w:val="superscript"/>
        </w:rPr>
        <w:t>3</w:t>
      </w:r>
      <w:r>
        <w:rPr>
          <w:rFonts w:hint="eastAsia" w:ascii="宋体" w:hAnsi="宋体" w:cs="宋体"/>
          <w:color w:val="auto"/>
          <w:kern w:val="0"/>
          <w:sz w:val="21"/>
          <w:szCs w:val="21"/>
          <w:highlight w:val="none"/>
        </w:rPr>
        <w:t>。保护装置应能满足规范书所规定的精度，并能正常工作。</w:t>
      </w:r>
    </w:p>
    <w:p w14:paraId="566C8326">
      <w:pPr>
        <w:numPr>
          <w:ilvl w:val="-1"/>
          <w:numId w:val="0"/>
        </w:numPr>
        <w:spacing w:line="360" w:lineRule="auto"/>
        <w:ind w:left="0" w:firstLine="0" w:firstLineChars="0"/>
        <w:outlineLvl w:val="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 xml:space="preserve">3.5 </w:t>
      </w:r>
      <w:r>
        <w:rPr>
          <w:rFonts w:hint="eastAsia" w:ascii="宋体" w:hAnsi="宋体" w:eastAsia="宋体" w:cs="宋体"/>
          <w:b/>
          <w:color w:val="auto"/>
          <w:sz w:val="24"/>
          <w:szCs w:val="24"/>
          <w:highlight w:val="none"/>
        </w:rPr>
        <w:t>各种保护功能的主要技术要求</w:t>
      </w:r>
    </w:p>
    <w:p w14:paraId="7FFC9A52">
      <w:pPr>
        <w:numPr>
          <w:ilvl w:val="-1"/>
          <w:numId w:val="0"/>
        </w:numPr>
        <w:snapToGrid/>
        <w:spacing w:line="360" w:lineRule="auto"/>
        <w:ind w:left="0" w:firstLine="0"/>
        <w:outlineLvl w:val="2"/>
        <w:rPr>
          <w:rFonts w:hint="eastAsia" w:ascii="宋体" w:hAnsi="宋体" w:cs="宋体"/>
          <w:color w:val="auto"/>
          <w:sz w:val="21"/>
          <w:szCs w:val="21"/>
          <w:highlight w:val="none"/>
        </w:rPr>
      </w:pPr>
      <w:r>
        <w:rPr>
          <w:rFonts w:hint="eastAsia" w:ascii="宋体" w:hAnsi="宋体" w:cs="宋体"/>
          <w:b/>
          <w:bCs/>
          <w:color w:val="auto"/>
          <w:sz w:val="21"/>
          <w:szCs w:val="21"/>
          <w:highlight w:val="none"/>
          <w:lang w:val="en-US" w:eastAsia="zh-CN"/>
        </w:rPr>
        <w:t xml:space="preserve">3.5.1 </w:t>
      </w:r>
      <w:r>
        <w:rPr>
          <w:rFonts w:hint="eastAsia" w:ascii="宋体" w:hAnsi="宋体" w:cs="宋体"/>
          <w:b/>
          <w:bCs/>
          <w:color w:val="auto"/>
          <w:sz w:val="21"/>
          <w:szCs w:val="21"/>
          <w:highlight w:val="none"/>
        </w:rPr>
        <w:t>发电机、励磁变、主变、高压厂变</w:t>
      </w:r>
    </w:p>
    <w:p w14:paraId="47094AED">
      <w:pPr>
        <w:snapToGrid/>
        <w:spacing w:line="360" w:lineRule="auto"/>
        <w:ind w:firstLine="480"/>
        <w:rPr>
          <w:rFonts w:hint="eastAsia" w:ascii="宋体" w:hAnsi="宋体" w:cs="宋体"/>
          <w:color w:val="auto"/>
          <w:sz w:val="21"/>
          <w:szCs w:val="21"/>
          <w:highlight w:val="none"/>
        </w:rPr>
      </w:pPr>
      <w:r>
        <w:rPr>
          <w:rFonts w:hint="eastAsia" w:ascii="宋体" w:hAnsi="宋体" w:cs="宋体"/>
          <w:color w:val="auto"/>
          <w:sz w:val="21"/>
          <w:szCs w:val="21"/>
          <w:highlight w:val="none"/>
        </w:rPr>
        <w:t>微机型保护装置按双重化配置（非电气量除外）要做到：</w:t>
      </w:r>
    </w:p>
    <w:p w14:paraId="45812BA9">
      <w:pPr>
        <w:numPr>
          <w:ilvl w:val="0"/>
          <w:numId w:val="1"/>
        </w:numPr>
        <w:tabs>
          <w:tab w:val="left" w:pos="876"/>
        </w:tabs>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两套微机型保护装置（包括出口跳闸回路）应完整、独立安装在各自的屏内，之间没有任何电气联系。当运行中的一套保护因异常需退出或检修时，应不影响另一套保护的正常运行</w:t>
      </w:r>
      <w:r>
        <w:rPr>
          <w:rFonts w:hint="eastAsia" w:ascii="宋体" w:hAnsi="宋体" w:cs="宋体"/>
          <w:color w:val="auto"/>
          <w:sz w:val="21"/>
          <w:szCs w:val="21"/>
          <w:highlight w:val="none"/>
          <w:lang w:eastAsia="zh-CN"/>
        </w:rPr>
        <w:t>；</w:t>
      </w:r>
    </w:p>
    <w:p w14:paraId="13949DE2">
      <w:pPr>
        <w:numPr>
          <w:ilvl w:val="0"/>
          <w:numId w:val="1"/>
        </w:numPr>
        <w:tabs>
          <w:tab w:val="left" w:pos="876"/>
        </w:tabs>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每套保护装置均应配置完整的差动及后备保护</w:t>
      </w:r>
      <w:r>
        <w:rPr>
          <w:rFonts w:hint="eastAsia" w:ascii="宋体" w:hAnsi="宋体" w:cs="宋体"/>
          <w:color w:val="auto"/>
          <w:sz w:val="21"/>
          <w:szCs w:val="21"/>
          <w:highlight w:val="none"/>
          <w:lang w:eastAsia="zh-CN"/>
        </w:rPr>
        <w:t>；</w:t>
      </w:r>
    </w:p>
    <w:p w14:paraId="473AE796">
      <w:pPr>
        <w:numPr>
          <w:ilvl w:val="0"/>
          <w:numId w:val="1"/>
        </w:numPr>
        <w:tabs>
          <w:tab w:val="left" w:pos="876"/>
        </w:tabs>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保护装置应能设置不同定值区</w:t>
      </w:r>
      <w:r>
        <w:rPr>
          <w:rFonts w:hint="eastAsia" w:ascii="宋体" w:hAnsi="宋体" w:cs="宋体"/>
          <w:color w:val="auto"/>
          <w:sz w:val="21"/>
          <w:szCs w:val="21"/>
          <w:highlight w:val="none"/>
          <w:lang w:eastAsia="zh-CN"/>
        </w:rPr>
        <w:t>；</w:t>
      </w:r>
    </w:p>
    <w:p w14:paraId="0FADD019">
      <w:pPr>
        <w:numPr>
          <w:ilvl w:val="0"/>
          <w:numId w:val="1"/>
        </w:numPr>
        <w:tabs>
          <w:tab w:val="left" w:pos="876"/>
        </w:tabs>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保护装置的出口继电器应能灵活选择组合，满足工程要求。</w:t>
      </w:r>
    </w:p>
    <w:p w14:paraId="03596055">
      <w:pPr>
        <w:numPr>
          <w:ilvl w:val="-1"/>
          <w:numId w:val="0"/>
        </w:numPr>
        <w:snapToGrid/>
        <w:spacing w:line="360" w:lineRule="auto"/>
        <w:ind w:left="0" w:firstLine="0"/>
        <w:outlineLvl w:val="2"/>
        <w:rPr>
          <w:rFonts w:hint="eastAsia" w:ascii="宋体" w:hAnsi="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 xml:space="preserve">3.5.2 </w:t>
      </w:r>
      <w:r>
        <w:rPr>
          <w:rFonts w:hint="eastAsia" w:ascii="宋体" w:hAnsi="宋体" w:cs="宋体"/>
          <w:b/>
          <w:bCs/>
          <w:color w:val="auto"/>
          <w:sz w:val="21"/>
          <w:szCs w:val="21"/>
          <w:highlight w:val="none"/>
        </w:rPr>
        <w:t>微机型发电机保护装置</w:t>
      </w:r>
    </w:p>
    <w:p w14:paraId="47D309FA">
      <w:pPr>
        <w:pStyle w:val="22"/>
        <w:numPr>
          <w:ilvl w:val="0"/>
          <w:numId w:val="2"/>
        </w:numPr>
        <w:snapToGrid/>
        <w:spacing w:line="360" w:lineRule="auto"/>
        <w:ind w:left="537"/>
        <w:rPr>
          <w:rFonts w:hint="eastAsia" w:ascii="宋体" w:hAnsi="宋体" w:cs="宋体"/>
          <w:b/>
          <w:color w:val="auto"/>
          <w:spacing w:val="0"/>
          <w:sz w:val="21"/>
          <w:szCs w:val="21"/>
          <w:highlight w:val="none"/>
        </w:rPr>
      </w:pPr>
      <w:r>
        <w:rPr>
          <w:rFonts w:hint="eastAsia" w:ascii="宋体" w:hAnsi="宋体" w:cs="宋体"/>
          <w:b/>
          <w:color w:val="auto"/>
          <w:spacing w:val="0"/>
          <w:sz w:val="21"/>
          <w:szCs w:val="21"/>
          <w:highlight w:val="none"/>
        </w:rPr>
        <w:t>发电机差动保护</w:t>
      </w:r>
    </w:p>
    <w:p w14:paraId="7CA2BFD5">
      <w:pPr>
        <w:pStyle w:val="22"/>
        <w:snapToGrid/>
        <w:spacing w:line="360" w:lineRule="auto"/>
        <w:ind w:left="0" w:leftChars="0" w:firstLine="420" w:firstLineChars="200"/>
        <w:rPr>
          <w:rFonts w:hint="eastAsia" w:ascii="宋体" w:hAnsi="宋体" w:cs="宋体"/>
          <w:color w:val="auto"/>
          <w:spacing w:val="0"/>
          <w:sz w:val="21"/>
          <w:szCs w:val="21"/>
          <w:highlight w:val="none"/>
        </w:rPr>
      </w:pPr>
      <w:r>
        <w:rPr>
          <w:rFonts w:hint="eastAsia" w:ascii="宋体" w:hAnsi="宋体" w:cs="宋体"/>
          <w:color w:val="auto"/>
          <w:spacing w:val="0"/>
          <w:sz w:val="21"/>
          <w:szCs w:val="21"/>
          <w:highlight w:val="none"/>
        </w:rPr>
        <w:t>保护发电机定子绕组及其引出线的相间短路故障。其主要功能和技术要求如下</w:t>
      </w:r>
      <w:r>
        <w:rPr>
          <w:rFonts w:hint="eastAsia" w:ascii="宋体" w:hAnsi="宋体" w:cs="宋体"/>
          <w:color w:val="auto"/>
          <w:spacing w:val="0"/>
          <w:sz w:val="21"/>
          <w:szCs w:val="21"/>
          <w:highlight w:val="none"/>
          <w:lang w:eastAsia="zh-CN"/>
        </w:rPr>
        <w:t>；</w:t>
      </w:r>
    </w:p>
    <w:p w14:paraId="16E02E09">
      <w:pPr>
        <w:numPr>
          <w:ilvl w:val="0"/>
          <w:numId w:val="3"/>
        </w:numPr>
        <w:adjustRightInd/>
        <w:snapToGrid/>
        <w:spacing w:line="360" w:lineRule="auto"/>
        <w:ind w:left="480" w:leftChars="200" w:firstLine="0" w:firstLineChars="0"/>
        <w:rPr>
          <w:rFonts w:hint="eastAsia" w:ascii="宋体" w:hAnsi="宋体" w:cs="宋体"/>
          <w:color w:val="auto"/>
          <w:sz w:val="21"/>
          <w:szCs w:val="21"/>
          <w:highlight w:val="none"/>
        </w:rPr>
      </w:pPr>
      <w:r>
        <w:rPr>
          <w:rFonts w:hint="eastAsia" w:ascii="宋体" w:hAnsi="宋体" w:cs="宋体"/>
          <w:color w:val="auto"/>
          <w:sz w:val="21"/>
          <w:szCs w:val="21"/>
          <w:highlight w:val="none"/>
        </w:rPr>
        <w:t>应具有防止区外故障误动的谐波制动和比率制动特性，防止发电机过激磁和强励时误动</w:t>
      </w:r>
      <w:r>
        <w:rPr>
          <w:rFonts w:hint="eastAsia" w:ascii="宋体" w:hAnsi="宋体" w:cs="宋体"/>
          <w:color w:val="auto"/>
          <w:sz w:val="21"/>
          <w:szCs w:val="21"/>
          <w:highlight w:val="none"/>
          <w:lang w:eastAsia="zh-CN"/>
        </w:rPr>
        <w:t>；</w:t>
      </w:r>
    </w:p>
    <w:p w14:paraId="603B1B80">
      <w:pPr>
        <w:numPr>
          <w:ilvl w:val="0"/>
          <w:numId w:val="3"/>
        </w:numPr>
        <w:snapToGrid/>
        <w:spacing w:line="360" w:lineRule="auto"/>
        <w:ind w:left="480" w:leftChars="200" w:firstLine="0" w:firstLineChars="0"/>
        <w:rPr>
          <w:rFonts w:hint="eastAsia" w:ascii="宋体" w:hAnsi="宋体" w:cs="宋体"/>
          <w:color w:val="auto"/>
          <w:sz w:val="21"/>
          <w:szCs w:val="21"/>
          <w:highlight w:val="none"/>
        </w:rPr>
      </w:pPr>
      <w:r>
        <w:rPr>
          <w:rFonts w:hint="eastAsia" w:ascii="宋体" w:hAnsi="宋体" w:cs="宋体"/>
          <w:color w:val="auto"/>
          <w:sz w:val="21"/>
          <w:szCs w:val="21"/>
          <w:highlight w:val="none"/>
        </w:rPr>
        <w:t>具有电流互感器（TA）断线判别功能，并能选择闭锁差流或报警，当电流大于额定电流的1.2</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rPr>
        <w:t>1.5倍可自动解除闭锁</w:t>
      </w:r>
      <w:r>
        <w:rPr>
          <w:rFonts w:hint="eastAsia" w:ascii="宋体" w:hAnsi="宋体" w:cs="宋体"/>
          <w:color w:val="auto"/>
          <w:sz w:val="21"/>
          <w:szCs w:val="21"/>
          <w:highlight w:val="none"/>
          <w:lang w:eastAsia="zh-CN"/>
        </w:rPr>
        <w:t>；</w:t>
      </w:r>
    </w:p>
    <w:p w14:paraId="173742E6">
      <w:pPr>
        <w:numPr>
          <w:ilvl w:val="0"/>
          <w:numId w:val="3"/>
        </w:numPr>
        <w:snapToGrid/>
        <w:spacing w:line="360" w:lineRule="auto"/>
        <w:ind w:left="480" w:leftChars="200"/>
        <w:rPr>
          <w:rFonts w:hint="eastAsia" w:ascii="宋体" w:hAnsi="宋体" w:cs="宋体"/>
          <w:color w:val="auto"/>
          <w:sz w:val="21"/>
          <w:szCs w:val="21"/>
          <w:highlight w:val="none"/>
        </w:rPr>
      </w:pPr>
      <w:r>
        <w:rPr>
          <w:rFonts w:hint="eastAsia" w:ascii="宋体" w:hAnsi="宋体" w:cs="宋体"/>
          <w:color w:val="auto"/>
          <w:sz w:val="21"/>
          <w:szCs w:val="21"/>
          <w:highlight w:val="none"/>
        </w:rPr>
        <w:t>在同一相上出现两点接地故障(一点区内、一点区外)时，可动作出口</w:t>
      </w:r>
      <w:r>
        <w:rPr>
          <w:rFonts w:hint="eastAsia" w:ascii="宋体" w:hAnsi="宋体" w:cs="宋体"/>
          <w:color w:val="auto"/>
          <w:sz w:val="21"/>
          <w:szCs w:val="21"/>
          <w:highlight w:val="none"/>
          <w:lang w:eastAsia="zh-CN"/>
        </w:rPr>
        <w:t>；</w:t>
      </w:r>
    </w:p>
    <w:p w14:paraId="4E024FA3">
      <w:pPr>
        <w:numPr>
          <w:ilvl w:val="0"/>
          <w:numId w:val="3"/>
        </w:numPr>
        <w:snapToGrid/>
        <w:spacing w:line="360" w:lineRule="auto"/>
        <w:ind w:left="889" w:leftChars="200" w:hanging="409"/>
        <w:rPr>
          <w:rFonts w:hint="eastAsia" w:ascii="宋体" w:hAnsi="宋体" w:cs="宋体"/>
          <w:color w:val="auto"/>
          <w:sz w:val="21"/>
          <w:szCs w:val="21"/>
          <w:highlight w:val="none"/>
        </w:rPr>
      </w:pPr>
      <w:r>
        <w:rPr>
          <w:rFonts w:hint="eastAsia" w:ascii="宋体" w:hAnsi="宋体" w:cs="宋体"/>
          <w:color w:val="auto"/>
          <w:sz w:val="21"/>
          <w:szCs w:val="21"/>
          <w:highlight w:val="none"/>
        </w:rPr>
        <w:t>定值的准确度：5</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或0.02</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In</w:t>
      </w:r>
      <w:r>
        <w:rPr>
          <w:rFonts w:hint="eastAsia" w:ascii="宋体" w:hAnsi="宋体" w:cs="宋体"/>
          <w:color w:val="auto"/>
          <w:sz w:val="21"/>
          <w:szCs w:val="21"/>
          <w:highlight w:val="none"/>
          <w:lang w:eastAsia="zh-CN"/>
        </w:rPr>
        <w:t>；</w:t>
      </w:r>
    </w:p>
    <w:p w14:paraId="0CCB4B69">
      <w:pPr>
        <w:numPr>
          <w:ilvl w:val="0"/>
          <w:numId w:val="3"/>
        </w:numPr>
        <w:snapToGrid/>
        <w:spacing w:line="360" w:lineRule="auto"/>
        <w:ind w:left="480" w:leftChars="200"/>
        <w:rPr>
          <w:rFonts w:hint="eastAsia" w:ascii="宋体" w:hAnsi="宋体" w:cs="宋体"/>
          <w:color w:val="auto"/>
          <w:sz w:val="21"/>
          <w:szCs w:val="21"/>
          <w:highlight w:val="none"/>
        </w:rPr>
      </w:pPr>
      <w:r>
        <w:rPr>
          <w:rFonts w:hint="eastAsia" w:ascii="宋体" w:hAnsi="宋体" w:cs="宋体"/>
          <w:color w:val="auto"/>
          <w:sz w:val="21"/>
          <w:szCs w:val="21"/>
          <w:highlight w:val="none"/>
        </w:rPr>
        <w:t>动作时间(2倍整定电流时)不大于30</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ms</w:t>
      </w:r>
      <w:r>
        <w:rPr>
          <w:rFonts w:hint="eastAsia" w:ascii="宋体" w:hAnsi="宋体" w:cs="宋体"/>
          <w:color w:val="auto"/>
          <w:sz w:val="21"/>
          <w:szCs w:val="21"/>
          <w:highlight w:val="none"/>
          <w:lang w:eastAsia="zh-CN"/>
        </w:rPr>
        <w:t>。</w:t>
      </w:r>
    </w:p>
    <w:p w14:paraId="713A1C00">
      <w:pPr>
        <w:pStyle w:val="22"/>
        <w:numPr>
          <w:ilvl w:val="0"/>
          <w:numId w:val="2"/>
        </w:numPr>
        <w:snapToGrid/>
        <w:spacing w:line="360" w:lineRule="auto"/>
        <w:ind w:left="537"/>
        <w:rPr>
          <w:rFonts w:hint="eastAsia" w:ascii="宋体" w:hAnsi="宋体" w:cs="宋体"/>
          <w:b/>
          <w:color w:val="auto"/>
          <w:spacing w:val="0"/>
          <w:sz w:val="21"/>
          <w:szCs w:val="21"/>
          <w:highlight w:val="none"/>
        </w:rPr>
      </w:pPr>
      <w:r>
        <w:rPr>
          <w:rFonts w:hint="eastAsia" w:ascii="宋体" w:hAnsi="宋体" w:cs="宋体"/>
          <w:b/>
          <w:color w:val="auto"/>
          <w:spacing w:val="0"/>
          <w:sz w:val="21"/>
          <w:szCs w:val="21"/>
          <w:highlight w:val="none"/>
        </w:rPr>
        <w:t>发电机负序电流保护</w:t>
      </w:r>
    </w:p>
    <w:p w14:paraId="7F1C90A0">
      <w:pPr>
        <w:pStyle w:val="22"/>
        <w:snapToGrid/>
        <w:spacing w:line="360" w:lineRule="auto"/>
        <w:ind w:left="0" w:leftChars="0" w:firstLine="460" w:firstLineChars="200"/>
        <w:rPr>
          <w:rFonts w:hint="eastAsia" w:ascii="宋体" w:hAnsi="宋体" w:cs="宋体"/>
          <w:color w:val="auto"/>
          <w:spacing w:val="0"/>
          <w:sz w:val="21"/>
          <w:szCs w:val="21"/>
          <w:highlight w:val="none"/>
        </w:rPr>
      </w:pPr>
      <w:r>
        <w:rPr>
          <w:rFonts w:hint="eastAsia" w:ascii="宋体" w:hAnsi="宋体" w:cs="宋体"/>
          <w:color w:val="auto"/>
          <w:sz w:val="21"/>
          <w:szCs w:val="21"/>
          <w:highlight w:val="none"/>
        </w:rPr>
        <w:t>负序电流保护由定时限和反时限两部分特性构成。</w:t>
      </w:r>
      <w:r>
        <w:rPr>
          <w:rFonts w:hint="eastAsia" w:ascii="宋体" w:hAnsi="宋体" w:cs="宋体"/>
          <w:color w:val="auto"/>
          <w:spacing w:val="0"/>
          <w:sz w:val="21"/>
          <w:szCs w:val="21"/>
          <w:highlight w:val="none"/>
        </w:rPr>
        <w:t>其主要功能和技术要求如下：</w:t>
      </w:r>
    </w:p>
    <w:p w14:paraId="3A0160ED">
      <w:pPr>
        <w:numPr>
          <w:ilvl w:val="0"/>
          <w:numId w:val="4"/>
        </w:numPr>
        <w:snapToGrid/>
        <w:spacing w:line="360" w:lineRule="auto"/>
        <w:ind w:left="480" w:leftChars="200" w:firstLine="0"/>
        <w:outlineLvl w:val="3"/>
        <w:rPr>
          <w:rFonts w:hint="eastAsia" w:ascii="宋体" w:hAnsi="宋体" w:cs="宋体"/>
          <w:color w:val="auto"/>
          <w:sz w:val="21"/>
          <w:szCs w:val="21"/>
          <w:highlight w:val="none"/>
        </w:rPr>
      </w:pPr>
      <w:r>
        <w:rPr>
          <w:rFonts w:hint="eastAsia" w:ascii="宋体" w:hAnsi="宋体" w:cs="宋体"/>
          <w:color w:val="auto"/>
          <w:sz w:val="21"/>
          <w:szCs w:val="21"/>
          <w:highlight w:val="none"/>
        </w:rPr>
        <w:t>定时限部分应具有灵敏的报警单元</w:t>
      </w:r>
      <w:r>
        <w:rPr>
          <w:rFonts w:hint="eastAsia" w:ascii="宋体" w:hAnsi="宋体" w:eastAsia="宋体" w:cs="宋体"/>
          <w:color w:val="auto"/>
          <w:sz w:val="21"/>
          <w:szCs w:val="21"/>
          <w:highlight w:val="none"/>
          <w:lang w:eastAsia="zh-CN"/>
        </w:rPr>
        <w:t>；</w:t>
      </w:r>
    </w:p>
    <w:p w14:paraId="5CFEB3DE">
      <w:pPr>
        <w:numPr>
          <w:ilvl w:val="0"/>
          <w:numId w:val="4"/>
        </w:numPr>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反时限部分动作电流按照发电机承受负序电流的能力确定，保护应能反应负序电流变化时发电机转子的热积累过程</w:t>
      </w:r>
      <w:r>
        <w:rPr>
          <w:rFonts w:hint="eastAsia" w:ascii="宋体" w:hAnsi="宋体" w:eastAsia="宋体" w:cs="宋体"/>
          <w:color w:val="auto"/>
          <w:sz w:val="21"/>
          <w:szCs w:val="21"/>
          <w:highlight w:val="none"/>
          <w:lang w:eastAsia="zh-CN"/>
        </w:rPr>
        <w:t>；</w:t>
      </w:r>
    </w:p>
    <w:p w14:paraId="79C743F6">
      <w:pPr>
        <w:numPr>
          <w:ilvl w:val="0"/>
          <w:numId w:val="4"/>
        </w:numPr>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定时限段返回系数不小于0.9反时限特性的长延时应可整定到1000</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rPr>
        <w:t>s</w:t>
      </w:r>
      <w:r>
        <w:rPr>
          <w:rFonts w:hint="eastAsia" w:ascii="宋体" w:hAnsi="宋体" w:eastAsia="宋体" w:cs="宋体"/>
          <w:color w:val="auto"/>
          <w:sz w:val="21"/>
          <w:szCs w:val="21"/>
          <w:highlight w:val="none"/>
          <w:lang w:eastAsia="zh-CN"/>
        </w:rPr>
        <w:t>；</w:t>
      </w:r>
    </w:p>
    <w:p w14:paraId="001FA76A">
      <w:pPr>
        <w:numPr>
          <w:ilvl w:val="0"/>
          <w:numId w:val="4"/>
        </w:numPr>
        <w:snapToGrid/>
        <w:spacing w:line="360" w:lineRule="auto"/>
        <w:ind w:left="480" w:leftChars="200" w:firstLine="0"/>
        <w:outlineLvl w:val="3"/>
        <w:rPr>
          <w:rFonts w:hint="eastAsia" w:ascii="宋体" w:hAnsi="宋体" w:cs="宋体"/>
          <w:color w:val="auto"/>
          <w:sz w:val="21"/>
          <w:szCs w:val="21"/>
          <w:highlight w:val="none"/>
        </w:rPr>
      </w:pPr>
      <w:r>
        <w:rPr>
          <w:rFonts w:hint="eastAsia" w:ascii="宋体" w:hAnsi="宋体" w:cs="宋体"/>
          <w:color w:val="auto"/>
          <w:sz w:val="21"/>
          <w:szCs w:val="21"/>
          <w:highlight w:val="none"/>
        </w:rPr>
        <w:t>反时限整个特性应由信号段、反时限段、速断段等三部分组成</w:t>
      </w:r>
      <w:r>
        <w:rPr>
          <w:rFonts w:hint="eastAsia" w:ascii="宋体" w:hAnsi="宋体" w:eastAsia="宋体" w:cs="宋体"/>
          <w:color w:val="auto"/>
          <w:sz w:val="21"/>
          <w:szCs w:val="21"/>
          <w:highlight w:val="none"/>
          <w:lang w:eastAsia="zh-CN"/>
        </w:rPr>
        <w:t>；</w:t>
      </w:r>
    </w:p>
    <w:p w14:paraId="46CB2D15">
      <w:pPr>
        <w:numPr>
          <w:ilvl w:val="0"/>
          <w:numId w:val="4"/>
        </w:numPr>
        <w:snapToGrid/>
        <w:spacing w:line="360" w:lineRule="auto"/>
        <w:ind w:left="480" w:leftChars="200"/>
        <w:rPr>
          <w:rFonts w:hint="eastAsia" w:ascii="宋体" w:hAnsi="宋体" w:cs="宋体"/>
          <w:color w:val="auto"/>
          <w:sz w:val="21"/>
          <w:szCs w:val="21"/>
          <w:highlight w:val="none"/>
        </w:rPr>
      </w:pPr>
      <w:r>
        <w:rPr>
          <w:rFonts w:hint="eastAsia" w:ascii="宋体" w:hAnsi="宋体" w:cs="宋体"/>
          <w:color w:val="auto"/>
          <w:sz w:val="21"/>
          <w:szCs w:val="21"/>
          <w:highlight w:val="none"/>
        </w:rPr>
        <w:t>信号段、速断段时间整定值的准确度（1.5倍整定值时）：1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cs="宋体"/>
          <w:color w:val="auto"/>
          <w:sz w:val="21"/>
          <w:szCs w:val="21"/>
          <w:highlight w:val="none"/>
        </w:rPr>
        <w:t>或40</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rPr>
        <w:t>ms。</w:t>
      </w:r>
    </w:p>
    <w:p w14:paraId="6E6841DB">
      <w:pPr>
        <w:pStyle w:val="22"/>
        <w:numPr>
          <w:ilvl w:val="0"/>
          <w:numId w:val="2"/>
        </w:numPr>
        <w:snapToGrid/>
        <w:spacing w:line="360" w:lineRule="auto"/>
        <w:ind w:left="537"/>
        <w:rPr>
          <w:rFonts w:hint="eastAsia" w:ascii="宋体" w:hAnsi="宋体" w:cs="宋体"/>
          <w:b/>
          <w:color w:val="auto"/>
          <w:spacing w:val="0"/>
          <w:sz w:val="21"/>
          <w:szCs w:val="21"/>
          <w:highlight w:val="none"/>
        </w:rPr>
      </w:pPr>
      <w:r>
        <w:rPr>
          <w:rFonts w:hint="eastAsia" w:ascii="宋体" w:hAnsi="宋体" w:cs="宋体"/>
          <w:b/>
          <w:color w:val="auto"/>
          <w:spacing w:val="0"/>
          <w:sz w:val="21"/>
          <w:szCs w:val="21"/>
          <w:highlight w:val="none"/>
        </w:rPr>
        <w:t>发电机失磁保护</w:t>
      </w:r>
    </w:p>
    <w:p w14:paraId="42DEBE4A">
      <w:pPr>
        <w:pStyle w:val="22"/>
        <w:snapToGrid/>
        <w:spacing w:line="360" w:lineRule="auto"/>
        <w:ind w:left="0" w:leftChars="0" w:firstLine="460" w:firstLineChars="200"/>
        <w:jc w:val="left"/>
        <w:rPr>
          <w:rFonts w:hint="eastAsia" w:ascii="宋体" w:hAnsi="宋体" w:cs="宋体"/>
          <w:color w:val="auto"/>
          <w:spacing w:val="0"/>
          <w:sz w:val="21"/>
          <w:szCs w:val="21"/>
          <w:highlight w:val="none"/>
        </w:rPr>
      </w:pPr>
      <w:r>
        <w:rPr>
          <w:rFonts w:hint="eastAsia" w:ascii="宋体" w:hAnsi="宋体" w:cs="宋体"/>
          <w:color w:val="auto"/>
          <w:sz w:val="21"/>
          <w:szCs w:val="21"/>
          <w:highlight w:val="none"/>
        </w:rPr>
        <w:t>保护发电机在发生失磁或部分失磁时，防止危及发电机安全及电力系统稳定运行的保护装置。</w:t>
      </w:r>
      <w:r>
        <w:rPr>
          <w:rFonts w:hint="eastAsia" w:ascii="宋体" w:hAnsi="宋体" w:cs="宋体"/>
          <w:color w:val="auto"/>
          <w:spacing w:val="0"/>
          <w:sz w:val="21"/>
          <w:szCs w:val="21"/>
          <w:highlight w:val="none"/>
        </w:rPr>
        <w:t>其主要功能和技术要求如下：</w:t>
      </w:r>
    </w:p>
    <w:p w14:paraId="2EA71DA2">
      <w:pPr>
        <w:numPr>
          <w:ilvl w:val="0"/>
          <w:numId w:val="5"/>
        </w:numPr>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应能检测或预测机组的静稳边界，或检测机组的稳态异步边界；还应能检测不同负荷下各种全失磁和部分失磁</w:t>
      </w:r>
      <w:r>
        <w:rPr>
          <w:rFonts w:hint="eastAsia" w:ascii="宋体" w:hAnsi="宋体" w:eastAsia="宋体" w:cs="宋体"/>
          <w:color w:val="auto"/>
          <w:sz w:val="21"/>
          <w:szCs w:val="21"/>
          <w:highlight w:val="none"/>
          <w:lang w:eastAsia="zh-CN"/>
        </w:rPr>
        <w:t>；</w:t>
      </w:r>
    </w:p>
    <w:p w14:paraId="7C97C468">
      <w:pPr>
        <w:numPr>
          <w:ilvl w:val="0"/>
          <w:numId w:val="5"/>
        </w:numPr>
        <w:snapToGrid/>
        <w:spacing w:line="360" w:lineRule="auto"/>
        <w:ind w:left="480" w:leftChars="200" w:firstLine="0"/>
        <w:outlineLvl w:val="3"/>
        <w:rPr>
          <w:rFonts w:hint="eastAsia" w:ascii="宋体" w:hAnsi="宋体" w:cs="宋体"/>
          <w:color w:val="auto"/>
          <w:sz w:val="21"/>
          <w:szCs w:val="21"/>
          <w:highlight w:val="none"/>
        </w:rPr>
      </w:pPr>
      <w:r>
        <w:rPr>
          <w:rFonts w:hint="eastAsia" w:ascii="宋体" w:hAnsi="宋体" w:cs="宋体"/>
          <w:color w:val="auto"/>
          <w:sz w:val="21"/>
          <w:szCs w:val="21"/>
          <w:highlight w:val="none"/>
        </w:rPr>
        <w:t>应能检测系统侧电压</w:t>
      </w:r>
      <w:r>
        <w:rPr>
          <w:rFonts w:hint="eastAsia" w:ascii="宋体" w:hAnsi="宋体" w:eastAsia="宋体" w:cs="宋体"/>
          <w:color w:val="auto"/>
          <w:sz w:val="21"/>
          <w:szCs w:val="21"/>
          <w:highlight w:val="none"/>
          <w:lang w:eastAsia="zh-CN"/>
        </w:rPr>
        <w:t>；</w:t>
      </w:r>
    </w:p>
    <w:p w14:paraId="009CE904">
      <w:pPr>
        <w:numPr>
          <w:ilvl w:val="0"/>
          <w:numId w:val="5"/>
        </w:numPr>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应防止机组正常进相运行时和电力系统振荡时的误动；还应防止系统故障、故障切除过程中以及电压互感器断线时的误动，当电压互感器回路断线时应发出报警信号；</w:t>
      </w:r>
    </w:p>
    <w:p w14:paraId="74EB7056">
      <w:pPr>
        <w:numPr>
          <w:ilvl w:val="0"/>
          <w:numId w:val="5"/>
        </w:numPr>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时间整定值的准确度（1.5倍整定值时）：1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cs="宋体"/>
          <w:color w:val="auto"/>
          <w:sz w:val="21"/>
          <w:szCs w:val="21"/>
          <w:highlight w:val="none"/>
        </w:rPr>
        <w:t>或40</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rPr>
        <w:t>ms；</w:t>
      </w:r>
    </w:p>
    <w:p w14:paraId="1DCBE343">
      <w:pPr>
        <w:numPr>
          <w:ilvl w:val="0"/>
          <w:numId w:val="5"/>
        </w:numPr>
        <w:snapToGrid/>
        <w:spacing w:line="360" w:lineRule="auto"/>
        <w:ind w:left="480" w:leftChars="200" w:firstLine="0"/>
        <w:rPr>
          <w:rFonts w:hint="eastAsia" w:ascii="宋体" w:hAnsi="宋体" w:cs="宋体"/>
          <w:dstrike w:val="0"/>
          <w:color w:val="auto"/>
          <w:sz w:val="21"/>
          <w:szCs w:val="21"/>
          <w:highlight w:val="none"/>
        </w:rPr>
      </w:pPr>
      <w:r>
        <w:rPr>
          <w:rFonts w:hint="eastAsia" w:ascii="宋体" w:hAnsi="宋体" w:cs="宋体"/>
          <w:color w:val="auto"/>
          <w:sz w:val="21"/>
          <w:szCs w:val="21"/>
          <w:highlight w:val="none"/>
        </w:rPr>
        <w:t>阻抗和功率整定值的准确度：5</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cs="宋体"/>
          <w:color w:val="auto"/>
          <w:sz w:val="21"/>
          <w:szCs w:val="21"/>
          <w:highlight w:val="none"/>
        </w:rPr>
        <w:t>。其他整定值的准确度：2.5</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cs="宋体"/>
          <w:color w:val="auto"/>
          <w:sz w:val="21"/>
          <w:szCs w:val="21"/>
          <w:highlight w:val="none"/>
        </w:rPr>
        <w:t>。</w:t>
      </w:r>
    </w:p>
    <w:p w14:paraId="408A3F3A">
      <w:pPr>
        <w:pStyle w:val="22"/>
        <w:numPr>
          <w:ilvl w:val="0"/>
          <w:numId w:val="2"/>
        </w:numPr>
        <w:snapToGrid/>
        <w:spacing w:line="360" w:lineRule="auto"/>
        <w:ind w:left="537"/>
        <w:rPr>
          <w:rFonts w:hint="eastAsia" w:ascii="宋体" w:hAnsi="宋体" w:cs="宋体"/>
          <w:b/>
          <w:color w:val="auto"/>
          <w:spacing w:val="0"/>
          <w:sz w:val="21"/>
          <w:szCs w:val="21"/>
          <w:highlight w:val="none"/>
        </w:rPr>
      </w:pPr>
      <w:r>
        <w:rPr>
          <w:rFonts w:hint="eastAsia" w:ascii="宋体" w:hAnsi="宋体" w:cs="宋体"/>
          <w:b/>
          <w:color w:val="auto"/>
          <w:spacing w:val="0"/>
          <w:sz w:val="21"/>
          <w:szCs w:val="21"/>
          <w:highlight w:val="none"/>
        </w:rPr>
        <w:t>发电机逆功率保护</w:t>
      </w:r>
    </w:p>
    <w:p w14:paraId="22F956FA">
      <w:pPr>
        <w:snapToGrid/>
        <w:spacing w:line="360" w:lineRule="auto"/>
        <w:ind w:left="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保护发电机在运行时因失去蒸汽而造成电动机运行方式，从而使汽轮机尾部叶片受损的保护装置。逆功率分为两个部分：一是作为保护装置程序跳闸的起动元件；另一个是作为逆功率保护元件。其主要功能和技术要求如下：</w:t>
      </w:r>
    </w:p>
    <w:p w14:paraId="0679810A">
      <w:pPr>
        <w:numPr>
          <w:ilvl w:val="0"/>
          <w:numId w:val="6"/>
        </w:numPr>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作为程序跳闸起动元件，在汽机主汽门关闭并且逆功率继电器动作的情况下，经较短延时起动跳闸；作为电动机运行方式保护元件，当发电机-变压器组在线运行时，逆功率继电器动作但未得到主汽门关闭信号时经较长的时限起动跳闸；</w:t>
      </w:r>
    </w:p>
    <w:p w14:paraId="12C1F0ED">
      <w:pPr>
        <w:numPr>
          <w:ilvl w:val="0"/>
          <w:numId w:val="6"/>
        </w:numPr>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有功测量原理应与无功大小无关；</w:t>
      </w:r>
    </w:p>
    <w:p w14:paraId="05C994DE">
      <w:pPr>
        <w:numPr>
          <w:ilvl w:val="0"/>
          <w:numId w:val="6"/>
        </w:numPr>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为提高测量精度，保护装置应引入测量级的电流互感器回路；</w:t>
      </w:r>
    </w:p>
    <w:p w14:paraId="552C4FF2">
      <w:pPr>
        <w:numPr>
          <w:ilvl w:val="0"/>
          <w:numId w:val="6"/>
        </w:numPr>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当电压互感器回路断线时应闭锁装置并发出报警信号；</w:t>
      </w:r>
    </w:p>
    <w:p w14:paraId="7E3C5927">
      <w:pPr>
        <w:numPr>
          <w:ilvl w:val="0"/>
          <w:numId w:val="6"/>
        </w:numPr>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有功最小整定应不大于10</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rPr>
        <w:t>W(二次的三相功率,额定电流为5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rPr>
        <w:t>A)；</w:t>
      </w:r>
    </w:p>
    <w:p w14:paraId="0E915188">
      <w:pPr>
        <w:numPr>
          <w:ilvl w:val="0"/>
          <w:numId w:val="6"/>
        </w:numPr>
        <w:snapToGrid/>
        <w:spacing w:line="360" w:lineRule="auto"/>
        <w:ind w:left="480" w:leftChars="200" w:firstLine="0"/>
        <w:outlineLvl w:val="3"/>
        <w:rPr>
          <w:rFonts w:hint="eastAsia" w:ascii="宋体" w:hAnsi="宋体" w:cs="宋体"/>
          <w:color w:val="auto"/>
          <w:sz w:val="21"/>
          <w:szCs w:val="21"/>
          <w:highlight w:val="none"/>
        </w:rPr>
      </w:pPr>
      <w:r>
        <w:rPr>
          <w:rFonts w:hint="eastAsia" w:ascii="宋体" w:hAnsi="宋体" w:cs="宋体"/>
          <w:color w:val="auto"/>
          <w:sz w:val="21"/>
          <w:szCs w:val="21"/>
          <w:highlight w:val="none"/>
        </w:rPr>
        <w:t>返回系数不小于0.8；</w:t>
      </w:r>
    </w:p>
    <w:p w14:paraId="15EBB436">
      <w:pPr>
        <w:numPr>
          <w:ilvl w:val="0"/>
          <w:numId w:val="6"/>
        </w:numPr>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时间整定值的准确度（1.5倍整定值时）：1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cs="宋体"/>
          <w:color w:val="auto"/>
          <w:sz w:val="21"/>
          <w:szCs w:val="21"/>
          <w:highlight w:val="none"/>
        </w:rPr>
        <w:t>或40</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rPr>
        <w:t>ms。有功整定值的准确度：10</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cs="宋体"/>
          <w:color w:val="auto"/>
          <w:sz w:val="21"/>
          <w:szCs w:val="21"/>
          <w:highlight w:val="none"/>
        </w:rPr>
        <w:t>或0.002</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rPr>
        <w:t>P</w:t>
      </w:r>
      <w:r>
        <w:rPr>
          <w:rFonts w:hint="eastAsia" w:ascii="宋体" w:hAnsi="宋体" w:eastAsia="宋体" w:cs="宋体"/>
          <w:color w:val="auto"/>
          <w:sz w:val="21"/>
          <w:szCs w:val="21"/>
          <w:highlight w:val="none"/>
          <w:vertAlign w:val="baseline"/>
          <w:lang w:val="en-US" w:eastAsia="zh-CN"/>
        </w:rPr>
        <w:t>n</w:t>
      </w:r>
      <w:r>
        <w:rPr>
          <w:rFonts w:hint="eastAsia" w:ascii="宋体" w:hAnsi="宋体" w:cs="宋体"/>
          <w:color w:val="auto"/>
          <w:sz w:val="21"/>
          <w:szCs w:val="21"/>
          <w:highlight w:val="none"/>
        </w:rPr>
        <w:t>。</w:t>
      </w:r>
    </w:p>
    <w:p w14:paraId="68F113DA">
      <w:pPr>
        <w:pStyle w:val="22"/>
        <w:numPr>
          <w:ilvl w:val="0"/>
          <w:numId w:val="2"/>
        </w:numPr>
        <w:snapToGrid/>
        <w:spacing w:line="360" w:lineRule="auto"/>
        <w:ind w:left="537"/>
        <w:rPr>
          <w:rFonts w:hint="eastAsia" w:ascii="宋体" w:hAnsi="宋体" w:cs="宋体"/>
          <w:b/>
          <w:color w:val="auto"/>
          <w:spacing w:val="0"/>
          <w:sz w:val="21"/>
          <w:szCs w:val="21"/>
          <w:highlight w:val="none"/>
        </w:rPr>
      </w:pPr>
      <w:r>
        <w:rPr>
          <w:rFonts w:hint="eastAsia" w:ascii="宋体" w:hAnsi="宋体" w:cs="宋体"/>
          <w:b/>
          <w:color w:val="auto"/>
          <w:spacing w:val="0"/>
          <w:sz w:val="21"/>
          <w:szCs w:val="21"/>
          <w:highlight w:val="none"/>
        </w:rPr>
        <w:t>发电机过负荷保护</w:t>
      </w:r>
    </w:p>
    <w:p w14:paraId="310D2C60">
      <w:pPr>
        <w:tabs>
          <w:tab w:val="left" w:pos="1995"/>
        </w:tabs>
        <w:snapToGrid/>
        <w:spacing w:line="360" w:lineRule="auto"/>
        <w:ind w:left="0" w:firstLine="420" w:firstLineChars="200"/>
        <w:rPr>
          <w:rFonts w:hint="eastAsia" w:ascii="宋体" w:hAnsi="宋体" w:cs="宋体"/>
          <w:strike/>
          <w:color w:val="auto"/>
          <w:sz w:val="21"/>
          <w:szCs w:val="21"/>
          <w:highlight w:val="none"/>
        </w:rPr>
      </w:pPr>
      <w:r>
        <w:rPr>
          <w:rFonts w:hint="eastAsia" w:ascii="宋体" w:hAnsi="宋体" w:cs="宋体"/>
          <w:color w:val="auto"/>
          <w:sz w:val="21"/>
          <w:szCs w:val="21"/>
          <w:highlight w:val="none"/>
        </w:rPr>
        <w:t>过负荷保护由定时限和反时限两部分组成，定时限部分用于起动报警信号，反时限部分应具有与发电机定子绕组的过载容量相匹配的特性，可以模拟定子绕组的热积累过程。其主要功能和技术要求如下：</w:t>
      </w:r>
    </w:p>
    <w:p w14:paraId="2355C34C">
      <w:pPr>
        <w:numPr>
          <w:ilvl w:val="0"/>
          <w:numId w:val="7"/>
        </w:numPr>
        <w:snapToGrid/>
        <w:spacing w:line="360" w:lineRule="auto"/>
        <w:ind w:left="480" w:leftChars="200" w:firstLine="0" w:firstLineChars="0"/>
        <w:rPr>
          <w:rFonts w:hint="eastAsia" w:ascii="宋体" w:hAnsi="宋体" w:cs="宋体"/>
          <w:color w:val="auto"/>
          <w:sz w:val="21"/>
          <w:szCs w:val="21"/>
          <w:highlight w:val="none"/>
        </w:rPr>
      </w:pPr>
      <w:r>
        <w:rPr>
          <w:rFonts w:hint="eastAsia" w:ascii="宋体" w:hAnsi="宋体" w:cs="宋体"/>
          <w:color w:val="auto"/>
          <w:sz w:val="21"/>
          <w:szCs w:val="21"/>
          <w:highlight w:val="none"/>
        </w:rPr>
        <w:t>定时限过电流保护至少分两段，反时限特性应能整定，以便于定子的过热特性近似匹配；</w:t>
      </w:r>
    </w:p>
    <w:p w14:paraId="321E605F">
      <w:pPr>
        <w:numPr>
          <w:ilvl w:val="0"/>
          <w:numId w:val="7"/>
        </w:numPr>
        <w:snapToGrid/>
        <w:spacing w:line="360" w:lineRule="auto"/>
        <w:ind w:left="480" w:leftChars="200" w:firstLine="0" w:firstLineChars="0"/>
        <w:outlineLvl w:val="3"/>
        <w:rPr>
          <w:rFonts w:hint="eastAsia" w:ascii="宋体" w:hAnsi="宋体" w:cs="宋体"/>
          <w:color w:val="auto"/>
          <w:sz w:val="21"/>
          <w:szCs w:val="21"/>
          <w:highlight w:val="none"/>
        </w:rPr>
      </w:pPr>
      <w:r>
        <w:rPr>
          <w:rFonts w:hint="eastAsia" w:ascii="宋体" w:hAnsi="宋体" w:cs="宋体"/>
          <w:color w:val="auto"/>
          <w:sz w:val="21"/>
          <w:szCs w:val="21"/>
          <w:highlight w:val="none"/>
        </w:rPr>
        <w:t>定时限过电流保护返回系数不小于0.9</w:t>
      </w:r>
      <w:r>
        <w:rPr>
          <w:rFonts w:hint="eastAsia" w:ascii="宋体" w:hAnsi="宋体" w:cs="宋体"/>
          <w:color w:val="auto"/>
          <w:sz w:val="21"/>
          <w:szCs w:val="21"/>
          <w:highlight w:val="none"/>
          <w:lang w:eastAsia="zh-CN"/>
        </w:rPr>
        <w:t>；</w:t>
      </w:r>
    </w:p>
    <w:p w14:paraId="0731B090">
      <w:pPr>
        <w:numPr>
          <w:ilvl w:val="0"/>
          <w:numId w:val="7"/>
        </w:numPr>
        <w:snapToGrid/>
        <w:spacing w:line="360" w:lineRule="auto"/>
        <w:ind w:left="480" w:leftChars="200" w:firstLine="0" w:firstLineChars="0"/>
        <w:rPr>
          <w:rFonts w:hint="eastAsia" w:ascii="宋体" w:hAnsi="宋体" w:cs="宋体"/>
          <w:color w:val="auto"/>
          <w:sz w:val="21"/>
          <w:szCs w:val="21"/>
          <w:highlight w:val="none"/>
        </w:rPr>
      </w:pPr>
      <w:r>
        <w:rPr>
          <w:rFonts w:hint="eastAsia" w:ascii="宋体" w:hAnsi="宋体" w:cs="宋体"/>
          <w:color w:val="auto"/>
          <w:sz w:val="21"/>
          <w:szCs w:val="21"/>
          <w:highlight w:val="none"/>
        </w:rPr>
        <w:t>反时限特性由长延时段、反时限段、速断段三部分组成。长延时应可整定到1000</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rPr>
        <w:t>s</w:t>
      </w:r>
      <w:r>
        <w:rPr>
          <w:rFonts w:hint="eastAsia" w:ascii="宋体" w:hAnsi="宋体" w:cs="宋体"/>
          <w:color w:val="auto"/>
          <w:sz w:val="21"/>
          <w:szCs w:val="21"/>
          <w:highlight w:val="none"/>
          <w:lang w:eastAsia="zh-CN"/>
        </w:rPr>
        <w:t>；</w:t>
      </w:r>
    </w:p>
    <w:p w14:paraId="426A8713">
      <w:pPr>
        <w:numPr>
          <w:ilvl w:val="0"/>
          <w:numId w:val="7"/>
        </w:numPr>
        <w:snapToGrid/>
        <w:spacing w:line="360" w:lineRule="auto"/>
        <w:ind w:left="480" w:leftChars="200" w:firstLine="0" w:firstLineChars="0"/>
        <w:outlineLvl w:val="3"/>
        <w:rPr>
          <w:rFonts w:hint="eastAsia" w:ascii="宋体" w:hAnsi="宋体" w:cs="宋体"/>
          <w:color w:val="auto"/>
          <w:sz w:val="21"/>
          <w:szCs w:val="21"/>
          <w:highlight w:val="none"/>
        </w:rPr>
      </w:pPr>
      <w:r>
        <w:rPr>
          <w:rFonts w:hint="eastAsia" w:ascii="宋体" w:hAnsi="宋体" w:cs="宋体"/>
          <w:color w:val="auto"/>
          <w:sz w:val="21"/>
          <w:szCs w:val="21"/>
          <w:highlight w:val="none"/>
        </w:rPr>
        <w:t>整定值的准确度：205</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cs="宋体"/>
          <w:color w:val="auto"/>
          <w:sz w:val="21"/>
          <w:szCs w:val="21"/>
          <w:highlight w:val="none"/>
        </w:rPr>
        <w:t>或0.02</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rPr>
        <w:t>In；</w:t>
      </w:r>
    </w:p>
    <w:p w14:paraId="1583F37B">
      <w:pPr>
        <w:numPr>
          <w:ilvl w:val="0"/>
          <w:numId w:val="7"/>
        </w:numPr>
        <w:snapToGrid/>
        <w:spacing w:line="360" w:lineRule="auto"/>
        <w:ind w:left="480" w:leftChars="200" w:firstLine="0" w:firstLineChars="0"/>
        <w:rPr>
          <w:rFonts w:hint="eastAsia" w:ascii="宋体" w:hAnsi="宋体" w:cs="宋体"/>
          <w:color w:val="auto"/>
          <w:sz w:val="21"/>
          <w:szCs w:val="21"/>
          <w:highlight w:val="none"/>
        </w:rPr>
      </w:pPr>
      <w:r>
        <w:rPr>
          <w:rFonts w:hint="eastAsia" w:ascii="宋体" w:hAnsi="宋体" w:cs="宋体"/>
          <w:color w:val="auto"/>
          <w:sz w:val="21"/>
          <w:szCs w:val="21"/>
          <w:highlight w:val="none"/>
        </w:rPr>
        <w:t>长延时段、速断段时间整定值的准确度（1.5倍整定值时）：1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cs="宋体"/>
          <w:color w:val="auto"/>
          <w:sz w:val="21"/>
          <w:szCs w:val="21"/>
          <w:highlight w:val="none"/>
        </w:rPr>
        <w:t>或40</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rPr>
        <w:t>ms。</w:t>
      </w:r>
    </w:p>
    <w:p w14:paraId="18ED18F4">
      <w:pPr>
        <w:pStyle w:val="22"/>
        <w:numPr>
          <w:ilvl w:val="0"/>
          <w:numId w:val="2"/>
        </w:numPr>
        <w:snapToGrid/>
        <w:spacing w:line="360" w:lineRule="auto"/>
        <w:ind w:left="537"/>
        <w:rPr>
          <w:rFonts w:hint="eastAsia" w:ascii="宋体" w:hAnsi="宋体" w:cs="宋体"/>
          <w:b/>
          <w:color w:val="auto"/>
          <w:spacing w:val="0"/>
          <w:sz w:val="21"/>
          <w:szCs w:val="21"/>
          <w:highlight w:val="none"/>
        </w:rPr>
      </w:pPr>
      <w:r>
        <w:rPr>
          <w:rFonts w:hint="eastAsia" w:ascii="宋体" w:hAnsi="宋体" w:cs="宋体"/>
          <w:b/>
          <w:color w:val="auto"/>
          <w:spacing w:val="0"/>
          <w:sz w:val="21"/>
          <w:szCs w:val="21"/>
          <w:highlight w:val="none"/>
        </w:rPr>
        <w:t>发电机定子接地保护</w:t>
      </w:r>
    </w:p>
    <w:p w14:paraId="75198F49">
      <w:pPr>
        <w:snapToGrid/>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）基波零序电压加三次谐波定子接地保护。反映基波保护范围在发电机机端90</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％左右的零序过电压保护和通过比较发电机中性点与机端三次谐波电压保护，从而构成对定子绕组的100</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％保护。也可由其它保护方式实现100</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％定子接地保护。其主要功能及技术要求：</w:t>
      </w:r>
    </w:p>
    <w:p w14:paraId="7A59008F">
      <w:pPr>
        <w:numPr>
          <w:ilvl w:val="0"/>
          <w:numId w:val="8"/>
        </w:numPr>
        <w:tabs>
          <w:tab w:val="left" w:pos="-251"/>
          <w:tab w:val="left" w:pos="881"/>
        </w:tabs>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保护范围应为定子绕组的100％；</w:t>
      </w:r>
    </w:p>
    <w:p w14:paraId="5053452C">
      <w:pPr>
        <w:numPr>
          <w:ilvl w:val="0"/>
          <w:numId w:val="8"/>
        </w:numPr>
        <w:tabs>
          <w:tab w:val="left" w:pos="-251"/>
          <w:tab w:val="left" w:pos="881"/>
        </w:tabs>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三次谐波式应能通过参数监视功能提供整定依据；</w:t>
      </w:r>
    </w:p>
    <w:p w14:paraId="7C8DA3AC">
      <w:pPr>
        <w:numPr>
          <w:ilvl w:val="0"/>
          <w:numId w:val="8"/>
        </w:numPr>
        <w:tabs>
          <w:tab w:val="left" w:pos="-251"/>
          <w:tab w:val="left" w:pos="881"/>
        </w:tabs>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基波零序电压保护返回系数不小于0.9；</w:t>
      </w:r>
    </w:p>
    <w:p w14:paraId="7637FF4C">
      <w:pPr>
        <w:numPr>
          <w:ilvl w:val="0"/>
          <w:numId w:val="8"/>
        </w:numPr>
        <w:tabs>
          <w:tab w:val="left" w:pos="-251"/>
          <w:tab w:val="left" w:pos="881"/>
        </w:tabs>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主变高压侧单相接地保护时基波零序电压保护应不误动</w:t>
      </w:r>
      <w:r>
        <w:rPr>
          <w:rFonts w:hint="eastAsia" w:ascii="宋体" w:hAnsi="宋体" w:cs="宋体"/>
          <w:color w:val="auto"/>
          <w:sz w:val="21"/>
          <w:szCs w:val="21"/>
          <w:highlight w:val="none"/>
          <w:lang w:eastAsia="zh-CN"/>
        </w:rPr>
        <w:t>；</w:t>
      </w:r>
    </w:p>
    <w:p w14:paraId="6BDE627D">
      <w:pPr>
        <w:numPr>
          <w:ilvl w:val="0"/>
          <w:numId w:val="8"/>
        </w:numPr>
        <w:tabs>
          <w:tab w:val="left" w:pos="-251"/>
          <w:tab w:val="left" w:pos="881"/>
        </w:tabs>
        <w:snapToGrid/>
        <w:spacing w:line="360" w:lineRule="auto"/>
        <w:ind w:left="480" w:leftChars="200" w:firstLine="0" w:firstLineChars="0"/>
        <w:rPr>
          <w:rFonts w:hint="eastAsia" w:ascii="宋体" w:hAnsi="宋体" w:cs="宋体"/>
          <w:color w:val="auto"/>
          <w:sz w:val="21"/>
          <w:szCs w:val="21"/>
          <w:highlight w:val="none"/>
        </w:rPr>
      </w:pPr>
      <w:r>
        <w:rPr>
          <w:rFonts w:hint="eastAsia" w:ascii="宋体" w:hAnsi="宋体" w:cs="宋体"/>
          <w:color w:val="auto"/>
          <w:sz w:val="21"/>
          <w:szCs w:val="21"/>
          <w:highlight w:val="none"/>
        </w:rPr>
        <w:t>时间整定值的准确度（1.5倍整定值时）：1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cs="宋体"/>
          <w:color w:val="auto"/>
          <w:sz w:val="21"/>
          <w:szCs w:val="21"/>
          <w:highlight w:val="none"/>
        </w:rPr>
        <w:t>或70</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rPr>
        <w:t>ms。</w:t>
      </w:r>
    </w:p>
    <w:p w14:paraId="6B92B800">
      <w:pPr>
        <w:tabs>
          <w:tab w:val="left" w:pos="-251"/>
          <w:tab w:val="left" w:pos="881"/>
        </w:tabs>
        <w:snapToGrid/>
        <w:spacing w:line="360" w:lineRule="auto"/>
        <w:ind w:left="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2）采用外加电源注入式定子接地保护。实现不受发电机运行工况影响的定子绝缘检测，保护范围100</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％，保护应具有以下主要功能及技术要求：</w:t>
      </w:r>
    </w:p>
    <w:p w14:paraId="02F6CCF3">
      <w:pPr>
        <w:numPr>
          <w:ilvl w:val="0"/>
          <w:numId w:val="9"/>
        </w:numPr>
        <w:tabs>
          <w:tab w:val="left" w:pos="-251"/>
          <w:tab w:val="left" w:pos="881"/>
        </w:tabs>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能独立实现100</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定子接地保护；</w:t>
      </w:r>
    </w:p>
    <w:p w14:paraId="0CA90F24">
      <w:pPr>
        <w:numPr>
          <w:ilvl w:val="0"/>
          <w:numId w:val="9"/>
        </w:numPr>
        <w:tabs>
          <w:tab w:val="left" w:pos="-251"/>
          <w:tab w:val="left" w:pos="881"/>
        </w:tabs>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注入源功率不应过大，注入电压不超过2</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Un（发电机一次侧额定电压）；</w:t>
      </w:r>
    </w:p>
    <w:p w14:paraId="32E5FB82">
      <w:pPr>
        <w:numPr>
          <w:ilvl w:val="0"/>
          <w:numId w:val="9"/>
        </w:numPr>
        <w:tabs>
          <w:tab w:val="left" w:pos="-251"/>
          <w:tab w:val="left" w:pos="881"/>
        </w:tabs>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注入电源具有电压消失和故障或过载保护报警功能；</w:t>
      </w:r>
    </w:p>
    <w:p w14:paraId="748B2861">
      <w:pPr>
        <w:numPr>
          <w:ilvl w:val="0"/>
          <w:numId w:val="9"/>
        </w:numPr>
        <w:tabs>
          <w:tab w:val="left" w:pos="-251"/>
          <w:tab w:val="left" w:pos="881"/>
        </w:tabs>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可靠反映的发电机中性点接地电阻值：汽轮发电机不低于10</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rPr>
        <w:t>kΩ，水轮机发电机不低于1</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rPr>
        <w:t>kΩ；</w:t>
      </w:r>
    </w:p>
    <w:p w14:paraId="6A924B14">
      <w:pPr>
        <w:numPr>
          <w:ilvl w:val="0"/>
          <w:numId w:val="9"/>
        </w:numPr>
        <w:tabs>
          <w:tab w:val="left" w:pos="-251"/>
          <w:tab w:val="left" w:pos="881"/>
        </w:tabs>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时间整定值的准确度（1.5倍整定值时）：1</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或120</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rPr>
        <w:t>ms。</w:t>
      </w:r>
    </w:p>
    <w:p w14:paraId="3EA7258D">
      <w:pPr>
        <w:pStyle w:val="22"/>
        <w:numPr>
          <w:ilvl w:val="0"/>
          <w:numId w:val="2"/>
        </w:numPr>
        <w:snapToGrid/>
        <w:spacing w:line="360" w:lineRule="auto"/>
        <w:ind w:left="537"/>
        <w:rPr>
          <w:rFonts w:hint="eastAsia" w:ascii="宋体" w:hAnsi="宋体" w:cs="宋体"/>
          <w:b/>
          <w:color w:val="auto"/>
          <w:spacing w:val="0"/>
          <w:sz w:val="21"/>
          <w:szCs w:val="21"/>
          <w:highlight w:val="none"/>
        </w:rPr>
      </w:pPr>
      <w:r>
        <w:rPr>
          <w:rFonts w:hint="eastAsia" w:ascii="宋体" w:hAnsi="宋体" w:cs="宋体"/>
          <w:b/>
          <w:color w:val="auto"/>
          <w:spacing w:val="0"/>
          <w:sz w:val="21"/>
          <w:szCs w:val="21"/>
          <w:highlight w:val="none"/>
        </w:rPr>
        <w:t>频率保护</w:t>
      </w:r>
    </w:p>
    <w:p w14:paraId="5ABC5119">
      <w:pPr>
        <w:tabs>
          <w:tab w:val="left" w:pos="1995"/>
        </w:tabs>
        <w:snapToGrid/>
        <w:spacing w:line="360" w:lineRule="auto"/>
        <w:ind w:left="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保护汽轮机，为防止发电机在频率偏低或偏高时，使汽轮机的叶片及其拉筋发生断裂故障的保护装置。其主要功能和技术要求如下：</w:t>
      </w:r>
    </w:p>
    <w:p w14:paraId="1CACBA23">
      <w:pPr>
        <w:numPr>
          <w:ilvl w:val="0"/>
          <w:numId w:val="10"/>
        </w:numPr>
        <w:snapToGrid/>
        <w:spacing w:line="360" w:lineRule="auto"/>
        <w:ind w:left="480" w:leftChars="200" w:firstLine="0"/>
        <w:outlineLvl w:val="3"/>
        <w:rPr>
          <w:rFonts w:hint="eastAsia" w:ascii="宋体" w:hAnsi="宋体" w:cs="宋体"/>
          <w:color w:val="auto"/>
          <w:sz w:val="21"/>
          <w:szCs w:val="21"/>
          <w:highlight w:val="none"/>
        </w:rPr>
      </w:pPr>
      <w:r>
        <w:rPr>
          <w:rFonts w:hint="eastAsia" w:ascii="宋体" w:hAnsi="宋体" w:cs="宋体"/>
          <w:color w:val="auto"/>
          <w:sz w:val="21"/>
          <w:szCs w:val="21"/>
          <w:highlight w:val="none"/>
        </w:rPr>
        <w:t>该保护应能反应频率下降和持续低频运行的时间累计；</w:t>
      </w:r>
    </w:p>
    <w:p w14:paraId="27A69F1B">
      <w:pPr>
        <w:numPr>
          <w:ilvl w:val="0"/>
          <w:numId w:val="10"/>
        </w:numPr>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应根据汽轮机的频率－时间特性，具有按频率分段时间累积功能，时间累积在装置断电时应能保持；</w:t>
      </w:r>
    </w:p>
    <w:p w14:paraId="2F4D524B">
      <w:pPr>
        <w:numPr>
          <w:ilvl w:val="0"/>
          <w:numId w:val="10"/>
        </w:numPr>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在发电机停机过程和停机期间应自动闭锁频率异常保护；</w:t>
      </w:r>
    </w:p>
    <w:p w14:paraId="2662CEF3">
      <w:pPr>
        <w:numPr>
          <w:ilvl w:val="0"/>
          <w:numId w:val="10"/>
        </w:numPr>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低频保护应在发电机－变压器组断路器合闸后投人运行；</w:t>
      </w:r>
    </w:p>
    <w:p w14:paraId="1E97E02C">
      <w:pPr>
        <w:numPr>
          <w:ilvl w:val="0"/>
          <w:numId w:val="10"/>
        </w:numPr>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当电压互感器回路断线时应闭锁装置并发出报警信号；</w:t>
      </w:r>
    </w:p>
    <w:p w14:paraId="3B37991C">
      <w:pPr>
        <w:numPr>
          <w:ilvl w:val="0"/>
          <w:numId w:val="10"/>
        </w:numPr>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频率测量范围为40～65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rPr>
        <w:t>Hz；频率测量允许误差±0.05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rPr>
        <w:t>Hz；时间积累的准确度20.5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w:t>
      </w:r>
    </w:p>
    <w:p w14:paraId="12668FCA">
      <w:pPr>
        <w:pStyle w:val="22"/>
        <w:numPr>
          <w:ilvl w:val="0"/>
          <w:numId w:val="2"/>
        </w:numPr>
        <w:snapToGrid/>
        <w:spacing w:line="360" w:lineRule="auto"/>
        <w:ind w:left="537"/>
        <w:rPr>
          <w:rFonts w:hint="eastAsia" w:ascii="宋体" w:hAnsi="宋体" w:cs="宋体"/>
          <w:b/>
          <w:color w:val="auto"/>
          <w:spacing w:val="0"/>
          <w:sz w:val="21"/>
          <w:szCs w:val="21"/>
          <w:highlight w:val="none"/>
        </w:rPr>
      </w:pPr>
      <w:r>
        <w:rPr>
          <w:rFonts w:hint="eastAsia" w:ascii="宋体" w:hAnsi="宋体" w:cs="宋体"/>
          <w:b/>
          <w:color w:val="auto"/>
          <w:spacing w:val="0"/>
          <w:sz w:val="21"/>
          <w:szCs w:val="21"/>
          <w:highlight w:val="none"/>
          <w:lang w:val="en-US" w:eastAsia="zh-CN"/>
        </w:rPr>
        <w:t>发电机</w:t>
      </w:r>
      <w:r>
        <w:rPr>
          <w:rFonts w:hint="eastAsia" w:ascii="宋体" w:hAnsi="宋体" w:cs="宋体"/>
          <w:b/>
          <w:color w:val="auto"/>
          <w:spacing w:val="0"/>
          <w:sz w:val="21"/>
          <w:szCs w:val="21"/>
          <w:highlight w:val="none"/>
        </w:rPr>
        <w:t>过激磁保护</w:t>
      </w:r>
    </w:p>
    <w:p w14:paraId="68219D75">
      <w:pPr>
        <w:tabs>
          <w:tab w:val="left" w:pos="1995"/>
        </w:tabs>
        <w:snapToGrid/>
        <w:spacing w:line="360" w:lineRule="auto"/>
        <w:ind w:left="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过激磁保护保护发电机过激磁，即当电压升高和频率降低时工作磁通密度过高引起绝缘过热老化的保护装置。保护装置定时限和反时限两种，定时限设低定值和高定值两段。其主要功能和技术要求如下：</w:t>
      </w:r>
    </w:p>
    <w:p w14:paraId="0FAFFAA4">
      <w:pPr>
        <w:numPr>
          <w:ilvl w:val="0"/>
          <w:numId w:val="11"/>
        </w:numPr>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保护装置应设有定时限和反时限两个部分，以便同发电机的过激磁特性近似匹配</w:t>
      </w:r>
      <w:r>
        <w:rPr>
          <w:rFonts w:hint="eastAsia" w:ascii="宋体" w:hAnsi="宋体" w:cs="宋体"/>
          <w:color w:val="auto"/>
          <w:sz w:val="21"/>
          <w:szCs w:val="21"/>
          <w:highlight w:val="none"/>
          <w:lang w:eastAsia="zh-CN"/>
        </w:rPr>
        <w:t>；</w:t>
      </w:r>
    </w:p>
    <w:p w14:paraId="1CA85E4B">
      <w:pPr>
        <w:numPr>
          <w:ilvl w:val="0"/>
          <w:numId w:val="11"/>
        </w:numPr>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在变压器出现励磁涌流时保护不应发生误动作；</w:t>
      </w:r>
    </w:p>
    <w:p w14:paraId="57C7BB3A">
      <w:pPr>
        <w:numPr>
          <w:ilvl w:val="0"/>
          <w:numId w:val="11"/>
        </w:numPr>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当电压互感器回路断线时应闭锁装置并发出报警信号；</w:t>
      </w:r>
    </w:p>
    <w:p w14:paraId="4D7D6A2E">
      <w:pPr>
        <w:numPr>
          <w:ilvl w:val="0"/>
          <w:numId w:val="11"/>
        </w:numPr>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过激磁返回系数不小于0.96；</w:t>
      </w:r>
    </w:p>
    <w:p w14:paraId="207C2F7A">
      <w:pPr>
        <w:numPr>
          <w:ilvl w:val="0"/>
          <w:numId w:val="11"/>
        </w:numPr>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时间整定值的准确度（1.5倍整定值时）：1</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或70</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rPr>
        <w:t>ms。反时限长延时应可整定到1000</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rPr>
        <w:t>s。</w:t>
      </w:r>
    </w:p>
    <w:p w14:paraId="71C4F67C">
      <w:pPr>
        <w:pStyle w:val="22"/>
        <w:numPr>
          <w:ilvl w:val="0"/>
          <w:numId w:val="2"/>
        </w:numPr>
        <w:snapToGrid/>
        <w:spacing w:line="360" w:lineRule="auto"/>
        <w:ind w:left="537"/>
        <w:rPr>
          <w:rFonts w:hint="eastAsia" w:ascii="宋体" w:hAnsi="宋体" w:cs="宋体"/>
          <w:b/>
          <w:color w:val="auto"/>
          <w:spacing w:val="0"/>
          <w:sz w:val="21"/>
          <w:szCs w:val="21"/>
          <w:highlight w:val="none"/>
        </w:rPr>
      </w:pPr>
      <w:r>
        <w:rPr>
          <w:rFonts w:hint="eastAsia" w:ascii="宋体" w:hAnsi="宋体" w:cs="宋体"/>
          <w:b/>
          <w:color w:val="auto"/>
          <w:spacing w:val="0"/>
          <w:sz w:val="21"/>
          <w:szCs w:val="21"/>
          <w:highlight w:val="none"/>
        </w:rPr>
        <w:t>发电机过电压保护</w:t>
      </w:r>
    </w:p>
    <w:p w14:paraId="2DBB5EB3">
      <w:pPr>
        <w:pStyle w:val="22"/>
        <w:snapToGrid/>
        <w:spacing w:line="360" w:lineRule="auto"/>
        <w:ind w:left="0" w:firstLine="420" w:firstLineChars="200"/>
        <w:rPr>
          <w:rFonts w:hint="eastAsia" w:ascii="宋体" w:hAnsi="宋体" w:cs="宋体"/>
          <w:color w:val="auto"/>
          <w:spacing w:val="0"/>
          <w:sz w:val="21"/>
          <w:szCs w:val="21"/>
          <w:highlight w:val="none"/>
        </w:rPr>
      </w:pPr>
      <w:r>
        <w:rPr>
          <w:rFonts w:hint="eastAsia" w:ascii="宋体" w:hAnsi="宋体" w:cs="宋体"/>
          <w:color w:val="auto"/>
          <w:spacing w:val="0"/>
          <w:sz w:val="21"/>
          <w:szCs w:val="21"/>
          <w:highlight w:val="none"/>
        </w:rPr>
        <w:t>保护发电机在起动或并网过程中发生电压升高而损坏发电机绝缘的事故。其主要功能和技术要求如下：</w:t>
      </w:r>
    </w:p>
    <w:p w14:paraId="1754AA2B">
      <w:pPr>
        <w:numPr>
          <w:ilvl w:val="0"/>
          <w:numId w:val="12"/>
        </w:numPr>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整定值的准确度：2.5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或0.04</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rPr>
        <w:t>Un返回系数不小于0.95；</w:t>
      </w:r>
    </w:p>
    <w:p w14:paraId="3C3BAC15">
      <w:pPr>
        <w:numPr>
          <w:ilvl w:val="0"/>
          <w:numId w:val="12"/>
        </w:numPr>
        <w:snapToGrid/>
        <w:spacing w:line="360" w:lineRule="auto"/>
        <w:ind w:left="480" w:leftChars="200" w:firstLine="0"/>
        <w:rPr>
          <w:rFonts w:hint="eastAsia" w:ascii="宋体" w:hAnsi="宋体" w:cs="宋体"/>
          <w:b w:val="0"/>
          <w:color w:val="auto"/>
          <w:sz w:val="21"/>
          <w:szCs w:val="21"/>
          <w:highlight w:val="none"/>
        </w:rPr>
      </w:pPr>
      <w:r>
        <w:rPr>
          <w:rFonts w:hint="eastAsia" w:ascii="宋体" w:hAnsi="宋体" w:cs="宋体"/>
          <w:color w:val="auto"/>
          <w:sz w:val="21"/>
          <w:szCs w:val="21"/>
          <w:highlight w:val="none"/>
        </w:rPr>
        <w:t>时间整定值的准确度（1.5倍整定值时）：1</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或40</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rPr>
        <w:t>ms。</w:t>
      </w:r>
    </w:p>
    <w:p w14:paraId="56FF5DCD">
      <w:pPr>
        <w:pStyle w:val="22"/>
        <w:numPr>
          <w:ilvl w:val="0"/>
          <w:numId w:val="2"/>
        </w:numPr>
        <w:snapToGrid/>
        <w:spacing w:line="360" w:lineRule="auto"/>
        <w:ind w:left="537"/>
        <w:rPr>
          <w:rFonts w:hint="eastAsia" w:ascii="宋体" w:hAnsi="宋体" w:cs="宋体"/>
          <w:b/>
          <w:color w:val="auto"/>
          <w:spacing w:val="0"/>
          <w:sz w:val="21"/>
          <w:szCs w:val="21"/>
          <w:highlight w:val="none"/>
        </w:rPr>
      </w:pPr>
      <w:r>
        <w:rPr>
          <w:rFonts w:hint="eastAsia" w:ascii="宋体" w:hAnsi="宋体" w:cs="宋体"/>
          <w:b/>
          <w:color w:val="auto"/>
          <w:spacing w:val="0"/>
          <w:sz w:val="21"/>
          <w:szCs w:val="21"/>
          <w:highlight w:val="none"/>
        </w:rPr>
        <w:t>突加电压保护</w:t>
      </w:r>
    </w:p>
    <w:p w14:paraId="54EA148D">
      <w:pPr>
        <w:pStyle w:val="22"/>
        <w:snapToGrid/>
        <w:spacing w:line="360" w:lineRule="auto"/>
        <w:ind w:left="0" w:firstLine="420" w:firstLineChars="200"/>
        <w:rPr>
          <w:rFonts w:hint="eastAsia" w:ascii="宋体" w:hAnsi="宋体" w:cs="宋体"/>
          <w:color w:val="auto"/>
          <w:spacing w:val="0"/>
          <w:sz w:val="21"/>
          <w:szCs w:val="21"/>
          <w:highlight w:val="none"/>
        </w:rPr>
      </w:pPr>
      <w:r>
        <w:rPr>
          <w:rFonts w:hint="eastAsia" w:ascii="宋体" w:hAnsi="宋体" w:cs="宋体"/>
          <w:color w:val="auto"/>
          <w:spacing w:val="0"/>
          <w:sz w:val="21"/>
          <w:szCs w:val="21"/>
          <w:highlight w:val="none"/>
        </w:rPr>
        <w:t>突加电压保护用于当汽轮发电机在盘车的情况下，发电机出口断路器意外合闸，突然加上电压，发电机投入运行后应能可靠退出。</w:t>
      </w:r>
    </w:p>
    <w:p w14:paraId="69A573F3">
      <w:pPr>
        <w:numPr>
          <w:ilvl w:val="0"/>
          <w:numId w:val="13"/>
        </w:numPr>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具有鉴别同期并网和误合闸的功能；</w:t>
      </w:r>
    </w:p>
    <w:p w14:paraId="129D8824">
      <w:pPr>
        <w:numPr>
          <w:ilvl w:val="0"/>
          <w:numId w:val="13"/>
        </w:numPr>
        <w:snapToGrid/>
        <w:spacing w:line="360" w:lineRule="auto"/>
        <w:ind w:left="480" w:leftChars="200"/>
        <w:rPr>
          <w:rFonts w:hint="eastAsia" w:ascii="宋体" w:hAnsi="宋体" w:cs="宋体"/>
          <w:color w:val="auto"/>
          <w:sz w:val="21"/>
          <w:szCs w:val="21"/>
          <w:highlight w:val="none"/>
        </w:rPr>
      </w:pPr>
      <w:r>
        <w:rPr>
          <w:rFonts w:hint="eastAsia" w:ascii="宋体" w:hAnsi="宋体" w:cs="宋体"/>
          <w:color w:val="auto"/>
          <w:sz w:val="21"/>
          <w:szCs w:val="21"/>
          <w:highlight w:val="none"/>
        </w:rPr>
        <w:t>具有正常并网（解列）后自动退出（投入）运行的功能；</w:t>
      </w:r>
    </w:p>
    <w:p w14:paraId="7E68AD50">
      <w:pPr>
        <w:numPr>
          <w:ilvl w:val="0"/>
          <w:numId w:val="13"/>
        </w:numPr>
        <w:snapToGrid/>
        <w:spacing w:line="360" w:lineRule="auto"/>
        <w:ind w:left="480" w:leftChars="200"/>
        <w:rPr>
          <w:rFonts w:hint="eastAsia" w:ascii="宋体" w:hAnsi="宋体" w:cs="宋体"/>
          <w:color w:val="auto"/>
          <w:sz w:val="21"/>
          <w:szCs w:val="21"/>
          <w:highlight w:val="none"/>
        </w:rPr>
      </w:pPr>
      <w:r>
        <w:rPr>
          <w:rFonts w:hint="eastAsia" w:ascii="宋体" w:hAnsi="宋体" w:cs="宋体"/>
          <w:color w:val="auto"/>
          <w:sz w:val="21"/>
          <w:szCs w:val="21"/>
          <w:highlight w:val="none"/>
        </w:rPr>
        <w:t>整定值的准确度：5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w:t>
      </w:r>
    </w:p>
    <w:p w14:paraId="476DF91A">
      <w:pPr>
        <w:pStyle w:val="22"/>
        <w:numPr>
          <w:ilvl w:val="0"/>
          <w:numId w:val="2"/>
        </w:numPr>
        <w:snapToGrid/>
        <w:spacing w:line="360" w:lineRule="auto"/>
        <w:ind w:left="537"/>
        <w:rPr>
          <w:rFonts w:hint="eastAsia" w:ascii="宋体" w:hAnsi="宋体" w:cs="宋体"/>
          <w:b/>
          <w:color w:val="auto"/>
          <w:spacing w:val="0"/>
          <w:sz w:val="21"/>
          <w:szCs w:val="21"/>
          <w:highlight w:val="none"/>
        </w:rPr>
      </w:pPr>
      <w:r>
        <w:rPr>
          <w:rFonts w:hint="eastAsia" w:ascii="宋体" w:hAnsi="宋体" w:cs="宋体"/>
          <w:b/>
          <w:color w:val="auto"/>
          <w:spacing w:val="0"/>
          <w:sz w:val="21"/>
          <w:szCs w:val="21"/>
          <w:highlight w:val="none"/>
        </w:rPr>
        <w:t>发电机失步保护</w:t>
      </w:r>
    </w:p>
    <w:p w14:paraId="13AD7065">
      <w:pPr>
        <w:pStyle w:val="22"/>
        <w:snapToGrid/>
        <w:spacing w:line="360" w:lineRule="auto"/>
        <w:ind w:left="0" w:firstLine="420" w:firstLineChars="200"/>
        <w:rPr>
          <w:rFonts w:hint="eastAsia" w:ascii="宋体" w:hAnsi="宋体" w:cs="宋体"/>
          <w:color w:val="auto"/>
          <w:spacing w:val="0"/>
          <w:sz w:val="21"/>
          <w:szCs w:val="21"/>
          <w:highlight w:val="none"/>
        </w:rPr>
      </w:pPr>
      <w:r>
        <w:rPr>
          <w:rFonts w:hint="eastAsia" w:ascii="宋体" w:hAnsi="宋体" w:cs="宋体"/>
          <w:color w:val="auto"/>
          <w:spacing w:val="0"/>
          <w:sz w:val="21"/>
          <w:szCs w:val="21"/>
          <w:highlight w:val="none"/>
        </w:rPr>
        <w:t>保护发电机在发生失步时，造成机组受力和热的损伤及厂用电压急剧下降，使厂用机械受到严重威胁，导致停机、停炉严重事故的保护装置。其主要功能和技术要求如下：</w:t>
      </w:r>
    </w:p>
    <w:p w14:paraId="5A310FC7">
      <w:pPr>
        <w:numPr>
          <w:ilvl w:val="0"/>
          <w:numId w:val="14"/>
        </w:numPr>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应能检测加速和减速失步；</w:t>
      </w:r>
    </w:p>
    <w:p w14:paraId="02D5D638">
      <w:pPr>
        <w:numPr>
          <w:ilvl w:val="0"/>
          <w:numId w:val="14"/>
        </w:numPr>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应能区分短路故障与失步、机组稳定振荡与失步；</w:t>
      </w:r>
    </w:p>
    <w:p w14:paraId="0F85AF44">
      <w:pPr>
        <w:numPr>
          <w:ilvl w:val="0"/>
          <w:numId w:val="14"/>
        </w:numPr>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应具有区分振荡中心在发电机变压器组内部或外部的功能；</w:t>
      </w:r>
    </w:p>
    <w:p w14:paraId="0C461F23">
      <w:pPr>
        <w:numPr>
          <w:ilvl w:val="0"/>
          <w:numId w:val="14"/>
        </w:numPr>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应能记录滑极次数；</w:t>
      </w:r>
    </w:p>
    <w:p w14:paraId="735DA731">
      <w:pPr>
        <w:numPr>
          <w:ilvl w:val="0"/>
          <w:numId w:val="14"/>
        </w:numPr>
        <w:snapToGrid/>
        <w:spacing w:line="360" w:lineRule="auto"/>
        <w:ind w:left="480" w:leftChars="20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应具有选择失磁保护闭锁或解除失步保护以及当电流过大危及断路器安全跳闸时应闭锁出口的功能；</w:t>
      </w:r>
    </w:p>
    <w:p w14:paraId="612F2780">
      <w:pPr>
        <w:numPr>
          <w:ilvl w:val="0"/>
          <w:numId w:val="14"/>
        </w:numPr>
        <w:spacing w:line="360" w:lineRule="auto"/>
        <w:ind w:left="480" w:left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阻抗和功率整定扥准确度：5</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。其他整定值的准确度：2.5</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w:t>
      </w:r>
    </w:p>
    <w:p w14:paraId="51055823">
      <w:pPr>
        <w:pStyle w:val="22"/>
        <w:numPr>
          <w:ilvl w:val="0"/>
          <w:numId w:val="2"/>
        </w:numPr>
        <w:snapToGrid/>
        <w:spacing w:line="360" w:lineRule="auto"/>
        <w:ind w:left="537"/>
        <w:rPr>
          <w:rFonts w:hint="eastAsia" w:ascii="宋体" w:hAnsi="宋体" w:cs="宋体"/>
          <w:b/>
          <w:color w:val="auto"/>
          <w:sz w:val="21"/>
          <w:szCs w:val="21"/>
          <w:highlight w:val="none"/>
        </w:rPr>
      </w:pPr>
      <w:r>
        <w:rPr>
          <w:rFonts w:hint="eastAsia" w:ascii="宋体" w:hAnsi="宋体" w:cs="宋体"/>
          <w:b/>
          <w:color w:val="auto"/>
          <w:sz w:val="21"/>
          <w:szCs w:val="21"/>
          <w:highlight w:val="none"/>
        </w:rPr>
        <w:t>发电机定子匝间保护</w:t>
      </w:r>
    </w:p>
    <w:p w14:paraId="20828A3C">
      <w:pPr>
        <w:pStyle w:val="22"/>
        <w:snapToGrid/>
        <w:spacing w:line="360" w:lineRule="auto"/>
        <w:ind w:left="0" w:firstLine="420" w:firstLineChars="200"/>
        <w:rPr>
          <w:rFonts w:hint="eastAsia" w:ascii="宋体" w:hAnsi="宋体" w:cs="宋体"/>
          <w:color w:val="auto"/>
          <w:spacing w:val="0"/>
          <w:sz w:val="21"/>
          <w:szCs w:val="21"/>
          <w:highlight w:val="none"/>
        </w:rPr>
      </w:pPr>
      <w:r>
        <w:rPr>
          <w:rFonts w:hint="eastAsia" w:ascii="宋体" w:hAnsi="宋体" w:cs="宋体"/>
          <w:color w:val="auto"/>
          <w:spacing w:val="0"/>
          <w:sz w:val="21"/>
          <w:szCs w:val="21"/>
          <w:highlight w:val="none"/>
        </w:rPr>
        <w:t>保护装置应具有以下主要功能及技术要求：</w:t>
      </w:r>
    </w:p>
    <w:p w14:paraId="1666BFB0">
      <w:pPr>
        <w:numPr>
          <w:ilvl w:val="0"/>
          <w:numId w:val="15"/>
        </w:numPr>
        <w:snapToGrid/>
        <w:spacing w:line="360" w:lineRule="auto"/>
        <w:ind w:left="480" w:leftChars="200"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区外故障时不应误动，区内故障时应有足够的灵敏度；</w:t>
      </w:r>
    </w:p>
    <w:p w14:paraId="14341FF2">
      <w:pPr>
        <w:numPr>
          <w:ilvl w:val="0"/>
          <w:numId w:val="15"/>
        </w:numPr>
        <w:snapToGrid/>
        <w:spacing w:line="360" w:lineRule="auto"/>
        <w:ind w:left="480" w:leftChars="200"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保护装置采用电压型，发电机中性点侧有专用的电压互感器；</w:t>
      </w:r>
    </w:p>
    <w:p w14:paraId="5F28E979">
      <w:pPr>
        <w:numPr>
          <w:ilvl w:val="0"/>
          <w:numId w:val="15"/>
        </w:numPr>
        <w:snapToGrid/>
        <w:spacing w:line="360" w:lineRule="auto"/>
        <w:ind w:left="480" w:leftChars="200"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保护装置带有负序功率方向闭锁；</w:t>
      </w:r>
    </w:p>
    <w:p w14:paraId="296A7BCF">
      <w:pPr>
        <w:numPr>
          <w:ilvl w:val="0"/>
          <w:numId w:val="15"/>
        </w:numPr>
        <w:snapToGrid/>
        <w:spacing w:line="360" w:lineRule="auto"/>
        <w:ind w:left="480" w:leftChars="20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时间整定值的准确度（1.5倍整定值时）：1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或70</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ms当电压互感器断线时装置不应误动并应发出断线信号；</w:t>
      </w:r>
    </w:p>
    <w:p w14:paraId="0644DE01">
      <w:pPr>
        <w:numPr>
          <w:ilvl w:val="0"/>
          <w:numId w:val="15"/>
        </w:numPr>
        <w:snapToGrid/>
        <w:spacing w:line="360" w:lineRule="auto"/>
        <w:ind w:left="480" w:leftChars="200" w:firstLine="0"/>
        <w:outlineLvl w:val="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整定值的准确度：5</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或0.1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V。</w:t>
      </w:r>
    </w:p>
    <w:p w14:paraId="7E8FEE27">
      <w:pPr>
        <w:pStyle w:val="22"/>
        <w:numPr>
          <w:ilvl w:val="0"/>
          <w:numId w:val="2"/>
        </w:numPr>
        <w:snapToGrid/>
        <w:spacing w:line="360" w:lineRule="auto"/>
        <w:ind w:left="537"/>
        <w:rPr>
          <w:rFonts w:hint="eastAsia" w:ascii="宋体" w:hAnsi="宋体" w:cs="宋体"/>
          <w:b/>
          <w:color w:val="auto"/>
          <w:sz w:val="21"/>
          <w:szCs w:val="21"/>
          <w:highlight w:val="none"/>
        </w:rPr>
      </w:pPr>
      <w:r>
        <w:rPr>
          <w:rFonts w:hint="eastAsia" w:ascii="宋体" w:hAnsi="宋体" w:cs="宋体"/>
          <w:b/>
          <w:color w:val="auto"/>
          <w:sz w:val="21"/>
          <w:szCs w:val="21"/>
          <w:highlight w:val="none"/>
        </w:rPr>
        <w:t>发电机断路器失灵保护</w:t>
      </w:r>
    </w:p>
    <w:p w14:paraId="5C326F88">
      <w:pPr>
        <w:pStyle w:val="22"/>
        <w:snapToGrid/>
        <w:spacing w:line="360" w:lineRule="auto"/>
        <w:ind w:left="0" w:firstLine="460" w:firstLineChars="200"/>
        <w:rPr>
          <w:rFonts w:hint="eastAsia" w:ascii="宋体" w:hAnsi="宋体" w:cs="宋体"/>
          <w:color w:val="auto"/>
          <w:spacing w:val="0"/>
          <w:sz w:val="21"/>
          <w:szCs w:val="21"/>
          <w:highlight w:val="none"/>
        </w:rPr>
      </w:pPr>
      <w:r>
        <w:rPr>
          <w:rFonts w:hint="eastAsia" w:ascii="宋体" w:hAnsi="宋体" w:cs="宋体"/>
          <w:color w:val="auto"/>
          <w:sz w:val="21"/>
          <w:szCs w:val="21"/>
          <w:highlight w:val="none"/>
        </w:rPr>
        <w:t>提供零序电流、负序电流和相电流元件作为断路器失灵保护的电流判据。</w:t>
      </w:r>
      <w:r>
        <w:rPr>
          <w:rFonts w:hint="eastAsia" w:ascii="宋体" w:hAnsi="宋体" w:cs="宋体"/>
          <w:color w:val="auto"/>
          <w:spacing w:val="0"/>
          <w:sz w:val="21"/>
          <w:szCs w:val="21"/>
          <w:highlight w:val="none"/>
        </w:rPr>
        <w:t>其主要功能及技术要求如下：</w:t>
      </w:r>
    </w:p>
    <w:p w14:paraId="19D36BEB">
      <w:pPr>
        <w:numPr>
          <w:ilvl w:val="0"/>
          <w:numId w:val="16"/>
        </w:numPr>
        <w:snapToGrid/>
        <w:spacing w:line="360" w:lineRule="auto"/>
        <w:ind w:left="480" w:leftChars="200" w:firstLine="0"/>
        <w:outlineLvl w:val="3"/>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整定值的准确度：2.5</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或0.02</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In；</w:t>
      </w:r>
    </w:p>
    <w:p w14:paraId="6FE4D776">
      <w:pPr>
        <w:numPr>
          <w:ilvl w:val="0"/>
          <w:numId w:val="16"/>
        </w:numPr>
        <w:snapToGrid/>
        <w:spacing w:line="360" w:lineRule="auto"/>
        <w:ind w:left="480" w:leftChars="200"/>
        <w:rPr>
          <w:rFonts w:hint="eastAsia" w:ascii="宋体" w:hAnsi="宋体" w:eastAsia="宋体" w:cs="宋体"/>
          <w:color w:val="auto"/>
          <w:spacing w:val="0"/>
          <w:sz w:val="21"/>
          <w:szCs w:val="21"/>
          <w:highlight w:val="none"/>
        </w:rPr>
      </w:pPr>
      <w:r>
        <w:rPr>
          <w:rFonts w:hint="eastAsia" w:ascii="宋体" w:hAnsi="宋体" w:eastAsia="宋体" w:cs="宋体"/>
          <w:color w:val="auto"/>
          <w:sz w:val="21"/>
          <w:szCs w:val="21"/>
          <w:highlight w:val="none"/>
        </w:rPr>
        <w:t>时间整定值的准确度（1.5倍整定值：）1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或40</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ms。</w:t>
      </w:r>
    </w:p>
    <w:p w14:paraId="06372A90">
      <w:pPr>
        <w:pStyle w:val="22"/>
        <w:numPr>
          <w:ilvl w:val="0"/>
          <w:numId w:val="2"/>
        </w:numPr>
        <w:snapToGrid/>
        <w:spacing w:line="360" w:lineRule="auto"/>
        <w:ind w:left="537"/>
        <w:rPr>
          <w:rFonts w:hint="eastAsia" w:ascii="宋体" w:hAnsi="宋体" w:cs="宋体"/>
          <w:b/>
          <w:color w:val="auto"/>
          <w:spacing w:val="0"/>
          <w:sz w:val="21"/>
          <w:szCs w:val="21"/>
          <w:highlight w:val="none"/>
        </w:rPr>
      </w:pPr>
      <w:r>
        <w:rPr>
          <w:rFonts w:hint="eastAsia" w:ascii="宋体" w:hAnsi="宋体" w:cs="宋体"/>
          <w:b/>
          <w:color w:val="auto"/>
          <w:spacing w:val="0"/>
          <w:sz w:val="21"/>
          <w:szCs w:val="21"/>
          <w:highlight w:val="none"/>
        </w:rPr>
        <w:t>发电机起停机保护</w:t>
      </w:r>
    </w:p>
    <w:p w14:paraId="07348113">
      <w:pPr>
        <w:pStyle w:val="22"/>
        <w:snapToGrid/>
        <w:spacing w:line="360" w:lineRule="auto"/>
        <w:ind w:left="0" w:firstLine="46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保护由反映相间短路的过电流保护和反映接地的零序电压保护构成。发-变组断路器合闸后，该保护退出。若保护装置的动作特性及保护灵敏度不受交流输入量的频率变化影响，特别是在机组起动时的低频状态下，则也可不设起停机保护。其主要功能及技术要求如下：</w:t>
      </w:r>
    </w:p>
    <w:p w14:paraId="3F788508">
      <w:pPr>
        <w:numPr>
          <w:ilvl w:val="0"/>
          <w:numId w:val="17"/>
        </w:numPr>
        <w:snapToGrid/>
        <w:spacing w:line="360" w:lineRule="auto"/>
        <w:ind w:left="480" w:leftChars="20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发电机无励磁状态下定子绝缘降低检测功能；</w:t>
      </w:r>
    </w:p>
    <w:p w14:paraId="1B06DC7C">
      <w:pPr>
        <w:numPr>
          <w:ilvl w:val="0"/>
          <w:numId w:val="17"/>
        </w:numPr>
        <w:snapToGrid/>
        <w:spacing w:line="360" w:lineRule="auto"/>
        <w:ind w:left="480" w:leftChars="20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装置测量原理应与频率无关；</w:t>
      </w:r>
    </w:p>
    <w:p w14:paraId="51664FBF">
      <w:pPr>
        <w:numPr>
          <w:ilvl w:val="0"/>
          <w:numId w:val="17"/>
        </w:numPr>
        <w:snapToGrid/>
        <w:spacing w:line="360" w:lineRule="auto"/>
        <w:ind w:left="480" w:leftChars="20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时间整定值的准确度（1.5倍整定值时）：1</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或40</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ms；</w:t>
      </w:r>
    </w:p>
    <w:p w14:paraId="41F123FB">
      <w:pPr>
        <w:numPr>
          <w:ilvl w:val="0"/>
          <w:numId w:val="17"/>
        </w:numPr>
        <w:snapToGrid/>
        <w:spacing w:line="360" w:lineRule="auto"/>
        <w:ind w:left="480" w:leftChars="20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工作频率范围：10</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Hz～55</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Hz；</w:t>
      </w:r>
    </w:p>
    <w:p w14:paraId="7D60441D">
      <w:pPr>
        <w:numPr>
          <w:ilvl w:val="0"/>
          <w:numId w:val="17"/>
        </w:numPr>
        <w:snapToGrid/>
        <w:spacing w:line="360" w:lineRule="auto"/>
        <w:ind w:left="480" w:leftChars="20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整定值的准确度：5</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或0.1</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V。</w:t>
      </w:r>
    </w:p>
    <w:p w14:paraId="1F32A1BE">
      <w:pPr>
        <w:pStyle w:val="22"/>
        <w:numPr>
          <w:ilvl w:val="0"/>
          <w:numId w:val="2"/>
        </w:numPr>
        <w:snapToGrid/>
        <w:spacing w:line="360" w:lineRule="auto"/>
        <w:ind w:left="537" w:hanging="57"/>
        <w:rPr>
          <w:rFonts w:hint="eastAsia" w:ascii="宋体" w:hAnsi="宋体" w:cs="宋体"/>
          <w:b/>
          <w:color w:val="auto"/>
          <w:spacing w:val="0"/>
          <w:sz w:val="21"/>
          <w:szCs w:val="21"/>
          <w:highlight w:val="none"/>
        </w:rPr>
      </w:pPr>
      <w:r>
        <w:rPr>
          <w:rFonts w:hint="eastAsia" w:ascii="宋体" w:hAnsi="宋体" w:cs="宋体"/>
          <w:b/>
          <w:color w:val="auto"/>
          <w:spacing w:val="0"/>
          <w:sz w:val="21"/>
          <w:szCs w:val="21"/>
          <w:highlight w:val="none"/>
        </w:rPr>
        <w:t>阻抗保护</w:t>
      </w:r>
    </w:p>
    <w:p w14:paraId="21795676">
      <w:pPr>
        <w:pStyle w:val="22"/>
        <w:snapToGrid/>
        <w:spacing w:line="360" w:lineRule="auto"/>
        <w:ind w:left="0" w:firstLine="46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阻抗保护作为发电机和主变的后备保护，保护取接于发电机引线侧点CT及发电机出口PT。其主要功能及技术要求如下：</w:t>
      </w:r>
    </w:p>
    <w:p w14:paraId="78F1725B">
      <w:pPr>
        <w:numPr>
          <w:ilvl w:val="0"/>
          <w:numId w:val="18"/>
        </w:numPr>
        <w:snapToGrid/>
        <w:spacing w:line="360" w:lineRule="auto"/>
        <w:ind w:left="480" w:leftChars="20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在电压互感器（TV）断线和电压切换时不应误动；</w:t>
      </w:r>
    </w:p>
    <w:p w14:paraId="44DCE9EA">
      <w:pPr>
        <w:numPr>
          <w:ilvl w:val="0"/>
          <w:numId w:val="18"/>
        </w:numPr>
        <w:snapToGrid/>
        <w:spacing w:line="360" w:lineRule="auto"/>
        <w:ind w:left="480" w:leftChars="20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具有电流或电流突变量启动功能；</w:t>
      </w:r>
    </w:p>
    <w:p w14:paraId="67332075">
      <w:pPr>
        <w:numPr>
          <w:ilvl w:val="0"/>
          <w:numId w:val="18"/>
        </w:numPr>
        <w:snapToGrid/>
        <w:spacing w:line="360" w:lineRule="auto"/>
        <w:ind w:left="480" w:leftChars="20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具有偏移特征，正反向阻抗均可分别整定；</w:t>
      </w:r>
    </w:p>
    <w:p w14:paraId="7EF965B6">
      <w:pPr>
        <w:numPr>
          <w:ilvl w:val="0"/>
          <w:numId w:val="18"/>
        </w:numPr>
        <w:snapToGrid/>
        <w:spacing w:line="360" w:lineRule="auto"/>
        <w:ind w:left="480" w:leftChars="20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返回系数不大于1.1；</w:t>
      </w:r>
    </w:p>
    <w:p w14:paraId="122DE3CC">
      <w:pPr>
        <w:numPr>
          <w:ilvl w:val="0"/>
          <w:numId w:val="18"/>
        </w:numPr>
        <w:snapToGrid/>
        <w:spacing w:line="360" w:lineRule="auto"/>
        <w:ind w:left="480" w:leftChars="20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时间整定的准确度（0.8倍整定值）：1</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或40</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ms</w:t>
      </w:r>
      <w:r>
        <w:rPr>
          <w:rFonts w:hint="eastAsia" w:ascii="宋体" w:hAnsi="宋体" w:eastAsia="宋体" w:cs="宋体"/>
          <w:color w:val="auto"/>
          <w:spacing w:val="0"/>
          <w:sz w:val="21"/>
          <w:szCs w:val="21"/>
          <w:highlight w:val="none"/>
          <w:lang w:eastAsia="zh-CN"/>
        </w:rPr>
        <w:t>；</w:t>
      </w:r>
    </w:p>
    <w:p w14:paraId="0B644A9C">
      <w:pPr>
        <w:numPr>
          <w:ilvl w:val="0"/>
          <w:numId w:val="18"/>
        </w:numPr>
        <w:snapToGrid/>
        <w:spacing w:line="360" w:lineRule="auto"/>
        <w:ind w:left="822" w:leftChars="200" w:hanging="342"/>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精确工作电流不大于0.1倍额定电流。</w:t>
      </w:r>
    </w:p>
    <w:p w14:paraId="625E3B32">
      <w:pPr>
        <w:pStyle w:val="22"/>
        <w:numPr>
          <w:ilvl w:val="0"/>
          <w:numId w:val="2"/>
        </w:numPr>
        <w:snapToGrid/>
        <w:spacing w:line="360" w:lineRule="auto"/>
        <w:ind w:left="537" w:hanging="57"/>
        <w:rPr>
          <w:rFonts w:hint="eastAsia" w:ascii="宋体" w:hAnsi="宋体" w:cs="宋体"/>
          <w:b/>
          <w:color w:val="auto"/>
          <w:spacing w:val="0"/>
          <w:sz w:val="21"/>
          <w:szCs w:val="21"/>
          <w:highlight w:val="none"/>
        </w:rPr>
      </w:pPr>
      <w:r>
        <w:rPr>
          <w:rFonts w:hint="eastAsia" w:ascii="宋体" w:hAnsi="宋体" w:cs="宋体"/>
          <w:b/>
          <w:color w:val="auto"/>
          <w:spacing w:val="0"/>
          <w:sz w:val="21"/>
          <w:szCs w:val="21"/>
          <w:highlight w:val="none"/>
        </w:rPr>
        <w:t>复合电压闭锁过电流保护</w:t>
      </w:r>
    </w:p>
    <w:p w14:paraId="6F5B05EE">
      <w:pPr>
        <w:pStyle w:val="22"/>
        <w:snapToGrid/>
        <w:spacing w:line="360" w:lineRule="auto"/>
        <w:ind w:left="0" w:firstLine="460" w:firstLineChars="200"/>
        <w:rPr>
          <w:rFonts w:hint="eastAsia" w:ascii="宋体" w:hAnsi="宋体" w:cs="宋体"/>
          <w:color w:val="auto"/>
          <w:spacing w:val="0"/>
          <w:sz w:val="21"/>
          <w:szCs w:val="21"/>
          <w:highlight w:val="none"/>
        </w:rPr>
      </w:pPr>
      <w:r>
        <w:rPr>
          <w:rFonts w:hint="eastAsia" w:ascii="宋体" w:hAnsi="宋体" w:cs="宋体"/>
          <w:color w:val="auto"/>
          <w:sz w:val="21"/>
          <w:szCs w:val="21"/>
          <w:highlight w:val="none"/>
        </w:rPr>
        <w:t>负序电压和正序电压闭锁的过流保护装置，由定时限特性构成。作为发电机和主变相间短路故障的后备保护。其主要功能及技术要求如下：</w:t>
      </w:r>
    </w:p>
    <w:p w14:paraId="3D295002">
      <w:pPr>
        <w:numPr>
          <w:ilvl w:val="0"/>
          <w:numId w:val="19"/>
        </w:numPr>
        <w:snapToGrid/>
        <w:spacing w:line="360" w:lineRule="auto"/>
        <w:ind w:left="480" w:leftChars="20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自并励（无串联变压器）发电机宜采用带电流记忆（保持）的低压过流保护；</w:t>
      </w:r>
    </w:p>
    <w:p w14:paraId="7A5A28F3">
      <w:pPr>
        <w:numPr>
          <w:ilvl w:val="0"/>
          <w:numId w:val="19"/>
        </w:numPr>
        <w:snapToGrid/>
        <w:spacing w:line="360" w:lineRule="auto"/>
        <w:ind w:left="480" w:leftChars="20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返回系数：电流元件、负序电压不小于0.9，低电压元件不大于1.1；</w:t>
      </w:r>
    </w:p>
    <w:p w14:paraId="76C69F73">
      <w:pPr>
        <w:numPr>
          <w:ilvl w:val="0"/>
          <w:numId w:val="19"/>
        </w:numPr>
        <w:snapToGrid/>
        <w:spacing w:line="360" w:lineRule="auto"/>
        <w:ind w:left="480" w:leftChars="20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电流、负序电压整定值、电压整定值的准确度：2.5</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或0.02</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In、0.01</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Un；</w:t>
      </w:r>
    </w:p>
    <w:p w14:paraId="4899B6B1">
      <w:pPr>
        <w:numPr>
          <w:ilvl w:val="0"/>
          <w:numId w:val="19"/>
        </w:numPr>
        <w:snapToGrid/>
        <w:spacing w:line="360" w:lineRule="auto"/>
        <w:ind w:left="480" w:leftChars="200" w:firstLine="0" w:firstLineChars="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时间整定值的准确度（电流、负序电压1.5倍整定值、低电压0.8倍整定值时）：1</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或40</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ms。</w:t>
      </w:r>
    </w:p>
    <w:p w14:paraId="45A7480A">
      <w:pPr>
        <w:pStyle w:val="22"/>
        <w:numPr>
          <w:ilvl w:val="0"/>
          <w:numId w:val="2"/>
        </w:numPr>
        <w:snapToGrid/>
        <w:spacing w:line="360" w:lineRule="auto"/>
        <w:ind w:left="537" w:hanging="57"/>
        <w:rPr>
          <w:rFonts w:hint="eastAsia" w:ascii="宋体" w:hAnsi="宋体" w:cs="宋体"/>
          <w:b/>
          <w:color w:val="auto"/>
          <w:spacing w:val="0"/>
          <w:sz w:val="21"/>
          <w:szCs w:val="21"/>
          <w:highlight w:val="none"/>
        </w:rPr>
      </w:pPr>
      <w:r>
        <w:rPr>
          <w:rFonts w:hint="eastAsia" w:ascii="宋体" w:hAnsi="宋体" w:cs="宋体"/>
          <w:b/>
          <w:color w:val="auto"/>
          <w:spacing w:val="0"/>
          <w:sz w:val="21"/>
          <w:szCs w:val="21"/>
          <w:highlight w:val="none"/>
        </w:rPr>
        <w:t>误上电保护</w:t>
      </w:r>
    </w:p>
    <w:p w14:paraId="3A525FC9">
      <w:pPr>
        <w:pStyle w:val="22"/>
        <w:snapToGrid/>
        <w:spacing w:line="360" w:lineRule="auto"/>
        <w:ind w:left="0" w:firstLine="46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发电机停机状态、盘车及并网前机组启动过程中误合闸时的保护。其主要功能及技术要求如下：</w:t>
      </w:r>
    </w:p>
    <w:p w14:paraId="0748C522">
      <w:pPr>
        <w:numPr>
          <w:ilvl w:val="0"/>
          <w:numId w:val="20"/>
        </w:numPr>
        <w:snapToGrid/>
        <w:spacing w:line="360" w:lineRule="auto"/>
        <w:ind w:left="480" w:left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具有鉴别同期并网和误合闸的功能；</w:t>
      </w:r>
    </w:p>
    <w:p w14:paraId="0EF188CD">
      <w:pPr>
        <w:numPr>
          <w:ilvl w:val="0"/>
          <w:numId w:val="20"/>
        </w:numPr>
        <w:snapToGrid/>
        <w:spacing w:line="360" w:lineRule="auto"/>
        <w:ind w:left="480" w:leftChars="200"/>
        <w:rPr>
          <w:rFonts w:hint="eastAsia" w:ascii="宋体" w:hAnsi="宋体" w:eastAsia="宋体" w:cs="宋体"/>
          <w:color w:val="auto"/>
          <w:spacing w:val="0"/>
          <w:sz w:val="21"/>
          <w:szCs w:val="21"/>
          <w:highlight w:val="none"/>
        </w:rPr>
      </w:pPr>
      <w:r>
        <w:rPr>
          <w:rFonts w:hint="eastAsia" w:ascii="宋体" w:hAnsi="宋体" w:eastAsia="宋体" w:cs="宋体"/>
          <w:color w:val="auto"/>
          <w:sz w:val="21"/>
          <w:szCs w:val="21"/>
          <w:highlight w:val="none"/>
        </w:rPr>
        <w:t>具有正常并网（解列）后自动退出（投入）运行的功能；</w:t>
      </w:r>
    </w:p>
    <w:p w14:paraId="36912A11">
      <w:pPr>
        <w:numPr>
          <w:ilvl w:val="0"/>
          <w:numId w:val="20"/>
        </w:numPr>
        <w:snapToGrid/>
        <w:spacing w:line="360" w:lineRule="auto"/>
        <w:ind w:left="480" w:leftChars="200"/>
        <w:rPr>
          <w:rFonts w:hint="eastAsia" w:ascii="宋体" w:hAnsi="宋体" w:eastAsia="宋体" w:cs="宋体"/>
          <w:color w:val="auto"/>
          <w:spacing w:val="0"/>
          <w:sz w:val="21"/>
          <w:szCs w:val="21"/>
          <w:highlight w:val="none"/>
        </w:rPr>
      </w:pPr>
      <w:r>
        <w:rPr>
          <w:rFonts w:hint="eastAsia" w:ascii="宋体" w:hAnsi="宋体" w:eastAsia="宋体" w:cs="宋体"/>
          <w:color w:val="auto"/>
          <w:sz w:val="21"/>
          <w:szCs w:val="21"/>
          <w:highlight w:val="none"/>
        </w:rPr>
        <w:t>整定值的准确度：5</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w:t>
      </w:r>
    </w:p>
    <w:p w14:paraId="1B589EEE">
      <w:pPr>
        <w:numPr>
          <w:ilvl w:val="0"/>
          <w:numId w:val="20"/>
        </w:numPr>
        <w:snapToGrid/>
        <w:spacing w:line="360" w:lineRule="auto"/>
        <w:ind w:left="480" w:leftChars="200"/>
        <w:rPr>
          <w:rFonts w:hint="eastAsia" w:ascii="宋体" w:hAnsi="宋体" w:eastAsia="宋体" w:cs="宋体"/>
          <w:color w:val="auto"/>
          <w:spacing w:val="0"/>
          <w:sz w:val="21"/>
          <w:szCs w:val="21"/>
          <w:highlight w:val="none"/>
        </w:rPr>
      </w:pPr>
      <w:r>
        <w:rPr>
          <w:rFonts w:hint="eastAsia" w:ascii="宋体" w:hAnsi="宋体" w:eastAsia="宋体" w:cs="宋体"/>
          <w:color w:val="auto"/>
          <w:sz w:val="21"/>
          <w:szCs w:val="21"/>
          <w:highlight w:val="none"/>
        </w:rPr>
        <w:t>时间整定值的准确度（1.5倍整定值时）：1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或40</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ms。</w:t>
      </w:r>
    </w:p>
    <w:p w14:paraId="35A19703">
      <w:pPr>
        <w:pStyle w:val="22"/>
        <w:numPr>
          <w:ilvl w:val="0"/>
          <w:numId w:val="2"/>
        </w:numPr>
        <w:snapToGrid/>
        <w:spacing w:line="360" w:lineRule="auto"/>
        <w:ind w:left="537" w:hanging="57"/>
        <w:rPr>
          <w:rFonts w:hint="eastAsia" w:ascii="宋体" w:hAnsi="宋体" w:cs="宋体"/>
          <w:b/>
          <w:color w:val="auto"/>
          <w:spacing w:val="0"/>
          <w:sz w:val="21"/>
          <w:szCs w:val="21"/>
          <w:highlight w:val="none"/>
        </w:rPr>
      </w:pPr>
      <w:r>
        <w:rPr>
          <w:rFonts w:hint="eastAsia" w:ascii="宋体" w:hAnsi="宋体" w:cs="宋体"/>
          <w:b/>
          <w:color w:val="auto"/>
          <w:spacing w:val="0"/>
          <w:sz w:val="21"/>
          <w:szCs w:val="21"/>
          <w:highlight w:val="none"/>
        </w:rPr>
        <w:t>非电量保护</w:t>
      </w:r>
    </w:p>
    <w:p w14:paraId="46556E8B">
      <w:pPr>
        <w:pStyle w:val="22"/>
        <w:snapToGrid/>
        <w:spacing w:line="360" w:lineRule="auto"/>
        <w:ind w:left="0" w:firstLine="46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各种非电量保护应具有投退压板。发电机非电量保护包括AVR故障或者励磁系统保护动作、主汽门关闭、发电机断水保护和控制屏手动紧急跳闸按钮动等，并预留备用重动继电器。</w:t>
      </w:r>
    </w:p>
    <w:p w14:paraId="76267997">
      <w:pPr>
        <w:numPr>
          <w:ilvl w:val="0"/>
          <w:numId w:val="21"/>
        </w:numPr>
        <w:snapToGrid/>
        <w:spacing w:line="360" w:lineRule="auto"/>
        <w:ind w:left="480" w:leftChars="20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装置的强电开入回路应与装置保护电源隔离；开入回路的启动电压值不大于0.7倍额定电压值，且不小于0.55倍额定电压值。动作速度不小于10</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ms；</w:t>
      </w:r>
    </w:p>
    <w:p w14:paraId="7D2046C3">
      <w:pPr>
        <w:numPr>
          <w:ilvl w:val="0"/>
          <w:numId w:val="21"/>
        </w:numPr>
        <w:snapToGrid/>
        <w:spacing w:line="360" w:lineRule="auto"/>
        <w:ind w:left="480" w:leftChars="20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所有涉及直接跳闸的回路应采用启动电压值不大于0.7倍额定电压值，且不小于0.55倍额定电压值的中间继电器，并要求启动功率不低于5</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W</w:t>
      </w:r>
      <w:r>
        <w:rPr>
          <w:rFonts w:hint="eastAsia" w:ascii="宋体" w:hAnsi="宋体" w:cs="宋体"/>
          <w:color w:val="auto"/>
          <w:sz w:val="21"/>
          <w:szCs w:val="21"/>
          <w:highlight w:val="none"/>
          <w:lang w:eastAsia="zh-CN"/>
        </w:rPr>
        <w:t>；</w:t>
      </w:r>
    </w:p>
    <w:p w14:paraId="5B588D9E">
      <w:pPr>
        <w:numPr>
          <w:ilvl w:val="0"/>
          <w:numId w:val="21"/>
        </w:numPr>
        <w:snapToGrid/>
        <w:spacing w:line="360" w:lineRule="auto"/>
        <w:ind w:left="480" w:leftChars="20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以上在微机型发电机保护装置中配置的各类保护，如果在该装置中不具备，则需另加。</w:t>
      </w:r>
    </w:p>
    <w:p w14:paraId="4399A866">
      <w:pPr>
        <w:numPr>
          <w:ilvl w:val="-1"/>
          <w:numId w:val="0"/>
        </w:numPr>
        <w:snapToGrid/>
        <w:spacing w:line="360" w:lineRule="auto"/>
        <w:ind w:left="0" w:firstLine="0"/>
        <w:outlineLvl w:val="2"/>
        <w:rPr>
          <w:rFonts w:hint="eastAsia" w:ascii="宋体" w:hAnsi="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 xml:space="preserve">3.5.3 </w:t>
      </w:r>
      <w:r>
        <w:rPr>
          <w:rFonts w:hint="eastAsia" w:ascii="宋体" w:hAnsi="宋体" w:cs="宋体"/>
          <w:b/>
          <w:bCs/>
          <w:color w:val="auto"/>
          <w:sz w:val="21"/>
          <w:szCs w:val="21"/>
          <w:highlight w:val="none"/>
        </w:rPr>
        <w:t>微机型励磁变保护</w:t>
      </w:r>
    </w:p>
    <w:p w14:paraId="1D0F05F0">
      <w:pPr>
        <w:pStyle w:val="22"/>
        <w:numPr>
          <w:ilvl w:val="0"/>
          <w:numId w:val="2"/>
        </w:numPr>
        <w:snapToGrid/>
        <w:spacing w:line="360" w:lineRule="auto"/>
        <w:ind w:left="537"/>
        <w:rPr>
          <w:rFonts w:hint="eastAsia" w:ascii="宋体" w:hAnsi="宋体" w:cs="宋体"/>
          <w:b/>
          <w:color w:val="auto"/>
          <w:spacing w:val="0"/>
          <w:sz w:val="21"/>
          <w:szCs w:val="21"/>
          <w:highlight w:val="none"/>
        </w:rPr>
      </w:pPr>
      <w:r>
        <w:rPr>
          <w:rFonts w:hint="eastAsia" w:ascii="宋体" w:hAnsi="宋体" w:cs="宋体"/>
          <w:b/>
          <w:color w:val="auto"/>
          <w:spacing w:val="0"/>
          <w:sz w:val="21"/>
          <w:szCs w:val="21"/>
          <w:highlight w:val="none"/>
        </w:rPr>
        <w:t>励磁变差动保护</w:t>
      </w:r>
    </w:p>
    <w:p w14:paraId="019AD88D">
      <w:pPr>
        <w:pStyle w:val="22"/>
        <w:snapToGrid/>
        <w:spacing w:line="360" w:lineRule="auto"/>
        <w:ind w:left="0" w:firstLine="460" w:firstLineChars="200"/>
        <w:rPr>
          <w:rFonts w:hint="eastAsia" w:ascii="宋体" w:hAnsi="宋体" w:cs="宋体"/>
          <w:b/>
          <w:color w:val="auto"/>
          <w:spacing w:val="0"/>
          <w:sz w:val="21"/>
          <w:szCs w:val="21"/>
          <w:highlight w:val="none"/>
        </w:rPr>
      </w:pPr>
      <w:r>
        <w:rPr>
          <w:rFonts w:hint="eastAsia" w:ascii="宋体" w:hAnsi="宋体" w:cs="宋体"/>
          <w:color w:val="auto"/>
          <w:sz w:val="21"/>
          <w:szCs w:val="21"/>
          <w:highlight w:val="none"/>
        </w:rPr>
        <w:t>其主要功能及技术要求如下：</w:t>
      </w:r>
    </w:p>
    <w:p w14:paraId="648F160F">
      <w:pPr>
        <w:numPr>
          <w:ilvl w:val="0"/>
          <w:numId w:val="22"/>
        </w:numPr>
        <w:snapToGrid/>
        <w:spacing w:line="360" w:lineRule="auto"/>
        <w:ind w:left="480" w:left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差动保护应具有防止区外故障误动的制动特性；</w:t>
      </w:r>
    </w:p>
    <w:p w14:paraId="5FFA8177">
      <w:pPr>
        <w:numPr>
          <w:ilvl w:val="0"/>
          <w:numId w:val="22"/>
        </w:numPr>
        <w:snapToGrid/>
        <w:spacing w:line="360" w:lineRule="auto"/>
        <w:ind w:left="480" w:left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具有防止电流互感器暂态保护过程中误动的措施；</w:t>
      </w:r>
    </w:p>
    <w:p w14:paraId="33B6BE0C">
      <w:pPr>
        <w:numPr>
          <w:ilvl w:val="0"/>
          <w:numId w:val="22"/>
        </w:numPr>
        <w:snapToGrid/>
        <w:spacing w:line="360" w:lineRule="auto"/>
        <w:ind w:left="480" w:leftChars="20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可以具有电流互感器断线判别功能，并能选择闭锁差动或报警，当电流大于额定电流的1.2～1.5倍是可自动解除闭锁；</w:t>
      </w:r>
    </w:p>
    <w:p w14:paraId="366648AC">
      <w:pPr>
        <w:numPr>
          <w:ilvl w:val="0"/>
          <w:numId w:val="22"/>
        </w:numPr>
        <w:snapToGrid/>
        <w:spacing w:line="360" w:lineRule="auto"/>
        <w:ind w:left="480" w:left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具有防止励磁电流谐波分量大引起的暂态不平衡电流对保护影响的措施；</w:t>
      </w:r>
    </w:p>
    <w:p w14:paraId="72515A90">
      <w:pPr>
        <w:numPr>
          <w:ilvl w:val="0"/>
          <w:numId w:val="22"/>
        </w:numPr>
        <w:snapToGrid/>
        <w:spacing w:line="360" w:lineRule="auto"/>
        <w:ind w:left="480" w:left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具有差流告警功能，发信；</w:t>
      </w:r>
    </w:p>
    <w:p w14:paraId="38C65F19">
      <w:pPr>
        <w:numPr>
          <w:ilvl w:val="0"/>
          <w:numId w:val="22"/>
        </w:numPr>
        <w:snapToGrid/>
        <w:spacing w:line="360" w:lineRule="auto"/>
        <w:ind w:left="480" w:left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整定值的准确度：5</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或0.02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In；</w:t>
      </w:r>
    </w:p>
    <w:p w14:paraId="600FA8E2">
      <w:pPr>
        <w:numPr>
          <w:ilvl w:val="0"/>
          <w:numId w:val="22"/>
        </w:numPr>
        <w:snapToGrid/>
        <w:spacing w:line="360" w:lineRule="auto"/>
        <w:ind w:left="480" w:left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动作时间（2倍整定电流时）不大于70</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ms。</w:t>
      </w:r>
    </w:p>
    <w:p w14:paraId="7D3961A0">
      <w:pPr>
        <w:pStyle w:val="22"/>
        <w:numPr>
          <w:ilvl w:val="0"/>
          <w:numId w:val="2"/>
        </w:numPr>
        <w:snapToGrid/>
        <w:spacing w:line="360" w:lineRule="auto"/>
        <w:ind w:left="537"/>
        <w:rPr>
          <w:rFonts w:hint="eastAsia" w:ascii="宋体" w:hAnsi="宋体" w:cs="宋体"/>
          <w:b/>
          <w:color w:val="auto"/>
          <w:spacing w:val="0"/>
          <w:sz w:val="21"/>
          <w:szCs w:val="21"/>
          <w:highlight w:val="none"/>
        </w:rPr>
      </w:pPr>
      <w:r>
        <w:rPr>
          <w:rFonts w:hint="eastAsia" w:ascii="宋体" w:hAnsi="宋体" w:cs="宋体"/>
          <w:b/>
          <w:color w:val="auto"/>
          <w:spacing w:val="0"/>
          <w:sz w:val="21"/>
          <w:szCs w:val="21"/>
          <w:highlight w:val="none"/>
        </w:rPr>
        <w:t>励磁变速断保护</w:t>
      </w:r>
    </w:p>
    <w:p w14:paraId="0BDD8D39">
      <w:pPr>
        <w:pStyle w:val="22"/>
        <w:snapToGrid/>
        <w:spacing w:line="360" w:lineRule="auto"/>
        <w:ind w:left="0" w:firstLine="460" w:firstLineChars="200"/>
        <w:rPr>
          <w:rFonts w:hint="eastAsia" w:ascii="宋体" w:hAnsi="宋体" w:cs="宋体"/>
          <w:b/>
          <w:color w:val="auto"/>
          <w:spacing w:val="0"/>
          <w:sz w:val="21"/>
          <w:szCs w:val="21"/>
          <w:highlight w:val="none"/>
        </w:rPr>
      </w:pPr>
      <w:r>
        <w:rPr>
          <w:rFonts w:hint="eastAsia" w:ascii="宋体" w:hAnsi="宋体" w:cs="宋体"/>
          <w:color w:val="auto"/>
          <w:sz w:val="21"/>
          <w:szCs w:val="21"/>
          <w:highlight w:val="none"/>
        </w:rPr>
        <w:t>其主要功能及技术要求如下：</w:t>
      </w:r>
    </w:p>
    <w:p w14:paraId="12F468DF">
      <w:pPr>
        <w:numPr>
          <w:ilvl w:val="0"/>
          <w:numId w:val="23"/>
        </w:numPr>
        <w:snapToGrid/>
        <w:spacing w:line="360" w:lineRule="auto"/>
        <w:ind w:left="480" w:left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电流整定值的准确度：2.5</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或0.02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In；</w:t>
      </w:r>
    </w:p>
    <w:p w14:paraId="1F2BE8F7">
      <w:pPr>
        <w:numPr>
          <w:ilvl w:val="0"/>
          <w:numId w:val="23"/>
        </w:numPr>
        <w:snapToGrid/>
        <w:spacing w:line="360" w:lineRule="auto"/>
        <w:ind w:left="480" w:leftChars="200" w:firstLine="0"/>
        <w:jc w:val="left"/>
        <w:rPr>
          <w:rFonts w:hint="eastAsia" w:ascii="宋体" w:hAnsi="宋体" w:eastAsia="宋体" w:cs="宋体"/>
          <w:color w:val="auto"/>
          <w:spacing w:val="0"/>
          <w:sz w:val="21"/>
          <w:szCs w:val="21"/>
          <w:highlight w:val="none"/>
        </w:rPr>
      </w:pPr>
      <w:r>
        <w:rPr>
          <w:rFonts w:hint="eastAsia" w:ascii="宋体" w:hAnsi="宋体" w:eastAsia="宋体" w:cs="宋体"/>
          <w:color w:val="auto"/>
          <w:sz w:val="21"/>
          <w:szCs w:val="21"/>
          <w:highlight w:val="none"/>
        </w:rPr>
        <w:t>时间整定值的准确度（电流2倍整定值）：不大于30</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ms</w:t>
      </w:r>
      <w:r>
        <w:rPr>
          <w:rFonts w:hint="eastAsia" w:ascii="宋体" w:hAnsi="宋体" w:eastAsia="宋体" w:cs="宋体"/>
          <w:color w:val="auto"/>
          <w:sz w:val="21"/>
          <w:szCs w:val="21"/>
          <w:highlight w:val="none"/>
          <w:lang w:eastAsia="zh-CN"/>
        </w:rPr>
        <w:t>。</w:t>
      </w:r>
    </w:p>
    <w:p w14:paraId="1B9AA015">
      <w:pPr>
        <w:pStyle w:val="22"/>
        <w:numPr>
          <w:ilvl w:val="0"/>
          <w:numId w:val="2"/>
        </w:numPr>
        <w:snapToGrid/>
        <w:spacing w:line="360" w:lineRule="auto"/>
        <w:ind w:left="537"/>
        <w:rPr>
          <w:rFonts w:hint="eastAsia" w:ascii="宋体" w:hAnsi="宋体" w:cs="宋体"/>
          <w:b/>
          <w:color w:val="auto"/>
          <w:spacing w:val="0"/>
          <w:sz w:val="21"/>
          <w:szCs w:val="21"/>
          <w:highlight w:val="none"/>
        </w:rPr>
      </w:pPr>
      <w:r>
        <w:rPr>
          <w:rFonts w:hint="eastAsia" w:ascii="宋体" w:hAnsi="宋体" w:cs="宋体"/>
          <w:b/>
          <w:color w:val="auto"/>
          <w:spacing w:val="0"/>
          <w:sz w:val="21"/>
          <w:szCs w:val="21"/>
          <w:highlight w:val="none"/>
        </w:rPr>
        <w:t>励磁变过流保护</w:t>
      </w:r>
    </w:p>
    <w:p w14:paraId="08BA527A">
      <w:pPr>
        <w:pStyle w:val="22"/>
        <w:snapToGrid/>
        <w:spacing w:line="360" w:lineRule="auto"/>
        <w:ind w:left="0" w:firstLine="460" w:firstLineChars="200"/>
        <w:rPr>
          <w:rFonts w:hint="eastAsia" w:ascii="宋体" w:hAnsi="宋体" w:cs="宋体"/>
          <w:b/>
          <w:color w:val="auto"/>
          <w:spacing w:val="0"/>
          <w:sz w:val="21"/>
          <w:szCs w:val="21"/>
          <w:highlight w:val="none"/>
        </w:rPr>
      </w:pPr>
      <w:r>
        <w:rPr>
          <w:rFonts w:hint="eastAsia" w:ascii="宋体" w:hAnsi="宋体" w:cs="宋体"/>
          <w:color w:val="auto"/>
          <w:sz w:val="21"/>
          <w:szCs w:val="21"/>
          <w:highlight w:val="none"/>
        </w:rPr>
        <w:t>其主要功能及技术要求如下：</w:t>
      </w:r>
    </w:p>
    <w:p w14:paraId="68FC957B">
      <w:pPr>
        <w:numPr>
          <w:ilvl w:val="0"/>
          <w:numId w:val="24"/>
        </w:numPr>
        <w:snapToGrid/>
        <w:spacing w:line="360" w:lineRule="auto"/>
        <w:ind w:left="480" w:leftChars="200"/>
        <w:jc w:val="left"/>
        <w:outlineLvl w:val="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电流整定值的准确度：2.5</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或0.02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In；</w:t>
      </w:r>
    </w:p>
    <w:p w14:paraId="3B65B813">
      <w:pPr>
        <w:numPr>
          <w:ilvl w:val="0"/>
          <w:numId w:val="24"/>
        </w:numPr>
        <w:snapToGrid/>
        <w:spacing w:line="360" w:lineRule="auto"/>
        <w:ind w:left="480" w:leftChars="200"/>
        <w:jc w:val="left"/>
        <w:rPr>
          <w:rFonts w:hint="eastAsia" w:ascii="宋体" w:hAnsi="宋体" w:eastAsia="宋体" w:cs="宋体"/>
          <w:color w:val="auto"/>
          <w:spacing w:val="0"/>
          <w:sz w:val="21"/>
          <w:szCs w:val="21"/>
          <w:highlight w:val="none"/>
        </w:rPr>
      </w:pPr>
      <w:r>
        <w:rPr>
          <w:rFonts w:hint="eastAsia" w:ascii="宋体" w:hAnsi="宋体" w:eastAsia="宋体" w:cs="宋体"/>
          <w:color w:val="auto"/>
          <w:sz w:val="21"/>
          <w:szCs w:val="21"/>
          <w:highlight w:val="none"/>
        </w:rPr>
        <w:t>时间整定值的准确度（电流1.5倍整定值）：1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或40</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ms。</w:t>
      </w:r>
    </w:p>
    <w:p w14:paraId="4382AD4E">
      <w:pPr>
        <w:pStyle w:val="22"/>
        <w:numPr>
          <w:ilvl w:val="0"/>
          <w:numId w:val="2"/>
        </w:numPr>
        <w:snapToGrid/>
        <w:spacing w:line="360" w:lineRule="auto"/>
        <w:ind w:left="537"/>
        <w:rPr>
          <w:rFonts w:hint="eastAsia" w:ascii="宋体" w:hAnsi="宋体" w:cs="宋体"/>
          <w:b/>
          <w:color w:val="auto"/>
          <w:spacing w:val="0"/>
          <w:sz w:val="21"/>
          <w:szCs w:val="21"/>
          <w:highlight w:val="none"/>
        </w:rPr>
      </w:pPr>
      <w:r>
        <w:rPr>
          <w:rFonts w:hint="eastAsia" w:ascii="宋体" w:hAnsi="宋体" w:cs="宋体"/>
          <w:b/>
          <w:color w:val="auto"/>
          <w:spacing w:val="0"/>
          <w:sz w:val="21"/>
          <w:szCs w:val="21"/>
          <w:highlight w:val="none"/>
        </w:rPr>
        <w:t>励磁系统过负荷保护</w:t>
      </w:r>
    </w:p>
    <w:p w14:paraId="4918F6F3">
      <w:pPr>
        <w:pStyle w:val="22"/>
        <w:snapToGrid/>
        <w:spacing w:line="360" w:lineRule="auto"/>
        <w:ind w:left="0" w:firstLine="460" w:firstLineChars="200"/>
        <w:rPr>
          <w:rFonts w:hint="eastAsia" w:ascii="宋体" w:hAnsi="宋体" w:cs="宋体"/>
          <w:b/>
          <w:color w:val="auto"/>
          <w:spacing w:val="0"/>
          <w:sz w:val="21"/>
          <w:szCs w:val="21"/>
          <w:highlight w:val="none"/>
        </w:rPr>
      </w:pPr>
      <w:r>
        <w:rPr>
          <w:rFonts w:hint="eastAsia" w:ascii="宋体" w:hAnsi="宋体" w:cs="宋体"/>
          <w:color w:val="auto"/>
          <w:sz w:val="21"/>
          <w:szCs w:val="21"/>
          <w:highlight w:val="none"/>
        </w:rPr>
        <w:t>其主要功能及技术要求如下：</w:t>
      </w:r>
    </w:p>
    <w:p w14:paraId="0837BDCB">
      <w:pPr>
        <w:numPr>
          <w:ilvl w:val="0"/>
          <w:numId w:val="25"/>
        </w:numPr>
        <w:snapToGrid/>
        <w:spacing w:line="360" w:lineRule="auto"/>
        <w:ind w:left="480" w:leftChars="200"/>
        <w:jc w:val="left"/>
        <w:outlineLvl w:val="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具有可选的直流或交流测量功能；</w:t>
      </w:r>
    </w:p>
    <w:p w14:paraId="17FBAF3F">
      <w:pPr>
        <w:numPr>
          <w:ilvl w:val="0"/>
          <w:numId w:val="25"/>
        </w:numPr>
        <w:snapToGrid/>
        <w:spacing w:line="360" w:lineRule="auto"/>
        <w:ind w:left="480" w:left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定时限至少分两段，反时限特性应能整定，以便于励磁绕组的过热特性匹配；</w:t>
      </w:r>
    </w:p>
    <w:p w14:paraId="4D8D1744">
      <w:pPr>
        <w:numPr>
          <w:ilvl w:val="0"/>
          <w:numId w:val="25"/>
        </w:numPr>
        <w:snapToGrid/>
        <w:spacing w:line="360" w:lineRule="auto"/>
        <w:ind w:left="480" w:leftChars="20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定时限段返回系数不小于0.9。反时限特性由长延时段、反时限段、速断段三部分组成。长延时应可整定到1000</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s；</w:t>
      </w:r>
    </w:p>
    <w:p w14:paraId="0F427F5F">
      <w:pPr>
        <w:numPr>
          <w:ilvl w:val="0"/>
          <w:numId w:val="25"/>
        </w:numPr>
        <w:snapToGrid/>
        <w:spacing w:line="360" w:lineRule="auto"/>
        <w:ind w:left="480" w:leftChars="200"/>
        <w:jc w:val="left"/>
        <w:outlineLvl w:val="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整定值的准确度：2.5</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或5</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mV；</w:t>
      </w:r>
    </w:p>
    <w:p w14:paraId="25A3CD32">
      <w:pPr>
        <w:numPr>
          <w:ilvl w:val="0"/>
          <w:numId w:val="25"/>
        </w:numPr>
        <w:snapToGrid/>
        <w:spacing w:line="360" w:lineRule="auto"/>
        <w:ind w:left="480" w:leftChars="200"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长延时段、速断段时间整定值的准确度（1.5倍整定值）：1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或40</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ms。</w:t>
      </w:r>
    </w:p>
    <w:p w14:paraId="280BECDE">
      <w:pPr>
        <w:pStyle w:val="22"/>
        <w:numPr>
          <w:ilvl w:val="0"/>
          <w:numId w:val="2"/>
        </w:numPr>
        <w:snapToGrid/>
        <w:spacing w:line="360" w:lineRule="auto"/>
        <w:ind w:left="537" w:hanging="57"/>
        <w:rPr>
          <w:rFonts w:hint="eastAsia" w:ascii="宋体" w:hAnsi="宋体" w:cs="宋体"/>
          <w:b/>
          <w:color w:val="auto"/>
          <w:spacing w:val="0"/>
          <w:sz w:val="21"/>
          <w:szCs w:val="21"/>
          <w:highlight w:val="none"/>
        </w:rPr>
      </w:pPr>
      <w:r>
        <w:rPr>
          <w:rFonts w:hint="eastAsia" w:ascii="宋体" w:hAnsi="宋体" w:cs="宋体"/>
          <w:b/>
          <w:color w:val="auto"/>
          <w:spacing w:val="0"/>
          <w:sz w:val="21"/>
          <w:szCs w:val="21"/>
          <w:highlight w:val="none"/>
        </w:rPr>
        <w:t>励磁变本体保护（非电量保护）</w:t>
      </w:r>
    </w:p>
    <w:p w14:paraId="37E372C2">
      <w:pPr>
        <w:pStyle w:val="22"/>
        <w:snapToGrid/>
        <w:spacing w:line="360" w:lineRule="auto"/>
        <w:ind w:left="0" w:firstLine="46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各种非电量保护应具有投退压板。励磁变本体保护包括励磁变温度高、励磁变温度高-高，并预留备用重动继电器。</w:t>
      </w:r>
    </w:p>
    <w:p w14:paraId="47EDF287">
      <w:pPr>
        <w:numPr>
          <w:ilvl w:val="-1"/>
          <w:numId w:val="0"/>
        </w:numPr>
        <w:snapToGrid/>
        <w:spacing w:line="360" w:lineRule="auto"/>
        <w:ind w:left="0" w:firstLine="0"/>
        <w:outlineLvl w:val="2"/>
        <w:rPr>
          <w:rFonts w:hint="eastAsia" w:ascii="宋体" w:hAnsi="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 xml:space="preserve">3.5.4 </w:t>
      </w:r>
      <w:r>
        <w:rPr>
          <w:rFonts w:hint="eastAsia" w:ascii="宋体" w:hAnsi="宋体" w:cs="宋体"/>
          <w:b/>
          <w:bCs/>
          <w:color w:val="auto"/>
          <w:sz w:val="21"/>
          <w:szCs w:val="21"/>
          <w:highlight w:val="none"/>
        </w:rPr>
        <w:t>微机型主变压器保护装置</w:t>
      </w:r>
    </w:p>
    <w:p w14:paraId="2CBDBDF6">
      <w:pPr>
        <w:pStyle w:val="22"/>
        <w:numPr>
          <w:ilvl w:val="0"/>
          <w:numId w:val="2"/>
        </w:numPr>
        <w:snapToGrid/>
        <w:spacing w:line="360" w:lineRule="auto"/>
        <w:ind w:left="537" w:hanging="57"/>
        <w:rPr>
          <w:rFonts w:hint="eastAsia" w:ascii="宋体" w:hAnsi="宋体" w:cs="宋体"/>
          <w:b/>
          <w:color w:val="auto"/>
          <w:spacing w:val="0"/>
          <w:sz w:val="21"/>
          <w:szCs w:val="21"/>
          <w:highlight w:val="none"/>
        </w:rPr>
      </w:pPr>
      <w:r>
        <w:rPr>
          <w:rFonts w:hint="eastAsia" w:ascii="宋体" w:hAnsi="宋体" w:cs="宋体"/>
          <w:b/>
          <w:color w:val="auto"/>
          <w:spacing w:val="0"/>
          <w:sz w:val="21"/>
          <w:szCs w:val="21"/>
          <w:highlight w:val="none"/>
        </w:rPr>
        <w:t>主变压器差动保护</w:t>
      </w:r>
    </w:p>
    <w:p w14:paraId="565F18FF">
      <w:pPr>
        <w:pStyle w:val="22"/>
        <w:snapToGrid/>
        <w:spacing w:line="360" w:lineRule="auto"/>
        <w:ind w:left="0" w:firstLine="420" w:firstLineChars="200"/>
        <w:rPr>
          <w:rFonts w:hint="eastAsia" w:ascii="宋体" w:hAnsi="宋体" w:cs="宋体"/>
          <w:b/>
          <w:color w:val="auto"/>
          <w:spacing w:val="0"/>
          <w:sz w:val="21"/>
          <w:szCs w:val="21"/>
          <w:highlight w:val="none"/>
        </w:rPr>
      </w:pPr>
      <w:r>
        <w:rPr>
          <w:rFonts w:hint="eastAsia" w:ascii="宋体" w:hAnsi="宋体" w:cs="宋体"/>
          <w:color w:val="auto"/>
          <w:spacing w:val="0"/>
          <w:sz w:val="21"/>
          <w:szCs w:val="21"/>
          <w:highlight w:val="none"/>
        </w:rPr>
        <w:t>保护主变压器绕组及其引出线的相间短路故障。</w:t>
      </w:r>
      <w:r>
        <w:rPr>
          <w:rFonts w:hint="eastAsia" w:ascii="宋体" w:hAnsi="宋体" w:cs="宋体"/>
          <w:color w:val="auto"/>
          <w:sz w:val="21"/>
          <w:szCs w:val="21"/>
          <w:highlight w:val="none"/>
        </w:rPr>
        <w:t>其主要功能及技术要求如下：</w:t>
      </w:r>
    </w:p>
    <w:p w14:paraId="0DF0C57A">
      <w:pPr>
        <w:numPr>
          <w:ilvl w:val="0"/>
          <w:numId w:val="26"/>
        </w:numPr>
        <w:snapToGrid/>
        <w:spacing w:line="360" w:lineRule="auto"/>
        <w:ind w:left="480" w:leftChars="20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应具有防止区外故障误动的谐波制动和比率制动特性，防止变压器过激磁时误动；</w:t>
      </w:r>
    </w:p>
    <w:p w14:paraId="74B28889">
      <w:pPr>
        <w:numPr>
          <w:ilvl w:val="0"/>
          <w:numId w:val="26"/>
        </w:numPr>
        <w:snapToGrid/>
        <w:spacing w:line="360" w:lineRule="auto"/>
        <w:ind w:left="480" w:leftChars="20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具有电流互感器（TA）断线判别功能，并能选择闭锁差流或报警，当电流大于额定电流的1.2～1.5倍可自动解除闭锁；</w:t>
      </w:r>
    </w:p>
    <w:p w14:paraId="38E67E12">
      <w:pPr>
        <w:numPr>
          <w:ilvl w:val="0"/>
          <w:numId w:val="26"/>
        </w:numPr>
        <w:snapToGrid/>
        <w:spacing w:line="360" w:lineRule="auto"/>
        <w:ind w:left="480" w:leftChars="20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应具有高整定值,无制动功能的电流速断，动作电流整定范围5～25</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In；</w:t>
      </w:r>
    </w:p>
    <w:p w14:paraId="2F6AE6EC">
      <w:pPr>
        <w:numPr>
          <w:ilvl w:val="0"/>
          <w:numId w:val="26"/>
        </w:numPr>
        <w:snapToGrid/>
        <w:spacing w:line="360" w:lineRule="auto"/>
        <w:ind w:left="480" w:leftChars="20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应有防止励磁涌流引起误动的功能；具有防止电流互感器（TA）暂态饱和过程中误动的措施；</w:t>
      </w:r>
    </w:p>
    <w:p w14:paraId="02D30C12">
      <w:pPr>
        <w:numPr>
          <w:ilvl w:val="0"/>
          <w:numId w:val="26"/>
        </w:numPr>
        <w:snapToGrid/>
        <w:spacing w:line="360" w:lineRule="auto"/>
        <w:ind w:left="480" w:leftChars="20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由于各侧电流互感器的变比可能不同，应有平衡差动保护各侧电流的措施，能满足两侧电流互感器有16倍差别的调节范围；</w:t>
      </w:r>
    </w:p>
    <w:p w14:paraId="1135AD9D">
      <w:pPr>
        <w:numPr>
          <w:ilvl w:val="0"/>
          <w:numId w:val="26"/>
        </w:numPr>
        <w:snapToGrid/>
        <w:spacing w:line="360" w:lineRule="auto"/>
        <w:ind w:left="480" w:leftChars="20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具有差流告警发信功能；</w:t>
      </w:r>
    </w:p>
    <w:p w14:paraId="00D20923">
      <w:pPr>
        <w:numPr>
          <w:ilvl w:val="0"/>
          <w:numId w:val="26"/>
        </w:numPr>
        <w:snapToGrid/>
        <w:spacing w:line="360" w:lineRule="auto"/>
        <w:ind w:left="480" w:leftChars="20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变压器差动保护应具有穿越故障制动输入口；</w:t>
      </w:r>
    </w:p>
    <w:p w14:paraId="7CAED017">
      <w:pPr>
        <w:numPr>
          <w:ilvl w:val="0"/>
          <w:numId w:val="26"/>
        </w:numPr>
        <w:snapToGrid/>
        <w:spacing w:line="360" w:lineRule="auto"/>
        <w:ind w:left="480" w:leftChars="20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整定值的准确度：5</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或0.02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In；</w:t>
      </w:r>
    </w:p>
    <w:p w14:paraId="1B9B8C3A">
      <w:pPr>
        <w:numPr>
          <w:ilvl w:val="0"/>
          <w:numId w:val="26"/>
        </w:numPr>
        <w:snapToGrid/>
        <w:spacing w:line="360" w:lineRule="auto"/>
        <w:ind w:left="480" w:leftChars="20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动作时间(2倍整定电流时)不大于35</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ms。</w:t>
      </w:r>
    </w:p>
    <w:p w14:paraId="55E24555">
      <w:pPr>
        <w:pStyle w:val="22"/>
        <w:numPr>
          <w:ilvl w:val="0"/>
          <w:numId w:val="2"/>
        </w:numPr>
        <w:snapToGrid/>
        <w:spacing w:line="360" w:lineRule="auto"/>
        <w:ind w:left="537" w:leftChars="0" w:hanging="57"/>
        <w:rPr>
          <w:rFonts w:hint="eastAsia" w:ascii="宋体" w:hAnsi="宋体" w:cs="宋体"/>
          <w:b/>
          <w:color w:val="auto"/>
          <w:spacing w:val="0"/>
          <w:sz w:val="21"/>
          <w:szCs w:val="21"/>
          <w:highlight w:val="none"/>
        </w:rPr>
      </w:pPr>
      <w:r>
        <w:rPr>
          <w:rFonts w:hint="eastAsia" w:ascii="宋体" w:hAnsi="宋体" w:cs="宋体"/>
          <w:b/>
          <w:color w:val="auto"/>
          <w:spacing w:val="0"/>
          <w:sz w:val="21"/>
          <w:szCs w:val="21"/>
          <w:highlight w:val="none"/>
        </w:rPr>
        <w:t>主变复合电压闭锁过流保护</w:t>
      </w:r>
    </w:p>
    <w:p w14:paraId="4867CE19">
      <w:pPr>
        <w:pStyle w:val="22"/>
        <w:snapToGrid/>
        <w:spacing w:line="360" w:lineRule="auto"/>
        <w:ind w:left="0" w:leftChars="0" w:firstLine="460" w:firstLineChars="200"/>
        <w:rPr>
          <w:rFonts w:hint="eastAsia" w:ascii="宋体" w:hAnsi="宋体" w:cs="宋体"/>
          <w:b/>
          <w:color w:val="auto"/>
          <w:spacing w:val="0"/>
          <w:sz w:val="21"/>
          <w:szCs w:val="21"/>
          <w:highlight w:val="none"/>
        </w:rPr>
      </w:pPr>
      <w:r>
        <w:rPr>
          <w:rFonts w:hint="eastAsia" w:ascii="宋体" w:hAnsi="宋体" w:cs="宋体"/>
          <w:color w:val="auto"/>
          <w:sz w:val="21"/>
          <w:szCs w:val="21"/>
          <w:highlight w:val="none"/>
        </w:rPr>
        <w:t>电压闭锁信号取自主变高压侧和低压侧PT电压回路。当电压互感器回路断线时应闭锁装置并发出报警信号。其主要功能及技术要求如下：</w:t>
      </w:r>
    </w:p>
    <w:p w14:paraId="2431996A">
      <w:pPr>
        <w:numPr>
          <w:ilvl w:val="0"/>
          <w:numId w:val="27"/>
        </w:numPr>
        <w:snapToGrid/>
        <w:spacing w:line="360" w:lineRule="auto"/>
        <w:ind w:left="480" w:leftChars="200"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返回系数：电流、负序电压元件不小于0.9，低电压元件不大于1.1；</w:t>
      </w:r>
    </w:p>
    <w:p w14:paraId="5A904514">
      <w:pPr>
        <w:numPr>
          <w:ilvl w:val="0"/>
          <w:numId w:val="27"/>
        </w:numPr>
        <w:snapToGrid/>
        <w:spacing w:line="360" w:lineRule="auto"/>
        <w:ind w:left="480" w:leftChars="200"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电流整定值、电压整定值的准确度：2.5</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或0.02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In、0.01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Un</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负序电压整定值的准确度：5</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或0.1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V；</w:t>
      </w:r>
    </w:p>
    <w:p w14:paraId="3ECBAAB0">
      <w:pPr>
        <w:numPr>
          <w:ilvl w:val="0"/>
          <w:numId w:val="27"/>
        </w:numPr>
        <w:snapToGrid/>
        <w:spacing w:line="360" w:lineRule="auto"/>
        <w:ind w:left="480" w:leftChars="200" w:firstLine="0"/>
        <w:jc w:val="left"/>
        <w:rPr>
          <w:rFonts w:hint="eastAsia" w:ascii="宋体" w:hAnsi="宋体" w:eastAsia="宋体" w:cs="宋体"/>
          <w:color w:val="auto"/>
          <w:spacing w:val="0"/>
          <w:sz w:val="21"/>
          <w:szCs w:val="21"/>
          <w:highlight w:val="none"/>
        </w:rPr>
      </w:pPr>
      <w:r>
        <w:rPr>
          <w:rFonts w:hint="eastAsia" w:ascii="宋体" w:hAnsi="宋体" w:eastAsia="宋体" w:cs="宋体"/>
          <w:color w:val="auto"/>
          <w:sz w:val="21"/>
          <w:szCs w:val="21"/>
          <w:highlight w:val="none"/>
        </w:rPr>
        <w:t>时间整定值的准确度（电流、负序电压1.5倍整定值、低电压0.8倍整定值时）：1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或40</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ms。</w:t>
      </w:r>
    </w:p>
    <w:p w14:paraId="7A8FA6E5">
      <w:pPr>
        <w:pStyle w:val="22"/>
        <w:numPr>
          <w:ilvl w:val="0"/>
          <w:numId w:val="2"/>
        </w:numPr>
        <w:snapToGrid/>
        <w:spacing w:line="360" w:lineRule="auto"/>
        <w:ind w:left="537" w:leftChars="0" w:hanging="57"/>
        <w:rPr>
          <w:rFonts w:hint="eastAsia" w:ascii="宋体" w:hAnsi="宋体" w:cs="宋体"/>
          <w:b/>
          <w:color w:val="auto"/>
          <w:spacing w:val="0"/>
          <w:sz w:val="21"/>
          <w:szCs w:val="21"/>
          <w:highlight w:val="none"/>
        </w:rPr>
      </w:pPr>
      <w:r>
        <w:rPr>
          <w:rFonts w:hint="eastAsia" w:ascii="宋体" w:hAnsi="宋体" w:cs="宋体"/>
          <w:b/>
          <w:color w:val="auto"/>
          <w:spacing w:val="0"/>
          <w:sz w:val="21"/>
          <w:szCs w:val="21"/>
          <w:highlight w:val="none"/>
        </w:rPr>
        <w:t>主变高压侧接地保护</w:t>
      </w:r>
    </w:p>
    <w:p w14:paraId="02CD7882">
      <w:pPr>
        <w:pStyle w:val="22"/>
        <w:snapToGrid/>
        <w:spacing w:line="360" w:lineRule="auto"/>
        <w:ind w:left="0" w:leftChars="0" w:firstLine="46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主变压器高压绕组单相接地故障保护，作为变压器绕组、引线、相邻元件接地故障的后备，保护设二段。其主要功能及技术要求如下：</w:t>
      </w:r>
    </w:p>
    <w:p w14:paraId="19E43907">
      <w:pPr>
        <w:numPr>
          <w:ilvl w:val="0"/>
          <w:numId w:val="28"/>
        </w:numPr>
        <w:snapToGrid/>
        <w:spacing w:line="360" w:lineRule="auto"/>
        <w:ind w:left="480" w:leftChars="200"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返回系数不低于0.9；</w:t>
      </w:r>
    </w:p>
    <w:p w14:paraId="170C6150">
      <w:pPr>
        <w:numPr>
          <w:ilvl w:val="0"/>
          <w:numId w:val="28"/>
        </w:numPr>
        <w:snapToGrid/>
        <w:spacing w:line="360" w:lineRule="auto"/>
        <w:ind w:left="480" w:leftChars="200"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整定值的准确度：2.5</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或0.02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In；</w:t>
      </w:r>
    </w:p>
    <w:p w14:paraId="54E6F63C">
      <w:pPr>
        <w:numPr>
          <w:ilvl w:val="0"/>
          <w:numId w:val="28"/>
        </w:numPr>
        <w:snapToGrid/>
        <w:spacing w:line="360" w:lineRule="auto"/>
        <w:ind w:left="480" w:leftChars="200"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时间整定的准确度（1.5倍整定值时）：1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或40</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ms。</w:t>
      </w:r>
    </w:p>
    <w:p w14:paraId="03AC645D">
      <w:pPr>
        <w:pStyle w:val="22"/>
        <w:numPr>
          <w:ilvl w:val="0"/>
          <w:numId w:val="2"/>
        </w:numPr>
        <w:snapToGrid/>
        <w:spacing w:line="360" w:lineRule="auto"/>
        <w:ind w:left="537" w:leftChars="200" w:hanging="57"/>
        <w:rPr>
          <w:rFonts w:hint="eastAsia" w:ascii="宋体" w:hAnsi="宋体" w:cs="宋体"/>
          <w:b/>
          <w:color w:val="auto"/>
          <w:spacing w:val="0"/>
          <w:sz w:val="21"/>
          <w:szCs w:val="21"/>
          <w:highlight w:val="none"/>
        </w:rPr>
      </w:pPr>
      <w:r>
        <w:rPr>
          <w:rFonts w:hint="eastAsia" w:ascii="宋体" w:hAnsi="宋体" w:eastAsia="宋体" w:cs="宋体"/>
          <w:b/>
          <w:color w:val="auto"/>
          <w:spacing w:val="0"/>
          <w:sz w:val="21"/>
          <w:szCs w:val="21"/>
          <w:highlight w:val="none"/>
          <w:lang w:val="en-US" w:eastAsia="zh-CN"/>
        </w:rPr>
        <w:t>主变</w:t>
      </w:r>
      <w:r>
        <w:rPr>
          <w:rFonts w:hint="eastAsia" w:ascii="宋体" w:hAnsi="宋体" w:cs="宋体"/>
          <w:b/>
          <w:color w:val="auto"/>
          <w:spacing w:val="0"/>
          <w:sz w:val="21"/>
          <w:szCs w:val="21"/>
          <w:highlight w:val="none"/>
        </w:rPr>
        <w:t>过激磁保护</w:t>
      </w:r>
    </w:p>
    <w:p w14:paraId="36431319">
      <w:pPr>
        <w:pStyle w:val="22"/>
        <w:snapToGrid/>
        <w:spacing w:line="360" w:lineRule="auto"/>
        <w:ind w:left="0" w:firstLine="46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过激磁保护变压器过激磁，即当电压升高和频率降低时工作磁通密度过高引起绝缘过热老化的保护装置。保护装置定时限和反时限两种，定时限设低定值和高定值两段。其主要功能和技术要求如下：</w:t>
      </w:r>
    </w:p>
    <w:p w14:paraId="0EFA0BE5">
      <w:pPr>
        <w:numPr>
          <w:ilvl w:val="0"/>
          <w:numId w:val="29"/>
        </w:numPr>
        <w:snapToGrid/>
        <w:spacing w:line="360" w:lineRule="auto"/>
        <w:ind w:left="480" w:leftChars="200"/>
        <w:rPr>
          <w:rFonts w:hint="eastAsia" w:ascii="宋体" w:hAnsi="宋体" w:cs="宋体"/>
          <w:color w:val="auto"/>
          <w:sz w:val="21"/>
          <w:szCs w:val="21"/>
          <w:highlight w:val="none"/>
        </w:rPr>
      </w:pPr>
      <w:r>
        <w:rPr>
          <w:rFonts w:hint="eastAsia" w:ascii="宋体" w:hAnsi="宋体" w:cs="宋体"/>
          <w:color w:val="auto"/>
          <w:sz w:val="21"/>
          <w:szCs w:val="21"/>
          <w:highlight w:val="none"/>
        </w:rPr>
        <w:t>保护装置应设有定时限和反时限两个部分，以便同变压器的过激磁特性近似匹配；</w:t>
      </w:r>
    </w:p>
    <w:p w14:paraId="55A8D5DF">
      <w:pPr>
        <w:numPr>
          <w:ilvl w:val="0"/>
          <w:numId w:val="29"/>
        </w:numPr>
        <w:snapToGrid/>
        <w:spacing w:line="360" w:lineRule="auto"/>
        <w:ind w:left="480" w:leftChars="200"/>
        <w:rPr>
          <w:rFonts w:hint="eastAsia" w:ascii="宋体" w:hAnsi="宋体" w:cs="宋体"/>
          <w:color w:val="auto"/>
          <w:sz w:val="21"/>
          <w:szCs w:val="21"/>
          <w:highlight w:val="none"/>
        </w:rPr>
      </w:pPr>
      <w:r>
        <w:rPr>
          <w:rFonts w:hint="eastAsia" w:ascii="宋体" w:hAnsi="宋体" w:cs="宋体"/>
          <w:color w:val="auto"/>
          <w:sz w:val="21"/>
          <w:szCs w:val="21"/>
          <w:highlight w:val="none"/>
        </w:rPr>
        <w:t>在变压器出现励磁涌流时保护不应发生误动作；</w:t>
      </w:r>
    </w:p>
    <w:p w14:paraId="4ACF5E48">
      <w:pPr>
        <w:numPr>
          <w:ilvl w:val="0"/>
          <w:numId w:val="29"/>
        </w:numPr>
        <w:snapToGrid/>
        <w:spacing w:line="360" w:lineRule="auto"/>
        <w:ind w:left="480" w:leftChars="200"/>
        <w:rPr>
          <w:rFonts w:hint="eastAsia" w:ascii="宋体" w:hAnsi="宋体" w:cs="宋体"/>
          <w:color w:val="auto"/>
          <w:sz w:val="21"/>
          <w:szCs w:val="21"/>
          <w:highlight w:val="none"/>
        </w:rPr>
      </w:pPr>
      <w:r>
        <w:rPr>
          <w:rFonts w:hint="eastAsia" w:ascii="宋体" w:hAnsi="宋体" w:cs="宋体"/>
          <w:color w:val="auto"/>
          <w:sz w:val="21"/>
          <w:szCs w:val="21"/>
          <w:highlight w:val="none"/>
        </w:rPr>
        <w:t>当电压互感器回路断线时应闭锁装置并发出报警信号；</w:t>
      </w:r>
    </w:p>
    <w:p w14:paraId="6A1520D7">
      <w:pPr>
        <w:numPr>
          <w:ilvl w:val="0"/>
          <w:numId w:val="29"/>
        </w:numPr>
        <w:snapToGrid/>
        <w:spacing w:line="360" w:lineRule="auto"/>
        <w:ind w:left="480" w:leftChars="200"/>
        <w:rPr>
          <w:rFonts w:hint="eastAsia" w:ascii="宋体" w:hAnsi="宋体" w:cs="宋体"/>
          <w:color w:val="auto"/>
          <w:sz w:val="21"/>
          <w:szCs w:val="21"/>
          <w:highlight w:val="none"/>
        </w:rPr>
      </w:pPr>
      <w:r>
        <w:rPr>
          <w:rFonts w:hint="eastAsia" w:ascii="宋体" w:hAnsi="宋体" w:cs="宋体"/>
          <w:color w:val="auto"/>
          <w:sz w:val="21"/>
          <w:szCs w:val="21"/>
          <w:highlight w:val="none"/>
        </w:rPr>
        <w:t>装置适用频率范围25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rPr>
        <w:t>Hz～65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rPr>
        <w:t>Hz；电压整定范围：1.0～1.5额定电压；</w:t>
      </w:r>
    </w:p>
    <w:p w14:paraId="19D2C644">
      <w:pPr>
        <w:numPr>
          <w:ilvl w:val="0"/>
          <w:numId w:val="29"/>
        </w:numPr>
        <w:snapToGrid/>
        <w:spacing w:line="360" w:lineRule="auto"/>
        <w:ind w:left="480" w:leftChars="200"/>
        <w:outlineLvl w:val="3"/>
        <w:rPr>
          <w:rFonts w:hint="eastAsia" w:ascii="宋体" w:hAnsi="宋体" w:cs="宋体"/>
          <w:color w:val="auto"/>
          <w:sz w:val="21"/>
          <w:szCs w:val="21"/>
          <w:highlight w:val="none"/>
        </w:rPr>
      </w:pPr>
      <w:r>
        <w:rPr>
          <w:rFonts w:hint="eastAsia" w:ascii="宋体" w:hAnsi="宋体" w:cs="宋体"/>
          <w:color w:val="auto"/>
          <w:sz w:val="21"/>
          <w:szCs w:val="21"/>
          <w:highlight w:val="none"/>
        </w:rPr>
        <w:t>过激磁返回系数不小于0.96；</w:t>
      </w:r>
    </w:p>
    <w:p w14:paraId="1F5175D9">
      <w:pPr>
        <w:numPr>
          <w:ilvl w:val="0"/>
          <w:numId w:val="29"/>
        </w:numPr>
        <w:snapToGrid/>
        <w:spacing w:line="360" w:lineRule="auto"/>
        <w:ind w:left="480" w:leftChars="200"/>
        <w:rPr>
          <w:rFonts w:hint="eastAsia" w:ascii="宋体" w:hAnsi="宋体" w:cs="宋体"/>
          <w:color w:val="auto"/>
          <w:sz w:val="21"/>
          <w:szCs w:val="21"/>
          <w:highlight w:val="none"/>
        </w:rPr>
      </w:pPr>
      <w:r>
        <w:rPr>
          <w:rFonts w:hint="eastAsia" w:ascii="宋体" w:hAnsi="宋体" w:cs="宋体"/>
          <w:color w:val="auto"/>
          <w:sz w:val="21"/>
          <w:szCs w:val="21"/>
          <w:highlight w:val="none"/>
        </w:rPr>
        <w:t>时间整定值的准确度（1.5倍整定值时）：1</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或70</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rPr>
        <w:t>ms；</w:t>
      </w:r>
    </w:p>
    <w:p w14:paraId="3F1B8A34">
      <w:pPr>
        <w:numPr>
          <w:ilvl w:val="0"/>
          <w:numId w:val="29"/>
        </w:numPr>
        <w:snapToGrid/>
        <w:spacing w:line="360" w:lineRule="auto"/>
        <w:ind w:left="480" w:leftChars="200"/>
        <w:outlineLvl w:val="3"/>
        <w:rPr>
          <w:rFonts w:hint="eastAsia" w:ascii="宋体" w:hAnsi="宋体" w:cs="宋体"/>
          <w:color w:val="auto"/>
          <w:sz w:val="21"/>
          <w:szCs w:val="21"/>
          <w:highlight w:val="none"/>
        </w:rPr>
      </w:pPr>
      <w:r>
        <w:rPr>
          <w:rFonts w:hint="eastAsia" w:ascii="宋体" w:hAnsi="宋体" w:cs="宋体"/>
          <w:color w:val="auto"/>
          <w:sz w:val="21"/>
          <w:szCs w:val="21"/>
          <w:highlight w:val="none"/>
        </w:rPr>
        <w:t>反时限长延时应可整定到1000</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rPr>
        <w:t>s。</w:t>
      </w:r>
    </w:p>
    <w:p w14:paraId="6459A385">
      <w:pPr>
        <w:pStyle w:val="22"/>
        <w:numPr>
          <w:ilvl w:val="0"/>
          <w:numId w:val="2"/>
        </w:numPr>
        <w:snapToGrid/>
        <w:spacing w:line="360" w:lineRule="auto"/>
        <w:ind w:left="537" w:leftChars="200" w:hanging="57"/>
        <w:rPr>
          <w:rFonts w:hint="eastAsia" w:ascii="宋体" w:hAnsi="宋体" w:eastAsia="宋体" w:cs="宋体"/>
          <w:b/>
          <w:color w:val="auto"/>
          <w:spacing w:val="0"/>
          <w:sz w:val="21"/>
          <w:szCs w:val="21"/>
          <w:highlight w:val="none"/>
        </w:rPr>
      </w:pPr>
      <w:r>
        <w:rPr>
          <w:rFonts w:hint="eastAsia" w:ascii="宋体" w:hAnsi="宋体" w:eastAsia="宋体" w:cs="宋体"/>
          <w:b/>
          <w:color w:val="auto"/>
          <w:spacing w:val="0"/>
          <w:sz w:val="21"/>
          <w:szCs w:val="21"/>
          <w:highlight w:val="none"/>
        </w:rPr>
        <w:t>主变低压侧接地保护</w:t>
      </w:r>
    </w:p>
    <w:p w14:paraId="634498D2">
      <w:pPr>
        <w:pStyle w:val="22"/>
        <w:snapToGrid/>
        <w:spacing w:line="360" w:lineRule="auto"/>
        <w:ind w:left="0" w:firstLine="46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主变压器低压绕组单相接地故障保护，作为变压器绕组、引线、相邻元件接地故障的后备，保护动作于信号。</w:t>
      </w:r>
    </w:p>
    <w:p w14:paraId="386ABEC1">
      <w:pPr>
        <w:pStyle w:val="22"/>
        <w:numPr>
          <w:ilvl w:val="0"/>
          <w:numId w:val="2"/>
        </w:numPr>
        <w:snapToGrid/>
        <w:spacing w:line="360" w:lineRule="auto"/>
        <w:ind w:left="537" w:leftChars="200" w:hanging="57"/>
        <w:rPr>
          <w:rFonts w:hint="eastAsia" w:ascii="宋体" w:hAnsi="宋体" w:eastAsia="宋体" w:cs="宋体"/>
          <w:b/>
          <w:color w:val="auto"/>
          <w:spacing w:val="0"/>
          <w:sz w:val="21"/>
          <w:szCs w:val="21"/>
          <w:highlight w:val="none"/>
        </w:rPr>
      </w:pPr>
      <w:r>
        <w:rPr>
          <w:rFonts w:hint="eastAsia" w:ascii="宋体" w:hAnsi="宋体" w:eastAsia="宋体" w:cs="宋体"/>
          <w:b/>
          <w:color w:val="auto"/>
          <w:spacing w:val="0"/>
          <w:sz w:val="21"/>
          <w:szCs w:val="21"/>
          <w:highlight w:val="none"/>
        </w:rPr>
        <w:t>断路器失灵保护</w:t>
      </w:r>
    </w:p>
    <w:p w14:paraId="0C169687">
      <w:pPr>
        <w:pStyle w:val="22"/>
        <w:snapToGrid/>
        <w:spacing w:line="360" w:lineRule="auto"/>
        <w:ind w:left="0" w:firstLine="46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提供零序电流、负序电流和相电流元件作为断路器失灵保护的电流判据。其主要功能和技术要求如下：</w:t>
      </w:r>
    </w:p>
    <w:p w14:paraId="184E5E74">
      <w:pPr>
        <w:numPr>
          <w:ilvl w:val="0"/>
          <w:numId w:val="30"/>
        </w:numPr>
        <w:spacing w:line="360" w:lineRule="auto"/>
        <w:ind w:left="480" w:leftChars="200"/>
        <w:outlineLvl w:val="3"/>
        <w:rPr>
          <w:rFonts w:hint="eastAsia" w:ascii="宋体" w:hAnsi="宋体" w:cs="宋体"/>
          <w:color w:val="auto"/>
          <w:sz w:val="21"/>
          <w:szCs w:val="21"/>
          <w:highlight w:val="none"/>
        </w:rPr>
      </w:pPr>
      <w:r>
        <w:rPr>
          <w:rFonts w:hint="eastAsia" w:ascii="宋体" w:hAnsi="宋体" w:cs="宋体"/>
          <w:color w:val="auto"/>
          <w:sz w:val="21"/>
          <w:szCs w:val="21"/>
          <w:highlight w:val="none"/>
        </w:rPr>
        <w:t>整定值的准确度：2.5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或0.02</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rPr>
        <w:t>In</w:t>
      </w:r>
      <w:r>
        <w:rPr>
          <w:rFonts w:hint="eastAsia" w:ascii="宋体" w:hAnsi="宋体" w:cs="宋体"/>
          <w:color w:val="auto"/>
          <w:sz w:val="21"/>
          <w:szCs w:val="21"/>
          <w:highlight w:val="none"/>
          <w:lang w:eastAsia="zh-CN"/>
        </w:rPr>
        <w:t>；</w:t>
      </w:r>
    </w:p>
    <w:p w14:paraId="760DCF00">
      <w:pPr>
        <w:numPr>
          <w:ilvl w:val="0"/>
          <w:numId w:val="30"/>
        </w:numPr>
        <w:spacing w:line="360" w:lineRule="auto"/>
        <w:ind w:left="480" w:leftChars="200"/>
        <w:rPr>
          <w:rFonts w:hint="eastAsia" w:ascii="宋体" w:hAnsi="宋体" w:cs="宋体"/>
          <w:color w:val="auto"/>
          <w:sz w:val="21"/>
          <w:szCs w:val="21"/>
          <w:highlight w:val="none"/>
        </w:rPr>
      </w:pPr>
      <w:r>
        <w:rPr>
          <w:rFonts w:hint="eastAsia" w:ascii="宋体" w:hAnsi="宋体" w:cs="宋体"/>
          <w:color w:val="auto"/>
          <w:sz w:val="21"/>
          <w:szCs w:val="21"/>
          <w:highlight w:val="none"/>
        </w:rPr>
        <w:t>时间整定值的准确度（1.5倍整定值）：1</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或40</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rPr>
        <w:t>ms</w:t>
      </w:r>
      <w:r>
        <w:rPr>
          <w:rFonts w:hint="eastAsia" w:ascii="宋体" w:hAnsi="宋体" w:cs="宋体"/>
          <w:color w:val="auto"/>
          <w:sz w:val="21"/>
          <w:szCs w:val="21"/>
          <w:highlight w:val="none"/>
          <w:lang w:eastAsia="zh-CN"/>
        </w:rPr>
        <w:t>；</w:t>
      </w:r>
    </w:p>
    <w:p w14:paraId="27EB6FE5">
      <w:pPr>
        <w:numPr>
          <w:ilvl w:val="0"/>
          <w:numId w:val="30"/>
        </w:numPr>
        <w:spacing w:line="360" w:lineRule="auto"/>
        <w:ind w:left="480" w:leftChars="200"/>
        <w:outlineLvl w:val="3"/>
        <w:rPr>
          <w:rFonts w:hint="eastAsia" w:ascii="宋体" w:hAnsi="宋体" w:cs="宋体"/>
          <w:color w:val="auto"/>
          <w:sz w:val="21"/>
          <w:szCs w:val="21"/>
          <w:highlight w:val="none"/>
        </w:rPr>
      </w:pPr>
      <w:r>
        <w:rPr>
          <w:rFonts w:hint="eastAsia" w:ascii="宋体" w:hAnsi="宋体" w:cs="宋体"/>
          <w:color w:val="auto"/>
          <w:sz w:val="21"/>
          <w:szCs w:val="21"/>
          <w:highlight w:val="none"/>
        </w:rPr>
        <w:t>断路器断开后，失灵启动的返回时间小于30</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rPr>
        <w:t>ms。</w:t>
      </w:r>
    </w:p>
    <w:p w14:paraId="3A390291">
      <w:pPr>
        <w:numPr>
          <w:ilvl w:val="-1"/>
          <w:numId w:val="0"/>
        </w:numPr>
        <w:spacing w:line="360" w:lineRule="auto"/>
        <w:ind w:left="0" w:leftChars="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500</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rPr>
        <w:t>kV断路器失灵保护由系统保护实现，发变组保护动作后提供启动失灵信号。</w:t>
      </w:r>
    </w:p>
    <w:p w14:paraId="7D524D41">
      <w:pPr>
        <w:pStyle w:val="22"/>
        <w:numPr>
          <w:ilvl w:val="0"/>
          <w:numId w:val="2"/>
        </w:numPr>
        <w:snapToGrid/>
        <w:spacing w:line="360" w:lineRule="auto"/>
        <w:ind w:left="537" w:leftChars="200" w:hanging="57"/>
        <w:rPr>
          <w:rFonts w:hint="eastAsia" w:ascii="宋体" w:hAnsi="宋体" w:eastAsia="宋体" w:cs="宋体"/>
          <w:b/>
          <w:color w:val="auto"/>
          <w:spacing w:val="0"/>
          <w:sz w:val="21"/>
          <w:szCs w:val="21"/>
          <w:highlight w:val="none"/>
        </w:rPr>
      </w:pPr>
      <w:r>
        <w:rPr>
          <w:rFonts w:hint="eastAsia" w:ascii="宋体" w:hAnsi="宋体" w:eastAsia="宋体" w:cs="宋体"/>
          <w:b/>
          <w:color w:val="auto"/>
          <w:spacing w:val="0"/>
          <w:sz w:val="21"/>
          <w:szCs w:val="21"/>
          <w:highlight w:val="none"/>
        </w:rPr>
        <w:t>主变过流保护</w:t>
      </w:r>
    </w:p>
    <w:p w14:paraId="5BAB2FE3">
      <w:pPr>
        <w:pStyle w:val="22"/>
        <w:snapToGrid/>
        <w:spacing w:line="360" w:lineRule="auto"/>
        <w:ind w:left="0" w:firstLine="420" w:firstLineChars="200"/>
        <w:rPr>
          <w:rFonts w:hint="eastAsia" w:ascii="宋体" w:hAnsi="宋体" w:cs="宋体"/>
          <w:color w:val="auto"/>
          <w:spacing w:val="0"/>
          <w:sz w:val="21"/>
          <w:szCs w:val="21"/>
          <w:highlight w:val="none"/>
        </w:rPr>
      </w:pPr>
      <w:r>
        <w:rPr>
          <w:rFonts w:hint="eastAsia" w:ascii="宋体" w:hAnsi="宋体" w:cs="宋体"/>
          <w:color w:val="auto"/>
          <w:spacing w:val="0"/>
          <w:sz w:val="21"/>
          <w:szCs w:val="21"/>
          <w:highlight w:val="none"/>
        </w:rPr>
        <w:t>主变压器过流保护，动作后起动主变通风回路。</w:t>
      </w:r>
      <w:r>
        <w:rPr>
          <w:rFonts w:hint="eastAsia" w:ascii="宋体" w:hAnsi="宋体" w:cs="宋体"/>
          <w:color w:val="auto"/>
          <w:sz w:val="21"/>
          <w:szCs w:val="21"/>
          <w:highlight w:val="none"/>
        </w:rPr>
        <w:t>其主要功能和技术要求如下：</w:t>
      </w:r>
    </w:p>
    <w:p w14:paraId="4E436895">
      <w:pPr>
        <w:numPr>
          <w:ilvl w:val="0"/>
          <w:numId w:val="31"/>
        </w:numPr>
        <w:spacing w:line="360" w:lineRule="auto"/>
        <w:ind w:left="480" w:leftChars="20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返回系数不小于0.9；</w:t>
      </w:r>
    </w:p>
    <w:p w14:paraId="087B6601">
      <w:pPr>
        <w:numPr>
          <w:ilvl w:val="0"/>
          <w:numId w:val="31"/>
        </w:numPr>
        <w:spacing w:line="360" w:lineRule="auto"/>
        <w:ind w:left="480" w:leftChars="20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整定值的准确度：2.5</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或0.02</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In；</w:t>
      </w:r>
    </w:p>
    <w:p w14:paraId="663EE9DF">
      <w:pPr>
        <w:numPr>
          <w:ilvl w:val="0"/>
          <w:numId w:val="31"/>
        </w:numPr>
        <w:spacing w:line="360" w:lineRule="auto"/>
        <w:ind w:left="480" w:leftChars="20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时间整定值的准确度（1.5倍整定值时）：1</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或40</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ms。</w:t>
      </w:r>
    </w:p>
    <w:p w14:paraId="40B28080">
      <w:pPr>
        <w:pStyle w:val="22"/>
        <w:numPr>
          <w:ilvl w:val="0"/>
          <w:numId w:val="2"/>
        </w:numPr>
        <w:snapToGrid/>
        <w:spacing w:line="360" w:lineRule="auto"/>
        <w:ind w:left="537" w:leftChars="200" w:hanging="57"/>
        <w:rPr>
          <w:rFonts w:hint="eastAsia" w:ascii="宋体" w:hAnsi="宋体" w:eastAsia="宋体" w:cs="宋体"/>
          <w:b/>
          <w:color w:val="auto"/>
          <w:spacing w:val="0"/>
          <w:sz w:val="21"/>
          <w:szCs w:val="21"/>
          <w:highlight w:val="none"/>
        </w:rPr>
      </w:pPr>
      <w:r>
        <w:rPr>
          <w:rFonts w:hint="eastAsia" w:ascii="宋体" w:hAnsi="宋体" w:eastAsia="宋体" w:cs="宋体"/>
          <w:b/>
          <w:color w:val="auto"/>
          <w:spacing w:val="0"/>
          <w:sz w:val="21"/>
          <w:szCs w:val="21"/>
          <w:highlight w:val="none"/>
        </w:rPr>
        <w:t>断路器非全相保护</w:t>
      </w:r>
    </w:p>
    <w:p w14:paraId="1D48DAC6">
      <w:pPr>
        <w:pStyle w:val="22"/>
        <w:snapToGrid/>
        <w:spacing w:line="360" w:lineRule="auto"/>
        <w:ind w:left="0" w:firstLine="420" w:firstLineChars="200"/>
        <w:rPr>
          <w:rFonts w:hint="eastAsia" w:ascii="宋体" w:hAnsi="宋体" w:cs="宋体"/>
          <w:color w:val="auto"/>
          <w:spacing w:val="0"/>
          <w:sz w:val="21"/>
          <w:szCs w:val="21"/>
          <w:highlight w:val="none"/>
        </w:rPr>
      </w:pPr>
      <w:r>
        <w:rPr>
          <w:rFonts w:hint="eastAsia" w:ascii="宋体" w:hAnsi="宋体" w:cs="宋体"/>
          <w:color w:val="auto"/>
          <w:spacing w:val="0"/>
          <w:sz w:val="21"/>
          <w:szCs w:val="21"/>
          <w:highlight w:val="none"/>
        </w:rPr>
        <w:t>当发生非全相合闸或跳闸时，由于造成三相负荷不平衡，负序电流在转子表面感应出涡流，保护转子不致发热损坏的保护装置。其主要功能和技术要求如下：</w:t>
      </w:r>
    </w:p>
    <w:p w14:paraId="277B7E75">
      <w:pPr>
        <w:numPr>
          <w:ilvl w:val="0"/>
          <w:numId w:val="32"/>
        </w:numPr>
        <w:spacing w:line="360" w:lineRule="auto"/>
        <w:ind w:left="480" w:leftChars="20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保护由断路器反应非全相运行的辅助触点启动；</w:t>
      </w:r>
    </w:p>
    <w:p w14:paraId="62F70D09">
      <w:pPr>
        <w:numPr>
          <w:ilvl w:val="0"/>
          <w:numId w:val="32"/>
        </w:numPr>
        <w:spacing w:line="360" w:lineRule="auto"/>
        <w:ind w:left="480" w:leftChars="20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整定值的准确度：2.5</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或0.02</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In；</w:t>
      </w:r>
    </w:p>
    <w:p w14:paraId="12F482AF">
      <w:pPr>
        <w:numPr>
          <w:ilvl w:val="0"/>
          <w:numId w:val="32"/>
        </w:numPr>
        <w:spacing w:line="360" w:lineRule="auto"/>
        <w:ind w:left="480" w:leftChars="20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装置返回系数不小于0.9；</w:t>
      </w:r>
    </w:p>
    <w:p w14:paraId="53096C53">
      <w:pPr>
        <w:numPr>
          <w:ilvl w:val="0"/>
          <w:numId w:val="32"/>
        </w:numPr>
        <w:spacing w:line="360" w:lineRule="auto"/>
        <w:ind w:left="480" w:leftChars="20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时间整定值的准确度（1.5倍整定值时）：1</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或40</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ms。</w:t>
      </w:r>
    </w:p>
    <w:p w14:paraId="06742415">
      <w:pPr>
        <w:pStyle w:val="22"/>
        <w:numPr>
          <w:ilvl w:val="0"/>
          <w:numId w:val="2"/>
        </w:numPr>
        <w:snapToGrid/>
        <w:spacing w:line="360" w:lineRule="auto"/>
        <w:ind w:left="537" w:leftChars="200" w:hanging="57"/>
        <w:rPr>
          <w:rFonts w:hint="eastAsia" w:ascii="宋体" w:hAnsi="宋体" w:eastAsia="宋体" w:cs="宋体"/>
          <w:b/>
          <w:color w:val="auto"/>
          <w:spacing w:val="0"/>
          <w:sz w:val="21"/>
          <w:szCs w:val="21"/>
          <w:highlight w:val="none"/>
        </w:rPr>
      </w:pPr>
      <w:r>
        <w:rPr>
          <w:rFonts w:hint="eastAsia" w:ascii="宋体" w:hAnsi="宋体" w:eastAsia="宋体" w:cs="宋体"/>
          <w:b/>
          <w:color w:val="auto"/>
          <w:spacing w:val="0"/>
          <w:sz w:val="21"/>
          <w:szCs w:val="21"/>
          <w:highlight w:val="none"/>
        </w:rPr>
        <w:t>断路器闪络</w:t>
      </w:r>
      <w:r>
        <w:rPr>
          <w:rFonts w:hint="eastAsia" w:ascii="宋体" w:hAnsi="宋体" w:cs="宋体"/>
          <w:b/>
          <w:color w:val="auto"/>
          <w:spacing w:val="0"/>
          <w:sz w:val="21"/>
          <w:szCs w:val="21"/>
          <w:highlight w:val="none"/>
        </w:rPr>
        <w:t>保护</w:t>
      </w:r>
    </w:p>
    <w:p w14:paraId="5D55C813">
      <w:pPr>
        <w:pStyle w:val="22"/>
        <w:snapToGrid/>
        <w:spacing w:line="360" w:lineRule="auto"/>
        <w:ind w:left="0" w:firstLine="420" w:firstLineChars="200"/>
        <w:rPr>
          <w:rFonts w:hint="eastAsia" w:ascii="宋体" w:hAnsi="宋体" w:cs="宋体"/>
          <w:color w:val="auto"/>
          <w:spacing w:val="0"/>
          <w:sz w:val="21"/>
          <w:szCs w:val="21"/>
          <w:highlight w:val="none"/>
        </w:rPr>
      </w:pPr>
      <w:r>
        <w:rPr>
          <w:rFonts w:hint="eastAsia" w:ascii="宋体" w:hAnsi="宋体" w:cs="宋体"/>
          <w:color w:val="auto"/>
          <w:spacing w:val="0"/>
          <w:sz w:val="21"/>
          <w:szCs w:val="21"/>
          <w:highlight w:val="none"/>
        </w:rPr>
        <w:t>其主要功能和技术要求如下：</w:t>
      </w:r>
    </w:p>
    <w:p w14:paraId="78328BE7">
      <w:pPr>
        <w:numPr>
          <w:ilvl w:val="0"/>
          <w:numId w:val="33"/>
        </w:numPr>
        <w:spacing w:line="360" w:lineRule="auto"/>
        <w:ind w:left="480" w:leftChars="200"/>
        <w:outlineLvl w:val="3"/>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整定值的准确度：5</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或0.02</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In；</w:t>
      </w:r>
    </w:p>
    <w:p w14:paraId="2ADA38C6">
      <w:pPr>
        <w:numPr>
          <w:ilvl w:val="0"/>
          <w:numId w:val="33"/>
        </w:numPr>
        <w:spacing w:line="360" w:lineRule="auto"/>
        <w:ind w:left="480" w:leftChars="20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时间整定值的准确度（1.5倍整定值时：）1</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或40</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ms。</w:t>
      </w:r>
    </w:p>
    <w:p w14:paraId="27ADE9A0">
      <w:pPr>
        <w:numPr>
          <w:ilvl w:val="-1"/>
          <w:numId w:val="0"/>
        </w:numPr>
        <w:snapToGrid/>
        <w:spacing w:line="360" w:lineRule="auto"/>
        <w:ind w:left="0" w:firstLine="0"/>
        <w:outlineLvl w:val="2"/>
        <w:rPr>
          <w:rFonts w:hint="eastAsia" w:ascii="宋体" w:hAnsi="宋体" w:cs="宋体"/>
          <w:b/>
          <w:bCs/>
          <w:color w:val="auto"/>
          <w:sz w:val="21"/>
          <w:szCs w:val="21"/>
          <w:highlight w:val="none"/>
        </w:rPr>
      </w:pPr>
      <w:r>
        <w:rPr>
          <w:rFonts w:hint="eastAsia" w:ascii="宋体" w:hAnsi="宋体" w:cs="宋体"/>
          <w:b/>
          <w:bCs/>
          <w:color w:val="auto"/>
          <w:spacing w:val="0"/>
          <w:sz w:val="21"/>
          <w:szCs w:val="21"/>
          <w:highlight w:val="none"/>
          <w:lang w:val="en-US" w:eastAsia="zh-CN"/>
        </w:rPr>
        <w:t xml:space="preserve">3.5.5 </w:t>
      </w:r>
      <w:r>
        <w:rPr>
          <w:rFonts w:hint="eastAsia" w:ascii="宋体" w:hAnsi="宋体" w:cs="宋体"/>
          <w:b/>
          <w:bCs/>
          <w:color w:val="auto"/>
          <w:sz w:val="21"/>
          <w:szCs w:val="21"/>
          <w:highlight w:val="none"/>
        </w:rPr>
        <w:t>主变压器本体保护（非电量保护，宜采用微机型装置）</w:t>
      </w:r>
    </w:p>
    <w:p w14:paraId="55E727D7">
      <w:pPr>
        <w:pStyle w:val="22"/>
        <w:snapToGrid/>
        <w:spacing w:line="360" w:lineRule="auto"/>
        <w:ind w:left="0" w:firstLine="420" w:firstLineChars="200"/>
        <w:rPr>
          <w:rFonts w:hint="eastAsia" w:ascii="宋体" w:hAnsi="宋体" w:cs="宋体"/>
          <w:color w:val="auto"/>
          <w:spacing w:val="0"/>
          <w:sz w:val="21"/>
          <w:szCs w:val="21"/>
          <w:highlight w:val="none"/>
        </w:rPr>
      </w:pPr>
      <w:r>
        <w:rPr>
          <w:rFonts w:hint="eastAsia" w:ascii="宋体" w:hAnsi="宋体" w:cs="宋体"/>
          <w:color w:val="auto"/>
          <w:spacing w:val="0"/>
          <w:sz w:val="21"/>
          <w:szCs w:val="21"/>
          <w:highlight w:val="none"/>
        </w:rPr>
        <w:t>各种非电量保护应具有投退压板。变压器本体保护包括主变重瓦斯、轻瓦斯、压力释放、油位高低、油温过高、冷却系统故障、冷却器失电等，</w:t>
      </w:r>
      <w:r>
        <w:rPr>
          <w:rFonts w:hint="eastAsia" w:ascii="宋体" w:hAnsi="宋体" w:cs="宋体"/>
          <w:color w:val="auto"/>
          <w:sz w:val="21"/>
          <w:szCs w:val="21"/>
          <w:highlight w:val="none"/>
        </w:rPr>
        <w:t>并预留备用重动继电器。</w:t>
      </w:r>
      <w:r>
        <w:rPr>
          <w:rFonts w:hint="eastAsia" w:ascii="宋体" w:hAnsi="宋体" w:cs="宋体"/>
          <w:color w:val="auto"/>
          <w:spacing w:val="0"/>
          <w:sz w:val="21"/>
          <w:szCs w:val="21"/>
          <w:highlight w:val="none"/>
        </w:rPr>
        <w:t>其主要功能和技术要求如下：</w:t>
      </w:r>
    </w:p>
    <w:p w14:paraId="27E32B50">
      <w:pPr>
        <w:numPr>
          <w:ilvl w:val="0"/>
          <w:numId w:val="34"/>
        </w:numPr>
        <w:spacing w:line="360" w:lineRule="auto"/>
        <w:ind w:left="480" w:leftChars="200" w:firstLine="0" w:firstLineChars="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装置的强电开入回路应与装置保护电源隔离；开入回路的启动电压值不大于0.7倍额定电压值，且不小于0.55倍额定电压值。动作速度不小于10</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ms；</w:t>
      </w:r>
    </w:p>
    <w:p w14:paraId="56108955">
      <w:pPr>
        <w:numPr>
          <w:ilvl w:val="0"/>
          <w:numId w:val="34"/>
        </w:numPr>
        <w:spacing w:line="360" w:lineRule="auto"/>
        <w:ind w:left="480" w:leftChars="200" w:firstLine="0" w:firstLineChars="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所有涉及直接跳闸的回路应采用启动电压值不大于0.7倍额定电压值，且不小于0.55倍额定电压值的中间继电器，并要求启动功率不低于5</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W。</w:t>
      </w:r>
    </w:p>
    <w:p w14:paraId="4E8E53D7">
      <w:pPr>
        <w:pStyle w:val="22"/>
        <w:numPr>
          <w:ilvl w:val="-1"/>
          <w:numId w:val="0"/>
        </w:numPr>
        <w:snapToGrid/>
        <w:spacing w:line="360" w:lineRule="auto"/>
        <w:ind w:left="0" w:firstLine="0"/>
        <w:outlineLvl w:val="2"/>
        <w:rPr>
          <w:rFonts w:hint="eastAsia" w:ascii="宋体" w:hAnsi="宋体" w:eastAsia="宋体" w:cs="宋体"/>
          <w:b/>
          <w:bCs/>
          <w:color w:val="auto"/>
          <w:spacing w:val="0"/>
          <w:sz w:val="21"/>
          <w:szCs w:val="21"/>
          <w:highlight w:val="none"/>
        </w:rPr>
      </w:pPr>
      <w:r>
        <w:rPr>
          <w:rFonts w:hint="eastAsia" w:ascii="宋体" w:hAnsi="宋体" w:eastAsia="宋体" w:cs="宋体"/>
          <w:b/>
          <w:bCs/>
          <w:color w:val="auto"/>
          <w:spacing w:val="0"/>
          <w:sz w:val="21"/>
          <w:szCs w:val="21"/>
          <w:highlight w:val="none"/>
          <w:lang w:val="en-US" w:eastAsia="zh-CN"/>
        </w:rPr>
        <w:t xml:space="preserve">3.5.6 </w:t>
      </w:r>
      <w:r>
        <w:rPr>
          <w:rFonts w:hint="eastAsia" w:ascii="宋体" w:hAnsi="宋体" w:eastAsia="宋体" w:cs="宋体"/>
          <w:b/>
          <w:bCs/>
          <w:color w:val="auto"/>
          <w:spacing w:val="0"/>
          <w:sz w:val="21"/>
          <w:szCs w:val="21"/>
          <w:highlight w:val="none"/>
        </w:rPr>
        <w:t>微机型高压厂变保护装置</w:t>
      </w:r>
    </w:p>
    <w:p w14:paraId="030CFAAB">
      <w:pPr>
        <w:pStyle w:val="22"/>
        <w:numPr>
          <w:ilvl w:val="0"/>
          <w:numId w:val="2"/>
        </w:numPr>
        <w:snapToGrid/>
        <w:spacing w:line="360" w:lineRule="auto"/>
        <w:ind w:left="537"/>
        <w:rPr>
          <w:rFonts w:hint="eastAsia" w:ascii="宋体" w:hAnsi="宋体" w:cs="宋体"/>
          <w:b/>
          <w:color w:val="auto"/>
          <w:spacing w:val="0"/>
          <w:sz w:val="21"/>
          <w:szCs w:val="21"/>
          <w:highlight w:val="none"/>
        </w:rPr>
      </w:pPr>
      <w:r>
        <w:rPr>
          <w:rFonts w:hint="eastAsia" w:ascii="宋体" w:hAnsi="宋体" w:cs="宋体"/>
          <w:b/>
          <w:color w:val="auto"/>
          <w:spacing w:val="0"/>
          <w:sz w:val="21"/>
          <w:szCs w:val="21"/>
          <w:highlight w:val="none"/>
        </w:rPr>
        <w:t>高压厂变差动保护</w:t>
      </w:r>
    </w:p>
    <w:p w14:paraId="249E8372">
      <w:pPr>
        <w:pStyle w:val="22"/>
        <w:snapToGrid/>
        <w:spacing w:line="360" w:lineRule="auto"/>
        <w:ind w:left="0" w:firstLine="420" w:firstLineChars="200"/>
        <w:rPr>
          <w:rFonts w:hint="eastAsia" w:ascii="宋体" w:hAnsi="宋体" w:cs="宋体"/>
          <w:color w:val="auto"/>
          <w:spacing w:val="0"/>
          <w:sz w:val="21"/>
          <w:szCs w:val="21"/>
          <w:highlight w:val="none"/>
        </w:rPr>
      </w:pPr>
      <w:r>
        <w:rPr>
          <w:rFonts w:hint="eastAsia" w:ascii="宋体" w:hAnsi="宋体" w:cs="宋体"/>
          <w:color w:val="auto"/>
          <w:spacing w:val="0"/>
          <w:sz w:val="21"/>
          <w:szCs w:val="21"/>
          <w:highlight w:val="none"/>
        </w:rPr>
        <w:t>保护高压厂变绕组及其引出线的相间短路故障。其主要功能和技术要求如下：</w:t>
      </w:r>
    </w:p>
    <w:p w14:paraId="160D6947">
      <w:pPr>
        <w:numPr>
          <w:ilvl w:val="0"/>
          <w:numId w:val="35"/>
        </w:numPr>
        <w:spacing w:line="360" w:lineRule="auto"/>
        <w:ind w:left="480" w:leftChars="200" w:firstLine="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应具有防止区外故障误动的谐波制动和比率制动特性，变压器过激磁时误动</w:t>
      </w:r>
      <w:r>
        <w:rPr>
          <w:rFonts w:hint="eastAsia" w:ascii="宋体" w:hAnsi="宋体" w:cs="宋体"/>
          <w:color w:val="auto"/>
          <w:spacing w:val="0"/>
          <w:sz w:val="21"/>
          <w:szCs w:val="21"/>
          <w:highlight w:val="none"/>
          <w:lang w:eastAsia="zh-CN"/>
        </w:rPr>
        <w:t>；</w:t>
      </w:r>
    </w:p>
    <w:p w14:paraId="0D08251E">
      <w:pPr>
        <w:numPr>
          <w:ilvl w:val="0"/>
          <w:numId w:val="35"/>
        </w:numPr>
        <w:spacing w:line="360" w:lineRule="auto"/>
        <w:ind w:left="480" w:leftChars="200" w:firstLine="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具有电流互感器（TA）断线判别功能，并能选择闭锁差动或报警，当电流大于额定电流1.2～1.5倍时可自动解除闭锁；</w:t>
      </w:r>
    </w:p>
    <w:p w14:paraId="5CAD9333">
      <w:pPr>
        <w:numPr>
          <w:ilvl w:val="0"/>
          <w:numId w:val="35"/>
        </w:numPr>
        <w:spacing w:line="360" w:lineRule="auto"/>
        <w:ind w:left="480" w:leftChars="200" w:firstLine="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在同一相上出现两点接地故障(一点区内、一点区外)时，可动作出口；</w:t>
      </w:r>
    </w:p>
    <w:p w14:paraId="73397D0D">
      <w:pPr>
        <w:numPr>
          <w:ilvl w:val="0"/>
          <w:numId w:val="35"/>
        </w:numPr>
        <w:spacing w:line="360" w:lineRule="auto"/>
        <w:ind w:left="480" w:leftChars="200" w:firstLine="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应具有高整定值,无制动功能的电流速断，动作电流整定范围5～25</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In；</w:t>
      </w:r>
    </w:p>
    <w:p w14:paraId="2F4F2446">
      <w:pPr>
        <w:numPr>
          <w:ilvl w:val="0"/>
          <w:numId w:val="35"/>
        </w:numPr>
        <w:spacing w:line="360" w:lineRule="auto"/>
        <w:ind w:left="480" w:leftChars="200" w:firstLine="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由于各侧电流互感器的变比可能不同，应有平衡差动保护各侧电流的措施，能满足两侧电流互感器有16倍差别的调节范围；</w:t>
      </w:r>
    </w:p>
    <w:p w14:paraId="493F925A">
      <w:pPr>
        <w:numPr>
          <w:ilvl w:val="0"/>
          <w:numId w:val="35"/>
        </w:numPr>
        <w:spacing w:line="360" w:lineRule="auto"/>
        <w:ind w:left="480" w:leftChars="200" w:firstLine="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对于变压器的差动保护应有防止励磁涌流引起误动的功能；具有防止电流互感器（TA）暂态饱和过程中误动的措施；</w:t>
      </w:r>
    </w:p>
    <w:p w14:paraId="217635D4">
      <w:pPr>
        <w:numPr>
          <w:ilvl w:val="0"/>
          <w:numId w:val="35"/>
        </w:numPr>
        <w:spacing w:line="360" w:lineRule="auto"/>
        <w:ind w:left="480" w:leftChars="200" w:firstLine="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具有差流告警发信功能；</w:t>
      </w:r>
    </w:p>
    <w:p w14:paraId="6B8FC9EC">
      <w:pPr>
        <w:numPr>
          <w:ilvl w:val="0"/>
          <w:numId w:val="35"/>
        </w:numPr>
        <w:spacing w:line="360" w:lineRule="auto"/>
        <w:ind w:left="480" w:leftChars="200" w:firstLine="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整定值的准确度：5</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或0.02</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In；</w:t>
      </w:r>
    </w:p>
    <w:p w14:paraId="40E6C7B3">
      <w:pPr>
        <w:numPr>
          <w:ilvl w:val="0"/>
          <w:numId w:val="35"/>
        </w:numPr>
        <w:spacing w:line="360" w:lineRule="auto"/>
        <w:ind w:left="480" w:leftChars="200" w:firstLine="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动作时间(2倍整定电流时)不大于40</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ms。</w:t>
      </w:r>
    </w:p>
    <w:p w14:paraId="71475BEF">
      <w:pPr>
        <w:pStyle w:val="22"/>
        <w:numPr>
          <w:ilvl w:val="0"/>
          <w:numId w:val="2"/>
        </w:numPr>
        <w:snapToGrid/>
        <w:spacing w:line="360" w:lineRule="auto"/>
        <w:ind w:left="537"/>
        <w:rPr>
          <w:rFonts w:hint="eastAsia" w:ascii="宋体" w:hAnsi="宋体" w:cs="宋体"/>
          <w:b/>
          <w:color w:val="auto"/>
          <w:spacing w:val="0"/>
          <w:sz w:val="21"/>
          <w:szCs w:val="21"/>
          <w:highlight w:val="none"/>
        </w:rPr>
      </w:pPr>
      <w:r>
        <w:rPr>
          <w:rFonts w:hint="eastAsia" w:ascii="宋体" w:hAnsi="宋体" w:cs="宋体"/>
          <w:b/>
          <w:color w:val="auto"/>
          <w:spacing w:val="0"/>
          <w:sz w:val="21"/>
          <w:szCs w:val="21"/>
          <w:highlight w:val="none"/>
        </w:rPr>
        <w:t>高压厂变速断保护</w:t>
      </w:r>
    </w:p>
    <w:p w14:paraId="59D9D6CD">
      <w:pPr>
        <w:pStyle w:val="22"/>
        <w:snapToGrid/>
        <w:spacing w:line="360" w:lineRule="auto"/>
        <w:ind w:left="0" w:firstLine="420" w:firstLineChars="200"/>
        <w:rPr>
          <w:rFonts w:hint="eastAsia" w:ascii="宋体" w:hAnsi="宋体" w:cs="宋体"/>
          <w:b/>
          <w:color w:val="auto"/>
          <w:spacing w:val="0"/>
          <w:sz w:val="21"/>
          <w:szCs w:val="21"/>
          <w:highlight w:val="none"/>
        </w:rPr>
      </w:pPr>
      <w:r>
        <w:rPr>
          <w:rFonts w:hint="eastAsia" w:ascii="宋体" w:hAnsi="宋体" w:cs="宋体"/>
          <w:color w:val="auto"/>
          <w:spacing w:val="0"/>
          <w:sz w:val="21"/>
          <w:szCs w:val="21"/>
          <w:highlight w:val="none"/>
        </w:rPr>
        <w:t>其主要功能和技术要求如下：</w:t>
      </w:r>
    </w:p>
    <w:p w14:paraId="25BD947B">
      <w:pPr>
        <w:numPr>
          <w:ilvl w:val="0"/>
          <w:numId w:val="36"/>
        </w:numPr>
        <w:spacing w:line="360" w:lineRule="auto"/>
        <w:ind w:left="480" w:leftChars="200" w:firstLine="0"/>
        <w:outlineLvl w:val="3"/>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电流整定值的准确度：2.5</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或0.02</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In</w:t>
      </w:r>
      <w:r>
        <w:rPr>
          <w:rFonts w:hint="eastAsia" w:ascii="宋体" w:hAnsi="宋体" w:cs="宋体"/>
          <w:color w:val="auto"/>
          <w:spacing w:val="0"/>
          <w:sz w:val="21"/>
          <w:szCs w:val="21"/>
          <w:highlight w:val="none"/>
          <w:lang w:eastAsia="zh-CN"/>
        </w:rPr>
        <w:t>；</w:t>
      </w:r>
    </w:p>
    <w:p w14:paraId="76EC5293">
      <w:pPr>
        <w:numPr>
          <w:ilvl w:val="0"/>
          <w:numId w:val="36"/>
        </w:numPr>
        <w:spacing w:line="360" w:lineRule="auto"/>
        <w:ind w:left="480" w:leftChars="200" w:firstLine="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时间整定值的准确度（电流2倍整定值）：1</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或30</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ms。</w:t>
      </w:r>
    </w:p>
    <w:p w14:paraId="15F5F6AB">
      <w:pPr>
        <w:pStyle w:val="22"/>
        <w:numPr>
          <w:ilvl w:val="0"/>
          <w:numId w:val="2"/>
        </w:numPr>
        <w:snapToGrid/>
        <w:spacing w:line="360" w:lineRule="auto"/>
        <w:ind w:left="537"/>
        <w:rPr>
          <w:rFonts w:hint="eastAsia" w:ascii="宋体" w:hAnsi="宋体" w:cs="宋体"/>
          <w:b/>
          <w:color w:val="auto"/>
          <w:spacing w:val="0"/>
          <w:sz w:val="21"/>
          <w:szCs w:val="21"/>
          <w:highlight w:val="none"/>
        </w:rPr>
      </w:pPr>
      <w:r>
        <w:rPr>
          <w:rFonts w:hint="eastAsia" w:ascii="宋体" w:hAnsi="宋体" w:cs="宋体"/>
          <w:b/>
          <w:color w:val="auto"/>
          <w:spacing w:val="0"/>
          <w:sz w:val="21"/>
          <w:szCs w:val="21"/>
          <w:highlight w:val="none"/>
        </w:rPr>
        <w:t>高压厂变复合电压闭锁过流保护</w:t>
      </w:r>
    </w:p>
    <w:p w14:paraId="658DE8C5">
      <w:pPr>
        <w:pStyle w:val="22"/>
        <w:snapToGrid/>
        <w:spacing w:line="360" w:lineRule="auto"/>
        <w:ind w:left="0" w:firstLine="420" w:firstLineChars="200"/>
        <w:rPr>
          <w:rFonts w:hint="eastAsia" w:ascii="宋体" w:hAnsi="宋体" w:cs="宋体"/>
          <w:b/>
          <w:color w:val="auto"/>
          <w:spacing w:val="0"/>
          <w:sz w:val="21"/>
          <w:szCs w:val="21"/>
          <w:highlight w:val="none"/>
        </w:rPr>
      </w:pPr>
      <w:r>
        <w:rPr>
          <w:rFonts w:hint="eastAsia" w:ascii="宋体" w:hAnsi="宋体" w:cs="宋体"/>
          <w:color w:val="auto"/>
          <w:spacing w:val="0"/>
          <w:sz w:val="21"/>
          <w:szCs w:val="21"/>
          <w:highlight w:val="none"/>
        </w:rPr>
        <w:t>复合电压闭锁信号取自</w:t>
      </w:r>
      <w:r>
        <w:rPr>
          <w:rFonts w:hint="eastAsia" w:ascii="宋体" w:hAnsi="宋体" w:cs="宋体"/>
          <w:color w:val="auto"/>
          <w:spacing w:val="0"/>
          <w:sz w:val="21"/>
          <w:szCs w:val="21"/>
          <w:highlight w:val="none"/>
          <w:u w:val="none"/>
          <w:lang w:eastAsia="zh-CN"/>
        </w:rPr>
        <w:t>6</w:t>
      </w:r>
      <w:r>
        <w:rPr>
          <w:rFonts w:hint="eastAsia" w:ascii="宋体" w:hAnsi="宋体" w:cs="宋体"/>
          <w:color w:val="auto"/>
          <w:spacing w:val="0"/>
          <w:sz w:val="21"/>
          <w:szCs w:val="21"/>
          <w:highlight w:val="none"/>
          <w:u w:val="none"/>
          <w:lang w:val="en-US" w:eastAsia="zh-CN"/>
        </w:rPr>
        <w:t xml:space="preserve"> </w:t>
      </w:r>
      <w:r>
        <w:rPr>
          <w:rFonts w:hint="eastAsia" w:ascii="宋体" w:hAnsi="宋体" w:cs="宋体"/>
          <w:color w:val="auto"/>
          <w:spacing w:val="0"/>
          <w:sz w:val="21"/>
          <w:szCs w:val="21"/>
          <w:highlight w:val="none"/>
          <w:u w:val="none"/>
        </w:rPr>
        <w:t>kV</w:t>
      </w:r>
      <w:r>
        <w:rPr>
          <w:rFonts w:hint="eastAsia" w:ascii="宋体" w:hAnsi="宋体" w:cs="宋体"/>
          <w:color w:val="auto"/>
          <w:spacing w:val="0"/>
          <w:sz w:val="21"/>
          <w:szCs w:val="21"/>
          <w:highlight w:val="none"/>
        </w:rPr>
        <w:t>工作进线侧PT电压回路。当电压互感器回路断线时应闭锁装置并发出报警信号。高压厂变过流保护动作后不起动</w:t>
      </w:r>
      <w:r>
        <w:rPr>
          <w:rFonts w:hint="eastAsia" w:ascii="宋体" w:hAnsi="宋体" w:cs="宋体"/>
          <w:color w:val="auto"/>
          <w:spacing w:val="0"/>
          <w:sz w:val="21"/>
          <w:szCs w:val="21"/>
          <w:highlight w:val="none"/>
          <w:u w:val="none"/>
          <w:lang w:eastAsia="zh-CN"/>
        </w:rPr>
        <w:t>6</w:t>
      </w:r>
      <w:r>
        <w:rPr>
          <w:rFonts w:hint="eastAsia" w:ascii="宋体" w:hAnsi="宋体" w:cs="宋体"/>
          <w:color w:val="auto"/>
          <w:spacing w:val="0"/>
          <w:sz w:val="21"/>
          <w:szCs w:val="21"/>
          <w:highlight w:val="none"/>
          <w:u w:val="none"/>
          <w:lang w:val="en-US" w:eastAsia="zh-CN"/>
        </w:rPr>
        <w:t xml:space="preserve"> </w:t>
      </w:r>
      <w:r>
        <w:rPr>
          <w:rFonts w:hint="eastAsia" w:ascii="宋体" w:hAnsi="宋体" w:cs="宋体"/>
          <w:color w:val="auto"/>
          <w:spacing w:val="0"/>
          <w:sz w:val="21"/>
          <w:szCs w:val="21"/>
          <w:highlight w:val="none"/>
          <w:u w:val="none"/>
        </w:rPr>
        <w:t>kV</w:t>
      </w:r>
      <w:r>
        <w:rPr>
          <w:rFonts w:hint="eastAsia" w:ascii="宋体" w:hAnsi="宋体" w:cs="宋体"/>
          <w:color w:val="auto"/>
          <w:spacing w:val="0"/>
          <w:sz w:val="21"/>
          <w:szCs w:val="21"/>
          <w:highlight w:val="none"/>
        </w:rPr>
        <w:t>厂用电源快速切换。其主要功能和技术要求如下：</w:t>
      </w:r>
    </w:p>
    <w:p w14:paraId="7EEC8A66">
      <w:pPr>
        <w:numPr>
          <w:ilvl w:val="0"/>
          <w:numId w:val="37"/>
        </w:numPr>
        <w:spacing w:line="360" w:lineRule="auto"/>
        <w:ind w:left="480" w:leftChars="200" w:firstLine="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返回系数：电流、负序电压元件不小于0.9，低电压元件不大于1.1；</w:t>
      </w:r>
    </w:p>
    <w:p w14:paraId="0B1EAE41">
      <w:pPr>
        <w:numPr>
          <w:ilvl w:val="0"/>
          <w:numId w:val="37"/>
        </w:numPr>
        <w:spacing w:line="360" w:lineRule="auto"/>
        <w:ind w:left="480" w:leftChars="200" w:firstLine="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电流整定值、电压整定值的准确度：2.5</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或0.02</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In、0.01</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Un。负序电压整定值的准确度：5</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或0.1</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V；</w:t>
      </w:r>
    </w:p>
    <w:p w14:paraId="14B3D05C">
      <w:pPr>
        <w:numPr>
          <w:ilvl w:val="0"/>
          <w:numId w:val="37"/>
        </w:numPr>
        <w:spacing w:line="360" w:lineRule="auto"/>
        <w:ind w:left="480" w:leftChars="200" w:firstLine="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时间整定值的准确度（电流、负序电压1.5倍整定值、低电压0.8倍整定值时）：1</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或40</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ms。</w:t>
      </w:r>
    </w:p>
    <w:p w14:paraId="79D4697C">
      <w:pPr>
        <w:pStyle w:val="22"/>
        <w:numPr>
          <w:ilvl w:val="0"/>
          <w:numId w:val="2"/>
        </w:numPr>
        <w:snapToGrid/>
        <w:spacing w:line="360" w:lineRule="auto"/>
        <w:ind w:left="537"/>
        <w:rPr>
          <w:rFonts w:hint="eastAsia" w:ascii="宋体" w:hAnsi="宋体" w:cs="宋体"/>
          <w:b/>
          <w:color w:val="auto"/>
          <w:spacing w:val="0"/>
          <w:sz w:val="21"/>
          <w:szCs w:val="21"/>
          <w:highlight w:val="none"/>
        </w:rPr>
      </w:pPr>
      <w:r>
        <w:rPr>
          <w:rFonts w:hint="eastAsia" w:ascii="宋体" w:hAnsi="宋体" w:cs="宋体"/>
          <w:b/>
          <w:color w:val="auto"/>
          <w:spacing w:val="0"/>
          <w:sz w:val="21"/>
          <w:szCs w:val="21"/>
          <w:highlight w:val="none"/>
        </w:rPr>
        <w:t>高压厂变中性点A、B过流保护</w:t>
      </w:r>
    </w:p>
    <w:p w14:paraId="65F9624B">
      <w:pPr>
        <w:pStyle w:val="22"/>
        <w:snapToGrid/>
        <w:spacing w:line="360" w:lineRule="auto"/>
        <w:ind w:left="0" w:firstLine="420" w:firstLineChars="200"/>
        <w:rPr>
          <w:rFonts w:hint="eastAsia" w:ascii="宋体" w:hAnsi="宋体" w:cs="宋体"/>
          <w:color w:val="auto"/>
          <w:sz w:val="21"/>
          <w:szCs w:val="21"/>
          <w:highlight w:val="none"/>
        </w:rPr>
      </w:pPr>
      <w:r>
        <w:rPr>
          <w:rFonts w:hint="eastAsia" w:ascii="宋体" w:hAnsi="宋体" w:cs="宋体"/>
          <w:color w:val="auto"/>
          <w:spacing w:val="0"/>
          <w:sz w:val="21"/>
          <w:szCs w:val="21"/>
          <w:highlight w:val="none"/>
        </w:rPr>
        <w:t>高压厂变中性点的接地故障电流为</w:t>
      </w:r>
      <w:r>
        <w:rPr>
          <w:rFonts w:hint="eastAsia" w:ascii="宋体" w:hAnsi="宋体" w:cs="宋体"/>
          <w:color w:val="auto"/>
          <w:spacing w:val="0"/>
          <w:sz w:val="21"/>
          <w:szCs w:val="21"/>
          <w:highlight w:val="none"/>
          <w:u w:val="none"/>
        </w:rPr>
        <w:t>200</w:t>
      </w:r>
      <w:r>
        <w:rPr>
          <w:rFonts w:hint="eastAsia" w:ascii="宋体" w:hAnsi="宋体" w:cs="宋体"/>
          <w:color w:val="auto"/>
          <w:spacing w:val="0"/>
          <w:sz w:val="21"/>
          <w:szCs w:val="21"/>
          <w:highlight w:val="none"/>
          <w:u w:val="none"/>
          <w:lang w:val="en-US" w:eastAsia="zh-CN"/>
        </w:rPr>
        <w:t xml:space="preserve"> </w:t>
      </w:r>
      <w:r>
        <w:rPr>
          <w:rFonts w:hint="eastAsia" w:ascii="宋体" w:hAnsi="宋体" w:cs="宋体"/>
          <w:color w:val="auto"/>
          <w:spacing w:val="0"/>
          <w:sz w:val="21"/>
          <w:szCs w:val="21"/>
          <w:highlight w:val="none"/>
          <w:u w:val="none"/>
        </w:rPr>
        <w:t>A</w:t>
      </w:r>
      <w:r>
        <w:rPr>
          <w:rFonts w:hint="eastAsia" w:ascii="宋体" w:hAnsi="宋体" w:cs="宋体"/>
          <w:color w:val="auto"/>
          <w:spacing w:val="0"/>
          <w:sz w:val="21"/>
          <w:szCs w:val="21"/>
          <w:highlight w:val="none"/>
        </w:rPr>
        <w:t>（一次侧），</w:t>
      </w:r>
      <w:r>
        <w:rPr>
          <w:rFonts w:hint="eastAsia" w:ascii="宋体" w:hAnsi="宋体" w:cs="宋体"/>
          <w:color w:val="auto"/>
          <w:sz w:val="21"/>
          <w:szCs w:val="21"/>
          <w:highlight w:val="none"/>
        </w:rPr>
        <w:t>其主要功能及技术要求如下：</w:t>
      </w:r>
    </w:p>
    <w:p w14:paraId="3D91AD52">
      <w:pPr>
        <w:numPr>
          <w:ilvl w:val="0"/>
          <w:numId w:val="38"/>
        </w:numPr>
        <w:spacing w:line="360" w:lineRule="auto"/>
        <w:ind w:left="480" w:leftChars="200"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返回系数不低于0.9；</w:t>
      </w:r>
    </w:p>
    <w:p w14:paraId="0DE378C2">
      <w:pPr>
        <w:numPr>
          <w:ilvl w:val="0"/>
          <w:numId w:val="38"/>
        </w:numPr>
        <w:spacing w:line="360" w:lineRule="auto"/>
        <w:ind w:left="480" w:leftChars="200"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整定值的准确度：2.5</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或0.02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In；</w:t>
      </w:r>
    </w:p>
    <w:p w14:paraId="13466A74">
      <w:pPr>
        <w:numPr>
          <w:ilvl w:val="0"/>
          <w:numId w:val="38"/>
        </w:numPr>
        <w:spacing w:line="360" w:lineRule="auto"/>
        <w:ind w:left="480" w:leftChars="200"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时间整定的准确度（1.5倍整定值时）：1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或40</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ms。</w:t>
      </w:r>
    </w:p>
    <w:p w14:paraId="21C4D4A6">
      <w:pPr>
        <w:pStyle w:val="22"/>
        <w:numPr>
          <w:ilvl w:val="0"/>
          <w:numId w:val="2"/>
        </w:numPr>
        <w:snapToGrid/>
        <w:spacing w:line="360" w:lineRule="auto"/>
        <w:ind w:left="537"/>
        <w:rPr>
          <w:rFonts w:hint="eastAsia" w:ascii="宋体" w:hAnsi="宋体" w:cs="宋体"/>
          <w:b/>
          <w:color w:val="auto"/>
          <w:spacing w:val="0"/>
          <w:sz w:val="21"/>
          <w:szCs w:val="21"/>
          <w:highlight w:val="none"/>
        </w:rPr>
      </w:pPr>
      <w:r>
        <w:rPr>
          <w:rFonts w:hint="eastAsia" w:ascii="宋体" w:hAnsi="宋体" w:cs="宋体"/>
          <w:b/>
          <w:color w:val="auto"/>
          <w:spacing w:val="0"/>
          <w:sz w:val="21"/>
          <w:szCs w:val="21"/>
          <w:highlight w:val="none"/>
        </w:rPr>
        <w:t>高压厂变过流保护</w:t>
      </w:r>
    </w:p>
    <w:p w14:paraId="4CD3D127">
      <w:pPr>
        <w:pStyle w:val="22"/>
        <w:snapToGrid/>
        <w:spacing w:line="360" w:lineRule="auto"/>
        <w:ind w:left="0" w:firstLine="420" w:firstLineChars="200"/>
        <w:rPr>
          <w:rFonts w:hint="eastAsia" w:ascii="宋体" w:hAnsi="宋体" w:cs="宋体"/>
          <w:color w:val="auto"/>
          <w:spacing w:val="0"/>
          <w:sz w:val="21"/>
          <w:szCs w:val="21"/>
          <w:highlight w:val="none"/>
        </w:rPr>
      </w:pPr>
      <w:r>
        <w:rPr>
          <w:rFonts w:hint="eastAsia" w:ascii="宋体" w:hAnsi="宋体" w:cs="宋体"/>
          <w:color w:val="auto"/>
          <w:spacing w:val="0"/>
          <w:sz w:val="21"/>
          <w:szCs w:val="21"/>
          <w:highlight w:val="none"/>
        </w:rPr>
        <w:t>高压厂变过流保护，动作后起动高压厂变通风回路。其主要功能和技术要求如下：</w:t>
      </w:r>
    </w:p>
    <w:p w14:paraId="1DE3E765">
      <w:pPr>
        <w:numPr>
          <w:ilvl w:val="0"/>
          <w:numId w:val="39"/>
        </w:numPr>
        <w:spacing w:line="360" w:lineRule="auto"/>
        <w:ind w:left="480" w:leftChars="200" w:firstLine="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返回系数不小于0.9；</w:t>
      </w:r>
    </w:p>
    <w:p w14:paraId="4CFE624F">
      <w:pPr>
        <w:numPr>
          <w:ilvl w:val="0"/>
          <w:numId w:val="39"/>
        </w:numPr>
        <w:spacing w:line="360" w:lineRule="auto"/>
        <w:ind w:left="480" w:leftChars="200" w:firstLine="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整定值的准确度：2.5</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或0.02</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In；</w:t>
      </w:r>
    </w:p>
    <w:p w14:paraId="64FD39CE">
      <w:pPr>
        <w:numPr>
          <w:ilvl w:val="0"/>
          <w:numId w:val="39"/>
        </w:numPr>
        <w:spacing w:line="360" w:lineRule="auto"/>
        <w:ind w:left="480" w:leftChars="200" w:firstLine="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时间整定值的准确度（1.5倍整定值时）：1</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或40</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ms。</w:t>
      </w:r>
    </w:p>
    <w:p w14:paraId="3B45CFDE">
      <w:pPr>
        <w:pStyle w:val="22"/>
        <w:numPr>
          <w:ilvl w:val="-1"/>
          <w:numId w:val="0"/>
        </w:numPr>
        <w:snapToGrid/>
        <w:spacing w:line="360" w:lineRule="auto"/>
        <w:ind w:left="0" w:firstLine="0"/>
        <w:outlineLvl w:val="2"/>
        <w:rPr>
          <w:rFonts w:hint="eastAsia" w:ascii="宋体" w:hAnsi="宋体" w:eastAsia="宋体" w:cs="宋体"/>
          <w:b/>
          <w:bCs/>
          <w:color w:val="auto"/>
          <w:spacing w:val="0"/>
          <w:sz w:val="21"/>
          <w:szCs w:val="21"/>
          <w:highlight w:val="none"/>
        </w:rPr>
      </w:pPr>
      <w:r>
        <w:rPr>
          <w:rFonts w:hint="eastAsia" w:ascii="宋体" w:hAnsi="宋体" w:eastAsia="宋体" w:cs="宋体"/>
          <w:b/>
          <w:bCs/>
          <w:color w:val="auto"/>
          <w:spacing w:val="0"/>
          <w:sz w:val="21"/>
          <w:szCs w:val="21"/>
          <w:highlight w:val="none"/>
          <w:lang w:val="en-US" w:eastAsia="zh-CN"/>
        </w:rPr>
        <w:t xml:space="preserve">3.5.7 </w:t>
      </w:r>
      <w:r>
        <w:rPr>
          <w:rFonts w:hint="eastAsia" w:ascii="宋体" w:hAnsi="宋体" w:eastAsia="宋体" w:cs="宋体"/>
          <w:b/>
          <w:bCs/>
          <w:color w:val="auto"/>
          <w:spacing w:val="0"/>
          <w:sz w:val="21"/>
          <w:szCs w:val="21"/>
          <w:highlight w:val="none"/>
        </w:rPr>
        <w:t>高压厂变本体保护（宜采用微机型非电量保护装置）</w:t>
      </w:r>
    </w:p>
    <w:p w14:paraId="65CA5959">
      <w:pPr>
        <w:pStyle w:val="22"/>
        <w:snapToGrid/>
        <w:spacing w:line="360" w:lineRule="auto"/>
        <w:ind w:left="0" w:firstLine="420" w:firstLineChars="200"/>
        <w:rPr>
          <w:rFonts w:hint="eastAsia" w:ascii="宋体" w:hAnsi="宋体" w:cs="宋体"/>
          <w:color w:val="auto"/>
          <w:spacing w:val="0"/>
          <w:sz w:val="21"/>
          <w:szCs w:val="21"/>
          <w:highlight w:val="none"/>
        </w:rPr>
      </w:pPr>
      <w:r>
        <w:rPr>
          <w:rFonts w:hint="eastAsia" w:ascii="宋体" w:hAnsi="宋体" w:cs="宋体"/>
          <w:color w:val="auto"/>
          <w:spacing w:val="0"/>
          <w:sz w:val="21"/>
          <w:szCs w:val="21"/>
          <w:highlight w:val="none"/>
        </w:rPr>
        <w:t>各种非电量保护应具有投退压板。高压厂变本体保护包括高压厂变重瓦斯、有载开关重瓦斯、轻瓦斯、压力释放、油位高低、有载开关油位高低、油温过高、冷却系统故障和冷却器失电等（不限于此，具体见施工图），</w:t>
      </w:r>
      <w:r>
        <w:rPr>
          <w:rFonts w:hint="eastAsia" w:ascii="宋体" w:hAnsi="宋体" w:cs="宋体"/>
          <w:color w:val="auto"/>
          <w:sz w:val="21"/>
          <w:szCs w:val="21"/>
          <w:highlight w:val="none"/>
        </w:rPr>
        <w:t>并预留备用重动继电器。</w:t>
      </w:r>
      <w:r>
        <w:rPr>
          <w:rFonts w:hint="eastAsia" w:ascii="宋体" w:hAnsi="宋体" w:cs="宋体"/>
          <w:color w:val="auto"/>
          <w:spacing w:val="0"/>
          <w:sz w:val="21"/>
          <w:szCs w:val="21"/>
          <w:highlight w:val="none"/>
        </w:rPr>
        <w:t>其主要功能和技术要求如下：</w:t>
      </w:r>
    </w:p>
    <w:p w14:paraId="4CF24D29">
      <w:pPr>
        <w:numPr>
          <w:ilvl w:val="0"/>
          <w:numId w:val="40"/>
        </w:numPr>
        <w:spacing w:line="360" w:lineRule="auto"/>
        <w:ind w:left="480" w:leftChars="200" w:firstLine="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装置的强电开入回路应与装置保护电源隔离；开入回路的启动电压值不大于0.7倍额定电压值，且不小于0.55倍额定电压值。动作速度不小于10</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ms；</w:t>
      </w:r>
    </w:p>
    <w:p w14:paraId="72202602">
      <w:pPr>
        <w:numPr>
          <w:ilvl w:val="0"/>
          <w:numId w:val="40"/>
        </w:numPr>
        <w:spacing w:line="360" w:lineRule="auto"/>
        <w:ind w:left="480" w:leftChars="200" w:firstLine="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所有涉及直接跳闸的回路应采用启动电压值不大于0.7倍额定电压值，且不小于0.55倍额定电压值的中间继电器，并要求启动功率不低于5</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W；</w:t>
      </w:r>
    </w:p>
    <w:p w14:paraId="43FF3299">
      <w:pPr>
        <w:numPr>
          <w:ilvl w:val="0"/>
          <w:numId w:val="40"/>
        </w:numPr>
        <w:spacing w:line="360" w:lineRule="auto"/>
        <w:ind w:left="480" w:leftChars="200" w:firstLine="0"/>
        <w:outlineLvl w:val="3"/>
        <w:rPr>
          <w:rFonts w:hint="eastAsia" w:ascii="宋体" w:hAnsi="宋体" w:cs="宋体"/>
          <w:color w:val="auto"/>
          <w:spacing w:val="0"/>
          <w:sz w:val="21"/>
          <w:szCs w:val="21"/>
          <w:highlight w:val="none"/>
        </w:rPr>
      </w:pPr>
      <w:r>
        <w:rPr>
          <w:rFonts w:hint="eastAsia" w:ascii="宋体" w:hAnsi="宋体" w:eastAsia="宋体" w:cs="宋体"/>
          <w:color w:val="auto"/>
          <w:spacing w:val="0"/>
          <w:sz w:val="21"/>
          <w:szCs w:val="21"/>
          <w:highlight w:val="none"/>
        </w:rPr>
        <w:t>出口继电器能灵活选择组合，满足不同的出口方式。</w:t>
      </w:r>
    </w:p>
    <w:p w14:paraId="28C844F3">
      <w:pPr>
        <w:numPr>
          <w:ilvl w:val="-1"/>
          <w:numId w:val="0"/>
        </w:numPr>
        <w:snapToGrid/>
        <w:spacing w:line="360" w:lineRule="auto"/>
        <w:ind w:left="0" w:firstLine="0"/>
        <w:outlineLvl w:val="1"/>
        <w:rPr>
          <w:rFonts w:hint="eastAsia" w:ascii="宋体" w:hAnsi="宋体" w:cs="宋体"/>
          <w:b/>
          <w:bCs/>
          <w:color w:val="auto"/>
          <w:highlight w:val="none"/>
        </w:rPr>
      </w:pPr>
      <w:r>
        <w:rPr>
          <w:rFonts w:hint="eastAsia" w:ascii="宋体" w:hAnsi="宋体" w:cs="宋体"/>
          <w:b/>
          <w:bCs/>
          <w:color w:val="auto"/>
          <w:sz w:val="24"/>
          <w:szCs w:val="24"/>
          <w:highlight w:val="none"/>
          <w:lang w:val="en-US" w:eastAsia="zh-CN"/>
        </w:rPr>
        <w:t xml:space="preserve">3.6 </w:t>
      </w:r>
      <w:r>
        <w:rPr>
          <w:rFonts w:hint="eastAsia" w:ascii="宋体" w:hAnsi="宋体" w:cs="宋体"/>
          <w:b/>
          <w:bCs/>
          <w:color w:val="auto"/>
          <w:highlight w:val="none"/>
        </w:rPr>
        <w:t>保护屏的要求</w:t>
      </w:r>
    </w:p>
    <w:p w14:paraId="480A4AEF">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3.6.1 </w:t>
      </w:r>
      <w:r>
        <w:rPr>
          <w:rFonts w:hint="eastAsia" w:ascii="宋体" w:hAnsi="宋体" w:cs="宋体"/>
          <w:color w:val="auto"/>
          <w:sz w:val="21"/>
          <w:szCs w:val="21"/>
          <w:highlight w:val="none"/>
        </w:rPr>
        <w:t>保护屏尺寸为22</w:t>
      </w: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rPr>
        <w:t>0×800×800</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mm</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含屏眉</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柜体颜色为RAL7032，</w:t>
      </w:r>
      <w:r>
        <w:rPr>
          <w:rFonts w:hint="eastAsia" w:ascii="宋体" w:hAnsi="宋体" w:cs="宋体"/>
          <w:color w:val="auto"/>
          <w:sz w:val="21"/>
          <w:szCs w:val="21"/>
          <w:highlight w:val="none"/>
        </w:rPr>
        <w:t>防护等级</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IP42。</w:t>
      </w:r>
    </w:p>
    <w:p w14:paraId="0DB5DD91">
      <w:pPr>
        <w:pStyle w:val="10"/>
        <w:numPr>
          <w:ilvl w:val="-1"/>
          <w:numId w:val="0"/>
        </w:numPr>
        <w:adjustRightInd/>
        <w:snapToGrid/>
        <w:spacing w:line="360" w:lineRule="auto"/>
        <w:ind w:left="0" w:firstLine="0"/>
        <w:textAlignment w:val="auto"/>
        <w:rPr>
          <w:rFonts w:hint="eastAsia" w:ascii="宋体" w:hAnsi="宋体" w:cs="宋体"/>
          <w:color w:val="auto"/>
          <w:kern w:val="2"/>
          <w:sz w:val="21"/>
          <w:szCs w:val="21"/>
          <w:highlight w:val="none"/>
        </w:rPr>
      </w:pPr>
      <w:r>
        <w:rPr>
          <w:rFonts w:hint="eastAsia" w:hAnsi="宋体" w:cs="宋体"/>
          <w:color w:val="auto"/>
          <w:kern w:val="2"/>
          <w:sz w:val="21"/>
          <w:szCs w:val="21"/>
          <w:highlight w:val="none"/>
          <w:lang w:val="en-US" w:eastAsia="zh-CN"/>
        </w:rPr>
        <w:t xml:space="preserve">3.6.2 </w:t>
      </w:r>
      <w:r>
        <w:rPr>
          <w:rFonts w:hint="eastAsia" w:ascii="宋体" w:hAnsi="宋体" w:cs="宋体"/>
          <w:color w:val="auto"/>
          <w:kern w:val="2"/>
          <w:sz w:val="21"/>
          <w:szCs w:val="21"/>
          <w:highlight w:val="none"/>
        </w:rPr>
        <w:t>保护屏包括所有安装在上面的成套设备或单个组件，皆应保证有足够的结构强度以及在指定环境条件下满足本规范对电气性能的要求。投标人应对内部接线的正确性全面负责，并对所供应设备的特性和功能全面负责。</w:t>
      </w:r>
    </w:p>
    <w:p w14:paraId="41D47274">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3.6.3 </w:t>
      </w:r>
      <w:r>
        <w:rPr>
          <w:rFonts w:hint="eastAsia" w:ascii="宋体" w:hAnsi="宋体" w:cs="宋体"/>
          <w:color w:val="auto"/>
          <w:sz w:val="21"/>
          <w:szCs w:val="21"/>
          <w:highlight w:val="none"/>
        </w:rPr>
        <w:t>为方便招标人使用和维护设备，应利用标准化元件和组件。</w:t>
      </w:r>
    </w:p>
    <w:p w14:paraId="6B8395E2">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3.6.4 </w:t>
      </w:r>
      <w:r>
        <w:rPr>
          <w:rFonts w:hint="eastAsia" w:ascii="宋体" w:hAnsi="宋体" w:cs="宋体"/>
          <w:color w:val="auto"/>
          <w:sz w:val="21"/>
          <w:szCs w:val="21"/>
          <w:highlight w:val="none"/>
        </w:rPr>
        <w:t>保护屏应采用前、后开门方式，前门上应用玻璃窗，可监视内部保护装置的动作信号，门在开闭时的振动不应造成保护误动作</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采用左开门方式，门轴在右侧（面向柜子）</w:t>
      </w:r>
      <w:r>
        <w:rPr>
          <w:rFonts w:hint="eastAsia" w:ascii="宋体" w:hAnsi="宋体" w:cs="宋体"/>
          <w:color w:val="auto"/>
          <w:sz w:val="21"/>
          <w:szCs w:val="21"/>
          <w:highlight w:val="none"/>
        </w:rPr>
        <w:t>。后门为双开门。</w:t>
      </w:r>
    </w:p>
    <w:p w14:paraId="6165BCCE">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3.6.5 保护</w:t>
      </w:r>
      <w:r>
        <w:rPr>
          <w:rFonts w:hint="eastAsia" w:ascii="宋体" w:hAnsi="宋体" w:cs="宋体"/>
          <w:color w:val="auto"/>
          <w:sz w:val="21"/>
          <w:szCs w:val="21"/>
          <w:highlight w:val="none"/>
        </w:rPr>
        <w:t>屏应有足够的强度，保证运输、储存、安装时的安全可靠。</w:t>
      </w:r>
    </w:p>
    <w:p w14:paraId="60A206D5">
      <w:pPr>
        <w:pStyle w:val="10"/>
        <w:numPr>
          <w:ilvl w:val="-1"/>
          <w:numId w:val="0"/>
        </w:numPr>
        <w:adjustRightInd/>
        <w:snapToGrid/>
        <w:spacing w:line="360" w:lineRule="auto"/>
        <w:ind w:left="0" w:firstLine="0"/>
        <w:textAlignment w:val="auto"/>
        <w:outlineLvl w:val="2"/>
        <w:rPr>
          <w:rFonts w:hint="eastAsia" w:ascii="宋体" w:hAnsi="宋体" w:cs="宋体"/>
          <w:color w:val="auto"/>
          <w:kern w:val="2"/>
          <w:sz w:val="21"/>
          <w:szCs w:val="21"/>
          <w:highlight w:val="none"/>
        </w:rPr>
      </w:pPr>
      <w:r>
        <w:rPr>
          <w:rFonts w:hint="eastAsia" w:hAnsi="宋体" w:cs="宋体"/>
          <w:color w:val="auto"/>
          <w:kern w:val="2"/>
          <w:sz w:val="21"/>
          <w:szCs w:val="21"/>
          <w:highlight w:val="none"/>
          <w:lang w:val="en-US" w:eastAsia="zh-CN"/>
        </w:rPr>
        <w:t xml:space="preserve">3.6.6 </w:t>
      </w:r>
      <w:r>
        <w:rPr>
          <w:rFonts w:hint="eastAsia" w:ascii="宋体" w:hAnsi="宋体" w:cs="宋体"/>
          <w:color w:val="auto"/>
          <w:kern w:val="2"/>
          <w:sz w:val="21"/>
          <w:szCs w:val="21"/>
          <w:highlight w:val="none"/>
        </w:rPr>
        <w:t>保护屏及其中设备应能使用于地震地区。</w:t>
      </w:r>
    </w:p>
    <w:p w14:paraId="00913085">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3.6.7 </w:t>
      </w:r>
      <w:r>
        <w:rPr>
          <w:rFonts w:hint="eastAsia" w:ascii="宋体" w:hAnsi="宋体" w:cs="宋体"/>
          <w:color w:val="auto"/>
          <w:sz w:val="21"/>
          <w:szCs w:val="21"/>
          <w:highlight w:val="none"/>
        </w:rPr>
        <w:t>保护屏上设备应采用嵌入式或半嵌入式安装和背后接线。</w:t>
      </w:r>
    </w:p>
    <w:p w14:paraId="482306A7">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3.6.8 </w:t>
      </w:r>
      <w:r>
        <w:rPr>
          <w:rFonts w:hint="eastAsia" w:ascii="宋体" w:hAnsi="宋体" w:cs="宋体"/>
          <w:color w:val="auto"/>
          <w:sz w:val="21"/>
          <w:szCs w:val="21"/>
          <w:highlight w:val="none"/>
        </w:rPr>
        <w:t>每面屏应装有与屏柜本体绝缘的截面为100</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mm</w:t>
      </w:r>
      <w:r>
        <w:rPr>
          <w:rFonts w:hint="eastAsia" w:ascii="宋体" w:hAnsi="宋体" w:cs="宋体"/>
          <w:color w:val="auto"/>
          <w:sz w:val="21"/>
          <w:szCs w:val="21"/>
          <w:highlight w:val="none"/>
          <w:vertAlign w:val="superscript"/>
        </w:rPr>
        <w:t>2</w:t>
      </w:r>
      <w:r>
        <w:rPr>
          <w:rFonts w:hint="eastAsia" w:ascii="宋体" w:hAnsi="宋体" w:cs="宋体"/>
          <w:color w:val="auto"/>
          <w:sz w:val="21"/>
          <w:szCs w:val="21"/>
          <w:highlight w:val="none"/>
        </w:rPr>
        <w:t>的铜</w:t>
      </w:r>
      <w:r>
        <w:rPr>
          <w:rFonts w:hint="eastAsia" w:ascii="宋体" w:hAnsi="宋体" w:cs="宋体"/>
          <w:color w:val="auto"/>
          <w:sz w:val="21"/>
          <w:szCs w:val="21"/>
          <w:highlight w:val="none"/>
          <w:lang w:val="en-US" w:eastAsia="zh-CN"/>
        </w:rPr>
        <w:t>质</w:t>
      </w:r>
      <w:r>
        <w:rPr>
          <w:rFonts w:hint="eastAsia" w:ascii="宋体" w:hAnsi="宋体" w:cs="宋体"/>
          <w:color w:val="auto"/>
          <w:sz w:val="21"/>
          <w:szCs w:val="21"/>
          <w:highlight w:val="none"/>
        </w:rPr>
        <w:t>接地母线，它应连接到主框架的前面、侧面和背面，接地母线末端应装好可靠的压接式端子，以备接到主接地网上，保护柜应有良好防电磁干扰的屏蔽功能。</w:t>
      </w:r>
    </w:p>
    <w:p w14:paraId="4EDDEFE3">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3.6.9 </w:t>
      </w:r>
      <w:r>
        <w:rPr>
          <w:rFonts w:hint="eastAsia" w:ascii="宋体" w:hAnsi="宋体" w:cs="宋体"/>
          <w:color w:val="auto"/>
          <w:sz w:val="21"/>
          <w:szCs w:val="21"/>
          <w:highlight w:val="none"/>
        </w:rPr>
        <w:t>电压和电流互感器的中性点仅在引入柜内的端子排上接地，且每组次级中性点只能有一个接地点。</w:t>
      </w:r>
    </w:p>
    <w:p w14:paraId="54B1206A">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3.6.10 </w:t>
      </w:r>
      <w:r>
        <w:rPr>
          <w:rFonts w:hint="eastAsia" w:ascii="宋体" w:hAnsi="宋体" w:cs="宋体"/>
          <w:color w:val="auto"/>
          <w:sz w:val="21"/>
          <w:szCs w:val="21"/>
          <w:highlight w:val="none"/>
        </w:rPr>
        <w:t>保护柜内设备的安排及端子排的布置，应保证各套保护的独立性，在一套保护检修时不影响其他任何一套保护系统的正常运行。</w:t>
      </w:r>
    </w:p>
    <w:p w14:paraId="52FF9612">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3.6.11 </w:t>
      </w:r>
      <w:r>
        <w:rPr>
          <w:rFonts w:hint="eastAsia" w:ascii="宋体" w:hAnsi="宋体" w:cs="宋体"/>
          <w:color w:val="auto"/>
          <w:sz w:val="21"/>
          <w:szCs w:val="21"/>
          <w:highlight w:val="none"/>
        </w:rPr>
        <w:t>柜中内部接线应采用耐热、耐潮和阻燃热固性的交联聚乙烯绝缘７股铜绞线，一般控制导线应不小于2.5</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mm</w:t>
      </w:r>
      <w:r>
        <w:rPr>
          <w:rFonts w:hint="eastAsia" w:ascii="宋体" w:hAnsi="宋体" w:cs="宋体"/>
          <w:color w:val="auto"/>
          <w:sz w:val="21"/>
          <w:szCs w:val="21"/>
          <w:highlight w:val="none"/>
          <w:vertAlign w:val="superscript"/>
        </w:rPr>
        <w:t>2</w:t>
      </w:r>
      <w:r>
        <w:rPr>
          <w:rFonts w:hint="eastAsia" w:ascii="宋体" w:hAnsi="宋体" w:cs="宋体"/>
          <w:color w:val="auto"/>
          <w:sz w:val="21"/>
          <w:szCs w:val="21"/>
          <w:highlight w:val="none"/>
        </w:rPr>
        <w:t>，CT、PT及断路器跳闸及合闸回路的控制导线不应小于2.5</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mm</w:t>
      </w:r>
      <w:r>
        <w:rPr>
          <w:rFonts w:hint="eastAsia" w:ascii="宋体" w:hAnsi="宋体" w:cs="宋体"/>
          <w:color w:val="auto"/>
          <w:sz w:val="21"/>
          <w:szCs w:val="21"/>
          <w:highlight w:val="none"/>
          <w:vertAlign w:val="superscript"/>
        </w:rPr>
        <w:t>2</w:t>
      </w:r>
      <w:r>
        <w:rPr>
          <w:rFonts w:hint="eastAsia" w:ascii="宋体" w:hAnsi="宋体" w:cs="宋体"/>
          <w:color w:val="auto"/>
          <w:sz w:val="21"/>
          <w:szCs w:val="21"/>
          <w:highlight w:val="none"/>
        </w:rPr>
        <w:t>。</w:t>
      </w:r>
    </w:p>
    <w:p w14:paraId="321509FA">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3.6.12 </w:t>
      </w:r>
      <w:r>
        <w:rPr>
          <w:rFonts w:hint="eastAsia" w:ascii="宋体" w:hAnsi="宋体" w:cs="宋体"/>
          <w:color w:val="auto"/>
          <w:sz w:val="21"/>
          <w:szCs w:val="21"/>
          <w:highlight w:val="none"/>
        </w:rPr>
        <w:t>导线应无损伤，导线与端子的连接应用螺丝加线鼻子的连接方式。应提供走线槽，以便固定电缆及端子排的接线。接到端子排上的导线应有标志条和标志套管标识清楚。</w:t>
      </w:r>
    </w:p>
    <w:p w14:paraId="39046360">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3.6.13 </w:t>
      </w:r>
      <w:r>
        <w:rPr>
          <w:rFonts w:hint="eastAsia" w:ascii="宋体" w:hAnsi="宋体" w:cs="宋体"/>
          <w:color w:val="auto"/>
          <w:sz w:val="21"/>
          <w:szCs w:val="21"/>
          <w:highlight w:val="none"/>
        </w:rPr>
        <w:t>端子排应保证足够的绝缘水平，端子排应该分段，端子排应至少有20</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的备用端子，且可在必要时再增加，外部接入的一根电缆中所有的导线应接于靠近的端子。设备端子均有标字牌。断路器的正电源与跳闸及合闸回</w:t>
      </w:r>
      <w:r>
        <w:rPr>
          <w:rFonts w:hint="eastAsia" w:ascii="宋体" w:hAnsi="宋体" w:cs="宋体"/>
          <w:color w:val="auto"/>
          <w:sz w:val="21"/>
          <w:szCs w:val="21"/>
          <w:highlight w:val="none"/>
          <w:lang w:val="en-US" w:eastAsia="zh-CN"/>
        </w:rPr>
        <w:t>路不允许连</w:t>
      </w:r>
      <w:r>
        <w:rPr>
          <w:rFonts w:hint="eastAsia" w:ascii="宋体" w:hAnsi="宋体" w:cs="宋体"/>
          <w:color w:val="auto"/>
          <w:sz w:val="21"/>
          <w:szCs w:val="21"/>
          <w:highlight w:val="none"/>
        </w:rPr>
        <w:t>接</w:t>
      </w:r>
      <w:r>
        <w:rPr>
          <w:rFonts w:hint="eastAsia" w:ascii="宋体" w:hAnsi="宋体" w:cs="宋体"/>
          <w:color w:val="auto"/>
          <w:sz w:val="21"/>
          <w:szCs w:val="21"/>
          <w:highlight w:val="none"/>
          <w:lang w:val="en-US" w:eastAsia="zh-CN"/>
        </w:rPr>
        <w:t>于</w:t>
      </w:r>
      <w:r>
        <w:rPr>
          <w:rFonts w:hint="eastAsia" w:ascii="宋体" w:hAnsi="宋体" w:cs="宋体"/>
          <w:color w:val="auto"/>
          <w:sz w:val="21"/>
          <w:szCs w:val="21"/>
          <w:highlight w:val="none"/>
        </w:rPr>
        <w:t>相邻端子上。直流电源的正负极</w:t>
      </w:r>
      <w:r>
        <w:rPr>
          <w:rFonts w:hint="eastAsia" w:ascii="宋体" w:hAnsi="宋体" w:cs="宋体"/>
          <w:color w:val="auto"/>
          <w:sz w:val="21"/>
          <w:szCs w:val="21"/>
          <w:highlight w:val="none"/>
          <w:lang w:val="en-US" w:eastAsia="zh-CN"/>
        </w:rPr>
        <w:t>不允许</w:t>
      </w:r>
      <w:r>
        <w:rPr>
          <w:rFonts w:hint="eastAsia" w:ascii="宋体" w:hAnsi="宋体" w:cs="宋体"/>
          <w:color w:val="auto"/>
          <w:sz w:val="21"/>
          <w:szCs w:val="21"/>
          <w:highlight w:val="none"/>
        </w:rPr>
        <w:t>布置在相邻端子上。每个信号输出接点须采用两个端子接线，不</w:t>
      </w:r>
      <w:r>
        <w:rPr>
          <w:rFonts w:hint="eastAsia" w:ascii="宋体" w:hAnsi="宋体" w:cs="宋体"/>
          <w:color w:val="auto"/>
          <w:sz w:val="21"/>
          <w:szCs w:val="21"/>
          <w:highlight w:val="none"/>
          <w:lang w:val="en-US" w:eastAsia="zh-CN"/>
        </w:rPr>
        <w:t>得</w:t>
      </w:r>
      <w:r>
        <w:rPr>
          <w:rFonts w:hint="eastAsia" w:ascii="宋体" w:hAnsi="宋体" w:cs="宋体"/>
          <w:color w:val="auto"/>
          <w:sz w:val="21"/>
          <w:szCs w:val="21"/>
          <w:highlight w:val="none"/>
        </w:rPr>
        <w:t>采用公用线接法。所有端子的</w:t>
      </w:r>
      <w:r>
        <w:rPr>
          <w:rFonts w:hint="eastAsia" w:ascii="宋体" w:hAnsi="宋体" w:cs="宋体"/>
          <w:color w:val="auto"/>
          <w:sz w:val="21"/>
          <w:szCs w:val="21"/>
          <w:highlight w:val="none"/>
          <w:lang w:val="en-US" w:eastAsia="zh-CN"/>
        </w:rPr>
        <w:t>额定容量</w:t>
      </w:r>
      <w:r>
        <w:rPr>
          <w:rFonts w:hint="eastAsia" w:ascii="宋体" w:hAnsi="宋体" w:cs="宋体"/>
          <w:color w:val="auto"/>
          <w:sz w:val="21"/>
          <w:szCs w:val="21"/>
          <w:highlight w:val="none"/>
        </w:rPr>
        <w:t>为10</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A</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1000</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V；电流端子应允许用户接6</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mm</w:t>
      </w:r>
      <w:r>
        <w:rPr>
          <w:rFonts w:hint="eastAsia" w:ascii="宋体" w:hAnsi="宋体" w:cs="宋体"/>
          <w:color w:val="auto"/>
          <w:sz w:val="21"/>
          <w:szCs w:val="21"/>
          <w:highlight w:val="none"/>
          <w:vertAlign w:val="superscript"/>
        </w:rPr>
        <w:t>2</w:t>
      </w:r>
      <w:r>
        <w:rPr>
          <w:rFonts w:hint="eastAsia" w:ascii="宋体" w:hAnsi="宋体" w:cs="宋体"/>
          <w:color w:val="auto"/>
          <w:sz w:val="21"/>
          <w:szCs w:val="21"/>
          <w:highlight w:val="none"/>
        </w:rPr>
        <w:t>的电缆导线。端子排</w:t>
      </w:r>
      <w:r>
        <w:rPr>
          <w:rFonts w:hint="eastAsia" w:ascii="宋体" w:hAnsi="宋体" w:cs="宋体"/>
          <w:color w:val="auto"/>
          <w:sz w:val="21"/>
          <w:szCs w:val="21"/>
          <w:highlight w:val="none"/>
          <w:lang w:val="en-US" w:eastAsia="zh-CN"/>
        </w:rPr>
        <w:t>两侧边</w:t>
      </w:r>
      <w:r>
        <w:rPr>
          <w:rFonts w:hint="eastAsia" w:ascii="宋体" w:hAnsi="宋体" w:cs="宋体"/>
          <w:color w:val="auto"/>
          <w:sz w:val="21"/>
          <w:szCs w:val="21"/>
          <w:highlight w:val="none"/>
        </w:rPr>
        <w:t>应保留足够空间，便于</w:t>
      </w:r>
      <w:r>
        <w:rPr>
          <w:rFonts w:hint="eastAsia" w:ascii="宋体" w:hAnsi="宋体" w:cs="宋体"/>
          <w:color w:val="auto"/>
          <w:sz w:val="21"/>
          <w:szCs w:val="21"/>
          <w:highlight w:val="none"/>
          <w:lang w:val="en-US" w:eastAsia="zh-CN"/>
        </w:rPr>
        <w:t>内外部</w:t>
      </w:r>
      <w:r>
        <w:rPr>
          <w:rFonts w:hint="eastAsia" w:ascii="宋体" w:hAnsi="宋体" w:cs="宋体"/>
          <w:color w:val="auto"/>
          <w:sz w:val="21"/>
          <w:szCs w:val="21"/>
          <w:highlight w:val="none"/>
        </w:rPr>
        <w:t>电缆连接。所有二次端子选用凤凰阻燃压接型端子，额定</w:t>
      </w:r>
      <w:r>
        <w:rPr>
          <w:rFonts w:hint="eastAsia" w:ascii="宋体" w:hAnsi="宋体" w:cs="宋体"/>
          <w:color w:val="auto"/>
          <w:sz w:val="21"/>
          <w:szCs w:val="21"/>
          <w:highlight w:val="none"/>
          <w:lang w:val="en-US" w:eastAsia="zh-CN"/>
        </w:rPr>
        <w:t>容量</w:t>
      </w:r>
      <w:r>
        <w:rPr>
          <w:rFonts w:hint="eastAsia" w:ascii="宋体" w:hAnsi="宋体" w:cs="宋体"/>
          <w:color w:val="auto"/>
          <w:sz w:val="21"/>
          <w:szCs w:val="21"/>
          <w:highlight w:val="none"/>
        </w:rPr>
        <w:t>为10</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A</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1000</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V。</w:t>
      </w:r>
      <w:r>
        <w:rPr>
          <w:rFonts w:hint="eastAsia" w:ascii="宋体" w:hAnsi="宋体" w:cs="宋体"/>
          <w:color w:val="auto"/>
          <w:sz w:val="21"/>
          <w:szCs w:val="21"/>
          <w:highlight w:val="none"/>
          <w:lang w:val="en-US" w:eastAsia="zh-CN"/>
        </w:rPr>
        <w:t>CT二次</w:t>
      </w:r>
      <w:r>
        <w:rPr>
          <w:rFonts w:hint="eastAsia" w:ascii="宋体" w:hAnsi="宋体" w:cs="宋体"/>
          <w:color w:val="auto"/>
          <w:sz w:val="21"/>
          <w:szCs w:val="21"/>
          <w:highlight w:val="none"/>
        </w:rPr>
        <w:t>回路应采用专用的URTK/S型端子，</w:t>
      </w:r>
      <w:r>
        <w:rPr>
          <w:rFonts w:hint="eastAsia" w:ascii="宋体" w:hAnsi="宋体" w:cs="宋体"/>
          <w:color w:val="auto"/>
          <w:sz w:val="21"/>
          <w:szCs w:val="21"/>
          <w:highlight w:val="none"/>
          <w:lang w:val="en-US" w:eastAsia="zh-CN"/>
        </w:rPr>
        <w:t>PT</w:t>
      </w:r>
      <w:r>
        <w:rPr>
          <w:rFonts w:hint="eastAsia" w:ascii="宋体" w:hAnsi="宋体" w:cs="宋体"/>
          <w:color w:val="auto"/>
          <w:sz w:val="21"/>
          <w:szCs w:val="21"/>
          <w:highlight w:val="none"/>
        </w:rPr>
        <w:t>二次回路应采用专用的URTK/S-BEN10型端子，端子排中交、直流回路、电流回路、电压回路、合闸回路、跳闸回路的端子间均应有空端子隔离，跳闸回路采用红色可断开刀闸型端子，信号回路采用可断开刀闸型端子。CT</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PT二次回路应提供标准的试验端子并具有隔离板，便于断开或短接装置的输入与输出回路，电流不小于20</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A（1000</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V）。所有导线应牢固的夹紧。端子排上的导线固定采用平头铜螺丝。</w:t>
      </w:r>
      <w:r>
        <w:rPr>
          <w:rFonts w:hint="eastAsia" w:ascii="宋体" w:hAnsi="宋体" w:cs="宋体"/>
          <w:color w:val="auto"/>
          <w:sz w:val="21"/>
          <w:szCs w:val="21"/>
          <w:highlight w:val="none"/>
          <w:lang w:val="en-US" w:eastAsia="zh-CN"/>
        </w:rPr>
        <w:t>端子排布置安装应合理，以便于内部接线查线及外部电缆接线。</w:t>
      </w:r>
    </w:p>
    <w:p w14:paraId="74F5BF3A">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3.6.14 </w:t>
      </w:r>
      <w:r>
        <w:rPr>
          <w:rFonts w:hint="eastAsia" w:ascii="宋体" w:hAnsi="宋体" w:cs="宋体"/>
          <w:color w:val="auto"/>
          <w:sz w:val="21"/>
          <w:szCs w:val="21"/>
          <w:highlight w:val="none"/>
        </w:rPr>
        <w:t>CT</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PT二次回路输入应通过电流、电压试验部件专用端子接入保护装置，并采用便于电流回路测试的端子，以便对保护装置进行隔离和试验，对所有保护装置的跳闸出口、起动失灵等回路应提供各回路分别操作的试验部件或连接片，以便于必要时解除其出口回路。</w:t>
      </w:r>
    </w:p>
    <w:p w14:paraId="6D10D47C">
      <w:pPr>
        <w:numPr>
          <w:ilvl w:val="-1"/>
          <w:numId w:val="0"/>
        </w:numPr>
        <w:snapToGrid/>
        <w:spacing w:line="360" w:lineRule="auto"/>
        <w:ind w:left="0" w:firstLine="0"/>
        <w:jc w:val="left"/>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3.6.15 </w:t>
      </w:r>
      <w:r>
        <w:rPr>
          <w:rFonts w:hint="eastAsia" w:ascii="宋体" w:hAnsi="宋体" w:cs="宋体"/>
          <w:color w:val="auto"/>
          <w:sz w:val="21"/>
          <w:szCs w:val="21"/>
          <w:highlight w:val="none"/>
        </w:rPr>
        <w:t>直流电源应采用双极快速小开关，并具有合适的断流能力</w:t>
      </w:r>
      <w:r>
        <w:rPr>
          <w:rFonts w:hint="eastAsia" w:ascii="宋体" w:hAnsi="宋体" w:cs="宋体"/>
          <w:color w:val="auto"/>
          <w:sz w:val="21"/>
          <w:szCs w:val="21"/>
          <w:highlight w:val="none"/>
          <w:lang w:val="en-US" w:eastAsia="zh-CN"/>
        </w:rPr>
        <w:t>和指示标识</w:t>
      </w:r>
      <w:r>
        <w:rPr>
          <w:rFonts w:hint="eastAsia" w:ascii="宋体" w:hAnsi="宋体" w:cs="宋体"/>
          <w:color w:val="auto"/>
          <w:sz w:val="21"/>
          <w:szCs w:val="21"/>
          <w:highlight w:val="none"/>
        </w:rPr>
        <w:t>。</w:t>
      </w:r>
    </w:p>
    <w:p w14:paraId="426771E3">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3.6.16 </w:t>
      </w:r>
      <w:r>
        <w:rPr>
          <w:rFonts w:hint="eastAsia" w:ascii="宋体" w:hAnsi="宋体" w:cs="宋体"/>
          <w:color w:val="auto"/>
          <w:sz w:val="21"/>
          <w:szCs w:val="21"/>
          <w:highlight w:val="none"/>
        </w:rPr>
        <w:t>屏的内部和外部必须清洁，应清除内部所有杂物及内外一切污迹。</w:t>
      </w:r>
    </w:p>
    <w:p w14:paraId="2934E744">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3.6.17 </w:t>
      </w:r>
      <w:r>
        <w:rPr>
          <w:rFonts w:hint="eastAsia" w:ascii="宋体" w:hAnsi="宋体" w:cs="宋体"/>
          <w:color w:val="auto"/>
          <w:sz w:val="21"/>
          <w:szCs w:val="21"/>
          <w:highlight w:val="none"/>
        </w:rPr>
        <w:t>屏的所有表面应该清洗过，刷一层底漆和二道罩漆，供应应保证柜内外油漆过的表面的运输、储藏和正常运行时的防腐蚀性能。</w:t>
      </w:r>
    </w:p>
    <w:p w14:paraId="1042E72E">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3.6.18 </w:t>
      </w:r>
      <w:r>
        <w:rPr>
          <w:rFonts w:hint="eastAsia" w:ascii="宋体" w:hAnsi="宋体" w:cs="宋体"/>
          <w:color w:val="auto"/>
          <w:sz w:val="21"/>
          <w:szCs w:val="21"/>
          <w:highlight w:val="none"/>
        </w:rPr>
        <w:t>每块屏及屏内的装置（包括继电器、控制开关、控制回路的熔丝、开关及其他独立设备）都应有</w:t>
      </w:r>
      <w:r>
        <w:rPr>
          <w:rFonts w:hint="eastAsia" w:ascii="宋体" w:hAnsi="宋体" w:cs="宋体"/>
          <w:color w:val="auto"/>
          <w:sz w:val="21"/>
          <w:szCs w:val="21"/>
          <w:highlight w:val="none"/>
          <w:lang w:val="en-US" w:eastAsia="zh-CN"/>
        </w:rPr>
        <w:t>双重命名的</w:t>
      </w:r>
      <w:r>
        <w:rPr>
          <w:rFonts w:hint="eastAsia" w:ascii="宋体" w:hAnsi="宋体" w:cs="宋体"/>
          <w:color w:val="auto"/>
          <w:sz w:val="21"/>
          <w:szCs w:val="21"/>
          <w:highlight w:val="none"/>
        </w:rPr>
        <w:t>标签，以便于清楚的识别，外壳可移动设备，在设备本体上也要有同样的识别标签。</w:t>
      </w:r>
    </w:p>
    <w:p w14:paraId="14D3B3C7">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3.6.19 </w:t>
      </w:r>
      <w:r>
        <w:rPr>
          <w:rFonts w:hint="eastAsia" w:ascii="宋体" w:hAnsi="宋体" w:cs="宋体"/>
          <w:color w:val="auto"/>
          <w:sz w:val="21"/>
          <w:szCs w:val="21"/>
          <w:highlight w:val="none"/>
        </w:rPr>
        <w:t>对于那些必须按制造厂的规定才能运行更换的部件和插件，应有特殊的符号标出。</w:t>
      </w:r>
    </w:p>
    <w:p w14:paraId="0B4F7047">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3.6.20 </w:t>
      </w:r>
      <w:r>
        <w:rPr>
          <w:rFonts w:hint="eastAsia" w:ascii="宋体" w:hAnsi="宋体" w:cs="宋体"/>
          <w:color w:val="auto"/>
          <w:sz w:val="21"/>
          <w:szCs w:val="21"/>
          <w:highlight w:val="none"/>
        </w:rPr>
        <w:t>保护屏中的接插件应接触可靠，并且具有良好的互换型，以便检修时迅速更换。</w:t>
      </w:r>
    </w:p>
    <w:p w14:paraId="25105BC1">
      <w:pPr>
        <w:numPr>
          <w:ilvl w:val="-1"/>
          <w:numId w:val="0"/>
        </w:numPr>
        <w:snapToGrid/>
        <w:spacing w:before="0" w:beforeLines="0" w:after="0" w:afterLines="0" w:line="360" w:lineRule="auto"/>
        <w:ind w:left="0" w:firstLine="0"/>
        <w:outlineLvl w:val="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 xml:space="preserve">4 </w:t>
      </w:r>
      <w:r>
        <w:rPr>
          <w:rFonts w:hint="eastAsia" w:ascii="宋体" w:hAnsi="宋体" w:eastAsia="宋体" w:cs="宋体"/>
          <w:b/>
          <w:bCs/>
          <w:color w:val="auto"/>
          <w:sz w:val="28"/>
          <w:szCs w:val="28"/>
          <w:highlight w:val="none"/>
        </w:rPr>
        <w:t>质量保证</w:t>
      </w:r>
    </w:p>
    <w:p w14:paraId="4AA6F48E">
      <w:pPr>
        <w:snapToGrid/>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4.1 订购的新产品除满足本技术</w:t>
      </w:r>
      <w:r>
        <w:rPr>
          <w:rFonts w:hint="eastAsia" w:ascii="宋体" w:hAnsi="宋体" w:cs="宋体"/>
          <w:color w:val="auto"/>
          <w:sz w:val="21"/>
          <w:szCs w:val="21"/>
          <w:highlight w:val="none"/>
          <w:lang w:val="en-US" w:eastAsia="zh-CN"/>
        </w:rPr>
        <w:t>规范</w:t>
      </w:r>
      <w:r>
        <w:rPr>
          <w:rFonts w:hint="eastAsia" w:ascii="宋体" w:hAnsi="宋体" w:cs="宋体"/>
          <w:color w:val="auto"/>
          <w:sz w:val="21"/>
          <w:szCs w:val="21"/>
          <w:highlight w:val="none"/>
        </w:rPr>
        <w:t>外，投标人还应提供产品的鉴定证书及产品合格证。进口元器件及材料提供原产地证明、报关单。</w:t>
      </w:r>
    </w:p>
    <w:p w14:paraId="00498EE5">
      <w:pPr>
        <w:snapToGrid/>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4.2 投标人应保证制造过程中的所有工艺、材料等（包括投标人的外购件在内）均应符合</w:t>
      </w:r>
      <w:r>
        <w:rPr>
          <w:rFonts w:hint="eastAsia" w:ascii="宋体" w:hAnsi="宋体" w:cs="宋体"/>
          <w:color w:val="auto"/>
          <w:sz w:val="21"/>
          <w:szCs w:val="21"/>
          <w:highlight w:val="none"/>
          <w:lang w:val="en-US" w:eastAsia="zh-CN"/>
        </w:rPr>
        <w:t>本</w:t>
      </w:r>
      <w:r>
        <w:rPr>
          <w:rFonts w:hint="eastAsia" w:ascii="宋体" w:hAnsi="宋体" w:cs="宋体"/>
          <w:color w:val="auto"/>
          <w:sz w:val="21"/>
          <w:szCs w:val="21"/>
          <w:highlight w:val="none"/>
        </w:rPr>
        <w:t>技术</w:t>
      </w:r>
      <w:r>
        <w:rPr>
          <w:rFonts w:hint="eastAsia" w:ascii="宋体" w:hAnsi="宋体" w:cs="宋体"/>
          <w:color w:val="auto"/>
          <w:sz w:val="21"/>
          <w:szCs w:val="21"/>
          <w:highlight w:val="none"/>
          <w:lang w:val="en-US" w:eastAsia="zh-CN"/>
        </w:rPr>
        <w:t>规范</w:t>
      </w:r>
      <w:r>
        <w:rPr>
          <w:rFonts w:hint="eastAsia" w:ascii="宋体" w:hAnsi="宋体" w:cs="宋体"/>
          <w:color w:val="auto"/>
          <w:sz w:val="21"/>
          <w:szCs w:val="21"/>
          <w:highlight w:val="none"/>
        </w:rPr>
        <w:t>的规定。若招标人根据运行经验指定投标人提供某种外购零部件，投标人应积极配合。</w:t>
      </w:r>
    </w:p>
    <w:p w14:paraId="1556669C">
      <w:pPr>
        <w:snapToGrid/>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4.3 投标人应遵守本技术</w:t>
      </w:r>
      <w:r>
        <w:rPr>
          <w:rFonts w:hint="eastAsia" w:ascii="宋体" w:hAnsi="宋体" w:cs="宋体"/>
          <w:color w:val="auto"/>
          <w:sz w:val="21"/>
          <w:szCs w:val="21"/>
          <w:highlight w:val="none"/>
          <w:lang w:val="en-US" w:eastAsia="zh-CN"/>
        </w:rPr>
        <w:t>规范</w:t>
      </w:r>
      <w:r>
        <w:rPr>
          <w:rFonts w:hint="eastAsia" w:ascii="宋体" w:hAnsi="宋体" w:cs="宋体"/>
          <w:color w:val="auto"/>
          <w:sz w:val="21"/>
          <w:szCs w:val="21"/>
          <w:highlight w:val="none"/>
        </w:rPr>
        <w:t>中各条款和工作项目的ISO</w:t>
      </w:r>
      <w:r>
        <w:rPr>
          <w:rFonts w:hint="eastAsia" w:ascii="宋体" w:hAnsi="宋体" w:cs="宋体"/>
          <w:color w:val="auto"/>
          <w:sz w:val="21"/>
          <w:szCs w:val="21"/>
          <w:highlight w:val="none"/>
          <w:lang w:val="en-US" w:eastAsia="zh-CN"/>
        </w:rPr>
        <w:t>-</w:t>
      </w:r>
      <w:r>
        <w:rPr>
          <w:rFonts w:hint="eastAsia" w:ascii="宋体" w:hAnsi="宋体" w:cs="宋体"/>
          <w:color w:val="auto"/>
          <w:sz w:val="21"/>
          <w:szCs w:val="21"/>
          <w:highlight w:val="none"/>
        </w:rPr>
        <w:t>9001</w:t>
      </w:r>
      <w:r>
        <w:rPr>
          <w:rFonts w:hint="eastAsia" w:ascii="宋体" w:hAnsi="宋体" w:cs="宋体"/>
          <w:color w:val="auto"/>
          <w:sz w:val="21"/>
          <w:szCs w:val="21"/>
          <w:highlight w:val="none"/>
          <w:lang w:val="en-US" w:eastAsia="zh-CN"/>
        </w:rPr>
        <w:t>及</w:t>
      </w:r>
      <w:r>
        <w:rPr>
          <w:rFonts w:hint="eastAsia" w:ascii="宋体" w:hAnsi="宋体" w:cs="宋体"/>
          <w:color w:val="auto"/>
          <w:sz w:val="21"/>
          <w:szCs w:val="21"/>
          <w:highlight w:val="none"/>
        </w:rPr>
        <w:t>GB/T1900质量保证体系，该质量保证体系经过国家认证和正常运转。</w:t>
      </w:r>
    </w:p>
    <w:p w14:paraId="44960110">
      <w:pPr>
        <w:tabs>
          <w:tab w:val="left" w:pos="480"/>
        </w:tabs>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4.4 在正常的使用工作环境下，整体产品使用寿命为不小于30年。</w:t>
      </w:r>
    </w:p>
    <w:p w14:paraId="794DD130">
      <w:pPr>
        <w:tabs>
          <w:tab w:val="left" w:pos="480"/>
        </w:tabs>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4.5 投标人所供设备质保期为</w:t>
      </w:r>
      <w:r>
        <w:rPr>
          <w:rFonts w:hint="eastAsia" w:ascii="宋体" w:hAnsi="宋体" w:cs="宋体"/>
          <w:color w:val="auto"/>
          <w:sz w:val="21"/>
          <w:szCs w:val="21"/>
          <w:lang w:val="en-US" w:eastAsia="zh-CN"/>
        </w:rPr>
        <w:t>设备安装调试完成并通过</w:t>
      </w:r>
      <w:r>
        <w:rPr>
          <w:rFonts w:hint="eastAsia" w:ascii="宋体" w:hAnsi="宋体" w:cs="宋体"/>
          <w:color w:val="auto"/>
          <w:sz w:val="21"/>
          <w:szCs w:val="21"/>
        </w:rPr>
        <w:t>机组运行168小时试验后1年</w:t>
      </w:r>
      <w:r>
        <w:rPr>
          <w:rFonts w:hint="eastAsia" w:ascii="宋体" w:hAnsi="宋体" w:cs="宋体"/>
          <w:color w:val="auto"/>
          <w:sz w:val="21"/>
          <w:szCs w:val="21"/>
          <w:highlight w:val="none"/>
        </w:rPr>
        <w:t>。在整个质保期内，非人为因素造成的设备损坏，应有投标人及时免费更换，并且根据因此而造成的经济损失大小承担一定的经济责任。</w:t>
      </w:r>
    </w:p>
    <w:p w14:paraId="12377F2C">
      <w:pPr>
        <w:numPr>
          <w:ilvl w:val="-1"/>
          <w:numId w:val="0"/>
        </w:numPr>
        <w:spacing w:before="0" w:beforeLines="0" w:after="0" w:afterLines="0" w:line="360" w:lineRule="auto"/>
        <w:outlineLvl w:val="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 xml:space="preserve">5 </w:t>
      </w:r>
      <w:r>
        <w:rPr>
          <w:rFonts w:hint="eastAsia" w:ascii="宋体" w:hAnsi="宋体" w:eastAsia="宋体" w:cs="宋体"/>
          <w:b/>
          <w:bCs/>
          <w:color w:val="auto"/>
          <w:sz w:val="28"/>
          <w:szCs w:val="28"/>
          <w:highlight w:val="none"/>
        </w:rPr>
        <w:t>设计与供货界限及接口规则</w:t>
      </w:r>
    </w:p>
    <w:p w14:paraId="413EA252">
      <w:pPr>
        <w:tabs>
          <w:tab w:val="left" w:pos="480"/>
        </w:tabs>
        <w:spacing w:line="360" w:lineRule="auto"/>
        <w:ind w:firstLine="420" w:firstLineChars="200"/>
        <w:rPr>
          <w:rFonts w:hint="eastAsia" w:ascii="宋体" w:hAnsi="宋体" w:cs="宋体"/>
          <w:b w:val="0"/>
          <w:color w:val="auto"/>
          <w:sz w:val="21"/>
          <w:szCs w:val="21"/>
          <w:highlight w:val="none"/>
        </w:rPr>
      </w:pPr>
      <w:r>
        <w:rPr>
          <w:rFonts w:hint="eastAsia" w:ascii="宋体" w:hAnsi="宋体" w:cs="宋体"/>
          <w:b w:val="0"/>
          <w:bCs w:val="0"/>
          <w:color w:val="auto"/>
          <w:sz w:val="21"/>
          <w:szCs w:val="21"/>
          <w:highlight w:val="none"/>
        </w:rPr>
        <w:t>保护管理机与DCS、NCS</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保护信息子站</w:t>
      </w:r>
      <w:r>
        <w:rPr>
          <w:rFonts w:hint="eastAsia" w:ascii="宋体" w:hAnsi="宋体" w:cs="宋体"/>
          <w:b w:val="0"/>
          <w:bCs w:val="0"/>
          <w:color w:val="auto"/>
          <w:sz w:val="21"/>
          <w:szCs w:val="21"/>
          <w:highlight w:val="none"/>
        </w:rPr>
        <w:t>及保护数据网之间设有通信接口，保护装置生产厂家</w:t>
      </w:r>
      <w:r>
        <w:rPr>
          <w:rFonts w:hint="eastAsia" w:ascii="宋体" w:hAnsi="宋体" w:cs="宋体"/>
          <w:b w:val="0"/>
          <w:bCs w:val="0"/>
          <w:color w:val="auto"/>
          <w:sz w:val="21"/>
          <w:szCs w:val="21"/>
          <w:highlight w:val="none"/>
          <w:lang w:val="en-US" w:eastAsia="zh-CN"/>
        </w:rPr>
        <w:t>应</w:t>
      </w:r>
      <w:r>
        <w:rPr>
          <w:rFonts w:hint="eastAsia" w:ascii="宋体" w:hAnsi="宋体" w:cs="宋体"/>
          <w:b w:val="0"/>
          <w:bCs w:val="0"/>
          <w:color w:val="auto"/>
          <w:sz w:val="21"/>
          <w:szCs w:val="21"/>
          <w:highlight w:val="none"/>
        </w:rPr>
        <w:t>在投标书中列出所供设备能适配的各种通信规约，并负责</w:t>
      </w:r>
      <w:r>
        <w:rPr>
          <w:rFonts w:hint="eastAsia" w:ascii="宋体" w:hAnsi="宋体" w:cs="宋体"/>
          <w:b w:val="0"/>
          <w:bCs w:val="0"/>
          <w:color w:val="auto"/>
          <w:sz w:val="21"/>
          <w:szCs w:val="21"/>
          <w:highlight w:val="none"/>
          <w:lang w:val="en-US" w:eastAsia="zh-CN"/>
        </w:rPr>
        <w:t>接入500kV保护信息子站及华东电网主站的通讯调试工作，以及</w:t>
      </w:r>
      <w:bookmarkStart w:id="125" w:name="_GoBack"/>
      <w:bookmarkEnd w:id="125"/>
      <w:r>
        <w:rPr>
          <w:rFonts w:hint="eastAsia" w:ascii="宋体" w:hAnsi="宋体" w:cs="宋体"/>
          <w:b w:val="0"/>
          <w:bCs w:val="0"/>
          <w:color w:val="auto"/>
          <w:sz w:val="21"/>
          <w:szCs w:val="21"/>
          <w:highlight w:val="none"/>
          <w:lang w:val="en-US" w:eastAsia="zh-CN"/>
        </w:rPr>
        <w:t>与</w:t>
      </w:r>
      <w:r>
        <w:rPr>
          <w:rFonts w:hint="eastAsia" w:ascii="宋体" w:hAnsi="宋体" w:cs="宋体"/>
          <w:b w:val="0"/>
          <w:bCs w:val="0"/>
          <w:color w:val="auto"/>
          <w:sz w:val="21"/>
          <w:szCs w:val="21"/>
          <w:highlight w:val="none"/>
        </w:rPr>
        <w:t>DCS、NCS及保护数据网</w:t>
      </w:r>
      <w:r>
        <w:rPr>
          <w:rFonts w:hint="eastAsia" w:ascii="宋体" w:hAnsi="宋体" w:cs="宋体"/>
          <w:b w:val="0"/>
          <w:bCs w:val="0"/>
          <w:color w:val="auto"/>
          <w:sz w:val="21"/>
          <w:szCs w:val="21"/>
          <w:highlight w:val="none"/>
          <w:lang w:val="en-US" w:eastAsia="zh-CN"/>
        </w:rPr>
        <w:t>系统</w:t>
      </w:r>
      <w:r>
        <w:rPr>
          <w:rFonts w:hint="eastAsia" w:ascii="宋体" w:hAnsi="宋体" w:cs="宋体"/>
          <w:b w:val="0"/>
          <w:bCs w:val="0"/>
          <w:color w:val="auto"/>
          <w:sz w:val="21"/>
          <w:szCs w:val="21"/>
          <w:highlight w:val="none"/>
        </w:rPr>
        <w:t>的厂家协调和配合</w:t>
      </w:r>
      <w:r>
        <w:rPr>
          <w:rFonts w:hint="eastAsia" w:ascii="宋体" w:hAnsi="宋体" w:cs="宋体"/>
          <w:b w:val="0"/>
          <w:bCs w:val="0"/>
          <w:color w:val="auto"/>
          <w:sz w:val="21"/>
          <w:szCs w:val="21"/>
          <w:highlight w:val="none"/>
          <w:lang w:val="en-US" w:eastAsia="zh-CN"/>
        </w:rPr>
        <w:t>工作</w:t>
      </w:r>
      <w:r>
        <w:rPr>
          <w:rFonts w:hint="eastAsia" w:ascii="宋体" w:hAnsi="宋体" w:cs="宋体"/>
          <w:b w:val="0"/>
          <w:bCs w:val="0"/>
          <w:color w:val="auto"/>
          <w:sz w:val="21"/>
          <w:szCs w:val="21"/>
          <w:highlight w:val="none"/>
        </w:rPr>
        <w:t>。</w:t>
      </w:r>
    </w:p>
    <w:p w14:paraId="58EA7444">
      <w:pPr>
        <w:numPr>
          <w:ilvl w:val="-1"/>
          <w:numId w:val="0"/>
        </w:numPr>
        <w:spacing w:before="0" w:beforeLines="0" w:after="0" w:afterLines="0" w:line="360" w:lineRule="auto"/>
        <w:outlineLvl w:val="0"/>
        <w:rPr>
          <w:rFonts w:hint="eastAsia" w:ascii="宋体" w:hAnsi="宋体" w:eastAsia="宋体" w:cs="宋体"/>
          <w:b/>
          <w:bCs/>
          <w:color w:val="auto"/>
          <w:sz w:val="28"/>
          <w:szCs w:val="28"/>
          <w:highlight w:val="none"/>
        </w:rPr>
      </w:pPr>
      <w:bookmarkStart w:id="34" w:name="_Toc170270577"/>
      <w:bookmarkStart w:id="35" w:name="_Toc170462603"/>
      <w:bookmarkStart w:id="36" w:name="_Toc96238078"/>
      <w:r>
        <w:rPr>
          <w:rFonts w:hint="eastAsia" w:ascii="宋体" w:hAnsi="宋体" w:eastAsia="宋体" w:cs="宋体"/>
          <w:b/>
          <w:bCs/>
          <w:color w:val="auto"/>
          <w:sz w:val="28"/>
          <w:szCs w:val="28"/>
          <w:highlight w:val="none"/>
          <w:lang w:val="en-US" w:eastAsia="zh-CN"/>
        </w:rPr>
        <w:t xml:space="preserve">6 </w:t>
      </w:r>
      <w:r>
        <w:rPr>
          <w:rFonts w:hint="eastAsia" w:ascii="宋体" w:hAnsi="宋体" w:eastAsia="宋体" w:cs="宋体"/>
          <w:b/>
          <w:bCs/>
          <w:color w:val="auto"/>
          <w:sz w:val="28"/>
          <w:szCs w:val="28"/>
          <w:highlight w:val="none"/>
        </w:rPr>
        <w:t>清洁</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rPr>
        <w:t>油漆</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rPr>
        <w:t>包装</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rPr>
        <w:t>装卸</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rPr>
        <w:t>运输与储存</w:t>
      </w:r>
      <w:bookmarkEnd w:id="34"/>
      <w:bookmarkEnd w:id="35"/>
      <w:bookmarkEnd w:id="36"/>
    </w:p>
    <w:p w14:paraId="7C70D946">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6.1 </w:t>
      </w:r>
      <w:r>
        <w:rPr>
          <w:rFonts w:hint="eastAsia" w:ascii="宋体" w:hAnsi="宋体" w:cs="宋体"/>
          <w:color w:val="auto"/>
          <w:sz w:val="21"/>
          <w:szCs w:val="21"/>
          <w:highlight w:val="none"/>
        </w:rPr>
        <w:t>在合同设备任何部分交付运输前，投标人应按照规定和本附件所述的要求，对所要交付的该部分合同设备进行包装，该包装应具有适合长途运输、多次搬运和装卸的坚固包装，以确保合同设备安全、无损地运抵现场。设备包装时应有防护措施，以便在运输保管中起防腐作用。</w:t>
      </w:r>
    </w:p>
    <w:p w14:paraId="1DE17C2D">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6.2 </w:t>
      </w:r>
      <w:r>
        <w:rPr>
          <w:rFonts w:hint="eastAsia" w:ascii="宋体" w:hAnsi="宋体" w:cs="宋体"/>
          <w:color w:val="auto"/>
          <w:sz w:val="21"/>
          <w:szCs w:val="21"/>
          <w:highlight w:val="none"/>
        </w:rPr>
        <w:t>投标人应保证对合同设备的所有包装在运输、装卸过程中完好无损，并有减震、防冲击的措施。若包装无法防止运输、装卸过程中垂直、水平加速度引起的设备损坏，投标人要在设备的设计结构上予以解决。</w:t>
      </w:r>
    </w:p>
    <w:p w14:paraId="4B223491">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6.3 </w:t>
      </w:r>
      <w:r>
        <w:rPr>
          <w:rFonts w:hint="eastAsia" w:ascii="宋体" w:hAnsi="宋体" w:cs="宋体"/>
          <w:color w:val="auto"/>
          <w:sz w:val="21"/>
          <w:szCs w:val="21"/>
          <w:highlight w:val="none"/>
        </w:rPr>
        <w:t>投标人提供的电气设备必须严格包装，包装应能保证合同设备在现场的保管与维护，包括在合理时间内有效的防潮、抗氧化、耐海水、耐海风、耐盐雾侵蚀的措施。对于可以进行露天堆放的合同设备，应能保证在合理时间内的露天堆放不会对合同设备造成损害。包装费包括在设备总价内。</w:t>
      </w:r>
    </w:p>
    <w:p w14:paraId="22FDDFD9">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6.4 </w:t>
      </w:r>
      <w:r>
        <w:rPr>
          <w:rFonts w:hint="eastAsia" w:ascii="宋体" w:hAnsi="宋体" w:cs="宋体"/>
          <w:color w:val="auto"/>
          <w:sz w:val="21"/>
          <w:szCs w:val="21"/>
          <w:highlight w:val="none"/>
        </w:rPr>
        <w:t>如果国家有关包装的标准或规范、本附件所述的包装技术协议及合同设备承运人的包装要求之间不一致，则投标人应按照前述各项规范或要求中的最高要求对合同设备进行包装。</w:t>
      </w:r>
    </w:p>
    <w:p w14:paraId="07EFCDB3">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6.5 </w:t>
      </w:r>
      <w:r>
        <w:rPr>
          <w:rFonts w:hint="eastAsia" w:ascii="宋体" w:hAnsi="宋体" w:cs="宋体"/>
          <w:color w:val="auto"/>
          <w:sz w:val="21"/>
          <w:szCs w:val="21"/>
          <w:highlight w:val="none"/>
        </w:rPr>
        <w:t>投标人应提交合同设备的包装技术规范及标准，包括但不限于包装示意图、包装材料材质与规格等，由招标人进行审查确认。资料文件中还应包括对合同设备包装过程中将采取的防潮、防锈、防腐蚀、抗震及充氮等措施的详细描述及承诺。</w:t>
      </w:r>
    </w:p>
    <w:p w14:paraId="5DBBBAE6">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6.6 </w:t>
      </w:r>
      <w:r>
        <w:rPr>
          <w:rFonts w:hint="eastAsia" w:ascii="宋体" w:hAnsi="宋体" w:cs="宋体"/>
          <w:color w:val="auto"/>
          <w:sz w:val="21"/>
          <w:szCs w:val="21"/>
          <w:highlight w:val="none"/>
        </w:rPr>
        <w:t>电控设备的包装与保管措施应满足露天堆放一个月的要求，其他设备的包装与保管措施应满足露天堆放六个月的要求。</w:t>
      </w:r>
    </w:p>
    <w:p w14:paraId="04AE1026">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6.7 </w:t>
      </w:r>
      <w:r>
        <w:rPr>
          <w:rFonts w:hint="eastAsia" w:ascii="宋体" w:hAnsi="宋体" w:cs="宋体"/>
          <w:color w:val="auto"/>
          <w:sz w:val="21"/>
          <w:szCs w:val="21"/>
          <w:highlight w:val="none"/>
        </w:rPr>
        <w:t>产品包装、运输、储存应符合本合同的有关标准中有关条款规定。</w:t>
      </w:r>
    </w:p>
    <w:p w14:paraId="5296EBDF">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6.8 </w:t>
      </w:r>
      <w:r>
        <w:rPr>
          <w:rFonts w:hint="eastAsia" w:ascii="宋体" w:hAnsi="宋体" w:cs="宋体"/>
          <w:color w:val="auto"/>
          <w:sz w:val="21"/>
          <w:szCs w:val="21"/>
          <w:highlight w:val="none"/>
        </w:rPr>
        <w:t>铭牌用耐腐蚀材料制成，并应符合有关标准的要求。</w:t>
      </w:r>
    </w:p>
    <w:p w14:paraId="3CA58508">
      <w:pPr>
        <w:numPr>
          <w:ilvl w:val="-1"/>
          <w:numId w:val="0"/>
        </w:numPr>
        <w:snapToGrid/>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6.9 </w:t>
      </w:r>
      <w:r>
        <w:rPr>
          <w:rFonts w:hint="eastAsia" w:ascii="宋体" w:hAnsi="宋体" w:cs="宋体"/>
          <w:color w:val="auto"/>
          <w:sz w:val="21"/>
          <w:szCs w:val="21"/>
          <w:highlight w:val="none"/>
        </w:rPr>
        <w:t>屏柜外表油漆采用佐顿、阿克苏、式玛、关西品牌</w:t>
      </w:r>
      <w:r>
        <w:rPr>
          <w:rFonts w:hint="eastAsia" w:ascii="宋体" w:hAnsi="宋体" w:cs="宋体"/>
          <w:color w:val="auto"/>
          <w:sz w:val="21"/>
          <w:szCs w:val="21"/>
          <w:highlight w:val="none"/>
          <w:lang w:val="en-US" w:eastAsia="zh-CN"/>
        </w:rPr>
        <w:t>或相当于</w:t>
      </w:r>
      <w:r>
        <w:rPr>
          <w:rFonts w:hint="eastAsia" w:ascii="宋体" w:hAnsi="宋体" w:cs="宋体"/>
          <w:color w:val="auto"/>
          <w:sz w:val="21"/>
          <w:szCs w:val="21"/>
          <w:highlight w:val="none"/>
        </w:rPr>
        <w:t>。</w:t>
      </w:r>
    </w:p>
    <w:p w14:paraId="33922BF4">
      <w:pPr>
        <w:numPr>
          <w:ilvl w:val="-1"/>
          <w:numId w:val="0"/>
        </w:numPr>
        <w:spacing w:before="0" w:beforeLines="0" w:after="0" w:afterLines="0" w:line="360" w:lineRule="auto"/>
        <w:ind w:right="-32"/>
        <w:outlineLvl w:val="0"/>
        <w:rPr>
          <w:rFonts w:hint="eastAsia" w:ascii="宋体" w:hAnsi="宋体" w:eastAsia="宋体" w:cs="宋体"/>
          <w:b/>
          <w:bCs/>
          <w:color w:val="auto"/>
          <w:sz w:val="28"/>
          <w:szCs w:val="28"/>
          <w:highlight w:val="none"/>
        </w:rPr>
      </w:pPr>
      <w:r>
        <w:rPr>
          <w:rFonts w:hint="eastAsia" w:ascii="宋体" w:hAnsi="宋体" w:cs="宋体"/>
          <w:b/>
          <w:bCs/>
          <w:color w:val="auto"/>
          <w:sz w:val="28"/>
          <w:szCs w:val="28"/>
          <w:highlight w:val="none"/>
          <w:lang w:val="en-US" w:eastAsia="zh-CN"/>
        </w:rPr>
        <w:t xml:space="preserve">7 </w:t>
      </w:r>
      <w:r>
        <w:rPr>
          <w:rFonts w:hint="eastAsia" w:ascii="宋体" w:hAnsi="宋体" w:eastAsia="宋体" w:cs="宋体"/>
          <w:b/>
          <w:bCs/>
          <w:color w:val="auto"/>
          <w:sz w:val="28"/>
          <w:szCs w:val="28"/>
          <w:highlight w:val="none"/>
          <w:lang w:val="en-US" w:eastAsia="zh-CN"/>
        </w:rPr>
        <w:t>技术</w:t>
      </w:r>
      <w:bookmarkStart w:id="37" w:name="_Toc170270578"/>
      <w:bookmarkStart w:id="38" w:name="_Toc170462604"/>
      <w:bookmarkStart w:id="39" w:name="_Toc96238079"/>
      <w:r>
        <w:rPr>
          <w:rFonts w:hint="eastAsia" w:ascii="宋体" w:hAnsi="宋体" w:eastAsia="宋体" w:cs="宋体"/>
          <w:b/>
          <w:bCs/>
          <w:color w:val="auto"/>
          <w:sz w:val="28"/>
          <w:szCs w:val="28"/>
          <w:highlight w:val="none"/>
        </w:rPr>
        <w:t>数据表</w:t>
      </w:r>
      <w:bookmarkEnd w:id="37"/>
      <w:bookmarkEnd w:id="38"/>
      <w:bookmarkEnd w:id="39"/>
    </w:p>
    <w:p w14:paraId="54409B0D">
      <w:pPr>
        <w:pStyle w:val="8"/>
        <w:ind w:left="0" w:firstLine="420" w:firstLineChars="200"/>
        <w:jc w:val="both"/>
        <w:rPr>
          <w:rFonts w:hint="eastAsia" w:hAnsi="宋体" w:cs="宋体"/>
          <w:color w:val="auto"/>
          <w:sz w:val="21"/>
          <w:szCs w:val="21"/>
          <w:highlight w:val="none"/>
        </w:rPr>
      </w:pPr>
      <w:r>
        <w:rPr>
          <w:rFonts w:hint="eastAsia" w:hAnsi="宋体" w:cs="宋体"/>
          <w:color w:val="auto"/>
          <w:sz w:val="21"/>
          <w:szCs w:val="21"/>
          <w:highlight w:val="none"/>
        </w:rPr>
        <w:t>投标人应填写下列技术参数，并保证其提供设备的性能、特性与以下填写的内容一</w:t>
      </w:r>
      <w:r>
        <w:rPr>
          <w:rFonts w:hint="eastAsia" w:hAnsi="宋体" w:cs="宋体"/>
          <w:color w:val="auto"/>
          <w:sz w:val="21"/>
          <w:szCs w:val="21"/>
          <w:highlight w:val="none"/>
          <w:lang w:eastAsia="zh-CN"/>
        </w:rPr>
        <w:t>致</w:t>
      </w:r>
      <w:r>
        <w:rPr>
          <w:rFonts w:hint="eastAsia" w:hAnsi="宋体" w:cs="宋体"/>
          <w:color w:val="auto"/>
          <w:sz w:val="21"/>
          <w:szCs w:val="21"/>
          <w:highlight w:val="none"/>
        </w:rPr>
        <w:t>。</w:t>
      </w:r>
    </w:p>
    <w:tbl>
      <w:tblPr>
        <w:tblStyle w:val="18"/>
        <w:tblW w:w="8363" w:type="dxa"/>
        <w:tblInd w:w="91"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19"/>
        <w:gridCol w:w="2415"/>
        <w:gridCol w:w="852"/>
        <w:gridCol w:w="1459"/>
        <w:gridCol w:w="1459"/>
        <w:gridCol w:w="1459"/>
      </w:tblGrid>
      <w:tr w14:paraId="4B5DCA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719" w:type="dxa"/>
            <w:tcBorders>
              <w:tl2br w:val="nil"/>
              <w:tr2bl w:val="nil"/>
            </w:tcBorders>
            <w:shd w:val="clear" w:color="auto" w:fill="auto"/>
            <w:vAlign w:val="center"/>
          </w:tcPr>
          <w:p w14:paraId="5DE4B61B">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序号</w:t>
            </w:r>
          </w:p>
        </w:tc>
        <w:tc>
          <w:tcPr>
            <w:tcW w:w="2415" w:type="dxa"/>
            <w:tcBorders>
              <w:tl2br w:val="nil"/>
              <w:tr2bl w:val="nil"/>
            </w:tcBorders>
            <w:shd w:val="clear" w:color="auto" w:fill="auto"/>
            <w:vAlign w:val="center"/>
          </w:tcPr>
          <w:p w14:paraId="52B7E4CE">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名称</w:t>
            </w:r>
          </w:p>
        </w:tc>
        <w:tc>
          <w:tcPr>
            <w:tcW w:w="852" w:type="dxa"/>
            <w:tcBorders>
              <w:tl2br w:val="nil"/>
              <w:tr2bl w:val="nil"/>
            </w:tcBorders>
            <w:shd w:val="clear" w:color="auto" w:fill="auto"/>
            <w:vAlign w:val="center"/>
          </w:tcPr>
          <w:p w14:paraId="79A06842">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单位</w:t>
            </w:r>
          </w:p>
        </w:tc>
        <w:tc>
          <w:tcPr>
            <w:tcW w:w="1459" w:type="dxa"/>
            <w:tcBorders>
              <w:tl2br w:val="nil"/>
              <w:tr2bl w:val="nil"/>
            </w:tcBorders>
            <w:shd w:val="clear" w:color="auto" w:fill="auto"/>
            <w:vAlign w:val="center"/>
          </w:tcPr>
          <w:p w14:paraId="5C41E8E5">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要求值</w:t>
            </w:r>
          </w:p>
        </w:tc>
        <w:tc>
          <w:tcPr>
            <w:tcW w:w="1459" w:type="dxa"/>
            <w:tcBorders>
              <w:tl2br w:val="nil"/>
              <w:tr2bl w:val="nil"/>
            </w:tcBorders>
            <w:shd w:val="clear" w:color="auto" w:fill="auto"/>
            <w:vAlign w:val="center"/>
          </w:tcPr>
          <w:p w14:paraId="5ABED844">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投标人</w:t>
            </w:r>
            <w:r>
              <w:rPr>
                <w:rFonts w:hint="eastAsia" w:ascii="宋体" w:hAnsi="宋体" w:cs="宋体"/>
                <w:color w:val="auto"/>
                <w:kern w:val="0"/>
                <w:sz w:val="18"/>
                <w:szCs w:val="18"/>
                <w:highlight w:val="none"/>
              </w:rPr>
              <w:t>提供值</w:t>
            </w:r>
          </w:p>
        </w:tc>
        <w:tc>
          <w:tcPr>
            <w:tcW w:w="1459" w:type="dxa"/>
            <w:tcBorders>
              <w:tl2br w:val="nil"/>
              <w:tr2bl w:val="nil"/>
            </w:tcBorders>
            <w:shd w:val="clear" w:color="auto" w:fill="auto"/>
            <w:vAlign w:val="center"/>
          </w:tcPr>
          <w:p w14:paraId="5F71CB28">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备注</w:t>
            </w:r>
          </w:p>
        </w:tc>
      </w:tr>
      <w:tr w14:paraId="0B7CC5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tcBorders>
              <w:tl2br w:val="nil"/>
              <w:tr2bl w:val="nil"/>
            </w:tcBorders>
            <w:shd w:val="clear" w:color="auto" w:fill="auto"/>
            <w:vAlign w:val="center"/>
          </w:tcPr>
          <w:p w14:paraId="4D286FA9">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p>
        </w:tc>
        <w:tc>
          <w:tcPr>
            <w:tcW w:w="7644" w:type="dxa"/>
            <w:gridSpan w:val="5"/>
            <w:tcBorders>
              <w:tl2br w:val="nil"/>
              <w:tr2bl w:val="nil"/>
            </w:tcBorders>
            <w:shd w:val="clear" w:color="auto" w:fill="auto"/>
            <w:vAlign w:val="center"/>
          </w:tcPr>
          <w:p w14:paraId="75405C62">
            <w:pPr>
              <w:widowControl/>
              <w:spacing w:line="240" w:lineRule="auto"/>
              <w:jc w:val="both"/>
              <w:rPr>
                <w:rFonts w:ascii="宋体" w:hAnsi="宋体" w:cs="宋体"/>
                <w:color w:val="auto"/>
                <w:kern w:val="0"/>
                <w:sz w:val="18"/>
                <w:szCs w:val="18"/>
                <w:highlight w:val="none"/>
              </w:rPr>
            </w:pPr>
            <w:r>
              <w:rPr>
                <w:rFonts w:hint="eastAsia" w:ascii="宋体" w:hAnsi="宋体" w:cs="宋体"/>
                <w:color w:val="auto"/>
                <w:sz w:val="18"/>
                <w:szCs w:val="18"/>
                <w:highlight w:val="none"/>
              </w:rPr>
              <w:t>微机型发电机保护装置</w:t>
            </w:r>
          </w:p>
        </w:tc>
      </w:tr>
      <w:tr w14:paraId="402DDC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0E7BDFC7">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1_1</w:t>
            </w:r>
          </w:p>
        </w:tc>
        <w:tc>
          <w:tcPr>
            <w:tcW w:w="2415" w:type="dxa"/>
            <w:vMerge w:val="restart"/>
            <w:tcBorders>
              <w:tl2br w:val="nil"/>
              <w:tr2bl w:val="nil"/>
            </w:tcBorders>
            <w:shd w:val="clear" w:color="auto" w:fill="auto"/>
            <w:vAlign w:val="center"/>
          </w:tcPr>
          <w:p w14:paraId="1994F7BC">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发电机差动保护</w:t>
            </w:r>
          </w:p>
        </w:tc>
        <w:tc>
          <w:tcPr>
            <w:tcW w:w="852" w:type="dxa"/>
            <w:vMerge w:val="restart"/>
            <w:tcBorders>
              <w:tl2br w:val="nil"/>
              <w:tr2bl w:val="nil"/>
            </w:tcBorders>
            <w:shd w:val="clear" w:color="auto" w:fill="auto"/>
            <w:vAlign w:val="center"/>
          </w:tcPr>
          <w:p w14:paraId="0FD91F40">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FDB8C60">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7D5BDA40">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27CCC2B">
            <w:pPr>
              <w:widowControl/>
              <w:spacing w:line="240" w:lineRule="auto"/>
              <w:jc w:val="center"/>
              <w:rPr>
                <w:rFonts w:ascii="宋体" w:hAnsi="宋体" w:cs="宋体"/>
                <w:color w:val="auto"/>
                <w:kern w:val="0"/>
                <w:sz w:val="18"/>
                <w:szCs w:val="18"/>
                <w:highlight w:val="none"/>
              </w:rPr>
            </w:pPr>
          </w:p>
        </w:tc>
      </w:tr>
      <w:tr w14:paraId="6CB872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3158B777">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7653E6F8">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40CB426D">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7DE2E09">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A96501D">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ADE3E34">
            <w:pPr>
              <w:widowControl/>
              <w:spacing w:line="240" w:lineRule="auto"/>
              <w:jc w:val="center"/>
              <w:rPr>
                <w:rFonts w:ascii="宋体" w:hAnsi="宋体" w:cs="宋体"/>
                <w:color w:val="auto"/>
                <w:kern w:val="0"/>
                <w:sz w:val="18"/>
                <w:szCs w:val="18"/>
                <w:highlight w:val="none"/>
              </w:rPr>
            </w:pPr>
          </w:p>
        </w:tc>
      </w:tr>
      <w:tr w14:paraId="7BBE16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1B10ED16">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3402978E">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3D97E1CB">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005B98F">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566933D7">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1C4C48F">
            <w:pPr>
              <w:widowControl/>
              <w:spacing w:line="240" w:lineRule="auto"/>
              <w:jc w:val="center"/>
              <w:rPr>
                <w:rFonts w:ascii="宋体" w:hAnsi="宋体" w:cs="宋体"/>
                <w:color w:val="auto"/>
                <w:kern w:val="0"/>
                <w:sz w:val="18"/>
                <w:szCs w:val="18"/>
                <w:highlight w:val="none"/>
              </w:rPr>
            </w:pPr>
          </w:p>
        </w:tc>
      </w:tr>
      <w:tr w14:paraId="5E6F78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37D5A486">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46C0BC54">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62132A03">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C9272F5">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570598E">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94A69BB">
            <w:pPr>
              <w:widowControl/>
              <w:spacing w:line="240" w:lineRule="auto"/>
              <w:jc w:val="center"/>
              <w:rPr>
                <w:rFonts w:ascii="宋体" w:hAnsi="宋体" w:cs="宋体"/>
                <w:color w:val="auto"/>
                <w:kern w:val="0"/>
                <w:sz w:val="18"/>
                <w:szCs w:val="18"/>
                <w:highlight w:val="none"/>
              </w:rPr>
            </w:pPr>
          </w:p>
        </w:tc>
      </w:tr>
      <w:tr w14:paraId="0817A8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5BCF64F3">
            <w:pPr>
              <w:widowControl/>
              <w:snapToGrid w:val="0"/>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1_2</w:t>
            </w:r>
          </w:p>
        </w:tc>
        <w:tc>
          <w:tcPr>
            <w:tcW w:w="2415" w:type="dxa"/>
            <w:vMerge w:val="restart"/>
            <w:tcBorders>
              <w:tl2br w:val="nil"/>
              <w:tr2bl w:val="nil"/>
            </w:tcBorders>
            <w:shd w:val="clear" w:color="auto" w:fill="auto"/>
            <w:vAlign w:val="center"/>
          </w:tcPr>
          <w:p w14:paraId="0367CFC6">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发电机负序电流保护</w:t>
            </w:r>
          </w:p>
        </w:tc>
        <w:tc>
          <w:tcPr>
            <w:tcW w:w="852" w:type="dxa"/>
            <w:vMerge w:val="restart"/>
            <w:tcBorders>
              <w:tl2br w:val="nil"/>
              <w:tr2bl w:val="nil"/>
            </w:tcBorders>
            <w:shd w:val="clear" w:color="auto" w:fill="auto"/>
            <w:vAlign w:val="center"/>
          </w:tcPr>
          <w:p w14:paraId="0F524324">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EC15542">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762A8B8E">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B3296D1">
            <w:pPr>
              <w:widowControl/>
              <w:spacing w:line="240" w:lineRule="auto"/>
              <w:jc w:val="center"/>
              <w:rPr>
                <w:rFonts w:ascii="宋体" w:hAnsi="宋体" w:cs="宋体"/>
                <w:color w:val="auto"/>
                <w:kern w:val="0"/>
                <w:sz w:val="18"/>
                <w:szCs w:val="18"/>
                <w:highlight w:val="none"/>
              </w:rPr>
            </w:pPr>
          </w:p>
        </w:tc>
      </w:tr>
      <w:tr w14:paraId="13C1CA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72D1FDFF">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710B3DAA">
            <w:pPr>
              <w:widowControl/>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63D9F979">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854F718">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43E62BD">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40B5DCA">
            <w:pPr>
              <w:widowControl/>
              <w:spacing w:line="240" w:lineRule="auto"/>
              <w:jc w:val="center"/>
              <w:rPr>
                <w:rFonts w:ascii="宋体" w:hAnsi="宋体" w:cs="宋体"/>
                <w:color w:val="auto"/>
                <w:kern w:val="0"/>
                <w:sz w:val="18"/>
                <w:szCs w:val="18"/>
                <w:highlight w:val="none"/>
              </w:rPr>
            </w:pPr>
          </w:p>
        </w:tc>
      </w:tr>
      <w:tr w14:paraId="44E89D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155FFDB5">
            <w:pPr>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1BBED47F">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31F74D20">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B80C014">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3B7608A8">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7418CA6">
            <w:pPr>
              <w:widowControl/>
              <w:spacing w:line="240" w:lineRule="auto"/>
              <w:jc w:val="center"/>
              <w:rPr>
                <w:rFonts w:ascii="宋体" w:hAnsi="宋体" w:cs="宋体"/>
                <w:color w:val="auto"/>
                <w:kern w:val="0"/>
                <w:sz w:val="18"/>
                <w:szCs w:val="18"/>
                <w:highlight w:val="none"/>
              </w:rPr>
            </w:pPr>
          </w:p>
        </w:tc>
      </w:tr>
      <w:tr w14:paraId="4E90EC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1FA567B1">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6DE9F046">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5F91DA49">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6762B50">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7A24CB7">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05D23D8">
            <w:pPr>
              <w:widowControl/>
              <w:spacing w:line="240" w:lineRule="auto"/>
              <w:jc w:val="center"/>
              <w:rPr>
                <w:rFonts w:ascii="宋体" w:hAnsi="宋体" w:cs="宋体"/>
                <w:color w:val="auto"/>
                <w:kern w:val="0"/>
                <w:sz w:val="18"/>
                <w:szCs w:val="18"/>
                <w:highlight w:val="none"/>
              </w:rPr>
            </w:pPr>
          </w:p>
        </w:tc>
      </w:tr>
      <w:tr w14:paraId="7B261A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4414B233">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1_3</w:t>
            </w:r>
          </w:p>
        </w:tc>
        <w:tc>
          <w:tcPr>
            <w:tcW w:w="2415" w:type="dxa"/>
            <w:vMerge w:val="restart"/>
            <w:tcBorders>
              <w:tl2br w:val="nil"/>
              <w:tr2bl w:val="nil"/>
            </w:tcBorders>
            <w:shd w:val="clear" w:color="auto" w:fill="auto"/>
            <w:vAlign w:val="center"/>
          </w:tcPr>
          <w:p w14:paraId="0BE48FF9">
            <w:pPr>
              <w:snapToGrid w:val="0"/>
              <w:spacing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发电机失磁保护</w:t>
            </w:r>
          </w:p>
        </w:tc>
        <w:tc>
          <w:tcPr>
            <w:tcW w:w="852" w:type="dxa"/>
            <w:vMerge w:val="restart"/>
            <w:tcBorders>
              <w:tl2br w:val="nil"/>
              <w:tr2bl w:val="nil"/>
            </w:tcBorders>
            <w:shd w:val="clear" w:color="auto" w:fill="auto"/>
            <w:vAlign w:val="center"/>
          </w:tcPr>
          <w:p w14:paraId="20D32CA1">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08540C0">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602555B1">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16A9F90">
            <w:pPr>
              <w:widowControl/>
              <w:spacing w:line="240" w:lineRule="auto"/>
              <w:jc w:val="center"/>
              <w:rPr>
                <w:rFonts w:ascii="宋体" w:hAnsi="宋体" w:cs="宋体"/>
                <w:color w:val="auto"/>
                <w:kern w:val="0"/>
                <w:sz w:val="18"/>
                <w:szCs w:val="18"/>
                <w:highlight w:val="none"/>
              </w:rPr>
            </w:pPr>
          </w:p>
        </w:tc>
      </w:tr>
      <w:tr w14:paraId="3BCBB4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65154C2C">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04E1D573">
            <w:pPr>
              <w:snapToGrid w:val="0"/>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6F40FF6C">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A1C48CE">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E509315">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20B6248">
            <w:pPr>
              <w:widowControl/>
              <w:spacing w:line="240" w:lineRule="auto"/>
              <w:jc w:val="center"/>
              <w:rPr>
                <w:rFonts w:ascii="宋体" w:hAnsi="宋体" w:cs="宋体"/>
                <w:color w:val="auto"/>
                <w:kern w:val="0"/>
                <w:sz w:val="18"/>
                <w:szCs w:val="18"/>
                <w:highlight w:val="none"/>
              </w:rPr>
            </w:pPr>
          </w:p>
        </w:tc>
      </w:tr>
      <w:tr w14:paraId="4A59EB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78D4314F">
            <w:pPr>
              <w:spacing w:line="240" w:lineRule="auto"/>
              <w:jc w:val="center"/>
              <w:rPr>
                <w:rFonts w:hint="eastAsia" w:ascii="宋体" w:hAnsi="宋体" w:cs="宋体"/>
                <w:color w:val="auto"/>
                <w:sz w:val="18"/>
                <w:szCs w:val="18"/>
                <w:highlight w:val="none"/>
              </w:rPr>
            </w:pPr>
          </w:p>
        </w:tc>
        <w:tc>
          <w:tcPr>
            <w:tcW w:w="2415" w:type="dxa"/>
            <w:vMerge w:val="continue"/>
            <w:tcBorders>
              <w:tl2br w:val="nil"/>
              <w:tr2bl w:val="nil"/>
            </w:tcBorders>
            <w:shd w:val="clear" w:color="auto" w:fill="auto"/>
            <w:vAlign w:val="center"/>
          </w:tcPr>
          <w:p w14:paraId="466E9F5F">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7EFC659D">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10CAADE">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71B9F97D">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0048F72">
            <w:pPr>
              <w:widowControl/>
              <w:spacing w:line="240" w:lineRule="auto"/>
              <w:jc w:val="center"/>
              <w:rPr>
                <w:rFonts w:ascii="宋体" w:hAnsi="宋体" w:cs="宋体"/>
                <w:color w:val="auto"/>
                <w:kern w:val="0"/>
                <w:sz w:val="18"/>
                <w:szCs w:val="18"/>
                <w:highlight w:val="none"/>
              </w:rPr>
            </w:pPr>
          </w:p>
        </w:tc>
      </w:tr>
      <w:tr w14:paraId="7154F4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11A4271D">
            <w:pPr>
              <w:spacing w:line="240" w:lineRule="auto"/>
              <w:jc w:val="center"/>
              <w:rPr>
                <w:rFonts w:hint="eastAsia" w:ascii="宋体" w:hAnsi="宋体" w:cs="宋体"/>
                <w:color w:val="auto"/>
                <w:sz w:val="18"/>
                <w:szCs w:val="18"/>
                <w:highlight w:val="none"/>
              </w:rPr>
            </w:pPr>
          </w:p>
        </w:tc>
        <w:tc>
          <w:tcPr>
            <w:tcW w:w="2415" w:type="dxa"/>
            <w:vMerge w:val="continue"/>
            <w:tcBorders>
              <w:tl2br w:val="nil"/>
              <w:tr2bl w:val="nil"/>
            </w:tcBorders>
            <w:shd w:val="clear" w:color="auto" w:fill="auto"/>
            <w:vAlign w:val="center"/>
          </w:tcPr>
          <w:p w14:paraId="3E086D7D">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716B7FDA">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BEBB0FA">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F1C49F9">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7FA0225">
            <w:pPr>
              <w:widowControl/>
              <w:spacing w:line="240" w:lineRule="auto"/>
              <w:jc w:val="center"/>
              <w:rPr>
                <w:rFonts w:ascii="宋体" w:hAnsi="宋体" w:cs="宋体"/>
                <w:color w:val="auto"/>
                <w:kern w:val="0"/>
                <w:sz w:val="18"/>
                <w:szCs w:val="18"/>
                <w:highlight w:val="none"/>
              </w:rPr>
            </w:pPr>
          </w:p>
        </w:tc>
      </w:tr>
      <w:tr w14:paraId="23B337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72CD657A">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1_4</w:t>
            </w:r>
          </w:p>
        </w:tc>
        <w:tc>
          <w:tcPr>
            <w:tcW w:w="2415" w:type="dxa"/>
            <w:vMerge w:val="restart"/>
            <w:tcBorders>
              <w:tl2br w:val="nil"/>
              <w:tr2bl w:val="nil"/>
            </w:tcBorders>
            <w:shd w:val="clear" w:color="auto" w:fill="auto"/>
            <w:vAlign w:val="center"/>
          </w:tcPr>
          <w:p w14:paraId="76ECDF3A">
            <w:pPr>
              <w:snapToGrid w:val="0"/>
              <w:spacing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发电机逆功率保护</w:t>
            </w:r>
          </w:p>
        </w:tc>
        <w:tc>
          <w:tcPr>
            <w:tcW w:w="852" w:type="dxa"/>
            <w:vMerge w:val="restart"/>
            <w:tcBorders>
              <w:tl2br w:val="nil"/>
              <w:tr2bl w:val="nil"/>
            </w:tcBorders>
            <w:shd w:val="clear" w:color="auto" w:fill="auto"/>
            <w:vAlign w:val="center"/>
          </w:tcPr>
          <w:p w14:paraId="3916537B">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D46282E">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18956AB6">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B1B8E71">
            <w:pPr>
              <w:widowControl/>
              <w:spacing w:line="240" w:lineRule="auto"/>
              <w:jc w:val="center"/>
              <w:rPr>
                <w:rFonts w:ascii="宋体" w:hAnsi="宋体" w:cs="宋体"/>
                <w:color w:val="auto"/>
                <w:kern w:val="0"/>
                <w:sz w:val="18"/>
                <w:szCs w:val="18"/>
                <w:highlight w:val="none"/>
              </w:rPr>
            </w:pPr>
          </w:p>
        </w:tc>
      </w:tr>
      <w:tr w14:paraId="271431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011C4DCF">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2B488055">
            <w:pPr>
              <w:snapToGrid w:val="0"/>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401B0B6F">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035E45F">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7C635CB">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4D2BB88">
            <w:pPr>
              <w:widowControl/>
              <w:spacing w:line="240" w:lineRule="auto"/>
              <w:jc w:val="center"/>
              <w:rPr>
                <w:rFonts w:ascii="宋体" w:hAnsi="宋体" w:cs="宋体"/>
                <w:color w:val="auto"/>
                <w:kern w:val="0"/>
                <w:sz w:val="18"/>
                <w:szCs w:val="18"/>
                <w:highlight w:val="none"/>
              </w:rPr>
            </w:pPr>
          </w:p>
        </w:tc>
      </w:tr>
      <w:tr w14:paraId="5CC762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74DECC29">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33C73C3E">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20804168">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54C9BC1">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7F596C79">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D945512">
            <w:pPr>
              <w:widowControl/>
              <w:spacing w:line="240" w:lineRule="auto"/>
              <w:jc w:val="center"/>
              <w:rPr>
                <w:rFonts w:ascii="宋体" w:hAnsi="宋体" w:cs="宋体"/>
                <w:color w:val="auto"/>
                <w:kern w:val="0"/>
                <w:sz w:val="18"/>
                <w:szCs w:val="18"/>
                <w:highlight w:val="none"/>
              </w:rPr>
            </w:pPr>
          </w:p>
        </w:tc>
      </w:tr>
      <w:tr w14:paraId="42D2FA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6B3ECC65">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15B2FD8F">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6768331E">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8F03450">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7FA634D">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4F33D95">
            <w:pPr>
              <w:widowControl/>
              <w:spacing w:line="240" w:lineRule="auto"/>
              <w:jc w:val="center"/>
              <w:rPr>
                <w:rFonts w:ascii="宋体" w:hAnsi="宋体" w:cs="宋体"/>
                <w:color w:val="auto"/>
                <w:kern w:val="0"/>
                <w:sz w:val="18"/>
                <w:szCs w:val="18"/>
                <w:highlight w:val="none"/>
              </w:rPr>
            </w:pPr>
          </w:p>
        </w:tc>
      </w:tr>
      <w:tr w14:paraId="727A80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385B3211">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1_5</w:t>
            </w:r>
          </w:p>
        </w:tc>
        <w:tc>
          <w:tcPr>
            <w:tcW w:w="2415" w:type="dxa"/>
            <w:vMerge w:val="restart"/>
            <w:tcBorders>
              <w:tl2br w:val="nil"/>
              <w:tr2bl w:val="nil"/>
            </w:tcBorders>
            <w:shd w:val="clear" w:color="auto" w:fill="auto"/>
            <w:vAlign w:val="center"/>
          </w:tcPr>
          <w:p w14:paraId="46E01F3C">
            <w:pPr>
              <w:snapToGrid w:val="0"/>
              <w:spacing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发电机过负荷保护</w:t>
            </w:r>
          </w:p>
        </w:tc>
        <w:tc>
          <w:tcPr>
            <w:tcW w:w="852" w:type="dxa"/>
            <w:vMerge w:val="restart"/>
            <w:tcBorders>
              <w:tl2br w:val="nil"/>
              <w:tr2bl w:val="nil"/>
            </w:tcBorders>
            <w:shd w:val="clear" w:color="auto" w:fill="auto"/>
            <w:vAlign w:val="center"/>
          </w:tcPr>
          <w:p w14:paraId="636BA6F4">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82E542A">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22C6A0B7">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2E5D154">
            <w:pPr>
              <w:widowControl/>
              <w:spacing w:line="240" w:lineRule="auto"/>
              <w:jc w:val="center"/>
              <w:rPr>
                <w:rFonts w:hint="eastAsia" w:ascii="宋体" w:hAnsi="宋体" w:cs="宋体"/>
                <w:color w:val="auto"/>
                <w:kern w:val="0"/>
                <w:sz w:val="18"/>
                <w:szCs w:val="18"/>
                <w:highlight w:val="none"/>
              </w:rPr>
            </w:pPr>
          </w:p>
        </w:tc>
      </w:tr>
      <w:tr w14:paraId="020317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4237E96E">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0E18A748">
            <w:pPr>
              <w:snapToGrid w:val="0"/>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13C9EE43">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600CDC9">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0268592">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7A82337">
            <w:pPr>
              <w:widowControl/>
              <w:spacing w:line="240" w:lineRule="auto"/>
              <w:jc w:val="center"/>
              <w:rPr>
                <w:rFonts w:hint="eastAsia" w:ascii="宋体" w:hAnsi="宋体" w:cs="宋体"/>
                <w:color w:val="auto"/>
                <w:kern w:val="0"/>
                <w:sz w:val="18"/>
                <w:szCs w:val="18"/>
                <w:highlight w:val="none"/>
              </w:rPr>
            </w:pPr>
          </w:p>
        </w:tc>
      </w:tr>
      <w:tr w14:paraId="593C10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7341E9EA">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0AC0297A">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099F3468">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1BAC2B2">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7902CD0B">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43B4611">
            <w:pPr>
              <w:widowControl/>
              <w:spacing w:line="240" w:lineRule="auto"/>
              <w:jc w:val="center"/>
              <w:rPr>
                <w:rFonts w:hint="eastAsia" w:ascii="宋体" w:hAnsi="宋体" w:cs="宋体"/>
                <w:color w:val="auto"/>
                <w:kern w:val="0"/>
                <w:sz w:val="18"/>
                <w:szCs w:val="18"/>
                <w:highlight w:val="none"/>
              </w:rPr>
            </w:pPr>
          </w:p>
        </w:tc>
      </w:tr>
      <w:tr w14:paraId="46454E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4D00D854">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10010697">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4C1C90B5">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BCFCF2A">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F7B92AE">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DB74833">
            <w:pPr>
              <w:widowControl/>
              <w:spacing w:line="240" w:lineRule="auto"/>
              <w:jc w:val="center"/>
              <w:rPr>
                <w:rFonts w:hint="eastAsia" w:ascii="宋体" w:hAnsi="宋体" w:cs="宋体"/>
                <w:color w:val="auto"/>
                <w:kern w:val="0"/>
                <w:sz w:val="18"/>
                <w:szCs w:val="18"/>
                <w:highlight w:val="none"/>
              </w:rPr>
            </w:pPr>
          </w:p>
        </w:tc>
      </w:tr>
      <w:tr w14:paraId="7C14F7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6D4D29A7">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1_</w:t>
            </w:r>
            <w:r>
              <w:rPr>
                <w:rFonts w:hint="eastAsia" w:ascii="宋体" w:hAnsi="宋体" w:cs="宋体"/>
                <w:color w:val="auto"/>
                <w:kern w:val="0"/>
                <w:sz w:val="18"/>
                <w:szCs w:val="18"/>
                <w:highlight w:val="none"/>
                <w:lang w:eastAsia="zh-CN"/>
              </w:rPr>
              <w:t>6</w:t>
            </w:r>
          </w:p>
        </w:tc>
        <w:tc>
          <w:tcPr>
            <w:tcW w:w="2415" w:type="dxa"/>
            <w:vMerge w:val="restart"/>
            <w:tcBorders>
              <w:tl2br w:val="nil"/>
              <w:tr2bl w:val="nil"/>
            </w:tcBorders>
            <w:shd w:val="clear" w:color="auto" w:fill="auto"/>
            <w:vAlign w:val="center"/>
          </w:tcPr>
          <w:p w14:paraId="34BD0BAD">
            <w:pPr>
              <w:snapToGrid w:val="0"/>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发电机定子接地保护</w:t>
            </w:r>
          </w:p>
        </w:tc>
        <w:tc>
          <w:tcPr>
            <w:tcW w:w="852" w:type="dxa"/>
            <w:vMerge w:val="restart"/>
            <w:tcBorders>
              <w:tl2br w:val="nil"/>
              <w:tr2bl w:val="nil"/>
            </w:tcBorders>
            <w:shd w:val="clear" w:color="auto" w:fill="auto"/>
            <w:vAlign w:val="center"/>
          </w:tcPr>
          <w:p w14:paraId="7AA20847">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560E0FA">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36F7A139">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55B812F">
            <w:pPr>
              <w:widowControl/>
              <w:spacing w:line="240" w:lineRule="auto"/>
              <w:jc w:val="center"/>
              <w:rPr>
                <w:rFonts w:hint="eastAsia" w:ascii="宋体" w:hAnsi="宋体" w:cs="宋体"/>
                <w:color w:val="auto"/>
                <w:kern w:val="0"/>
                <w:sz w:val="18"/>
                <w:szCs w:val="18"/>
                <w:highlight w:val="none"/>
              </w:rPr>
            </w:pPr>
          </w:p>
        </w:tc>
      </w:tr>
      <w:tr w14:paraId="4B1827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43333C9E">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4C41BE3F">
            <w:pPr>
              <w:snapToGrid w:val="0"/>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6A197970">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408CE48">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8E4576B">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CD7B3DD">
            <w:pPr>
              <w:widowControl/>
              <w:spacing w:line="240" w:lineRule="auto"/>
              <w:jc w:val="center"/>
              <w:rPr>
                <w:rFonts w:hint="eastAsia" w:ascii="宋体" w:hAnsi="宋体" w:cs="宋体"/>
                <w:color w:val="auto"/>
                <w:kern w:val="0"/>
                <w:sz w:val="18"/>
                <w:szCs w:val="18"/>
                <w:highlight w:val="none"/>
              </w:rPr>
            </w:pPr>
          </w:p>
        </w:tc>
      </w:tr>
      <w:tr w14:paraId="12B3B7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5993B7E9">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230A15BB">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4FD84FD8">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E667243">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772C8927">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C498A82">
            <w:pPr>
              <w:widowControl/>
              <w:spacing w:line="240" w:lineRule="auto"/>
              <w:jc w:val="center"/>
              <w:rPr>
                <w:rFonts w:hint="eastAsia" w:ascii="宋体" w:hAnsi="宋体" w:cs="宋体"/>
                <w:color w:val="auto"/>
                <w:kern w:val="0"/>
                <w:sz w:val="18"/>
                <w:szCs w:val="18"/>
                <w:highlight w:val="none"/>
              </w:rPr>
            </w:pPr>
          </w:p>
        </w:tc>
      </w:tr>
      <w:tr w14:paraId="2C68CC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0AE6169E">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24271B88">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021FFD0B">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3256DE0">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C60BBF8">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DD1F57E">
            <w:pPr>
              <w:widowControl/>
              <w:spacing w:line="240" w:lineRule="auto"/>
              <w:jc w:val="center"/>
              <w:rPr>
                <w:rFonts w:hint="eastAsia" w:ascii="宋体" w:hAnsi="宋体" w:cs="宋体"/>
                <w:color w:val="auto"/>
                <w:kern w:val="0"/>
                <w:sz w:val="18"/>
                <w:szCs w:val="18"/>
                <w:highlight w:val="none"/>
              </w:rPr>
            </w:pPr>
          </w:p>
        </w:tc>
      </w:tr>
      <w:tr w14:paraId="72EB3F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7E5AE0FA">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1_</w:t>
            </w:r>
            <w:r>
              <w:rPr>
                <w:rFonts w:hint="eastAsia" w:ascii="宋体" w:hAnsi="宋体" w:cs="宋体"/>
                <w:color w:val="auto"/>
                <w:kern w:val="0"/>
                <w:sz w:val="18"/>
                <w:szCs w:val="18"/>
                <w:highlight w:val="none"/>
                <w:lang w:eastAsia="zh-CN"/>
              </w:rPr>
              <w:t>7</w:t>
            </w:r>
          </w:p>
        </w:tc>
        <w:tc>
          <w:tcPr>
            <w:tcW w:w="2415" w:type="dxa"/>
            <w:vMerge w:val="restart"/>
            <w:tcBorders>
              <w:tl2br w:val="nil"/>
              <w:tr2bl w:val="nil"/>
            </w:tcBorders>
            <w:shd w:val="clear" w:color="auto" w:fill="auto"/>
            <w:vAlign w:val="center"/>
          </w:tcPr>
          <w:p w14:paraId="5AC676B7">
            <w:pPr>
              <w:snapToGrid w:val="0"/>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lang w:val="en-US" w:eastAsia="zh-CN"/>
              </w:rPr>
              <w:t>发电机频率</w:t>
            </w:r>
            <w:r>
              <w:rPr>
                <w:rFonts w:hint="eastAsia" w:ascii="宋体" w:hAnsi="宋体" w:cs="宋体"/>
                <w:color w:val="auto"/>
                <w:sz w:val="18"/>
                <w:szCs w:val="18"/>
                <w:highlight w:val="none"/>
              </w:rPr>
              <w:t>保护</w:t>
            </w:r>
          </w:p>
        </w:tc>
        <w:tc>
          <w:tcPr>
            <w:tcW w:w="852" w:type="dxa"/>
            <w:vMerge w:val="restart"/>
            <w:tcBorders>
              <w:tl2br w:val="nil"/>
              <w:tr2bl w:val="nil"/>
            </w:tcBorders>
            <w:shd w:val="clear" w:color="auto" w:fill="auto"/>
            <w:vAlign w:val="center"/>
          </w:tcPr>
          <w:p w14:paraId="7074DB7F">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1238444">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1329A6F3">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A76ABB5">
            <w:pPr>
              <w:widowControl/>
              <w:spacing w:line="240" w:lineRule="auto"/>
              <w:jc w:val="center"/>
              <w:rPr>
                <w:rFonts w:hint="eastAsia" w:ascii="宋体" w:hAnsi="宋体" w:cs="宋体"/>
                <w:color w:val="auto"/>
                <w:kern w:val="0"/>
                <w:sz w:val="18"/>
                <w:szCs w:val="18"/>
                <w:highlight w:val="none"/>
              </w:rPr>
            </w:pPr>
          </w:p>
        </w:tc>
      </w:tr>
      <w:tr w14:paraId="6D08FB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61281DB0">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0736715D">
            <w:pPr>
              <w:snapToGrid w:val="0"/>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7211DD0D">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F67F16A">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493E11F">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F2B87DB">
            <w:pPr>
              <w:widowControl/>
              <w:spacing w:line="240" w:lineRule="auto"/>
              <w:jc w:val="center"/>
              <w:rPr>
                <w:rFonts w:hint="eastAsia" w:ascii="宋体" w:hAnsi="宋体" w:cs="宋体"/>
                <w:color w:val="auto"/>
                <w:kern w:val="0"/>
                <w:sz w:val="18"/>
                <w:szCs w:val="18"/>
                <w:highlight w:val="none"/>
              </w:rPr>
            </w:pPr>
          </w:p>
        </w:tc>
      </w:tr>
      <w:tr w14:paraId="43FE93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2F1468FD">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720A4FA3">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0839614C">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A8D3954">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6B9532F1">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1E91005">
            <w:pPr>
              <w:widowControl/>
              <w:spacing w:line="240" w:lineRule="auto"/>
              <w:jc w:val="center"/>
              <w:rPr>
                <w:rFonts w:hint="eastAsia" w:ascii="宋体" w:hAnsi="宋体" w:cs="宋体"/>
                <w:color w:val="auto"/>
                <w:kern w:val="0"/>
                <w:sz w:val="18"/>
                <w:szCs w:val="18"/>
                <w:highlight w:val="none"/>
              </w:rPr>
            </w:pPr>
          </w:p>
        </w:tc>
      </w:tr>
      <w:tr w14:paraId="15BEE0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675C5C49">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570B68CB">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0959C85A">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EB14F4B">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CC7E381">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CC43F51">
            <w:pPr>
              <w:widowControl/>
              <w:spacing w:line="240" w:lineRule="auto"/>
              <w:jc w:val="center"/>
              <w:rPr>
                <w:rFonts w:hint="eastAsia" w:ascii="宋体" w:hAnsi="宋体" w:cs="宋体"/>
                <w:color w:val="auto"/>
                <w:kern w:val="0"/>
                <w:sz w:val="18"/>
                <w:szCs w:val="18"/>
                <w:highlight w:val="none"/>
              </w:rPr>
            </w:pPr>
          </w:p>
        </w:tc>
      </w:tr>
      <w:tr w14:paraId="227B64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44009FC6">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1_</w:t>
            </w:r>
            <w:r>
              <w:rPr>
                <w:rFonts w:hint="eastAsia" w:ascii="宋体" w:hAnsi="宋体" w:cs="宋体"/>
                <w:color w:val="auto"/>
                <w:kern w:val="0"/>
                <w:sz w:val="18"/>
                <w:szCs w:val="18"/>
                <w:highlight w:val="none"/>
                <w:lang w:eastAsia="zh-CN"/>
              </w:rPr>
              <w:t>8</w:t>
            </w:r>
          </w:p>
        </w:tc>
        <w:tc>
          <w:tcPr>
            <w:tcW w:w="2415" w:type="dxa"/>
            <w:vMerge w:val="restart"/>
            <w:tcBorders>
              <w:tl2br w:val="nil"/>
              <w:tr2bl w:val="nil"/>
            </w:tcBorders>
            <w:shd w:val="clear" w:color="auto" w:fill="auto"/>
            <w:vAlign w:val="center"/>
          </w:tcPr>
          <w:p w14:paraId="50FEFAF1">
            <w:pPr>
              <w:snapToGrid w:val="0"/>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发电机过激磁保护</w:t>
            </w:r>
          </w:p>
        </w:tc>
        <w:tc>
          <w:tcPr>
            <w:tcW w:w="852" w:type="dxa"/>
            <w:vMerge w:val="restart"/>
            <w:tcBorders>
              <w:tl2br w:val="nil"/>
              <w:tr2bl w:val="nil"/>
            </w:tcBorders>
            <w:shd w:val="clear" w:color="auto" w:fill="auto"/>
            <w:vAlign w:val="center"/>
          </w:tcPr>
          <w:p w14:paraId="1699F774">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010D2C4">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0664ED0A">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71B16CF">
            <w:pPr>
              <w:widowControl/>
              <w:spacing w:line="240" w:lineRule="auto"/>
              <w:jc w:val="center"/>
              <w:rPr>
                <w:rFonts w:hint="eastAsia" w:ascii="宋体" w:hAnsi="宋体" w:cs="宋体"/>
                <w:color w:val="auto"/>
                <w:kern w:val="0"/>
                <w:sz w:val="18"/>
                <w:szCs w:val="18"/>
                <w:highlight w:val="none"/>
              </w:rPr>
            </w:pPr>
          </w:p>
        </w:tc>
      </w:tr>
      <w:tr w14:paraId="678B77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7AF7B74D">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6534D61D">
            <w:pPr>
              <w:snapToGrid w:val="0"/>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4CBEE690">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2AA98CB">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DD2D699">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6E06BE0">
            <w:pPr>
              <w:widowControl/>
              <w:spacing w:line="240" w:lineRule="auto"/>
              <w:jc w:val="center"/>
              <w:rPr>
                <w:rFonts w:hint="eastAsia" w:ascii="宋体" w:hAnsi="宋体" w:cs="宋体"/>
                <w:color w:val="auto"/>
                <w:kern w:val="0"/>
                <w:sz w:val="18"/>
                <w:szCs w:val="18"/>
                <w:highlight w:val="none"/>
              </w:rPr>
            </w:pPr>
          </w:p>
        </w:tc>
      </w:tr>
      <w:tr w14:paraId="36FC2D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350B7718">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5357A50E">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1C03F710">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1D02F8D">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59BCD2F5">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0A4F6B2">
            <w:pPr>
              <w:widowControl/>
              <w:spacing w:line="240" w:lineRule="auto"/>
              <w:jc w:val="center"/>
              <w:rPr>
                <w:rFonts w:hint="eastAsia" w:ascii="宋体" w:hAnsi="宋体" w:cs="宋体"/>
                <w:color w:val="auto"/>
                <w:kern w:val="0"/>
                <w:sz w:val="18"/>
                <w:szCs w:val="18"/>
                <w:highlight w:val="none"/>
              </w:rPr>
            </w:pPr>
          </w:p>
        </w:tc>
      </w:tr>
      <w:tr w14:paraId="374A55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3A074D0E">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030EF20E">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795CB419">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F84E54E">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968F4F0">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F056730">
            <w:pPr>
              <w:widowControl/>
              <w:spacing w:line="240" w:lineRule="auto"/>
              <w:jc w:val="center"/>
              <w:rPr>
                <w:rFonts w:hint="eastAsia" w:ascii="宋体" w:hAnsi="宋体" w:cs="宋体"/>
                <w:color w:val="auto"/>
                <w:kern w:val="0"/>
                <w:sz w:val="18"/>
                <w:szCs w:val="18"/>
                <w:highlight w:val="none"/>
              </w:rPr>
            </w:pPr>
          </w:p>
        </w:tc>
      </w:tr>
      <w:tr w14:paraId="167D3B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27CD5F80">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1_</w:t>
            </w:r>
            <w:r>
              <w:rPr>
                <w:rFonts w:hint="eastAsia" w:ascii="宋体" w:hAnsi="宋体" w:cs="宋体"/>
                <w:color w:val="auto"/>
                <w:kern w:val="0"/>
                <w:sz w:val="18"/>
                <w:szCs w:val="18"/>
                <w:highlight w:val="none"/>
                <w:lang w:eastAsia="zh-CN"/>
              </w:rPr>
              <w:t>9</w:t>
            </w:r>
          </w:p>
        </w:tc>
        <w:tc>
          <w:tcPr>
            <w:tcW w:w="2415" w:type="dxa"/>
            <w:vMerge w:val="restart"/>
            <w:tcBorders>
              <w:tl2br w:val="nil"/>
              <w:tr2bl w:val="nil"/>
            </w:tcBorders>
            <w:shd w:val="clear" w:color="auto" w:fill="auto"/>
            <w:vAlign w:val="center"/>
          </w:tcPr>
          <w:p w14:paraId="2EDD7F62">
            <w:pPr>
              <w:snapToGrid w:val="0"/>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发电机过电压保护</w:t>
            </w:r>
          </w:p>
        </w:tc>
        <w:tc>
          <w:tcPr>
            <w:tcW w:w="852" w:type="dxa"/>
            <w:vMerge w:val="restart"/>
            <w:tcBorders>
              <w:tl2br w:val="nil"/>
              <w:tr2bl w:val="nil"/>
            </w:tcBorders>
            <w:shd w:val="clear" w:color="auto" w:fill="auto"/>
            <w:vAlign w:val="center"/>
          </w:tcPr>
          <w:p w14:paraId="26EF9535">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DCB0DE2">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53581299">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895D7F8">
            <w:pPr>
              <w:widowControl/>
              <w:spacing w:line="240" w:lineRule="auto"/>
              <w:jc w:val="center"/>
              <w:rPr>
                <w:rFonts w:hint="eastAsia" w:ascii="宋体" w:hAnsi="宋体" w:cs="宋体"/>
                <w:color w:val="auto"/>
                <w:kern w:val="0"/>
                <w:sz w:val="18"/>
                <w:szCs w:val="18"/>
                <w:highlight w:val="none"/>
              </w:rPr>
            </w:pPr>
          </w:p>
        </w:tc>
      </w:tr>
      <w:tr w14:paraId="24AB37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3E5E0ED1">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4CC3F211">
            <w:pPr>
              <w:snapToGrid w:val="0"/>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1AC65002">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63FE343">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BE800EC">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63B2186">
            <w:pPr>
              <w:widowControl/>
              <w:spacing w:line="240" w:lineRule="auto"/>
              <w:jc w:val="center"/>
              <w:rPr>
                <w:rFonts w:hint="eastAsia" w:ascii="宋体" w:hAnsi="宋体" w:cs="宋体"/>
                <w:color w:val="auto"/>
                <w:kern w:val="0"/>
                <w:sz w:val="18"/>
                <w:szCs w:val="18"/>
                <w:highlight w:val="none"/>
              </w:rPr>
            </w:pPr>
          </w:p>
        </w:tc>
      </w:tr>
      <w:tr w14:paraId="032115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7B809F62">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00BF7C42">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45065088">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CA5DCEC">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73123864">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961526D">
            <w:pPr>
              <w:widowControl/>
              <w:spacing w:line="240" w:lineRule="auto"/>
              <w:jc w:val="center"/>
              <w:rPr>
                <w:rFonts w:hint="eastAsia" w:ascii="宋体" w:hAnsi="宋体" w:cs="宋体"/>
                <w:color w:val="auto"/>
                <w:kern w:val="0"/>
                <w:sz w:val="18"/>
                <w:szCs w:val="18"/>
                <w:highlight w:val="none"/>
              </w:rPr>
            </w:pPr>
          </w:p>
        </w:tc>
      </w:tr>
      <w:tr w14:paraId="544456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53955C81">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24E274F9">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7906B71B">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7449DCC">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B5C9BE1">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54B3947">
            <w:pPr>
              <w:widowControl/>
              <w:spacing w:line="240" w:lineRule="auto"/>
              <w:jc w:val="center"/>
              <w:rPr>
                <w:rFonts w:hint="eastAsia" w:ascii="宋体" w:hAnsi="宋体" w:cs="宋体"/>
                <w:color w:val="auto"/>
                <w:kern w:val="0"/>
                <w:sz w:val="18"/>
                <w:szCs w:val="18"/>
                <w:highlight w:val="none"/>
              </w:rPr>
            </w:pPr>
          </w:p>
        </w:tc>
      </w:tr>
      <w:tr w14:paraId="6A4199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5E04A880">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1_1</w:t>
            </w:r>
            <w:r>
              <w:rPr>
                <w:rFonts w:hint="eastAsia" w:ascii="宋体" w:hAnsi="宋体" w:cs="宋体"/>
                <w:color w:val="auto"/>
                <w:kern w:val="0"/>
                <w:sz w:val="18"/>
                <w:szCs w:val="18"/>
                <w:highlight w:val="none"/>
                <w:lang w:eastAsia="zh-CN"/>
              </w:rPr>
              <w:t>0</w:t>
            </w:r>
          </w:p>
        </w:tc>
        <w:tc>
          <w:tcPr>
            <w:tcW w:w="2415" w:type="dxa"/>
            <w:vMerge w:val="restart"/>
            <w:tcBorders>
              <w:tl2br w:val="nil"/>
              <w:tr2bl w:val="nil"/>
            </w:tcBorders>
            <w:shd w:val="clear" w:color="auto" w:fill="auto"/>
            <w:vAlign w:val="center"/>
          </w:tcPr>
          <w:p w14:paraId="3F7DC8CE">
            <w:pPr>
              <w:snapToGrid w:val="0"/>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突加电压保护</w:t>
            </w:r>
          </w:p>
        </w:tc>
        <w:tc>
          <w:tcPr>
            <w:tcW w:w="852" w:type="dxa"/>
            <w:vMerge w:val="restart"/>
            <w:tcBorders>
              <w:tl2br w:val="nil"/>
              <w:tr2bl w:val="nil"/>
            </w:tcBorders>
            <w:shd w:val="clear" w:color="auto" w:fill="auto"/>
            <w:vAlign w:val="center"/>
          </w:tcPr>
          <w:p w14:paraId="2F0FDD45">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4129FFF">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5A9B140D">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3E651C1">
            <w:pPr>
              <w:widowControl/>
              <w:spacing w:line="240" w:lineRule="auto"/>
              <w:jc w:val="center"/>
              <w:rPr>
                <w:rFonts w:hint="eastAsia" w:ascii="宋体" w:hAnsi="宋体" w:cs="宋体"/>
                <w:color w:val="auto"/>
                <w:kern w:val="0"/>
                <w:sz w:val="18"/>
                <w:szCs w:val="18"/>
                <w:highlight w:val="none"/>
              </w:rPr>
            </w:pPr>
          </w:p>
        </w:tc>
      </w:tr>
      <w:tr w14:paraId="47AFDB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664CF833">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39D3F2BC">
            <w:pPr>
              <w:snapToGrid w:val="0"/>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2F161409">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3D264CE">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768DCAF">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4D2256F">
            <w:pPr>
              <w:widowControl/>
              <w:spacing w:line="240" w:lineRule="auto"/>
              <w:jc w:val="center"/>
              <w:rPr>
                <w:rFonts w:hint="eastAsia" w:ascii="宋体" w:hAnsi="宋体" w:cs="宋体"/>
                <w:color w:val="auto"/>
                <w:kern w:val="0"/>
                <w:sz w:val="18"/>
                <w:szCs w:val="18"/>
                <w:highlight w:val="none"/>
              </w:rPr>
            </w:pPr>
          </w:p>
        </w:tc>
      </w:tr>
      <w:tr w14:paraId="5B6DF1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338ED2C4">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6135CA0A">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48743E62">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23EAB01">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54044BA4">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49D3FF9">
            <w:pPr>
              <w:widowControl/>
              <w:spacing w:line="240" w:lineRule="auto"/>
              <w:jc w:val="center"/>
              <w:rPr>
                <w:rFonts w:hint="eastAsia" w:ascii="宋体" w:hAnsi="宋体" w:cs="宋体"/>
                <w:color w:val="auto"/>
                <w:kern w:val="0"/>
                <w:sz w:val="18"/>
                <w:szCs w:val="18"/>
                <w:highlight w:val="none"/>
              </w:rPr>
            </w:pPr>
          </w:p>
        </w:tc>
      </w:tr>
      <w:tr w14:paraId="2A01AE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2E0BFD91">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5A0EB01C">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521010F1">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90766E0">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6555A4A">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CC35AFB">
            <w:pPr>
              <w:widowControl/>
              <w:spacing w:line="240" w:lineRule="auto"/>
              <w:jc w:val="center"/>
              <w:rPr>
                <w:rFonts w:hint="eastAsia" w:ascii="宋体" w:hAnsi="宋体" w:cs="宋体"/>
                <w:color w:val="auto"/>
                <w:kern w:val="0"/>
                <w:sz w:val="18"/>
                <w:szCs w:val="18"/>
                <w:highlight w:val="none"/>
              </w:rPr>
            </w:pPr>
          </w:p>
        </w:tc>
      </w:tr>
      <w:tr w14:paraId="24C5E8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2D8734CE">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1_1</w:t>
            </w:r>
            <w:r>
              <w:rPr>
                <w:rFonts w:hint="eastAsia" w:ascii="宋体" w:hAnsi="宋体" w:cs="宋体"/>
                <w:color w:val="auto"/>
                <w:kern w:val="0"/>
                <w:sz w:val="18"/>
                <w:szCs w:val="18"/>
                <w:highlight w:val="none"/>
                <w:lang w:eastAsia="zh-CN"/>
              </w:rPr>
              <w:t>1</w:t>
            </w:r>
          </w:p>
        </w:tc>
        <w:tc>
          <w:tcPr>
            <w:tcW w:w="2415" w:type="dxa"/>
            <w:vMerge w:val="restart"/>
            <w:tcBorders>
              <w:tl2br w:val="nil"/>
              <w:tr2bl w:val="nil"/>
            </w:tcBorders>
            <w:shd w:val="clear" w:color="auto" w:fill="auto"/>
            <w:vAlign w:val="center"/>
          </w:tcPr>
          <w:p w14:paraId="3DE2062A">
            <w:pPr>
              <w:snapToGrid w:val="0"/>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发电机失步保护</w:t>
            </w:r>
          </w:p>
        </w:tc>
        <w:tc>
          <w:tcPr>
            <w:tcW w:w="852" w:type="dxa"/>
            <w:vMerge w:val="restart"/>
            <w:tcBorders>
              <w:tl2br w:val="nil"/>
              <w:tr2bl w:val="nil"/>
            </w:tcBorders>
            <w:shd w:val="clear" w:color="auto" w:fill="auto"/>
            <w:vAlign w:val="center"/>
          </w:tcPr>
          <w:p w14:paraId="4DEF93A6">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CA817EF">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0EE06777">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E560CDC">
            <w:pPr>
              <w:widowControl/>
              <w:spacing w:line="240" w:lineRule="auto"/>
              <w:jc w:val="center"/>
              <w:rPr>
                <w:rFonts w:hint="eastAsia" w:ascii="宋体" w:hAnsi="宋体" w:cs="宋体"/>
                <w:color w:val="auto"/>
                <w:kern w:val="0"/>
                <w:sz w:val="18"/>
                <w:szCs w:val="18"/>
                <w:highlight w:val="none"/>
              </w:rPr>
            </w:pPr>
          </w:p>
        </w:tc>
      </w:tr>
      <w:tr w14:paraId="3D59E0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11B9D94C">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1847DAF4">
            <w:pPr>
              <w:snapToGrid w:val="0"/>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03E437C6">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A2A6C79">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32CE31B">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A0A89CA">
            <w:pPr>
              <w:widowControl/>
              <w:spacing w:line="240" w:lineRule="auto"/>
              <w:jc w:val="center"/>
              <w:rPr>
                <w:rFonts w:hint="eastAsia" w:ascii="宋体" w:hAnsi="宋体" w:cs="宋体"/>
                <w:color w:val="auto"/>
                <w:kern w:val="0"/>
                <w:sz w:val="18"/>
                <w:szCs w:val="18"/>
                <w:highlight w:val="none"/>
              </w:rPr>
            </w:pPr>
          </w:p>
        </w:tc>
      </w:tr>
      <w:tr w14:paraId="65395F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144C0E60">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056E3980">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2FD86363">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DE445B5">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1C62C28B">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3E6ACAF">
            <w:pPr>
              <w:widowControl/>
              <w:spacing w:line="240" w:lineRule="auto"/>
              <w:jc w:val="center"/>
              <w:rPr>
                <w:rFonts w:hint="eastAsia" w:ascii="宋体" w:hAnsi="宋体" w:cs="宋体"/>
                <w:color w:val="auto"/>
                <w:kern w:val="0"/>
                <w:sz w:val="18"/>
                <w:szCs w:val="18"/>
                <w:highlight w:val="none"/>
              </w:rPr>
            </w:pPr>
          </w:p>
        </w:tc>
      </w:tr>
      <w:tr w14:paraId="579F5C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368D0080">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4427119D">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48ABAB92">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3EA865C">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2AFD60E">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A3D1A58">
            <w:pPr>
              <w:widowControl/>
              <w:spacing w:line="240" w:lineRule="auto"/>
              <w:jc w:val="center"/>
              <w:rPr>
                <w:rFonts w:hint="eastAsia" w:ascii="宋体" w:hAnsi="宋体" w:cs="宋体"/>
                <w:color w:val="auto"/>
                <w:kern w:val="0"/>
                <w:sz w:val="18"/>
                <w:szCs w:val="18"/>
                <w:highlight w:val="none"/>
              </w:rPr>
            </w:pPr>
          </w:p>
        </w:tc>
      </w:tr>
      <w:tr w14:paraId="1A51DA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0CC4E8CE">
            <w:pPr>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1_1</w:t>
            </w:r>
            <w:r>
              <w:rPr>
                <w:rFonts w:hint="eastAsia" w:ascii="宋体" w:hAnsi="宋体" w:cs="宋体"/>
                <w:color w:val="auto"/>
                <w:kern w:val="0"/>
                <w:sz w:val="18"/>
                <w:szCs w:val="18"/>
                <w:highlight w:val="none"/>
                <w:lang w:eastAsia="zh-CN"/>
              </w:rPr>
              <w:t>2</w:t>
            </w:r>
          </w:p>
        </w:tc>
        <w:tc>
          <w:tcPr>
            <w:tcW w:w="2415" w:type="dxa"/>
            <w:vMerge w:val="restart"/>
            <w:tcBorders>
              <w:tl2br w:val="nil"/>
              <w:tr2bl w:val="nil"/>
            </w:tcBorders>
            <w:shd w:val="clear" w:color="auto" w:fill="auto"/>
            <w:vAlign w:val="center"/>
          </w:tcPr>
          <w:p w14:paraId="11A2E9D1">
            <w:pPr>
              <w:snapToGrid w:val="0"/>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发电机定子匝间保护</w:t>
            </w:r>
          </w:p>
        </w:tc>
        <w:tc>
          <w:tcPr>
            <w:tcW w:w="852" w:type="dxa"/>
            <w:vMerge w:val="restart"/>
            <w:tcBorders>
              <w:tl2br w:val="nil"/>
              <w:tr2bl w:val="nil"/>
            </w:tcBorders>
            <w:shd w:val="clear" w:color="auto" w:fill="auto"/>
            <w:vAlign w:val="center"/>
          </w:tcPr>
          <w:p w14:paraId="03A22D0B">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10DD459">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58E133A5">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8F1A345">
            <w:pPr>
              <w:widowControl/>
              <w:spacing w:line="240" w:lineRule="auto"/>
              <w:jc w:val="center"/>
              <w:rPr>
                <w:rFonts w:hint="eastAsia" w:ascii="宋体" w:hAnsi="宋体" w:cs="宋体"/>
                <w:color w:val="auto"/>
                <w:kern w:val="0"/>
                <w:sz w:val="18"/>
                <w:szCs w:val="18"/>
                <w:highlight w:val="none"/>
              </w:rPr>
            </w:pPr>
          </w:p>
        </w:tc>
      </w:tr>
      <w:tr w14:paraId="1F0833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288A8723">
            <w:pPr>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35F826A4">
            <w:pPr>
              <w:snapToGrid w:val="0"/>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289C23CE">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64245A9">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3ABDB96">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3189A8E">
            <w:pPr>
              <w:widowControl/>
              <w:spacing w:line="240" w:lineRule="auto"/>
              <w:jc w:val="center"/>
              <w:rPr>
                <w:rFonts w:hint="eastAsia" w:ascii="宋体" w:hAnsi="宋体" w:cs="宋体"/>
                <w:color w:val="auto"/>
                <w:kern w:val="0"/>
                <w:sz w:val="18"/>
                <w:szCs w:val="18"/>
                <w:highlight w:val="none"/>
              </w:rPr>
            </w:pPr>
          </w:p>
        </w:tc>
      </w:tr>
      <w:tr w14:paraId="25F13D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31C314F2">
            <w:pPr>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14801B46">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0CF968B7">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E793B15">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56952BF9">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AE35D1B">
            <w:pPr>
              <w:widowControl/>
              <w:spacing w:line="240" w:lineRule="auto"/>
              <w:jc w:val="center"/>
              <w:rPr>
                <w:rFonts w:hint="eastAsia" w:ascii="宋体" w:hAnsi="宋体" w:cs="宋体"/>
                <w:color w:val="auto"/>
                <w:kern w:val="0"/>
                <w:sz w:val="18"/>
                <w:szCs w:val="18"/>
                <w:highlight w:val="none"/>
              </w:rPr>
            </w:pPr>
          </w:p>
        </w:tc>
      </w:tr>
      <w:tr w14:paraId="6D99FD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1802E90B">
            <w:pPr>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4A780DE1">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3BF83C5A">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0C643CE">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927E98C">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E7CB82A">
            <w:pPr>
              <w:widowControl/>
              <w:spacing w:line="240" w:lineRule="auto"/>
              <w:jc w:val="center"/>
              <w:rPr>
                <w:rFonts w:hint="eastAsia" w:ascii="宋体" w:hAnsi="宋体" w:cs="宋体"/>
                <w:color w:val="auto"/>
                <w:kern w:val="0"/>
                <w:sz w:val="18"/>
                <w:szCs w:val="18"/>
                <w:highlight w:val="none"/>
              </w:rPr>
            </w:pPr>
          </w:p>
        </w:tc>
      </w:tr>
      <w:tr w14:paraId="5933DA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5D2640A9">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1_</w:t>
            </w:r>
            <w:r>
              <w:rPr>
                <w:rFonts w:hint="eastAsia" w:ascii="宋体" w:hAnsi="宋体" w:cs="宋体"/>
                <w:color w:val="auto"/>
                <w:kern w:val="0"/>
                <w:sz w:val="18"/>
                <w:szCs w:val="18"/>
                <w:highlight w:val="none"/>
                <w:lang w:eastAsia="zh-CN"/>
              </w:rPr>
              <w:t>1</w:t>
            </w:r>
            <w:r>
              <w:rPr>
                <w:rFonts w:hint="eastAsia" w:ascii="宋体" w:hAnsi="宋体" w:cs="宋体"/>
                <w:color w:val="auto"/>
                <w:kern w:val="0"/>
                <w:sz w:val="18"/>
                <w:szCs w:val="18"/>
                <w:highlight w:val="none"/>
                <w:lang w:val="en-US" w:eastAsia="zh-CN"/>
              </w:rPr>
              <w:t>3</w:t>
            </w:r>
          </w:p>
        </w:tc>
        <w:tc>
          <w:tcPr>
            <w:tcW w:w="2415" w:type="dxa"/>
            <w:vMerge w:val="restart"/>
            <w:tcBorders>
              <w:tl2br w:val="nil"/>
              <w:tr2bl w:val="nil"/>
            </w:tcBorders>
            <w:shd w:val="clear" w:color="auto" w:fill="auto"/>
            <w:vAlign w:val="center"/>
          </w:tcPr>
          <w:p w14:paraId="16A3EA70">
            <w:pPr>
              <w:snapToGrid w:val="0"/>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发电机断路器失灵保护</w:t>
            </w:r>
          </w:p>
        </w:tc>
        <w:tc>
          <w:tcPr>
            <w:tcW w:w="852" w:type="dxa"/>
            <w:vMerge w:val="restart"/>
            <w:tcBorders>
              <w:tl2br w:val="nil"/>
              <w:tr2bl w:val="nil"/>
            </w:tcBorders>
            <w:shd w:val="clear" w:color="auto" w:fill="auto"/>
            <w:vAlign w:val="center"/>
          </w:tcPr>
          <w:p w14:paraId="7BA06B0F">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C1D7313">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69744737">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22533BE">
            <w:pPr>
              <w:widowControl/>
              <w:spacing w:line="240" w:lineRule="auto"/>
              <w:jc w:val="center"/>
              <w:rPr>
                <w:rFonts w:hint="eastAsia" w:ascii="宋体" w:hAnsi="宋体" w:cs="宋体"/>
                <w:color w:val="auto"/>
                <w:kern w:val="0"/>
                <w:sz w:val="18"/>
                <w:szCs w:val="18"/>
                <w:highlight w:val="none"/>
              </w:rPr>
            </w:pPr>
          </w:p>
        </w:tc>
      </w:tr>
      <w:tr w14:paraId="0F63F5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425D4187">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53ED7935">
            <w:pPr>
              <w:snapToGrid w:val="0"/>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74AFA812">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FC2A805">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FD96A1F">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A9512FE">
            <w:pPr>
              <w:widowControl/>
              <w:spacing w:line="240" w:lineRule="auto"/>
              <w:jc w:val="center"/>
              <w:rPr>
                <w:rFonts w:hint="eastAsia" w:ascii="宋体" w:hAnsi="宋体" w:cs="宋体"/>
                <w:color w:val="auto"/>
                <w:kern w:val="0"/>
                <w:sz w:val="18"/>
                <w:szCs w:val="18"/>
                <w:highlight w:val="none"/>
              </w:rPr>
            </w:pPr>
          </w:p>
        </w:tc>
      </w:tr>
      <w:tr w14:paraId="61158D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0587E049">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376DF134">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351C939D">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53BF4DF">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1AC5D718">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CF19ABF">
            <w:pPr>
              <w:widowControl/>
              <w:spacing w:line="240" w:lineRule="auto"/>
              <w:jc w:val="center"/>
              <w:rPr>
                <w:rFonts w:hint="eastAsia" w:ascii="宋体" w:hAnsi="宋体" w:cs="宋体"/>
                <w:color w:val="auto"/>
                <w:kern w:val="0"/>
                <w:sz w:val="18"/>
                <w:szCs w:val="18"/>
                <w:highlight w:val="none"/>
              </w:rPr>
            </w:pPr>
          </w:p>
        </w:tc>
      </w:tr>
      <w:tr w14:paraId="45D865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796674D8">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5B647837">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01D1181F">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3B5BE4E">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1804A9C">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7683141">
            <w:pPr>
              <w:widowControl/>
              <w:spacing w:line="240" w:lineRule="auto"/>
              <w:jc w:val="center"/>
              <w:rPr>
                <w:rFonts w:hint="eastAsia" w:ascii="宋体" w:hAnsi="宋体" w:cs="宋体"/>
                <w:color w:val="auto"/>
                <w:kern w:val="0"/>
                <w:sz w:val="18"/>
                <w:szCs w:val="18"/>
                <w:highlight w:val="none"/>
              </w:rPr>
            </w:pPr>
          </w:p>
        </w:tc>
      </w:tr>
      <w:tr w14:paraId="017BB5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0B1DDF48">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1_</w:t>
            </w:r>
            <w:r>
              <w:rPr>
                <w:rFonts w:hint="eastAsia" w:ascii="宋体" w:hAnsi="宋体" w:cs="宋体"/>
                <w:color w:val="auto"/>
                <w:kern w:val="0"/>
                <w:sz w:val="18"/>
                <w:szCs w:val="18"/>
                <w:highlight w:val="none"/>
                <w:lang w:eastAsia="zh-CN"/>
              </w:rPr>
              <w:t>1</w:t>
            </w:r>
            <w:r>
              <w:rPr>
                <w:rFonts w:hint="eastAsia" w:ascii="宋体" w:hAnsi="宋体" w:cs="宋体"/>
                <w:color w:val="auto"/>
                <w:kern w:val="0"/>
                <w:sz w:val="18"/>
                <w:szCs w:val="18"/>
                <w:highlight w:val="none"/>
                <w:lang w:val="en-US" w:eastAsia="zh-CN"/>
              </w:rPr>
              <w:t>4</w:t>
            </w:r>
          </w:p>
        </w:tc>
        <w:tc>
          <w:tcPr>
            <w:tcW w:w="2415" w:type="dxa"/>
            <w:vMerge w:val="restart"/>
            <w:tcBorders>
              <w:tl2br w:val="nil"/>
              <w:tr2bl w:val="nil"/>
            </w:tcBorders>
            <w:shd w:val="clear" w:color="auto" w:fill="auto"/>
            <w:vAlign w:val="center"/>
          </w:tcPr>
          <w:p w14:paraId="318B8007">
            <w:pPr>
              <w:snapToGrid w:val="0"/>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lang w:val="en-US" w:eastAsia="zh-CN"/>
              </w:rPr>
              <w:t>发电机启停机保护</w:t>
            </w:r>
          </w:p>
        </w:tc>
        <w:tc>
          <w:tcPr>
            <w:tcW w:w="852" w:type="dxa"/>
            <w:vMerge w:val="restart"/>
            <w:tcBorders>
              <w:tl2br w:val="nil"/>
              <w:tr2bl w:val="nil"/>
            </w:tcBorders>
            <w:shd w:val="clear" w:color="auto" w:fill="auto"/>
            <w:vAlign w:val="center"/>
          </w:tcPr>
          <w:p w14:paraId="6D27900D">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C215944">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0BC5BCD7">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9439540">
            <w:pPr>
              <w:widowControl/>
              <w:spacing w:line="240" w:lineRule="auto"/>
              <w:jc w:val="center"/>
              <w:rPr>
                <w:rFonts w:hint="eastAsia" w:ascii="宋体" w:hAnsi="宋体" w:cs="宋体"/>
                <w:color w:val="auto"/>
                <w:kern w:val="0"/>
                <w:sz w:val="18"/>
                <w:szCs w:val="18"/>
                <w:highlight w:val="none"/>
              </w:rPr>
            </w:pPr>
          </w:p>
        </w:tc>
      </w:tr>
      <w:tr w14:paraId="298094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619450ED">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58635F84">
            <w:pPr>
              <w:snapToGrid w:val="0"/>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35DCBF66">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E1EEEBF">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F16DCDD">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9C8188A">
            <w:pPr>
              <w:widowControl/>
              <w:spacing w:line="240" w:lineRule="auto"/>
              <w:jc w:val="center"/>
              <w:rPr>
                <w:rFonts w:hint="eastAsia" w:ascii="宋体" w:hAnsi="宋体" w:cs="宋体"/>
                <w:color w:val="auto"/>
                <w:kern w:val="0"/>
                <w:sz w:val="18"/>
                <w:szCs w:val="18"/>
                <w:highlight w:val="none"/>
              </w:rPr>
            </w:pPr>
          </w:p>
        </w:tc>
      </w:tr>
      <w:tr w14:paraId="5FD5EC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3743575D">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23EA61AB">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07FE5B02">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2C94A65">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7662746C">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A7493CF">
            <w:pPr>
              <w:widowControl/>
              <w:spacing w:line="240" w:lineRule="auto"/>
              <w:jc w:val="center"/>
              <w:rPr>
                <w:rFonts w:hint="eastAsia" w:ascii="宋体" w:hAnsi="宋体" w:cs="宋体"/>
                <w:color w:val="auto"/>
                <w:kern w:val="0"/>
                <w:sz w:val="18"/>
                <w:szCs w:val="18"/>
                <w:highlight w:val="none"/>
              </w:rPr>
            </w:pPr>
          </w:p>
        </w:tc>
      </w:tr>
      <w:tr w14:paraId="492A46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082ECFED">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3C0D0CC0">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529D7632">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42178E6">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ACAEF5F">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E53672F">
            <w:pPr>
              <w:widowControl/>
              <w:spacing w:line="240" w:lineRule="auto"/>
              <w:jc w:val="center"/>
              <w:rPr>
                <w:rFonts w:hint="eastAsia" w:ascii="宋体" w:hAnsi="宋体" w:cs="宋体"/>
                <w:color w:val="auto"/>
                <w:kern w:val="0"/>
                <w:sz w:val="18"/>
                <w:szCs w:val="18"/>
                <w:highlight w:val="none"/>
              </w:rPr>
            </w:pPr>
          </w:p>
        </w:tc>
      </w:tr>
      <w:tr w14:paraId="66C816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6EE97206">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1_</w:t>
            </w:r>
            <w:r>
              <w:rPr>
                <w:rFonts w:hint="eastAsia" w:ascii="宋体" w:hAnsi="宋体" w:cs="宋体"/>
                <w:color w:val="auto"/>
                <w:kern w:val="0"/>
                <w:sz w:val="18"/>
                <w:szCs w:val="18"/>
                <w:highlight w:val="none"/>
                <w:lang w:eastAsia="zh-CN"/>
              </w:rPr>
              <w:t>1</w:t>
            </w:r>
            <w:r>
              <w:rPr>
                <w:rFonts w:hint="eastAsia" w:ascii="宋体" w:hAnsi="宋体" w:cs="宋体"/>
                <w:color w:val="auto"/>
                <w:kern w:val="0"/>
                <w:sz w:val="18"/>
                <w:szCs w:val="18"/>
                <w:highlight w:val="none"/>
                <w:lang w:val="en-US" w:eastAsia="zh-CN"/>
              </w:rPr>
              <w:t>5</w:t>
            </w:r>
          </w:p>
        </w:tc>
        <w:tc>
          <w:tcPr>
            <w:tcW w:w="2415" w:type="dxa"/>
            <w:vMerge w:val="restart"/>
            <w:tcBorders>
              <w:tl2br w:val="nil"/>
              <w:tr2bl w:val="nil"/>
            </w:tcBorders>
            <w:shd w:val="clear" w:color="auto" w:fill="auto"/>
            <w:vAlign w:val="center"/>
          </w:tcPr>
          <w:p w14:paraId="0D60A606">
            <w:pPr>
              <w:snapToGrid w:val="0"/>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lang w:val="en-US" w:eastAsia="zh-CN"/>
              </w:rPr>
              <w:t>发电机阻抗保护</w:t>
            </w:r>
          </w:p>
        </w:tc>
        <w:tc>
          <w:tcPr>
            <w:tcW w:w="852" w:type="dxa"/>
            <w:vMerge w:val="restart"/>
            <w:tcBorders>
              <w:tl2br w:val="nil"/>
              <w:tr2bl w:val="nil"/>
            </w:tcBorders>
            <w:shd w:val="clear" w:color="auto" w:fill="auto"/>
            <w:vAlign w:val="center"/>
          </w:tcPr>
          <w:p w14:paraId="3F386207">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6412998">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17BE407B">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15A983A">
            <w:pPr>
              <w:widowControl/>
              <w:spacing w:line="240" w:lineRule="auto"/>
              <w:jc w:val="center"/>
              <w:rPr>
                <w:rFonts w:hint="eastAsia" w:ascii="宋体" w:hAnsi="宋体" w:cs="宋体"/>
                <w:color w:val="auto"/>
                <w:kern w:val="0"/>
                <w:sz w:val="18"/>
                <w:szCs w:val="18"/>
                <w:highlight w:val="none"/>
              </w:rPr>
            </w:pPr>
          </w:p>
        </w:tc>
      </w:tr>
      <w:tr w14:paraId="77BE7F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5A656E0C">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4D4A1559">
            <w:pPr>
              <w:snapToGrid w:val="0"/>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12D7EAB9">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33845B4">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8F20427">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EF7977E">
            <w:pPr>
              <w:widowControl/>
              <w:spacing w:line="240" w:lineRule="auto"/>
              <w:jc w:val="center"/>
              <w:rPr>
                <w:rFonts w:hint="eastAsia" w:ascii="宋体" w:hAnsi="宋体" w:cs="宋体"/>
                <w:color w:val="auto"/>
                <w:kern w:val="0"/>
                <w:sz w:val="18"/>
                <w:szCs w:val="18"/>
                <w:highlight w:val="none"/>
              </w:rPr>
            </w:pPr>
          </w:p>
        </w:tc>
      </w:tr>
      <w:tr w14:paraId="3ECB28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73E1AC13">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6D697E30">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3A4AF987">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857D7AD">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718D3F83">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F0BF94F">
            <w:pPr>
              <w:widowControl/>
              <w:spacing w:line="240" w:lineRule="auto"/>
              <w:jc w:val="center"/>
              <w:rPr>
                <w:rFonts w:hint="eastAsia" w:ascii="宋体" w:hAnsi="宋体" w:cs="宋体"/>
                <w:color w:val="auto"/>
                <w:kern w:val="0"/>
                <w:sz w:val="18"/>
                <w:szCs w:val="18"/>
                <w:highlight w:val="none"/>
              </w:rPr>
            </w:pPr>
          </w:p>
        </w:tc>
      </w:tr>
      <w:tr w14:paraId="169226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730D8695">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1B84515A">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34845C25">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330C055">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1AB75D5">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38071CC">
            <w:pPr>
              <w:widowControl/>
              <w:spacing w:line="240" w:lineRule="auto"/>
              <w:jc w:val="center"/>
              <w:rPr>
                <w:rFonts w:hint="eastAsia" w:ascii="宋体" w:hAnsi="宋体" w:cs="宋体"/>
                <w:color w:val="auto"/>
                <w:kern w:val="0"/>
                <w:sz w:val="18"/>
                <w:szCs w:val="18"/>
                <w:highlight w:val="none"/>
              </w:rPr>
            </w:pPr>
          </w:p>
        </w:tc>
      </w:tr>
      <w:tr w14:paraId="1DB896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115AFDF8">
            <w:pPr>
              <w:widowControl w:val="0"/>
              <w:snapToGrid w:val="0"/>
              <w:spacing w:line="240" w:lineRule="auto"/>
              <w:jc w:val="center"/>
              <w:rPr>
                <w:rFonts w:ascii="宋体" w:hAnsi="宋体" w:cs="宋体"/>
                <w:color w:val="auto"/>
                <w:kern w:val="0"/>
                <w:sz w:val="18"/>
                <w:szCs w:val="18"/>
                <w:highlight w:val="none"/>
              </w:rPr>
            </w:pPr>
            <w:r>
              <w:rPr>
                <w:rFonts w:hint="eastAsia" w:ascii="宋体" w:hAnsi="宋体" w:cs="宋体"/>
                <w:color w:val="auto"/>
                <w:kern w:val="2"/>
                <w:sz w:val="18"/>
                <w:szCs w:val="18"/>
                <w:highlight w:val="none"/>
              </w:rPr>
              <w:t>1_</w:t>
            </w:r>
            <w:r>
              <w:rPr>
                <w:rFonts w:hint="eastAsia" w:ascii="宋体" w:hAnsi="宋体" w:cs="宋体"/>
                <w:color w:val="auto"/>
                <w:kern w:val="2"/>
                <w:sz w:val="18"/>
                <w:szCs w:val="18"/>
                <w:highlight w:val="none"/>
                <w:lang w:eastAsia="zh-CN"/>
              </w:rPr>
              <w:t>1</w:t>
            </w:r>
            <w:r>
              <w:rPr>
                <w:rFonts w:hint="eastAsia" w:ascii="宋体" w:hAnsi="宋体" w:cs="宋体"/>
                <w:color w:val="auto"/>
                <w:kern w:val="2"/>
                <w:sz w:val="18"/>
                <w:szCs w:val="18"/>
                <w:highlight w:val="none"/>
                <w:lang w:val="en-US" w:eastAsia="zh-CN"/>
              </w:rPr>
              <w:t>6</w:t>
            </w:r>
          </w:p>
        </w:tc>
        <w:tc>
          <w:tcPr>
            <w:tcW w:w="2415" w:type="dxa"/>
            <w:vMerge w:val="restart"/>
            <w:tcBorders>
              <w:tl2br w:val="nil"/>
              <w:tr2bl w:val="nil"/>
            </w:tcBorders>
            <w:shd w:val="clear" w:color="auto" w:fill="auto"/>
            <w:vAlign w:val="center"/>
          </w:tcPr>
          <w:p w14:paraId="50229498">
            <w:pPr>
              <w:snapToGrid/>
              <w:spacing w:line="240" w:lineRule="auto"/>
              <w:jc w:val="center"/>
              <w:rPr>
                <w:rFonts w:ascii="宋体" w:hAnsi="宋体" w:cs="宋体"/>
                <w:color w:val="auto"/>
                <w:kern w:val="0"/>
                <w:sz w:val="18"/>
                <w:szCs w:val="18"/>
                <w:highlight w:val="none"/>
              </w:rPr>
            </w:pPr>
            <w:r>
              <w:rPr>
                <w:rFonts w:hint="eastAsia" w:ascii="宋体" w:hAnsi="宋体" w:cs="宋体"/>
                <w:b w:val="0"/>
                <w:color w:val="auto"/>
                <w:spacing w:val="0"/>
                <w:sz w:val="18"/>
                <w:szCs w:val="18"/>
                <w:highlight w:val="none"/>
                <w:lang w:val="en-US" w:eastAsia="zh-CN"/>
              </w:rPr>
              <w:t>发电机复合电压</w:t>
            </w:r>
            <w:r>
              <w:rPr>
                <w:rFonts w:hint="eastAsia" w:ascii="宋体" w:hAnsi="宋体" w:cs="宋体"/>
                <w:b w:val="0"/>
                <w:color w:val="auto"/>
                <w:spacing w:val="0"/>
                <w:sz w:val="18"/>
                <w:szCs w:val="18"/>
                <w:highlight w:val="none"/>
              </w:rPr>
              <w:t>闭锁过电流保护</w:t>
            </w:r>
          </w:p>
        </w:tc>
        <w:tc>
          <w:tcPr>
            <w:tcW w:w="852" w:type="dxa"/>
            <w:vMerge w:val="restart"/>
            <w:tcBorders>
              <w:tl2br w:val="nil"/>
              <w:tr2bl w:val="nil"/>
            </w:tcBorders>
            <w:shd w:val="clear" w:color="auto" w:fill="auto"/>
            <w:vAlign w:val="center"/>
          </w:tcPr>
          <w:p w14:paraId="27B0AF09">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3D3C68B">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7EEBC065">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DF22B74">
            <w:pPr>
              <w:widowControl/>
              <w:spacing w:line="240" w:lineRule="auto"/>
              <w:jc w:val="center"/>
              <w:rPr>
                <w:rFonts w:hint="eastAsia" w:ascii="宋体" w:hAnsi="宋体" w:cs="宋体"/>
                <w:color w:val="auto"/>
                <w:kern w:val="0"/>
                <w:sz w:val="18"/>
                <w:szCs w:val="18"/>
                <w:highlight w:val="none"/>
              </w:rPr>
            </w:pPr>
          </w:p>
        </w:tc>
      </w:tr>
      <w:tr w14:paraId="7E1F22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1B524C63">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374ABF85">
            <w:pPr>
              <w:snapToGrid w:val="0"/>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029E69BC">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F335DDA">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D1711D8">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40141E5">
            <w:pPr>
              <w:widowControl/>
              <w:spacing w:line="240" w:lineRule="auto"/>
              <w:jc w:val="center"/>
              <w:rPr>
                <w:rFonts w:hint="eastAsia" w:ascii="宋体" w:hAnsi="宋体" w:cs="宋体"/>
                <w:color w:val="auto"/>
                <w:kern w:val="0"/>
                <w:sz w:val="18"/>
                <w:szCs w:val="18"/>
                <w:highlight w:val="none"/>
              </w:rPr>
            </w:pPr>
          </w:p>
        </w:tc>
      </w:tr>
      <w:tr w14:paraId="004613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358B048A">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2150428C">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49F3E4FE">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362E9EB">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060A8931">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9FEB5E8">
            <w:pPr>
              <w:widowControl/>
              <w:spacing w:line="240" w:lineRule="auto"/>
              <w:jc w:val="center"/>
              <w:rPr>
                <w:rFonts w:hint="eastAsia" w:ascii="宋体" w:hAnsi="宋体" w:cs="宋体"/>
                <w:color w:val="auto"/>
                <w:kern w:val="0"/>
                <w:sz w:val="18"/>
                <w:szCs w:val="18"/>
                <w:highlight w:val="none"/>
              </w:rPr>
            </w:pPr>
          </w:p>
        </w:tc>
      </w:tr>
      <w:tr w14:paraId="2A14C7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11DF979D">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728647C0">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7DF87A27">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DE65960">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DB5AE6B">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5289A34">
            <w:pPr>
              <w:widowControl/>
              <w:spacing w:line="240" w:lineRule="auto"/>
              <w:jc w:val="center"/>
              <w:rPr>
                <w:rFonts w:hint="eastAsia" w:ascii="宋体" w:hAnsi="宋体" w:cs="宋体"/>
                <w:color w:val="auto"/>
                <w:kern w:val="0"/>
                <w:sz w:val="18"/>
                <w:szCs w:val="18"/>
                <w:highlight w:val="none"/>
              </w:rPr>
            </w:pPr>
          </w:p>
        </w:tc>
      </w:tr>
      <w:tr w14:paraId="18E916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5A988F86">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1_</w:t>
            </w:r>
            <w:r>
              <w:rPr>
                <w:rFonts w:hint="eastAsia" w:ascii="宋体" w:hAnsi="宋体" w:cs="宋体"/>
                <w:color w:val="auto"/>
                <w:kern w:val="0"/>
                <w:sz w:val="18"/>
                <w:szCs w:val="18"/>
                <w:highlight w:val="none"/>
                <w:lang w:eastAsia="zh-CN"/>
              </w:rPr>
              <w:t>1</w:t>
            </w:r>
            <w:r>
              <w:rPr>
                <w:rFonts w:hint="eastAsia" w:ascii="宋体" w:hAnsi="宋体" w:cs="宋体"/>
                <w:color w:val="auto"/>
                <w:kern w:val="0"/>
                <w:sz w:val="18"/>
                <w:szCs w:val="18"/>
                <w:highlight w:val="none"/>
                <w:lang w:val="en-US" w:eastAsia="zh-CN"/>
              </w:rPr>
              <w:t>7</w:t>
            </w:r>
          </w:p>
        </w:tc>
        <w:tc>
          <w:tcPr>
            <w:tcW w:w="2415" w:type="dxa"/>
            <w:vMerge w:val="restart"/>
            <w:tcBorders>
              <w:tl2br w:val="nil"/>
              <w:tr2bl w:val="nil"/>
            </w:tcBorders>
            <w:shd w:val="clear" w:color="auto" w:fill="auto"/>
            <w:vAlign w:val="center"/>
          </w:tcPr>
          <w:p w14:paraId="46BB03E6">
            <w:pPr>
              <w:snapToGrid w:val="0"/>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lang w:val="en-US" w:eastAsia="zh-CN"/>
              </w:rPr>
              <w:t>发电机误上电</w:t>
            </w:r>
            <w:r>
              <w:rPr>
                <w:rFonts w:hint="eastAsia" w:ascii="宋体" w:hAnsi="宋体" w:cs="宋体"/>
                <w:color w:val="auto"/>
                <w:sz w:val="18"/>
                <w:szCs w:val="18"/>
                <w:highlight w:val="none"/>
              </w:rPr>
              <w:t>保护</w:t>
            </w:r>
          </w:p>
        </w:tc>
        <w:tc>
          <w:tcPr>
            <w:tcW w:w="852" w:type="dxa"/>
            <w:vMerge w:val="restart"/>
            <w:tcBorders>
              <w:tl2br w:val="nil"/>
              <w:tr2bl w:val="nil"/>
            </w:tcBorders>
            <w:shd w:val="clear" w:color="auto" w:fill="auto"/>
            <w:vAlign w:val="center"/>
          </w:tcPr>
          <w:p w14:paraId="51EDD0E3">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DEE3474">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306768F4">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4D3D90D">
            <w:pPr>
              <w:widowControl/>
              <w:spacing w:line="240" w:lineRule="auto"/>
              <w:jc w:val="center"/>
              <w:rPr>
                <w:rFonts w:hint="eastAsia" w:ascii="宋体" w:hAnsi="宋体" w:cs="宋体"/>
                <w:color w:val="auto"/>
                <w:kern w:val="0"/>
                <w:sz w:val="18"/>
                <w:szCs w:val="18"/>
                <w:highlight w:val="none"/>
              </w:rPr>
            </w:pPr>
          </w:p>
        </w:tc>
      </w:tr>
      <w:tr w14:paraId="18F786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6FC1274B">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00CF954E">
            <w:pPr>
              <w:snapToGrid w:val="0"/>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1C37FD97">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411D3D5">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B5A4AB4">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679E3EA">
            <w:pPr>
              <w:widowControl/>
              <w:spacing w:line="240" w:lineRule="auto"/>
              <w:jc w:val="center"/>
              <w:rPr>
                <w:rFonts w:hint="eastAsia" w:ascii="宋体" w:hAnsi="宋体" w:cs="宋体"/>
                <w:color w:val="auto"/>
                <w:kern w:val="0"/>
                <w:sz w:val="18"/>
                <w:szCs w:val="18"/>
                <w:highlight w:val="none"/>
              </w:rPr>
            </w:pPr>
          </w:p>
        </w:tc>
      </w:tr>
      <w:tr w14:paraId="056899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04B6B2E0">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67E68C7A">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4DDE1FF0">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15BF8CD">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6883D196">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B0969EC">
            <w:pPr>
              <w:widowControl/>
              <w:spacing w:line="240" w:lineRule="auto"/>
              <w:jc w:val="center"/>
              <w:rPr>
                <w:rFonts w:hint="eastAsia" w:ascii="宋体" w:hAnsi="宋体" w:cs="宋体"/>
                <w:color w:val="auto"/>
                <w:kern w:val="0"/>
                <w:sz w:val="18"/>
                <w:szCs w:val="18"/>
                <w:highlight w:val="none"/>
              </w:rPr>
            </w:pPr>
          </w:p>
        </w:tc>
      </w:tr>
      <w:tr w14:paraId="4A80AB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3EBEF0FB">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77F2C9F2">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76EDC73F">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253E1DA">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B104B74">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744AC2D">
            <w:pPr>
              <w:widowControl/>
              <w:spacing w:line="240" w:lineRule="auto"/>
              <w:jc w:val="center"/>
              <w:rPr>
                <w:rFonts w:hint="eastAsia" w:ascii="宋体" w:hAnsi="宋体" w:cs="宋体"/>
                <w:color w:val="auto"/>
                <w:kern w:val="0"/>
                <w:sz w:val="18"/>
                <w:szCs w:val="18"/>
                <w:highlight w:val="none"/>
              </w:rPr>
            </w:pPr>
          </w:p>
        </w:tc>
      </w:tr>
      <w:tr w14:paraId="29F6DA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511D222D">
            <w:pPr>
              <w:widowControl/>
              <w:spacing w:line="240" w:lineRule="auto"/>
              <w:jc w:val="center"/>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1_</w:t>
            </w:r>
            <w:r>
              <w:rPr>
                <w:rFonts w:hint="eastAsia" w:ascii="宋体" w:hAnsi="宋体" w:cs="宋体"/>
                <w:color w:val="auto"/>
                <w:kern w:val="0"/>
                <w:sz w:val="18"/>
                <w:szCs w:val="18"/>
                <w:highlight w:val="none"/>
                <w:lang w:eastAsia="zh-CN"/>
              </w:rPr>
              <w:t>1</w:t>
            </w:r>
            <w:r>
              <w:rPr>
                <w:rFonts w:hint="eastAsia" w:ascii="宋体" w:hAnsi="宋体" w:cs="宋体"/>
                <w:color w:val="auto"/>
                <w:kern w:val="0"/>
                <w:sz w:val="18"/>
                <w:szCs w:val="18"/>
                <w:highlight w:val="none"/>
                <w:lang w:val="en-US" w:eastAsia="zh-CN"/>
              </w:rPr>
              <w:t>8</w:t>
            </w:r>
          </w:p>
        </w:tc>
        <w:tc>
          <w:tcPr>
            <w:tcW w:w="2415" w:type="dxa"/>
            <w:vMerge w:val="restart"/>
            <w:tcBorders>
              <w:tl2br w:val="nil"/>
              <w:tr2bl w:val="nil"/>
            </w:tcBorders>
            <w:shd w:val="clear" w:color="auto" w:fill="auto"/>
            <w:vAlign w:val="center"/>
          </w:tcPr>
          <w:p w14:paraId="4D65DBA2">
            <w:pPr>
              <w:snapToGrid w:val="0"/>
              <w:spacing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lang w:val="en-US" w:eastAsia="zh-CN"/>
              </w:rPr>
              <w:t>发电机非电量</w:t>
            </w:r>
            <w:r>
              <w:rPr>
                <w:rFonts w:hint="eastAsia" w:ascii="宋体" w:hAnsi="宋体" w:cs="宋体"/>
                <w:color w:val="auto"/>
                <w:sz w:val="18"/>
                <w:szCs w:val="18"/>
                <w:highlight w:val="none"/>
              </w:rPr>
              <w:t>保护</w:t>
            </w:r>
          </w:p>
        </w:tc>
        <w:tc>
          <w:tcPr>
            <w:tcW w:w="852" w:type="dxa"/>
            <w:vMerge w:val="restart"/>
            <w:tcBorders>
              <w:tl2br w:val="nil"/>
              <w:tr2bl w:val="nil"/>
            </w:tcBorders>
            <w:shd w:val="clear" w:color="auto" w:fill="auto"/>
            <w:vAlign w:val="center"/>
          </w:tcPr>
          <w:p w14:paraId="29C87D81">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0232492">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5A93852F">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FE0D204">
            <w:pPr>
              <w:widowControl/>
              <w:spacing w:line="240" w:lineRule="auto"/>
              <w:jc w:val="center"/>
              <w:rPr>
                <w:rFonts w:hint="eastAsia" w:ascii="宋体" w:hAnsi="宋体" w:cs="宋体"/>
                <w:color w:val="auto"/>
                <w:kern w:val="0"/>
                <w:sz w:val="18"/>
                <w:szCs w:val="18"/>
                <w:highlight w:val="none"/>
              </w:rPr>
            </w:pPr>
          </w:p>
        </w:tc>
      </w:tr>
      <w:tr w14:paraId="08773F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3BA99792">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1234E690">
            <w:pPr>
              <w:snapToGrid w:val="0"/>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0B41D3DB">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ABB389A">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74D67A6">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A36AF43">
            <w:pPr>
              <w:widowControl/>
              <w:spacing w:line="240" w:lineRule="auto"/>
              <w:jc w:val="center"/>
              <w:rPr>
                <w:rFonts w:hint="eastAsia" w:ascii="宋体" w:hAnsi="宋体" w:cs="宋体"/>
                <w:color w:val="auto"/>
                <w:kern w:val="0"/>
                <w:sz w:val="18"/>
                <w:szCs w:val="18"/>
                <w:highlight w:val="none"/>
              </w:rPr>
            </w:pPr>
          </w:p>
        </w:tc>
      </w:tr>
      <w:tr w14:paraId="0B338D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39F73A02">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40C569C0">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2BD4E69B">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878A8CD">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3591297F">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184EFE0">
            <w:pPr>
              <w:widowControl/>
              <w:spacing w:line="240" w:lineRule="auto"/>
              <w:jc w:val="center"/>
              <w:rPr>
                <w:rFonts w:hint="eastAsia" w:ascii="宋体" w:hAnsi="宋体" w:cs="宋体"/>
                <w:color w:val="auto"/>
                <w:kern w:val="0"/>
                <w:sz w:val="18"/>
                <w:szCs w:val="18"/>
                <w:highlight w:val="none"/>
              </w:rPr>
            </w:pPr>
          </w:p>
        </w:tc>
      </w:tr>
      <w:tr w14:paraId="00FF7F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7AA8FD69">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6FF9F746">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49EEEE8F">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9E0F399">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56745B1">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F12C800">
            <w:pPr>
              <w:widowControl/>
              <w:spacing w:line="240" w:lineRule="auto"/>
              <w:jc w:val="center"/>
              <w:rPr>
                <w:rFonts w:hint="eastAsia" w:ascii="宋体" w:hAnsi="宋体" w:cs="宋体"/>
                <w:color w:val="auto"/>
                <w:kern w:val="0"/>
                <w:sz w:val="18"/>
                <w:szCs w:val="18"/>
                <w:highlight w:val="none"/>
              </w:rPr>
            </w:pPr>
          </w:p>
        </w:tc>
      </w:tr>
      <w:tr w14:paraId="6B7955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tcBorders>
              <w:tl2br w:val="nil"/>
              <w:tr2bl w:val="nil"/>
            </w:tcBorders>
            <w:shd w:val="clear" w:color="auto" w:fill="auto"/>
            <w:vAlign w:val="center"/>
          </w:tcPr>
          <w:p w14:paraId="1CE2FF7F">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7644" w:type="dxa"/>
            <w:gridSpan w:val="5"/>
            <w:tcBorders>
              <w:tl2br w:val="nil"/>
              <w:tr2bl w:val="nil"/>
            </w:tcBorders>
            <w:shd w:val="clear" w:color="auto" w:fill="auto"/>
            <w:vAlign w:val="center"/>
          </w:tcPr>
          <w:p w14:paraId="078E383F">
            <w:pPr>
              <w:widowControl/>
              <w:spacing w:line="240" w:lineRule="auto"/>
              <w:jc w:val="both"/>
              <w:rPr>
                <w:rFonts w:hint="eastAsia" w:ascii="宋体" w:hAnsi="宋体" w:cs="宋体"/>
                <w:color w:val="auto"/>
                <w:kern w:val="0"/>
                <w:sz w:val="18"/>
                <w:szCs w:val="18"/>
                <w:highlight w:val="none"/>
              </w:rPr>
            </w:pPr>
            <w:r>
              <w:rPr>
                <w:rFonts w:hint="eastAsia" w:ascii="宋体" w:hAnsi="宋体" w:cs="宋体"/>
                <w:color w:val="auto"/>
                <w:sz w:val="18"/>
                <w:szCs w:val="18"/>
                <w:highlight w:val="none"/>
              </w:rPr>
              <w:t>微机型励磁变保护装置</w:t>
            </w:r>
          </w:p>
        </w:tc>
      </w:tr>
      <w:tr w14:paraId="59DC6E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440F57B3">
            <w:pPr>
              <w:widowControl/>
              <w:spacing w:line="240" w:lineRule="auto"/>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2_1</w:t>
            </w:r>
          </w:p>
        </w:tc>
        <w:tc>
          <w:tcPr>
            <w:tcW w:w="2415" w:type="dxa"/>
            <w:vMerge w:val="restart"/>
            <w:tcBorders>
              <w:tl2br w:val="nil"/>
              <w:tr2bl w:val="nil"/>
            </w:tcBorders>
            <w:shd w:val="clear" w:color="auto" w:fill="auto"/>
            <w:vAlign w:val="center"/>
          </w:tcPr>
          <w:p w14:paraId="541BD471">
            <w:pPr>
              <w:snapToGrid w:val="0"/>
              <w:spacing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励磁变</w:t>
            </w:r>
            <w:r>
              <w:rPr>
                <w:rFonts w:hint="eastAsia" w:ascii="宋体" w:hAnsi="宋体" w:cs="宋体"/>
                <w:color w:val="auto"/>
                <w:sz w:val="18"/>
                <w:szCs w:val="18"/>
                <w:highlight w:val="none"/>
                <w:lang w:val="en-US" w:eastAsia="zh-CN"/>
              </w:rPr>
              <w:t>差动</w:t>
            </w:r>
            <w:r>
              <w:rPr>
                <w:rFonts w:hint="eastAsia" w:ascii="宋体" w:hAnsi="宋体" w:cs="宋体"/>
                <w:color w:val="auto"/>
                <w:sz w:val="18"/>
                <w:szCs w:val="18"/>
                <w:highlight w:val="none"/>
              </w:rPr>
              <w:t>保护</w:t>
            </w:r>
          </w:p>
        </w:tc>
        <w:tc>
          <w:tcPr>
            <w:tcW w:w="852" w:type="dxa"/>
            <w:vMerge w:val="restart"/>
            <w:tcBorders>
              <w:tl2br w:val="nil"/>
              <w:tr2bl w:val="nil"/>
            </w:tcBorders>
            <w:shd w:val="clear" w:color="auto" w:fill="auto"/>
            <w:vAlign w:val="center"/>
          </w:tcPr>
          <w:p w14:paraId="69D6F8EC">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05D76D1">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2BB258CE">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8A251CD">
            <w:pPr>
              <w:widowControl/>
              <w:spacing w:line="240" w:lineRule="auto"/>
              <w:jc w:val="center"/>
              <w:rPr>
                <w:rFonts w:hint="eastAsia" w:ascii="宋体" w:hAnsi="宋体" w:cs="宋体"/>
                <w:color w:val="auto"/>
                <w:kern w:val="0"/>
                <w:sz w:val="18"/>
                <w:szCs w:val="18"/>
                <w:highlight w:val="none"/>
              </w:rPr>
            </w:pPr>
          </w:p>
        </w:tc>
      </w:tr>
      <w:tr w14:paraId="205068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6720F135">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14790BCA">
            <w:pPr>
              <w:snapToGrid w:val="0"/>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46D37BBD">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5CD80D4">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C29D780">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6209DDF">
            <w:pPr>
              <w:widowControl/>
              <w:spacing w:line="240" w:lineRule="auto"/>
              <w:jc w:val="center"/>
              <w:rPr>
                <w:rFonts w:hint="eastAsia" w:ascii="宋体" w:hAnsi="宋体" w:cs="宋体"/>
                <w:color w:val="auto"/>
                <w:kern w:val="0"/>
                <w:sz w:val="18"/>
                <w:szCs w:val="18"/>
                <w:highlight w:val="none"/>
              </w:rPr>
            </w:pPr>
          </w:p>
        </w:tc>
      </w:tr>
      <w:tr w14:paraId="1A4C7B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3EBC229F">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10804AF4">
            <w:pPr>
              <w:widowControl/>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12467C16">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9FA8D6E">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013906F9">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9E35AE2">
            <w:pPr>
              <w:widowControl/>
              <w:spacing w:line="240" w:lineRule="auto"/>
              <w:jc w:val="center"/>
              <w:rPr>
                <w:rFonts w:hint="eastAsia" w:ascii="宋体" w:hAnsi="宋体" w:cs="宋体"/>
                <w:color w:val="auto"/>
                <w:kern w:val="0"/>
                <w:sz w:val="18"/>
                <w:szCs w:val="18"/>
                <w:highlight w:val="none"/>
              </w:rPr>
            </w:pPr>
          </w:p>
        </w:tc>
      </w:tr>
      <w:tr w14:paraId="5B86E9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6ABC1651">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402D2659">
            <w:pPr>
              <w:widowControl/>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7EF43AB8">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C6F5A14">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40A3E28">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17A985C">
            <w:pPr>
              <w:widowControl/>
              <w:spacing w:line="240" w:lineRule="auto"/>
              <w:jc w:val="center"/>
              <w:rPr>
                <w:rFonts w:hint="eastAsia" w:ascii="宋体" w:hAnsi="宋体" w:cs="宋体"/>
                <w:color w:val="auto"/>
                <w:kern w:val="0"/>
                <w:sz w:val="18"/>
                <w:szCs w:val="18"/>
                <w:highlight w:val="none"/>
              </w:rPr>
            </w:pPr>
          </w:p>
        </w:tc>
      </w:tr>
      <w:tr w14:paraId="107B4B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0A4D5325">
            <w:pPr>
              <w:widowControl/>
              <w:spacing w:line="240" w:lineRule="auto"/>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rPr>
              <w:t>2_</w:t>
            </w:r>
            <w:r>
              <w:rPr>
                <w:rFonts w:hint="eastAsia" w:ascii="宋体" w:hAnsi="宋体" w:cs="宋体"/>
                <w:color w:val="auto"/>
                <w:kern w:val="0"/>
                <w:sz w:val="18"/>
                <w:szCs w:val="18"/>
                <w:highlight w:val="none"/>
                <w:lang w:val="en-US" w:eastAsia="zh-CN"/>
              </w:rPr>
              <w:t>2</w:t>
            </w:r>
          </w:p>
        </w:tc>
        <w:tc>
          <w:tcPr>
            <w:tcW w:w="2415" w:type="dxa"/>
            <w:vMerge w:val="restart"/>
            <w:tcBorders>
              <w:tl2br w:val="nil"/>
              <w:tr2bl w:val="nil"/>
            </w:tcBorders>
            <w:shd w:val="clear" w:color="auto" w:fill="auto"/>
            <w:vAlign w:val="center"/>
          </w:tcPr>
          <w:p w14:paraId="59159EF7">
            <w:pPr>
              <w:snapToGrid w:val="0"/>
              <w:spacing w:line="240" w:lineRule="auto"/>
              <w:jc w:val="center"/>
              <w:rPr>
                <w:rFonts w:hint="eastAsia" w:ascii="宋体" w:hAnsi="宋体" w:cs="宋体"/>
                <w:color w:val="auto"/>
                <w:sz w:val="18"/>
                <w:szCs w:val="18"/>
                <w:highlight w:val="none"/>
              </w:rPr>
            </w:pPr>
            <w:r>
              <w:rPr>
                <w:rFonts w:hint="eastAsia" w:ascii="宋体" w:hAnsi="宋体" w:eastAsia="宋体" w:cs="宋体"/>
                <w:color w:val="auto"/>
                <w:sz w:val="18"/>
                <w:szCs w:val="18"/>
                <w:highlight w:val="none"/>
              </w:rPr>
              <w:t>励磁变</w:t>
            </w:r>
            <w:r>
              <w:rPr>
                <w:rFonts w:hint="eastAsia" w:ascii="宋体" w:hAnsi="宋体" w:eastAsia="宋体" w:cs="宋体"/>
                <w:color w:val="auto"/>
                <w:sz w:val="18"/>
                <w:szCs w:val="18"/>
                <w:highlight w:val="none"/>
                <w:lang w:val="en-US" w:eastAsia="zh-CN"/>
              </w:rPr>
              <w:t>速断</w:t>
            </w:r>
            <w:r>
              <w:rPr>
                <w:rFonts w:hint="eastAsia" w:ascii="宋体" w:hAnsi="宋体" w:eastAsia="宋体" w:cs="宋体"/>
                <w:color w:val="auto"/>
                <w:sz w:val="18"/>
                <w:szCs w:val="18"/>
                <w:highlight w:val="none"/>
              </w:rPr>
              <w:t>保护</w:t>
            </w:r>
          </w:p>
        </w:tc>
        <w:tc>
          <w:tcPr>
            <w:tcW w:w="852" w:type="dxa"/>
            <w:vMerge w:val="restart"/>
            <w:tcBorders>
              <w:tl2br w:val="nil"/>
              <w:tr2bl w:val="nil"/>
            </w:tcBorders>
            <w:shd w:val="clear" w:color="auto" w:fill="auto"/>
            <w:vAlign w:val="center"/>
          </w:tcPr>
          <w:p w14:paraId="654A36C8">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64CB70E">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565CAE72">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9DF5E53">
            <w:pPr>
              <w:widowControl/>
              <w:spacing w:line="240" w:lineRule="auto"/>
              <w:jc w:val="center"/>
              <w:rPr>
                <w:rFonts w:hint="eastAsia" w:ascii="宋体" w:hAnsi="宋体" w:cs="宋体"/>
                <w:color w:val="auto"/>
                <w:kern w:val="0"/>
                <w:sz w:val="18"/>
                <w:szCs w:val="18"/>
                <w:highlight w:val="none"/>
              </w:rPr>
            </w:pPr>
          </w:p>
        </w:tc>
      </w:tr>
      <w:tr w14:paraId="57CDE2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19595327">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5F76C372">
            <w:pPr>
              <w:snapToGrid w:val="0"/>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6511F2EA">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84B0F8F">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03E7967">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4274333">
            <w:pPr>
              <w:widowControl/>
              <w:spacing w:line="240" w:lineRule="auto"/>
              <w:jc w:val="center"/>
              <w:rPr>
                <w:rFonts w:hint="eastAsia" w:ascii="宋体" w:hAnsi="宋体" w:cs="宋体"/>
                <w:color w:val="auto"/>
                <w:kern w:val="0"/>
                <w:sz w:val="18"/>
                <w:szCs w:val="18"/>
                <w:highlight w:val="none"/>
              </w:rPr>
            </w:pPr>
          </w:p>
        </w:tc>
      </w:tr>
      <w:tr w14:paraId="7BF2CB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5F48F031">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473AF6BB">
            <w:pPr>
              <w:widowControl/>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669322C8">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7D7FE8D">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23C03E83">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5FE370D">
            <w:pPr>
              <w:widowControl/>
              <w:spacing w:line="240" w:lineRule="auto"/>
              <w:jc w:val="center"/>
              <w:rPr>
                <w:rFonts w:hint="eastAsia" w:ascii="宋体" w:hAnsi="宋体" w:cs="宋体"/>
                <w:color w:val="auto"/>
                <w:kern w:val="0"/>
                <w:sz w:val="18"/>
                <w:szCs w:val="18"/>
                <w:highlight w:val="none"/>
              </w:rPr>
            </w:pPr>
          </w:p>
        </w:tc>
      </w:tr>
      <w:tr w14:paraId="6CD6CE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23D55EB5">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45917FED">
            <w:pPr>
              <w:widowControl/>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187BC50D">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2D70CB2">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1D8FFA6">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2A708FF">
            <w:pPr>
              <w:widowControl/>
              <w:spacing w:line="240" w:lineRule="auto"/>
              <w:jc w:val="center"/>
              <w:rPr>
                <w:rFonts w:hint="eastAsia" w:ascii="宋体" w:hAnsi="宋体" w:cs="宋体"/>
                <w:color w:val="auto"/>
                <w:kern w:val="0"/>
                <w:sz w:val="18"/>
                <w:szCs w:val="18"/>
                <w:highlight w:val="none"/>
              </w:rPr>
            </w:pPr>
          </w:p>
        </w:tc>
      </w:tr>
      <w:tr w14:paraId="5F11B7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7717DD11">
            <w:pPr>
              <w:widowControl/>
              <w:spacing w:line="240" w:lineRule="auto"/>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2_</w:t>
            </w:r>
            <w:r>
              <w:rPr>
                <w:rFonts w:hint="eastAsia" w:ascii="宋体" w:hAnsi="宋体" w:cs="宋体"/>
                <w:color w:val="auto"/>
                <w:kern w:val="0"/>
                <w:sz w:val="18"/>
                <w:szCs w:val="18"/>
                <w:highlight w:val="none"/>
                <w:lang w:val="en-US" w:eastAsia="zh-CN"/>
              </w:rPr>
              <w:t>3</w:t>
            </w:r>
          </w:p>
        </w:tc>
        <w:tc>
          <w:tcPr>
            <w:tcW w:w="2415" w:type="dxa"/>
            <w:vMerge w:val="restart"/>
            <w:tcBorders>
              <w:tl2br w:val="nil"/>
              <w:tr2bl w:val="nil"/>
            </w:tcBorders>
            <w:shd w:val="clear" w:color="auto" w:fill="auto"/>
            <w:vAlign w:val="center"/>
          </w:tcPr>
          <w:p w14:paraId="4E5FE151">
            <w:pPr>
              <w:snapToGrid w:val="0"/>
              <w:spacing w:line="240" w:lineRule="auto"/>
              <w:jc w:val="center"/>
              <w:rPr>
                <w:rFonts w:hint="eastAsia" w:ascii="宋体" w:hAnsi="宋体" w:cs="宋体"/>
                <w:color w:val="auto"/>
                <w:sz w:val="18"/>
                <w:szCs w:val="18"/>
                <w:highlight w:val="none"/>
              </w:rPr>
            </w:pPr>
            <w:r>
              <w:rPr>
                <w:rFonts w:hint="eastAsia" w:ascii="宋体" w:hAnsi="宋体" w:eastAsia="宋体" w:cs="宋体"/>
                <w:color w:val="auto"/>
                <w:sz w:val="18"/>
                <w:szCs w:val="18"/>
                <w:highlight w:val="none"/>
              </w:rPr>
              <w:t>励磁变</w:t>
            </w:r>
            <w:r>
              <w:rPr>
                <w:rFonts w:hint="eastAsia" w:ascii="宋体" w:hAnsi="宋体" w:eastAsia="宋体" w:cs="宋体"/>
                <w:color w:val="auto"/>
                <w:sz w:val="18"/>
                <w:szCs w:val="18"/>
                <w:highlight w:val="none"/>
                <w:lang w:val="en-US" w:eastAsia="zh-CN"/>
              </w:rPr>
              <w:t>过流</w:t>
            </w:r>
            <w:r>
              <w:rPr>
                <w:rFonts w:hint="eastAsia" w:ascii="宋体" w:hAnsi="宋体" w:eastAsia="宋体" w:cs="宋体"/>
                <w:color w:val="auto"/>
                <w:sz w:val="18"/>
                <w:szCs w:val="18"/>
                <w:highlight w:val="none"/>
              </w:rPr>
              <w:t>保护</w:t>
            </w:r>
          </w:p>
        </w:tc>
        <w:tc>
          <w:tcPr>
            <w:tcW w:w="852" w:type="dxa"/>
            <w:vMerge w:val="restart"/>
            <w:tcBorders>
              <w:tl2br w:val="nil"/>
              <w:tr2bl w:val="nil"/>
            </w:tcBorders>
            <w:shd w:val="clear" w:color="auto" w:fill="auto"/>
            <w:vAlign w:val="center"/>
          </w:tcPr>
          <w:p w14:paraId="2498F458">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74B4E7F">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1C56486E">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0DF4A6D">
            <w:pPr>
              <w:widowControl/>
              <w:spacing w:line="240" w:lineRule="auto"/>
              <w:jc w:val="center"/>
              <w:rPr>
                <w:rFonts w:hint="eastAsia" w:ascii="宋体" w:hAnsi="宋体" w:cs="宋体"/>
                <w:color w:val="auto"/>
                <w:kern w:val="0"/>
                <w:sz w:val="18"/>
                <w:szCs w:val="18"/>
                <w:highlight w:val="none"/>
              </w:rPr>
            </w:pPr>
          </w:p>
        </w:tc>
      </w:tr>
      <w:tr w14:paraId="04A32A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3A75AA10">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7FB9A4F4">
            <w:pPr>
              <w:snapToGrid w:val="0"/>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5A99424F">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BA9413F">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1C050E7">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FDE1F4B">
            <w:pPr>
              <w:widowControl/>
              <w:spacing w:line="240" w:lineRule="auto"/>
              <w:jc w:val="center"/>
              <w:rPr>
                <w:rFonts w:hint="eastAsia" w:ascii="宋体" w:hAnsi="宋体" w:cs="宋体"/>
                <w:color w:val="auto"/>
                <w:kern w:val="0"/>
                <w:sz w:val="18"/>
                <w:szCs w:val="18"/>
                <w:highlight w:val="none"/>
              </w:rPr>
            </w:pPr>
          </w:p>
        </w:tc>
      </w:tr>
      <w:tr w14:paraId="218CD9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15175C42">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56BE9CB5">
            <w:pPr>
              <w:widowControl/>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44A09DBD">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5A68CF2">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29C41156">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EBB14A0">
            <w:pPr>
              <w:widowControl/>
              <w:spacing w:line="240" w:lineRule="auto"/>
              <w:jc w:val="center"/>
              <w:rPr>
                <w:rFonts w:hint="eastAsia" w:ascii="宋体" w:hAnsi="宋体" w:cs="宋体"/>
                <w:color w:val="auto"/>
                <w:kern w:val="0"/>
                <w:sz w:val="18"/>
                <w:szCs w:val="18"/>
                <w:highlight w:val="none"/>
              </w:rPr>
            </w:pPr>
          </w:p>
        </w:tc>
      </w:tr>
      <w:tr w14:paraId="5D9042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3CC5ECAC">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2918CEE6">
            <w:pPr>
              <w:widowControl/>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3EE438FE">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63E294E">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DA0719E">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BEEED12">
            <w:pPr>
              <w:widowControl/>
              <w:spacing w:line="240" w:lineRule="auto"/>
              <w:jc w:val="center"/>
              <w:rPr>
                <w:rFonts w:hint="eastAsia" w:ascii="宋体" w:hAnsi="宋体" w:cs="宋体"/>
                <w:color w:val="auto"/>
                <w:kern w:val="0"/>
                <w:sz w:val="18"/>
                <w:szCs w:val="18"/>
                <w:highlight w:val="none"/>
              </w:rPr>
            </w:pPr>
          </w:p>
        </w:tc>
      </w:tr>
      <w:tr w14:paraId="033D13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0C56634A">
            <w:pPr>
              <w:widowControl/>
              <w:spacing w:line="240" w:lineRule="auto"/>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rPr>
              <w:t>2_</w:t>
            </w:r>
            <w:r>
              <w:rPr>
                <w:rFonts w:hint="eastAsia" w:ascii="宋体" w:hAnsi="宋体" w:cs="宋体"/>
                <w:color w:val="auto"/>
                <w:kern w:val="0"/>
                <w:sz w:val="18"/>
                <w:szCs w:val="18"/>
                <w:highlight w:val="none"/>
                <w:lang w:val="en-US" w:eastAsia="zh-CN"/>
              </w:rPr>
              <w:t>4</w:t>
            </w:r>
          </w:p>
        </w:tc>
        <w:tc>
          <w:tcPr>
            <w:tcW w:w="2415" w:type="dxa"/>
            <w:vMerge w:val="restart"/>
            <w:tcBorders>
              <w:tl2br w:val="nil"/>
              <w:tr2bl w:val="nil"/>
            </w:tcBorders>
            <w:shd w:val="clear" w:color="auto" w:fill="auto"/>
            <w:vAlign w:val="center"/>
          </w:tcPr>
          <w:p w14:paraId="05BF04FB">
            <w:pPr>
              <w:snapToGrid w:val="0"/>
              <w:spacing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励磁</w:t>
            </w:r>
            <w:r>
              <w:rPr>
                <w:rFonts w:hint="eastAsia" w:ascii="宋体" w:hAnsi="宋体" w:cs="宋体"/>
                <w:color w:val="auto"/>
                <w:sz w:val="18"/>
                <w:szCs w:val="18"/>
                <w:highlight w:val="none"/>
                <w:lang w:val="en-US" w:eastAsia="zh-CN"/>
              </w:rPr>
              <w:t>系统过负荷</w:t>
            </w:r>
            <w:r>
              <w:rPr>
                <w:rFonts w:hint="eastAsia" w:ascii="宋体" w:hAnsi="宋体" w:cs="宋体"/>
                <w:color w:val="auto"/>
                <w:sz w:val="18"/>
                <w:szCs w:val="18"/>
                <w:highlight w:val="none"/>
              </w:rPr>
              <w:t>保护</w:t>
            </w:r>
          </w:p>
        </w:tc>
        <w:tc>
          <w:tcPr>
            <w:tcW w:w="852" w:type="dxa"/>
            <w:vMerge w:val="restart"/>
            <w:tcBorders>
              <w:tl2br w:val="nil"/>
              <w:tr2bl w:val="nil"/>
            </w:tcBorders>
            <w:shd w:val="clear" w:color="auto" w:fill="auto"/>
            <w:vAlign w:val="center"/>
          </w:tcPr>
          <w:p w14:paraId="48BDBA01">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5D04C4A">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76F8576A">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3EB718B">
            <w:pPr>
              <w:widowControl/>
              <w:spacing w:line="240" w:lineRule="auto"/>
              <w:jc w:val="center"/>
              <w:rPr>
                <w:rFonts w:hint="eastAsia" w:ascii="宋体" w:hAnsi="宋体" w:cs="宋体"/>
                <w:color w:val="auto"/>
                <w:kern w:val="0"/>
                <w:sz w:val="18"/>
                <w:szCs w:val="18"/>
                <w:highlight w:val="none"/>
              </w:rPr>
            </w:pPr>
          </w:p>
        </w:tc>
      </w:tr>
      <w:tr w14:paraId="26F89A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4CC43C86">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28F9A107">
            <w:pPr>
              <w:snapToGrid w:val="0"/>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3975719D">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5AF23D7">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9629843">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C634A91">
            <w:pPr>
              <w:widowControl/>
              <w:spacing w:line="240" w:lineRule="auto"/>
              <w:jc w:val="center"/>
              <w:rPr>
                <w:rFonts w:hint="eastAsia" w:ascii="宋体" w:hAnsi="宋体" w:cs="宋体"/>
                <w:color w:val="auto"/>
                <w:kern w:val="0"/>
                <w:sz w:val="18"/>
                <w:szCs w:val="18"/>
                <w:highlight w:val="none"/>
              </w:rPr>
            </w:pPr>
          </w:p>
        </w:tc>
      </w:tr>
      <w:tr w14:paraId="7DB06E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00F5BE29">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3EB05B07">
            <w:pPr>
              <w:widowControl/>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52F3A145">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673E58F">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38B56DAC">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EE5203E">
            <w:pPr>
              <w:widowControl/>
              <w:spacing w:line="240" w:lineRule="auto"/>
              <w:jc w:val="center"/>
              <w:rPr>
                <w:rFonts w:hint="eastAsia" w:ascii="宋体" w:hAnsi="宋体" w:cs="宋体"/>
                <w:color w:val="auto"/>
                <w:kern w:val="0"/>
                <w:sz w:val="18"/>
                <w:szCs w:val="18"/>
                <w:highlight w:val="none"/>
              </w:rPr>
            </w:pPr>
          </w:p>
        </w:tc>
      </w:tr>
      <w:tr w14:paraId="378503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7667335D">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7DC62797">
            <w:pPr>
              <w:widowControl/>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2B4C250D">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B6417F1">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A09AEDF">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D0728A8">
            <w:pPr>
              <w:widowControl/>
              <w:spacing w:line="240" w:lineRule="auto"/>
              <w:jc w:val="center"/>
              <w:rPr>
                <w:rFonts w:hint="eastAsia" w:ascii="宋体" w:hAnsi="宋体" w:cs="宋体"/>
                <w:color w:val="auto"/>
                <w:kern w:val="0"/>
                <w:sz w:val="18"/>
                <w:szCs w:val="18"/>
                <w:highlight w:val="none"/>
              </w:rPr>
            </w:pPr>
          </w:p>
        </w:tc>
      </w:tr>
      <w:tr w14:paraId="1DC4B1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490DEBE6">
            <w:pPr>
              <w:widowControl/>
              <w:spacing w:line="240" w:lineRule="auto"/>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rPr>
              <w:t>2_</w:t>
            </w:r>
            <w:r>
              <w:rPr>
                <w:rFonts w:hint="eastAsia" w:ascii="宋体" w:hAnsi="宋体" w:cs="宋体"/>
                <w:color w:val="auto"/>
                <w:kern w:val="0"/>
                <w:sz w:val="18"/>
                <w:szCs w:val="18"/>
                <w:highlight w:val="none"/>
                <w:lang w:val="en-US" w:eastAsia="zh-CN"/>
              </w:rPr>
              <w:t>5</w:t>
            </w:r>
          </w:p>
        </w:tc>
        <w:tc>
          <w:tcPr>
            <w:tcW w:w="2415" w:type="dxa"/>
            <w:vMerge w:val="restart"/>
            <w:tcBorders>
              <w:tl2br w:val="nil"/>
              <w:tr2bl w:val="nil"/>
            </w:tcBorders>
            <w:shd w:val="clear" w:color="auto" w:fill="auto"/>
            <w:vAlign w:val="center"/>
          </w:tcPr>
          <w:p w14:paraId="432D3FFA">
            <w:pPr>
              <w:snapToGrid w:val="0"/>
              <w:spacing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励磁变</w:t>
            </w:r>
            <w:r>
              <w:rPr>
                <w:rFonts w:hint="eastAsia" w:ascii="宋体" w:hAnsi="宋体" w:cs="宋体"/>
                <w:color w:val="auto"/>
                <w:sz w:val="18"/>
                <w:szCs w:val="18"/>
                <w:highlight w:val="none"/>
                <w:lang w:val="en-US" w:eastAsia="zh-CN"/>
              </w:rPr>
              <w:t>非电量</w:t>
            </w:r>
            <w:r>
              <w:rPr>
                <w:rFonts w:hint="eastAsia" w:ascii="宋体" w:hAnsi="宋体" w:cs="宋体"/>
                <w:color w:val="auto"/>
                <w:sz w:val="18"/>
                <w:szCs w:val="18"/>
                <w:highlight w:val="none"/>
              </w:rPr>
              <w:t>保护</w:t>
            </w:r>
          </w:p>
        </w:tc>
        <w:tc>
          <w:tcPr>
            <w:tcW w:w="852" w:type="dxa"/>
            <w:vMerge w:val="restart"/>
            <w:tcBorders>
              <w:tl2br w:val="nil"/>
              <w:tr2bl w:val="nil"/>
            </w:tcBorders>
            <w:shd w:val="clear" w:color="auto" w:fill="auto"/>
            <w:vAlign w:val="center"/>
          </w:tcPr>
          <w:p w14:paraId="6313BBEF">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20A7CA7">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4FA9525D">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18A7A16">
            <w:pPr>
              <w:widowControl/>
              <w:spacing w:line="240" w:lineRule="auto"/>
              <w:jc w:val="center"/>
              <w:rPr>
                <w:rFonts w:hint="eastAsia" w:ascii="宋体" w:hAnsi="宋体" w:cs="宋体"/>
                <w:color w:val="auto"/>
                <w:kern w:val="0"/>
                <w:sz w:val="18"/>
                <w:szCs w:val="18"/>
                <w:highlight w:val="none"/>
              </w:rPr>
            </w:pPr>
          </w:p>
        </w:tc>
      </w:tr>
      <w:tr w14:paraId="137B55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2D1A04B5">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39DBCC17">
            <w:pPr>
              <w:snapToGrid w:val="0"/>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60816A67">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B5CEEBA">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BF60BCE">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A723DA6">
            <w:pPr>
              <w:widowControl/>
              <w:spacing w:line="240" w:lineRule="auto"/>
              <w:jc w:val="center"/>
              <w:rPr>
                <w:rFonts w:hint="eastAsia" w:ascii="宋体" w:hAnsi="宋体" w:cs="宋体"/>
                <w:color w:val="auto"/>
                <w:kern w:val="0"/>
                <w:sz w:val="18"/>
                <w:szCs w:val="18"/>
                <w:highlight w:val="none"/>
              </w:rPr>
            </w:pPr>
          </w:p>
        </w:tc>
      </w:tr>
      <w:tr w14:paraId="4454CC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460E6700">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4405A203">
            <w:pPr>
              <w:widowControl/>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01C7F3D1">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47412C2">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39663754">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BDF3C2B">
            <w:pPr>
              <w:widowControl/>
              <w:spacing w:line="240" w:lineRule="auto"/>
              <w:jc w:val="center"/>
              <w:rPr>
                <w:rFonts w:hint="eastAsia" w:ascii="宋体" w:hAnsi="宋体" w:cs="宋体"/>
                <w:color w:val="auto"/>
                <w:kern w:val="0"/>
                <w:sz w:val="18"/>
                <w:szCs w:val="18"/>
                <w:highlight w:val="none"/>
              </w:rPr>
            </w:pPr>
          </w:p>
        </w:tc>
      </w:tr>
      <w:tr w14:paraId="46A9E7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00D85676">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4DB0C9B5">
            <w:pPr>
              <w:widowControl/>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22FC35D1">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69B0AC7">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96D2EC7">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1A81DE6">
            <w:pPr>
              <w:widowControl/>
              <w:spacing w:line="240" w:lineRule="auto"/>
              <w:jc w:val="center"/>
              <w:rPr>
                <w:rFonts w:hint="eastAsia" w:ascii="宋体" w:hAnsi="宋体" w:cs="宋体"/>
                <w:color w:val="auto"/>
                <w:kern w:val="0"/>
                <w:sz w:val="18"/>
                <w:szCs w:val="18"/>
                <w:highlight w:val="none"/>
              </w:rPr>
            </w:pPr>
          </w:p>
        </w:tc>
      </w:tr>
      <w:tr w14:paraId="12E30D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tcBorders>
              <w:tl2br w:val="nil"/>
              <w:tr2bl w:val="nil"/>
            </w:tcBorders>
            <w:shd w:val="clear" w:color="auto" w:fill="auto"/>
            <w:vAlign w:val="center"/>
          </w:tcPr>
          <w:p w14:paraId="7BFD7A26">
            <w:pPr>
              <w:widowControl/>
              <w:spacing w:line="240" w:lineRule="auto"/>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w:t>
            </w:r>
          </w:p>
        </w:tc>
        <w:tc>
          <w:tcPr>
            <w:tcW w:w="7644" w:type="dxa"/>
            <w:gridSpan w:val="5"/>
            <w:tcBorders>
              <w:tl2br w:val="nil"/>
              <w:tr2bl w:val="nil"/>
            </w:tcBorders>
            <w:shd w:val="clear" w:color="auto" w:fill="auto"/>
            <w:vAlign w:val="center"/>
          </w:tcPr>
          <w:p w14:paraId="024FCE93">
            <w:pPr>
              <w:widowControl/>
              <w:spacing w:line="240" w:lineRule="auto"/>
              <w:jc w:val="both"/>
              <w:rPr>
                <w:rFonts w:hint="eastAsia" w:ascii="宋体" w:hAnsi="宋体" w:cs="宋体"/>
                <w:color w:val="auto"/>
                <w:kern w:val="0"/>
                <w:sz w:val="18"/>
                <w:szCs w:val="18"/>
                <w:highlight w:val="none"/>
              </w:rPr>
            </w:pPr>
            <w:r>
              <w:rPr>
                <w:rFonts w:hint="eastAsia" w:ascii="宋体" w:hAnsi="宋体" w:cs="宋体"/>
                <w:color w:val="auto"/>
                <w:sz w:val="18"/>
                <w:szCs w:val="18"/>
                <w:highlight w:val="none"/>
              </w:rPr>
              <w:t>微机型主变压器保护装置</w:t>
            </w:r>
          </w:p>
        </w:tc>
      </w:tr>
      <w:tr w14:paraId="13B615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11C644B0">
            <w:pPr>
              <w:widowControl/>
              <w:spacing w:line="240" w:lineRule="auto"/>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3_1</w:t>
            </w:r>
          </w:p>
        </w:tc>
        <w:tc>
          <w:tcPr>
            <w:tcW w:w="2415" w:type="dxa"/>
            <w:vMerge w:val="restart"/>
            <w:tcBorders>
              <w:tl2br w:val="nil"/>
              <w:tr2bl w:val="nil"/>
            </w:tcBorders>
            <w:shd w:val="clear" w:color="auto" w:fill="auto"/>
            <w:vAlign w:val="center"/>
          </w:tcPr>
          <w:p w14:paraId="5F15ECB2">
            <w:pPr>
              <w:snapToGrid w:val="0"/>
              <w:spacing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主变压器差动保护</w:t>
            </w:r>
          </w:p>
        </w:tc>
        <w:tc>
          <w:tcPr>
            <w:tcW w:w="852" w:type="dxa"/>
            <w:vMerge w:val="restart"/>
            <w:tcBorders>
              <w:tl2br w:val="nil"/>
              <w:tr2bl w:val="nil"/>
            </w:tcBorders>
            <w:shd w:val="clear" w:color="auto" w:fill="auto"/>
            <w:vAlign w:val="center"/>
          </w:tcPr>
          <w:p w14:paraId="41CCCB92">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415C996">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76574140">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64DEECD">
            <w:pPr>
              <w:widowControl/>
              <w:spacing w:line="240" w:lineRule="auto"/>
              <w:jc w:val="center"/>
              <w:rPr>
                <w:rFonts w:hint="eastAsia" w:ascii="宋体" w:hAnsi="宋体" w:cs="宋体"/>
                <w:color w:val="auto"/>
                <w:kern w:val="0"/>
                <w:sz w:val="18"/>
                <w:szCs w:val="18"/>
                <w:highlight w:val="none"/>
              </w:rPr>
            </w:pPr>
          </w:p>
        </w:tc>
      </w:tr>
      <w:tr w14:paraId="7CCACA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69805DDC">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3EBD66AD">
            <w:pPr>
              <w:snapToGrid w:val="0"/>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756814B9">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F57B934">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50E7B13">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E2DF214">
            <w:pPr>
              <w:widowControl/>
              <w:spacing w:line="240" w:lineRule="auto"/>
              <w:jc w:val="center"/>
              <w:rPr>
                <w:rFonts w:hint="eastAsia" w:ascii="宋体" w:hAnsi="宋体" w:cs="宋体"/>
                <w:color w:val="auto"/>
                <w:kern w:val="0"/>
                <w:sz w:val="18"/>
                <w:szCs w:val="18"/>
                <w:highlight w:val="none"/>
              </w:rPr>
            </w:pPr>
          </w:p>
        </w:tc>
      </w:tr>
      <w:tr w14:paraId="4E5184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537D3C24">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5B8CD34A">
            <w:pPr>
              <w:widowControl/>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4D5353D0">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2F5FF09">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4BB7A6FA">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6755F94">
            <w:pPr>
              <w:widowControl/>
              <w:spacing w:line="240" w:lineRule="auto"/>
              <w:jc w:val="center"/>
              <w:rPr>
                <w:rFonts w:hint="eastAsia" w:ascii="宋体" w:hAnsi="宋体" w:cs="宋体"/>
                <w:color w:val="auto"/>
                <w:kern w:val="0"/>
                <w:sz w:val="18"/>
                <w:szCs w:val="18"/>
                <w:highlight w:val="none"/>
              </w:rPr>
            </w:pPr>
          </w:p>
        </w:tc>
      </w:tr>
      <w:tr w14:paraId="06D77E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13F44982">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6F94A1B9">
            <w:pPr>
              <w:widowControl/>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073CCE13">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2984C22">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1A464DC">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537B567">
            <w:pPr>
              <w:widowControl/>
              <w:spacing w:line="240" w:lineRule="auto"/>
              <w:jc w:val="center"/>
              <w:rPr>
                <w:rFonts w:hint="eastAsia" w:ascii="宋体" w:hAnsi="宋体" w:cs="宋体"/>
                <w:color w:val="auto"/>
                <w:kern w:val="0"/>
                <w:sz w:val="18"/>
                <w:szCs w:val="18"/>
                <w:highlight w:val="none"/>
              </w:rPr>
            </w:pPr>
          </w:p>
        </w:tc>
      </w:tr>
      <w:tr w14:paraId="1AC0F4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6EC7145F">
            <w:pPr>
              <w:widowControl/>
              <w:spacing w:line="240" w:lineRule="auto"/>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3_2</w:t>
            </w:r>
          </w:p>
        </w:tc>
        <w:tc>
          <w:tcPr>
            <w:tcW w:w="2415" w:type="dxa"/>
            <w:vMerge w:val="restart"/>
            <w:tcBorders>
              <w:tl2br w:val="nil"/>
              <w:tr2bl w:val="nil"/>
            </w:tcBorders>
            <w:shd w:val="clear" w:color="auto" w:fill="auto"/>
            <w:vAlign w:val="center"/>
          </w:tcPr>
          <w:p w14:paraId="416A634D">
            <w:pPr>
              <w:snapToGrid w:val="0"/>
              <w:spacing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主变压器复合电压闭锁过流保护</w:t>
            </w:r>
          </w:p>
        </w:tc>
        <w:tc>
          <w:tcPr>
            <w:tcW w:w="852" w:type="dxa"/>
            <w:vMerge w:val="restart"/>
            <w:tcBorders>
              <w:tl2br w:val="nil"/>
              <w:tr2bl w:val="nil"/>
            </w:tcBorders>
            <w:shd w:val="clear" w:color="auto" w:fill="auto"/>
            <w:vAlign w:val="center"/>
          </w:tcPr>
          <w:p w14:paraId="3999D9FF">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1D1017D">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78E2709F">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478DC27">
            <w:pPr>
              <w:widowControl/>
              <w:spacing w:line="240" w:lineRule="auto"/>
              <w:jc w:val="center"/>
              <w:rPr>
                <w:rFonts w:hint="eastAsia" w:ascii="宋体" w:hAnsi="宋体" w:cs="宋体"/>
                <w:color w:val="auto"/>
                <w:kern w:val="0"/>
                <w:sz w:val="18"/>
                <w:szCs w:val="18"/>
                <w:highlight w:val="none"/>
              </w:rPr>
            </w:pPr>
          </w:p>
        </w:tc>
      </w:tr>
      <w:tr w14:paraId="1E6475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2923F06F">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1FF85AE7">
            <w:pPr>
              <w:widowControl/>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30C09B74">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84E2E3E">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C6659FA">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C3CD087">
            <w:pPr>
              <w:widowControl/>
              <w:spacing w:line="240" w:lineRule="auto"/>
              <w:jc w:val="center"/>
              <w:rPr>
                <w:rFonts w:hint="eastAsia" w:ascii="宋体" w:hAnsi="宋体" w:cs="宋体"/>
                <w:color w:val="auto"/>
                <w:kern w:val="0"/>
                <w:sz w:val="18"/>
                <w:szCs w:val="18"/>
                <w:highlight w:val="none"/>
              </w:rPr>
            </w:pPr>
          </w:p>
        </w:tc>
      </w:tr>
      <w:tr w14:paraId="0359F0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172E8CFB">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7B774930">
            <w:pPr>
              <w:widowControl/>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1AF28B45">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F1FE39B">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410AC89C">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60ADCB5">
            <w:pPr>
              <w:widowControl/>
              <w:spacing w:line="240" w:lineRule="auto"/>
              <w:jc w:val="center"/>
              <w:rPr>
                <w:rFonts w:hint="eastAsia" w:ascii="宋体" w:hAnsi="宋体" w:cs="宋体"/>
                <w:color w:val="auto"/>
                <w:kern w:val="0"/>
                <w:sz w:val="18"/>
                <w:szCs w:val="18"/>
                <w:highlight w:val="none"/>
              </w:rPr>
            </w:pPr>
          </w:p>
        </w:tc>
      </w:tr>
      <w:tr w14:paraId="102B11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62C8A38F">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19F8A52D">
            <w:pPr>
              <w:widowControl/>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0DEDB03C">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FEFC107">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47DD51B">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F07C184">
            <w:pPr>
              <w:widowControl/>
              <w:spacing w:line="240" w:lineRule="auto"/>
              <w:jc w:val="center"/>
              <w:rPr>
                <w:rFonts w:hint="eastAsia" w:ascii="宋体" w:hAnsi="宋体" w:cs="宋体"/>
                <w:color w:val="auto"/>
                <w:kern w:val="0"/>
                <w:sz w:val="18"/>
                <w:szCs w:val="18"/>
                <w:highlight w:val="none"/>
              </w:rPr>
            </w:pPr>
          </w:p>
        </w:tc>
      </w:tr>
      <w:tr w14:paraId="434387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24E55760">
            <w:pPr>
              <w:widowControl/>
              <w:spacing w:line="240" w:lineRule="auto"/>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3_3</w:t>
            </w:r>
          </w:p>
        </w:tc>
        <w:tc>
          <w:tcPr>
            <w:tcW w:w="2415" w:type="dxa"/>
            <w:vMerge w:val="restart"/>
            <w:tcBorders>
              <w:tl2br w:val="nil"/>
              <w:tr2bl w:val="nil"/>
            </w:tcBorders>
            <w:shd w:val="clear" w:color="auto" w:fill="auto"/>
            <w:vAlign w:val="center"/>
          </w:tcPr>
          <w:p w14:paraId="32C2C33E">
            <w:pPr>
              <w:snapToGrid w:val="0"/>
              <w:spacing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主变压器高压侧接地保护</w:t>
            </w:r>
          </w:p>
        </w:tc>
        <w:tc>
          <w:tcPr>
            <w:tcW w:w="852" w:type="dxa"/>
            <w:vMerge w:val="restart"/>
            <w:tcBorders>
              <w:tl2br w:val="nil"/>
              <w:tr2bl w:val="nil"/>
            </w:tcBorders>
            <w:shd w:val="clear" w:color="auto" w:fill="auto"/>
            <w:vAlign w:val="center"/>
          </w:tcPr>
          <w:p w14:paraId="7279FE64">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A2E4566">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63AA4091">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1C4E982">
            <w:pPr>
              <w:widowControl/>
              <w:spacing w:line="240" w:lineRule="auto"/>
              <w:jc w:val="center"/>
              <w:rPr>
                <w:rFonts w:hint="eastAsia" w:ascii="宋体" w:hAnsi="宋体" w:cs="宋体"/>
                <w:color w:val="auto"/>
                <w:kern w:val="0"/>
                <w:sz w:val="18"/>
                <w:szCs w:val="18"/>
                <w:highlight w:val="none"/>
              </w:rPr>
            </w:pPr>
          </w:p>
        </w:tc>
      </w:tr>
      <w:tr w14:paraId="471673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4783F454">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4D0E80DB">
            <w:pPr>
              <w:snapToGrid w:val="0"/>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4FDF6184">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15C4DC3">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DEE9D00">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D86A280">
            <w:pPr>
              <w:widowControl/>
              <w:spacing w:line="240" w:lineRule="auto"/>
              <w:jc w:val="center"/>
              <w:rPr>
                <w:rFonts w:hint="eastAsia" w:ascii="宋体" w:hAnsi="宋体" w:cs="宋体"/>
                <w:color w:val="auto"/>
                <w:kern w:val="0"/>
                <w:sz w:val="18"/>
                <w:szCs w:val="18"/>
                <w:highlight w:val="none"/>
              </w:rPr>
            </w:pPr>
          </w:p>
        </w:tc>
      </w:tr>
      <w:tr w14:paraId="4A0CA8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1D01083D">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0101A397">
            <w:pPr>
              <w:widowControl/>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53EE7C52">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4009212">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4C0BAFF3">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46CAA16">
            <w:pPr>
              <w:widowControl/>
              <w:spacing w:line="240" w:lineRule="auto"/>
              <w:jc w:val="center"/>
              <w:rPr>
                <w:rFonts w:hint="eastAsia" w:ascii="宋体" w:hAnsi="宋体" w:cs="宋体"/>
                <w:color w:val="auto"/>
                <w:kern w:val="0"/>
                <w:sz w:val="18"/>
                <w:szCs w:val="18"/>
                <w:highlight w:val="none"/>
              </w:rPr>
            </w:pPr>
          </w:p>
        </w:tc>
      </w:tr>
      <w:tr w14:paraId="0F0D22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2F146D98">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4480CCB4">
            <w:pPr>
              <w:widowControl/>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126A7C9B">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2BBF104">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63FD9A9">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B351AC7">
            <w:pPr>
              <w:widowControl/>
              <w:spacing w:line="240" w:lineRule="auto"/>
              <w:jc w:val="center"/>
              <w:rPr>
                <w:rFonts w:hint="eastAsia" w:ascii="宋体" w:hAnsi="宋体" w:cs="宋体"/>
                <w:color w:val="auto"/>
                <w:kern w:val="0"/>
                <w:sz w:val="18"/>
                <w:szCs w:val="18"/>
                <w:highlight w:val="none"/>
              </w:rPr>
            </w:pPr>
          </w:p>
        </w:tc>
      </w:tr>
      <w:tr w14:paraId="267E1B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06EB4078">
            <w:pPr>
              <w:widowControl/>
              <w:spacing w:line="240" w:lineRule="auto"/>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3_4</w:t>
            </w:r>
          </w:p>
        </w:tc>
        <w:tc>
          <w:tcPr>
            <w:tcW w:w="2415" w:type="dxa"/>
            <w:vMerge w:val="restart"/>
            <w:tcBorders>
              <w:tl2br w:val="nil"/>
              <w:tr2bl w:val="nil"/>
            </w:tcBorders>
            <w:shd w:val="clear" w:color="auto" w:fill="auto"/>
            <w:vAlign w:val="center"/>
          </w:tcPr>
          <w:p w14:paraId="0686BCDA">
            <w:pPr>
              <w:snapToGrid w:val="0"/>
              <w:spacing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主变压器</w:t>
            </w:r>
            <w:r>
              <w:rPr>
                <w:rFonts w:hint="eastAsia" w:ascii="宋体" w:hAnsi="宋体" w:cs="宋体"/>
                <w:color w:val="auto"/>
                <w:sz w:val="18"/>
                <w:szCs w:val="18"/>
                <w:highlight w:val="none"/>
                <w:lang w:val="en-US" w:eastAsia="zh-CN"/>
              </w:rPr>
              <w:t>过激磁</w:t>
            </w:r>
            <w:r>
              <w:rPr>
                <w:rFonts w:hint="eastAsia" w:ascii="宋体" w:hAnsi="宋体" w:cs="宋体"/>
                <w:color w:val="auto"/>
                <w:sz w:val="18"/>
                <w:szCs w:val="18"/>
                <w:highlight w:val="none"/>
              </w:rPr>
              <w:t>保护</w:t>
            </w:r>
          </w:p>
        </w:tc>
        <w:tc>
          <w:tcPr>
            <w:tcW w:w="852" w:type="dxa"/>
            <w:vMerge w:val="restart"/>
            <w:tcBorders>
              <w:tl2br w:val="nil"/>
              <w:tr2bl w:val="nil"/>
            </w:tcBorders>
            <w:shd w:val="clear" w:color="auto" w:fill="auto"/>
            <w:vAlign w:val="center"/>
          </w:tcPr>
          <w:p w14:paraId="547C84FD">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04BC8D2">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4F0F26DA">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03DECEE">
            <w:pPr>
              <w:widowControl/>
              <w:spacing w:line="240" w:lineRule="auto"/>
              <w:jc w:val="center"/>
              <w:rPr>
                <w:rFonts w:hint="eastAsia" w:ascii="宋体" w:hAnsi="宋体" w:cs="宋体"/>
                <w:color w:val="auto"/>
                <w:kern w:val="0"/>
                <w:sz w:val="18"/>
                <w:szCs w:val="18"/>
                <w:highlight w:val="none"/>
              </w:rPr>
            </w:pPr>
          </w:p>
        </w:tc>
      </w:tr>
      <w:tr w14:paraId="45404F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3FC2C2D1">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6047B534">
            <w:pPr>
              <w:snapToGrid w:val="0"/>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367FB98C">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33A4C6A">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F158AA9">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A5E377C">
            <w:pPr>
              <w:widowControl/>
              <w:spacing w:line="240" w:lineRule="auto"/>
              <w:jc w:val="center"/>
              <w:rPr>
                <w:rFonts w:hint="eastAsia" w:ascii="宋体" w:hAnsi="宋体" w:cs="宋体"/>
                <w:color w:val="auto"/>
                <w:kern w:val="0"/>
                <w:sz w:val="18"/>
                <w:szCs w:val="18"/>
                <w:highlight w:val="none"/>
              </w:rPr>
            </w:pPr>
          </w:p>
        </w:tc>
      </w:tr>
      <w:tr w14:paraId="3F0BB9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4BD549C2">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43569E2A">
            <w:pPr>
              <w:widowControl/>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3A90D0FC">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EFF461A">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5AB45AF4">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E0349B6">
            <w:pPr>
              <w:widowControl/>
              <w:spacing w:line="240" w:lineRule="auto"/>
              <w:jc w:val="center"/>
              <w:rPr>
                <w:rFonts w:hint="eastAsia" w:ascii="宋体" w:hAnsi="宋体" w:cs="宋体"/>
                <w:color w:val="auto"/>
                <w:kern w:val="0"/>
                <w:sz w:val="18"/>
                <w:szCs w:val="18"/>
                <w:highlight w:val="none"/>
              </w:rPr>
            </w:pPr>
          </w:p>
        </w:tc>
      </w:tr>
      <w:tr w14:paraId="53A321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6BD7142A">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21AA43C0">
            <w:pPr>
              <w:widowControl/>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297166BF">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075DE40">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E6BFA2E">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020E1DC">
            <w:pPr>
              <w:widowControl/>
              <w:spacing w:line="240" w:lineRule="auto"/>
              <w:jc w:val="center"/>
              <w:rPr>
                <w:rFonts w:hint="eastAsia" w:ascii="宋体" w:hAnsi="宋体" w:cs="宋体"/>
                <w:color w:val="auto"/>
                <w:kern w:val="0"/>
                <w:sz w:val="18"/>
                <w:szCs w:val="18"/>
                <w:highlight w:val="none"/>
              </w:rPr>
            </w:pPr>
          </w:p>
        </w:tc>
      </w:tr>
      <w:tr w14:paraId="140D9F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398BF2AA">
            <w:pPr>
              <w:widowControl/>
              <w:spacing w:line="240" w:lineRule="auto"/>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3_5</w:t>
            </w:r>
          </w:p>
        </w:tc>
        <w:tc>
          <w:tcPr>
            <w:tcW w:w="2415" w:type="dxa"/>
            <w:vMerge w:val="restart"/>
            <w:tcBorders>
              <w:tl2br w:val="nil"/>
              <w:tr2bl w:val="nil"/>
            </w:tcBorders>
            <w:shd w:val="clear" w:color="auto" w:fill="auto"/>
            <w:vAlign w:val="center"/>
          </w:tcPr>
          <w:p w14:paraId="3BB40894">
            <w:pPr>
              <w:snapToGrid w:val="0"/>
              <w:spacing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主变压器低压侧接地保护</w:t>
            </w:r>
          </w:p>
        </w:tc>
        <w:tc>
          <w:tcPr>
            <w:tcW w:w="852" w:type="dxa"/>
            <w:vMerge w:val="restart"/>
            <w:tcBorders>
              <w:tl2br w:val="nil"/>
              <w:tr2bl w:val="nil"/>
            </w:tcBorders>
            <w:shd w:val="clear" w:color="auto" w:fill="auto"/>
            <w:vAlign w:val="center"/>
          </w:tcPr>
          <w:p w14:paraId="6313BED6">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7A87D76">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53E15522">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D8CCB8C">
            <w:pPr>
              <w:widowControl/>
              <w:spacing w:line="240" w:lineRule="auto"/>
              <w:jc w:val="center"/>
              <w:rPr>
                <w:rFonts w:hint="eastAsia" w:ascii="宋体" w:hAnsi="宋体" w:cs="宋体"/>
                <w:color w:val="auto"/>
                <w:kern w:val="0"/>
                <w:sz w:val="18"/>
                <w:szCs w:val="18"/>
                <w:highlight w:val="none"/>
              </w:rPr>
            </w:pPr>
          </w:p>
        </w:tc>
      </w:tr>
      <w:tr w14:paraId="257138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05C4F8BE">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68BF370A">
            <w:pPr>
              <w:snapToGrid w:val="0"/>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3713821F">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2E005C2">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D12E036">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3DC6AC4">
            <w:pPr>
              <w:widowControl/>
              <w:spacing w:line="240" w:lineRule="auto"/>
              <w:jc w:val="center"/>
              <w:rPr>
                <w:rFonts w:hint="eastAsia" w:ascii="宋体" w:hAnsi="宋体" w:cs="宋体"/>
                <w:color w:val="auto"/>
                <w:kern w:val="0"/>
                <w:sz w:val="18"/>
                <w:szCs w:val="18"/>
                <w:highlight w:val="none"/>
              </w:rPr>
            </w:pPr>
          </w:p>
        </w:tc>
      </w:tr>
      <w:tr w14:paraId="5B215E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03EFC09C">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62F87F46">
            <w:pPr>
              <w:widowControl/>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32BC6AC4">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F6472B5">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774C551C">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3C1CF37">
            <w:pPr>
              <w:widowControl/>
              <w:spacing w:line="240" w:lineRule="auto"/>
              <w:jc w:val="center"/>
              <w:rPr>
                <w:rFonts w:hint="eastAsia" w:ascii="宋体" w:hAnsi="宋体" w:cs="宋体"/>
                <w:color w:val="auto"/>
                <w:kern w:val="0"/>
                <w:sz w:val="18"/>
                <w:szCs w:val="18"/>
                <w:highlight w:val="none"/>
              </w:rPr>
            </w:pPr>
          </w:p>
        </w:tc>
      </w:tr>
      <w:tr w14:paraId="624A28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240CB31F">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2694D0D1">
            <w:pPr>
              <w:widowControl/>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23432430">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5990AB9">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B787635">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E5A1DB6">
            <w:pPr>
              <w:widowControl/>
              <w:spacing w:line="240" w:lineRule="auto"/>
              <w:jc w:val="center"/>
              <w:rPr>
                <w:rFonts w:hint="eastAsia" w:ascii="宋体" w:hAnsi="宋体" w:cs="宋体"/>
                <w:color w:val="auto"/>
                <w:kern w:val="0"/>
                <w:sz w:val="18"/>
                <w:szCs w:val="18"/>
                <w:highlight w:val="none"/>
              </w:rPr>
            </w:pPr>
          </w:p>
        </w:tc>
      </w:tr>
      <w:tr w14:paraId="6B0ED9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7FC53E73">
            <w:pPr>
              <w:widowControl/>
              <w:spacing w:line="240" w:lineRule="auto"/>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rPr>
              <w:t>3_</w:t>
            </w:r>
            <w:r>
              <w:rPr>
                <w:rFonts w:hint="eastAsia" w:ascii="宋体" w:hAnsi="宋体" w:cs="宋体"/>
                <w:color w:val="auto"/>
                <w:kern w:val="0"/>
                <w:sz w:val="18"/>
                <w:szCs w:val="18"/>
                <w:highlight w:val="none"/>
                <w:lang w:val="en-US" w:eastAsia="zh-CN"/>
              </w:rPr>
              <w:t>6</w:t>
            </w:r>
          </w:p>
        </w:tc>
        <w:tc>
          <w:tcPr>
            <w:tcW w:w="2415" w:type="dxa"/>
            <w:vMerge w:val="restart"/>
            <w:tcBorders>
              <w:tl2br w:val="nil"/>
              <w:tr2bl w:val="nil"/>
            </w:tcBorders>
            <w:shd w:val="clear" w:color="auto" w:fill="auto"/>
            <w:vAlign w:val="center"/>
          </w:tcPr>
          <w:p w14:paraId="75848BE0">
            <w:pPr>
              <w:snapToGrid w:val="0"/>
              <w:spacing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主变压器</w:t>
            </w:r>
            <w:r>
              <w:rPr>
                <w:rFonts w:hint="eastAsia" w:ascii="宋体" w:hAnsi="宋体" w:cs="宋体"/>
                <w:color w:val="auto"/>
                <w:sz w:val="18"/>
                <w:szCs w:val="18"/>
                <w:highlight w:val="none"/>
                <w:lang w:val="en-US" w:eastAsia="zh-CN"/>
              </w:rPr>
              <w:t>断路器失灵</w:t>
            </w:r>
            <w:r>
              <w:rPr>
                <w:rFonts w:hint="eastAsia" w:ascii="宋体" w:hAnsi="宋体" w:cs="宋体"/>
                <w:color w:val="auto"/>
                <w:sz w:val="18"/>
                <w:szCs w:val="18"/>
                <w:highlight w:val="none"/>
              </w:rPr>
              <w:t>保护</w:t>
            </w:r>
          </w:p>
        </w:tc>
        <w:tc>
          <w:tcPr>
            <w:tcW w:w="852" w:type="dxa"/>
            <w:vMerge w:val="restart"/>
            <w:tcBorders>
              <w:tl2br w:val="nil"/>
              <w:tr2bl w:val="nil"/>
            </w:tcBorders>
            <w:shd w:val="clear" w:color="auto" w:fill="auto"/>
            <w:vAlign w:val="center"/>
          </w:tcPr>
          <w:p w14:paraId="2E719F38">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141C342">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3E1DDDED">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D56D8AC">
            <w:pPr>
              <w:widowControl/>
              <w:spacing w:line="240" w:lineRule="auto"/>
              <w:jc w:val="center"/>
              <w:rPr>
                <w:rFonts w:hint="eastAsia" w:ascii="宋体" w:hAnsi="宋体" w:cs="宋体"/>
                <w:color w:val="auto"/>
                <w:kern w:val="0"/>
                <w:sz w:val="18"/>
                <w:szCs w:val="18"/>
                <w:highlight w:val="none"/>
              </w:rPr>
            </w:pPr>
          </w:p>
        </w:tc>
      </w:tr>
      <w:tr w14:paraId="341720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775D194E">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08A90073">
            <w:pPr>
              <w:snapToGrid w:val="0"/>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0CC8355D">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6D21D10">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E1E8748">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CDF2B47">
            <w:pPr>
              <w:widowControl/>
              <w:spacing w:line="240" w:lineRule="auto"/>
              <w:jc w:val="center"/>
              <w:rPr>
                <w:rFonts w:hint="eastAsia" w:ascii="宋体" w:hAnsi="宋体" w:cs="宋体"/>
                <w:color w:val="auto"/>
                <w:kern w:val="0"/>
                <w:sz w:val="18"/>
                <w:szCs w:val="18"/>
                <w:highlight w:val="none"/>
              </w:rPr>
            </w:pPr>
          </w:p>
        </w:tc>
      </w:tr>
      <w:tr w14:paraId="75C657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65FBB84F">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68548074">
            <w:pPr>
              <w:widowControl/>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27EFB689">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36314E9">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672B1DC8">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A5C9E46">
            <w:pPr>
              <w:widowControl/>
              <w:spacing w:line="240" w:lineRule="auto"/>
              <w:jc w:val="center"/>
              <w:rPr>
                <w:rFonts w:hint="eastAsia" w:ascii="宋体" w:hAnsi="宋体" w:cs="宋体"/>
                <w:color w:val="auto"/>
                <w:kern w:val="0"/>
                <w:sz w:val="18"/>
                <w:szCs w:val="18"/>
                <w:highlight w:val="none"/>
              </w:rPr>
            </w:pPr>
          </w:p>
        </w:tc>
      </w:tr>
      <w:tr w14:paraId="12D263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47DE1400">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0DEEC8CF">
            <w:pPr>
              <w:widowControl/>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58151730">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2D3FCC2">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B43F0B0">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707E0D7">
            <w:pPr>
              <w:widowControl/>
              <w:spacing w:line="240" w:lineRule="auto"/>
              <w:jc w:val="center"/>
              <w:rPr>
                <w:rFonts w:hint="eastAsia" w:ascii="宋体" w:hAnsi="宋体" w:cs="宋体"/>
                <w:color w:val="auto"/>
                <w:kern w:val="0"/>
                <w:sz w:val="18"/>
                <w:szCs w:val="18"/>
                <w:highlight w:val="none"/>
              </w:rPr>
            </w:pPr>
          </w:p>
        </w:tc>
      </w:tr>
      <w:tr w14:paraId="403838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6943112A">
            <w:pPr>
              <w:widowControl/>
              <w:spacing w:line="240" w:lineRule="auto"/>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rPr>
              <w:t>3_</w:t>
            </w:r>
            <w:r>
              <w:rPr>
                <w:rFonts w:hint="eastAsia" w:ascii="宋体" w:hAnsi="宋体" w:cs="宋体"/>
                <w:color w:val="auto"/>
                <w:kern w:val="0"/>
                <w:sz w:val="18"/>
                <w:szCs w:val="18"/>
                <w:highlight w:val="none"/>
                <w:lang w:val="en-US" w:eastAsia="zh-CN"/>
              </w:rPr>
              <w:t>7</w:t>
            </w:r>
          </w:p>
        </w:tc>
        <w:tc>
          <w:tcPr>
            <w:tcW w:w="2415" w:type="dxa"/>
            <w:vMerge w:val="restart"/>
            <w:tcBorders>
              <w:tl2br w:val="nil"/>
              <w:tr2bl w:val="nil"/>
            </w:tcBorders>
            <w:shd w:val="clear" w:color="auto" w:fill="auto"/>
            <w:vAlign w:val="center"/>
          </w:tcPr>
          <w:p w14:paraId="3854ABAC">
            <w:pPr>
              <w:snapToGrid w:val="0"/>
              <w:spacing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主变压器</w:t>
            </w:r>
            <w:r>
              <w:rPr>
                <w:rFonts w:hint="eastAsia" w:ascii="宋体" w:hAnsi="宋体" w:cs="宋体"/>
                <w:color w:val="auto"/>
                <w:sz w:val="18"/>
                <w:szCs w:val="18"/>
                <w:highlight w:val="none"/>
                <w:lang w:val="en-US" w:eastAsia="zh-CN"/>
              </w:rPr>
              <w:t>过电流</w:t>
            </w:r>
            <w:r>
              <w:rPr>
                <w:rFonts w:hint="eastAsia" w:ascii="宋体" w:hAnsi="宋体" w:cs="宋体"/>
                <w:color w:val="auto"/>
                <w:sz w:val="18"/>
                <w:szCs w:val="18"/>
                <w:highlight w:val="none"/>
              </w:rPr>
              <w:t>保护</w:t>
            </w:r>
          </w:p>
        </w:tc>
        <w:tc>
          <w:tcPr>
            <w:tcW w:w="852" w:type="dxa"/>
            <w:vMerge w:val="restart"/>
            <w:tcBorders>
              <w:tl2br w:val="nil"/>
              <w:tr2bl w:val="nil"/>
            </w:tcBorders>
            <w:shd w:val="clear" w:color="auto" w:fill="auto"/>
            <w:vAlign w:val="center"/>
          </w:tcPr>
          <w:p w14:paraId="7069EC84">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617DCA0">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7C3AF836">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D8A9C3C">
            <w:pPr>
              <w:widowControl/>
              <w:spacing w:line="240" w:lineRule="auto"/>
              <w:jc w:val="center"/>
              <w:rPr>
                <w:rFonts w:hint="eastAsia" w:ascii="宋体" w:hAnsi="宋体" w:cs="宋体"/>
                <w:color w:val="auto"/>
                <w:kern w:val="0"/>
                <w:sz w:val="18"/>
                <w:szCs w:val="18"/>
                <w:highlight w:val="none"/>
              </w:rPr>
            </w:pPr>
          </w:p>
        </w:tc>
      </w:tr>
      <w:tr w14:paraId="3C8B29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06AD68DB">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2DBFBF8E">
            <w:pPr>
              <w:snapToGrid w:val="0"/>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31691695">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F4C60A7">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D3F4245">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AD0AF02">
            <w:pPr>
              <w:widowControl/>
              <w:spacing w:line="240" w:lineRule="auto"/>
              <w:jc w:val="center"/>
              <w:rPr>
                <w:rFonts w:hint="eastAsia" w:ascii="宋体" w:hAnsi="宋体" w:cs="宋体"/>
                <w:color w:val="auto"/>
                <w:kern w:val="0"/>
                <w:sz w:val="18"/>
                <w:szCs w:val="18"/>
                <w:highlight w:val="none"/>
              </w:rPr>
            </w:pPr>
          </w:p>
        </w:tc>
      </w:tr>
      <w:tr w14:paraId="0C410A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5AB59D14">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01397B9F">
            <w:pPr>
              <w:widowControl/>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0D96C400">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5ED97A9">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183D2D79">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F83052E">
            <w:pPr>
              <w:widowControl/>
              <w:spacing w:line="240" w:lineRule="auto"/>
              <w:jc w:val="center"/>
              <w:rPr>
                <w:rFonts w:hint="eastAsia" w:ascii="宋体" w:hAnsi="宋体" w:cs="宋体"/>
                <w:color w:val="auto"/>
                <w:kern w:val="0"/>
                <w:sz w:val="18"/>
                <w:szCs w:val="18"/>
                <w:highlight w:val="none"/>
              </w:rPr>
            </w:pPr>
          </w:p>
        </w:tc>
      </w:tr>
      <w:tr w14:paraId="2B7170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1EBB4735">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62718E25">
            <w:pPr>
              <w:widowControl/>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0224B0A0">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A53CAE4">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3A65763">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D0C09E4">
            <w:pPr>
              <w:widowControl/>
              <w:spacing w:line="240" w:lineRule="auto"/>
              <w:jc w:val="center"/>
              <w:rPr>
                <w:rFonts w:hint="eastAsia" w:ascii="宋体" w:hAnsi="宋体" w:cs="宋体"/>
                <w:color w:val="auto"/>
                <w:kern w:val="0"/>
                <w:sz w:val="18"/>
                <w:szCs w:val="18"/>
                <w:highlight w:val="none"/>
              </w:rPr>
            </w:pPr>
          </w:p>
        </w:tc>
      </w:tr>
      <w:tr w14:paraId="7FAB06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38DC48C8">
            <w:pPr>
              <w:widowControl/>
              <w:spacing w:line="240" w:lineRule="auto"/>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rPr>
              <w:t>3_</w:t>
            </w:r>
            <w:r>
              <w:rPr>
                <w:rFonts w:hint="eastAsia" w:ascii="宋体" w:hAnsi="宋体" w:cs="宋体"/>
                <w:color w:val="auto"/>
                <w:kern w:val="0"/>
                <w:sz w:val="18"/>
                <w:szCs w:val="18"/>
                <w:highlight w:val="none"/>
                <w:lang w:val="en-US" w:eastAsia="zh-CN"/>
              </w:rPr>
              <w:t>8</w:t>
            </w:r>
          </w:p>
        </w:tc>
        <w:tc>
          <w:tcPr>
            <w:tcW w:w="2415" w:type="dxa"/>
            <w:vMerge w:val="restart"/>
            <w:tcBorders>
              <w:tl2br w:val="nil"/>
              <w:tr2bl w:val="nil"/>
            </w:tcBorders>
            <w:shd w:val="clear" w:color="auto" w:fill="auto"/>
            <w:vAlign w:val="center"/>
          </w:tcPr>
          <w:p w14:paraId="7AF627D6">
            <w:pPr>
              <w:snapToGrid w:val="0"/>
              <w:spacing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主变压器</w:t>
            </w:r>
            <w:r>
              <w:rPr>
                <w:rFonts w:hint="eastAsia" w:ascii="宋体" w:hAnsi="宋体" w:cs="宋体"/>
                <w:color w:val="auto"/>
                <w:sz w:val="18"/>
                <w:szCs w:val="18"/>
                <w:highlight w:val="none"/>
                <w:lang w:val="en-US" w:eastAsia="zh-CN"/>
              </w:rPr>
              <w:t>断路器非全相</w:t>
            </w:r>
            <w:r>
              <w:rPr>
                <w:rFonts w:hint="eastAsia" w:ascii="宋体" w:hAnsi="宋体" w:cs="宋体"/>
                <w:color w:val="auto"/>
                <w:sz w:val="18"/>
                <w:szCs w:val="18"/>
                <w:highlight w:val="none"/>
              </w:rPr>
              <w:t>保护</w:t>
            </w:r>
          </w:p>
        </w:tc>
        <w:tc>
          <w:tcPr>
            <w:tcW w:w="852" w:type="dxa"/>
            <w:vMerge w:val="restart"/>
            <w:tcBorders>
              <w:tl2br w:val="nil"/>
              <w:tr2bl w:val="nil"/>
            </w:tcBorders>
            <w:shd w:val="clear" w:color="auto" w:fill="auto"/>
            <w:vAlign w:val="center"/>
          </w:tcPr>
          <w:p w14:paraId="28DA1323">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FF6DDF2">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4D3906B9">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4AE7F24">
            <w:pPr>
              <w:widowControl/>
              <w:spacing w:line="240" w:lineRule="auto"/>
              <w:jc w:val="center"/>
              <w:rPr>
                <w:rFonts w:hint="eastAsia" w:ascii="宋体" w:hAnsi="宋体" w:cs="宋体"/>
                <w:color w:val="auto"/>
                <w:kern w:val="0"/>
                <w:sz w:val="18"/>
                <w:szCs w:val="18"/>
                <w:highlight w:val="none"/>
              </w:rPr>
            </w:pPr>
          </w:p>
        </w:tc>
      </w:tr>
      <w:tr w14:paraId="619F78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131DAA92">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295E7E5D">
            <w:pPr>
              <w:snapToGrid w:val="0"/>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1DACD731">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91567B2">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42463C7">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6EB839D">
            <w:pPr>
              <w:widowControl/>
              <w:spacing w:line="240" w:lineRule="auto"/>
              <w:jc w:val="center"/>
              <w:rPr>
                <w:rFonts w:hint="eastAsia" w:ascii="宋体" w:hAnsi="宋体" w:cs="宋体"/>
                <w:color w:val="auto"/>
                <w:kern w:val="0"/>
                <w:sz w:val="18"/>
                <w:szCs w:val="18"/>
                <w:highlight w:val="none"/>
              </w:rPr>
            </w:pPr>
          </w:p>
        </w:tc>
      </w:tr>
      <w:tr w14:paraId="2FA8DB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7BD056DC">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6345E36C">
            <w:pPr>
              <w:widowControl/>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645FA343">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A2CA34D">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6DEBFE4C">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D1BEF6D">
            <w:pPr>
              <w:widowControl/>
              <w:spacing w:line="240" w:lineRule="auto"/>
              <w:jc w:val="center"/>
              <w:rPr>
                <w:rFonts w:hint="eastAsia" w:ascii="宋体" w:hAnsi="宋体" w:cs="宋体"/>
                <w:color w:val="auto"/>
                <w:kern w:val="0"/>
                <w:sz w:val="18"/>
                <w:szCs w:val="18"/>
                <w:highlight w:val="none"/>
              </w:rPr>
            </w:pPr>
          </w:p>
        </w:tc>
      </w:tr>
      <w:tr w14:paraId="5F6354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611D9C6B">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6EBF05B0">
            <w:pPr>
              <w:widowControl/>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0F8566D6">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C2355D2">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00D9EFC">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8316973">
            <w:pPr>
              <w:widowControl/>
              <w:spacing w:line="240" w:lineRule="auto"/>
              <w:jc w:val="center"/>
              <w:rPr>
                <w:rFonts w:hint="eastAsia" w:ascii="宋体" w:hAnsi="宋体" w:cs="宋体"/>
                <w:color w:val="auto"/>
                <w:kern w:val="0"/>
                <w:sz w:val="18"/>
                <w:szCs w:val="18"/>
                <w:highlight w:val="none"/>
              </w:rPr>
            </w:pPr>
          </w:p>
        </w:tc>
      </w:tr>
      <w:tr w14:paraId="24CB67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441E0C54">
            <w:pPr>
              <w:widowControl w:val="0"/>
              <w:snapToGrid w:val="0"/>
              <w:spacing w:line="240" w:lineRule="auto"/>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2"/>
                <w:sz w:val="18"/>
                <w:szCs w:val="18"/>
                <w:highlight w:val="none"/>
              </w:rPr>
              <w:t>3_</w:t>
            </w:r>
            <w:r>
              <w:rPr>
                <w:rFonts w:hint="eastAsia" w:ascii="宋体" w:hAnsi="宋体" w:cs="宋体"/>
                <w:color w:val="auto"/>
                <w:kern w:val="2"/>
                <w:sz w:val="18"/>
                <w:szCs w:val="18"/>
                <w:highlight w:val="none"/>
                <w:lang w:val="en-US" w:eastAsia="zh-CN"/>
              </w:rPr>
              <w:t>9</w:t>
            </w:r>
          </w:p>
        </w:tc>
        <w:tc>
          <w:tcPr>
            <w:tcW w:w="2415" w:type="dxa"/>
            <w:vMerge w:val="restart"/>
            <w:tcBorders>
              <w:tl2br w:val="nil"/>
              <w:tr2bl w:val="nil"/>
            </w:tcBorders>
            <w:shd w:val="clear" w:color="auto" w:fill="auto"/>
            <w:vAlign w:val="center"/>
          </w:tcPr>
          <w:p w14:paraId="35C0FA74">
            <w:pPr>
              <w:snapToGrid w:val="0"/>
              <w:spacing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主变压器</w:t>
            </w:r>
            <w:r>
              <w:rPr>
                <w:rFonts w:hint="eastAsia" w:ascii="宋体" w:hAnsi="宋体" w:cs="宋体"/>
                <w:color w:val="auto"/>
                <w:sz w:val="18"/>
                <w:szCs w:val="18"/>
                <w:highlight w:val="none"/>
                <w:lang w:val="en-US" w:eastAsia="zh-CN"/>
              </w:rPr>
              <w:t>断路器闪络</w:t>
            </w:r>
            <w:r>
              <w:rPr>
                <w:rFonts w:hint="eastAsia" w:ascii="宋体" w:hAnsi="宋体" w:cs="宋体"/>
                <w:color w:val="auto"/>
                <w:sz w:val="18"/>
                <w:szCs w:val="18"/>
                <w:highlight w:val="none"/>
              </w:rPr>
              <w:t>保护</w:t>
            </w:r>
          </w:p>
        </w:tc>
        <w:tc>
          <w:tcPr>
            <w:tcW w:w="852" w:type="dxa"/>
            <w:vMerge w:val="restart"/>
            <w:tcBorders>
              <w:tl2br w:val="nil"/>
              <w:tr2bl w:val="nil"/>
            </w:tcBorders>
            <w:shd w:val="clear" w:color="auto" w:fill="auto"/>
            <w:vAlign w:val="center"/>
          </w:tcPr>
          <w:p w14:paraId="47182BAB">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E51BEF3">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77E509B0">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CA47C2A">
            <w:pPr>
              <w:widowControl/>
              <w:spacing w:line="240" w:lineRule="auto"/>
              <w:jc w:val="center"/>
              <w:rPr>
                <w:rFonts w:hint="eastAsia" w:ascii="宋体" w:hAnsi="宋体" w:cs="宋体"/>
                <w:color w:val="auto"/>
                <w:kern w:val="0"/>
                <w:sz w:val="18"/>
                <w:szCs w:val="18"/>
                <w:highlight w:val="none"/>
              </w:rPr>
            </w:pPr>
          </w:p>
        </w:tc>
      </w:tr>
      <w:tr w14:paraId="670A35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384EACA0">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01901413">
            <w:pPr>
              <w:snapToGrid w:val="0"/>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2F65F5A4">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621D8B3">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A2B64C6">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FCC60BD">
            <w:pPr>
              <w:widowControl/>
              <w:spacing w:line="240" w:lineRule="auto"/>
              <w:jc w:val="center"/>
              <w:rPr>
                <w:rFonts w:hint="eastAsia" w:ascii="宋体" w:hAnsi="宋体" w:cs="宋体"/>
                <w:color w:val="auto"/>
                <w:kern w:val="0"/>
                <w:sz w:val="18"/>
                <w:szCs w:val="18"/>
                <w:highlight w:val="none"/>
              </w:rPr>
            </w:pPr>
          </w:p>
        </w:tc>
      </w:tr>
      <w:tr w14:paraId="70A97D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005DC584">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103CCCF0">
            <w:pPr>
              <w:widowControl/>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0D2799EE">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22108FA">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3920FFD4">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499C528">
            <w:pPr>
              <w:widowControl/>
              <w:spacing w:line="240" w:lineRule="auto"/>
              <w:jc w:val="center"/>
              <w:rPr>
                <w:rFonts w:hint="eastAsia" w:ascii="宋体" w:hAnsi="宋体" w:cs="宋体"/>
                <w:color w:val="auto"/>
                <w:kern w:val="0"/>
                <w:sz w:val="18"/>
                <w:szCs w:val="18"/>
                <w:highlight w:val="none"/>
              </w:rPr>
            </w:pPr>
          </w:p>
        </w:tc>
      </w:tr>
      <w:tr w14:paraId="386646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1CCA7C2C">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66DE347B">
            <w:pPr>
              <w:widowControl/>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23573098">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D07E59C">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5F38355">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B3AB2DD">
            <w:pPr>
              <w:widowControl/>
              <w:spacing w:line="240" w:lineRule="auto"/>
              <w:jc w:val="center"/>
              <w:rPr>
                <w:rFonts w:hint="eastAsia" w:ascii="宋体" w:hAnsi="宋体" w:cs="宋体"/>
                <w:color w:val="auto"/>
                <w:kern w:val="0"/>
                <w:sz w:val="18"/>
                <w:szCs w:val="18"/>
                <w:highlight w:val="none"/>
              </w:rPr>
            </w:pPr>
          </w:p>
        </w:tc>
      </w:tr>
      <w:tr w14:paraId="3305D6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5A124093">
            <w:pPr>
              <w:widowControl w:val="0"/>
              <w:snapToGrid w:val="0"/>
              <w:spacing w:line="240" w:lineRule="auto"/>
              <w:jc w:val="center"/>
              <w:rPr>
                <w:rFonts w:hint="default" w:ascii="宋体" w:hAnsi="宋体" w:eastAsia="宋体" w:cs="宋体"/>
                <w:color w:val="auto"/>
                <w:kern w:val="0"/>
                <w:sz w:val="18"/>
                <w:szCs w:val="18"/>
                <w:highlight w:val="none"/>
                <w:lang w:val="en-US" w:eastAsia="zh-CN"/>
              </w:rPr>
            </w:pPr>
            <w:r>
              <w:rPr>
                <w:rFonts w:hint="eastAsia" w:ascii="宋体" w:hAnsi="宋体" w:eastAsia="宋体" w:cs="宋体"/>
                <w:color w:val="auto"/>
                <w:kern w:val="2"/>
                <w:sz w:val="18"/>
                <w:szCs w:val="18"/>
                <w:highlight w:val="none"/>
              </w:rPr>
              <w:t>3_</w:t>
            </w:r>
            <w:r>
              <w:rPr>
                <w:rFonts w:hint="eastAsia" w:ascii="宋体" w:hAnsi="宋体" w:cs="宋体"/>
                <w:color w:val="auto"/>
                <w:kern w:val="2"/>
                <w:sz w:val="18"/>
                <w:szCs w:val="18"/>
                <w:highlight w:val="none"/>
                <w:lang w:val="en-US" w:eastAsia="zh-CN"/>
              </w:rPr>
              <w:t>10</w:t>
            </w:r>
          </w:p>
        </w:tc>
        <w:tc>
          <w:tcPr>
            <w:tcW w:w="2415" w:type="dxa"/>
            <w:vMerge w:val="restart"/>
            <w:tcBorders>
              <w:tl2br w:val="nil"/>
              <w:tr2bl w:val="nil"/>
            </w:tcBorders>
            <w:shd w:val="clear" w:color="auto" w:fill="auto"/>
            <w:vAlign w:val="center"/>
          </w:tcPr>
          <w:p w14:paraId="6791964D">
            <w:pPr>
              <w:snapToGrid w:val="0"/>
              <w:spacing w:line="240" w:lineRule="auto"/>
              <w:jc w:val="center"/>
              <w:rPr>
                <w:rFonts w:hint="eastAsia" w:ascii="宋体" w:hAnsi="宋体" w:cs="宋体"/>
                <w:color w:val="auto"/>
                <w:sz w:val="18"/>
                <w:szCs w:val="18"/>
                <w:highlight w:val="none"/>
              </w:rPr>
            </w:pPr>
            <w:r>
              <w:rPr>
                <w:rFonts w:hint="eastAsia" w:ascii="宋体" w:hAnsi="宋体" w:eastAsia="宋体" w:cs="宋体"/>
                <w:color w:val="auto"/>
                <w:sz w:val="18"/>
                <w:szCs w:val="18"/>
                <w:highlight w:val="none"/>
              </w:rPr>
              <w:t>主变</w:t>
            </w:r>
            <w:r>
              <w:rPr>
                <w:rFonts w:hint="eastAsia" w:ascii="宋体" w:hAnsi="宋体" w:eastAsia="宋体" w:cs="宋体"/>
                <w:color w:val="auto"/>
                <w:sz w:val="18"/>
                <w:szCs w:val="18"/>
                <w:highlight w:val="none"/>
                <w:lang w:val="en-US" w:eastAsia="zh-CN"/>
              </w:rPr>
              <w:t>非电量</w:t>
            </w:r>
            <w:r>
              <w:rPr>
                <w:rFonts w:hint="eastAsia" w:ascii="宋体" w:hAnsi="宋体" w:eastAsia="宋体" w:cs="宋体"/>
                <w:color w:val="auto"/>
                <w:sz w:val="18"/>
                <w:szCs w:val="18"/>
                <w:highlight w:val="none"/>
              </w:rPr>
              <w:t>保护</w:t>
            </w:r>
          </w:p>
        </w:tc>
        <w:tc>
          <w:tcPr>
            <w:tcW w:w="852" w:type="dxa"/>
            <w:vMerge w:val="restart"/>
            <w:tcBorders>
              <w:tl2br w:val="nil"/>
              <w:tr2bl w:val="nil"/>
            </w:tcBorders>
            <w:shd w:val="clear" w:color="auto" w:fill="auto"/>
            <w:vAlign w:val="center"/>
          </w:tcPr>
          <w:p w14:paraId="198C680C">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54F836B">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6874ACAD">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3849CD6">
            <w:pPr>
              <w:widowControl/>
              <w:spacing w:line="240" w:lineRule="auto"/>
              <w:jc w:val="center"/>
              <w:rPr>
                <w:rFonts w:hint="eastAsia" w:ascii="宋体" w:hAnsi="宋体" w:cs="宋体"/>
                <w:color w:val="auto"/>
                <w:kern w:val="0"/>
                <w:sz w:val="18"/>
                <w:szCs w:val="18"/>
                <w:highlight w:val="none"/>
              </w:rPr>
            </w:pPr>
          </w:p>
        </w:tc>
      </w:tr>
      <w:tr w14:paraId="59C5A9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637D2B34">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19D67930">
            <w:pPr>
              <w:snapToGrid w:val="0"/>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69411A9A">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21E6116">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EA25C2A">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F1041C2">
            <w:pPr>
              <w:widowControl/>
              <w:spacing w:line="240" w:lineRule="auto"/>
              <w:jc w:val="center"/>
              <w:rPr>
                <w:rFonts w:hint="eastAsia" w:ascii="宋体" w:hAnsi="宋体" w:cs="宋体"/>
                <w:color w:val="auto"/>
                <w:kern w:val="0"/>
                <w:sz w:val="18"/>
                <w:szCs w:val="18"/>
                <w:highlight w:val="none"/>
              </w:rPr>
            </w:pPr>
          </w:p>
        </w:tc>
      </w:tr>
      <w:tr w14:paraId="0AAA9F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4A8AA8CE">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5D5A4AA2">
            <w:pPr>
              <w:widowControl/>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0B17D17E">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FB68AA0">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35E6E548">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BA7354D">
            <w:pPr>
              <w:widowControl/>
              <w:spacing w:line="240" w:lineRule="auto"/>
              <w:jc w:val="center"/>
              <w:rPr>
                <w:rFonts w:hint="eastAsia" w:ascii="宋体" w:hAnsi="宋体" w:cs="宋体"/>
                <w:color w:val="auto"/>
                <w:kern w:val="0"/>
                <w:sz w:val="18"/>
                <w:szCs w:val="18"/>
                <w:highlight w:val="none"/>
              </w:rPr>
            </w:pPr>
          </w:p>
        </w:tc>
      </w:tr>
      <w:tr w14:paraId="169251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3E607442">
            <w:pPr>
              <w:widowControl/>
              <w:spacing w:line="240" w:lineRule="auto"/>
              <w:jc w:val="center"/>
              <w:rPr>
                <w:rFonts w:hint="eastAsia"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1DBF4D99">
            <w:pPr>
              <w:widowControl/>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1573BF55">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6AAAD6F">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C637BB7">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EBC5D80">
            <w:pPr>
              <w:widowControl/>
              <w:spacing w:line="240" w:lineRule="auto"/>
              <w:jc w:val="center"/>
              <w:rPr>
                <w:rFonts w:hint="eastAsia" w:ascii="宋体" w:hAnsi="宋体" w:cs="宋体"/>
                <w:color w:val="auto"/>
                <w:kern w:val="0"/>
                <w:sz w:val="18"/>
                <w:szCs w:val="18"/>
                <w:highlight w:val="none"/>
              </w:rPr>
            </w:pPr>
          </w:p>
        </w:tc>
      </w:tr>
      <w:tr w14:paraId="7C3162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tcBorders>
              <w:tl2br w:val="nil"/>
              <w:tr2bl w:val="nil"/>
            </w:tcBorders>
            <w:shd w:val="clear" w:color="auto" w:fill="auto"/>
            <w:vAlign w:val="center"/>
          </w:tcPr>
          <w:p w14:paraId="3ABBC9EE">
            <w:pPr>
              <w:widowControl/>
              <w:spacing w:line="240" w:lineRule="auto"/>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7644" w:type="dxa"/>
            <w:gridSpan w:val="5"/>
            <w:tcBorders>
              <w:tl2br w:val="nil"/>
              <w:tr2bl w:val="nil"/>
            </w:tcBorders>
            <w:shd w:val="clear" w:color="auto" w:fill="auto"/>
            <w:vAlign w:val="center"/>
          </w:tcPr>
          <w:p w14:paraId="1493A9E8">
            <w:pPr>
              <w:widowControl/>
              <w:spacing w:line="240" w:lineRule="auto"/>
              <w:jc w:val="both"/>
              <w:rPr>
                <w:rFonts w:hint="eastAsia" w:ascii="宋体" w:hAnsi="宋体" w:cs="宋体"/>
                <w:color w:val="auto"/>
                <w:kern w:val="0"/>
                <w:sz w:val="18"/>
                <w:szCs w:val="18"/>
                <w:highlight w:val="none"/>
              </w:rPr>
            </w:pPr>
            <w:r>
              <w:rPr>
                <w:rFonts w:hint="eastAsia" w:ascii="宋体" w:hAnsi="宋体" w:cs="宋体"/>
                <w:color w:val="auto"/>
                <w:sz w:val="18"/>
                <w:szCs w:val="18"/>
                <w:highlight w:val="none"/>
              </w:rPr>
              <w:t>微机型高压厂变保护装置</w:t>
            </w:r>
          </w:p>
        </w:tc>
      </w:tr>
      <w:tr w14:paraId="1AC426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6DCCDE67">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4_1</w:t>
            </w:r>
          </w:p>
        </w:tc>
        <w:tc>
          <w:tcPr>
            <w:tcW w:w="2415" w:type="dxa"/>
            <w:vMerge w:val="restart"/>
            <w:tcBorders>
              <w:tl2br w:val="nil"/>
              <w:tr2bl w:val="nil"/>
            </w:tcBorders>
            <w:shd w:val="clear" w:color="auto" w:fill="auto"/>
            <w:vAlign w:val="center"/>
          </w:tcPr>
          <w:p w14:paraId="34E35555">
            <w:pPr>
              <w:snapToGrid w:val="0"/>
              <w:spacing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高压厂变差动保护</w:t>
            </w:r>
          </w:p>
        </w:tc>
        <w:tc>
          <w:tcPr>
            <w:tcW w:w="852" w:type="dxa"/>
            <w:vMerge w:val="restart"/>
            <w:tcBorders>
              <w:tl2br w:val="nil"/>
              <w:tr2bl w:val="nil"/>
            </w:tcBorders>
            <w:shd w:val="clear" w:color="auto" w:fill="auto"/>
            <w:vAlign w:val="center"/>
          </w:tcPr>
          <w:p w14:paraId="66849ABF">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D5E8680">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5E9958BF">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1CEE8F2">
            <w:pPr>
              <w:widowControl/>
              <w:spacing w:line="240" w:lineRule="auto"/>
              <w:jc w:val="center"/>
              <w:rPr>
                <w:rFonts w:hint="eastAsia" w:ascii="宋体" w:hAnsi="宋体" w:cs="宋体"/>
                <w:color w:val="auto"/>
                <w:kern w:val="0"/>
                <w:sz w:val="18"/>
                <w:szCs w:val="18"/>
                <w:highlight w:val="none"/>
              </w:rPr>
            </w:pPr>
          </w:p>
        </w:tc>
      </w:tr>
      <w:tr w14:paraId="6E1718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6B72F2C0">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54ACA05A">
            <w:pPr>
              <w:snapToGrid w:val="0"/>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12A25A5B">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D856D02">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B881B90">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F074DCE">
            <w:pPr>
              <w:widowControl/>
              <w:spacing w:line="240" w:lineRule="auto"/>
              <w:jc w:val="center"/>
              <w:rPr>
                <w:rFonts w:hint="eastAsia" w:ascii="宋体" w:hAnsi="宋体" w:cs="宋体"/>
                <w:color w:val="auto"/>
                <w:kern w:val="0"/>
                <w:sz w:val="18"/>
                <w:szCs w:val="18"/>
                <w:highlight w:val="none"/>
              </w:rPr>
            </w:pPr>
          </w:p>
        </w:tc>
      </w:tr>
      <w:tr w14:paraId="68E3B0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70B9A528">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5DF31ACC">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3DA93300">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902A173">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2047C9B3">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DE16B70">
            <w:pPr>
              <w:widowControl/>
              <w:spacing w:line="240" w:lineRule="auto"/>
              <w:jc w:val="center"/>
              <w:rPr>
                <w:rFonts w:hint="eastAsia" w:ascii="宋体" w:hAnsi="宋体" w:cs="宋体"/>
                <w:color w:val="auto"/>
                <w:kern w:val="0"/>
                <w:sz w:val="18"/>
                <w:szCs w:val="18"/>
                <w:highlight w:val="none"/>
              </w:rPr>
            </w:pPr>
          </w:p>
        </w:tc>
      </w:tr>
      <w:tr w14:paraId="27038C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73E16296">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37DA0AC1">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09FAC670">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5443F3D">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8E45971">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A8647E7">
            <w:pPr>
              <w:widowControl/>
              <w:spacing w:line="240" w:lineRule="auto"/>
              <w:jc w:val="center"/>
              <w:rPr>
                <w:rFonts w:hint="eastAsia" w:ascii="宋体" w:hAnsi="宋体" w:cs="宋体"/>
                <w:color w:val="auto"/>
                <w:kern w:val="0"/>
                <w:sz w:val="18"/>
                <w:szCs w:val="18"/>
                <w:highlight w:val="none"/>
              </w:rPr>
            </w:pPr>
          </w:p>
        </w:tc>
      </w:tr>
      <w:tr w14:paraId="320D32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1F0E2F58">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4_2</w:t>
            </w:r>
          </w:p>
        </w:tc>
        <w:tc>
          <w:tcPr>
            <w:tcW w:w="2415" w:type="dxa"/>
            <w:vMerge w:val="restart"/>
            <w:tcBorders>
              <w:tl2br w:val="nil"/>
              <w:tr2bl w:val="nil"/>
            </w:tcBorders>
            <w:shd w:val="clear" w:color="auto" w:fill="auto"/>
            <w:vAlign w:val="center"/>
          </w:tcPr>
          <w:p w14:paraId="0E6657B5">
            <w:pPr>
              <w:snapToGrid w:val="0"/>
              <w:spacing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高压厂变速断保护</w:t>
            </w:r>
          </w:p>
        </w:tc>
        <w:tc>
          <w:tcPr>
            <w:tcW w:w="852" w:type="dxa"/>
            <w:vMerge w:val="restart"/>
            <w:tcBorders>
              <w:tl2br w:val="nil"/>
              <w:tr2bl w:val="nil"/>
            </w:tcBorders>
            <w:shd w:val="clear" w:color="auto" w:fill="auto"/>
            <w:vAlign w:val="center"/>
          </w:tcPr>
          <w:p w14:paraId="314327D5">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F3681C8">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318290F3">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6BB4EFD">
            <w:pPr>
              <w:widowControl/>
              <w:spacing w:line="240" w:lineRule="auto"/>
              <w:jc w:val="center"/>
              <w:rPr>
                <w:rFonts w:hint="eastAsia" w:ascii="宋体" w:hAnsi="宋体" w:cs="宋体"/>
                <w:color w:val="auto"/>
                <w:kern w:val="0"/>
                <w:sz w:val="18"/>
                <w:szCs w:val="18"/>
                <w:highlight w:val="none"/>
              </w:rPr>
            </w:pPr>
          </w:p>
        </w:tc>
      </w:tr>
      <w:tr w14:paraId="4C8181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3595545D">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0F0224FF">
            <w:pPr>
              <w:snapToGrid w:val="0"/>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1ECE7D16">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97AAC7C">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9EC4D25">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C5C4BAD">
            <w:pPr>
              <w:widowControl/>
              <w:spacing w:line="240" w:lineRule="auto"/>
              <w:jc w:val="center"/>
              <w:rPr>
                <w:rFonts w:hint="eastAsia" w:ascii="宋体" w:hAnsi="宋体" w:cs="宋体"/>
                <w:color w:val="auto"/>
                <w:kern w:val="0"/>
                <w:sz w:val="18"/>
                <w:szCs w:val="18"/>
                <w:highlight w:val="none"/>
              </w:rPr>
            </w:pPr>
          </w:p>
        </w:tc>
      </w:tr>
      <w:tr w14:paraId="665E74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51C14B3C">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4FDFF62E">
            <w:pPr>
              <w:widowControl/>
              <w:spacing w:line="240" w:lineRule="auto"/>
              <w:jc w:val="center"/>
              <w:rPr>
                <w:rFonts w:ascii="宋体" w:hAnsi="宋体" w:cs="宋体"/>
                <w:color w:val="auto"/>
                <w:kern w:val="0"/>
                <w:sz w:val="18"/>
                <w:szCs w:val="18"/>
                <w:highlight w:val="none"/>
              </w:rPr>
            </w:pPr>
          </w:p>
        </w:tc>
        <w:tc>
          <w:tcPr>
            <w:tcW w:w="852" w:type="dxa"/>
            <w:tcBorders>
              <w:tl2br w:val="nil"/>
              <w:tr2bl w:val="nil"/>
            </w:tcBorders>
            <w:shd w:val="clear" w:color="auto" w:fill="auto"/>
            <w:vAlign w:val="center"/>
          </w:tcPr>
          <w:p w14:paraId="62B2A5D4">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98AB164">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500F8982">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674765A">
            <w:pPr>
              <w:widowControl/>
              <w:spacing w:line="240" w:lineRule="auto"/>
              <w:jc w:val="center"/>
              <w:rPr>
                <w:rFonts w:hint="eastAsia" w:ascii="宋体" w:hAnsi="宋体" w:cs="宋体"/>
                <w:color w:val="auto"/>
                <w:kern w:val="0"/>
                <w:sz w:val="18"/>
                <w:szCs w:val="18"/>
                <w:highlight w:val="none"/>
              </w:rPr>
            </w:pPr>
          </w:p>
        </w:tc>
      </w:tr>
      <w:tr w14:paraId="558761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07040360">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1673C8FE">
            <w:pPr>
              <w:widowControl/>
              <w:spacing w:line="240" w:lineRule="auto"/>
              <w:jc w:val="center"/>
              <w:rPr>
                <w:rFonts w:ascii="宋体" w:hAnsi="宋体" w:cs="宋体"/>
                <w:color w:val="auto"/>
                <w:kern w:val="0"/>
                <w:sz w:val="18"/>
                <w:szCs w:val="18"/>
                <w:highlight w:val="none"/>
              </w:rPr>
            </w:pPr>
          </w:p>
        </w:tc>
        <w:tc>
          <w:tcPr>
            <w:tcW w:w="852" w:type="dxa"/>
            <w:tcBorders>
              <w:tl2br w:val="nil"/>
              <w:tr2bl w:val="nil"/>
            </w:tcBorders>
            <w:shd w:val="clear" w:color="auto" w:fill="auto"/>
            <w:vAlign w:val="center"/>
          </w:tcPr>
          <w:p w14:paraId="03CABAA2">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236597B">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67E555D">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7A71C98">
            <w:pPr>
              <w:widowControl/>
              <w:spacing w:line="240" w:lineRule="auto"/>
              <w:jc w:val="center"/>
              <w:rPr>
                <w:rFonts w:hint="eastAsia" w:ascii="宋体" w:hAnsi="宋体" w:cs="宋体"/>
                <w:color w:val="auto"/>
                <w:kern w:val="0"/>
                <w:sz w:val="18"/>
                <w:szCs w:val="18"/>
                <w:highlight w:val="none"/>
              </w:rPr>
            </w:pPr>
          </w:p>
        </w:tc>
      </w:tr>
      <w:tr w14:paraId="374547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56F0C0B4">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4_3</w:t>
            </w:r>
          </w:p>
        </w:tc>
        <w:tc>
          <w:tcPr>
            <w:tcW w:w="2415" w:type="dxa"/>
            <w:vMerge w:val="restart"/>
            <w:tcBorders>
              <w:tl2br w:val="nil"/>
              <w:tr2bl w:val="nil"/>
            </w:tcBorders>
            <w:shd w:val="clear" w:color="auto" w:fill="auto"/>
            <w:vAlign w:val="center"/>
          </w:tcPr>
          <w:p w14:paraId="55FF35DF">
            <w:pPr>
              <w:snapToGrid w:val="0"/>
              <w:spacing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高压厂变</w:t>
            </w:r>
            <w:r>
              <w:rPr>
                <w:rFonts w:hint="eastAsia" w:ascii="宋体" w:hAnsi="宋体" w:cs="宋体"/>
                <w:b w:val="0"/>
                <w:color w:val="auto"/>
                <w:spacing w:val="0"/>
                <w:sz w:val="18"/>
                <w:szCs w:val="18"/>
                <w:highlight w:val="none"/>
              </w:rPr>
              <w:t>复合电压</w:t>
            </w:r>
            <w:r>
              <w:rPr>
                <w:rFonts w:hint="eastAsia" w:ascii="宋体" w:hAnsi="宋体" w:cs="宋体"/>
                <w:color w:val="auto"/>
                <w:sz w:val="18"/>
                <w:szCs w:val="18"/>
                <w:highlight w:val="none"/>
              </w:rPr>
              <w:t>闭锁过流保护</w:t>
            </w:r>
          </w:p>
        </w:tc>
        <w:tc>
          <w:tcPr>
            <w:tcW w:w="852" w:type="dxa"/>
            <w:vMerge w:val="restart"/>
            <w:tcBorders>
              <w:tl2br w:val="nil"/>
              <w:tr2bl w:val="nil"/>
            </w:tcBorders>
            <w:shd w:val="clear" w:color="auto" w:fill="auto"/>
            <w:vAlign w:val="center"/>
          </w:tcPr>
          <w:p w14:paraId="75EB0F64">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C6C0A2A">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783A7578">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76F01A4">
            <w:pPr>
              <w:widowControl/>
              <w:spacing w:line="240" w:lineRule="auto"/>
              <w:jc w:val="center"/>
              <w:rPr>
                <w:rFonts w:hint="eastAsia" w:ascii="宋体" w:hAnsi="宋体" w:cs="宋体"/>
                <w:color w:val="auto"/>
                <w:kern w:val="0"/>
                <w:sz w:val="18"/>
                <w:szCs w:val="18"/>
                <w:highlight w:val="none"/>
              </w:rPr>
            </w:pPr>
          </w:p>
        </w:tc>
      </w:tr>
      <w:tr w14:paraId="69FEFC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32A5A6BB">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67871620">
            <w:pPr>
              <w:snapToGrid w:val="0"/>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46902C55">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CE69A35">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2A7C1D2">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5C8EAAD">
            <w:pPr>
              <w:widowControl/>
              <w:spacing w:line="240" w:lineRule="auto"/>
              <w:jc w:val="center"/>
              <w:rPr>
                <w:rFonts w:hint="eastAsia" w:ascii="宋体" w:hAnsi="宋体" w:cs="宋体"/>
                <w:color w:val="auto"/>
                <w:kern w:val="0"/>
                <w:sz w:val="18"/>
                <w:szCs w:val="18"/>
                <w:highlight w:val="none"/>
              </w:rPr>
            </w:pPr>
          </w:p>
        </w:tc>
      </w:tr>
      <w:tr w14:paraId="4A928A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79D0E5C8">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3EB764B2">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0A21246A">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1628EE2">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5A2E7AD6">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2B8B7CE">
            <w:pPr>
              <w:widowControl/>
              <w:spacing w:line="240" w:lineRule="auto"/>
              <w:jc w:val="center"/>
              <w:rPr>
                <w:rFonts w:hint="eastAsia" w:ascii="宋体" w:hAnsi="宋体" w:cs="宋体"/>
                <w:color w:val="auto"/>
                <w:kern w:val="0"/>
                <w:sz w:val="18"/>
                <w:szCs w:val="18"/>
                <w:highlight w:val="none"/>
              </w:rPr>
            </w:pPr>
          </w:p>
        </w:tc>
      </w:tr>
      <w:tr w14:paraId="75C8D2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45B36073">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775E3FBF">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604E295C">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33429FA">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4B1D841">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F6B027A">
            <w:pPr>
              <w:widowControl/>
              <w:spacing w:line="240" w:lineRule="auto"/>
              <w:jc w:val="center"/>
              <w:rPr>
                <w:rFonts w:hint="eastAsia" w:ascii="宋体" w:hAnsi="宋体" w:cs="宋体"/>
                <w:color w:val="auto"/>
                <w:kern w:val="0"/>
                <w:sz w:val="18"/>
                <w:szCs w:val="18"/>
                <w:highlight w:val="none"/>
              </w:rPr>
            </w:pPr>
          </w:p>
        </w:tc>
      </w:tr>
      <w:tr w14:paraId="7377F5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1708CE33">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4_4</w:t>
            </w:r>
          </w:p>
        </w:tc>
        <w:tc>
          <w:tcPr>
            <w:tcW w:w="2415" w:type="dxa"/>
            <w:vMerge w:val="restart"/>
            <w:tcBorders>
              <w:tl2br w:val="nil"/>
              <w:tr2bl w:val="nil"/>
            </w:tcBorders>
            <w:shd w:val="clear" w:color="auto" w:fill="auto"/>
            <w:vAlign w:val="center"/>
          </w:tcPr>
          <w:p w14:paraId="730CAE8D">
            <w:pPr>
              <w:snapToGrid w:val="0"/>
              <w:spacing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高压厂变中性点过流保护</w:t>
            </w:r>
          </w:p>
        </w:tc>
        <w:tc>
          <w:tcPr>
            <w:tcW w:w="852" w:type="dxa"/>
            <w:vMerge w:val="restart"/>
            <w:tcBorders>
              <w:tl2br w:val="nil"/>
              <w:tr2bl w:val="nil"/>
            </w:tcBorders>
            <w:shd w:val="clear" w:color="auto" w:fill="auto"/>
            <w:vAlign w:val="center"/>
          </w:tcPr>
          <w:p w14:paraId="45DFDCE8">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31169AB">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6EB6F2A9">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3D79F5E">
            <w:pPr>
              <w:widowControl/>
              <w:spacing w:line="240" w:lineRule="auto"/>
              <w:jc w:val="center"/>
              <w:rPr>
                <w:rFonts w:hint="eastAsia" w:ascii="宋体" w:hAnsi="宋体" w:cs="宋体"/>
                <w:color w:val="auto"/>
                <w:kern w:val="0"/>
                <w:sz w:val="18"/>
                <w:szCs w:val="18"/>
                <w:highlight w:val="none"/>
              </w:rPr>
            </w:pPr>
          </w:p>
        </w:tc>
      </w:tr>
      <w:tr w14:paraId="4A23D9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10892BC2">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3EAE79F0">
            <w:pPr>
              <w:snapToGrid w:val="0"/>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6CD79939">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950D6BC">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838AF30">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623EB9F">
            <w:pPr>
              <w:widowControl/>
              <w:spacing w:line="240" w:lineRule="auto"/>
              <w:jc w:val="center"/>
              <w:rPr>
                <w:rFonts w:hint="eastAsia" w:ascii="宋体" w:hAnsi="宋体" w:cs="宋体"/>
                <w:color w:val="auto"/>
                <w:kern w:val="0"/>
                <w:sz w:val="18"/>
                <w:szCs w:val="18"/>
                <w:highlight w:val="none"/>
              </w:rPr>
            </w:pPr>
          </w:p>
        </w:tc>
      </w:tr>
      <w:tr w14:paraId="555AF5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76B409EE">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05C85CF9">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739E5046">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E169D30">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7476DAEB">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06BCB44">
            <w:pPr>
              <w:widowControl/>
              <w:spacing w:line="240" w:lineRule="auto"/>
              <w:jc w:val="center"/>
              <w:rPr>
                <w:rFonts w:hint="eastAsia" w:ascii="宋体" w:hAnsi="宋体" w:cs="宋体"/>
                <w:color w:val="auto"/>
                <w:kern w:val="0"/>
                <w:sz w:val="18"/>
                <w:szCs w:val="18"/>
                <w:highlight w:val="none"/>
              </w:rPr>
            </w:pPr>
          </w:p>
        </w:tc>
      </w:tr>
      <w:tr w14:paraId="63728E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267350A2">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08E7C423">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09ABE56B">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6C5A62A">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F55252E">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AA21821">
            <w:pPr>
              <w:widowControl/>
              <w:spacing w:line="240" w:lineRule="auto"/>
              <w:jc w:val="center"/>
              <w:rPr>
                <w:rFonts w:hint="eastAsia" w:ascii="宋体" w:hAnsi="宋体" w:cs="宋体"/>
                <w:color w:val="auto"/>
                <w:kern w:val="0"/>
                <w:sz w:val="18"/>
                <w:szCs w:val="18"/>
                <w:highlight w:val="none"/>
              </w:rPr>
            </w:pPr>
          </w:p>
        </w:tc>
      </w:tr>
      <w:tr w14:paraId="3582F4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39467DB1">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4_5</w:t>
            </w:r>
          </w:p>
        </w:tc>
        <w:tc>
          <w:tcPr>
            <w:tcW w:w="2415" w:type="dxa"/>
            <w:vMerge w:val="restart"/>
            <w:tcBorders>
              <w:tl2br w:val="nil"/>
              <w:tr2bl w:val="nil"/>
            </w:tcBorders>
            <w:shd w:val="clear" w:color="auto" w:fill="auto"/>
            <w:vAlign w:val="center"/>
          </w:tcPr>
          <w:p w14:paraId="4CB21D5D">
            <w:pPr>
              <w:snapToGrid w:val="0"/>
              <w:spacing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高压厂变过流保护</w:t>
            </w:r>
          </w:p>
        </w:tc>
        <w:tc>
          <w:tcPr>
            <w:tcW w:w="852" w:type="dxa"/>
            <w:vMerge w:val="restart"/>
            <w:tcBorders>
              <w:tl2br w:val="nil"/>
              <w:tr2bl w:val="nil"/>
            </w:tcBorders>
            <w:shd w:val="clear" w:color="auto" w:fill="auto"/>
            <w:vAlign w:val="center"/>
          </w:tcPr>
          <w:p w14:paraId="20ED1F7E">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F127635">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7EBC3809">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03DFB0A">
            <w:pPr>
              <w:widowControl/>
              <w:spacing w:line="240" w:lineRule="auto"/>
              <w:jc w:val="center"/>
              <w:rPr>
                <w:rFonts w:hint="eastAsia" w:ascii="宋体" w:hAnsi="宋体" w:cs="宋体"/>
                <w:color w:val="auto"/>
                <w:kern w:val="0"/>
                <w:sz w:val="18"/>
                <w:szCs w:val="18"/>
                <w:highlight w:val="none"/>
              </w:rPr>
            </w:pPr>
          </w:p>
        </w:tc>
      </w:tr>
      <w:tr w14:paraId="38475B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030BAADE">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7996F3A1">
            <w:pPr>
              <w:snapToGrid w:val="0"/>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4974ADD2">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408D0FF">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947F563">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E835CB4">
            <w:pPr>
              <w:widowControl/>
              <w:spacing w:line="240" w:lineRule="auto"/>
              <w:jc w:val="center"/>
              <w:rPr>
                <w:rFonts w:hint="eastAsia" w:ascii="宋体" w:hAnsi="宋体" w:cs="宋体"/>
                <w:color w:val="auto"/>
                <w:kern w:val="0"/>
                <w:sz w:val="18"/>
                <w:szCs w:val="18"/>
                <w:highlight w:val="none"/>
              </w:rPr>
            </w:pPr>
          </w:p>
        </w:tc>
      </w:tr>
      <w:tr w14:paraId="476407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5D1500ED">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4AED7C31">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3E8698DC">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47F227C">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4D061564">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2946595">
            <w:pPr>
              <w:widowControl/>
              <w:spacing w:line="240" w:lineRule="auto"/>
              <w:jc w:val="center"/>
              <w:rPr>
                <w:rFonts w:hint="eastAsia" w:ascii="宋体" w:hAnsi="宋体" w:cs="宋体"/>
                <w:color w:val="auto"/>
                <w:kern w:val="0"/>
                <w:sz w:val="18"/>
                <w:szCs w:val="18"/>
                <w:highlight w:val="none"/>
              </w:rPr>
            </w:pPr>
          </w:p>
        </w:tc>
      </w:tr>
      <w:tr w14:paraId="61EEB7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2B68DB34">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17F869BD">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04035A64">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43BA8C8">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D22D0CA">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1D24E36">
            <w:pPr>
              <w:widowControl/>
              <w:spacing w:line="240" w:lineRule="auto"/>
              <w:jc w:val="center"/>
              <w:rPr>
                <w:rFonts w:hint="eastAsia" w:ascii="宋体" w:hAnsi="宋体" w:cs="宋体"/>
                <w:color w:val="auto"/>
                <w:kern w:val="0"/>
                <w:sz w:val="18"/>
                <w:szCs w:val="18"/>
                <w:highlight w:val="none"/>
              </w:rPr>
            </w:pPr>
          </w:p>
        </w:tc>
      </w:tr>
      <w:tr w14:paraId="490705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13BDCD66">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4_6</w:t>
            </w:r>
          </w:p>
        </w:tc>
        <w:tc>
          <w:tcPr>
            <w:tcW w:w="2415" w:type="dxa"/>
            <w:vMerge w:val="restart"/>
            <w:tcBorders>
              <w:tl2br w:val="nil"/>
              <w:tr2bl w:val="nil"/>
            </w:tcBorders>
            <w:shd w:val="clear" w:color="auto" w:fill="auto"/>
            <w:vAlign w:val="center"/>
          </w:tcPr>
          <w:p w14:paraId="318B36F5">
            <w:pPr>
              <w:snapToGrid w:val="0"/>
              <w:spacing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高压厂变本体保护</w:t>
            </w:r>
          </w:p>
        </w:tc>
        <w:tc>
          <w:tcPr>
            <w:tcW w:w="852" w:type="dxa"/>
            <w:vMerge w:val="restart"/>
            <w:tcBorders>
              <w:tl2br w:val="nil"/>
              <w:tr2bl w:val="nil"/>
            </w:tcBorders>
            <w:shd w:val="clear" w:color="auto" w:fill="auto"/>
            <w:vAlign w:val="center"/>
          </w:tcPr>
          <w:p w14:paraId="6BBD636E">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F73C50D">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448B60D0">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4E7DE64">
            <w:pPr>
              <w:widowControl/>
              <w:spacing w:line="240" w:lineRule="auto"/>
              <w:jc w:val="center"/>
              <w:rPr>
                <w:rFonts w:ascii="宋体" w:hAnsi="宋体" w:cs="宋体"/>
                <w:color w:val="auto"/>
                <w:kern w:val="0"/>
                <w:sz w:val="18"/>
                <w:szCs w:val="18"/>
                <w:highlight w:val="none"/>
              </w:rPr>
            </w:pPr>
          </w:p>
        </w:tc>
      </w:tr>
      <w:tr w14:paraId="41CD3D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24487DB1">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17A48EB9">
            <w:pPr>
              <w:snapToGrid w:val="0"/>
              <w:spacing w:line="240" w:lineRule="auto"/>
              <w:jc w:val="center"/>
              <w:rPr>
                <w:rFonts w:hint="eastAsia" w:ascii="宋体" w:hAnsi="宋体" w:cs="宋体"/>
                <w:color w:val="auto"/>
                <w:sz w:val="18"/>
                <w:szCs w:val="18"/>
                <w:highlight w:val="none"/>
              </w:rPr>
            </w:pPr>
          </w:p>
        </w:tc>
        <w:tc>
          <w:tcPr>
            <w:tcW w:w="852" w:type="dxa"/>
            <w:vMerge w:val="continue"/>
            <w:tcBorders>
              <w:tl2br w:val="nil"/>
              <w:tr2bl w:val="nil"/>
            </w:tcBorders>
            <w:shd w:val="clear" w:color="auto" w:fill="auto"/>
            <w:vAlign w:val="center"/>
          </w:tcPr>
          <w:p w14:paraId="7CE41802">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F628EA8">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656628B">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53C91D3">
            <w:pPr>
              <w:widowControl/>
              <w:spacing w:line="240" w:lineRule="auto"/>
              <w:jc w:val="center"/>
              <w:rPr>
                <w:rFonts w:ascii="宋体" w:hAnsi="宋体" w:cs="宋体"/>
                <w:color w:val="auto"/>
                <w:kern w:val="0"/>
                <w:sz w:val="18"/>
                <w:szCs w:val="18"/>
                <w:highlight w:val="none"/>
              </w:rPr>
            </w:pPr>
          </w:p>
        </w:tc>
      </w:tr>
      <w:tr w14:paraId="6A3AB9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432EB03B">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71A4C8F9">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4B3D2BE6">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56B0663">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54BE7F59">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3D5BC48">
            <w:pPr>
              <w:widowControl/>
              <w:spacing w:line="240" w:lineRule="auto"/>
              <w:jc w:val="center"/>
              <w:rPr>
                <w:rFonts w:ascii="宋体" w:hAnsi="宋体" w:cs="宋体"/>
                <w:color w:val="auto"/>
                <w:kern w:val="0"/>
                <w:sz w:val="18"/>
                <w:szCs w:val="18"/>
                <w:highlight w:val="none"/>
              </w:rPr>
            </w:pPr>
          </w:p>
        </w:tc>
      </w:tr>
      <w:tr w14:paraId="11E52C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65EC023D">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70169138">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2450DFA8">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86FC420">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18E527E">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A7C9BBF">
            <w:pPr>
              <w:widowControl/>
              <w:spacing w:line="240" w:lineRule="auto"/>
              <w:jc w:val="center"/>
              <w:rPr>
                <w:rFonts w:ascii="宋体" w:hAnsi="宋体" w:cs="宋体"/>
                <w:color w:val="auto"/>
                <w:kern w:val="0"/>
                <w:sz w:val="18"/>
                <w:szCs w:val="18"/>
                <w:highlight w:val="none"/>
              </w:rPr>
            </w:pPr>
          </w:p>
        </w:tc>
      </w:tr>
      <w:tr w14:paraId="489064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2A60F42A">
            <w:pPr>
              <w:widowControl/>
              <w:spacing w:line="240" w:lineRule="auto"/>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lang w:val="en-US" w:eastAsia="zh-CN"/>
              </w:rPr>
              <w:t>5</w:t>
            </w:r>
          </w:p>
        </w:tc>
        <w:tc>
          <w:tcPr>
            <w:tcW w:w="2415" w:type="dxa"/>
            <w:vMerge w:val="restart"/>
            <w:tcBorders>
              <w:tl2br w:val="nil"/>
              <w:tr2bl w:val="nil"/>
            </w:tcBorders>
            <w:shd w:val="clear" w:color="auto" w:fill="auto"/>
            <w:vAlign w:val="center"/>
          </w:tcPr>
          <w:p w14:paraId="1304FB40">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事件记录</w:t>
            </w:r>
          </w:p>
        </w:tc>
        <w:tc>
          <w:tcPr>
            <w:tcW w:w="852" w:type="dxa"/>
            <w:vMerge w:val="restart"/>
            <w:tcBorders>
              <w:tl2br w:val="nil"/>
              <w:tr2bl w:val="nil"/>
            </w:tcBorders>
            <w:shd w:val="clear" w:color="auto" w:fill="auto"/>
            <w:vAlign w:val="center"/>
          </w:tcPr>
          <w:p w14:paraId="1EFE4E42">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888B2B2">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537FF2F9">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8FC49CD">
            <w:pPr>
              <w:widowControl/>
              <w:spacing w:line="240" w:lineRule="auto"/>
              <w:jc w:val="center"/>
              <w:rPr>
                <w:rFonts w:ascii="宋体" w:hAnsi="宋体" w:cs="宋体"/>
                <w:color w:val="auto"/>
                <w:kern w:val="0"/>
                <w:sz w:val="18"/>
                <w:szCs w:val="18"/>
                <w:highlight w:val="none"/>
              </w:rPr>
            </w:pPr>
          </w:p>
        </w:tc>
      </w:tr>
      <w:tr w14:paraId="3BF719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64B733A1">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380A9558">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4533502C">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8E52E04">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3D243B8">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1434072">
            <w:pPr>
              <w:widowControl/>
              <w:spacing w:line="240" w:lineRule="auto"/>
              <w:jc w:val="center"/>
              <w:rPr>
                <w:rFonts w:ascii="宋体" w:hAnsi="宋体" w:cs="宋体"/>
                <w:color w:val="auto"/>
                <w:kern w:val="0"/>
                <w:sz w:val="18"/>
                <w:szCs w:val="18"/>
                <w:highlight w:val="none"/>
              </w:rPr>
            </w:pPr>
          </w:p>
        </w:tc>
      </w:tr>
      <w:tr w14:paraId="4D9CF2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5F6A4BD2">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132711A4">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3FF2B326">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1EB9381">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30EF2926">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4F83FB3">
            <w:pPr>
              <w:widowControl/>
              <w:spacing w:line="240" w:lineRule="auto"/>
              <w:jc w:val="center"/>
              <w:rPr>
                <w:rFonts w:ascii="宋体" w:hAnsi="宋体" w:cs="宋体"/>
                <w:color w:val="auto"/>
                <w:kern w:val="0"/>
                <w:sz w:val="18"/>
                <w:szCs w:val="18"/>
                <w:highlight w:val="none"/>
              </w:rPr>
            </w:pPr>
          </w:p>
        </w:tc>
      </w:tr>
      <w:tr w14:paraId="2E8B84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3974FBA1">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3FD1643B">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202A3DDC">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344A081">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0DBB5DF">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465EB23">
            <w:pPr>
              <w:widowControl/>
              <w:spacing w:line="240" w:lineRule="auto"/>
              <w:jc w:val="center"/>
              <w:rPr>
                <w:rFonts w:ascii="宋体" w:hAnsi="宋体" w:cs="宋体"/>
                <w:color w:val="auto"/>
                <w:kern w:val="0"/>
                <w:sz w:val="18"/>
                <w:szCs w:val="18"/>
                <w:highlight w:val="none"/>
              </w:rPr>
            </w:pPr>
          </w:p>
        </w:tc>
      </w:tr>
      <w:tr w14:paraId="500211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510C14F3">
            <w:pPr>
              <w:widowControl/>
              <w:spacing w:line="240" w:lineRule="auto"/>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lang w:val="en-US" w:eastAsia="zh-CN"/>
              </w:rPr>
              <w:t>6</w:t>
            </w:r>
          </w:p>
        </w:tc>
        <w:tc>
          <w:tcPr>
            <w:tcW w:w="2415" w:type="dxa"/>
            <w:vMerge w:val="restart"/>
            <w:tcBorders>
              <w:tl2br w:val="nil"/>
              <w:tr2bl w:val="nil"/>
            </w:tcBorders>
            <w:shd w:val="clear" w:color="auto" w:fill="auto"/>
            <w:vAlign w:val="center"/>
          </w:tcPr>
          <w:p w14:paraId="0606724D">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故障录波</w:t>
            </w:r>
          </w:p>
        </w:tc>
        <w:tc>
          <w:tcPr>
            <w:tcW w:w="852" w:type="dxa"/>
            <w:vMerge w:val="restart"/>
            <w:tcBorders>
              <w:tl2br w:val="nil"/>
              <w:tr2bl w:val="nil"/>
            </w:tcBorders>
            <w:shd w:val="clear" w:color="auto" w:fill="auto"/>
            <w:vAlign w:val="center"/>
          </w:tcPr>
          <w:p w14:paraId="729C3EA1">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6D49BC9">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37F130EF">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819166E">
            <w:pPr>
              <w:widowControl/>
              <w:spacing w:line="240" w:lineRule="auto"/>
              <w:jc w:val="center"/>
              <w:rPr>
                <w:rFonts w:ascii="宋体" w:hAnsi="宋体" w:cs="宋体"/>
                <w:color w:val="auto"/>
                <w:kern w:val="0"/>
                <w:sz w:val="18"/>
                <w:szCs w:val="18"/>
                <w:highlight w:val="none"/>
              </w:rPr>
            </w:pPr>
          </w:p>
        </w:tc>
      </w:tr>
      <w:tr w14:paraId="479320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3353146A">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2F7CF3DD">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4B33077B">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DDA996D">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52B1ED6">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C3E8D47">
            <w:pPr>
              <w:widowControl/>
              <w:spacing w:line="240" w:lineRule="auto"/>
              <w:jc w:val="center"/>
              <w:rPr>
                <w:rFonts w:ascii="宋体" w:hAnsi="宋体" w:cs="宋体"/>
                <w:color w:val="auto"/>
                <w:kern w:val="0"/>
                <w:sz w:val="18"/>
                <w:szCs w:val="18"/>
                <w:highlight w:val="none"/>
              </w:rPr>
            </w:pPr>
          </w:p>
        </w:tc>
      </w:tr>
      <w:tr w14:paraId="7B78FA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1A53A353">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51CF0691">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66117D4A">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1FBDD72">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25BC8781">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B738A37">
            <w:pPr>
              <w:widowControl/>
              <w:spacing w:line="240" w:lineRule="auto"/>
              <w:jc w:val="center"/>
              <w:rPr>
                <w:rFonts w:ascii="宋体" w:hAnsi="宋体" w:cs="宋体"/>
                <w:color w:val="auto"/>
                <w:kern w:val="0"/>
                <w:sz w:val="18"/>
                <w:szCs w:val="18"/>
                <w:highlight w:val="none"/>
              </w:rPr>
            </w:pPr>
          </w:p>
        </w:tc>
      </w:tr>
      <w:tr w14:paraId="17C8DF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32F34908">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6FDB3A0A">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1C51B712">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F44C162">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89E2913">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8EBBEBA">
            <w:pPr>
              <w:widowControl/>
              <w:spacing w:line="240" w:lineRule="auto"/>
              <w:jc w:val="center"/>
              <w:rPr>
                <w:rFonts w:ascii="宋体" w:hAnsi="宋体" w:cs="宋体"/>
                <w:color w:val="auto"/>
                <w:kern w:val="0"/>
                <w:sz w:val="18"/>
                <w:szCs w:val="18"/>
                <w:highlight w:val="none"/>
              </w:rPr>
            </w:pPr>
          </w:p>
        </w:tc>
      </w:tr>
      <w:tr w14:paraId="2A660E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2CB3E05B">
            <w:pPr>
              <w:widowControl/>
              <w:spacing w:line="240" w:lineRule="auto"/>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lang w:val="en-US" w:eastAsia="zh-CN"/>
              </w:rPr>
              <w:t>7</w:t>
            </w:r>
          </w:p>
        </w:tc>
        <w:tc>
          <w:tcPr>
            <w:tcW w:w="2415" w:type="dxa"/>
            <w:vMerge w:val="restart"/>
            <w:tcBorders>
              <w:tl2br w:val="nil"/>
              <w:tr2bl w:val="nil"/>
            </w:tcBorders>
            <w:shd w:val="clear" w:color="auto" w:fill="auto"/>
            <w:vAlign w:val="center"/>
          </w:tcPr>
          <w:p w14:paraId="44EC8331">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通讯接口</w:t>
            </w:r>
          </w:p>
        </w:tc>
        <w:tc>
          <w:tcPr>
            <w:tcW w:w="852" w:type="dxa"/>
            <w:vMerge w:val="restart"/>
            <w:tcBorders>
              <w:tl2br w:val="nil"/>
              <w:tr2bl w:val="nil"/>
            </w:tcBorders>
            <w:shd w:val="clear" w:color="auto" w:fill="auto"/>
            <w:vAlign w:val="center"/>
          </w:tcPr>
          <w:p w14:paraId="3C6029BA">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B8BDDF0">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3A54584A">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1F52F79">
            <w:pPr>
              <w:widowControl/>
              <w:spacing w:line="240" w:lineRule="auto"/>
              <w:jc w:val="center"/>
              <w:rPr>
                <w:rFonts w:ascii="宋体" w:hAnsi="宋体" w:cs="宋体"/>
                <w:color w:val="auto"/>
                <w:kern w:val="0"/>
                <w:sz w:val="18"/>
                <w:szCs w:val="18"/>
                <w:highlight w:val="none"/>
              </w:rPr>
            </w:pPr>
          </w:p>
        </w:tc>
      </w:tr>
      <w:tr w14:paraId="54EEE9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51D506BA">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29F2315E">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0F1B194F">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CC68E51">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2BCD20A">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9381DF6">
            <w:pPr>
              <w:widowControl/>
              <w:spacing w:line="240" w:lineRule="auto"/>
              <w:jc w:val="center"/>
              <w:rPr>
                <w:rFonts w:ascii="宋体" w:hAnsi="宋体" w:cs="宋体"/>
                <w:color w:val="auto"/>
                <w:kern w:val="0"/>
                <w:sz w:val="18"/>
                <w:szCs w:val="18"/>
                <w:highlight w:val="none"/>
              </w:rPr>
            </w:pPr>
          </w:p>
        </w:tc>
      </w:tr>
      <w:tr w14:paraId="536B69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4EBC7E4A">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4004E773">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4FB90A7B">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960FFBD">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67929A88">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2C55499">
            <w:pPr>
              <w:widowControl/>
              <w:spacing w:line="240" w:lineRule="auto"/>
              <w:jc w:val="center"/>
              <w:rPr>
                <w:rFonts w:ascii="宋体" w:hAnsi="宋体" w:cs="宋体"/>
                <w:color w:val="auto"/>
                <w:kern w:val="0"/>
                <w:sz w:val="18"/>
                <w:szCs w:val="18"/>
                <w:highlight w:val="none"/>
              </w:rPr>
            </w:pPr>
          </w:p>
        </w:tc>
      </w:tr>
      <w:tr w14:paraId="6C3433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290C79AA">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0B6FAB9E">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5B0206B2">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0C33629">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299060B">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8C67B72">
            <w:pPr>
              <w:widowControl/>
              <w:spacing w:line="240" w:lineRule="auto"/>
              <w:jc w:val="center"/>
              <w:rPr>
                <w:rFonts w:ascii="宋体" w:hAnsi="宋体" w:cs="宋体"/>
                <w:color w:val="auto"/>
                <w:kern w:val="0"/>
                <w:sz w:val="18"/>
                <w:szCs w:val="18"/>
                <w:highlight w:val="none"/>
              </w:rPr>
            </w:pPr>
          </w:p>
        </w:tc>
      </w:tr>
      <w:tr w14:paraId="503C6E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28230853">
            <w:pPr>
              <w:widowControl/>
              <w:spacing w:line="240" w:lineRule="auto"/>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lang w:val="en-US" w:eastAsia="zh-CN"/>
              </w:rPr>
              <w:t>8</w:t>
            </w:r>
          </w:p>
        </w:tc>
        <w:tc>
          <w:tcPr>
            <w:tcW w:w="2415" w:type="dxa"/>
            <w:vMerge w:val="restart"/>
            <w:tcBorders>
              <w:tl2br w:val="nil"/>
              <w:tr2bl w:val="nil"/>
            </w:tcBorders>
            <w:shd w:val="clear" w:color="auto" w:fill="auto"/>
            <w:vAlign w:val="center"/>
          </w:tcPr>
          <w:p w14:paraId="28C09AA3">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保护装置输出接点</w:t>
            </w:r>
          </w:p>
        </w:tc>
        <w:tc>
          <w:tcPr>
            <w:tcW w:w="852" w:type="dxa"/>
            <w:vMerge w:val="restart"/>
            <w:tcBorders>
              <w:tl2br w:val="nil"/>
              <w:tr2bl w:val="nil"/>
            </w:tcBorders>
            <w:shd w:val="clear" w:color="auto" w:fill="auto"/>
            <w:vAlign w:val="center"/>
          </w:tcPr>
          <w:p w14:paraId="7599D63B">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3DC10B7">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5537298C">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45E5799">
            <w:pPr>
              <w:widowControl/>
              <w:spacing w:line="240" w:lineRule="auto"/>
              <w:jc w:val="center"/>
              <w:rPr>
                <w:rFonts w:ascii="宋体" w:hAnsi="宋体" w:cs="宋体"/>
                <w:color w:val="auto"/>
                <w:kern w:val="0"/>
                <w:sz w:val="18"/>
                <w:szCs w:val="18"/>
                <w:highlight w:val="none"/>
              </w:rPr>
            </w:pPr>
          </w:p>
        </w:tc>
      </w:tr>
      <w:tr w14:paraId="0FED0A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296BEEF0">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16F569D0">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61861B79">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C309A6C">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DA550DC">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44698B9">
            <w:pPr>
              <w:widowControl/>
              <w:spacing w:line="240" w:lineRule="auto"/>
              <w:jc w:val="center"/>
              <w:rPr>
                <w:rFonts w:ascii="宋体" w:hAnsi="宋体" w:cs="宋体"/>
                <w:color w:val="auto"/>
                <w:kern w:val="0"/>
                <w:sz w:val="18"/>
                <w:szCs w:val="18"/>
                <w:highlight w:val="none"/>
              </w:rPr>
            </w:pPr>
          </w:p>
        </w:tc>
      </w:tr>
      <w:tr w14:paraId="3575E5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5827C99F">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647D7FA5">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06B82A7D">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743A912">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2B13E8F2">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2541F28">
            <w:pPr>
              <w:widowControl/>
              <w:spacing w:line="240" w:lineRule="auto"/>
              <w:jc w:val="center"/>
              <w:rPr>
                <w:rFonts w:ascii="宋体" w:hAnsi="宋体" w:cs="宋体"/>
                <w:color w:val="auto"/>
                <w:kern w:val="0"/>
                <w:sz w:val="18"/>
                <w:szCs w:val="18"/>
                <w:highlight w:val="none"/>
              </w:rPr>
            </w:pPr>
          </w:p>
        </w:tc>
      </w:tr>
      <w:tr w14:paraId="553DB6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64F3666A">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42591A62">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21F55A33">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13DCD79">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D936BAC">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A9FA80C">
            <w:pPr>
              <w:widowControl/>
              <w:spacing w:line="240" w:lineRule="auto"/>
              <w:jc w:val="center"/>
              <w:rPr>
                <w:rFonts w:ascii="宋体" w:hAnsi="宋体" w:cs="宋体"/>
                <w:color w:val="auto"/>
                <w:kern w:val="0"/>
                <w:sz w:val="18"/>
                <w:szCs w:val="18"/>
                <w:highlight w:val="none"/>
              </w:rPr>
            </w:pPr>
          </w:p>
        </w:tc>
      </w:tr>
      <w:tr w14:paraId="643927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23CC5EEA">
            <w:pPr>
              <w:widowControl/>
              <w:spacing w:line="240" w:lineRule="auto"/>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lang w:val="en-US" w:eastAsia="zh-CN"/>
              </w:rPr>
              <w:t>9</w:t>
            </w:r>
          </w:p>
        </w:tc>
        <w:tc>
          <w:tcPr>
            <w:tcW w:w="2415" w:type="dxa"/>
            <w:vMerge w:val="restart"/>
            <w:tcBorders>
              <w:tl2br w:val="nil"/>
              <w:tr2bl w:val="nil"/>
            </w:tcBorders>
            <w:shd w:val="clear" w:color="auto" w:fill="auto"/>
            <w:vAlign w:val="center"/>
          </w:tcPr>
          <w:p w14:paraId="4EF379F7">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出口继电器</w:t>
            </w:r>
          </w:p>
        </w:tc>
        <w:tc>
          <w:tcPr>
            <w:tcW w:w="852" w:type="dxa"/>
            <w:vMerge w:val="restart"/>
            <w:tcBorders>
              <w:tl2br w:val="nil"/>
              <w:tr2bl w:val="nil"/>
            </w:tcBorders>
            <w:shd w:val="clear" w:color="auto" w:fill="auto"/>
            <w:vAlign w:val="center"/>
          </w:tcPr>
          <w:p w14:paraId="404C2B1E">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40434C0">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技术特点</w:t>
            </w:r>
          </w:p>
        </w:tc>
        <w:tc>
          <w:tcPr>
            <w:tcW w:w="1459" w:type="dxa"/>
            <w:tcBorders>
              <w:tl2br w:val="nil"/>
              <w:tr2bl w:val="nil"/>
            </w:tcBorders>
            <w:shd w:val="clear" w:color="auto" w:fill="auto"/>
            <w:vAlign w:val="center"/>
          </w:tcPr>
          <w:p w14:paraId="28252FAE">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6E72CEE">
            <w:pPr>
              <w:widowControl/>
              <w:spacing w:line="240" w:lineRule="auto"/>
              <w:jc w:val="center"/>
              <w:rPr>
                <w:rFonts w:ascii="宋体" w:hAnsi="宋体" w:cs="宋体"/>
                <w:color w:val="auto"/>
                <w:kern w:val="0"/>
                <w:sz w:val="18"/>
                <w:szCs w:val="18"/>
                <w:highlight w:val="none"/>
              </w:rPr>
            </w:pPr>
          </w:p>
        </w:tc>
      </w:tr>
      <w:tr w14:paraId="17CA96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5BDFC351">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222C0EF1">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0E54659E">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06B5B6C">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05BBF79">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2EE729B">
            <w:pPr>
              <w:widowControl/>
              <w:spacing w:line="240" w:lineRule="auto"/>
              <w:jc w:val="center"/>
              <w:rPr>
                <w:rFonts w:ascii="宋体" w:hAnsi="宋体" w:cs="宋体"/>
                <w:color w:val="auto"/>
                <w:kern w:val="0"/>
                <w:sz w:val="18"/>
                <w:szCs w:val="18"/>
                <w:highlight w:val="none"/>
              </w:rPr>
            </w:pPr>
          </w:p>
        </w:tc>
      </w:tr>
      <w:tr w14:paraId="76FABD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1A775BE5">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14216CAE">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695303AD">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00F0A8BF">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技术参数</w:t>
            </w:r>
          </w:p>
        </w:tc>
        <w:tc>
          <w:tcPr>
            <w:tcW w:w="1459" w:type="dxa"/>
            <w:tcBorders>
              <w:tl2br w:val="nil"/>
              <w:tr2bl w:val="nil"/>
            </w:tcBorders>
            <w:shd w:val="clear" w:color="auto" w:fill="auto"/>
            <w:vAlign w:val="center"/>
          </w:tcPr>
          <w:p w14:paraId="39AFFE0B">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9945CCE">
            <w:pPr>
              <w:widowControl/>
              <w:spacing w:line="240" w:lineRule="auto"/>
              <w:jc w:val="center"/>
              <w:rPr>
                <w:rFonts w:ascii="宋体" w:hAnsi="宋体" w:cs="宋体"/>
                <w:color w:val="auto"/>
                <w:kern w:val="0"/>
                <w:sz w:val="18"/>
                <w:szCs w:val="18"/>
                <w:highlight w:val="none"/>
              </w:rPr>
            </w:pPr>
          </w:p>
        </w:tc>
      </w:tr>
      <w:tr w14:paraId="5F5129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3E9AA2EC">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5F371A33">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534134B3">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BA96B71">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B4920FC">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5948067">
            <w:pPr>
              <w:widowControl/>
              <w:spacing w:line="240" w:lineRule="auto"/>
              <w:jc w:val="center"/>
              <w:rPr>
                <w:rFonts w:ascii="宋体" w:hAnsi="宋体" w:cs="宋体"/>
                <w:color w:val="auto"/>
                <w:kern w:val="0"/>
                <w:sz w:val="18"/>
                <w:szCs w:val="18"/>
                <w:highlight w:val="none"/>
              </w:rPr>
            </w:pPr>
          </w:p>
        </w:tc>
      </w:tr>
      <w:tr w14:paraId="241C24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tcBorders>
              <w:tl2br w:val="nil"/>
              <w:tr2bl w:val="nil"/>
            </w:tcBorders>
            <w:shd w:val="clear" w:color="auto" w:fill="auto"/>
            <w:vAlign w:val="center"/>
          </w:tcPr>
          <w:p w14:paraId="2D0377BD">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r>
              <w:rPr>
                <w:rFonts w:hint="eastAsia" w:ascii="宋体" w:hAnsi="宋体" w:cs="宋体"/>
                <w:color w:val="auto"/>
                <w:kern w:val="0"/>
                <w:sz w:val="18"/>
                <w:szCs w:val="18"/>
                <w:highlight w:val="none"/>
                <w:lang w:eastAsia="zh-CN"/>
              </w:rPr>
              <w:t>0</w:t>
            </w:r>
          </w:p>
        </w:tc>
        <w:tc>
          <w:tcPr>
            <w:tcW w:w="7644" w:type="dxa"/>
            <w:gridSpan w:val="5"/>
            <w:tcBorders>
              <w:tl2br w:val="nil"/>
              <w:tr2bl w:val="nil"/>
            </w:tcBorders>
            <w:shd w:val="clear" w:color="auto" w:fill="auto"/>
            <w:vAlign w:val="center"/>
          </w:tcPr>
          <w:p w14:paraId="5B4D4088">
            <w:pPr>
              <w:widowControl w:val="0"/>
              <w:spacing w:line="240" w:lineRule="auto"/>
              <w:jc w:val="both"/>
              <w:rPr>
                <w:color w:val="auto"/>
                <w:highlight w:val="none"/>
              </w:rPr>
            </w:pPr>
            <w:r>
              <w:rPr>
                <w:rFonts w:hint="eastAsia" w:ascii="宋体" w:hAnsi="宋体" w:cs="宋体"/>
                <w:color w:val="auto"/>
                <w:sz w:val="18"/>
                <w:szCs w:val="18"/>
                <w:highlight w:val="none"/>
              </w:rPr>
              <w:t>保护装置的功率消耗</w:t>
            </w:r>
          </w:p>
        </w:tc>
      </w:tr>
      <w:tr w14:paraId="792118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tcBorders>
              <w:tl2br w:val="nil"/>
              <w:tr2bl w:val="nil"/>
            </w:tcBorders>
            <w:shd w:val="clear" w:color="auto" w:fill="auto"/>
            <w:vAlign w:val="center"/>
          </w:tcPr>
          <w:p w14:paraId="03F37479">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0</w:t>
            </w:r>
            <w:r>
              <w:rPr>
                <w:rFonts w:hint="eastAsia" w:ascii="宋体" w:hAnsi="宋体" w:cs="宋体"/>
                <w:color w:val="auto"/>
                <w:kern w:val="0"/>
                <w:sz w:val="18"/>
                <w:szCs w:val="18"/>
                <w:highlight w:val="none"/>
              </w:rPr>
              <w:t>_1</w:t>
            </w:r>
          </w:p>
        </w:tc>
        <w:tc>
          <w:tcPr>
            <w:tcW w:w="2415" w:type="dxa"/>
            <w:tcBorders>
              <w:tl2br w:val="nil"/>
              <w:tr2bl w:val="nil"/>
            </w:tcBorders>
            <w:shd w:val="clear" w:color="auto" w:fill="auto"/>
            <w:vAlign w:val="center"/>
          </w:tcPr>
          <w:p w14:paraId="735E8F03">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交流电流回路In=5A时(每相不大于)</w:t>
            </w:r>
          </w:p>
        </w:tc>
        <w:tc>
          <w:tcPr>
            <w:tcW w:w="852" w:type="dxa"/>
            <w:tcBorders>
              <w:tl2br w:val="nil"/>
              <w:tr2bl w:val="nil"/>
            </w:tcBorders>
            <w:shd w:val="clear" w:color="auto" w:fill="auto"/>
            <w:vAlign w:val="center"/>
          </w:tcPr>
          <w:p w14:paraId="4B05A637">
            <w:pPr>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VA</w:t>
            </w:r>
          </w:p>
        </w:tc>
        <w:tc>
          <w:tcPr>
            <w:tcW w:w="1459" w:type="dxa"/>
            <w:tcBorders>
              <w:tl2br w:val="nil"/>
              <w:tr2bl w:val="nil"/>
            </w:tcBorders>
            <w:shd w:val="clear" w:color="auto" w:fill="auto"/>
            <w:vAlign w:val="center"/>
          </w:tcPr>
          <w:p w14:paraId="64A4A385">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028E8E5">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61AA0F6">
            <w:pPr>
              <w:widowControl/>
              <w:spacing w:line="240" w:lineRule="auto"/>
              <w:jc w:val="center"/>
              <w:rPr>
                <w:rFonts w:ascii="宋体" w:hAnsi="宋体" w:cs="宋体"/>
                <w:color w:val="auto"/>
                <w:kern w:val="0"/>
                <w:sz w:val="18"/>
                <w:szCs w:val="18"/>
                <w:highlight w:val="none"/>
              </w:rPr>
            </w:pPr>
          </w:p>
        </w:tc>
      </w:tr>
      <w:tr w14:paraId="52E2CD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tcBorders>
              <w:tl2br w:val="nil"/>
              <w:tr2bl w:val="nil"/>
            </w:tcBorders>
            <w:shd w:val="clear" w:color="auto" w:fill="auto"/>
            <w:vAlign w:val="center"/>
          </w:tcPr>
          <w:p w14:paraId="3360A2CE">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0</w:t>
            </w:r>
            <w:r>
              <w:rPr>
                <w:rFonts w:hint="eastAsia" w:ascii="宋体" w:hAnsi="宋体" w:cs="宋体"/>
                <w:color w:val="auto"/>
                <w:kern w:val="0"/>
                <w:sz w:val="18"/>
                <w:szCs w:val="18"/>
                <w:highlight w:val="none"/>
              </w:rPr>
              <w:t>_2</w:t>
            </w:r>
          </w:p>
        </w:tc>
        <w:tc>
          <w:tcPr>
            <w:tcW w:w="2415" w:type="dxa"/>
            <w:tcBorders>
              <w:tl2br w:val="nil"/>
              <w:tr2bl w:val="nil"/>
            </w:tcBorders>
            <w:shd w:val="clear" w:color="auto" w:fill="auto"/>
            <w:vAlign w:val="center"/>
          </w:tcPr>
          <w:p w14:paraId="32E890B1">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交流电压回路(每相不大于)</w:t>
            </w:r>
          </w:p>
        </w:tc>
        <w:tc>
          <w:tcPr>
            <w:tcW w:w="852" w:type="dxa"/>
            <w:tcBorders>
              <w:tl2br w:val="nil"/>
              <w:tr2bl w:val="nil"/>
            </w:tcBorders>
            <w:shd w:val="clear" w:color="auto" w:fill="auto"/>
            <w:vAlign w:val="center"/>
          </w:tcPr>
          <w:p w14:paraId="4DA05E26">
            <w:pPr>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VA</w:t>
            </w:r>
          </w:p>
        </w:tc>
        <w:tc>
          <w:tcPr>
            <w:tcW w:w="1459" w:type="dxa"/>
            <w:tcBorders>
              <w:tl2br w:val="nil"/>
              <w:tr2bl w:val="nil"/>
            </w:tcBorders>
            <w:shd w:val="clear" w:color="auto" w:fill="auto"/>
            <w:vAlign w:val="center"/>
          </w:tcPr>
          <w:p w14:paraId="7A760EB5">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186B103">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1CFB9E7">
            <w:pPr>
              <w:widowControl/>
              <w:spacing w:line="240" w:lineRule="auto"/>
              <w:jc w:val="center"/>
              <w:rPr>
                <w:rFonts w:ascii="宋体" w:hAnsi="宋体" w:cs="宋体"/>
                <w:color w:val="auto"/>
                <w:kern w:val="0"/>
                <w:sz w:val="18"/>
                <w:szCs w:val="18"/>
                <w:highlight w:val="none"/>
              </w:rPr>
            </w:pPr>
          </w:p>
        </w:tc>
      </w:tr>
      <w:tr w14:paraId="19C4E0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072712A2">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0</w:t>
            </w:r>
            <w:r>
              <w:rPr>
                <w:rFonts w:hint="eastAsia" w:ascii="宋体" w:hAnsi="宋体" w:cs="宋体"/>
                <w:color w:val="auto"/>
                <w:kern w:val="0"/>
                <w:sz w:val="18"/>
                <w:szCs w:val="18"/>
                <w:highlight w:val="none"/>
              </w:rPr>
              <w:t>_3</w:t>
            </w:r>
          </w:p>
        </w:tc>
        <w:tc>
          <w:tcPr>
            <w:tcW w:w="2415" w:type="dxa"/>
            <w:tcBorders>
              <w:tl2br w:val="nil"/>
              <w:tr2bl w:val="nil"/>
            </w:tcBorders>
            <w:shd w:val="clear" w:color="auto" w:fill="auto"/>
            <w:vAlign w:val="center"/>
          </w:tcPr>
          <w:p w14:paraId="68E9E19E">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直流电源回路</w:t>
            </w:r>
          </w:p>
        </w:tc>
        <w:tc>
          <w:tcPr>
            <w:tcW w:w="852" w:type="dxa"/>
            <w:tcBorders>
              <w:tl2br w:val="nil"/>
              <w:tr2bl w:val="nil"/>
            </w:tcBorders>
            <w:shd w:val="clear" w:color="auto" w:fill="auto"/>
            <w:vAlign w:val="center"/>
          </w:tcPr>
          <w:p w14:paraId="272472A7">
            <w:pPr>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5A3E6AB">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FB693E6">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2217147">
            <w:pPr>
              <w:widowControl/>
              <w:spacing w:line="240" w:lineRule="auto"/>
              <w:jc w:val="center"/>
              <w:rPr>
                <w:rFonts w:ascii="宋体" w:hAnsi="宋体" w:cs="宋体"/>
                <w:color w:val="auto"/>
                <w:kern w:val="0"/>
                <w:sz w:val="18"/>
                <w:szCs w:val="18"/>
                <w:highlight w:val="none"/>
              </w:rPr>
            </w:pPr>
          </w:p>
        </w:tc>
      </w:tr>
      <w:tr w14:paraId="17CFD4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6009F42E">
            <w:pPr>
              <w:widowControl/>
              <w:spacing w:line="240" w:lineRule="auto"/>
              <w:jc w:val="center"/>
              <w:rPr>
                <w:rFonts w:ascii="宋体" w:hAnsi="宋体" w:cs="宋体"/>
                <w:color w:val="auto"/>
                <w:kern w:val="0"/>
                <w:sz w:val="18"/>
                <w:szCs w:val="18"/>
                <w:highlight w:val="none"/>
              </w:rPr>
            </w:pPr>
          </w:p>
        </w:tc>
        <w:tc>
          <w:tcPr>
            <w:tcW w:w="2415" w:type="dxa"/>
            <w:tcBorders>
              <w:tl2br w:val="nil"/>
              <w:tr2bl w:val="nil"/>
            </w:tcBorders>
            <w:shd w:val="clear" w:color="auto" w:fill="auto"/>
            <w:vAlign w:val="center"/>
          </w:tcPr>
          <w:p w14:paraId="17781E66">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当正常工作时(不大于)</w:t>
            </w:r>
          </w:p>
        </w:tc>
        <w:tc>
          <w:tcPr>
            <w:tcW w:w="852" w:type="dxa"/>
            <w:tcBorders>
              <w:tl2br w:val="nil"/>
              <w:tr2bl w:val="nil"/>
            </w:tcBorders>
            <w:shd w:val="clear" w:color="auto" w:fill="auto"/>
            <w:vAlign w:val="center"/>
          </w:tcPr>
          <w:p w14:paraId="2F7D690D">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w:t>
            </w:r>
          </w:p>
        </w:tc>
        <w:tc>
          <w:tcPr>
            <w:tcW w:w="1459" w:type="dxa"/>
            <w:tcBorders>
              <w:tl2br w:val="nil"/>
              <w:tr2bl w:val="nil"/>
            </w:tcBorders>
            <w:shd w:val="clear" w:color="auto" w:fill="auto"/>
            <w:vAlign w:val="center"/>
          </w:tcPr>
          <w:p w14:paraId="1C8759F8">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192B41F">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5879632">
            <w:pPr>
              <w:widowControl/>
              <w:spacing w:line="240" w:lineRule="auto"/>
              <w:jc w:val="center"/>
              <w:rPr>
                <w:rFonts w:ascii="宋体" w:hAnsi="宋体" w:cs="宋体"/>
                <w:color w:val="auto"/>
                <w:kern w:val="0"/>
                <w:sz w:val="18"/>
                <w:szCs w:val="18"/>
                <w:highlight w:val="none"/>
              </w:rPr>
            </w:pPr>
          </w:p>
        </w:tc>
      </w:tr>
      <w:tr w14:paraId="4F4633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1139D293">
            <w:pPr>
              <w:widowControl/>
              <w:spacing w:line="240" w:lineRule="auto"/>
              <w:jc w:val="center"/>
              <w:rPr>
                <w:rFonts w:ascii="宋体" w:hAnsi="宋体" w:cs="宋体"/>
                <w:color w:val="auto"/>
                <w:kern w:val="0"/>
                <w:sz w:val="18"/>
                <w:szCs w:val="18"/>
                <w:highlight w:val="none"/>
              </w:rPr>
            </w:pPr>
          </w:p>
        </w:tc>
        <w:tc>
          <w:tcPr>
            <w:tcW w:w="2415" w:type="dxa"/>
            <w:tcBorders>
              <w:tl2br w:val="nil"/>
              <w:tr2bl w:val="nil"/>
            </w:tcBorders>
            <w:shd w:val="clear" w:color="auto" w:fill="auto"/>
            <w:vAlign w:val="center"/>
          </w:tcPr>
          <w:p w14:paraId="4C982DBE">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当保护工作时(不大于)</w:t>
            </w:r>
          </w:p>
        </w:tc>
        <w:tc>
          <w:tcPr>
            <w:tcW w:w="852" w:type="dxa"/>
            <w:tcBorders>
              <w:tl2br w:val="nil"/>
              <w:tr2bl w:val="nil"/>
            </w:tcBorders>
            <w:shd w:val="clear" w:color="auto" w:fill="auto"/>
            <w:vAlign w:val="center"/>
          </w:tcPr>
          <w:p w14:paraId="218AE4E2">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w:t>
            </w:r>
          </w:p>
        </w:tc>
        <w:tc>
          <w:tcPr>
            <w:tcW w:w="1459" w:type="dxa"/>
            <w:tcBorders>
              <w:tl2br w:val="nil"/>
              <w:tr2bl w:val="nil"/>
            </w:tcBorders>
            <w:shd w:val="clear" w:color="auto" w:fill="auto"/>
            <w:vAlign w:val="center"/>
          </w:tcPr>
          <w:p w14:paraId="1A382B7B">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E9C8205">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AB8DEA7">
            <w:pPr>
              <w:widowControl/>
              <w:spacing w:line="240" w:lineRule="auto"/>
              <w:jc w:val="center"/>
              <w:rPr>
                <w:rFonts w:ascii="宋体" w:hAnsi="宋体" w:cs="宋体"/>
                <w:color w:val="auto"/>
                <w:kern w:val="0"/>
                <w:sz w:val="18"/>
                <w:szCs w:val="18"/>
                <w:highlight w:val="none"/>
              </w:rPr>
            </w:pPr>
          </w:p>
        </w:tc>
      </w:tr>
      <w:tr w14:paraId="0FEEA7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tcBorders>
              <w:tl2br w:val="nil"/>
              <w:tr2bl w:val="nil"/>
            </w:tcBorders>
            <w:shd w:val="clear" w:color="auto" w:fill="auto"/>
            <w:vAlign w:val="center"/>
          </w:tcPr>
          <w:p w14:paraId="18937E16">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r>
              <w:rPr>
                <w:rFonts w:hint="eastAsia" w:ascii="宋体" w:hAnsi="宋体" w:cs="宋体"/>
                <w:color w:val="auto"/>
                <w:kern w:val="0"/>
                <w:sz w:val="18"/>
                <w:szCs w:val="18"/>
                <w:highlight w:val="none"/>
                <w:lang w:eastAsia="zh-CN"/>
              </w:rPr>
              <w:t>1</w:t>
            </w:r>
          </w:p>
        </w:tc>
        <w:tc>
          <w:tcPr>
            <w:tcW w:w="7644" w:type="dxa"/>
            <w:gridSpan w:val="5"/>
            <w:tcBorders>
              <w:tl2br w:val="nil"/>
              <w:tr2bl w:val="nil"/>
            </w:tcBorders>
            <w:shd w:val="clear" w:color="auto" w:fill="auto"/>
            <w:vAlign w:val="center"/>
          </w:tcPr>
          <w:p w14:paraId="51201E15">
            <w:pPr>
              <w:widowControl/>
              <w:spacing w:line="240" w:lineRule="auto"/>
              <w:jc w:val="both"/>
              <w:rPr>
                <w:rFonts w:ascii="宋体" w:hAnsi="宋体" w:cs="宋体"/>
                <w:color w:val="auto"/>
                <w:kern w:val="0"/>
                <w:sz w:val="18"/>
                <w:szCs w:val="18"/>
                <w:highlight w:val="none"/>
              </w:rPr>
            </w:pPr>
            <w:r>
              <w:rPr>
                <w:rFonts w:hint="eastAsia" w:ascii="宋体" w:hAnsi="宋体" w:cs="宋体"/>
                <w:color w:val="auto"/>
                <w:sz w:val="18"/>
                <w:szCs w:val="18"/>
                <w:highlight w:val="none"/>
              </w:rPr>
              <w:t>保护装置过载能力</w:t>
            </w:r>
          </w:p>
        </w:tc>
      </w:tr>
      <w:tr w14:paraId="409A56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6798AD5A">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r>
              <w:rPr>
                <w:rFonts w:hint="eastAsia" w:ascii="宋体" w:hAnsi="宋体" w:cs="宋体"/>
                <w:color w:val="auto"/>
                <w:kern w:val="0"/>
                <w:sz w:val="18"/>
                <w:szCs w:val="18"/>
                <w:highlight w:val="none"/>
                <w:lang w:eastAsia="zh-CN"/>
              </w:rPr>
              <w:t>1</w:t>
            </w:r>
            <w:r>
              <w:rPr>
                <w:rFonts w:hint="eastAsia" w:ascii="宋体" w:hAnsi="宋体" w:cs="宋体"/>
                <w:color w:val="auto"/>
                <w:kern w:val="0"/>
                <w:sz w:val="18"/>
                <w:szCs w:val="18"/>
                <w:highlight w:val="none"/>
              </w:rPr>
              <w:t>_1</w:t>
            </w:r>
          </w:p>
        </w:tc>
        <w:tc>
          <w:tcPr>
            <w:tcW w:w="2415" w:type="dxa"/>
            <w:tcBorders>
              <w:tl2br w:val="nil"/>
              <w:tr2bl w:val="nil"/>
            </w:tcBorders>
            <w:shd w:val="clear" w:color="auto" w:fill="auto"/>
            <w:vAlign w:val="center"/>
          </w:tcPr>
          <w:p w14:paraId="15FFA7F0">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交流电流回路</w:t>
            </w:r>
          </w:p>
        </w:tc>
        <w:tc>
          <w:tcPr>
            <w:tcW w:w="852" w:type="dxa"/>
            <w:tcBorders>
              <w:tl2br w:val="nil"/>
              <w:tr2bl w:val="nil"/>
            </w:tcBorders>
            <w:shd w:val="clear" w:color="auto" w:fill="auto"/>
            <w:vAlign w:val="center"/>
          </w:tcPr>
          <w:p w14:paraId="329CAD9C">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7A95BA79">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FF09924">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08129EB">
            <w:pPr>
              <w:widowControl/>
              <w:spacing w:line="240" w:lineRule="auto"/>
              <w:jc w:val="center"/>
              <w:rPr>
                <w:rFonts w:ascii="宋体" w:hAnsi="宋体" w:cs="宋体"/>
                <w:color w:val="auto"/>
                <w:kern w:val="0"/>
                <w:sz w:val="18"/>
                <w:szCs w:val="18"/>
                <w:highlight w:val="none"/>
              </w:rPr>
            </w:pPr>
          </w:p>
        </w:tc>
      </w:tr>
      <w:tr w14:paraId="6771FD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07D4ECD5">
            <w:pPr>
              <w:widowControl/>
              <w:spacing w:line="240" w:lineRule="auto"/>
              <w:jc w:val="center"/>
              <w:rPr>
                <w:rFonts w:ascii="宋体" w:hAnsi="宋体" w:cs="宋体"/>
                <w:color w:val="auto"/>
                <w:kern w:val="0"/>
                <w:sz w:val="18"/>
                <w:szCs w:val="18"/>
                <w:highlight w:val="none"/>
              </w:rPr>
            </w:pPr>
          </w:p>
        </w:tc>
        <w:tc>
          <w:tcPr>
            <w:tcW w:w="2415" w:type="dxa"/>
            <w:tcBorders>
              <w:tl2br w:val="nil"/>
              <w:tr2bl w:val="nil"/>
            </w:tcBorders>
            <w:shd w:val="clear" w:color="auto" w:fill="auto"/>
            <w:vAlign w:val="center"/>
          </w:tcPr>
          <w:p w14:paraId="2D82A627">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连续工作</w:t>
            </w:r>
          </w:p>
        </w:tc>
        <w:tc>
          <w:tcPr>
            <w:tcW w:w="852" w:type="dxa"/>
            <w:tcBorders>
              <w:tl2br w:val="nil"/>
              <w:tr2bl w:val="nil"/>
            </w:tcBorders>
            <w:shd w:val="clear" w:color="auto" w:fill="auto"/>
            <w:vAlign w:val="center"/>
          </w:tcPr>
          <w:p w14:paraId="7A9CE10E">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DF0FDB9">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2C59D9D">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B561850">
            <w:pPr>
              <w:snapToGrid w:val="0"/>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几倍额定电流下可连续工作</w:t>
            </w:r>
          </w:p>
        </w:tc>
      </w:tr>
      <w:tr w14:paraId="7BF757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750220A7">
            <w:pPr>
              <w:widowControl/>
              <w:spacing w:line="240" w:lineRule="auto"/>
              <w:jc w:val="center"/>
              <w:rPr>
                <w:rFonts w:ascii="宋体" w:hAnsi="宋体" w:cs="宋体"/>
                <w:color w:val="auto"/>
                <w:kern w:val="0"/>
                <w:sz w:val="18"/>
                <w:szCs w:val="18"/>
                <w:highlight w:val="none"/>
              </w:rPr>
            </w:pPr>
          </w:p>
        </w:tc>
        <w:tc>
          <w:tcPr>
            <w:tcW w:w="2415" w:type="dxa"/>
            <w:tcBorders>
              <w:tl2br w:val="nil"/>
              <w:tr2bl w:val="nil"/>
            </w:tcBorders>
            <w:shd w:val="clear" w:color="auto" w:fill="auto"/>
            <w:vAlign w:val="center"/>
          </w:tcPr>
          <w:p w14:paraId="1C54CD7F">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允许工作10s</w:t>
            </w:r>
          </w:p>
        </w:tc>
        <w:tc>
          <w:tcPr>
            <w:tcW w:w="852" w:type="dxa"/>
            <w:tcBorders>
              <w:tl2br w:val="nil"/>
              <w:tr2bl w:val="nil"/>
            </w:tcBorders>
            <w:shd w:val="clear" w:color="auto" w:fill="auto"/>
            <w:vAlign w:val="center"/>
          </w:tcPr>
          <w:p w14:paraId="21D5DE8C">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446E2AE">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16E8FEE">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4DF2166">
            <w:pPr>
              <w:widowControl/>
              <w:snapToGrid w:val="0"/>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几倍额定电流下允许工</w:t>
            </w:r>
            <w:r>
              <w:rPr>
                <w:rFonts w:hint="eastAsia" w:ascii="宋体" w:hAnsi="宋体" w:cs="宋体"/>
                <w:color w:val="auto"/>
                <w:sz w:val="18"/>
                <w:szCs w:val="18"/>
                <w:highlight w:val="none"/>
                <w:lang w:val="en-US" w:eastAsia="zh-CN"/>
              </w:rPr>
              <w:t>作</w:t>
            </w:r>
          </w:p>
        </w:tc>
      </w:tr>
      <w:tr w14:paraId="4225A8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11187C6C">
            <w:pPr>
              <w:widowControl/>
              <w:spacing w:line="240" w:lineRule="auto"/>
              <w:jc w:val="center"/>
              <w:rPr>
                <w:rFonts w:ascii="宋体" w:hAnsi="宋体" w:cs="宋体"/>
                <w:color w:val="auto"/>
                <w:kern w:val="0"/>
                <w:sz w:val="18"/>
                <w:szCs w:val="18"/>
                <w:highlight w:val="none"/>
              </w:rPr>
            </w:pPr>
          </w:p>
        </w:tc>
        <w:tc>
          <w:tcPr>
            <w:tcW w:w="2415" w:type="dxa"/>
            <w:tcBorders>
              <w:tl2br w:val="nil"/>
              <w:tr2bl w:val="nil"/>
            </w:tcBorders>
            <w:shd w:val="clear" w:color="auto" w:fill="auto"/>
            <w:vAlign w:val="center"/>
          </w:tcPr>
          <w:p w14:paraId="3348586D">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允许工作1s</w:t>
            </w:r>
          </w:p>
        </w:tc>
        <w:tc>
          <w:tcPr>
            <w:tcW w:w="852" w:type="dxa"/>
            <w:tcBorders>
              <w:tl2br w:val="nil"/>
              <w:tr2bl w:val="nil"/>
            </w:tcBorders>
            <w:shd w:val="clear" w:color="auto" w:fill="auto"/>
            <w:vAlign w:val="center"/>
          </w:tcPr>
          <w:p w14:paraId="634339FA">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B11C9C6">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400F933">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BECAE35">
            <w:pPr>
              <w:widowControl/>
              <w:snapToGrid w:val="0"/>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几倍额定电流下允许工作</w:t>
            </w:r>
          </w:p>
        </w:tc>
      </w:tr>
      <w:tr w14:paraId="041651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restart"/>
            <w:tcBorders>
              <w:tl2br w:val="nil"/>
              <w:tr2bl w:val="nil"/>
            </w:tcBorders>
            <w:shd w:val="clear" w:color="auto" w:fill="auto"/>
            <w:vAlign w:val="center"/>
          </w:tcPr>
          <w:p w14:paraId="2D240B00">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r>
              <w:rPr>
                <w:rFonts w:hint="eastAsia" w:ascii="宋体" w:hAnsi="宋体" w:cs="宋体"/>
                <w:color w:val="auto"/>
                <w:kern w:val="0"/>
                <w:sz w:val="18"/>
                <w:szCs w:val="18"/>
                <w:highlight w:val="none"/>
                <w:lang w:eastAsia="zh-CN"/>
              </w:rPr>
              <w:t>1</w:t>
            </w:r>
            <w:r>
              <w:rPr>
                <w:rFonts w:hint="eastAsia" w:ascii="宋体" w:hAnsi="宋体" w:cs="宋体"/>
                <w:color w:val="auto"/>
                <w:kern w:val="0"/>
                <w:sz w:val="18"/>
                <w:szCs w:val="18"/>
                <w:highlight w:val="none"/>
              </w:rPr>
              <w:t>_2</w:t>
            </w:r>
          </w:p>
        </w:tc>
        <w:tc>
          <w:tcPr>
            <w:tcW w:w="2415" w:type="dxa"/>
            <w:tcBorders>
              <w:tl2br w:val="nil"/>
              <w:tr2bl w:val="nil"/>
            </w:tcBorders>
            <w:shd w:val="clear" w:color="auto" w:fill="auto"/>
            <w:vAlign w:val="center"/>
          </w:tcPr>
          <w:p w14:paraId="3A4A88AB">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交流电压回路</w:t>
            </w:r>
          </w:p>
        </w:tc>
        <w:tc>
          <w:tcPr>
            <w:tcW w:w="852" w:type="dxa"/>
            <w:tcBorders>
              <w:tl2br w:val="nil"/>
              <w:tr2bl w:val="nil"/>
            </w:tcBorders>
            <w:shd w:val="clear" w:color="auto" w:fill="auto"/>
            <w:vAlign w:val="center"/>
          </w:tcPr>
          <w:p w14:paraId="4B6D802B">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B691FC2">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2DCEC46">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9970270">
            <w:pPr>
              <w:widowControl/>
              <w:spacing w:line="240" w:lineRule="auto"/>
              <w:jc w:val="center"/>
              <w:rPr>
                <w:rFonts w:ascii="宋体" w:hAnsi="宋体" w:cs="宋体"/>
                <w:color w:val="auto"/>
                <w:kern w:val="0"/>
                <w:sz w:val="18"/>
                <w:szCs w:val="18"/>
                <w:highlight w:val="none"/>
              </w:rPr>
            </w:pPr>
          </w:p>
        </w:tc>
      </w:tr>
      <w:tr w14:paraId="1CE0EA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27E9100F">
            <w:pPr>
              <w:widowControl/>
              <w:spacing w:line="240" w:lineRule="auto"/>
              <w:jc w:val="center"/>
              <w:rPr>
                <w:rFonts w:ascii="宋体" w:hAnsi="宋体" w:cs="宋体"/>
                <w:color w:val="auto"/>
                <w:kern w:val="0"/>
                <w:sz w:val="18"/>
                <w:szCs w:val="18"/>
                <w:highlight w:val="none"/>
              </w:rPr>
            </w:pPr>
          </w:p>
        </w:tc>
        <w:tc>
          <w:tcPr>
            <w:tcW w:w="2415" w:type="dxa"/>
            <w:vMerge w:val="restart"/>
            <w:tcBorders>
              <w:tl2br w:val="nil"/>
              <w:tr2bl w:val="nil"/>
            </w:tcBorders>
            <w:shd w:val="clear" w:color="auto" w:fill="auto"/>
            <w:vAlign w:val="center"/>
          </w:tcPr>
          <w:p w14:paraId="171D5732">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连续工作</w:t>
            </w:r>
          </w:p>
        </w:tc>
        <w:tc>
          <w:tcPr>
            <w:tcW w:w="852" w:type="dxa"/>
            <w:vMerge w:val="restart"/>
            <w:tcBorders>
              <w:tl2br w:val="nil"/>
              <w:tr2bl w:val="nil"/>
            </w:tcBorders>
            <w:shd w:val="clear" w:color="auto" w:fill="auto"/>
            <w:vAlign w:val="center"/>
          </w:tcPr>
          <w:p w14:paraId="0313291D">
            <w:pPr>
              <w:widowControl/>
              <w:spacing w:line="240" w:lineRule="auto"/>
              <w:jc w:val="center"/>
              <w:rPr>
                <w:rFonts w:ascii="宋体" w:hAnsi="宋体" w:cs="宋体"/>
                <w:color w:val="auto"/>
                <w:kern w:val="0"/>
                <w:sz w:val="18"/>
                <w:szCs w:val="18"/>
                <w:highlight w:val="none"/>
              </w:rPr>
            </w:pPr>
          </w:p>
        </w:tc>
        <w:tc>
          <w:tcPr>
            <w:tcW w:w="1459" w:type="dxa"/>
            <w:vMerge w:val="restart"/>
            <w:tcBorders>
              <w:tl2br w:val="nil"/>
              <w:tr2bl w:val="nil"/>
            </w:tcBorders>
            <w:shd w:val="clear" w:color="auto" w:fill="auto"/>
            <w:vAlign w:val="center"/>
          </w:tcPr>
          <w:p w14:paraId="161BB83E">
            <w:pPr>
              <w:widowControl/>
              <w:spacing w:line="240" w:lineRule="auto"/>
              <w:jc w:val="center"/>
              <w:rPr>
                <w:rFonts w:ascii="宋体" w:hAnsi="宋体" w:cs="宋体"/>
                <w:color w:val="auto"/>
                <w:kern w:val="0"/>
                <w:sz w:val="18"/>
                <w:szCs w:val="18"/>
                <w:highlight w:val="none"/>
              </w:rPr>
            </w:pPr>
          </w:p>
        </w:tc>
        <w:tc>
          <w:tcPr>
            <w:tcW w:w="1459" w:type="dxa"/>
            <w:vMerge w:val="restart"/>
            <w:tcBorders>
              <w:tl2br w:val="nil"/>
              <w:tr2bl w:val="nil"/>
            </w:tcBorders>
            <w:shd w:val="clear" w:color="auto" w:fill="auto"/>
            <w:vAlign w:val="center"/>
          </w:tcPr>
          <w:p w14:paraId="17B8BAB5">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6189837">
            <w:pPr>
              <w:snapToGrid w:val="0"/>
              <w:spacing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几倍额定电压下可连续工</w:t>
            </w:r>
            <w:r>
              <w:rPr>
                <w:rFonts w:hint="eastAsia" w:ascii="宋体" w:hAnsi="宋体" w:cs="宋体"/>
                <w:color w:val="auto"/>
                <w:sz w:val="18"/>
                <w:szCs w:val="18"/>
                <w:highlight w:val="none"/>
                <w:lang w:val="en-US" w:eastAsia="zh-CN"/>
              </w:rPr>
              <w:t>作</w:t>
            </w:r>
          </w:p>
        </w:tc>
      </w:tr>
      <w:tr w14:paraId="1A15F5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vMerge w:val="continue"/>
            <w:tcBorders>
              <w:tl2br w:val="nil"/>
              <w:tr2bl w:val="nil"/>
            </w:tcBorders>
            <w:shd w:val="clear" w:color="auto" w:fill="auto"/>
            <w:vAlign w:val="center"/>
          </w:tcPr>
          <w:p w14:paraId="428A3FDF">
            <w:pPr>
              <w:widowControl/>
              <w:spacing w:line="240" w:lineRule="auto"/>
              <w:jc w:val="center"/>
              <w:rPr>
                <w:rFonts w:ascii="宋体" w:hAnsi="宋体" w:cs="宋体"/>
                <w:color w:val="auto"/>
                <w:kern w:val="0"/>
                <w:sz w:val="18"/>
                <w:szCs w:val="18"/>
                <w:highlight w:val="none"/>
              </w:rPr>
            </w:pPr>
          </w:p>
        </w:tc>
        <w:tc>
          <w:tcPr>
            <w:tcW w:w="2415" w:type="dxa"/>
            <w:vMerge w:val="continue"/>
            <w:tcBorders>
              <w:tl2br w:val="nil"/>
              <w:tr2bl w:val="nil"/>
            </w:tcBorders>
            <w:shd w:val="clear" w:color="auto" w:fill="auto"/>
            <w:vAlign w:val="center"/>
          </w:tcPr>
          <w:p w14:paraId="5F351318">
            <w:pPr>
              <w:widowControl/>
              <w:spacing w:line="240" w:lineRule="auto"/>
              <w:jc w:val="center"/>
              <w:rPr>
                <w:rFonts w:ascii="宋体" w:hAnsi="宋体" w:cs="宋体"/>
                <w:color w:val="auto"/>
                <w:kern w:val="0"/>
                <w:sz w:val="18"/>
                <w:szCs w:val="18"/>
                <w:highlight w:val="none"/>
              </w:rPr>
            </w:pPr>
          </w:p>
        </w:tc>
        <w:tc>
          <w:tcPr>
            <w:tcW w:w="852" w:type="dxa"/>
            <w:vMerge w:val="continue"/>
            <w:tcBorders>
              <w:tl2br w:val="nil"/>
              <w:tr2bl w:val="nil"/>
            </w:tcBorders>
            <w:shd w:val="clear" w:color="auto" w:fill="auto"/>
            <w:vAlign w:val="center"/>
          </w:tcPr>
          <w:p w14:paraId="0764EE85">
            <w:pPr>
              <w:widowControl/>
              <w:spacing w:line="240" w:lineRule="auto"/>
              <w:jc w:val="center"/>
              <w:rPr>
                <w:rFonts w:ascii="宋体" w:hAnsi="宋体" w:cs="宋体"/>
                <w:color w:val="auto"/>
                <w:kern w:val="0"/>
                <w:sz w:val="18"/>
                <w:szCs w:val="18"/>
                <w:highlight w:val="none"/>
              </w:rPr>
            </w:pPr>
          </w:p>
        </w:tc>
        <w:tc>
          <w:tcPr>
            <w:tcW w:w="1459" w:type="dxa"/>
            <w:vMerge w:val="continue"/>
            <w:tcBorders>
              <w:tl2br w:val="nil"/>
              <w:tr2bl w:val="nil"/>
            </w:tcBorders>
            <w:shd w:val="clear" w:color="auto" w:fill="auto"/>
            <w:vAlign w:val="center"/>
          </w:tcPr>
          <w:p w14:paraId="4836A95E">
            <w:pPr>
              <w:widowControl/>
              <w:spacing w:line="240" w:lineRule="auto"/>
              <w:jc w:val="center"/>
              <w:rPr>
                <w:rFonts w:ascii="宋体" w:hAnsi="宋体" w:cs="宋体"/>
                <w:color w:val="auto"/>
                <w:kern w:val="0"/>
                <w:sz w:val="18"/>
                <w:szCs w:val="18"/>
                <w:highlight w:val="none"/>
              </w:rPr>
            </w:pPr>
          </w:p>
        </w:tc>
        <w:tc>
          <w:tcPr>
            <w:tcW w:w="1459" w:type="dxa"/>
            <w:vMerge w:val="continue"/>
            <w:tcBorders>
              <w:tl2br w:val="nil"/>
              <w:tr2bl w:val="nil"/>
            </w:tcBorders>
            <w:shd w:val="clear" w:color="auto" w:fill="auto"/>
            <w:vAlign w:val="center"/>
          </w:tcPr>
          <w:p w14:paraId="3799F1D5">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FC24DC8">
            <w:pPr>
              <w:widowControl/>
              <w:spacing w:line="240" w:lineRule="auto"/>
              <w:jc w:val="center"/>
              <w:rPr>
                <w:rFonts w:ascii="宋体" w:hAnsi="宋体" w:cs="宋体"/>
                <w:color w:val="auto"/>
                <w:kern w:val="0"/>
                <w:sz w:val="18"/>
                <w:szCs w:val="18"/>
                <w:highlight w:val="none"/>
              </w:rPr>
            </w:pPr>
          </w:p>
        </w:tc>
      </w:tr>
      <w:tr w14:paraId="728715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tcBorders>
              <w:tl2br w:val="nil"/>
              <w:tr2bl w:val="nil"/>
            </w:tcBorders>
            <w:shd w:val="clear" w:color="auto" w:fill="auto"/>
            <w:vAlign w:val="center"/>
          </w:tcPr>
          <w:p w14:paraId="5A6AD7BC">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r>
              <w:rPr>
                <w:rFonts w:hint="eastAsia" w:ascii="宋体" w:hAnsi="宋体" w:cs="宋体"/>
                <w:color w:val="auto"/>
                <w:kern w:val="0"/>
                <w:sz w:val="18"/>
                <w:szCs w:val="18"/>
                <w:highlight w:val="none"/>
                <w:lang w:eastAsia="zh-CN"/>
              </w:rPr>
              <w:t>1</w:t>
            </w:r>
            <w:r>
              <w:rPr>
                <w:rFonts w:hint="eastAsia" w:ascii="宋体" w:hAnsi="宋体" w:cs="宋体"/>
                <w:color w:val="auto"/>
                <w:kern w:val="0"/>
                <w:sz w:val="18"/>
                <w:szCs w:val="18"/>
                <w:highlight w:val="none"/>
              </w:rPr>
              <w:t>_3</w:t>
            </w:r>
          </w:p>
        </w:tc>
        <w:tc>
          <w:tcPr>
            <w:tcW w:w="2415" w:type="dxa"/>
            <w:tcBorders>
              <w:tl2br w:val="nil"/>
              <w:tr2bl w:val="nil"/>
            </w:tcBorders>
            <w:shd w:val="clear" w:color="auto" w:fill="auto"/>
            <w:vAlign w:val="center"/>
          </w:tcPr>
          <w:p w14:paraId="59BEB26C">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直流电源回路</w:t>
            </w:r>
          </w:p>
        </w:tc>
        <w:tc>
          <w:tcPr>
            <w:tcW w:w="852" w:type="dxa"/>
            <w:tcBorders>
              <w:tl2br w:val="nil"/>
              <w:tr2bl w:val="nil"/>
            </w:tcBorders>
            <w:shd w:val="clear" w:color="auto" w:fill="auto"/>
            <w:vAlign w:val="center"/>
          </w:tcPr>
          <w:p w14:paraId="73183241">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3B8222F">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D9714E0">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FEF2CF7">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在</w:t>
            </w:r>
            <w:r>
              <w:rPr>
                <w:rFonts w:hint="eastAsia" w:ascii="宋体" w:hAnsi="宋体" w:cs="宋体"/>
                <w:color w:val="auto"/>
                <w:sz w:val="18"/>
                <w:szCs w:val="18"/>
                <w:highlight w:val="none"/>
                <w:u w:val="single"/>
              </w:rPr>
              <w:t xml:space="preserve">  </w:t>
            </w:r>
            <w:r>
              <w:rPr>
                <w:rFonts w:hint="eastAsia" w:ascii="宋体" w:hAnsi="宋体" w:cs="宋体"/>
                <w:color w:val="auto"/>
                <w:sz w:val="18"/>
                <w:szCs w:val="18"/>
                <w:highlight w:val="none"/>
              </w:rPr>
              <w:t>％～</w:t>
            </w:r>
            <w:r>
              <w:rPr>
                <w:rFonts w:hint="eastAsia" w:ascii="宋体" w:hAnsi="宋体" w:cs="宋体"/>
                <w:color w:val="auto"/>
                <w:sz w:val="18"/>
                <w:szCs w:val="18"/>
                <w:highlight w:val="none"/>
                <w:u w:val="single"/>
              </w:rPr>
              <w:t xml:space="preserve">  </w:t>
            </w:r>
            <w:r>
              <w:rPr>
                <w:rFonts w:hint="eastAsia" w:ascii="宋体" w:hAnsi="宋体" w:cs="宋体"/>
                <w:color w:val="auto"/>
                <w:sz w:val="18"/>
                <w:szCs w:val="18"/>
                <w:highlight w:val="none"/>
              </w:rPr>
              <w:t>％额定电压可连续工作</w:t>
            </w:r>
          </w:p>
        </w:tc>
      </w:tr>
      <w:tr w14:paraId="52E8D3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tcBorders>
              <w:tl2br w:val="nil"/>
              <w:tr2bl w:val="nil"/>
            </w:tcBorders>
            <w:shd w:val="clear" w:color="auto" w:fill="auto"/>
            <w:vAlign w:val="center"/>
          </w:tcPr>
          <w:p w14:paraId="06ACFC69">
            <w:pPr>
              <w:widowControl/>
              <w:spacing w:line="240" w:lineRule="auto"/>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w:t>
            </w:r>
            <w:r>
              <w:rPr>
                <w:rFonts w:hint="eastAsia" w:ascii="宋体" w:hAnsi="宋体" w:cs="宋体"/>
                <w:color w:val="auto"/>
                <w:kern w:val="0"/>
                <w:sz w:val="18"/>
                <w:szCs w:val="18"/>
                <w:highlight w:val="none"/>
                <w:lang w:eastAsia="zh-CN"/>
              </w:rPr>
              <w:t>2</w:t>
            </w:r>
          </w:p>
        </w:tc>
        <w:tc>
          <w:tcPr>
            <w:tcW w:w="2415" w:type="dxa"/>
            <w:tcBorders>
              <w:tl2br w:val="nil"/>
              <w:tr2bl w:val="nil"/>
            </w:tcBorders>
            <w:shd w:val="clear" w:color="auto" w:fill="auto"/>
            <w:vAlign w:val="center"/>
          </w:tcPr>
          <w:p w14:paraId="160D1793">
            <w:pPr>
              <w:widowControl w:val="0"/>
              <w:snapToGrid w:val="0"/>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保护装置测量元件特性的准确度</w:t>
            </w:r>
          </w:p>
        </w:tc>
        <w:tc>
          <w:tcPr>
            <w:tcW w:w="852" w:type="dxa"/>
            <w:tcBorders>
              <w:tl2br w:val="nil"/>
              <w:tr2bl w:val="nil"/>
            </w:tcBorders>
            <w:shd w:val="clear" w:color="auto" w:fill="auto"/>
            <w:vAlign w:val="center"/>
          </w:tcPr>
          <w:p w14:paraId="102C57AB">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D0BB140">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2F0C8EB">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3F125D6">
            <w:pPr>
              <w:widowControl/>
              <w:spacing w:line="240" w:lineRule="auto"/>
              <w:jc w:val="center"/>
              <w:rPr>
                <w:rFonts w:ascii="宋体" w:hAnsi="宋体" w:cs="宋体"/>
                <w:color w:val="auto"/>
                <w:kern w:val="0"/>
                <w:sz w:val="18"/>
                <w:szCs w:val="18"/>
                <w:highlight w:val="none"/>
              </w:rPr>
            </w:pPr>
          </w:p>
        </w:tc>
      </w:tr>
      <w:tr w14:paraId="414435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tcBorders>
              <w:tl2br w:val="nil"/>
              <w:tr2bl w:val="nil"/>
            </w:tcBorders>
            <w:shd w:val="clear" w:color="auto" w:fill="auto"/>
            <w:vAlign w:val="center"/>
          </w:tcPr>
          <w:p w14:paraId="18357B7A">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r>
              <w:rPr>
                <w:rFonts w:hint="eastAsia" w:ascii="宋体" w:hAnsi="宋体" w:cs="宋体"/>
                <w:color w:val="auto"/>
                <w:kern w:val="0"/>
                <w:sz w:val="18"/>
                <w:szCs w:val="18"/>
                <w:highlight w:val="none"/>
                <w:lang w:eastAsia="zh-CN"/>
              </w:rPr>
              <w:t>2</w:t>
            </w:r>
            <w:r>
              <w:rPr>
                <w:rFonts w:hint="eastAsia" w:ascii="宋体" w:hAnsi="宋体" w:cs="宋体"/>
                <w:color w:val="auto"/>
                <w:kern w:val="0"/>
                <w:sz w:val="18"/>
                <w:szCs w:val="18"/>
                <w:highlight w:val="none"/>
              </w:rPr>
              <w:t>_1</w:t>
            </w:r>
          </w:p>
        </w:tc>
        <w:tc>
          <w:tcPr>
            <w:tcW w:w="2415" w:type="dxa"/>
            <w:tcBorders>
              <w:tl2br w:val="nil"/>
              <w:tr2bl w:val="nil"/>
            </w:tcBorders>
            <w:shd w:val="clear" w:color="auto" w:fill="auto"/>
            <w:vAlign w:val="center"/>
          </w:tcPr>
          <w:p w14:paraId="3D26AD46">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 xml:space="preserve">整定误差(不大于± </w:t>
            </w:r>
            <w:r>
              <w:rPr>
                <w:rFonts w:hint="eastAsia" w:ascii="宋体" w:hAnsi="宋体" w:cs="宋体"/>
                <w:color w:val="auto"/>
                <w:sz w:val="18"/>
                <w:szCs w:val="18"/>
                <w:highlight w:val="none"/>
                <w:lang w:eastAsia="zh-CN"/>
              </w:rPr>
              <w:t>％</w:t>
            </w:r>
            <w:r>
              <w:rPr>
                <w:rFonts w:hint="eastAsia" w:ascii="宋体" w:hAnsi="宋体" w:cs="宋体"/>
                <w:color w:val="auto"/>
                <w:sz w:val="18"/>
                <w:szCs w:val="18"/>
                <w:highlight w:val="none"/>
              </w:rPr>
              <w:t>)</w:t>
            </w:r>
          </w:p>
        </w:tc>
        <w:tc>
          <w:tcPr>
            <w:tcW w:w="852" w:type="dxa"/>
            <w:tcBorders>
              <w:tl2br w:val="nil"/>
              <w:tr2bl w:val="nil"/>
            </w:tcBorders>
            <w:shd w:val="clear" w:color="auto" w:fill="auto"/>
            <w:vAlign w:val="center"/>
          </w:tcPr>
          <w:p w14:paraId="7A9B76DC">
            <w:pPr>
              <w:widowControl/>
              <w:spacing w:line="240" w:lineRule="auto"/>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lang w:eastAsia="zh-CN"/>
              </w:rPr>
              <w:t>％</w:t>
            </w:r>
          </w:p>
        </w:tc>
        <w:tc>
          <w:tcPr>
            <w:tcW w:w="1459" w:type="dxa"/>
            <w:tcBorders>
              <w:tl2br w:val="nil"/>
              <w:tr2bl w:val="nil"/>
            </w:tcBorders>
            <w:shd w:val="clear" w:color="auto" w:fill="auto"/>
            <w:vAlign w:val="center"/>
          </w:tcPr>
          <w:p w14:paraId="610BAC45">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1CFBA15B">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5F519EE">
            <w:pPr>
              <w:widowControl/>
              <w:spacing w:line="240" w:lineRule="auto"/>
              <w:jc w:val="center"/>
              <w:rPr>
                <w:rFonts w:ascii="宋体" w:hAnsi="宋体" w:cs="宋体"/>
                <w:color w:val="auto"/>
                <w:kern w:val="0"/>
                <w:sz w:val="18"/>
                <w:szCs w:val="18"/>
                <w:highlight w:val="none"/>
              </w:rPr>
            </w:pPr>
          </w:p>
        </w:tc>
      </w:tr>
      <w:tr w14:paraId="77F4F1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tcBorders>
              <w:tl2br w:val="nil"/>
              <w:tr2bl w:val="nil"/>
            </w:tcBorders>
            <w:shd w:val="clear" w:color="auto" w:fill="auto"/>
            <w:vAlign w:val="center"/>
          </w:tcPr>
          <w:p w14:paraId="50A635D1">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r>
              <w:rPr>
                <w:rFonts w:hint="eastAsia" w:ascii="宋体" w:hAnsi="宋体" w:cs="宋体"/>
                <w:color w:val="auto"/>
                <w:kern w:val="0"/>
                <w:sz w:val="18"/>
                <w:szCs w:val="18"/>
                <w:highlight w:val="none"/>
                <w:lang w:eastAsia="zh-CN"/>
              </w:rPr>
              <w:t>2</w:t>
            </w:r>
            <w:r>
              <w:rPr>
                <w:rFonts w:hint="eastAsia" w:ascii="宋体" w:hAnsi="宋体" w:cs="宋体"/>
                <w:color w:val="auto"/>
                <w:kern w:val="0"/>
                <w:sz w:val="18"/>
                <w:szCs w:val="18"/>
                <w:highlight w:val="none"/>
              </w:rPr>
              <w:t>_2</w:t>
            </w:r>
          </w:p>
        </w:tc>
        <w:tc>
          <w:tcPr>
            <w:tcW w:w="2415" w:type="dxa"/>
            <w:tcBorders>
              <w:tl2br w:val="nil"/>
              <w:tr2bl w:val="nil"/>
            </w:tcBorders>
            <w:shd w:val="clear" w:color="auto" w:fill="auto"/>
            <w:vAlign w:val="center"/>
          </w:tcPr>
          <w:p w14:paraId="48A00D24">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温度变差(在工作环境温度范围内相对于＋20 ±2</w:t>
            </w:r>
            <w:r>
              <w:rPr>
                <w:rFonts w:hint="eastAsia" w:ascii="宋体" w:hAnsi="宋体" w:cs="宋体"/>
                <w:color w:val="auto"/>
                <w:sz w:val="18"/>
                <w:szCs w:val="18"/>
                <w:highlight w:val="none"/>
                <w:vertAlign w:val="superscript"/>
              </w:rPr>
              <w:t>℃</w:t>
            </w:r>
            <w:r>
              <w:rPr>
                <w:rFonts w:hint="eastAsia" w:ascii="宋体" w:hAnsi="宋体" w:cs="宋体"/>
                <w:color w:val="auto"/>
                <w:sz w:val="18"/>
                <w:szCs w:val="18"/>
                <w:highlight w:val="none"/>
              </w:rPr>
              <w:t>时，不大于±％)</w:t>
            </w:r>
          </w:p>
        </w:tc>
        <w:tc>
          <w:tcPr>
            <w:tcW w:w="852" w:type="dxa"/>
            <w:tcBorders>
              <w:tl2br w:val="nil"/>
              <w:tr2bl w:val="nil"/>
            </w:tcBorders>
            <w:shd w:val="clear" w:color="auto" w:fill="auto"/>
            <w:vAlign w:val="center"/>
          </w:tcPr>
          <w:p w14:paraId="2F896836">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2396174">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2AF1C076">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941FD1D">
            <w:pPr>
              <w:widowControl/>
              <w:spacing w:line="240" w:lineRule="auto"/>
              <w:jc w:val="center"/>
              <w:rPr>
                <w:rFonts w:ascii="宋体" w:hAnsi="宋体" w:cs="宋体"/>
                <w:color w:val="auto"/>
                <w:kern w:val="0"/>
                <w:sz w:val="18"/>
                <w:szCs w:val="18"/>
                <w:highlight w:val="none"/>
              </w:rPr>
            </w:pPr>
          </w:p>
        </w:tc>
      </w:tr>
      <w:tr w14:paraId="281172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tcBorders>
              <w:tl2br w:val="nil"/>
              <w:tr2bl w:val="nil"/>
            </w:tcBorders>
            <w:shd w:val="clear" w:color="auto" w:fill="auto"/>
            <w:vAlign w:val="center"/>
          </w:tcPr>
          <w:p w14:paraId="5A35B511">
            <w:pPr>
              <w:widowControl/>
              <w:spacing w:line="240" w:lineRule="auto"/>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w:t>
            </w:r>
            <w:r>
              <w:rPr>
                <w:rFonts w:hint="eastAsia" w:ascii="宋体" w:hAnsi="宋体" w:cs="宋体"/>
                <w:color w:val="auto"/>
                <w:kern w:val="0"/>
                <w:sz w:val="18"/>
                <w:szCs w:val="18"/>
                <w:highlight w:val="none"/>
                <w:lang w:eastAsia="zh-CN"/>
              </w:rPr>
              <w:t>3</w:t>
            </w:r>
          </w:p>
        </w:tc>
        <w:tc>
          <w:tcPr>
            <w:tcW w:w="2415" w:type="dxa"/>
            <w:tcBorders>
              <w:tl2br w:val="nil"/>
              <w:tr2bl w:val="nil"/>
            </w:tcBorders>
            <w:shd w:val="clear" w:color="auto" w:fill="auto"/>
            <w:vAlign w:val="center"/>
          </w:tcPr>
          <w:p w14:paraId="09F59DAB">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保护管理机</w:t>
            </w:r>
          </w:p>
        </w:tc>
        <w:tc>
          <w:tcPr>
            <w:tcW w:w="852" w:type="dxa"/>
            <w:tcBorders>
              <w:tl2br w:val="nil"/>
              <w:tr2bl w:val="nil"/>
            </w:tcBorders>
            <w:shd w:val="clear" w:color="auto" w:fill="auto"/>
            <w:vAlign w:val="center"/>
          </w:tcPr>
          <w:p w14:paraId="69B41EB0">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E40DABF">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634EC6D2">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5FA484B">
            <w:pPr>
              <w:widowControl/>
              <w:spacing w:line="240" w:lineRule="auto"/>
              <w:jc w:val="center"/>
              <w:rPr>
                <w:rFonts w:ascii="宋体" w:hAnsi="宋体" w:cs="宋体"/>
                <w:color w:val="auto"/>
                <w:kern w:val="0"/>
                <w:sz w:val="18"/>
                <w:szCs w:val="18"/>
                <w:highlight w:val="none"/>
              </w:rPr>
            </w:pPr>
          </w:p>
        </w:tc>
      </w:tr>
      <w:tr w14:paraId="5CC9E1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9" w:type="dxa"/>
            <w:tcBorders>
              <w:tl2br w:val="nil"/>
              <w:tr2bl w:val="nil"/>
            </w:tcBorders>
            <w:shd w:val="clear" w:color="auto" w:fill="auto"/>
            <w:vAlign w:val="center"/>
          </w:tcPr>
          <w:p w14:paraId="795DD6B9">
            <w:pPr>
              <w:widowControl/>
              <w:spacing w:line="240" w:lineRule="auto"/>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w:t>
            </w:r>
            <w:r>
              <w:rPr>
                <w:rFonts w:hint="eastAsia" w:ascii="宋体" w:hAnsi="宋体" w:cs="宋体"/>
                <w:color w:val="auto"/>
                <w:kern w:val="0"/>
                <w:sz w:val="18"/>
                <w:szCs w:val="18"/>
                <w:highlight w:val="none"/>
                <w:lang w:eastAsia="zh-CN"/>
              </w:rPr>
              <w:t>4</w:t>
            </w:r>
          </w:p>
        </w:tc>
        <w:tc>
          <w:tcPr>
            <w:tcW w:w="2415" w:type="dxa"/>
            <w:tcBorders>
              <w:tl2br w:val="nil"/>
              <w:tr2bl w:val="nil"/>
            </w:tcBorders>
            <w:shd w:val="clear" w:color="auto" w:fill="auto"/>
            <w:vAlign w:val="center"/>
          </w:tcPr>
          <w:p w14:paraId="705834A0">
            <w:pPr>
              <w:widowControl/>
              <w:spacing w:line="240" w:lineRule="auto"/>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保护装置接地</w:t>
            </w:r>
          </w:p>
        </w:tc>
        <w:tc>
          <w:tcPr>
            <w:tcW w:w="852" w:type="dxa"/>
            <w:tcBorders>
              <w:tl2br w:val="nil"/>
              <w:tr2bl w:val="nil"/>
            </w:tcBorders>
            <w:shd w:val="clear" w:color="auto" w:fill="auto"/>
            <w:vAlign w:val="center"/>
          </w:tcPr>
          <w:p w14:paraId="7D47759D">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40EF3305">
            <w:pPr>
              <w:widowControl/>
              <w:spacing w:line="240" w:lineRule="auto"/>
              <w:jc w:val="center"/>
              <w:rPr>
                <w:rFonts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54BB1E57">
            <w:pPr>
              <w:widowControl/>
              <w:spacing w:line="240" w:lineRule="auto"/>
              <w:jc w:val="center"/>
              <w:rPr>
                <w:rFonts w:hint="eastAsia" w:ascii="宋体" w:hAnsi="宋体" w:cs="宋体"/>
                <w:color w:val="auto"/>
                <w:kern w:val="0"/>
                <w:sz w:val="18"/>
                <w:szCs w:val="18"/>
                <w:highlight w:val="none"/>
              </w:rPr>
            </w:pPr>
          </w:p>
        </w:tc>
        <w:tc>
          <w:tcPr>
            <w:tcW w:w="1459" w:type="dxa"/>
            <w:tcBorders>
              <w:tl2br w:val="nil"/>
              <w:tr2bl w:val="nil"/>
            </w:tcBorders>
            <w:shd w:val="clear" w:color="auto" w:fill="auto"/>
            <w:vAlign w:val="center"/>
          </w:tcPr>
          <w:p w14:paraId="346AFBC9">
            <w:pPr>
              <w:widowControl/>
              <w:spacing w:line="240" w:lineRule="auto"/>
              <w:jc w:val="center"/>
              <w:rPr>
                <w:rFonts w:hint="eastAsia" w:ascii="宋体" w:hAnsi="宋体" w:cs="宋体"/>
                <w:color w:val="auto"/>
                <w:kern w:val="0"/>
                <w:sz w:val="18"/>
                <w:szCs w:val="18"/>
                <w:highlight w:val="none"/>
              </w:rPr>
            </w:pPr>
          </w:p>
        </w:tc>
      </w:tr>
    </w:tbl>
    <w:p w14:paraId="76BFF43A">
      <w:pPr>
        <w:snapToGrid w:val="0"/>
        <w:spacing w:before="157" w:beforeLines="50" w:line="360" w:lineRule="auto"/>
        <w:ind w:left="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投标人需在投标文件中提供各保护装置输入/输出接口用途表及保护装置功能块的使用一览表。</w:t>
      </w:r>
    </w:p>
    <w:p w14:paraId="5B7990AA">
      <w:pPr>
        <w:spacing w:before="0" w:beforeLines="0" w:after="0" w:afterLines="0" w:line="360" w:lineRule="auto"/>
        <w:outlineLvl w:val="1"/>
        <w:rPr>
          <w:rFonts w:hint="eastAsia" w:ascii="宋体" w:hAnsi="宋体" w:cs="宋体"/>
          <w:color w:val="auto"/>
          <w:sz w:val="32"/>
          <w:szCs w:val="32"/>
          <w:highlight w:val="none"/>
        </w:rPr>
      </w:pPr>
      <w:r>
        <w:rPr>
          <w:rFonts w:hint="eastAsia" w:ascii="宋体" w:hAnsi="宋体" w:cs="宋体"/>
          <w:color w:val="auto"/>
          <w:highlight w:val="none"/>
        </w:rPr>
        <w:br w:type="page"/>
      </w:r>
      <w:bookmarkStart w:id="40" w:name="_Toc501817567"/>
      <w:bookmarkStart w:id="41" w:name="_Toc515785169"/>
      <w:bookmarkStart w:id="42" w:name="_Toc343695398"/>
      <w:bookmarkStart w:id="43" w:name="_Toc513014506"/>
      <w:bookmarkStart w:id="44" w:name="_Toc526944930"/>
      <w:r>
        <w:rPr>
          <w:rFonts w:hint="eastAsia" w:ascii="宋体" w:hAnsi="宋体" w:cs="宋体"/>
          <w:b/>
          <w:bCs/>
          <w:color w:val="auto"/>
          <w:sz w:val="30"/>
          <w:szCs w:val="30"/>
          <w:highlight w:val="none"/>
        </w:rPr>
        <w:t>附件2 供货范围</w:t>
      </w:r>
      <w:bookmarkEnd w:id="40"/>
      <w:bookmarkEnd w:id="41"/>
      <w:bookmarkEnd w:id="42"/>
      <w:bookmarkEnd w:id="43"/>
      <w:bookmarkEnd w:id="44"/>
    </w:p>
    <w:p w14:paraId="6E1953DC">
      <w:pPr>
        <w:pStyle w:val="24"/>
        <w:numPr>
          <w:ilvl w:val="0"/>
          <w:numId w:val="0"/>
        </w:numPr>
        <w:snapToGrid/>
        <w:spacing w:before="0" w:beforeLines="0" w:after="0" w:afterLines="0" w:line="360" w:lineRule="auto"/>
        <w:outlineLvl w:val="0"/>
        <w:rPr>
          <w:rFonts w:hint="eastAsia" w:ascii="宋体" w:hAnsi="宋体" w:eastAsia="宋体" w:cs="宋体"/>
          <w:b/>
          <w:bCs/>
          <w:color w:val="auto"/>
          <w:sz w:val="28"/>
          <w:szCs w:val="28"/>
          <w:highlight w:val="none"/>
        </w:rPr>
      </w:pPr>
      <w:bookmarkStart w:id="45" w:name="_Toc515785170"/>
      <w:bookmarkStart w:id="46" w:name="_Toc513014507"/>
      <w:r>
        <w:rPr>
          <w:rFonts w:hint="eastAsia" w:ascii="宋体" w:hAnsi="宋体" w:eastAsia="宋体" w:cs="宋体"/>
          <w:b/>
          <w:bCs/>
          <w:color w:val="auto"/>
          <w:sz w:val="28"/>
          <w:szCs w:val="28"/>
          <w:highlight w:val="none"/>
        </w:rPr>
        <w:t>1 一般要求</w:t>
      </w:r>
      <w:bookmarkEnd w:id="45"/>
      <w:bookmarkEnd w:id="46"/>
    </w:p>
    <w:p w14:paraId="3784213E">
      <w:pPr>
        <w:snapToGrid/>
        <w:spacing w:line="360" w:lineRule="auto"/>
        <w:ind w:left="0" w:leftChars="0" w:firstLine="0" w:firstLineChars="0"/>
        <w:rPr>
          <w:rFonts w:hint="eastAsia" w:ascii="宋体" w:hAnsi="宋体" w:cs="宋体"/>
          <w:color w:val="auto"/>
          <w:sz w:val="21"/>
          <w:szCs w:val="21"/>
          <w:highlight w:val="none"/>
        </w:rPr>
      </w:pPr>
      <w:r>
        <w:rPr>
          <w:rFonts w:hint="eastAsia" w:ascii="宋体" w:hAnsi="宋体" w:cs="宋体"/>
          <w:color w:val="auto"/>
          <w:sz w:val="21"/>
          <w:szCs w:val="21"/>
          <w:highlight w:val="none"/>
        </w:rPr>
        <w:t>1.1 本附件规定了合同设备的供货范围，投标人应保证提供的装置设备及附件为全新的、先进的、成熟的、完整的和安全可靠的，且设备的技术经济性能符合本卷的要求。</w:t>
      </w:r>
    </w:p>
    <w:p w14:paraId="69903A8F">
      <w:pPr>
        <w:snapToGrid/>
        <w:spacing w:line="360" w:lineRule="auto"/>
        <w:ind w:left="0" w:firstLine="0" w:firstLineChars="0"/>
        <w:rPr>
          <w:rFonts w:hint="eastAsia" w:ascii="宋体" w:hAnsi="宋体" w:cs="宋体"/>
          <w:color w:val="auto"/>
          <w:sz w:val="21"/>
          <w:szCs w:val="21"/>
          <w:highlight w:val="none"/>
        </w:rPr>
      </w:pPr>
      <w:r>
        <w:rPr>
          <w:rFonts w:hint="eastAsia" w:ascii="宋体" w:hAnsi="宋体" w:cs="宋体"/>
          <w:color w:val="auto"/>
          <w:sz w:val="21"/>
          <w:szCs w:val="21"/>
          <w:highlight w:val="none"/>
        </w:rPr>
        <w:t>1.2 投标人应提供详细供货清单，清单中依此说明型号、数量、产地、生产厂家等内容。对于属于整套设备运行和施工所必需的部件，即使本规范书列出和/或数目不足，投标人仍须在执行的同时补足。</w:t>
      </w:r>
    </w:p>
    <w:p w14:paraId="18A7EDC4">
      <w:pPr>
        <w:snapToGrid/>
        <w:spacing w:line="360" w:lineRule="auto"/>
        <w:ind w:left="0" w:hanging="525" w:hangingChars="250"/>
        <w:rPr>
          <w:rFonts w:hint="eastAsia" w:ascii="宋体" w:hAnsi="宋体" w:cs="宋体"/>
          <w:color w:val="auto"/>
          <w:sz w:val="21"/>
          <w:szCs w:val="21"/>
          <w:highlight w:val="none"/>
        </w:rPr>
      </w:pPr>
      <w:r>
        <w:rPr>
          <w:rFonts w:hint="eastAsia" w:ascii="宋体" w:hAnsi="宋体" w:cs="宋体"/>
          <w:color w:val="auto"/>
          <w:sz w:val="21"/>
          <w:szCs w:val="21"/>
          <w:highlight w:val="none"/>
        </w:rPr>
        <w:t>1.3 投标人应提供所有安装和调试所需专用工具和消耗材料等，并提供详细供货清单。</w:t>
      </w:r>
    </w:p>
    <w:p w14:paraId="62D7B121">
      <w:pPr>
        <w:snapToGrid/>
        <w:spacing w:line="360" w:lineRule="auto"/>
        <w:ind w:left="0" w:hanging="525" w:hangingChars="250"/>
        <w:outlineLvl w:val="1"/>
        <w:rPr>
          <w:rFonts w:hint="eastAsia" w:ascii="宋体" w:hAnsi="宋体" w:cs="宋体"/>
          <w:color w:val="auto"/>
          <w:sz w:val="21"/>
          <w:szCs w:val="21"/>
          <w:highlight w:val="none"/>
        </w:rPr>
      </w:pPr>
      <w:r>
        <w:rPr>
          <w:rFonts w:hint="eastAsia" w:ascii="宋体" w:hAnsi="宋体" w:cs="宋体"/>
          <w:color w:val="auto"/>
          <w:sz w:val="21"/>
          <w:szCs w:val="21"/>
          <w:highlight w:val="none"/>
        </w:rPr>
        <w:t>1.4 投标人应提供随机备品备件，并在投标书中给出具体清单。</w:t>
      </w:r>
    </w:p>
    <w:p w14:paraId="1ECA11F0">
      <w:pPr>
        <w:snapToGrid/>
        <w:spacing w:line="360" w:lineRule="auto"/>
        <w:ind w:left="0" w:firstLine="0" w:firstLineChars="0"/>
        <w:rPr>
          <w:rFonts w:hint="eastAsia" w:ascii="宋体" w:hAnsi="宋体" w:cs="宋体"/>
          <w:color w:val="auto"/>
          <w:sz w:val="21"/>
          <w:szCs w:val="21"/>
          <w:highlight w:val="none"/>
        </w:rPr>
      </w:pPr>
      <w:r>
        <w:rPr>
          <w:rFonts w:hint="eastAsia" w:ascii="宋体" w:hAnsi="宋体" w:cs="宋体"/>
          <w:color w:val="auto"/>
          <w:sz w:val="21"/>
          <w:szCs w:val="21"/>
          <w:highlight w:val="none"/>
        </w:rPr>
        <w:t>1.5 提供所供设备中的主要部件件清单及其它需要的清单。任何进口设备在交货时均应提供原产地证明、进口报关等文件。</w:t>
      </w:r>
    </w:p>
    <w:p w14:paraId="31CB7049">
      <w:pPr>
        <w:spacing w:line="360" w:lineRule="auto"/>
        <w:rPr>
          <w:rFonts w:hint="eastAsia" w:ascii="宋体" w:hAnsi="宋体" w:cs="宋体"/>
          <w:color w:val="auto"/>
          <w:highlight w:val="none"/>
        </w:rPr>
      </w:pPr>
      <w:r>
        <w:rPr>
          <w:rFonts w:hint="eastAsia" w:ascii="宋体" w:hAnsi="宋体" w:cs="宋体"/>
          <w:color w:val="auto"/>
          <w:sz w:val="21"/>
          <w:szCs w:val="21"/>
          <w:highlight w:val="none"/>
        </w:rPr>
        <w:t>1.6 对于本规范书及图纸要求的设备、元器件，附件的数量、参数及功能必须满足要求，未列出的部分或数量不足、参数及功能不能满足要求的，投标人必须无条件免费提供或更换。</w:t>
      </w:r>
    </w:p>
    <w:p w14:paraId="5BE0B0E1">
      <w:pPr>
        <w:pStyle w:val="24"/>
        <w:numPr>
          <w:ilvl w:val="0"/>
          <w:numId w:val="0"/>
        </w:numPr>
        <w:snapToGrid/>
        <w:spacing w:before="0" w:beforeLines="0" w:after="0" w:afterLines="0" w:line="360" w:lineRule="auto"/>
        <w:outlineLvl w:val="0"/>
        <w:rPr>
          <w:rFonts w:hint="eastAsia" w:ascii="宋体" w:hAnsi="宋体" w:eastAsia="宋体" w:cs="宋体"/>
          <w:b/>
          <w:bCs/>
          <w:color w:val="auto"/>
          <w:sz w:val="28"/>
          <w:szCs w:val="28"/>
          <w:highlight w:val="none"/>
        </w:rPr>
      </w:pPr>
      <w:bookmarkStart w:id="47" w:name="_Toc515785171"/>
      <w:r>
        <w:rPr>
          <w:rFonts w:hint="eastAsia" w:ascii="宋体" w:hAnsi="宋体" w:eastAsia="宋体" w:cs="宋体"/>
          <w:b/>
          <w:bCs/>
          <w:color w:val="auto"/>
          <w:sz w:val="28"/>
          <w:szCs w:val="28"/>
          <w:highlight w:val="none"/>
        </w:rPr>
        <w:t>2 供货范围</w:t>
      </w:r>
      <w:bookmarkEnd w:id="47"/>
    </w:p>
    <w:p w14:paraId="24E7F45D">
      <w:pPr>
        <w:snapToGrid/>
        <w:spacing w:line="360" w:lineRule="auto"/>
        <w:ind w:left="0" w:leftChars="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投标人应确保供货范围完整，以能满足招标人安装、运行要求为原则。在技术规范中涉及的供货要求也作为本供货范围的补充，若在安装、调试、运行中发现缺项（属投标人供货范围）由投标人补充。</w:t>
      </w:r>
    </w:p>
    <w:p w14:paraId="44506822">
      <w:pPr>
        <w:snapToGrid/>
        <w:spacing w:line="360" w:lineRule="auto"/>
        <w:outlineLvl w:val="1"/>
        <w:rPr>
          <w:rFonts w:hint="eastAsia" w:ascii="宋体" w:hAnsi="宋体" w:cs="宋体"/>
          <w:b/>
          <w:color w:val="auto"/>
          <w:sz w:val="24"/>
          <w:szCs w:val="24"/>
          <w:highlight w:val="none"/>
        </w:rPr>
      </w:pPr>
      <w:r>
        <w:rPr>
          <w:rFonts w:hint="eastAsia" w:ascii="宋体" w:hAnsi="宋体" w:cs="宋体"/>
          <w:b/>
          <w:color w:val="auto"/>
          <w:sz w:val="24"/>
          <w:szCs w:val="24"/>
          <w:highlight w:val="none"/>
        </w:rPr>
        <w:t>2.1 设备范围</w:t>
      </w:r>
    </w:p>
    <w:p w14:paraId="30E90F2F">
      <w:pPr>
        <w:snapToGrid/>
        <w:spacing w:line="360" w:lineRule="auto"/>
        <w:ind w:left="0" w:leftChars="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本工程所需的保护装置数量见供货范围专业表单，投标人应列出详细清单：（不限于此）</w:t>
      </w:r>
    </w:p>
    <w:p w14:paraId="0B9FA05A">
      <w:pPr>
        <w:spacing w:line="360" w:lineRule="auto"/>
        <w:outlineLvl w:val="1"/>
        <w:rPr>
          <w:rFonts w:hint="eastAsia" w:ascii="宋体" w:hAnsi="宋体" w:cs="宋体"/>
          <w:b/>
          <w:color w:val="auto"/>
          <w:highlight w:val="none"/>
        </w:rPr>
      </w:pPr>
      <w:bookmarkStart w:id="48" w:name="_Toc173689303"/>
      <w:r>
        <w:rPr>
          <w:rFonts w:hint="eastAsia" w:ascii="宋体" w:hAnsi="宋体" w:cs="宋体"/>
          <w:b/>
          <w:color w:val="auto"/>
          <w:highlight w:val="none"/>
        </w:rPr>
        <w:t>2.2 备品备件</w:t>
      </w:r>
      <w:bookmarkEnd w:id="48"/>
    </w:p>
    <w:p w14:paraId="3AA16B8C">
      <w:pPr>
        <w:snapToGrid/>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投标人应向招标人提供安装、调试、运行和维护所需的最低限度备品备件，按供货范围专业表单要求提供详细的备品备件清单（注明零部件的名称、型号或规格、生产厂家等）。</w:t>
      </w:r>
    </w:p>
    <w:p w14:paraId="1CD1A12C">
      <w:pPr>
        <w:spacing w:line="360" w:lineRule="auto"/>
        <w:outlineLvl w:val="1"/>
        <w:rPr>
          <w:rFonts w:hint="eastAsia" w:ascii="宋体" w:hAnsi="宋体" w:cs="宋体"/>
          <w:b/>
          <w:color w:val="auto"/>
          <w:highlight w:val="none"/>
        </w:rPr>
      </w:pPr>
      <w:bookmarkStart w:id="49" w:name="_Toc173689304"/>
      <w:r>
        <w:rPr>
          <w:rFonts w:hint="eastAsia" w:ascii="宋体" w:hAnsi="宋体" w:cs="宋体"/>
          <w:b/>
          <w:color w:val="auto"/>
          <w:highlight w:val="none"/>
        </w:rPr>
        <w:t>2.3</w:t>
      </w:r>
      <w:r>
        <w:rPr>
          <w:rFonts w:hint="eastAsia" w:ascii="宋体" w:hAnsi="宋体" w:cs="宋体"/>
          <w:b/>
          <w:color w:val="auto"/>
          <w:highlight w:val="none"/>
          <w:lang w:val="en-US" w:eastAsia="zh-CN"/>
        </w:rPr>
        <w:t xml:space="preserve"> </w:t>
      </w:r>
      <w:r>
        <w:rPr>
          <w:rFonts w:hint="eastAsia" w:ascii="宋体" w:hAnsi="宋体" w:cs="宋体"/>
          <w:b/>
          <w:color w:val="auto"/>
          <w:highlight w:val="none"/>
        </w:rPr>
        <w:t>专用工具</w:t>
      </w:r>
      <w:bookmarkEnd w:id="49"/>
    </w:p>
    <w:p w14:paraId="7D8C98C9">
      <w:pPr>
        <w:snapToGrid/>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投标人应向招标人提供必要的专用工具，按供货范围专业表单要求提供详细的专用工具清单（注明零部件的名称、型号或规格、生产厂家等）。</w:t>
      </w:r>
    </w:p>
    <w:p w14:paraId="2EFFEB7C">
      <w:pPr>
        <w:spacing w:line="360" w:lineRule="auto"/>
        <w:outlineLvl w:val="1"/>
        <w:rPr>
          <w:rFonts w:hint="eastAsia" w:ascii="宋体" w:hAnsi="宋体" w:cs="宋体"/>
          <w:b/>
          <w:color w:val="auto"/>
          <w:highlight w:val="none"/>
          <w:lang w:val="en-US" w:eastAsia="zh-CN"/>
        </w:rPr>
      </w:pPr>
      <w:r>
        <w:rPr>
          <w:rFonts w:hint="eastAsia" w:ascii="宋体" w:hAnsi="宋体" w:cs="宋体"/>
          <w:b/>
          <w:color w:val="auto"/>
          <w:highlight w:val="none"/>
        </w:rPr>
        <w:t>2.4</w:t>
      </w:r>
      <w:r>
        <w:rPr>
          <w:rFonts w:hint="eastAsia" w:ascii="宋体" w:hAnsi="宋体" w:cs="宋体"/>
          <w:b/>
          <w:color w:val="auto"/>
          <w:highlight w:val="none"/>
          <w:lang w:val="en-US" w:eastAsia="zh-CN"/>
        </w:rPr>
        <w:t xml:space="preserve"> </w:t>
      </w:r>
      <w:r>
        <w:rPr>
          <w:rFonts w:hint="eastAsia" w:ascii="宋体" w:hAnsi="宋体" w:cs="宋体"/>
          <w:b/>
          <w:color w:val="auto"/>
          <w:highlight w:val="none"/>
        </w:rPr>
        <w:t>进口材料及进口件</w:t>
      </w:r>
      <w:r>
        <w:rPr>
          <w:rFonts w:hint="eastAsia" w:ascii="宋体" w:hAnsi="宋体" w:cs="宋体"/>
          <w:b/>
          <w:color w:val="auto"/>
          <w:highlight w:val="none"/>
          <w:lang w:val="en-US" w:eastAsia="zh-CN"/>
        </w:rPr>
        <w:t>清单</w:t>
      </w:r>
    </w:p>
    <w:p w14:paraId="12772D49">
      <w:pPr>
        <w:pStyle w:val="10"/>
        <w:adjustRightInd/>
        <w:spacing w:line="360" w:lineRule="auto"/>
        <w:ind w:firstLine="420" w:firstLineChars="200"/>
        <w:jc w:val="both"/>
        <w:textAlignment w:val="auto"/>
        <w:rPr>
          <w:rFonts w:hint="eastAsia" w:ascii="宋体" w:hAnsi="宋体" w:eastAsia="宋体" w:cs="宋体"/>
          <w:color w:val="auto"/>
          <w:kern w:val="2"/>
          <w:sz w:val="21"/>
          <w:szCs w:val="21"/>
          <w:highlight w:val="none"/>
        </w:rPr>
      </w:pPr>
      <w:r>
        <w:rPr>
          <w:rFonts w:hint="eastAsia" w:ascii="宋体" w:hAnsi="宋体" w:cs="宋体"/>
          <w:color w:val="auto"/>
          <w:kern w:val="2"/>
          <w:sz w:val="21"/>
          <w:szCs w:val="21"/>
          <w:highlight w:val="none"/>
        </w:rPr>
        <w:t>投标人根据投标部件情况列出进口材料及进口件清单</w:t>
      </w:r>
    </w:p>
    <w:p w14:paraId="25CD259B">
      <w:pPr>
        <w:pStyle w:val="10"/>
        <w:spacing w:after="0" w:afterLines="0" w:line="360" w:lineRule="auto"/>
        <w:ind w:firstLine="420" w:firstLineChars="20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发变组保护装置供货范围专用表（适用于有发电机出口断路器）</w:t>
      </w:r>
    </w:p>
    <w:tbl>
      <w:tblPr>
        <w:tblStyle w:val="18"/>
        <w:tblW w:w="838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5"/>
        <w:gridCol w:w="2835"/>
        <w:gridCol w:w="1276"/>
        <w:gridCol w:w="709"/>
        <w:gridCol w:w="709"/>
        <w:gridCol w:w="708"/>
        <w:gridCol w:w="709"/>
        <w:gridCol w:w="761"/>
      </w:tblGrid>
      <w:tr w14:paraId="5EE4F1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675" w:type="dxa"/>
            <w:tcBorders>
              <w:tl2br w:val="nil"/>
              <w:tr2bl w:val="nil"/>
            </w:tcBorders>
            <w:shd w:val="clear" w:color="auto" w:fill="auto"/>
            <w:vAlign w:val="center"/>
          </w:tcPr>
          <w:p w14:paraId="1CCA4B8E">
            <w:pPr>
              <w:widowControl/>
              <w:adjustRightInd w:val="0"/>
              <w:snapToGrid w:val="0"/>
              <w:spacing w:before="100" w:beforeAutospacing="1"/>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序号</w:t>
            </w:r>
          </w:p>
        </w:tc>
        <w:tc>
          <w:tcPr>
            <w:tcW w:w="2835" w:type="dxa"/>
            <w:tcBorders>
              <w:tl2br w:val="nil"/>
              <w:tr2bl w:val="nil"/>
            </w:tcBorders>
            <w:shd w:val="clear" w:color="auto" w:fill="auto"/>
            <w:vAlign w:val="center"/>
          </w:tcPr>
          <w:p w14:paraId="419BDFB6">
            <w:pPr>
              <w:widowControl/>
              <w:adjustRightInd w:val="0"/>
              <w:snapToGrid w:val="0"/>
              <w:spacing w:before="100" w:beforeAutospacing="1"/>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名称</w:t>
            </w:r>
          </w:p>
        </w:tc>
        <w:tc>
          <w:tcPr>
            <w:tcW w:w="1276" w:type="dxa"/>
            <w:tcBorders>
              <w:tl2br w:val="nil"/>
              <w:tr2bl w:val="nil"/>
            </w:tcBorders>
            <w:shd w:val="clear" w:color="auto" w:fill="auto"/>
            <w:vAlign w:val="center"/>
          </w:tcPr>
          <w:p w14:paraId="7F782B95">
            <w:pPr>
              <w:widowControl/>
              <w:adjustRightInd w:val="0"/>
              <w:snapToGrid w:val="0"/>
              <w:spacing w:before="100" w:beforeAutospacing="1"/>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规格和型号</w:t>
            </w:r>
          </w:p>
        </w:tc>
        <w:tc>
          <w:tcPr>
            <w:tcW w:w="709" w:type="dxa"/>
            <w:tcBorders>
              <w:tl2br w:val="nil"/>
              <w:tr2bl w:val="nil"/>
            </w:tcBorders>
            <w:shd w:val="clear" w:color="auto" w:fill="auto"/>
            <w:vAlign w:val="center"/>
          </w:tcPr>
          <w:p w14:paraId="26AF103C">
            <w:pPr>
              <w:widowControl/>
              <w:adjustRightInd w:val="0"/>
              <w:snapToGrid w:val="0"/>
              <w:spacing w:before="100" w:beforeAutospacing="1"/>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单位</w:t>
            </w:r>
          </w:p>
        </w:tc>
        <w:tc>
          <w:tcPr>
            <w:tcW w:w="709" w:type="dxa"/>
            <w:tcBorders>
              <w:tl2br w:val="nil"/>
              <w:tr2bl w:val="nil"/>
            </w:tcBorders>
            <w:shd w:val="clear" w:color="auto" w:fill="auto"/>
            <w:vAlign w:val="center"/>
          </w:tcPr>
          <w:p w14:paraId="45C02994">
            <w:pPr>
              <w:widowControl/>
              <w:adjustRightInd w:val="0"/>
              <w:snapToGrid w:val="0"/>
              <w:spacing w:before="100" w:beforeAutospacing="1"/>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数量</w:t>
            </w:r>
          </w:p>
        </w:tc>
        <w:tc>
          <w:tcPr>
            <w:tcW w:w="708" w:type="dxa"/>
            <w:tcBorders>
              <w:tl2br w:val="nil"/>
              <w:tr2bl w:val="nil"/>
            </w:tcBorders>
            <w:shd w:val="clear" w:color="auto" w:fill="auto"/>
            <w:vAlign w:val="center"/>
          </w:tcPr>
          <w:p w14:paraId="1B4B847E">
            <w:pPr>
              <w:widowControl/>
              <w:adjustRightInd w:val="0"/>
              <w:snapToGrid w:val="0"/>
              <w:spacing w:before="100" w:beforeAutospacing="1"/>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产地</w:t>
            </w:r>
          </w:p>
        </w:tc>
        <w:tc>
          <w:tcPr>
            <w:tcW w:w="709" w:type="dxa"/>
            <w:tcBorders>
              <w:tl2br w:val="nil"/>
              <w:tr2bl w:val="nil"/>
            </w:tcBorders>
            <w:shd w:val="clear" w:color="auto" w:fill="auto"/>
            <w:vAlign w:val="center"/>
          </w:tcPr>
          <w:p w14:paraId="7E559125">
            <w:pPr>
              <w:widowControl/>
              <w:adjustRightInd w:val="0"/>
              <w:snapToGrid w:val="0"/>
              <w:spacing w:before="100" w:beforeAutospacing="1"/>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生产厂家</w:t>
            </w:r>
          </w:p>
        </w:tc>
        <w:tc>
          <w:tcPr>
            <w:tcW w:w="761" w:type="dxa"/>
            <w:tcBorders>
              <w:tl2br w:val="nil"/>
              <w:tr2bl w:val="nil"/>
            </w:tcBorders>
            <w:shd w:val="clear" w:color="auto" w:fill="auto"/>
            <w:vAlign w:val="center"/>
          </w:tcPr>
          <w:p w14:paraId="2784745E">
            <w:pPr>
              <w:widowControl/>
              <w:adjustRightInd w:val="0"/>
              <w:snapToGrid w:val="0"/>
              <w:spacing w:before="100" w:beforeAutospacing="1"/>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备注</w:t>
            </w:r>
          </w:p>
        </w:tc>
      </w:tr>
      <w:tr w14:paraId="32FFDA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675" w:type="dxa"/>
            <w:tcBorders>
              <w:tl2br w:val="nil"/>
              <w:tr2bl w:val="nil"/>
            </w:tcBorders>
            <w:shd w:val="clear" w:color="auto" w:fill="auto"/>
            <w:vAlign w:val="center"/>
          </w:tcPr>
          <w:p w14:paraId="7611AC16">
            <w:pPr>
              <w:widowControl/>
              <w:adjustRightInd w:val="0"/>
              <w:snapToGrid w:val="0"/>
              <w:spacing w:before="100" w:beforeAutospacing="1"/>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p>
        </w:tc>
        <w:tc>
          <w:tcPr>
            <w:tcW w:w="7707" w:type="dxa"/>
            <w:gridSpan w:val="7"/>
            <w:tcBorders>
              <w:tl2br w:val="nil"/>
              <w:tr2bl w:val="nil"/>
            </w:tcBorders>
            <w:shd w:val="clear" w:color="auto" w:fill="auto"/>
            <w:vAlign w:val="center"/>
          </w:tcPr>
          <w:p w14:paraId="0B82BCA9">
            <w:pPr>
              <w:widowControl/>
              <w:adjustRightInd w:val="0"/>
              <w:snapToGrid w:val="0"/>
              <w:spacing w:before="100" w:beforeAutospacing="1"/>
              <w:jc w:val="center"/>
              <w:rPr>
                <w:rFonts w:hint="default" w:ascii="宋体" w:hAnsi="宋体" w:cs="宋体"/>
                <w:color w:val="auto"/>
                <w:kern w:val="0"/>
                <w:sz w:val="18"/>
                <w:szCs w:val="18"/>
                <w:highlight w:val="none"/>
                <w:lang w:val="en-US"/>
              </w:rPr>
            </w:pPr>
            <w:r>
              <w:rPr>
                <w:rFonts w:hint="eastAsia" w:ascii="宋体" w:hAnsi="宋体" w:cs="宋体"/>
                <w:color w:val="auto"/>
                <w:kern w:val="0"/>
                <w:sz w:val="18"/>
                <w:szCs w:val="18"/>
                <w:highlight w:val="none"/>
                <w:lang w:val="en-US" w:eastAsia="zh-CN"/>
              </w:rPr>
              <w:t>发变组保护设备</w:t>
            </w:r>
          </w:p>
        </w:tc>
      </w:tr>
      <w:tr w14:paraId="217B8C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675" w:type="dxa"/>
            <w:tcBorders>
              <w:tl2br w:val="nil"/>
              <w:tr2bl w:val="nil"/>
            </w:tcBorders>
            <w:shd w:val="clear" w:color="auto" w:fill="auto"/>
            <w:vAlign w:val="center"/>
          </w:tcPr>
          <w:p w14:paraId="4F09742E">
            <w:pPr>
              <w:widowControl/>
              <w:adjustRightInd w:val="0"/>
              <w:snapToGrid w:val="0"/>
              <w:spacing w:before="100" w:beforeAutospacing="1"/>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1_1</w:t>
            </w:r>
          </w:p>
        </w:tc>
        <w:tc>
          <w:tcPr>
            <w:tcW w:w="2835" w:type="dxa"/>
            <w:tcBorders>
              <w:tl2br w:val="nil"/>
              <w:tr2bl w:val="nil"/>
            </w:tcBorders>
            <w:shd w:val="clear" w:color="auto" w:fill="auto"/>
            <w:vAlign w:val="center"/>
          </w:tcPr>
          <w:p w14:paraId="4BB2C38A">
            <w:pPr>
              <w:adjustRightInd w:val="0"/>
              <w:snapToGrid w:val="0"/>
              <w:spacing w:before="100" w:beforeAutospacing="1"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发电机、励磁变保护A屏（</w:t>
            </w:r>
            <w:r>
              <w:rPr>
                <w:rFonts w:hint="eastAsia" w:ascii="宋体" w:hAnsi="宋体" w:cs="宋体"/>
                <w:color w:val="auto"/>
                <w:sz w:val="18"/>
                <w:szCs w:val="18"/>
                <w:highlight w:val="none"/>
                <w:lang w:val="en-US" w:eastAsia="zh-CN"/>
              </w:rPr>
              <w:t>含电量、非电量保护装置各1套</w:t>
            </w:r>
            <w:r>
              <w:rPr>
                <w:rFonts w:hint="eastAsia" w:ascii="宋体" w:hAnsi="宋体" w:cs="宋体"/>
                <w:color w:val="auto"/>
                <w:sz w:val="18"/>
                <w:szCs w:val="18"/>
                <w:highlight w:val="none"/>
              </w:rPr>
              <w:t>）</w:t>
            </w:r>
          </w:p>
        </w:tc>
        <w:tc>
          <w:tcPr>
            <w:tcW w:w="1276" w:type="dxa"/>
            <w:tcBorders>
              <w:tl2br w:val="nil"/>
              <w:tr2bl w:val="nil"/>
            </w:tcBorders>
            <w:shd w:val="clear" w:color="auto" w:fill="auto"/>
            <w:vAlign w:val="center"/>
          </w:tcPr>
          <w:p w14:paraId="03175B8E">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3D2FAF33">
            <w:pPr>
              <w:pStyle w:val="25"/>
              <w:snapToGrid w:val="0"/>
              <w:spacing w:before="100" w:beforeAutospacing="1" w:line="240" w:lineRule="auto"/>
              <w:textAlignment w:val="auto"/>
              <w:rPr>
                <w:rFonts w:hint="eastAsia" w:hAnsi="宋体" w:eastAsia="宋体" w:cs="宋体"/>
                <w:color w:val="auto"/>
                <w:kern w:val="2"/>
                <w:sz w:val="18"/>
                <w:szCs w:val="18"/>
                <w:highlight w:val="none"/>
                <w:lang w:eastAsia="zh-CN"/>
              </w:rPr>
            </w:pPr>
            <w:r>
              <w:rPr>
                <w:rFonts w:hint="eastAsia" w:hAnsi="宋体" w:cs="宋体"/>
                <w:color w:val="auto"/>
                <w:kern w:val="2"/>
                <w:sz w:val="18"/>
                <w:szCs w:val="18"/>
                <w:highlight w:val="none"/>
                <w:lang w:val="en-US" w:eastAsia="zh-CN"/>
              </w:rPr>
              <w:t>屏</w:t>
            </w:r>
          </w:p>
        </w:tc>
        <w:tc>
          <w:tcPr>
            <w:tcW w:w="709" w:type="dxa"/>
            <w:tcBorders>
              <w:tl2br w:val="nil"/>
              <w:tr2bl w:val="nil"/>
            </w:tcBorders>
            <w:shd w:val="clear" w:color="auto" w:fill="auto"/>
            <w:vAlign w:val="center"/>
          </w:tcPr>
          <w:p w14:paraId="7881E858">
            <w:pPr>
              <w:widowControl/>
              <w:adjustRightInd w:val="0"/>
              <w:snapToGrid w:val="0"/>
              <w:spacing w:before="100" w:beforeAutospacing="1"/>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lang w:val="en-US" w:eastAsia="zh-CN"/>
              </w:rPr>
              <w:t>1</w:t>
            </w:r>
          </w:p>
        </w:tc>
        <w:tc>
          <w:tcPr>
            <w:tcW w:w="708" w:type="dxa"/>
            <w:tcBorders>
              <w:tl2br w:val="nil"/>
              <w:tr2bl w:val="nil"/>
            </w:tcBorders>
            <w:shd w:val="clear" w:color="auto" w:fill="auto"/>
            <w:vAlign w:val="center"/>
          </w:tcPr>
          <w:p w14:paraId="7D5FE3B4">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57622D3C">
            <w:pPr>
              <w:widowControl/>
              <w:adjustRightInd w:val="0"/>
              <w:snapToGrid w:val="0"/>
              <w:spacing w:before="100" w:beforeAutospacing="1"/>
              <w:jc w:val="center"/>
              <w:rPr>
                <w:rFonts w:ascii="宋体" w:hAnsi="宋体" w:cs="宋体"/>
                <w:color w:val="auto"/>
                <w:kern w:val="0"/>
                <w:sz w:val="18"/>
                <w:szCs w:val="18"/>
                <w:highlight w:val="none"/>
              </w:rPr>
            </w:pPr>
          </w:p>
        </w:tc>
        <w:tc>
          <w:tcPr>
            <w:tcW w:w="761" w:type="dxa"/>
            <w:tcBorders>
              <w:tl2br w:val="nil"/>
              <w:tr2bl w:val="nil"/>
            </w:tcBorders>
            <w:shd w:val="clear" w:color="auto" w:fill="auto"/>
            <w:vAlign w:val="center"/>
          </w:tcPr>
          <w:p w14:paraId="0254864A">
            <w:pPr>
              <w:widowControl/>
              <w:adjustRightInd w:val="0"/>
              <w:snapToGrid w:val="0"/>
              <w:spacing w:before="100" w:beforeAutospacing="1"/>
              <w:jc w:val="center"/>
              <w:rPr>
                <w:rFonts w:ascii="宋体" w:hAnsi="宋体" w:cs="宋体"/>
                <w:color w:val="auto"/>
                <w:kern w:val="0"/>
                <w:sz w:val="18"/>
                <w:szCs w:val="18"/>
                <w:highlight w:val="none"/>
              </w:rPr>
            </w:pPr>
          </w:p>
        </w:tc>
      </w:tr>
      <w:tr w14:paraId="3C4431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675" w:type="dxa"/>
            <w:tcBorders>
              <w:tl2br w:val="nil"/>
              <w:tr2bl w:val="nil"/>
            </w:tcBorders>
            <w:shd w:val="clear" w:color="auto" w:fill="auto"/>
            <w:vAlign w:val="center"/>
          </w:tcPr>
          <w:p w14:paraId="15052C47">
            <w:pPr>
              <w:widowControl/>
              <w:adjustRightInd w:val="0"/>
              <w:snapToGrid w:val="0"/>
              <w:spacing w:before="100" w:beforeAutospacing="1"/>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rPr>
              <w:t>1_</w:t>
            </w:r>
            <w:r>
              <w:rPr>
                <w:rFonts w:hint="eastAsia" w:ascii="宋体" w:hAnsi="宋体" w:cs="宋体"/>
                <w:color w:val="auto"/>
                <w:kern w:val="0"/>
                <w:sz w:val="18"/>
                <w:szCs w:val="18"/>
                <w:highlight w:val="none"/>
                <w:lang w:val="en-US" w:eastAsia="zh-CN"/>
              </w:rPr>
              <w:t>2</w:t>
            </w:r>
          </w:p>
        </w:tc>
        <w:tc>
          <w:tcPr>
            <w:tcW w:w="2835" w:type="dxa"/>
            <w:tcBorders>
              <w:tl2br w:val="nil"/>
              <w:tr2bl w:val="nil"/>
            </w:tcBorders>
            <w:shd w:val="clear" w:color="auto" w:fill="auto"/>
            <w:vAlign w:val="center"/>
          </w:tcPr>
          <w:p w14:paraId="2026FFC8">
            <w:pPr>
              <w:adjustRightInd w:val="0"/>
              <w:snapToGrid w:val="0"/>
              <w:spacing w:before="100" w:beforeAutospacing="1"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主变压器、高压厂变保护</w:t>
            </w:r>
            <w:r>
              <w:rPr>
                <w:rFonts w:hint="eastAsia" w:ascii="宋体" w:hAnsi="宋体" w:cs="宋体"/>
                <w:color w:val="auto"/>
                <w:sz w:val="18"/>
                <w:szCs w:val="18"/>
                <w:highlight w:val="none"/>
                <w:lang w:eastAsia="zh-CN"/>
              </w:rPr>
              <w:t>C</w:t>
            </w:r>
            <w:r>
              <w:rPr>
                <w:rFonts w:hint="eastAsia" w:ascii="宋体" w:hAnsi="宋体" w:cs="宋体"/>
                <w:color w:val="auto"/>
                <w:sz w:val="18"/>
                <w:szCs w:val="18"/>
                <w:highlight w:val="none"/>
              </w:rPr>
              <w:t>屏（</w:t>
            </w:r>
            <w:r>
              <w:rPr>
                <w:rFonts w:hint="eastAsia" w:ascii="宋体" w:hAnsi="宋体" w:cs="宋体"/>
                <w:color w:val="auto"/>
                <w:sz w:val="18"/>
                <w:szCs w:val="18"/>
                <w:highlight w:val="none"/>
                <w:lang w:val="en-US" w:eastAsia="zh-CN"/>
              </w:rPr>
              <w:t>含电量保护装置1套</w:t>
            </w:r>
            <w:r>
              <w:rPr>
                <w:rFonts w:hint="eastAsia" w:ascii="宋体" w:hAnsi="宋体" w:cs="宋体"/>
                <w:color w:val="auto"/>
                <w:sz w:val="18"/>
                <w:szCs w:val="18"/>
                <w:highlight w:val="none"/>
              </w:rPr>
              <w:t>）</w:t>
            </w:r>
          </w:p>
        </w:tc>
        <w:tc>
          <w:tcPr>
            <w:tcW w:w="1276" w:type="dxa"/>
            <w:tcBorders>
              <w:tl2br w:val="nil"/>
              <w:tr2bl w:val="nil"/>
            </w:tcBorders>
            <w:shd w:val="clear" w:color="auto" w:fill="auto"/>
            <w:vAlign w:val="center"/>
          </w:tcPr>
          <w:p w14:paraId="55A1D06F">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01B199E4">
            <w:pPr>
              <w:pStyle w:val="25"/>
              <w:snapToGrid w:val="0"/>
              <w:spacing w:before="100" w:beforeAutospacing="1" w:line="240" w:lineRule="auto"/>
              <w:textAlignment w:val="auto"/>
              <w:rPr>
                <w:rFonts w:ascii="宋体" w:hAnsi="宋体" w:cs="宋体"/>
                <w:color w:val="auto"/>
                <w:kern w:val="0"/>
                <w:sz w:val="18"/>
                <w:szCs w:val="18"/>
                <w:highlight w:val="none"/>
              </w:rPr>
            </w:pPr>
            <w:r>
              <w:rPr>
                <w:rFonts w:hint="eastAsia" w:hAnsi="宋体" w:cs="宋体"/>
                <w:color w:val="auto"/>
                <w:kern w:val="2"/>
                <w:sz w:val="18"/>
                <w:szCs w:val="18"/>
                <w:highlight w:val="none"/>
                <w:lang w:val="en-US" w:eastAsia="zh-CN"/>
              </w:rPr>
              <w:t>屏</w:t>
            </w:r>
          </w:p>
        </w:tc>
        <w:tc>
          <w:tcPr>
            <w:tcW w:w="709" w:type="dxa"/>
            <w:tcBorders>
              <w:tl2br w:val="nil"/>
              <w:tr2bl w:val="nil"/>
            </w:tcBorders>
            <w:shd w:val="clear" w:color="auto" w:fill="auto"/>
            <w:vAlign w:val="center"/>
          </w:tcPr>
          <w:p w14:paraId="1A61BF39">
            <w:pPr>
              <w:widowControl/>
              <w:adjustRightInd w:val="0"/>
              <w:snapToGrid w:val="0"/>
              <w:spacing w:before="100" w:beforeAutospacing="1"/>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lang w:val="en-US" w:eastAsia="zh-CN"/>
              </w:rPr>
              <w:t>1</w:t>
            </w:r>
          </w:p>
        </w:tc>
        <w:tc>
          <w:tcPr>
            <w:tcW w:w="708" w:type="dxa"/>
            <w:tcBorders>
              <w:tl2br w:val="nil"/>
              <w:tr2bl w:val="nil"/>
            </w:tcBorders>
            <w:shd w:val="clear" w:color="auto" w:fill="auto"/>
            <w:vAlign w:val="center"/>
          </w:tcPr>
          <w:p w14:paraId="6FE11F60">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4069F718">
            <w:pPr>
              <w:widowControl/>
              <w:adjustRightInd w:val="0"/>
              <w:snapToGrid w:val="0"/>
              <w:spacing w:before="100" w:beforeAutospacing="1"/>
              <w:jc w:val="center"/>
              <w:rPr>
                <w:rFonts w:ascii="宋体" w:hAnsi="宋体" w:cs="宋体"/>
                <w:color w:val="auto"/>
                <w:kern w:val="0"/>
                <w:sz w:val="18"/>
                <w:szCs w:val="18"/>
                <w:highlight w:val="none"/>
              </w:rPr>
            </w:pPr>
          </w:p>
        </w:tc>
        <w:tc>
          <w:tcPr>
            <w:tcW w:w="761" w:type="dxa"/>
            <w:tcBorders>
              <w:tl2br w:val="nil"/>
              <w:tr2bl w:val="nil"/>
            </w:tcBorders>
            <w:shd w:val="clear" w:color="auto" w:fill="auto"/>
            <w:vAlign w:val="center"/>
          </w:tcPr>
          <w:p w14:paraId="213A38E0">
            <w:pPr>
              <w:adjustRightInd w:val="0"/>
              <w:snapToGrid w:val="0"/>
              <w:spacing w:before="100" w:beforeAutospacing="1" w:line="240" w:lineRule="auto"/>
              <w:ind w:right="-129"/>
              <w:jc w:val="center"/>
              <w:rPr>
                <w:rFonts w:ascii="宋体" w:hAnsi="宋体" w:cs="宋体"/>
                <w:color w:val="auto"/>
                <w:kern w:val="0"/>
                <w:sz w:val="18"/>
                <w:szCs w:val="18"/>
                <w:highlight w:val="none"/>
              </w:rPr>
            </w:pPr>
          </w:p>
        </w:tc>
      </w:tr>
      <w:tr w14:paraId="670BAB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675" w:type="dxa"/>
            <w:tcBorders>
              <w:tl2br w:val="nil"/>
              <w:tr2bl w:val="nil"/>
            </w:tcBorders>
            <w:shd w:val="clear" w:color="auto" w:fill="auto"/>
            <w:vAlign w:val="center"/>
          </w:tcPr>
          <w:p w14:paraId="3A28CA02">
            <w:pPr>
              <w:adjustRightInd w:val="0"/>
              <w:snapToGrid w:val="0"/>
              <w:spacing w:before="100" w:beforeAutospacing="1"/>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rPr>
              <w:t>1_</w:t>
            </w:r>
            <w:r>
              <w:rPr>
                <w:rFonts w:hint="eastAsia" w:ascii="宋体" w:hAnsi="宋体" w:cs="宋体"/>
                <w:color w:val="auto"/>
                <w:kern w:val="0"/>
                <w:sz w:val="18"/>
                <w:szCs w:val="18"/>
                <w:highlight w:val="none"/>
                <w:lang w:val="en-US" w:eastAsia="zh-CN"/>
              </w:rPr>
              <w:t>3</w:t>
            </w:r>
          </w:p>
        </w:tc>
        <w:tc>
          <w:tcPr>
            <w:tcW w:w="2835" w:type="dxa"/>
            <w:tcBorders>
              <w:tl2br w:val="nil"/>
              <w:tr2bl w:val="nil"/>
            </w:tcBorders>
            <w:shd w:val="clear" w:color="auto" w:fill="auto"/>
            <w:vAlign w:val="center"/>
          </w:tcPr>
          <w:p w14:paraId="4D8A0220">
            <w:pPr>
              <w:adjustRightInd w:val="0"/>
              <w:snapToGrid w:val="0"/>
              <w:spacing w:before="100" w:beforeAutospacing="1"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主变压器、高压厂变非电量</w:t>
            </w:r>
            <w:r>
              <w:rPr>
                <w:rFonts w:hint="eastAsia" w:ascii="宋体" w:hAnsi="宋体" w:cs="宋体"/>
                <w:color w:val="auto"/>
                <w:sz w:val="18"/>
                <w:szCs w:val="18"/>
                <w:highlight w:val="none"/>
                <w:lang w:val="en-US" w:eastAsia="zh-CN"/>
              </w:rPr>
              <w:t>保护E屏（含非电量保护装置1套）</w:t>
            </w:r>
          </w:p>
        </w:tc>
        <w:tc>
          <w:tcPr>
            <w:tcW w:w="1276" w:type="dxa"/>
            <w:tcBorders>
              <w:tl2br w:val="nil"/>
              <w:tr2bl w:val="nil"/>
            </w:tcBorders>
            <w:shd w:val="clear" w:color="auto" w:fill="auto"/>
            <w:vAlign w:val="center"/>
          </w:tcPr>
          <w:p w14:paraId="59C3C15F">
            <w:pPr>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559D53F4">
            <w:pPr>
              <w:pStyle w:val="25"/>
              <w:snapToGrid w:val="0"/>
              <w:spacing w:before="100" w:beforeAutospacing="1" w:line="240" w:lineRule="auto"/>
              <w:textAlignment w:val="auto"/>
              <w:rPr>
                <w:rFonts w:ascii="宋体" w:hAnsi="宋体" w:cs="宋体"/>
                <w:color w:val="auto"/>
                <w:kern w:val="0"/>
                <w:sz w:val="18"/>
                <w:szCs w:val="18"/>
                <w:highlight w:val="none"/>
              </w:rPr>
            </w:pPr>
            <w:r>
              <w:rPr>
                <w:rFonts w:hint="eastAsia" w:hAnsi="宋体" w:cs="宋体"/>
                <w:color w:val="auto"/>
                <w:kern w:val="2"/>
                <w:sz w:val="18"/>
                <w:szCs w:val="18"/>
                <w:highlight w:val="none"/>
                <w:lang w:val="en-US" w:eastAsia="zh-CN"/>
              </w:rPr>
              <w:t>屏</w:t>
            </w:r>
          </w:p>
        </w:tc>
        <w:tc>
          <w:tcPr>
            <w:tcW w:w="709" w:type="dxa"/>
            <w:tcBorders>
              <w:tl2br w:val="nil"/>
              <w:tr2bl w:val="nil"/>
            </w:tcBorders>
            <w:shd w:val="clear" w:color="auto" w:fill="auto"/>
            <w:vAlign w:val="center"/>
          </w:tcPr>
          <w:p w14:paraId="30BA73F1">
            <w:pPr>
              <w:widowControl/>
              <w:adjustRightInd w:val="0"/>
              <w:snapToGrid w:val="0"/>
              <w:spacing w:before="100" w:beforeAutospacing="1"/>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w:t>
            </w:r>
          </w:p>
        </w:tc>
        <w:tc>
          <w:tcPr>
            <w:tcW w:w="708" w:type="dxa"/>
            <w:tcBorders>
              <w:tl2br w:val="nil"/>
              <w:tr2bl w:val="nil"/>
            </w:tcBorders>
            <w:shd w:val="clear" w:color="auto" w:fill="auto"/>
            <w:vAlign w:val="center"/>
          </w:tcPr>
          <w:p w14:paraId="74B25CB2">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3391F159">
            <w:pPr>
              <w:widowControl/>
              <w:adjustRightInd w:val="0"/>
              <w:snapToGrid w:val="0"/>
              <w:spacing w:before="100" w:beforeAutospacing="1"/>
              <w:jc w:val="center"/>
              <w:rPr>
                <w:rFonts w:ascii="宋体" w:hAnsi="宋体" w:cs="宋体"/>
                <w:color w:val="auto"/>
                <w:kern w:val="0"/>
                <w:sz w:val="18"/>
                <w:szCs w:val="18"/>
                <w:highlight w:val="none"/>
              </w:rPr>
            </w:pPr>
          </w:p>
        </w:tc>
        <w:tc>
          <w:tcPr>
            <w:tcW w:w="761" w:type="dxa"/>
            <w:tcBorders>
              <w:tl2br w:val="nil"/>
              <w:tr2bl w:val="nil"/>
            </w:tcBorders>
            <w:shd w:val="clear" w:color="auto" w:fill="auto"/>
            <w:vAlign w:val="center"/>
          </w:tcPr>
          <w:p w14:paraId="51285E10">
            <w:pPr>
              <w:adjustRightInd w:val="0"/>
              <w:snapToGrid w:val="0"/>
              <w:spacing w:before="100" w:beforeAutospacing="1" w:line="240" w:lineRule="auto"/>
              <w:ind w:right="-129"/>
              <w:jc w:val="center"/>
              <w:rPr>
                <w:rFonts w:ascii="宋体" w:hAnsi="宋体" w:cs="宋体"/>
                <w:color w:val="auto"/>
                <w:kern w:val="0"/>
                <w:sz w:val="18"/>
                <w:szCs w:val="18"/>
                <w:highlight w:val="none"/>
              </w:rPr>
            </w:pPr>
          </w:p>
        </w:tc>
      </w:tr>
      <w:tr w14:paraId="573294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675" w:type="dxa"/>
            <w:tcBorders>
              <w:tl2br w:val="nil"/>
              <w:tr2bl w:val="nil"/>
            </w:tcBorders>
            <w:shd w:val="clear" w:color="auto" w:fill="auto"/>
            <w:vAlign w:val="center"/>
          </w:tcPr>
          <w:p w14:paraId="49B8FFD3">
            <w:pPr>
              <w:adjustRightInd w:val="0"/>
              <w:snapToGrid w:val="0"/>
              <w:spacing w:before="100" w:beforeAutospacing="1"/>
              <w:jc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1_</w:t>
            </w:r>
            <w:r>
              <w:rPr>
                <w:rFonts w:hint="eastAsia" w:ascii="宋体" w:hAnsi="宋体" w:cs="宋体"/>
                <w:color w:val="auto"/>
                <w:kern w:val="0"/>
                <w:sz w:val="18"/>
                <w:szCs w:val="18"/>
                <w:highlight w:val="none"/>
                <w:lang w:val="en-US" w:eastAsia="zh-CN"/>
              </w:rPr>
              <w:t>4</w:t>
            </w:r>
          </w:p>
        </w:tc>
        <w:tc>
          <w:tcPr>
            <w:tcW w:w="2835" w:type="dxa"/>
            <w:tcBorders>
              <w:tl2br w:val="nil"/>
              <w:tr2bl w:val="nil"/>
            </w:tcBorders>
            <w:shd w:val="clear" w:color="auto" w:fill="auto"/>
            <w:vAlign w:val="center"/>
          </w:tcPr>
          <w:p w14:paraId="4A86301A">
            <w:pPr>
              <w:adjustRightInd w:val="0"/>
              <w:snapToGrid w:val="0"/>
              <w:spacing w:before="100" w:beforeAutospacing="1"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lang w:val="en-US" w:eastAsia="zh-CN"/>
              </w:rPr>
              <w:t>发变组保护管理机F屏</w:t>
            </w:r>
          </w:p>
        </w:tc>
        <w:tc>
          <w:tcPr>
            <w:tcW w:w="1276" w:type="dxa"/>
            <w:tcBorders>
              <w:tl2br w:val="nil"/>
              <w:tr2bl w:val="nil"/>
            </w:tcBorders>
            <w:shd w:val="clear" w:color="auto" w:fill="auto"/>
            <w:vAlign w:val="center"/>
          </w:tcPr>
          <w:p w14:paraId="4AADCA6F">
            <w:pPr>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379E858B">
            <w:pPr>
              <w:pStyle w:val="25"/>
              <w:snapToGrid w:val="0"/>
              <w:spacing w:before="100" w:beforeAutospacing="1" w:line="240" w:lineRule="auto"/>
              <w:textAlignment w:val="auto"/>
              <w:rPr>
                <w:rFonts w:ascii="宋体" w:hAnsi="宋体" w:cs="宋体"/>
                <w:color w:val="auto"/>
                <w:kern w:val="0"/>
                <w:sz w:val="18"/>
                <w:szCs w:val="18"/>
                <w:highlight w:val="none"/>
              </w:rPr>
            </w:pPr>
            <w:r>
              <w:rPr>
                <w:rFonts w:hint="eastAsia" w:hAnsi="宋体" w:cs="宋体"/>
                <w:color w:val="auto"/>
                <w:kern w:val="2"/>
                <w:sz w:val="18"/>
                <w:szCs w:val="18"/>
                <w:highlight w:val="none"/>
                <w:lang w:val="en-US" w:eastAsia="zh-CN"/>
              </w:rPr>
              <w:t>屏</w:t>
            </w:r>
          </w:p>
        </w:tc>
        <w:tc>
          <w:tcPr>
            <w:tcW w:w="709" w:type="dxa"/>
            <w:tcBorders>
              <w:tl2br w:val="nil"/>
              <w:tr2bl w:val="nil"/>
            </w:tcBorders>
            <w:shd w:val="clear" w:color="auto" w:fill="auto"/>
            <w:vAlign w:val="center"/>
          </w:tcPr>
          <w:p w14:paraId="3EE1BD8D">
            <w:pPr>
              <w:widowControl/>
              <w:adjustRightInd w:val="0"/>
              <w:snapToGrid w:val="0"/>
              <w:spacing w:before="100" w:beforeAutospacing="1"/>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lang w:val="en-US" w:eastAsia="zh-CN"/>
              </w:rPr>
              <w:t>1</w:t>
            </w:r>
          </w:p>
        </w:tc>
        <w:tc>
          <w:tcPr>
            <w:tcW w:w="708" w:type="dxa"/>
            <w:tcBorders>
              <w:tl2br w:val="nil"/>
              <w:tr2bl w:val="nil"/>
            </w:tcBorders>
            <w:shd w:val="clear" w:color="auto" w:fill="auto"/>
            <w:vAlign w:val="center"/>
          </w:tcPr>
          <w:p w14:paraId="12F31F2A">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4835F646">
            <w:pPr>
              <w:widowControl/>
              <w:adjustRightInd w:val="0"/>
              <w:snapToGrid w:val="0"/>
              <w:spacing w:before="100" w:beforeAutospacing="1"/>
              <w:jc w:val="center"/>
              <w:rPr>
                <w:rFonts w:ascii="宋体" w:hAnsi="宋体" w:cs="宋体"/>
                <w:color w:val="auto"/>
                <w:kern w:val="0"/>
                <w:sz w:val="18"/>
                <w:szCs w:val="18"/>
                <w:highlight w:val="none"/>
              </w:rPr>
            </w:pPr>
          </w:p>
        </w:tc>
        <w:tc>
          <w:tcPr>
            <w:tcW w:w="761" w:type="dxa"/>
            <w:tcBorders>
              <w:tl2br w:val="nil"/>
              <w:tr2bl w:val="nil"/>
            </w:tcBorders>
            <w:shd w:val="clear" w:color="auto" w:fill="auto"/>
            <w:vAlign w:val="center"/>
          </w:tcPr>
          <w:p w14:paraId="54BC68EE">
            <w:pPr>
              <w:adjustRightInd w:val="0"/>
              <w:snapToGrid w:val="0"/>
              <w:spacing w:before="100" w:beforeAutospacing="1" w:line="240" w:lineRule="auto"/>
              <w:ind w:right="-129"/>
              <w:jc w:val="center"/>
              <w:rPr>
                <w:rFonts w:ascii="宋体" w:hAnsi="宋体" w:cs="宋体"/>
                <w:color w:val="auto"/>
                <w:kern w:val="0"/>
                <w:sz w:val="18"/>
                <w:szCs w:val="18"/>
                <w:highlight w:val="none"/>
              </w:rPr>
            </w:pPr>
          </w:p>
        </w:tc>
      </w:tr>
      <w:tr w14:paraId="3BE70E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675" w:type="dxa"/>
            <w:tcBorders>
              <w:tl2br w:val="nil"/>
              <w:tr2bl w:val="nil"/>
            </w:tcBorders>
            <w:shd w:val="clear" w:color="auto" w:fill="auto"/>
            <w:vAlign w:val="center"/>
          </w:tcPr>
          <w:p w14:paraId="6B875C54">
            <w:pPr>
              <w:adjustRightInd w:val="0"/>
              <w:snapToGrid w:val="0"/>
              <w:spacing w:before="100" w:beforeAutospacing="1"/>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1_</w:t>
            </w:r>
            <w:r>
              <w:rPr>
                <w:rFonts w:hint="eastAsia" w:ascii="宋体" w:hAnsi="宋体" w:cs="宋体"/>
                <w:color w:val="auto"/>
                <w:kern w:val="0"/>
                <w:sz w:val="18"/>
                <w:szCs w:val="18"/>
                <w:highlight w:val="none"/>
                <w:lang w:val="en-US" w:eastAsia="zh-CN"/>
              </w:rPr>
              <w:t>5</w:t>
            </w:r>
          </w:p>
        </w:tc>
        <w:tc>
          <w:tcPr>
            <w:tcW w:w="2835" w:type="dxa"/>
            <w:tcBorders>
              <w:tl2br w:val="nil"/>
              <w:tr2bl w:val="nil"/>
            </w:tcBorders>
            <w:shd w:val="clear" w:color="auto" w:fill="auto"/>
            <w:vAlign w:val="center"/>
          </w:tcPr>
          <w:p w14:paraId="6E9E34CC">
            <w:pPr>
              <w:adjustRightInd w:val="0"/>
              <w:snapToGrid w:val="0"/>
              <w:spacing w:before="100" w:beforeAutospacing="1" w:line="240" w:lineRule="auto"/>
              <w:jc w:val="center"/>
              <w:rPr>
                <w:rFonts w:hint="default" w:ascii="宋体" w:hAnsi="宋体" w:cs="宋体"/>
                <w:color w:val="auto"/>
                <w:sz w:val="18"/>
                <w:szCs w:val="18"/>
                <w:highlight w:val="none"/>
                <w:lang w:val="en-US" w:eastAsia="zh-CN"/>
              </w:rPr>
            </w:pPr>
            <w:r>
              <w:rPr>
                <w:rFonts w:hint="eastAsia" w:ascii="宋体" w:hAnsi="宋体" w:cs="宋体"/>
                <w:color w:val="auto"/>
                <w:sz w:val="18"/>
                <w:szCs w:val="18"/>
                <w:highlight w:val="none"/>
                <w:lang w:val="en-US" w:eastAsia="zh-CN"/>
              </w:rPr>
              <w:t>光交换机</w:t>
            </w:r>
          </w:p>
        </w:tc>
        <w:tc>
          <w:tcPr>
            <w:tcW w:w="1276" w:type="dxa"/>
            <w:tcBorders>
              <w:tl2br w:val="nil"/>
              <w:tr2bl w:val="nil"/>
            </w:tcBorders>
            <w:shd w:val="clear" w:color="auto" w:fill="auto"/>
            <w:vAlign w:val="center"/>
          </w:tcPr>
          <w:p w14:paraId="251984F4">
            <w:pPr>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72FC107A">
            <w:pPr>
              <w:pStyle w:val="25"/>
              <w:snapToGrid w:val="0"/>
              <w:spacing w:before="100" w:beforeAutospacing="1" w:line="240" w:lineRule="auto"/>
              <w:textAlignment w:val="auto"/>
              <w:rPr>
                <w:rFonts w:hint="default" w:hAnsi="宋体" w:cs="宋体"/>
                <w:color w:val="auto"/>
                <w:kern w:val="2"/>
                <w:sz w:val="18"/>
                <w:szCs w:val="18"/>
                <w:highlight w:val="none"/>
                <w:lang w:val="en-US" w:eastAsia="zh-CN"/>
              </w:rPr>
            </w:pPr>
            <w:r>
              <w:rPr>
                <w:rFonts w:hint="eastAsia" w:hAnsi="宋体" w:cs="宋体"/>
                <w:color w:val="auto"/>
                <w:kern w:val="2"/>
                <w:sz w:val="18"/>
                <w:szCs w:val="18"/>
                <w:highlight w:val="none"/>
                <w:lang w:val="en-US" w:eastAsia="zh-CN"/>
              </w:rPr>
              <w:t>台</w:t>
            </w:r>
          </w:p>
        </w:tc>
        <w:tc>
          <w:tcPr>
            <w:tcW w:w="709" w:type="dxa"/>
            <w:tcBorders>
              <w:tl2br w:val="nil"/>
              <w:tr2bl w:val="nil"/>
            </w:tcBorders>
            <w:shd w:val="clear" w:color="auto" w:fill="auto"/>
            <w:vAlign w:val="center"/>
          </w:tcPr>
          <w:p w14:paraId="27949FAC">
            <w:pPr>
              <w:widowControl/>
              <w:adjustRightInd w:val="0"/>
              <w:snapToGrid w:val="0"/>
              <w:spacing w:before="100" w:beforeAutospacing="1"/>
              <w:jc w:val="center"/>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w:t>
            </w:r>
          </w:p>
        </w:tc>
        <w:tc>
          <w:tcPr>
            <w:tcW w:w="708" w:type="dxa"/>
            <w:tcBorders>
              <w:tl2br w:val="nil"/>
              <w:tr2bl w:val="nil"/>
            </w:tcBorders>
            <w:shd w:val="clear" w:color="auto" w:fill="auto"/>
            <w:vAlign w:val="center"/>
          </w:tcPr>
          <w:p w14:paraId="52B59DF7">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2194636E">
            <w:pPr>
              <w:widowControl/>
              <w:adjustRightInd w:val="0"/>
              <w:snapToGrid w:val="0"/>
              <w:spacing w:before="100" w:beforeAutospacing="1"/>
              <w:jc w:val="center"/>
              <w:rPr>
                <w:rFonts w:ascii="宋体" w:hAnsi="宋体" w:cs="宋体"/>
                <w:color w:val="auto"/>
                <w:kern w:val="0"/>
                <w:sz w:val="18"/>
                <w:szCs w:val="18"/>
                <w:highlight w:val="none"/>
              </w:rPr>
            </w:pPr>
          </w:p>
        </w:tc>
        <w:tc>
          <w:tcPr>
            <w:tcW w:w="761" w:type="dxa"/>
            <w:tcBorders>
              <w:tl2br w:val="nil"/>
              <w:tr2bl w:val="nil"/>
            </w:tcBorders>
            <w:shd w:val="clear" w:color="auto" w:fill="auto"/>
            <w:vAlign w:val="center"/>
          </w:tcPr>
          <w:p w14:paraId="3AC7302C">
            <w:pPr>
              <w:adjustRightInd w:val="0"/>
              <w:snapToGrid w:val="0"/>
              <w:spacing w:before="100" w:beforeAutospacing="1" w:line="240" w:lineRule="auto"/>
              <w:ind w:right="-129"/>
              <w:jc w:val="center"/>
              <w:rPr>
                <w:rFonts w:ascii="宋体" w:hAnsi="宋体" w:cs="宋体"/>
                <w:color w:val="auto"/>
                <w:kern w:val="0"/>
                <w:sz w:val="18"/>
                <w:szCs w:val="18"/>
                <w:highlight w:val="none"/>
              </w:rPr>
            </w:pPr>
          </w:p>
        </w:tc>
      </w:tr>
      <w:tr w14:paraId="2764BD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675" w:type="dxa"/>
            <w:tcBorders>
              <w:tl2br w:val="nil"/>
              <w:tr2bl w:val="nil"/>
            </w:tcBorders>
            <w:shd w:val="clear" w:color="auto" w:fill="auto"/>
            <w:vAlign w:val="center"/>
          </w:tcPr>
          <w:p w14:paraId="50444334">
            <w:pPr>
              <w:adjustRightInd w:val="0"/>
              <w:snapToGrid w:val="0"/>
              <w:spacing w:before="100" w:beforeAutospacing="1"/>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1_</w:t>
            </w:r>
            <w:r>
              <w:rPr>
                <w:rFonts w:hint="eastAsia" w:ascii="宋体" w:hAnsi="宋体" w:cs="宋体"/>
                <w:color w:val="auto"/>
                <w:kern w:val="0"/>
                <w:sz w:val="18"/>
                <w:szCs w:val="18"/>
                <w:highlight w:val="none"/>
                <w:lang w:val="en-US" w:eastAsia="zh-CN"/>
              </w:rPr>
              <w:t>6</w:t>
            </w:r>
          </w:p>
        </w:tc>
        <w:tc>
          <w:tcPr>
            <w:tcW w:w="2835" w:type="dxa"/>
            <w:tcBorders>
              <w:tl2br w:val="nil"/>
              <w:tr2bl w:val="nil"/>
            </w:tcBorders>
            <w:shd w:val="clear" w:color="auto" w:fill="auto"/>
            <w:vAlign w:val="center"/>
          </w:tcPr>
          <w:p w14:paraId="5AA0764B">
            <w:pPr>
              <w:adjustRightInd w:val="0"/>
              <w:snapToGrid w:val="0"/>
              <w:spacing w:before="100" w:beforeAutospacing="1" w:line="240" w:lineRule="auto"/>
              <w:jc w:val="center"/>
              <w:rPr>
                <w:rFonts w:hint="eastAsia" w:ascii="宋体" w:hAnsi="宋体" w:eastAsia="宋体" w:cs="宋体"/>
                <w:color w:val="auto"/>
                <w:sz w:val="18"/>
                <w:szCs w:val="18"/>
                <w:highlight w:val="none"/>
                <w:lang w:eastAsia="zh-CN"/>
              </w:rPr>
            </w:pPr>
            <w:r>
              <w:rPr>
                <w:rFonts w:hint="eastAsia" w:ascii="宋体" w:hAnsi="宋体" w:cs="宋体"/>
                <w:color w:val="auto"/>
                <w:sz w:val="18"/>
                <w:szCs w:val="18"/>
                <w:highlight w:val="none"/>
              </w:rPr>
              <w:t>配套光纤及附件</w:t>
            </w:r>
            <w:r>
              <w:rPr>
                <w:rFonts w:hint="eastAsia" w:ascii="宋体" w:hAnsi="宋体" w:cs="宋体"/>
                <w:color w:val="auto"/>
                <w:sz w:val="18"/>
                <w:szCs w:val="18"/>
                <w:highlight w:val="none"/>
                <w:lang w:eastAsia="zh-CN"/>
              </w:rPr>
              <w:t>（</w:t>
            </w:r>
            <w:r>
              <w:rPr>
                <w:rFonts w:hint="eastAsia" w:ascii="宋体" w:hAnsi="宋体" w:cs="宋体"/>
                <w:color w:val="auto"/>
                <w:sz w:val="18"/>
                <w:szCs w:val="18"/>
                <w:highlight w:val="none"/>
              </w:rPr>
              <w:t>包括光缆熔接工作及其通道测试</w:t>
            </w:r>
            <w:r>
              <w:rPr>
                <w:rFonts w:hint="eastAsia" w:ascii="宋体" w:hAnsi="宋体" w:cs="宋体"/>
                <w:color w:val="auto"/>
                <w:sz w:val="18"/>
                <w:szCs w:val="18"/>
                <w:highlight w:val="none"/>
                <w:lang w:eastAsia="zh-CN"/>
              </w:rPr>
              <w:t>）</w:t>
            </w:r>
          </w:p>
        </w:tc>
        <w:tc>
          <w:tcPr>
            <w:tcW w:w="1276" w:type="dxa"/>
            <w:tcBorders>
              <w:tl2br w:val="nil"/>
              <w:tr2bl w:val="nil"/>
            </w:tcBorders>
            <w:shd w:val="clear" w:color="auto" w:fill="auto"/>
            <w:vAlign w:val="center"/>
          </w:tcPr>
          <w:p w14:paraId="3BFC3BE8">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5F2F53F5">
            <w:pPr>
              <w:widowControl/>
              <w:adjustRightInd w:val="0"/>
              <w:snapToGrid w:val="0"/>
              <w:spacing w:before="100" w:beforeAutospacing="1"/>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套</w:t>
            </w:r>
          </w:p>
        </w:tc>
        <w:tc>
          <w:tcPr>
            <w:tcW w:w="709" w:type="dxa"/>
            <w:tcBorders>
              <w:tl2br w:val="nil"/>
              <w:tr2bl w:val="nil"/>
            </w:tcBorders>
            <w:shd w:val="clear" w:color="auto" w:fill="auto"/>
            <w:vAlign w:val="center"/>
          </w:tcPr>
          <w:p w14:paraId="421010C1">
            <w:pPr>
              <w:adjustRightInd w:val="0"/>
              <w:snapToGrid w:val="0"/>
              <w:spacing w:before="100" w:beforeAutospacing="1" w:line="240" w:lineRule="auto"/>
              <w:ind w:right="0" w:rightChars="0"/>
              <w:jc w:val="center"/>
              <w:rPr>
                <w:rFonts w:hint="default" w:ascii="宋体" w:hAnsi="宋体" w:cs="宋体"/>
                <w:color w:val="auto"/>
                <w:kern w:val="0"/>
                <w:sz w:val="18"/>
                <w:szCs w:val="18"/>
                <w:highlight w:val="none"/>
                <w:lang w:val="en-US"/>
              </w:rPr>
            </w:pPr>
            <w:r>
              <w:rPr>
                <w:rFonts w:hint="eastAsia" w:ascii="宋体" w:hAnsi="宋体" w:cs="宋体"/>
                <w:color w:val="auto"/>
                <w:kern w:val="0"/>
                <w:sz w:val="18"/>
                <w:szCs w:val="18"/>
                <w:highlight w:val="none"/>
              </w:rPr>
              <w:t>2</w:t>
            </w:r>
          </w:p>
        </w:tc>
        <w:tc>
          <w:tcPr>
            <w:tcW w:w="708" w:type="dxa"/>
            <w:tcBorders>
              <w:tl2br w:val="nil"/>
              <w:tr2bl w:val="nil"/>
            </w:tcBorders>
            <w:shd w:val="clear" w:color="auto" w:fill="auto"/>
            <w:vAlign w:val="center"/>
          </w:tcPr>
          <w:p w14:paraId="0A77356A">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15EB53BF">
            <w:pPr>
              <w:widowControl/>
              <w:adjustRightInd w:val="0"/>
              <w:snapToGrid w:val="0"/>
              <w:spacing w:before="100" w:beforeAutospacing="1"/>
              <w:jc w:val="center"/>
              <w:rPr>
                <w:rFonts w:ascii="宋体" w:hAnsi="宋体" w:cs="宋体"/>
                <w:color w:val="auto"/>
                <w:kern w:val="0"/>
                <w:sz w:val="18"/>
                <w:szCs w:val="18"/>
                <w:highlight w:val="none"/>
              </w:rPr>
            </w:pPr>
          </w:p>
        </w:tc>
        <w:tc>
          <w:tcPr>
            <w:tcW w:w="761" w:type="dxa"/>
            <w:tcBorders>
              <w:tl2br w:val="nil"/>
              <w:tr2bl w:val="nil"/>
            </w:tcBorders>
            <w:shd w:val="clear" w:color="auto" w:fill="auto"/>
            <w:vAlign w:val="center"/>
          </w:tcPr>
          <w:p w14:paraId="37E99800">
            <w:pPr>
              <w:adjustRightInd w:val="0"/>
              <w:snapToGrid w:val="0"/>
              <w:spacing w:before="100" w:beforeAutospacing="1" w:line="240" w:lineRule="auto"/>
              <w:ind w:right="-129" w:rightChars="0"/>
              <w:jc w:val="center"/>
              <w:rPr>
                <w:rFonts w:ascii="宋体" w:hAnsi="宋体" w:cs="宋体"/>
                <w:color w:val="auto"/>
                <w:kern w:val="0"/>
                <w:sz w:val="18"/>
                <w:szCs w:val="18"/>
                <w:highlight w:val="none"/>
              </w:rPr>
            </w:pPr>
          </w:p>
        </w:tc>
      </w:tr>
      <w:tr w14:paraId="00A8E1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675" w:type="dxa"/>
            <w:tcBorders>
              <w:tl2br w:val="nil"/>
              <w:tr2bl w:val="nil"/>
            </w:tcBorders>
            <w:shd w:val="clear" w:color="auto" w:fill="auto"/>
            <w:vAlign w:val="center"/>
          </w:tcPr>
          <w:p w14:paraId="095D2014">
            <w:pPr>
              <w:adjustRightInd w:val="0"/>
              <w:snapToGrid w:val="0"/>
              <w:spacing w:before="100" w:beforeAutospacing="1"/>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1_</w:t>
            </w:r>
            <w:r>
              <w:rPr>
                <w:rFonts w:hint="eastAsia" w:ascii="宋体" w:hAnsi="宋体" w:cs="宋体"/>
                <w:color w:val="auto"/>
                <w:kern w:val="0"/>
                <w:sz w:val="18"/>
                <w:szCs w:val="18"/>
                <w:highlight w:val="none"/>
                <w:lang w:val="en-US" w:eastAsia="zh-CN"/>
              </w:rPr>
              <w:t>7</w:t>
            </w:r>
          </w:p>
        </w:tc>
        <w:tc>
          <w:tcPr>
            <w:tcW w:w="2835" w:type="dxa"/>
            <w:tcBorders>
              <w:tl2br w:val="nil"/>
              <w:tr2bl w:val="nil"/>
            </w:tcBorders>
            <w:shd w:val="clear" w:color="auto" w:fill="auto"/>
            <w:vAlign w:val="center"/>
          </w:tcPr>
          <w:p w14:paraId="6BF56B65">
            <w:pPr>
              <w:adjustRightInd w:val="0"/>
              <w:snapToGrid w:val="0"/>
              <w:spacing w:before="100" w:beforeAutospacing="1"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柜间连接用的专用电缆、出口继电器等必须的附件</w:t>
            </w:r>
          </w:p>
        </w:tc>
        <w:tc>
          <w:tcPr>
            <w:tcW w:w="1276" w:type="dxa"/>
            <w:tcBorders>
              <w:tl2br w:val="nil"/>
              <w:tr2bl w:val="nil"/>
            </w:tcBorders>
            <w:shd w:val="clear" w:color="auto" w:fill="auto"/>
            <w:vAlign w:val="center"/>
          </w:tcPr>
          <w:p w14:paraId="52DE27D5">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448637F1">
            <w:pPr>
              <w:widowControl/>
              <w:adjustRightInd w:val="0"/>
              <w:snapToGrid w:val="0"/>
              <w:spacing w:before="100" w:beforeAutospacing="1"/>
              <w:jc w:val="center"/>
              <w:rPr>
                <w:rFonts w:hint="eastAsia"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24C95DD8">
            <w:pPr>
              <w:adjustRightInd w:val="0"/>
              <w:snapToGrid w:val="0"/>
              <w:spacing w:before="100" w:beforeAutospacing="1" w:line="240" w:lineRule="auto"/>
              <w:ind w:right="-141" w:rightChars="0"/>
              <w:jc w:val="center"/>
              <w:rPr>
                <w:rFonts w:hint="default" w:ascii="宋体" w:hAnsi="宋体" w:cs="宋体"/>
                <w:color w:val="auto"/>
                <w:kern w:val="0"/>
                <w:sz w:val="18"/>
                <w:szCs w:val="18"/>
                <w:highlight w:val="none"/>
                <w:lang w:val="en-US"/>
              </w:rPr>
            </w:pPr>
          </w:p>
        </w:tc>
        <w:tc>
          <w:tcPr>
            <w:tcW w:w="708" w:type="dxa"/>
            <w:tcBorders>
              <w:tl2br w:val="nil"/>
              <w:tr2bl w:val="nil"/>
            </w:tcBorders>
            <w:shd w:val="clear" w:color="auto" w:fill="auto"/>
            <w:vAlign w:val="center"/>
          </w:tcPr>
          <w:p w14:paraId="0CE24C31">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1B6240A7">
            <w:pPr>
              <w:widowControl/>
              <w:adjustRightInd w:val="0"/>
              <w:snapToGrid w:val="0"/>
              <w:spacing w:before="100" w:beforeAutospacing="1"/>
              <w:jc w:val="center"/>
              <w:rPr>
                <w:rFonts w:ascii="宋体" w:hAnsi="宋体" w:cs="宋体"/>
                <w:color w:val="auto"/>
                <w:kern w:val="0"/>
                <w:sz w:val="18"/>
                <w:szCs w:val="18"/>
                <w:highlight w:val="none"/>
              </w:rPr>
            </w:pPr>
          </w:p>
        </w:tc>
        <w:tc>
          <w:tcPr>
            <w:tcW w:w="761" w:type="dxa"/>
            <w:tcBorders>
              <w:tl2br w:val="nil"/>
              <w:tr2bl w:val="nil"/>
            </w:tcBorders>
            <w:shd w:val="clear" w:color="auto" w:fill="auto"/>
            <w:vAlign w:val="center"/>
          </w:tcPr>
          <w:p w14:paraId="271F496F">
            <w:pPr>
              <w:adjustRightInd w:val="0"/>
              <w:snapToGrid w:val="0"/>
              <w:spacing w:before="100" w:beforeAutospacing="1" w:line="240" w:lineRule="auto"/>
              <w:ind w:right="-129" w:rightChars="0"/>
              <w:jc w:val="center"/>
              <w:rPr>
                <w:rFonts w:ascii="宋体" w:hAnsi="宋体" w:cs="宋体"/>
                <w:color w:val="auto"/>
                <w:kern w:val="0"/>
                <w:sz w:val="18"/>
                <w:szCs w:val="18"/>
                <w:highlight w:val="none"/>
              </w:rPr>
            </w:pPr>
          </w:p>
        </w:tc>
      </w:tr>
      <w:tr w14:paraId="2C56D7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675" w:type="dxa"/>
            <w:tcBorders>
              <w:tl2br w:val="nil"/>
              <w:tr2bl w:val="nil"/>
            </w:tcBorders>
            <w:shd w:val="clear" w:color="auto" w:fill="auto"/>
            <w:vAlign w:val="center"/>
          </w:tcPr>
          <w:p w14:paraId="1CB02C07">
            <w:pPr>
              <w:adjustRightInd w:val="0"/>
              <w:snapToGrid w:val="0"/>
              <w:spacing w:before="100" w:beforeAutospacing="1"/>
              <w:jc w:val="center"/>
              <w:rPr>
                <w:rFonts w:hint="default" w:ascii="宋体" w:hAnsi="宋体" w:cs="宋体"/>
                <w:color w:val="auto"/>
                <w:kern w:val="0"/>
                <w:sz w:val="18"/>
                <w:szCs w:val="18"/>
                <w:highlight w:val="none"/>
                <w:lang w:val="en-US"/>
              </w:rPr>
            </w:pPr>
            <w:r>
              <w:rPr>
                <w:rFonts w:hint="eastAsia" w:ascii="宋体" w:hAnsi="宋体" w:cs="宋体"/>
                <w:color w:val="auto"/>
                <w:kern w:val="0"/>
                <w:sz w:val="18"/>
                <w:szCs w:val="18"/>
                <w:highlight w:val="none"/>
              </w:rPr>
              <w:t>1_</w:t>
            </w:r>
            <w:r>
              <w:rPr>
                <w:rFonts w:hint="eastAsia" w:ascii="宋体" w:hAnsi="宋体" w:cs="宋体"/>
                <w:color w:val="auto"/>
                <w:kern w:val="0"/>
                <w:sz w:val="18"/>
                <w:szCs w:val="18"/>
                <w:highlight w:val="none"/>
                <w:lang w:val="en-US" w:eastAsia="zh-CN"/>
              </w:rPr>
              <w:t>8</w:t>
            </w:r>
          </w:p>
        </w:tc>
        <w:tc>
          <w:tcPr>
            <w:tcW w:w="2835" w:type="dxa"/>
            <w:tcBorders>
              <w:tl2br w:val="nil"/>
              <w:tr2bl w:val="nil"/>
            </w:tcBorders>
            <w:shd w:val="clear" w:color="auto" w:fill="auto"/>
            <w:vAlign w:val="center"/>
          </w:tcPr>
          <w:p w14:paraId="178866BA">
            <w:pPr>
              <w:adjustRightInd w:val="0"/>
              <w:snapToGrid w:val="0"/>
              <w:spacing w:before="100" w:beforeAutospacing="1"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其他</w:t>
            </w:r>
          </w:p>
        </w:tc>
        <w:tc>
          <w:tcPr>
            <w:tcW w:w="1276" w:type="dxa"/>
            <w:tcBorders>
              <w:tl2br w:val="nil"/>
              <w:tr2bl w:val="nil"/>
            </w:tcBorders>
            <w:shd w:val="clear" w:color="auto" w:fill="auto"/>
            <w:vAlign w:val="center"/>
          </w:tcPr>
          <w:p w14:paraId="38EE10A1">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2A59AC2F">
            <w:pPr>
              <w:widowControl/>
              <w:adjustRightInd w:val="0"/>
              <w:snapToGrid w:val="0"/>
              <w:spacing w:before="100" w:beforeAutospacing="1"/>
              <w:jc w:val="center"/>
              <w:rPr>
                <w:rFonts w:hint="eastAsia"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34C62F30">
            <w:pPr>
              <w:adjustRightInd w:val="0"/>
              <w:snapToGrid w:val="0"/>
              <w:spacing w:before="100" w:beforeAutospacing="1" w:line="240" w:lineRule="auto"/>
              <w:ind w:right="-141" w:rightChars="0"/>
              <w:jc w:val="center"/>
              <w:rPr>
                <w:rFonts w:hint="default" w:ascii="宋体" w:hAnsi="宋体" w:cs="宋体"/>
                <w:color w:val="auto"/>
                <w:kern w:val="0"/>
                <w:sz w:val="18"/>
                <w:szCs w:val="18"/>
                <w:highlight w:val="none"/>
                <w:lang w:val="en-US"/>
              </w:rPr>
            </w:pPr>
          </w:p>
        </w:tc>
        <w:tc>
          <w:tcPr>
            <w:tcW w:w="708" w:type="dxa"/>
            <w:tcBorders>
              <w:tl2br w:val="nil"/>
              <w:tr2bl w:val="nil"/>
            </w:tcBorders>
            <w:shd w:val="clear" w:color="auto" w:fill="auto"/>
            <w:vAlign w:val="center"/>
          </w:tcPr>
          <w:p w14:paraId="5E0B3947">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6823B21F">
            <w:pPr>
              <w:widowControl/>
              <w:adjustRightInd w:val="0"/>
              <w:snapToGrid w:val="0"/>
              <w:spacing w:before="100" w:beforeAutospacing="1"/>
              <w:jc w:val="center"/>
              <w:rPr>
                <w:rFonts w:ascii="宋体" w:hAnsi="宋体" w:cs="宋体"/>
                <w:color w:val="auto"/>
                <w:kern w:val="0"/>
                <w:sz w:val="18"/>
                <w:szCs w:val="18"/>
                <w:highlight w:val="none"/>
              </w:rPr>
            </w:pPr>
          </w:p>
        </w:tc>
        <w:tc>
          <w:tcPr>
            <w:tcW w:w="761" w:type="dxa"/>
            <w:tcBorders>
              <w:tl2br w:val="nil"/>
              <w:tr2bl w:val="nil"/>
            </w:tcBorders>
            <w:shd w:val="clear" w:color="auto" w:fill="auto"/>
            <w:vAlign w:val="center"/>
          </w:tcPr>
          <w:p w14:paraId="3FBE2246">
            <w:pPr>
              <w:adjustRightInd w:val="0"/>
              <w:snapToGrid w:val="0"/>
              <w:spacing w:before="100" w:beforeAutospacing="1" w:line="240" w:lineRule="auto"/>
              <w:ind w:right="-129" w:rightChars="0"/>
              <w:jc w:val="center"/>
              <w:rPr>
                <w:rFonts w:ascii="宋体" w:hAnsi="宋体" w:cs="宋体"/>
                <w:color w:val="auto"/>
                <w:kern w:val="0"/>
                <w:sz w:val="18"/>
                <w:szCs w:val="18"/>
                <w:highlight w:val="none"/>
              </w:rPr>
            </w:pPr>
          </w:p>
        </w:tc>
      </w:tr>
      <w:tr w14:paraId="5C4CFF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675" w:type="dxa"/>
            <w:tcBorders>
              <w:tl2br w:val="nil"/>
              <w:tr2bl w:val="nil"/>
            </w:tcBorders>
            <w:shd w:val="clear" w:color="auto" w:fill="auto"/>
            <w:vAlign w:val="center"/>
          </w:tcPr>
          <w:p w14:paraId="3F5742ED">
            <w:pPr>
              <w:adjustRightInd w:val="0"/>
              <w:snapToGrid w:val="0"/>
              <w:spacing w:before="100" w:beforeAutospacing="1"/>
              <w:jc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2</w:t>
            </w:r>
          </w:p>
        </w:tc>
        <w:tc>
          <w:tcPr>
            <w:tcW w:w="7707" w:type="dxa"/>
            <w:gridSpan w:val="7"/>
            <w:tcBorders>
              <w:tl2br w:val="nil"/>
              <w:tr2bl w:val="nil"/>
            </w:tcBorders>
            <w:shd w:val="clear" w:color="auto" w:fill="auto"/>
            <w:vAlign w:val="center"/>
          </w:tcPr>
          <w:p w14:paraId="1BC7A246">
            <w:pPr>
              <w:widowControl/>
              <w:adjustRightInd w:val="0"/>
              <w:snapToGrid w:val="0"/>
              <w:spacing w:before="100" w:beforeAutospacing="1" w:line="240" w:lineRule="auto"/>
              <w:ind w:right="0"/>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备品备件</w:t>
            </w:r>
          </w:p>
        </w:tc>
      </w:tr>
      <w:tr w14:paraId="52DA9C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675" w:type="dxa"/>
            <w:tcBorders>
              <w:tl2br w:val="nil"/>
              <w:tr2bl w:val="nil"/>
            </w:tcBorders>
            <w:shd w:val="clear" w:color="auto" w:fill="auto"/>
            <w:vAlign w:val="center"/>
          </w:tcPr>
          <w:p w14:paraId="79D2A840">
            <w:pPr>
              <w:adjustRightInd w:val="0"/>
              <w:snapToGrid w:val="0"/>
              <w:spacing w:before="100" w:beforeAutospacing="1"/>
              <w:jc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2_1</w:t>
            </w:r>
          </w:p>
        </w:tc>
        <w:tc>
          <w:tcPr>
            <w:tcW w:w="2835" w:type="dxa"/>
            <w:tcBorders>
              <w:tl2br w:val="nil"/>
              <w:tr2bl w:val="nil"/>
            </w:tcBorders>
            <w:shd w:val="clear" w:color="auto" w:fill="auto"/>
            <w:vAlign w:val="center"/>
          </w:tcPr>
          <w:p w14:paraId="3AFCF5B5">
            <w:pPr>
              <w:pStyle w:val="10"/>
              <w:snapToGrid w:val="0"/>
              <w:spacing w:before="100" w:beforeAutospacing="1" w:line="240" w:lineRule="auto"/>
              <w:jc w:val="center"/>
              <w:textAlignment w:val="auto"/>
              <w:rPr>
                <w:rFonts w:hint="eastAsia" w:hAnsi="宋体" w:cs="宋体"/>
                <w:color w:val="auto"/>
                <w:kern w:val="2"/>
                <w:sz w:val="18"/>
                <w:szCs w:val="18"/>
                <w:highlight w:val="none"/>
                <w:lang w:val="en-US" w:eastAsia="zh-CN"/>
              </w:rPr>
            </w:pPr>
            <w:r>
              <w:rPr>
                <w:rFonts w:hint="eastAsia" w:hAnsi="宋体" w:cs="宋体"/>
                <w:color w:val="auto"/>
                <w:sz w:val="18"/>
                <w:szCs w:val="18"/>
                <w:highlight w:val="none"/>
                <w:lang w:val="en-US" w:eastAsia="zh-CN"/>
              </w:rPr>
              <w:t>电源卡件</w:t>
            </w:r>
          </w:p>
        </w:tc>
        <w:tc>
          <w:tcPr>
            <w:tcW w:w="1276" w:type="dxa"/>
            <w:tcBorders>
              <w:tl2br w:val="nil"/>
              <w:tr2bl w:val="nil"/>
            </w:tcBorders>
            <w:shd w:val="clear" w:color="auto" w:fill="auto"/>
            <w:vAlign w:val="center"/>
          </w:tcPr>
          <w:p w14:paraId="112CB6CA">
            <w:pPr>
              <w:adjustRightInd w:val="0"/>
              <w:snapToGrid w:val="0"/>
              <w:spacing w:before="100" w:beforeAutospacing="1"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各种规格</w:t>
            </w:r>
          </w:p>
        </w:tc>
        <w:tc>
          <w:tcPr>
            <w:tcW w:w="709" w:type="dxa"/>
            <w:tcBorders>
              <w:tl2br w:val="nil"/>
              <w:tr2bl w:val="nil"/>
            </w:tcBorders>
            <w:shd w:val="clear" w:color="auto" w:fill="auto"/>
            <w:vAlign w:val="center"/>
          </w:tcPr>
          <w:p w14:paraId="30363837">
            <w:pPr>
              <w:adjustRightInd w:val="0"/>
              <w:snapToGrid w:val="0"/>
              <w:spacing w:before="100" w:beforeAutospacing="1"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块</w:t>
            </w:r>
          </w:p>
        </w:tc>
        <w:tc>
          <w:tcPr>
            <w:tcW w:w="709" w:type="dxa"/>
            <w:tcBorders>
              <w:tl2br w:val="nil"/>
              <w:tr2bl w:val="nil"/>
            </w:tcBorders>
            <w:shd w:val="clear" w:color="auto" w:fill="auto"/>
            <w:vAlign w:val="center"/>
          </w:tcPr>
          <w:p w14:paraId="27E996BE">
            <w:pPr>
              <w:adjustRightInd w:val="0"/>
              <w:snapToGrid w:val="0"/>
              <w:spacing w:before="100" w:beforeAutospacing="1"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各1</w:t>
            </w:r>
          </w:p>
        </w:tc>
        <w:tc>
          <w:tcPr>
            <w:tcW w:w="708" w:type="dxa"/>
            <w:tcBorders>
              <w:tl2br w:val="nil"/>
              <w:tr2bl w:val="nil"/>
            </w:tcBorders>
            <w:shd w:val="clear" w:color="auto" w:fill="auto"/>
            <w:vAlign w:val="center"/>
          </w:tcPr>
          <w:p w14:paraId="411126DE">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12851428">
            <w:pPr>
              <w:widowControl/>
              <w:adjustRightInd w:val="0"/>
              <w:snapToGrid w:val="0"/>
              <w:spacing w:before="100" w:beforeAutospacing="1"/>
              <w:jc w:val="center"/>
              <w:rPr>
                <w:rFonts w:ascii="宋体" w:hAnsi="宋体" w:cs="宋体"/>
                <w:color w:val="auto"/>
                <w:kern w:val="0"/>
                <w:sz w:val="18"/>
                <w:szCs w:val="18"/>
                <w:highlight w:val="none"/>
              </w:rPr>
            </w:pPr>
          </w:p>
        </w:tc>
        <w:tc>
          <w:tcPr>
            <w:tcW w:w="761" w:type="dxa"/>
            <w:tcBorders>
              <w:tl2br w:val="nil"/>
              <w:tr2bl w:val="nil"/>
            </w:tcBorders>
            <w:shd w:val="clear" w:color="auto" w:fill="auto"/>
            <w:vAlign w:val="center"/>
          </w:tcPr>
          <w:p w14:paraId="2C83E122">
            <w:pPr>
              <w:adjustRightInd w:val="0"/>
              <w:snapToGrid w:val="0"/>
              <w:spacing w:before="100" w:beforeAutospacing="1" w:line="240" w:lineRule="auto"/>
              <w:ind w:left="-90" w:right="-129"/>
              <w:jc w:val="center"/>
              <w:rPr>
                <w:rFonts w:ascii="宋体" w:hAnsi="宋体" w:cs="宋体"/>
                <w:color w:val="auto"/>
                <w:kern w:val="0"/>
                <w:sz w:val="18"/>
                <w:szCs w:val="18"/>
                <w:highlight w:val="none"/>
              </w:rPr>
            </w:pPr>
          </w:p>
        </w:tc>
      </w:tr>
      <w:tr w14:paraId="733BA8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675" w:type="dxa"/>
            <w:tcBorders>
              <w:tl2br w:val="nil"/>
              <w:tr2bl w:val="nil"/>
            </w:tcBorders>
            <w:shd w:val="clear" w:color="auto" w:fill="auto"/>
            <w:vAlign w:val="center"/>
          </w:tcPr>
          <w:p w14:paraId="74947028">
            <w:pPr>
              <w:adjustRightInd w:val="0"/>
              <w:snapToGrid w:val="0"/>
              <w:spacing w:before="100" w:beforeAutospacing="1"/>
              <w:jc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2_2</w:t>
            </w:r>
          </w:p>
        </w:tc>
        <w:tc>
          <w:tcPr>
            <w:tcW w:w="2835" w:type="dxa"/>
            <w:tcBorders>
              <w:tl2br w:val="nil"/>
              <w:tr2bl w:val="nil"/>
            </w:tcBorders>
            <w:shd w:val="clear" w:color="auto" w:fill="auto"/>
            <w:vAlign w:val="center"/>
          </w:tcPr>
          <w:p w14:paraId="3AC7FBCF">
            <w:pPr>
              <w:adjustRightInd w:val="0"/>
              <w:snapToGrid w:val="0"/>
              <w:spacing w:before="100" w:beforeAutospacing="1"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交流采样卡件</w:t>
            </w:r>
          </w:p>
        </w:tc>
        <w:tc>
          <w:tcPr>
            <w:tcW w:w="1276" w:type="dxa"/>
            <w:tcBorders>
              <w:tl2br w:val="nil"/>
              <w:tr2bl w:val="nil"/>
            </w:tcBorders>
            <w:shd w:val="clear" w:color="auto" w:fill="auto"/>
            <w:vAlign w:val="center"/>
          </w:tcPr>
          <w:p w14:paraId="3EB66B87">
            <w:pPr>
              <w:adjustRightInd w:val="0"/>
              <w:snapToGrid w:val="0"/>
              <w:spacing w:before="100" w:beforeAutospacing="1"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各种规格</w:t>
            </w:r>
          </w:p>
        </w:tc>
        <w:tc>
          <w:tcPr>
            <w:tcW w:w="709" w:type="dxa"/>
            <w:tcBorders>
              <w:tl2br w:val="nil"/>
              <w:tr2bl w:val="nil"/>
            </w:tcBorders>
            <w:shd w:val="clear" w:color="auto" w:fill="auto"/>
            <w:vAlign w:val="center"/>
          </w:tcPr>
          <w:p w14:paraId="0F7700CD">
            <w:pPr>
              <w:adjustRightInd w:val="0"/>
              <w:snapToGrid w:val="0"/>
              <w:spacing w:before="100" w:beforeAutospacing="1"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块</w:t>
            </w:r>
          </w:p>
        </w:tc>
        <w:tc>
          <w:tcPr>
            <w:tcW w:w="709" w:type="dxa"/>
            <w:tcBorders>
              <w:tl2br w:val="nil"/>
              <w:tr2bl w:val="nil"/>
            </w:tcBorders>
            <w:shd w:val="clear" w:color="auto" w:fill="auto"/>
            <w:vAlign w:val="center"/>
          </w:tcPr>
          <w:p w14:paraId="2B94FD55">
            <w:pPr>
              <w:adjustRightInd w:val="0"/>
              <w:snapToGrid w:val="0"/>
              <w:spacing w:before="100" w:beforeAutospacing="1"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各1</w:t>
            </w:r>
          </w:p>
        </w:tc>
        <w:tc>
          <w:tcPr>
            <w:tcW w:w="708" w:type="dxa"/>
            <w:tcBorders>
              <w:tl2br w:val="nil"/>
              <w:tr2bl w:val="nil"/>
            </w:tcBorders>
            <w:shd w:val="clear" w:color="auto" w:fill="auto"/>
            <w:vAlign w:val="center"/>
          </w:tcPr>
          <w:p w14:paraId="0B331587">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3C8B3B35">
            <w:pPr>
              <w:widowControl/>
              <w:adjustRightInd w:val="0"/>
              <w:snapToGrid w:val="0"/>
              <w:spacing w:before="100" w:beforeAutospacing="1"/>
              <w:jc w:val="center"/>
              <w:rPr>
                <w:rFonts w:ascii="宋体" w:hAnsi="宋体" w:cs="宋体"/>
                <w:color w:val="auto"/>
                <w:kern w:val="0"/>
                <w:sz w:val="18"/>
                <w:szCs w:val="18"/>
                <w:highlight w:val="none"/>
              </w:rPr>
            </w:pPr>
          </w:p>
        </w:tc>
        <w:tc>
          <w:tcPr>
            <w:tcW w:w="761" w:type="dxa"/>
            <w:tcBorders>
              <w:tl2br w:val="nil"/>
              <w:tr2bl w:val="nil"/>
            </w:tcBorders>
            <w:shd w:val="clear" w:color="auto" w:fill="auto"/>
            <w:vAlign w:val="center"/>
          </w:tcPr>
          <w:p w14:paraId="0C8BADB1">
            <w:pPr>
              <w:adjustRightInd w:val="0"/>
              <w:snapToGrid w:val="0"/>
              <w:spacing w:before="100" w:beforeAutospacing="1" w:line="240" w:lineRule="auto"/>
              <w:ind w:left="-90" w:right="-129"/>
              <w:jc w:val="center"/>
              <w:rPr>
                <w:rFonts w:ascii="宋体" w:hAnsi="宋体" w:cs="宋体"/>
                <w:color w:val="auto"/>
                <w:kern w:val="0"/>
                <w:sz w:val="18"/>
                <w:szCs w:val="18"/>
                <w:highlight w:val="none"/>
              </w:rPr>
            </w:pPr>
          </w:p>
        </w:tc>
      </w:tr>
      <w:tr w14:paraId="040E4E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675" w:type="dxa"/>
            <w:tcBorders>
              <w:tl2br w:val="nil"/>
              <w:tr2bl w:val="nil"/>
            </w:tcBorders>
            <w:shd w:val="clear" w:color="auto" w:fill="auto"/>
            <w:vAlign w:val="center"/>
          </w:tcPr>
          <w:p w14:paraId="7968111D">
            <w:pPr>
              <w:adjustRightInd w:val="0"/>
              <w:snapToGrid w:val="0"/>
              <w:spacing w:before="100" w:beforeAutospacing="1"/>
              <w:jc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2_3</w:t>
            </w:r>
          </w:p>
        </w:tc>
        <w:tc>
          <w:tcPr>
            <w:tcW w:w="2835" w:type="dxa"/>
            <w:tcBorders>
              <w:tl2br w:val="nil"/>
              <w:tr2bl w:val="nil"/>
            </w:tcBorders>
            <w:shd w:val="clear" w:color="auto" w:fill="auto"/>
            <w:vAlign w:val="center"/>
          </w:tcPr>
          <w:p w14:paraId="4018CA50">
            <w:pPr>
              <w:adjustRightInd w:val="0"/>
              <w:snapToGrid w:val="0"/>
              <w:spacing w:before="100" w:beforeAutospacing="1"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其它</w:t>
            </w:r>
          </w:p>
        </w:tc>
        <w:tc>
          <w:tcPr>
            <w:tcW w:w="1276" w:type="dxa"/>
            <w:tcBorders>
              <w:tl2br w:val="nil"/>
              <w:tr2bl w:val="nil"/>
            </w:tcBorders>
            <w:shd w:val="clear" w:color="auto" w:fill="auto"/>
            <w:vAlign w:val="center"/>
          </w:tcPr>
          <w:p w14:paraId="0A211F6D">
            <w:pPr>
              <w:adjustRightInd w:val="0"/>
              <w:snapToGrid w:val="0"/>
              <w:spacing w:before="100" w:beforeAutospacing="1" w:line="240" w:lineRule="auto"/>
              <w:jc w:val="center"/>
              <w:rPr>
                <w:rFonts w:hint="eastAsia" w:ascii="宋体" w:hAnsi="宋体" w:cs="宋体"/>
                <w:color w:val="auto"/>
                <w:sz w:val="18"/>
                <w:szCs w:val="18"/>
                <w:highlight w:val="none"/>
              </w:rPr>
            </w:pPr>
          </w:p>
        </w:tc>
        <w:tc>
          <w:tcPr>
            <w:tcW w:w="709" w:type="dxa"/>
            <w:tcBorders>
              <w:tl2br w:val="nil"/>
              <w:tr2bl w:val="nil"/>
            </w:tcBorders>
            <w:shd w:val="clear" w:color="auto" w:fill="auto"/>
            <w:vAlign w:val="center"/>
          </w:tcPr>
          <w:p w14:paraId="4A668EBF">
            <w:pPr>
              <w:adjustRightInd w:val="0"/>
              <w:snapToGrid w:val="0"/>
              <w:spacing w:before="100" w:beforeAutospacing="1" w:line="240" w:lineRule="auto"/>
              <w:jc w:val="center"/>
              <w:rPr>
                <w:rFonts w:hint="eastAsia" w:ascii="宋体" w:hAnsi="宋体" w:cs="宋体"/>
                <w:color w:val="auto"/>
                <w:sz w:val="18"/>
                <w:szCs w:val="18"/>
                <w:highlight w:val="none"/>
              </w:rPr>
            </w:pPr>
          </w:p>
        </w:tc>
        <w:tc>
          <w:tcPr>
            <w:tcW w:w="709" w:type="dxa"/>
            <w:tcBorders>
              <w:tl2br w:val="nil"/>
              <w:tr2bl w:val="nil"/>
            </w:tcBorders>
            <w:shd w:val="clear" w:color="auto" w:fill="auto"/>
            <w:vAlign w:val="center"/>
          </w:tcPr>
          <w:p w14:paraId="68DBADBE">
            <w:pPr>
              <w:adjustRightInd w:val="0"/>
              <w:snapToGrid w:val="0"/>
              <w:spacing w:before="100" w:beforeAutospacing="1" w:line="240" w:lineRule="auto"/>
              <w:jc w:val="center"/>
              <w:rPr>
                <w:rFonts w:hint="eastAsia" w:ascii="宋体" w:hAnsi="宋体" w:cs="宋体"/>
                <w:color w:val="auto"/>
                <w:sz w:val="18"/>
                <w:szCs w:val="18"/>
                <w:highlight w:val="none"/>
              </w:rPr>
            </w:pPr>
          </w:p>
        </w:tc>
        <w:tc>
          <w:tcPr>
            <w:tcW w:w="708" w:type="dxa"/>
            <w:tcBorders>
              <w:tl2br w:val="nil"/>
              <w:tr2bl w:val="nil"/>
            </w:tcBorders>
            <w:shd w:val="clear" w:color="auto" w:fill="auto"/>
            <w:vAlign w:val="center"/>
          </w:tcPr>
          <w:p w14:paraId="7B77170E">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16D9FD68">
            <w:pPr>
              <w:widowControl/>
              <w:adjustRightInd w:val="0"/>
              <w:snapToGrid w:val="0"/>
              <w:spacing w:before="100" w:beforeAutospacing="1"/>
              <w:jc w:val="center"/>
              <w:rPr>
                <w:rFonts w:ascii="宋体" w:hAnsi="宋体" w:cs="宋体"/>
                <w:color w:val="auto"/>
                <w:kern w:val="0"/>
                <w:sz w:val="18"/>
                <w:szCs w:val="18"/>
                <w:highlight w:val="none"/>
              </w:rPr>
            </w:pPr>
          </w:p>
        </w:tc>
        <w:tc>
          <w:tcPr>
            <w:tcW w:w="761" w:type="dxa"/>
            <w:tcBorders>
              <w:tl2br w:val="nil"/>
              <w:tr2bl w:val="nil"/>
            </w:tcBorders>
            <w:shd w:val="clear" w:color="auto" w:fill="auto"/>
            <w:vAlign w:val="center"/>
          </w:tcPr>
          <w:p w14:paraId="4406BC22">
            <w:pPr>
              <w:adjustRightInd w:val="0"/>
              <w:snapToGrid w:val="0"/>
              <w:spacing w:before="100" w:beforeAutospacing="1" w:line="240" w:lineRule="auto"/>
              <w:ind w:right="0"/>
              <w:jc w:val="center"/>
              <w:rPr>
                <w:rFonts w:ascii="宋体" w:hAnsi="宋体" w:cs="宋体"/>
                <w:color w:val="auto"/>
                <w:kern w:val="0"/>
                <w:sz w:val="18"/>
                <w:szCs w:val="18"/>
                <w:highlight w:val="none"/>
              </w:rPr>
            </w:pPr>
            <w:r>
              <w:rPr>
                <w:rFonts w:hint="eastAsia" w:ascii="宋体" w:hAnsi="宋体" w:cs="宋体"/>
                <w:color w:val="auto"/>
                <w:sz w:val="18"/>
                <w:szCs w:val="18"/>
                <w:highlight w:val="none"/>
              </w:rPr>
              <w:t>投标人细化</w:t>
            </w:r>
          </w:p>
        </w:tc>
      </w:tr>
      <w:tr w14:paraId="28AFB5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675" w:type="dxa"/>
            <w:tcBorders>
              <w:tl2br w:val="nil"/>
              <w:tr2bl w:val="nil"/>
            </w:tcBorders>
            <w:shd w:val="clear" w:color="auto" w:fill="auto"/>
            <w:vAlign w:val="center"/>
          </w:tcPr>
          <w:p w14:paraId="216CF106">
            <w:pPr>
              <w:widowControl/>
              <w:adjustRightInd w:val="0"/>
              <w:snapToGrid w:val="0"/>
              <w:spacing w:before="100" w:beforeAutospacing="1"/>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p>
        </w:tc>
        <w:tc>
          <w:tcPr>
            <w:tcW w:w="7707" w:type="dxa"/>
            <w:gridSpan w:val="7"/>
            <w:tcBorders>
              <w:tl2br w:val="nil"/>
              <w:tr2bl w:val="nil"/>
            </w:tcBorders>
            <w:shd w:val="clear" w:color="auto" w:fill="auto"/>
            <w:vAlign w:val="center"/>
          </w:tcPr>
          <w:p w14:paraId="0A53E2BD">
            <w:pPr>
              <w:widowControl/>
              <w:adjustRightInd w:val="0"/>
              <w:snapToGrid w:val="0"/>
              <w:spacing w:before="100" w:beforeAutospacing="1"/>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专用软件和工器具</w:t>
            </w:r>
          </w:p>
        </w:tc>
      </w:tr>
      <w:tr w14:paraId="751BE8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675" w:type="dxa"/>
            <w:tcBorders>
              <w:tl2br w:val="nil"/>
              <w:tr2bl w:val="nil"/>
            </w:tcBorders>
            <w:shd w:val="clear" w:color="auto" w:fill="auto"/>
            <w:vAlign w:val="center"/>
          </w:tcPr>
          <w:p w14:paraId="3C42B6AF">
            <w:pPr>
              <w:widowControl/>
              <w:adjustRightInd w:val="0"/>
              <w:snapToGrid w:val="0"/>
              <w:spacing w:before="100" w:beforeAutospacing="1"/>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3_1</w:t>
            </w:r>
          </w:p>
        </w:tc>
        <w:tc>
          <w:tcPr>
            <w:tcW w:w="2835" w:type="dxa"/>
            <w:tcBorders>
              <w:tl2br w:val="nil"/>
              <w:tr2bl w:val="nil"/>
            </w:tcBorders>
            <w:shd w:val="clear" w:color="auto" w:fill="auto"/>
            <w:vAlign w:val="center"/>
          </w:tcPr>
          <w:p w14:paraId="59C0E9E8">
            <w:pPr>
              <w:adjustRightInd w:val="0"/>
              <w:snapToGrid w:val="0"/>
              <w:spacing w:before="100" w:beforeAutospacing="1"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调试、整定和维护等可安装的全套软件</w:t>
            </w:r>
          </w:p>
        </w:tc>
        <w:tc>
          <w:tcPr>
            <w:tcW w:w="1276" w:type="dxa"/>
            <w:tcBorders>
              <w:tl2br w:val="nil"/>
              <w:tr2bl w:val="nil"/>
            </w:tcBorders>
            <w:shd w:val="clear" w:color="auto" w:fill="auto"/>
            <w:vAlign w:val="center"/>
          </w:tcPr>
          <w:p w14:paraId="6A10EA41">
            <w:pPr>
              <w:adjustRightInd w:val="0"/>
              <w:snapToGrid w:val="0"/>
              <w:spacing w:before="100" w:beforeAutospacing="1" w:line="240" w:lineRule="auto"/>
              <w:jc w:val="center"/>
              <w:rPr>
                <w:rFonts w:hint="eastAsia" w:ascii="宋体" w:hAnsi="宋体" w:cs="宋体"/>
                <w:color w:val="auto"/>
                <w:sz w:val="18"/>
                <w:szCs w:val="18"/>
                <w:highlight w:val="none"/>
              </w:rPr>
            </w:pPr>
          </w:p>
        </w:tc>
        <w:tc>
          <w:tcPr>
            <w:tcW w:w="709" w:type="dxa"/>
            <w:tcBorders>
              <w:tl2br w:val="nil"/>
              <w:tr2bl w:val="nil"/>
            </w:tcBorders>
            <w:shd w:val="clear" w:color="auto" w:fill="auto"/>
            <w:vAlign w:val="center"/>
          </w:tcPr>
          <w:p w14:paraId="5F7FE8F6">
            <w:pPr>
              <w:adjustRightInd w:val="0"/>
              <w:snapToGrid w:val="0"/>
              <w:spacing w:before="100" w:beforeAutospacing="1"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lang w:val="en-US" w:eastAsia="zh-CN"/>
              </w:rPr>
              <w:t>套</w:t>
            </w:r>
          </w:p>
        </w:tc>
        <w:tc>
          <w:tcPr>
            <w:tcW w:w="709" w:type="dxa"/>
            <w:tcBorders>
              <w:tl2br w:val="nil"/>
              <w:tr2bl w:val="nil"/>
            </w:tcBorders>
            <w:shd w:val="clear" w:color="auto" w:fill="auto"/>
            <w:vAlign w:val="center"/>
          </w:tcPr>
          <w:p w14:paraId="3759709B">
            <w:pPr>
              <w:pStyle w:val="25"/>
              <w:snapToGrid w:val="0"/>
              <w:spacing w:before="100" w:beforeAutospacing="1" w:line="240" w:lineRule="auto"/>
              <w:textAlignment w:val="auto"/>
              <w:rPr>
                <w:rFonts w:hint="eastAsia" w:hAnsi="宋体" w:cs="宋体"/>
                <w:color w:val="auto"/>
                <w:kern w:val="2"/>
                <w:sz w:val="18"/>
                <w:szCs w:val="18"/>
                <w:highlight w:val="none"/>
              </w:rPr>
            </w:pPr>
            <w:r>
              <w:rPr>
                <w:rFonts w:hint="eastAsia" w:hAnsi="宋体" w:cs="宋体"/>
                <w:color w:val="auto"/>
                <w:kern w:val="2"/>
                <w:sz w:val="18"/>
                <w:szCs w:val="18"/>
                <w:highlight w:val="none"/>
                <w:lang w:val="en-US" w:eastAsia="zh-CN"/>
              </w:rPr>
              <w:t>1</w:t>
            </w:r>
          </w:p>
        </w:tc>
        <w:tc>
          <w:tcPr>
            <w:tcW w:w="708" w:type="dxa"/>
            <w:tcBorders>
              <w:tl2br w:val="nil"/>
              <w:tr2bl w:val="nil"/>
            </w:tcBorders>
            <w:shd w:val="clear" w:color="auto" w:fill="auto"/>
            <w:vAlign w:val="center"/>
          </w:tcPr>
          <w:p w14:paraId="1E06A892">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106795E8">
            <w:pPr>
              <w:widowControl/>
              <w:adjustRightInd w:val="0"/>
              <w:snapToGrid w:val="0"/>
              <w:spacing w:before="100" w:beforeAutospacing="1"/>
              <w:jc w:val="center"/>
              <w:rPr>
                <w:rFonts w:ascii="宋体" w:hAnsi="宋体" w:cs="宋体"/>
                <w:color w:val="auto"/>
                <w:kern w:val="0"/>
                <w:sz w:val="18"/>
                <w:szCs w:val="18"/>
                <w:highlight w:val="none"/>
              </w:rPr>
            </w:pPr>
          </w:p>
        </w:tc>
        <w:tc>
          <w:tcPr>
            <w:tcW w:w="761" w:type="dxa"/>
            <w:tcBorders>
              <w:tl2br w:val="nil"/>
              <w:tr2bl w:val="nil"/>
            </w:tcBorders>
            <w:shd w:val="clear" w:color="auto" w:fill="auto"/>
            <w:vAlign w:val="center"/>
          </w:tcPr>
          <w:p w14:paraId="2CA20509">
            <w:pPr>
              <w:widowControl/>
              <w:adjustRightInd w:val="0"/>
              <w:snapToGrid w:val="0"/>
              <w:spacing w:before="100" w:beforeAutospacing="1"/>
              <w:jc w:val="center"/>
              <w:rPr>
                <w:rFonts w:ascii="宋体" w:hAnsi="宋体" w:cs="宋体"/>
                <w:color w:val="auto"/>
                <w:kern w:val="0"/>
                <w:sz w:val="18"/>
                <w:szCs w:val="18"/>
                <w:highlight w:val="none"/>
              </w:rPr>
            </w:pPr>
          </w:p>
        </w:tc>
      </w:tr>
      <w:tr w14:paraId="58C102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675" w:type="dxa"/>
            <w:tcBorders>
              <w:tl2br w:val="nil"/>
              <w:tr2bl w:val="nil"/>
            </w:tcBorders>
            <w:shd w:val="clear" w:color="auto" w:fill="auto"/>
            <w:vAlign w:val="center"/>
          </w:tcPr>
          <w:p w14:paraId="5EA7181C">
            <w:pPr>
              <w:widowControl/>
              <w:adjustRightInd w:val="0"/>
              <w:snapToGrid w:val="0"/>
              <w:spacing w:before="100" w:beforeAutospacing="1"/>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3_2</w:t>
            </w:r>
          </w:p>
        </w:tc>
        <w:tc>
          <w:tcPr>
            <w:tcW w:w="2835" w:type="dxa"/>
            <w:tcBorders>
              <w:tl2br w:val="nil"/>
              <w:tr2bl w:val="nil"/>
            </w:tcBorders>
            <w:shd w:val="clear" w:color="auto" w:fill="auto"/>
            <w:vAlign w:val="center"/>
          </w:tcPr>
          <w:p w14:paraId="5598D6E0">
            <w:pPr>
              <w:adjustRightInd w:val="0"/>
              <w:snapToGrid w:val="0"/>
              <w:spacing w:before="100" w:beforeAutospacing="1" w:line="240" w:lineRule="auto"/>
              <w:jc w:val="center"/>
              <w:rPr>
                <w:rFonts w:hint="eastAsia" w:ascii="宋体" w:hAnsi="宋体" w:eastAsia="宋体" w:cs="宋体"/>
                <w:color w:val="auto"/>
                <w:sz w:val="18"/>
                <w:szCs w:val="18"/>
                <w:highlight w:val="none"/>
                <w:lang w:eastAsia="zh-CN"/>
              </w:rPr>
            </w:pPr>
            <w:r>
              <w:rPr>
                <w:rFonts w:hint="eastAsia" w:ascii="宋体" w:hAnsi="宋体" w:cs="宋体"/>
                <w:color w:val="auto"/>
                <w:sz w:val="18"/>
                <w:szCs w:val="18"/>
                <w:highlight w:val="none"/>
              </w:rPr>
              <w:t>便携式调试</w:t>
            </w:r>
            <w:r>
              <w:rPr>
                <w:rFonts w:hint="eastAsia" w:ascii="宋体" w:hAnsi="宋体" w:cs="宋体"/>
                <w:color w:val="auto"/>
                <w:sz w:val="18"/>
                <w:szCs w:val="18"/>
                <w:highlight w:val="none"/>
                <w:lang w:val="en-US" w:eastAsia="zh-CN"/>
              </w:rPr>
              <w:t>工器具</w:t>
            </w:r>
          </w:p>
        </w:tc>
        <w:tc>
          <w:tcPr>
            <w:tcW w:w="1276" w:type="dxa"/>
            <w:tcBorders>
              <w:tl2br w:val="nil"/>
              <w:tr2bl w:val="nil"/>
            </w:tcBorders>
            <w:shd w:val="clear" w:color="auto" w:fill="auto"/>
            <w:vAlign w:val="center"/>
          </w:tcPr>
          <w:p w14:paraId="6A1B49C9">
            <w:pPr>
              <w:adjustRightInd w:val="0"/>
              <w:snapToGrid w:val="0"/>
              <w:spacing w:before="100" w:beforeAutospacing="1" w:line="240" w:lineRule="auto"/>
              <w:jc w:val="center"/>
              <w:rPr>
                <w:rFonts w:hint="eastAsia" w:ascii="宋体" w:hAnsi="宋体" w:cs="宋体"/>
                <w:color w:val="auto"/>
                <w:sz w:val="18"/>
                <w:szCs w:val="18"/>
                <w:highlight w:val="none"/>
              </w:rPr>
            </w:pPr>
          </w:p>
        </w:tc>
        <w:tc>
          <w:tcPr>
            <w:tcW w:w="709" w:type="dxa"/>
            <w:tcBorders>
              <w:tl2br w:val="nil"/>
              <w:tr2bl w:val="nil"/>
            </w:tcBorders>
            <w:shd w:val="clear" w:color="auto" w:fill="auto"/>
            <w:vAlign w:val="center"/>
          </w:tcPr>
          <w:p w14:paraId="12CF96DA">
            <w:pPr>
              <w:adjustRightInd w:val="0"/>
              <w:snapToGrid w:val="0"/>
              <w:spacing w:before="100" w:beforeAutospacing="1"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套</w:t>
            </w:r>
          </w:p>
        </w:tc>
        <w:tc>
          <w:tcPr>
            <w:tcW w:w="709" w:type="dxa"/>
            <w:tcBorders>
              <w:tl2br w:val="nil"/>
              <w:tr2bl w:val="nil"/>
            </w:tcBorders>
            <w:shd w:val="clear" w:color="auto" w:fill="auto"/>
            <w:vAlign w:val="center"/>
          </w:tcPr>
          <w:p w14:paraId="1142A6AB">
            <w:pPr>
              <w:pStyle w:val="25"/>
              <w:snapToGrid w:val="0"/>
              <w:spacing w:before="100" w:beforeAutospacing="1" w:line="240" w:lineRule="auto"/>
              <w:textAlignment w:val="auto"/>
              <w:rPr>
                <w:rFonts w:hint="eastAsia" w:hAnsi="宋体" w:eastAsia="宋体" w:cs="宋体"/>
                <w:color w:val="auto"/>
                <w:kern w:val="2"/>
                <w:sz w:val="18"/>
                <w:szCs w:val="18"/>
                <w:highlight w:val="none"/>
                <w:lang w:eastAsia="zh-CN"/>
              </w:rPr>
            </w:pPr>
            <w:r>
              <w:rPr>
                <w:rFonts w:hint="eastAsia" w:hAnsi="宋体" w:cs="宋体"/>
                <w:color w:val="auto"/>
                <w:kern w:val="2"/>
                <w:sz w:val="18"/>
                <w:szCs w:val="18"/>
                <w:highlight w:val="none"/>
                <w:lang w:val="en-US" w:eastAsia="zh-CN"/>
              </w:rPr>
              <w:t>1</w:t>
            </w:r>
          </w:p>
        </w:tc>
        <w:tc>
          <w:tcPr>
            <w:tcW w:w="708" w:type="dxa"/>
            <w:tcBorders>
              <w:tl2br w:val="nil"/>
              <w:tr2bl w:val="nil"/>
            </w:tcBorders>
            <w:shd w:val="clear" w:color="auto" w:fill="auto"/>
            <w:vAlign w:val="center"/>
          </w:tcPr>
          <w:p w14:paraId="65FAA502">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3D16BC6B">
            <w:pPr>
              <w:widowControl/>
              <w:adjustRightInd w:val="0"/>
              <w:snapToGrid w:val="0"/>
              <w:spacing w:before="100" w:beforeAutospacing="1"/>
              <w:jc w:val="center"/>
              <w:rPr>
                <w:rFonts w:ascii="宋体" w:hAnsi="宋体" w:cs="宋体"/>
                <w:color w:val="auto"/>
                <w:kern w:val="0"/>
                <w:sz w:val="18"/>
                <w:szCs w:val="18"/>
                <w:highlight w:val="none"/>
              </w:rPr>
            </w:pPr>
          </w:p>
        </w:tc>
        <w:tc>
          <w:tcPr>
            <w:tcW w:w="761" w:type="dxa"/>
            <w:tcBorders>
              <w:tl2br w:val="nil"/>
              <w:tr2bl w:val="nil"/>
            </w:tcBorders>
            <w:shd w:val="clear" w:color="auto" w:fill="auto"/>
            <w:vAlign w:val="center"/>
          </w:tcPr>
          <w:p w14:paraId="6B8402A7">
            <w:pPr>
              <w:widowControl/>
              <w:adjustRightInd w:val="0"/>
              <w:snapToGrid w:val="0"/>
              <w:spacing w:before="100" w:beforeAutospacing="1"/>
              <w:jc w:val="center"/>
              <w:rPr>
                <w:rFonts w:ascii="宋体" w:hAnsi="宋体" w:cs="宋体"/>
                <w:color w:val="auto"/>
                <w:kern w:val="0"/>
                <w:sz w:val="18"/>
                <w:szCs w:val="18"/>
                <w:highlight w:val="none"/>
              </w:rPr>
            </w:pPr>
          </w:p>
        </w:tc>
      </w:tr>
      <w:tr w14:paraId="7BE83C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675" w:type="dxa"/>
            <w:tcBorders>
              <w:tl2br w:val="nil"/>
              <w:tr2bl w:val="nil"/>
            </w:tcBorders>
            <w:shd w:val="clear" w:color="auto" w:fill="auto"/>
            <w:vAlign w:val="center"/>
          </w:tcPr>
          <w:p w14:paraId="233AC350">
            <w:pPr>
              <w:widowControl/>
              <w:adjustRightInd w:val="0"/>
              <w:snapToGrid w:val="0"/>
              <w:spacing w:before="100" w:beforeAutospacing="1"/>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3_3</w:t>
            </w:r>
          </w:p>
        </w:tc>
        <w:tc>
          <w:tcPr>
            <w:tcW w:w="2835" w:type="dxa"/>
            <w:tcBorders>
              <w:tl2br w:val="nil"/>
              <w:tr2bl w:val="nil"/>
            </w:tcBorders>
            <w:shd w:val="clear" w:color="auto" w:fill="auto"/>
            <w:vAlign w:val="center"/>
          </w:tcPr>
          <w:p w14:paraId="6FEC818D">
            <w:pPr>
              <w:adjustRightInd w:val="0"/>
              <w:snapToGrid w:val="0"/>
              <w:spacing w:before="100" w:beforeAutospacing="1"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调试专用通信连接线</w:t>
            </w:r>
          </w:p>
        </w:tc>
        <w:tc>
          <w:tcPr>
            <w:tcW w:w="1276" w:type="dxa"/>
            <w:tcBorders>
              <w:tl2br w:val="nil"/>
              <w:tr2bl w:val="nil"/>
            </w:tcBorders>
            <w:shd w:val="clear" w:color="auto" w:fill="auto"/>
            <w:vAlign w:val="center"/>
          </w:tcPr>
          <w:p w14:paraId="4E1E05EE">
            <w:pPr>
              <w:adjustRightInd w:val="0"/>
              <w:snapToGrid w:val="0"/>
              <w:spacing w:before="100" w:beforeAutospacing="1" w:line="240" w:lineRule="auto"/>
              <w:jc w:val="center"/>
              <w:rPr>
                <w:rFonts w:hint="eastAsia" w:ascii="宋体" w:hAnsi="宋体" w:cs="宋体"/>
                <w:color w:val="auto"/>
                <w:sz w:val="18"/>
                <w:szCs w:val="18"/>
                <w:highlight w:val="none"/>
              </w:rPr>
            </w:pPr>
          </w:p>
        </w:tc>
        <w:tc>
          <w:tcPr>
            <w:tcW w:w="709" w:type="dxa"/>
            <w:tcBorders>
              <w:tl2br w:val="nil"/>
              <w:tr2bl w:val="nil"/>
            </w:tcBorders>
            <w:shd w:val="clear" w:color="auto" w:fill="auto"/>
            <w:vAlign w:val="center"/>
          </w:tcPr>
          <w:p w14:paraId="59AC62FA">
            <w:pPr>
              <w:adjustRightInd w:val="0"/>
              <w:snapToGrid w:val="0"/>
              <w:spacing w:before="100" w:beforeAutospacing="1"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套</w:t>
            </w:r>
          </w:p>
        </w:tc>
        <w:tc>
          <w:tcPr>
            <w:tcW w:w="709" w:type="dxa"/>
            <w:tcBorders>
              <w:tl2br w:val="nil"/>
              <w:tr2bl w:val="nil"/>
            </w:tcBorders>
            <w:shd w:val="clear" w:color="auto" w:fill="auto"/>
            <w:vAlign w:val="center"/>
          </w:tcPr>
          <w:p w14:paraId="3BDF4513">
            <w:pPr>
              <w:pStyle w:val="25"/>
              <w:snapToGrid w:val="0"/>
              <w:spacing w:before="100" w:beforeAutospacing="1" w:line="240" w:lineRule="auto"/>
              <w:textAlignment w:val="auto"/>
              <w:rPr>
                <w:rFonts w:hint="eastAsia" w:hAnsi="宋体" w:cs="宋体"/>
                <w:color w:val="auto"/>
                <w:kern w:val="2"/>
                <w:sz w:val="18"/>
                <w:szCs w:val="18"/>
                <w:highlight w:val="none"/>
              </w:rPr>
            </w:pPr>
            <w:r>
              <w:rPr>
                <w:rFonts w:hint="eastAsia" w:hAnsi="宋体" w:cs="宋体"/>
                <w:color w:val="auto"/>
                <w:kern w:val="2"/>
                <w:sz w:val="18"/>
                <w:szCs w:val="18"/>
                <w:highlight w:val="none"/>
                <w:lang w:val="en-US" w:eastAsia="zh-CN"/>
              </w:rPr>
              <w:t>1</w:t>
            </w:r>
          </w:p>
        </w:tc>
        <w:tc>
          <w:tcPr>
            <w:tcW w:w="708" w:type="dxa"/>
            <w:tcBorders>
              <w:tl2br w:val="nil"/>
              <w:tr2bl w:val="nil"/>
            </w:tcBorders>
            <w:shd w:val="clear" w:color="auto" w:fill="auto"/>
            <w:vAlign w:val="center"/>
          </w:tcPr>
          <w:p w14:paraId="046BAE71">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207F7CCF">
            <w:pPr>
              <w:widowControl/>
              <w:adjustRightInd w:val="0"/>
              <w:snapToGrid w:val="0"/>
              <w:spacing w:before="100" w:beforeAutospacing="1"/>
              <w:jc w:val="center"/>
              <w:rPr>
                <w:rFonts w:ascii="宋体" w:hAnsi="宋体" w:cs="宋体"/>
                <w:color w:val="auto"/>
                <w:kern w:val="0"/>
                <w:sz w:val="18"/>
                <w:szCs w:val="18"/>
                <w:highlight w:val="none"/>
              </w:rPr>
            </w:pPr>
          </w:p>
        </w:tc>
        <w:tc>
          <w:tcPr>
            <w:tcW w:w="761" w:type="dxa"/>
            <w:tcBorders>
              <w:tl2br w:val="nil"/>
              <w:tr2bl w:val="nil"/>
            </w:tcBorders>
            <w:shd w:val="clear" w:color="auto" w:fill="auto"/>
            <w:vAlign w:val="center"/>
          </w:tcPr>
          <w:p w14:paraId="5DF7393F">
            <w:pPr>
              <w:widowControl/>
              <w:adjustRightInd w:val="0"/>
              <w:snapToGrid w:val="0"/>
              <w:spacing w:before="100" w:beforeAutospacing="1"/>
              <w:jc w:val="center"/>
              <w:rPr>
                <w:rFonts w:ascii="宋体" w:hAnsi="宋体" w:cs="宋体"/>
                <w:color w:val="auto"/>
                <w:kern w:val="0"/>
                <w:sz w:val="18"/>
                <w:szCs w:val="18"/>
                <w:highlight w:val="none"/>
              </w:rPr>
            </w:pPr>
          </w:p>
        </w:tc>
      </w:tr>
      <w:tr w14:paraId="0F662E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675" w:type="dxa"/>
            <w:tcBorders>
              <w:tl2br w:val="nil"/>
              <w:tr2bl w:val="nil"/>
            </w:tcBorders>
            <w:shd w:val="clear" w:color="auto" w:fill="auto"/>
            <w:vAlign w:val="center"/>
          </w:tcPr>
          <w:p w14:paraId="0E9A89D9">
            <w:pPr>
              <w:widowControl w:val="0"/>
              <w:adjustRightInd w:val="0"/>
              <w:snapToGrid w:val="0"/>
              <w:spacing w:before="100" w:beforeAutospacing="1"/>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3_4</w:t>
            </w:r>
          </w:p>
        </w:tc>
        <w:tc>
          <w:tcPr>
            <w:tcW w:w="2835" w:type="dxa"/>
            <w:tcBorders>
              <w:tl2br w:val="nil"/>
              <w:tr2bl w:val="nil"/>
            </w:tcBorders>
            <w:shd w:val="clear" w:color="auto" w:fill="auto"/>
            <w:vAlign w:val="center"/>
          </w:tcPr>
          <w:p w14:paraId="5545BAA2">
            <w:pPr>
              <w:adjustRightInd w:val="0"/>
              <w:snapToGrid w:val="0"/>
              <w:spacing w:before="100" w:beforeAutospacing="1"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配套专用工具</w:t>
            </w:r>
          </w:p>
        </w:tc>
        <w:tc>
          <w:tcPr>
            <w:tcW w:w="1276" w:type="dxa"/>
            <w:tcBorders>
              <w:tl2br w:val="nil"/>
              <w:tr2bl w:val="nil"/>
            </w:tcBorders>
            <w:shd w:val="clear" w:color="auto" w:fill="auto"/>
            <w:vAlign w:val="center"/>
          </w:tcPr>
          <w:p w14:paraId="0C308ACE">
            <w:pPr>
              <w:adjustRightInd w:val="0"/>
              <w:snapToGrid w:val="0"/>
              <w:spacing w:before="100" w:beforeAutospacing="1" w:line="240" w:lineRule="auto"/>
              <w:jc w:val="center"/>
              <w:rPr>
                <w:rFonts w:hint="eastAsia" w:ascii="宋体" w:hAnsi="宋体" w:cs="宋体"/>
                <w:color w:val="auto"/>
                <w:sz w:val="18"/>
                <w:szCs w:val="18"/>
                <w:highlight w:val="none"/>
              </w:rPr>
            </w:pPr>
          </w:p>
        </w:tc>
        <w:tc>
          <w:tcPr>
            <w:tcW w:w="709" w:type="dxa"/>
            <w:tcBorders>
              <w:tl2br w:val="nil"/>
              <w:tr2bl w:val="nil"/>
            </w:tcBorders>
            <w:shd w:val="clear" w:color="auto" w:fill="auto"/>
            <w:vAlign w:val="center"/>
          </w:tcPr>
          <w:p w14:paraId="1A6E6031">
            <w:pPr>
              <w:adjustRightInd w:val="0"/>
              <w:snapToGrid w:val="0"/>
              <w:spacing w:before="100" w:beforeAutospacing="1"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套</w:t>
            </w:r>
          </w:p>
        </w:tc>
        <w:tc>
          <w:tcPr>
            <w:tcW w:w="709" w:type="dxa"/>
            <w:tcBorders>
              <w:tl2br w:val="nil"/>
              <w:tr2bl w:val="nil"/>
            </w:tcBorders>
            <w:shd w:val="clear" w:color="auto" w:fill="auto"/>
            <w:vAlign w:val="center"/>
          </w:tcPr>
          <w:p w14:paraId="784BD44A">
            <w:pPr>
              <w:adjustRightInd w:val="0"/>
              <w:snapToGrid w:val="0"/>
              <w:spacing w:before="100" w:beforeAutospacing="1"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lang w:val="en-US" w:eastAsia="zh-CN"/>
              </w:rPr>
              <w:t>1</w:t>
            </w:r>
          </w:p>
        </w:tc>
        <w:tc>
          <w:tcPr>
            <w:tcW w:w="708" w:type="dxa"/>
            <w:tcBorders>
              <w:tl2br w:val="nil"/>
              <w:tr2bl w:val="nil"/>
            </w:tcBorders>
            <w:shd w:val="clear" w:color="auto" w:fill="auto"/>
            <w:vAlign w:val="center"/>
          </w:tcPr>
          <w:p w14:paraId="63D493DE">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7CA2EA16">
            <w:pPr>
              <w:widowControl/>
              <w:adjustRightInd w:val="0"/>
              <w:snapToGrid w:val="0"/>
              <w:spacing w:before="100" w:beforeAutospacing="1"/>
              <w:jc w:val="center"/>
              <w:rPr>
                <w:rFonts w:ascii="宋体" w:hAnsi="宋体" w:cs="宋体"/>
                <w:color w:val="auto"/>
                <w:kern w:val="0"/>
                <w:sz w:val="18"/>
                <w:szCs w:val="18"/>
                <w:highlight w:val="none"/>
              </w:rPr>
            </w:pPr>
          </w:p>
        </w:tc>
        <w:tc>
          <w:tcPr>
            <w:tcW w:w="761" w:type="dxa"/>
            <w:tcBorders>
              <w:tl2br w:val="nil"/>
              <w:tr2bl w:val="nil"/>
            </w:tcBorders>
            <w:shd w:val="clear" w:color="auto" w:fill="auto"/>
            <w:vAlign w:val="center"/>
          </w:tcPr>
          <w:p w14:paraId="1CCA5CB8">
            <w:pPr>
              <w:widowControl w:val="0"/>
              <w:adjustRightInd w:val="0"/>
              <w:snapToGrid w:val="0"/>
              <w:spacing w:before="0" w:beforeAutospacing="0"/>
              <w:ind w:right="0"/>
              <w:jc w:val="center"/>
              <w:rPr>
                <w:rFonts w:hint="eastAsia" w:ascii="宋体" w:hAnsi="宋体" w:cs="宋体"/>
                <w:color w:val="auto"/>
                <w:kern w:val="2"/>
                <w:sz w:val="18"/>
                <w:szCs w:val="18"/>
                <w:highlight w:val="none"/>
              </w:rPr>
            </w:pPr>
          </w:p>
        </w:tc>
      </w:tr>
      <w:tr w14:paraId="1589ED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675" w:type="dxa"/>
            <w:tcBorders>
              <w:tl2br w:val="nil"/>
              <w:tr2bl w:val="nil"/>
            </w:tcBorders>
            <w:shd w:val="clear" w:color="auto" w:fill="auto"/>
            <w:vAlign w:val="center"/>
          </w:tcPr>
          <w:p w14:paraId="0D839B4D">
            <w:pPr>
              <w:adjustRightInd w:val="0"/>
              <w:snapToGrid w:val="0"/>
              <w:spacing w:before="100" w:beforeAutospacing="1"/>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3_5</w:t>
            </w:r>
          </w:p>
        </w:tc>
        <w:tc>
          <w:tcPr>
            <w:tcW w:w="2835" w:type="dxa"/>
            <w:tcBorders>
              <w:tl2br w:val="nil"/>
              <w:tr2bl w:val="nil"/>
            </w:tcBorders>
            <w:shd w:val="clear" w:color="auto" w:fill="auto"/>
            <w:vAlign w:val="center"/>
          </w:tcPr>
          <w:p w14:paraId="3478A0F1">
            <w:pPr>
              <w:adjustRightInd w:val="0"/>
              <w:snapToGrid w:val="0"/>
              <w:spacing w:before="100" w:beforeAutospacing="1" w:line="240" w:lineRule="auto"/>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其它</w:t>
            </w:r>
          </w:p>
        </w:tc>
        <w:tc>
          <w:tcPr>
            <w:tcW w:w="1276" w:type="dxa"/>
            <w:tcBorders>
              <w:tl2br w:val="nil"/>
              <w:tr2bl w:val="nil"/>
            </w:tcBorders>
            <w:shd w:val="clear" w:color="auto" w:fill="auto"/>
            <w:vAlign w:val="center"/>
          </w:tcPr>
          <w:p w14:paraId="58F9F530">
            <w:pPr>
              <w:adjustRightInd w:val="0"/>
              <w:snapToGrid w:val="0"/>
              <w:spacing w:before="100" w:beforeAutospacing="1" w:line="240" w:lineRule="auto"/>
              <w:jc w:val="center"/>
              <w:rPr>
                <w:rFonts w:hint="eastAsia" w:ascii="宋体" w:hAnsi="宋体" w:cs="宋体"/>
                <w:color w:val="auto"/>
                <w:sz w:val="18"/>
                <w:szCs w:val="18"/>
                <w:highlight w:val="none"/>
              </w:rPr>
            </w:pPr>
          </w:p>
        </w:tc>
        <w:tc>
          <w:tcPr>
            <w:tcW w:w="709" w:type="dxa"/>
            <w:tcBorders>
              <w:tl2br w:val="nil"/>
              <w:tr2bl w:val="nil"/>
            </w:tcBorders>
            <w:shd w:val="clear" w:color="auto" w:fill="auto"/>
            <w:vAlign w:val="center"/>
          </w:tcPr>
          <w:p w14:paraId="2C007BDA">
            <w:pPr>
              <w:adjustRightInd w:val="0"/>
              <w:snapToGrid w:val="0"/>
              <w:spacing w:before="100" w:beforeAutospacing="1" w:line="240" w:lineRule="auto"/>
              <w:jc w:val="center"/>
              <w:rPr>
                <w:rFonts w:hint="eastAsia" w:ascii="宋体" w:hAnsi="宋体" w:cs="宋体"/>
                <w:color w:val="auto"/>
                <w:sz w:val="18"/>
                <w:szCs w:val="18"/>
                <w:highlight w:val="none"/>
              </w:rPr>
            </w:pPr>
          </w:p>
        </w:tc>
        <w:tc>
          <w:tcPr>
            <w:tcW w:w="709" w:type="dxa"/>
            <w:tcBorders>
              <w:tl2br w:val="nil"/>
              <w:tr2bl w:val="nil"/>
            </w:tcBorders>
            <w:shd w:val="clear" w:color="auto" w:fill="auto"/>
            <w:vAlign w:val="center"/>
          </w:tcPr>
          <w:p w14:paraId="0935B25C">
            <w:pPr>
              <w:adjustRightInd w:val="0"/>
              <w:snapToGrid w:val="0"/>
              <w:spacing w:before="100" w:beforeAutospacing="1" w:line="240" w:lineRule="auto"/>
              <w:jc w:val="center"/>
              <w:rPr>
                <w:rFonts w:hint="eastAsia" w:ascii="宋体" w:hAnsi="宋体" w:cs="宋体"/>
                <w:color w:val="auto"/>
                <w:sz w:val="18"/>
                <w:szCs w:val="18"/>
                <w:highlight w:val="none"/>
              </w:rPr>
            </w:pPr>
          </w:p>
        </w:tc>
        <w:tc>
          <w:tcPr>
            <w:tcW w:w="708" w:type="dxa"/>
            <w:tcBorders>
              <w:tl2br w:val="nil"/>
              <w:tr2bl w:val="nil"/>
            </w:tcBorders>
            <w:shd w:val="clear" w:color="auto" w:fill="auto"/>
            <w:vAlign w:val="center"/>
          </w:tcPr>
          <w:p w14:paraId="0DDE44A4">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0B0597F2">
            <w:pPr>
              <w:widowControl/>
              <w:adjustRightInd w:val="0"/>
              <w:snapToGrid w:val="0"/>
              <w:spacing w:before="100" w:beforeAutospacing="1"/>
              <w:jc w:val="center"/>
              <w:rPr>
                <w:rFonts w:ascii="宋体" w:hAnsi="宋体" w:cs="宋体"/>
                <w:color w:val="auto"/>
                <w:kern w:val="0"/>
                <w:sz w:val="18"/>
                <w:szCs w:val="18"/>
                <w:highlight w:val="none"/>
              </w:rPr>
            </w:pPr>
          </w:p>
        </w:tc>
        <w:tc>
          <w:tcPr>
            <w:tcW w:w="761" w:type="dxa"/>
            <w:tcBorders>
              <w:tl2br w:val="nil"/>
              <w:tr2bl w:val="nil"/>
            </w:tcBorders>
            <w:shd w:val="clear" w:color="auto" w:fill="auto"/>
            <w:vAlign w:val="center"/>
          </w:tcPr>
          <w:p w14:paraId="4BB5AF54">
            <w:pPr>
              <w:widowControl w:val="0"/>
              <w:adjustRightInd w:val="0"/>
              <w:snapToGrid w:val="0"/>
              <w:spacing w:before="0" w:beforeAutospacing="0"/>
              <w:ind w:right="0"/>
              <w:jc w:val="center"/>
              <w:rPr>
                <w:rFonts w:hint="eastAsia" w:ascii="宋体" w:hAnsi="宋体" w:cs="宋体"/>
                <w:color w:val="auto"/>
                <w:kern w:val="2"/>
                <w:sz w:val="18"/>
                <w:szCs w:val="18"/>
                <w:highlight w:val="none"/>
              </w:rPr>
            </w:pPr>
            <w:r>
              <w:rPr>
                <w:rFonts w:hint="eastAsia" w:ascii="宋体" w:hAnsi="宋体" w:eastAsia="宋体" w:cs="宋体"/>
                <w:color w:val="auto"/>
                <w:sz w:val="18"/>
                <w:szCs w:val="18"/>
                <w:highlight w:val="none"/>
              </w:rPr>
              <w:t>投标人细化</w:t>
            </w:r>
          </w:p>
        </w:tc>
      </w:tr>
      <w:tr w14:paraId="61292A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675" w:type="dxa"/>
            <w:tcBorders>
              <w:tl2br w:val="nil"/>
              <w:tr2bl w:val="nil"/>
            </w:tcBorders>
            <w:shd w:val="clear" w:color="auto" w:fill="auto"/>
            <w:vAlign w:val="center"/>
          </w:tcPr>
          <w:p w14:paraId="365BC0C2">
            <w:pPr>
              <w:widowControl/>
              <w:adjustRightInd w:val="0"/>
              <w:snapToGrid w:val="0"/>
              <w:spacing w:before="100" w:beforeAutospacing="1"/>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2835" w:type="dxa"/>
            <w:tcBorders>
              <w:tl2br w:val="nil"/>
              <w:tr2bl w:val="nil"/>
            </w:tcBorders>
            <w:shd w:val="clear" w:color="auto" w:fill="auto"/>
            <w:vAlign w:val="center"/>
          </w:tcPr>
          <w:p w14:paraId="5CAA2D4F">
            <w:pPr>
              <w:widowControl/>
              <w:adjustRightInd w:val="0"/>
              <w:snapToGrid w:val="0"/>
              <w:spacing w:before="100" w:beforeAutospacing="1"/>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三年随机备品备件（不计入总价）</w:t>
            </w:r>
          </w:p>
        </w:tc>
        <w:tc>
          <w:tcPr>
            <w:tcW w:w="1276" w:type="dxa"/>
            <w:tcBorders>
              <w:tl2br w:val="nil"/>
              <w:tr2bl w:val="nil"/>
            </w:tcBorders>
            <w:shd w:val="clear" w:color="auto" w:fill="auto"/>
            <w:vAlign w:val="center"/>
          </w:tcPr>
          <w:p w14:paraId="3EBCB7D5">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7547CE11">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3C5C55A6">
            <w:pPr>
              <w:widowControl/>
              <w:adjustRightInd w:val="0"/>
              <w:snapToGrid w:val="0"/>
              <w:spacing w:before="100" w:beforeAutospacing="1"/>
              <w:jc w:val="center"/>
              <w:rPr>
                <w:rFonts w:ascii="宋体" w:hAnsi="宋体" w:cs="宋体"/>
                <w:color w:val="auto"/>
                <w:kern w:val="0"/>
                <w:sz w:val="18"/>
                <w:szCs w:val="18"/>
                <w:highlight w:val="none"/>
              </w:rPr>
            </w:pPr>
          </w:p>
        </w:tc>
        <w:tc>
          <w:tcPr>
            <w:tcW w:w="708" w:type="dxa"/>
            <w:tcBorders>
              <w:tl2br w:val="nil"/>
              <w:tr2bl w:val="nil"/>
            </w:tcBorders>
            <w:shd w:val="clear" w:color="auto" w:fill="auto"/>
            <w:vAlign w:val="center"/>
          </w:tcPr>
          <w:p w14:paraId="54A0805B">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66028411">
            <w:pPr>
              <w:widowControl/>
              <w:adjustRightInd w:val="0"/>
              <w:snapToGrid w:val="0"/>
              <w:spacing w:before="100" w:beforeAutospacing="1"/>
              <w:jc w:val="center"/>
              <w:rPr>
                <w:rFonts w:ascii="宋体" w:hAnsi="宋体" w:cs="宋体"/>
                <w:color w:val="auto"/>
                <w:kern w:val="0"/>
                <w:sz w:val="18"/>
                <w:szCs w:val="18"/>
                <w:highlight w:val="none"/>
              </w:rPr>
            </w:pPr>
          </w:p>
        </w:tc>
        <w:tc>
          <w:tcPr>
            <w:tcW w:w="761" w:type="dxa"/>
            <w:tcBorders>
              <w:tl2br w:val="nil"/>
              <w:tr2bl w:val="nil"/>
            </w:tcBorders>
            <w:shd w:val="clear" w:color="auto" w:fill="auto"/>
            <w:vAlign w:val="center"/>
          </w:tcPr>
          <w:p w14:paraId="6B4E8157">
            <w:pPr>
              <w:widowControl/>
              <w:adjustRightInd w:val="0"/>
              <w:snapToGrid w:val="0"/>
              <w:spacing w:before="100" w:beforeAutospacing="1"/>
              <w:jc w:val="center"/>
              <w:rPr>
                <w:rFonts w:ascii="宋体" w:hAnsi="宋体" w:cs="宋体"/>
                <w:color w:val="auto"/>
                <w:kern w:val="0"/>
                <w:sz w:val="18"/>
                <w:szCs w:val="18"/>
                <w:highlight w:val="none"/>
              </w:rPr>
            </w:pPr>
          </w:p>
        </w:tc>
      </w:tr>
      <w:tr w14:paraId="2B16D0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675" w:type="dxa"/>
            <w:tcBorders>
              <w:tl2br w:val="nil"/>
              <w:tr2bl w:val="nil"/>
            </w:tcBorders>
            <w:shd w:val="clear" w:color="auto" w:fill="auto"/>
            <w:vAlign w:val="center"/>
          </w:tcPr>
          <w:p w14:paraId="4836DE13">
            <w:pPr>
              <w:widowControl/>
              <w:adjustRightInd w:val="0"/>
              <w:snapToGrid w:val="0"/>
              <w:spacing w:before="100" w:beforeAutospacing="1"/>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4_1</w:t>
            </w:r>
          </w:p>
        </w:tc>
        <w:tc>
          <w:tcPr>
            <w:tcW w:w="2835" w:type="dxa"/>
            <w:tcBorders>
              <w:tl2br w:val="nil"/>
              <w:tr2bl w:val="nil"/>
            </w:tcBorders>
            <w:shd w:val="clear" w:color="auto" w:fill="auto"/>
            <w:vAlign w:val="center"/>
          </w:tcPr>
          <w:p w14:paraId="496444BA">
            <w:pPr>
              <w:widowControl/>
              <w:adjustRightInd w:val="0"/>
              <w:snapToGrid w:val="0"/>
              <w:spacing w:before="100" w:beforeAutospacing="1"/>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w:t>
            </w:r>
          </w:p>
        </w:tc>
        <w:tc>
          <w:tcPr>
            <w:tcW w:w="1276" w:type="dxa"/>
            <w:tcBorders>
              <w:tl2br w:val="nil"/>
              <w:tr2bl w:val="nil"/>
            </w:tcBorders>
            <w:shd w:val="clear" w:color="auto" w:fill="auto"/>
            <w:vAlign w:val="center"/>
          </w:tcPr>
          <w:p w14:paraId="40B09055">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25BE1FF0">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15976431">
            <w:pPr>
              <w:widowControl/>
              <w:adjustRightInd w:val="0"/>
              <w:snapToGrid w:val="0"/>
              <w:spacing w:before="100" w:beforeAutospacing="1"/>
              <w:jc w:val="center"/>
              <w:rPr>
                <w:rFonts w:ascii="宋体" w:hAnsi="宋体" w:cs="宋体"/>
                <w:color w:val="auto"/>
                <w:kern w:val="0"/>
                <w:sz w:val="18"/>
                <w:szCs w:val="18"/>
                <w:highlight w:val="none"/>
              </w:rPr>
            </w:pPr>
          </w:p>
        </w:tc>
        <w:tc>
          <w:tcPr>
            <w:tcW w:w="708" w:type="dxa"/>
            <w:tcBorders>
              <w:tl2br w:val="nil"/>
              <w:tr2bl w:val="nil"/>
            </w:tcBorders>
            <w:shd w:val="clear" w:color="auto" w:fill="auto"/>
            <w:vAlign w:val="center"/>
          </w:tcPr>
          <w:p w14:paraId="6F7486A6">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6F34410C">
            <w:pPr>
              <w:widowControl/>
              <w:adjustRightInd w:val="0"/>
              <w:snapToGrid w:val="0"/>
              <w:spacing w:before="100" w:beforeAutospacing="1"/>
              <w:jc w:val="center"/>
              <w:rPr>
                <w:rFonts w:ascii="宋体" w:hAnsi="宋体" w:cs="宋体"/>
                <w:color w:val="auto"/>
                <w:kern w:val="0"/>
                <w:sz w:val="18"/>
                <w:szCs w:val="18"/>
                <w:highlight w:val="none"/>
              </w:rPr>
            </w:pPr>
          </w:p>
        </w:tc>
        <w:tc>
          <w:tcPr>
            <w:tcW w:w="761" w:type="dxa"/>
            <w:tcBorders>
              <w:tl2br w:val="nil"/>
              <w:tr2bl w:val="nil"/>
            </w:tcBorders>
            <w:shd w:val="clear" w:color="auto" w:fill="auto"/>
            <w:vAlign w:val="center"/>
          </w:tcPr>
          <w:p w14:paraId="32CC9D90">
            <w:pPr>
              <w:widowControl/>
              <w:adjustRightInd w:val="0"/>
              <w:snapToGrid w:val="0"/>
              <w:spacing w:before="100" w:beforeAutospacing="1"/>
              <w:jc w:val="center"/>
              <w:rPr>
                <w:rFonts w:ascii="宋体" w:hAnsi="宋体" w:cs="宋体"/>
                <w:color w:val="auto"/>
                <w:kern w:val="0"/>
                <w:sz w:val="18"/>
                <w:szCs w:val="18"/>
                <w:highlight w:val="none"/>
              </w:rPr>
            </w:pPr>
          </w:p>
        </w:tc>
      </w:tr>
      <w:tr w14:paraId="12D6D8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675" w:type="dxa"/>
            <w:tcBorders>
              <w:tl2br w:val="nil"/>
              <w:tr2bl w:val="nil"/>
            </w:tcBorders>
            <w:shd w:val="clear" w:color="auto" w:fill="auto"/>
            <w:vAlign w:val="center"/>
          </w:tcPr>
          <w:p w14:paraId="54669282">
            <w:pPr>
              <w:widowControl/>
              <w:adjustRightInd w:val="0"/>
              <w:snapToGrid w:val="0"/>
              <w:spacing w:before="100" w:beforeAutospacing="1"/>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2835" w:type="dxa"/>
            <w:tcBorders>
              <w:tl2br w:val="nil"/>
              <w:tr2bl w:val="nil"/>
            </w:tcBorders>
            <w:shd w:val="clear" w:color="auto" w:fill="auto"/>
            <w:vAlign w:val="center"/>
          </w:tcPr>
          <w:p w14:paraId="2A87145B">
            <w:pPr>
              <w:widowControl/>
              <w:adjustRightInd w:val="0"/>
              <w:snapToGrid w:val="0"/>
              <w:spacing w:before="100" w:beforeAutospacing="1"/>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技术服务费</w:t>
            </w:r>
          </w:p>
        </w:tc>
        <w:tc>
          <w:tcPr>
            <w:tcW w:w="1276" w:type="dxa"/>
            <w:tcBorders>
              <w:tl2br w:val="nil"/>
              <w:tr2bl w:val="nil"/>
            </w:tcBorders>
            <w:shd w:val="clear" w:color="auto" w:fill="auto"/>
            <w:vAlign w:val="center"/>
          </w:tcPr>
          <w:p w14:paraId="79B1996D">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1117FFBD">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3015525A">
            <w:pPr>
              <w:widowControl/>
              <w:adjustRightInd w:val="0"/>
              <w:snapToGrid w:val="0"/>
              <w:spacing w:before="100" w:beforeAutospacing="1"/>
              <w:jc w:val="center"/>
              <w:rPr>
                <w:rFonts w:ascii="宋体" w:hAnsi="宋体" w:cs="宋体"/>
                <w:color w:val="auto"/>
                <w:kern w:val="0"/>
                <w:sz w:val="18"/>
                <w:szCs w:val="18"/>
                <w:highlight w:val="none"/>
              </w:rPr>
            </w:pPr>
          </w:p>
        </w:tc>
        <w:tc>
          <w:tcPr>
            <w:tcW w:w="708" w:type="dxa"/>
            <w:tcBorders>
              <w:tl2br w:val="nil"/>
              <w:tr2bl w:val="nil"/>
            </w:tcBorders>
            <w:shd w:val="clear" w:color="auto" w:fill="auto"/>
            <w:vAlign w:val="center"/>
          </w:tcPr>
          <w:p w14:paraId="4D8B40F0">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531B86C8">
            <w:pPr>
              <w:widowControl/>
              <w:adjustRightInd w:val="0"/>
              <w:snapToGrid w:val="0"/>
              <w:spacing w:before="100" w:beforeAutospacing="1"/>
              <w:jc w:val="center"/>
              <w:rPr>
                <w:rFonts w:ascii="宋体" w:hAnsi="宋体" w:cs="宋体"/>
                <w:color w:val="auto"/>
                <w:kern w:val="0"/>
                <w:sz w:val="18"/>
                <w:szCs w:val="18"/>
                <w:highlight w:val="none"/>
              </w:rPr>
            </w:pPr>
          </w:p>
        </w:tc>
        <w:tc>
          <w:tcPr>
            <w:tcW w:w="761" w:type="dxa"/>
            <w:tcBorders>
              <w:tl2br w:val="nil"/>
              <w:tr2bl w:val="nil"/>
            </w:tcBorders>
            <w:shd w:val="clear" w:color="auto" w:fill="auto"/>
            <w:vAlign w:val="center"/>
          </w:tcPr>
          <w:p w14:paraId="52BD4EAE">
            <w:pPr>
              <w:widowControl/>
              <w:adjustRightInd w:val="0"/>
              <w:snapToGrid w:val="0"/>
              <w:spacing w:before="100" w:beforeAutospacing="1"/>
              <w:jc w:val="center"/>
              <w:rPr>
                <w:rFonts w:ascii="宋体" w:hAnsi="宋体" w:cs="宋体"/>
                <w:color w:val="auto"/>
                <w:kern w:val="0"/>
                <w:sz w:val="18"/>
                <w:szCs w:val="18"/>
                <w:highlight w:val="none"/>
              </w:rPr>
            </w:pPr>
          </w:p>
        </w:tc>
      </w:tr>
      <w:tr w14:paraId="7329E3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trPr>
        <w:tc>
          <w:tcPr>
            <w:tcW w:w="675" w:type="dxa"/>
            <w:tcBorders>
              <w:tl2br w:val="nil"/>
              <w:tr2bl w:val="nil"/>
            </w:tcBorders>
            <w:shd w:val="clear" w:color="auto" w:fill="auto"/>
            <w:vAlign w:val="center"/>
          </w:tcPr>
          <w:p w14:paraId="26AB32A7">
            <w:pPr>
              <w:widowControl/>
              <w:adjustRightInd w:val="0"/>
              <w:snapToGrid w:val="0"/>
              <w:spacing w:before="100" w:beforeAutospacing="1"/>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2835" w:type="dxa"/>
            <w:tcBorders>
              <w:tl2br w:val="nil"/>
              <w:tr2bl w:val="nil"/>
            </w:tcBorders>
            <w:shd w:val="clear" w:color="auto" w:fill="auto"/>
            <w:vAlign w:val="center"/>
          </w:tcPr>
          <w:p w14:paraId="64D66123">
            <w:pPr>
              <w:widowControl/>
              <w:adjustRightInd w:val="0"/>
              <w:snapToGrid w:val="0"/>
              <w:spacing w:before="100" w:beforeAutospacing="1"/>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运保费</w:t>
            </w:r>
          </w:p>
        </w:tc>
        <w:tc>
          <w:tcPr>
            <w:tcW w:w="1276" w:type="dxa"/>
            <w:tcBorders>
              <w:tl2br w:val="nil"/>
              <w:tr2bl w:val="nil"/>
            </w:tcBorders>
            <w:shd w:val="clear" w:color="auto" w:fill="auto"/>
            <w:vAlign w:val="center"/>
          </w:tcPr>
          <w:p w14:paraId="78FC9188">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1FCA9E88">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2D509B01">
            <w:pPr>
              <w:widowControl/>
              <w:adjustRightInd w:val="0"/>
              <w:snapToGrid w:val="0"/>
              <w:spacing w:before="100" w:beforeAutospacing="1"/>
              <w:jc w:val="center"/>
              <w:rPr>
                <w:rFonts w:ascii="宋体" w:hAnsi="宋体" w:cs="宋体"/>
                <w:color w:val="auto"/>
                <w:kern w:val="0"/>
                <w:sz w:val="18"/>
                <w:szCs w:val="18"/>
                <w:highlight w:val="none"/>
              </w:rPr>
            </w:pPr>
          </w:p>
        </w:tc>
        <w:tc>
          <w:tcPr>
            <w:tcW w:w="708" w:type="dxa"/>
            <w:tcBorders>
              <w:tl2br w:val="nil"/>
              <w:tr2bl w:val="nil"/>
            </w:tcBorders>
            <w:shd w:val="clear" w:color="auto" w:fill="auto"/>
            <w:vAlign w:val="center"/>
          </w:tcPr>
          <w:p w14:paraId="69CDEA0D">
            <w:pPr>
              <w:widowControl/>
              <w:adjustRightInd w:val="0"/>
              <w:snapToGrid w:val="0"/>
              <w:spacing w:before="100" w:beforeAutospacing="1"/>
              <w:jc w:val="center"/>
              <w:rPr>
                <w:rFonts w:ascii="宋体" w:hAnsi="宋体" w:cs="宋体"/>
                <w:color w:val="auto"/>
                <w:kern w:val="0"/>
                <w:sz w:val="18"/>
                <w:szCs w:val="18"/>
                <w:highlight w:val="none"/>
              </w:rPr>
            </w:pPr>
          </w:p>
        </w:tc>
        <w:tc>
          <w:tcPr>
            <w:tcW w:w="709" w:type="dxa"/>
            <w:tcBorders>
              <w:tl2br w:val="nil"/>
              <w:tr2bl w:val="nil"/>
            </w:tcBorders>
            <w:shd w:val="clear" w:color="auto" w:fill="auto"/>
            <w:vAlign w:val="center"/>
          </w:tcPr>
          <w:p w14:paraId="45DC16D2">
            <w:pPr>
              <w:widowControl/>
              <w:adjustRightInd w:val="0"/>
              <w:snapToGrid w:val="0"/>
              <w:spacing w:before="100" w:beforeAutospacing="1"/>
              <w:jc w:val="center"/>
              <w:rPr>
                <w:rFonts w:ascii="宋体" w:hAnsi="宋体" w:cs="宋体"/>
                <w:color w:val="auto"/>
                <w:kern w:val="0"/>
                <w:sz w:val="18"/>
                <w:szCs w:val="18"/>
                <w:highlight w:val="none"/>
              </w:rPr>
            </w:pPr>
          </w:p>
        </w:tc>
        <w:tc>
          <w:tcPr>
            <w:tcW w:w="761" w:type="dxa"/>
            <w:tcBorders>
              <w:tl2br w:val="nil"/>
              <w:tr2bl w:val="nil"/>
            </w:tcBorders>
            <w:shd w:val="clear" w:color="auto" w:fill="auto"/>
            <w:vAlign w:val="center"/>
          </w:tcPr>
          <w:p w14:paraId="27D02D93">
            <w:pPr>
              <w:widowControl/>
              <w:adjustRightInd w:val="0"/>
              <w:snapToGrid w:val="0"/>
              <w:spacing w:before="100" w:beforeAutospacing="1"/>
              <w:jc w:val="center"/>
              <w:rPr>
                <w:rFonts w:ascii="宋体" w:hAnsi="宋体" w:cs="宋体"/>
                <w:color w:val="auto"/>
                <w:kern w:val="0"/>
                <w:sz w:val="18"/>
                <w:szCs w:val="18"/>
                <w:highlight w:val="none"/>
              </w:rPr>
            </w:pPr>
          </w:p>
        </w:tc>
      </w:tr>
    </w:tbl>
    <w:p w14:paraId="05342791">
      <w:pPr>
        <w:snapToGrid w:val="0"/>
        <w:spacing w:before="157" w:beforeLines="50" w:after="157" w:afterLines="50" w:line="360" w:lineRule="auto"/>
        <w:jc w:val="both"/>
        <w:outlineLvl w:val="0"/>
        <w:rPr>
          <w:rFonts w:hint="eastAsia" w:ascii="宋体" w:hAnsi="宋体" w:cs="宋体"/>
          <w:b/>
          <w:bCs/>
          <w:color w:val="auto"/>
          <w:sz w:val="30"/>
          <w:szCs w:val="30"/>
          <w:highlight w:val="none"/>
        </w:rPr>
      </w:pPr>
      <w:r>
        <w:rPr>
          <w:rFonts w:hint="eastAsia" w:ascii="宋体" w:hAnsi="宋体" w:eastAsia="宋体" w:cs="宋体"/>
          <w:b/>
          <w:bCs/>
          <w:color w:val="auto"/>
          <w:sz w:val="30"/>
          <w:szCs w:val="30"/>
          <w:highlight w:val="none"/>
        </w:rPr>
        <w:br w:type="page"/>
      </w:r>
      <w:r>
        <w:rPr>
          <w:rFonts w:hint="eastAsia" w:ascii="宋体" w:hAnsi="宋体" w:eastAsia="宋体" w:cs="宋体"/>
          <w:b/>
          <w:bCs/>
          <w:color w:val="auto"/>
          <w:sz w:val="30"/>
          <w:szCs w:val="30"/>
          <w:highlight w:val="none"/>
        </w:rPr>
        <w:t>附件3 技术资料及交付进度</w:t>
      </w:r>
    </w:p>
    <w:p w14:paraId="41E1AAE3">
      <w:pPr>
        <w:snapToGrid w:val="0"/>
        <w:spacing w:before="0" w:after="0" w:line="360" w:lineRule="auto"/>
        <w:outlineLvl w:val="0"/>
        <w:rPr>
          <w:rFonts w:hint="default" w:ascii="宋体" w:hAnsi="宋体" w:eastAsia="宋体" w:cs="宋体"/>
          <w:b/>
          <w:bCs/>
          <w:color w:val="auto"/>
          <w:sz w:val="30"/>
          <w:szCs w:val="30"/>
          <w:highlight w:val="none"/>
        </w:rPr>
      </w:pPr>
      <w:r>
        <w:rPr>
          <w:rFonts w:hint="eastAsia" w:ascii="宋体" w:hAnsi="宋体" w:eastAsia="宋体" w:cs="宋体"/>
          <w:b/>
          <w:bCs/>
          <w:color w:val="auto"/>
          <w:sz w:val="28"/>
          <w:szCs w:val="28"/>
          <w:highlight w:val="none"/>
        </w:rPr>
        <w:t>1 一般要求</w:t>
      </w:r>
    </w:p>
    <w:p w14:paraId="280DC5E4">
      <w:pPr>
        <w:spacing w:line="360" w:lineRule="auto"/>
        <w:rPr>
          <w:rFonts w:hint="eastAsia" w:ascii="宋体" w:hAnsi="宋体" w:cs="宋体"/>
          <w:color w:val="auto"/>
          <w:sz w:val="21"/>
          <w:szCs w:val="21"/>
          <w:highlight w:val="none"/>
        </w:rPr>
      </w:pPr>
      <w:bookmarkStart w:id="50" w:name="OLE_LINK2"/>
      <w:r>
        <w:rPr>
          <w:rFonts w:hint="eastAsia" w:ascii="宋体" w:hAnsi="宋体" w:cs="宋体"/>
          <w:color w:val="auto"/>
          <w:sz w:val="21"/>
          <w:szCs w:val="21"/>
          <w:highlight w:val="none"/>
        </w:rPr>
        <w:t>1.1 投标人提供的资料应使用国家法定单位制(语言为中文)，进口部件的外文图纸及文件应由投标人免费翻译成中文。图纸资料除提供书面文件外还应提供光盘形式电子文件。图纸应为CAD格式，文本文件应为Word/Excel格式。</w:t>
      </w:r>
    </w:p>
    <w:p w14:paraId="39E4A2B5">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1.2 资料的组织结构清晰、逻辑性强。资料内容正确、准确、一致、清晰完整，满足工程要求。</w:t>
      </w:r>
    </w:p>
    <w:p w14:paraId="38CF3C63">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1.3 投标人资料的提交应及时、充分，正确，满足工程进度要求。在合同签订后 5 天内给出配合工程设计的全部技术资料和交付进度清单，并经招标人确认。</w:t>
      </w:r>
    </w:p>
    <w:p w14:paraId="0E3DFD88">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1.4 投标人提供的技术资料分为投标阶段，配合设计阶段，设备监造检验、施工调试试运、性能试验验收和运行维护等四个方面。投标人须满足以上四个方面的具体要求。</w:t>
      </w:r>
    </w:p>
    <w:p w14:paraId="29C10BDE">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1.5 对于其它没有列入合同技术资料清单，却是工程所必需文件和资料，一经发现，投标人应及时免费提供。本期工程为多台设备构成，如后续设备有改进时，投标人也应及时免费提供新的技术资料。</w:t>
      </w:r>
    </w:p>
    <w:p w14:paraId="5BBB7173">
      <w:pPr>
        <w:spacing w:line="360" w:lineRule="auto"/>
        <w:outlineLvl w:val="1"/>
        <w:rPr>
          <w:rFonts w:hint="eastAsia" w:ascii="宋体" w:hAnsi="宋体" w:cs="宋体"/>
          <w:color w:val="auto"/>
          <w:sz w:val="21"/>
          <w:szCs w:val="21"/>
          <w:highlight w:val="none"/>
        </w:rPr>
      </w:pPr>
      <w:r>
        <w:rPr>
          <w:rFonts w:hint="eastAsia" w:ascii="宋体" w:hAnsi="宋体" w:cs="宋体"/>
          <w:color w:val="auto"/>
          <w:sz w:val="21"/>
          <w:szCs w:val="21"/>
          <w:highlight w:val="none"/>
        </w:rPr>
        <w:t>1.6 招标人要及时提供与合同设备设计制造有关的资料。</w:t>
      </w:r>
    </w:p>
    <w:p w14:paraId="6937C3B7">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1.7 投标人应在合同签订后15天内，向招标人提供满足设计</w:t>
      </w:r>
      <w:r>
        <w:rPr>
          <w:rFonts w:hint="eastAsia" w:ascii="宋体" w:hAnsi="宋体" w:cs="宋体"/>
          <w:color w:val="auto"/>
          <w:sz w:val="21"/>
          <w:szCs w:val="21"/>
          <w:highlight w:val="none"/>
          <w:lang w:eastAsia="zh-CN"/>
        </w:rPr>
        <w:t>单位</w:t>
      </w:r>
      <w:r>
        <w:rPr>
          <w:rFonts w:hint="eastAsia" w:ascii="宋体" w:hAnsi="宋体" w:cs="宋体"/>
          <w:color w:val="auto"/>
          <w:sz w:val="21"/>
          <w:szCs w:val="21"/>
          <w:highlight w:val="none"/>
        </w:rPr>
        <w:t>初步设计需要的资料共</w:t>
      </w:r>
      <w:r>
        <w:rPr>
          <w:rFonts w:hint="eastAsia" w:ascii="宋体" w:hAnsi="宋体" w:cs="宋体"/>
          <w:color w:val="auto"/>
          <w:sz w:val="21"/>
          <w:szCs w:val="21"/>
          <w:highlight w:val="none"/>
          <w:u w:val="single"/>
        </w:rPr>
        <w:t>10套（其中设计</w:t>
      </w:r>
      <w:r>
        <w:rPr>
          <w:rFonts w:hint="eastAsia" w:ascii="宋体" w:hAnsi="宋体" w:cs="宋体"/>
          <w:color w:val="auto"/>
          <w:sz w:val="21"/>
          <w:szCs w:val="21"/>
          <w:highlight w:val="none"/>
          <w:u w:val="single"/>
          <w:lang w:val="en-US" w:eastAsia="zh-CN"/>
        </w:rPr>
        <w:t>单位</w:t>
      </w:r>
      <w:r>
        <w:rPr>
          <w:rFonts w:hint="eastAsia" w:ascii="宋体" w:hAnsi="宋体" w:cs="宋体"/>
          <w:color w:val="auto"/>
          <w:sz w:val="21"/>
          <w:szCs w:val="21"/>
          <w:highlight w:val="none"/>
          <w:u w:val="single"/>
        </w:rPr>
        <w:t>3套，招标人7套），另加2套电子文档（设计</w:t>
      </w:r>
      <w:r>
        <w:rPr>
          <w:rFonts w:hint="eastAsia" w:ascii="宋体" w:hAnsi="宋体" w:cs="宋体"/>
          <w:color w:val="auto"/>
          <w:sz w:val="21"/>
          <w:szCs w:val="21"/>
          <w:highlight w:val="none"/>
          <w:u w:val="single"/>
          <w:lang w:eastAsia="zh-CN"/>
        </w:rPr>
        <w:t>单位</w:t>
      </w:r>
      <w:r>
        <w:rPr>
          <w:rFonts w:hint="eastAsia" w:ascii="宋体" w:hAnsi="宋体" w:cs="宋体"/>
          <w:color w:val="auto"/>
          <w:sz w:val="21"/>
          <w:szCs w:val="21"/>
          <w:highlight w:val="none"/>
          <w:u w:val="single"/>
        </w:rPr>
        <w:t>和招标人各1套）</w:t>
      </w:r>
      <w:r>
        <w:rPr>
          <w:rFonts w:hint="eastAsia" w:ascii="宋体" w:hAnsi="宋体" w:cs="宋体"/>
          <w:color w:val="auto"/>
          <w:sz w:val="21"/>
          <w:szCs w:val="21"/>
          <w:highlight w:val="none"/>
        </w:rPr>
        <w:t>。</w:t>
      </w:r>
    </w:p>
    <w:p w14:paraId="5EAA839A">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1.8 合同签订后六个月投标人提供的与设备设计、制造、监造、检验、施工、安装、调试、验收等有关的技术资料，为每台机组</w:t>
      </w:r>
      <w:r>
        <w:rPr>
          <w:rFonts w:hint="eastAsia" w:ascii="宋体" w:hAnsi="宋体" w:cs="宋体"/>
          <w:color w:val="auto"/>
          <w:sz w:val="21"/>
          <w:szCs w:val="21"/>
          <w:highlight w:val="none"/>
          <w:u w:val="single"/>
        </w:rPr>
        <w:t>18套纸质文件（随机2套，设计</w:t>
      </w:r>
      <w:r>
        <w:rPr>
          <w:rFonts w:hint="eastAsia" w:ascii="宋体" w:hAnsi="宋体" w:cs="宋体"/>
          <w:color w:val="auto"/>
          <w:sz w:val="21"/>
          <w:szCs w:val="21"/>
          <w:highlight w:val="none"/>
          <w:u w:val="single"/>
          <w:lang w:eastAsia="zh-CN"/>
        </w:rPr>
        <w:t>单位</w:t>
      </w:r>
      <w:r>
        <w:rPr>
          <w:rFonts w:hint="eastAsia" w:ascii="宋体" w:hAnsi="宋体" w:cs="宋体"/>
          <w:color w:val="auto"/>
          <w:sz w:val="21"/>
          <w:szCs w:val="21"/>
          <w:highlight w:val="none"/>
          <w:u w:val="single"/>
        </w:rPr>
        <w:t>4套，招标人12套），电子文件每台机组5套（设计</w:t>
      </w:r>
      <w:r>
        <w:rPr>
          <w:rFonts w:hint="eastAsia" w:ascii="宋体" w:hAnsi="宋体" w:cs="宋体"/>
          <w:color w:val="auto"/>
          <w:sz w:val="21"/>
          <w:szCs w:val="21"/>
          <w:highlight w:val="none"/>
          <w:u w:val="single"/>
          <w:lang w:eastAsia="zh-CN"/>
        </w:rPr>
        <w:t>单位</w:t>
      </w:r>
      <w:r>
        <w:rPr>
          <w:rFonts w:hint="eastAsia" w:ascii="宋体" w:hAnsi="宋体" w:cs="宋体"/>
          <w:color w:val="auto"/>
          <w:sz w:val="21"/>
          <w:szCs w:val="21"/>
          <w:highlight w:val="none"/>
          <w:u w:val="single"/>
        </w:rPr>
        <w:t>2套，招标人3套）</w:t>
      </w:r>
      <w:r>
        <w:rPr>
          <w:rFonts w:hint="eastAsia" w:ascii="宋体" w:hAnsi="宋体" w:cs="宋体"/>
          <w:color w:val="auto"/>
          <w:sz w:val="21"/>
          <w:szCs w:val="21"/>
          <w:highlight w:val="none"/>
        </w:rPr>
        <w:t>。</w:t>
      </w:r>
    </w:p>
    <w:p w14:paraId="0C205AEA">
      <w:pPr>
        <w:spacing w:line="360" w:lineRule="auto"/>
        <w:rPr>
          <w:rFonts w:hint="eastAsia" w:ascii="宋体" w:hAnsi="宋体" w:cs="宋体"/>
          <w:color w:val="auto"/>
          <w:sz w:val="21"/>
          <w:szCs w:val="21"/>
          <w:highlight w:val="none"/>
          <w:u w:val="single"/>
        </w:rPr>
      </w:pPr>
      <w:r>
        <w:rPr>
          <w:rFonts w:hint="eastAsia" w:ascii="宋体" w:hAnsi="宋体" w:cs="宋体"/>
          <w:color w:val="auto"/>
          <w:sz w:val="21"/>
          <w:szCs w:val="21"/>
          <w:highlight w:val="none"/>
        </w:rPr>
        <w:t>1.9</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设备安装调试完毕后，投标人应按机组分别提供</w:t>
      </w:r>
      <w:r>
        <w:rPr>
          <w:rFonts w:hint="eastAsia" w:ascii="宋体" w:hAnsi="宋体" w:cs="宋体"/>
          <w:color w:val="auto"/>
          <w:sz w:val="21"/>
          <w:szCs w:val="21"/>
          <w:highlight w:val="none"/>
          <w:u w:val="single"/>
        </w:rPr>
        <w:t>12套（设计</w:t>
      </w:r>
      <w:r>
        <w:rPr>
          <w:rFonts w:hint="eastAsia" w:ascii="宋体" w:hAnsi="宋体" w:cs="宋体"/>
          <w:color w:val="auto"/>
          <w:sz w:val="21"/>
          <w:szCs w:val="21"/>
          <w:highlight w:val="none"/>
          <w:u w:val="single"/>
          <w:lang w:eastAsia="zh-CN"/>
        </w:rPr>
        <w:t>单位</w:t>
      </w:r>
      <w:r>
        <w:rPr>
          <w:rFonts w:hint="eastAsia" w:ascii="宋体" w:hAnsi="宋体" w:cs="宋体"/>
          <w:color w:val="auto"/>
          <w:sz w:val="21"/>
          <w:szCs w:val="21"/>
          <w:highlight w:val="none"/>
          <w:u w:val="single"/>
        </w:rPr>
        <w:t>1套，招标人11套）完整的设备竣工图，另加3套电子版。</w:t>
      </w:r>
    </w:p>
    <w:p w14:paraId="4F97271F">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1.10</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投标人提供运行和维护手册、培训手册、技术说明书、使用说明书每台机组</w:t>
      </w:r>
      <w:r>
        <w:rPr>
          <w:rFonts w:hint="eastAsia" w:ascii="宋体" w:hAnsi="宋体" w:cs="宋体"/>
          <w:color w:val="auto"/>
          <w:sz w:val="21"/>
          <w:szCs w:val="21"/>
          <w:highlight w:val="none"/>
          <w:u w:val="single"/>
        </w:rPr>
        <w:t>18 套纸质文件，另加2套电子版。其它资料（标准规范、质量计划等）提供6套。</w:t>
      </w:r>
    </w:p>
    <w:p w14:paraId="089D2CED">
      <w:pPr>
        <w:spacing w:line="360" w:lineRule="auto"/>
        <w:outlineLvl w:val="1"/>
        <w:rPr>
          <w:rFonts w:hint="eastAsia" w:ascii="宋体" w:hAnsi="宋体" w:cs="宋体"/>
          <w:color w:val="auto"/>
          <w:sz w:val="21"/>
          <w:szCs w:val="21"/>
          <w:highlight w:val="none"/>
        </w:rPr>
      </w:pPr>
      <w:r>
        <w:rPr>
          <w:rFonts w:hint="eastAsia" w:ascii="宋体" w:hAnsi="宋体" w:cs="宋体"/>
          <w:color w:val="auto"/>
          <w:sz w:val="21"/>
          <w:szCs w:val="21"/>
          <w:highlight w:val="none"/>
        </w:rPr>
        <w:t>1.11 投标人提供的图纸应清晰，不得提供缩微复印的图纸。</w:t>
      </w:r>
    </w:p>
    <w:p w14:paraId="3161C19C">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1.12</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投标人提供的所有资料（包括图纸）均应有本工程专用标识，即盖有“浙江浙能</w:t>
      </w:r>
      <w:r>
        <w:rPr>
          <w:rFonts w:hint="eastAsia" w:ascii="宋体" w:hAnsi="宋体" w:cs="宋体"/>
          <w:color w:val="auto"/>
          <w:sz w:val="21"/>
          <w:szCs w:val="21"/>
          <w:highlight w:val="none"/>
          <w:lang w:val="en-US" w:eastAsia="zh-CN"/>
        </w:rPr>
        <w:t>乐电发变组改造</w:t>
      </w:r>
      <w:r>
        <w:rPr>
          <w:rFonts w:hint="eastAsia" w:ascii="宋体" w:hAnsi="宋体" w:cs="宋体"/>
          <w:color w:val="auto"/>
          <w:sz w:val="21"/>
          <w:szCs w:val="21"/>
          <w:highlight w:val="none"/>
        </w:rPr>
        <w:t>工程专用”图章，修改版资料对修改部分应有明显的标识或标注。</w:t>
      </w:r>
    </w:p>
    <w:p w14:paraId="0794F203">
      <w:pPr>
        <w:spacing w:line="360" w:lineRule="auto"/>
        <w:outlineLvl w:val="1"/>
        <w:rPr>
          <w:rFonts w:hint="eastAsia" w:ascii="宋体" w:hAnsi="宋体" w:cs="宋体"/>
          <w:color w:val="auto"/>
          <w:sz w:val="21"/>
          <w:szCs w:val="21"/>
          <w:highlight w:val="none"/>
        </w:rPr>
      </w:pPr>
      <w:r>
        <w:rPr>
          <w:rFonts w:hint="eastAsia" w:ascii="宋体" w:hAnsi="宋体" w:cs="宋体"/>
          <w:color w:val="auto"/>
          <w:sz w:val="21"/>
          <w:szCs w:val="21"/>
          <w:highlight w:val="none"/>
        </w:rPr>
        <w:t>1.13 投标人按招标人的要求，编制所供设备的KKS编码。</w:t>
      </w:r>
    </w:p>
    <w:bookmarkEnd w:id="50"/>
    <w:p w14:paraId="5B9C4B2D">
      <w:pPr>
        <w:snapToGrid/>
        <w:spacing w:before="0" w:beforeLines="0" w:after="0" w:afterLines="0" w:line="360" w:lineRule="auto"/>
        <w:outlineLvl w:val="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2 资料提交的基本要求</w:t>
      </w:r>
    </w:p>
    <w:p w14:paraId="0537CC17">
      <w:pPr>
        <w:spacing w:line="360" w:lineRule="auto"/>
        <w:outlineLvl w:val="1"/>
        <w:rPr>
          <w:rFonts w:hint="eastAsia" w:ascii="宋体" w:hAnsi="宋体" w:cs="宋体"/>
          <w:color w:val="auto"/>
          <w:sz w:val="21"/>
          <w:szCs w:val="21"/>
          <w:highlight w:val="none"/>
        </w:rPr>
      </w:pPr>
      <w:r>
        <w:rPr>
          <w:rFonts w:hint="eastAsia" w:ascii="宋体" w:hAnsi="宋体" w:cs="宋体"/>
          <w:color w:val="auto"/>
          <w:sz w:val="21"/>
          <w:szCs w:val="21"/>
          <w:highlight w:val="none"/>
        </w:rPr>
        <w:t>2.1 电子文件提供要求</w:t>
      </w:r>
    </w:p>
    <w:p w14:paraId="1DF76ECD">
      <w:pPr>
        <w:spacing w:line="360" w:lineRule="auto"/>
        <w:ind w:left="630" w:hanging="630" w:hangingChars="300"/>
        <w:rPr>
          <w:rFonts w:hint="eastAsia" w:ascii="宋体" w:hAnsi="宋体" w:cs="宋体"/>
          <w:color w:val="auto"/>
          <w:sz w:val="21"/>
          <w:szCs w:val="21"/>
          <w:highlight w:val="none"/>
        </w:rPr>
      </w:pPr>
      <w:r>
        <w:rPr>
          <w:rFonts w:hint="eastAsia" w:ascii="宋体" w:hAnsi="宋体" w:cs="宋体"/>
          <w:color w:val="auto"/>
          <w:sz w:val="21"/>
          <w:szCs w:val="21"/>
          <w:highlight w:val="none"/>
        </w:rPr>
        <w:t>2.1.1 投标人所提供的电子文件必须以光盘形式提供，与纸质文件内容相一致。</w:t>
      </w:r>
    </w:p>
    <w:p w14:paraId="439F2322">
      <w:pPr>
        <w:spacing w:line="360" w:lineRule="auto"/>
        <w:ind w:left="0" w:firstLine="0" w:firstLineChars="0"/>
        <w:rPr>
          <w:rFonts w:hint="eastAsia" w:ascii="宋体" w:hAnsi="宋体" w:cs="宋体"/>
          <w:color w:val="auto"/>
          <w:sz w:val="21"/>
          <w:szCs w:val="21"/>
          <w:highlight w:val="none"/>
        </w:rPr>
      </w:pPr>
      <w:r>
        <w:rPr>
          <w:rFonts w:hint="eastAsia" w:ascii="宋体" w:hAnsi="宋体" w:cs="宋体"/>
          <w:color w:val="auto"/>
          <w:sz w:val="21"/>
          <w:szCs w:val="21"/>
          <w:highlight w:val="none"/>
        </w:rPr>
        <w:t>2.1.2 投标人所提供的光盘数据不得加密、压缩，无计算机病毒。若出现光盘损坏、文件无法打开等情况，投标人应重新提供。</w:t>
      </w:r>
    </w:p>
    <w:p w14:paraId="03676A29">
      <w:pPr>
        <w:spacing w:line="360" w:lineRule="auto"/>
        <w:ind w:left="0" w:firstLine="0" w:firstLineChars="0"/>
        <w:rPr>
          <w:rFonts w:hint="eastAsia" w:ascii="宋体" w:hAnsi="宋体" w:cs="宋体"/>
          <w:color w:val="auto"/>
          <w:sz w:val="21"/>
          <w:szCs w:val="21"/>
          <w:highlight w:val="none"/>
        </w:rPr>
      </w:pPr>
      <w:r>
        <w:rPr>
          <w:rFonts w:hint="eastAsia" w:ascii="宋体" w:hAnsi="宋体" w:cs="宋体"/>
          <w:color w:val="auto"/>
          <w:sz w:val="21"/>
          <w:szCs w:val="21"/>
          <w:highlight w:val="none"/>
        </w:rPr>
        <w:t>2.1.3 光盘背面特制的书写面上必须有明显的、不易被擦除的标识，包括合同号、光盘ID号、资料清单号、提供日期、投标人标记及责任人的手写签名等，其中光盘ID号应同时作为光盘卷标刻录到光盘上，光盘ID号可与资料清单号一致。</w:t>
      </w:r>
    </w:p>
    <w:p w14:paraId="566E2CD4">
      <w:pPr>
        <w:spacing w:line="360" w:lineRule="auto"/>
        <w:ind w:left="0" w:firstLine="0" w:firstLineChars="0"/>
        <w:rPr>
          <w:rFonts w:hint="eastAsia" w:ascii="宋体" w:hAnsi="宋体" w:cs="宋体"/>
          <w:color w:val="auto"/>
          <w:sz w:val="21"/>
          <w:szCs w:val="21"/>
          <w:highlight w:val="none"/>
        </w:rPr>
      </w:pPr>
      <w:r>
        <w:rPr>
          <w:rFonts w:hint="eastAsia" w:ascii="宋体" w:hAnsi="宋体" w:cs="宋体"/>
          <w:color w:val="auto"/>
          <w:sz w:val="21"/>
          <w:szCs w:val="21"/>
          <w:highlight w:val="none"/>
        </w:rPr>
        <w:t>2.1.4 投标人所提供的电子文件格式应为Word、Excel和CAD格式（或在本协议中明确的其他格式）。投标人提供的竣工资料的所有文件还应同时提供PDF或TIF格式的副本。</w:t>
      </w:r>
    </w:p>
    <w:p w14:paraId="784303F4">
      <w:pPr>
        <w:spacing w:line="360" w:lineRule="auto"/>
        <w:ind w:left="0" w:firstLine="0" w:firstLineChars="0"/>
        <w:rPr>
          <w:rFonts w:hint="eastAsia" w:ascii="宋体" w:hAnsi="宋体" w:cs="宋体"/>
          <w:color w:val="auto"/>
          <w:sz w:val="21"/>
          <w:szCs w:val="21"/>
          <w:highlight w:val="none"/>
        </w:rPr>
      </w:pPr>
      <w:r>
        <w:rPr>
          <w:rFonts w:hint="eastAsia" w:ascii="宋体" w:hAnsi="宋体" w:cs="宋体"/>
          <w:color w:val="auto"/>
          <w:sz w:val="21"/>
          <w:szCs w:val="21"/>
          <w:highlight w:val="none"/>
        </w:rPr>
        <w:t>2.1.5 所提供电子文件所用语种为简体中文，中文汉字内码以GB</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2312为标准。CAD文件应同时提供使用的字库文件。</w:t>
      </w:r>
    </w:p>
    <w:p w14:paraId="6234D807">
      <w:pPr>
        <w:spacing w:line="360" w:lineRule="auto"/>
        <w:ind w:left="630" w:hanging="630" w:hangingChars="300"/>
        <w:rPr>
          <w:rFonts w:hint="eastAsia" w:ascii="宋体" w:hAnsi="宋体" w:cs="宋体"/>
          <w:color w:val="auto"/>
          <w:sz w:val="21"/>
          <w:szCs w:val="21"/>
          <w:highlight w:val="none"/>
        </w:rPr>
      </w:pPr>
      <w:r>
        <w:rPr>
          <w:rFonts w:hint="eastAsia" w:ascii="宋体" w:hAnsi="宋体" w:cs="宋体"/>
          <w:color w:val="auto"/>
          <w:sz w:val="21"/>
          <w:szCs w:val="21"/>
          <w:highlight w:val="none"/>
        </w:rPr>
        <w:t>2.1.6 电子文件用图号来命名，一个图号的图纸对应一个电子文件。</w:t>
      </w:r>
    </w:p>
    <w:p w14:paraId="6165633F">
      <w:pPr>
        <w:spacing w:line="360" w:lineRule="auto"/>
        <w:ind w:left="0" w:right="-360" w:rightChars="-150" w:firstLine="0" w:firstLineChars="0"/>
        <w:rPr>
          <w:rFonts w:hint="eastAsia" w:ascii="宋体" w:hAnsi="宋体" w:cs="宋体"/>
          <w:color w:val="auto"/>
          <w:sz w:val="21"/>
          <w:szCs w:val="21"/>
          <w:highlight w:val="none"/>
        </w:rPr>
      </w:pPr>
      <w:r>
        <w:rPr>
          <w:rFonts w:hint="eastAsia" w:ascii="宋体" w:hAnsi="宋体" w:cs="宋体"/>
          <w:color w:val="auto"/>
          <w:sz w:val="21"/>
          <w:szCs w:val="21"/>
          <w:highlight w:val="none"/>
        </w:rPr>
        <w:t>2.1.7 同一套技术资料的电子文件必须存放在同一张光盘内，一张光盘内可存放多套技术资料。在每张光盘根目录还应提供如下目录和文件：</w:t>
      </w:r>
    </w:p>
    <w:p w14:paraId="02F8E74C">
      <w:pPr>
        <w:spacing w:line="360" w:lineRule="auto"/>
        <w:ind w:right="-360" w:rightChars="-15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说明文件Readme.txt/doc：用于说明该光盘的整体信息；</w:t>
      </w:r>
    </w:p>
    <w:p w14:paraId="3FE3858A">
      <w:pPr>
        <w:spacing w:line="360" w:lineRule="auto"/>
        <w:ind w:right="-360" w:rightChars="-15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辅读信息文件Assist.txt/doc：用于说明该光盘内各种格式电子文件的环境信息；</w:t>
      </w:r>
    </w:p>
    <w:p w14:paraId="30E5045F">
      <w:pPr>
        <w:spacing w:line="360" w:lineRule="auto"/>
        <w:ind w:right="-360" w:rightChars="-15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著录文件QD.xls；电子文件清单，用于表明电子文件数据信息，包括序号、电子文件名、格式、合同号、资料清单号、图号、图纸名称、幅面、张数、版次、日期、备注等；</w:t>
      </w:r>
    </w:p>
    <w:p w14:paraId="54A75E20">
      <w:pPr>
        <w:spacing w:line="360" w:lineRule="auto"/>
        <w:ind w:right="120" w:rightChars="5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子目录DATA：用于存放Word、Excel、CAD格式（或在本协议中明确的其他格式）的正式文件；</w:t>
      </w:r>
    </w:p>
    <w:p w14:paraId="475B32E3">
      <w:pPr>
        <w:spacing w:line="360" w:lineRule="auto"/>
        <w:ind w:right="120" w:rightChars="5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子目录DATAB：用于存放PDF和TIF格式的文件副本（仅指竣工资料）；</w:t>
      </w:r>
    </w:p>
    <w:p w14:paraId="77E96B23">
      <w:pPr>
        <w:spacing w:line="360" w:lineRule="auto"/>
        <w:ind w:right="120" w:rightChars="5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子目录OTHERS：用于存放相关字库、符号库、数据字典、外部参考等保证文件准确还原的环境文件及其它说明文件等。</w:t>
      </w:r>
    </w:p>
    <w:p w14:paraId="67FF24B6">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2.2 需要配合工程初步设计进度提供资料与图纸</w:t>
      </w:r>
    </w:p>
    <w:p w14:paraId="089BD8D1">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2.3 需要配合工程施工图设计进度提供资料与图纸</w:t>
      </w:r>
    </w:p>
    <w:p w14:paraId="2CAD83A4">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2.4 根据工程进展中的其它方面的需要，配合提供资料与图纸</w:t>
      </w:r>
    </w:p>
    <w:p w14:paraId="07F6CDAD">
      <w:pPr>
        <w:snapToGrid/>
        <w:spacing w:before="0" w:beforeLines="0" w:after="0" w:afterLines="0" w:line="360" w:lineRule="auto"/>
        <w:outlineLvl w:val="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3 资料提交的基本内容</w:t>
      </w:r>
    </w:p>
    <w:p w14:paraId="52A82720">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3.1 投标人在投标阶段向招标人提供一般性资料如：鉴定证书、报价书、典型说明书、屏面布置图、系统原理图、保护配置图和主要技术参数等。</w:t>
      </w:r>
    </w:p>
    <w:p w14:paraId="407D3B8E">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3.2 在合同签定30天内，投标人向招标人提供下列技术文件以供确认。</w:t>
      </w:r>
    </w:p>
    <w:p w14:paraId="22F181D4">
      <w:pPr>
        <w:tabs>
          <w:tab w:val="left" w:pos="420"/>
        </w:tabs>
        <w:spacing w:line="360" w:lineRule="auto"/>
        <w:ind w:left="425"/>
        <w:rPr>
          <w:rFonts w:hint="eastAsia"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保护原理图及保护出口、信号回路图</w:t>
      </w:r>
    </w:p>
    <w:p w14:paraId="6CA9C459">
      <w:pPr>
        <w:tabs>
          <w:tab w:val="left" w:pos="420"/>
        </w:tabs>
        <w:spacing w:line="360" w:lineRule="auto"/>
        <w:ind w:left="845" w:hanging="420"/>
        <w:rPr>
          <w:rFonts w:hint="eastAsia" w:ascii="宋体" w:hAnsi="宋体" w:cs="宋体"/>
          <w:color w:val="auto"/>
          <w:sz w:val="21"/>
          <w:szCs w:val="21"/>
          <w:highlight w:val="none"/>
        </w:rPr>
      </w:pPr>
      <w:r>
        <w:rPr>
          <w:rFonts w:hint="eastAsia" w:ascii="宋体" w:hAnsi="宋体" w:cs="宋体"/>
          <w:color w:val="auto"/>
          <w:sz w:val="21"/>
          <w:szCs w:val="21"/>
          <w:highlight w:val="none"/>
        </w:rPr>
        <w:t>2</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保护柜柜面布置图、柜体重量、安装要求</w:t>
      </w:r>
    </w:p>
    <w:p w14:paraId="3781FD92">
      <w:pPr>
        <w:tabs>
          <w:tab w:val="left" w:pos="420"/>
        </w:tabs>
        <w:spacing w:line="360" w:lineRule="auto"/>
        <w:ind w:left="845" w:hanging="420"/>
        <w:rPr>
          <w:rFonts w:hint="eastAsia" w:ascii="宋体" w:hAnsi="宋体" w:cs="宋体"/>
          <w:color w:val="auto"/>
          <w:sz w:val="21"/>
          <w:szCs w:val="21"/>
          <w:highlight w:val="none"/>
        </w:rPr>
      </w:pPr>
      <w:r>
        <w:rPr>
          <w:rFonts w:hint="eastAsia" w:ascii="宋体" w:hAnsi="宋体" w:cs="宋体"/>
          <w:color w:val="auto"/>
          <w:sz w:val="21"/>
          <w:szCs w:val="21"/>
          <w:highlight w:val="none"/>
        </w:rPr>
        <w:t>3</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保护柜交直流回路图</w:t>
      </w:r>
    </w:p>
    <w:p w14:paraId="1E77FB02">
      <w:pPr>
        <w:tabs>
          <w:tab w:val="left" w:pos="420"/>
        </w:tabs>
        <w:spacing w:line="360" w:lineRule="auto"/>
        <w:ind w:left="845" w:hanging="420"/>
        <w:rPr>
          <w:rFonts w:hint="eastAsia" w:ascii="宋体" w:hAnsi="宋体" w:cs="宋体"/>
          <w:color w:val="auto"/>
          <w:sz w:val="21"/>
          <w:szCs w:val="21"/>
          <w:highlight w:val="none"/>
        </w:rPr>
      </w:pPr>
      <w:r>
        <w:rPr>
          <w:rFonts w:hint="eastAsia" w:ascii="宋体" w:hAnsi="宋体" w:cs="宋体"/>
          <w:color w:val="auto"/>
          <w:sz w:val="21"/>
          <w:szCs w:val="21"/>
          <w:highlight w:val="none"/>
        </w:rPr>
        <w:t>4</w:t>
      </w:r>
      <w:r>
        <w:rPr>
          <w:rFonts w:hint="eastAsia" w:ascii="宋体" w:hAnsi="宋体" w:cs="宋体"/>
          <w:color w:val="auto"/>
          <w:sz w:val="21"/>
          <w:szCs w:val="21"/>
          <w:highlight w:val="none"/>
          <w:lang w:val="en-US" w:eastAsia="zh-CN"/>
        </w:rPr>
        <w:t>）</w:t>
      </w:r>
      <w:r>
        <w:rPr>
          <w:rFonts w:hint="eastAsia" w:ascii="宋体" w:hAnsi="宋体" w:cs="宋体"/>
          <w:color w:val="auto"/>
          <w:sz w:val="21"/>
          <w:szCs w:val="21"/>
          <w:highlight w:val="none"/>
        </w:rPr>
        <w:t>保护柜插件分配图</w:t>
      </w:r>
    </w:p>
    <w:p w14:paraId="46654600">
      <w:pPr>
        <w:tabs>
          <w:tab w:val="left" w:pos="420"/>
        </w:tabs>
        <w:spacing w:line="360" w:lineRule="auto"/>
        <w:ind w:left="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保护柜背板接线图及端子排图</w:t>
      </w:r>
    </w:p>
    <w:p w14:paraId="40A60186">
      <w:pPr>
        <w:tabs>
          <w:tab w:val="left" w:pos="420"/>
        </w:tabs>
        <w:spacing w:line="360" w:lineRule="auto"/>
        <w:ind w:left="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保护逻辑图</w:t>
      </w:r>
    </w:p>
    <w:p w14:paraId="61D9F788">
      <w:pPr>
        <w:tabs>
          <w:tab w:val="left" w:pos="420"/>
        </w:tabs>
        <w:spacing w:line="360" w:lineRule="auto"/>
        <w:ind w:left="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7</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调试大纲</w:t>
      </w:r>
    </w:p>
    <w:p w14:paraId="4E65BE95">
      <w:pPr>
        <w:tabs>
          <w:tab w:val="left" w:pos="420"/>
        </w:tabs>
        <w:spacing w:line="360" w:lineRule="auto"/>
        <w:ind w:left="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8</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机组的图纸应按每台机组出图并应标上高层代号、设备代号和KKS编码</w:t>
      </w:r>
    </w:p>
    <w:p w14:paraId="3EF33907">
      <w:pPr>
        <w:spacing w:line="360" w:lineRule="auto"/>
        <w:ind w:firstLine="420"/>
        <w:rPr>
          <w:rFonts w:hint="eastAsia" w:ascii="宋体" w:hAnsi="宋体" w:cs="宋体"/>
          <w:color w:val="auto"/>
          <w:sz w:val="21"/>
          <w:szCs w:val="21"/>
          <w:highlight w:val="none"/>
        </w:rPr>
      </w:pPr>
      <w:r>
        <w:rPr>
          <w:rFonts w:hint="eastAsia" w:ascii="宋体" w:hAnsi="宋体" w:cs="宋体"/>
          <w:color w:val="auto"/>
          <w:sz w:val="21"/>
          <w:szCs w:val="21"/>
          <w:highlight w:val="none"/>
        </w:rPr>
        <w:t>投标人应向招标人提供保护整定计算书，如某些保护装置整定范围或灵敏度不能满足运行条件时，招标人有权要求投标人改进。</w:t>
      </w:r>
    </w:p>
    <w:p w14:paraId="6F62AA2D">
      <w:pPr>
        <w:spacing w:line="360" w:lineRule="auto"/>
        <w:ind w:firstLine="420"/>
        <w:rPr>
          <w:rFonts w:hint="eastAsia" w:ascii="宋体" w:hAnsi="宋体" w:cs="宋体"/>
          <w:color w:val="auto"/>
          <w:sz w:val="21"/>
          <w:szCs w:val="21"/>
          <w:highlight w:val="none"/>
        </w:rPr>
      </w:pPr>
      <w:r>
        <w:rPr>
          <w:rFonts w:hint="eastAsia" w:ascii="宋体" w:hAnsi="宋体" w:cs="宋体"/>
          <w:color w:val="auto"/>
          <w:sz w:val="21"/>
          <w:szCs w:val="21"/>
          <w:highlight w:val="none"/>
        </w:rPr>
        <w:t>投标人在提供确认图纸时必须提供为审核该张图纸所需的资料。招标人有权要求投标人对其图纸中的任一装置任一部件作必要修改，而招标人不需承担额外费用。</w:t>
      </w:r>
    </w:p>
    <w:p w14:paraId="535CB983">
      <w:pPr>
        <w:spacing w:line="360" w:lineRule="auto"/>
        <w:ind w:firstLine="420"/>
        <w:rPr>
          <w:rFonts w:hint="eastAsia" w:ascii="宋体" w:hAnsi="宋体" w:cs="宋体"/>
          <w:color w:val="auto"/>
          <w:sz w:val="21"/>
          <w:szCs w:val="21"/>
          <w:highlight w:val="none"/>
        </w:rPr>
      </w:pPr>
      <w:r>
        <w:rPr>
          <w:rFonts w:hint="eastAsia" w:ascii="宋体" w:hAnsi="宋体" w:cs="宋体"/>
          <w:color w:val="auto"/>
          <w:sz w:val="21"/>
          <w:szCs w:val="21"/>
          <w:highlight w:val="none"/>
        </w:rPr>
        <w:t>在收到招标人最终认可图纸前，投标人所购买的材料或制造所发生的费用及其风险全由投标人单独承担。</w:t>
      </w:r>
    </w:p>
    <w:p w14:paraId="43856BF7">
      <w:pPr>
        <w:spacing w:line="360" w:lineRule="auto"/>
        <w:ind w:firstLine="420"/>
        <w:rPr>
          <w:rFonts w:hint="eastAsia" w:ascii="宋体" w:hAnsi="宋体" w:cs="宋体"/>
          <w:color w:val="auto"/>
          <w:sz w:val="21"/>
          <w:szCs w:val="21"/>
          <w:highlight w:val="none"/>
        </w:rPr>
      </w:pPr>
      <w:r>
        <w:rPr>
          <w:rFonts w:hint="eastAsia" w:ascii="宋体" w:hAnsi="宋体" w:cs="宋体"/>
          <w:color w:val="auto"/>
          <w:sz w:val="21"/>
          <w:szCs w:val="21"/>
          <w:highlight w:val="none"/>
        </w:rPr>
        <w:t>生产的成品应符合合同的技术规范。招标人对图纸的确认并不能解除投标人对其图纸的完善性和准确性应承担的责任。</w:t>
      </w:r>
    </w:p>
    <w:p w14:paraId="70EAF2F3">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在设计联络会后30天内，投标人应提供全部正式图纸的最终图和所有图纸的CAD光盘及其相关的支撑软件。</w:t>
      </w:r>
    </w:p>
    <w:p w14:paraId="05AD839B">
      <w:pPr>
        <w:spacing w:line="360" w:lineRule="auto"/>
        <w:outlineLvl w:val="1"/>
        <w:rPr>
          <w:rFonts w:hint="eastAsia" w:ascii="宋体" w:hAnsi="宋体" w:cs="宋体"/>
          <w:color w:val="auto"/>
          <w:sz w:val="21"/>
          <w:szCs w:val="21"/>
          <w:highlight w:val="none"/>
        </w:rPr>
      </w:pPr>
      <w:r>
        <w:rPr>
          <w:rFonts w:hint="eastAsia" w:ascii="宋体" w:hAnsi="宋体" w:cs="宋体"/>
          <w:color w:val="auto"/>
          <w:sz w:val="21"/>
          <w:szCs w:val="21"/>
          <w:highlight w:val="none"/>
        </w:rPr>
        <w:t>3.3 设备供货时提供下列资料:</w:t>
      </w:r>
    </w:p>
    <w:p w14:paraId="2C1703E8">
      <w:pPr>
        <w:spacing w:line="360" w:lineRule="auto"/>
        <w:ind w:firstLine="420"/>
        <w:rPr>
          <w:rFonts w:hint="eastAsia" w:ascii="宋体" w:hAnsi="宋体" w:cs="宋体"/>
          <w:color w:val="auto"/>
          <w:sz w:val="21"/>
          <w:szCs w:val="21"/>
          <w:highlight w:val="none"/>
        </w:rPr>
      </w:pPr>
      <w:r>
        <w:rPr>
          <w:rFonts w:hint="eastAsia" w:ascii="宋体" w:hAnsi="宋体" w:cs="宋体"/>
          <w:color w:val="auto"/>
          <w:sz w:val="21"/>
          <w:szCs w:val="21"/>
          <w:highlight w:val="none"/>
        </w:rPr>
        <w:t>设备的开箱资料，除了3.2所述图纸还应包括安装、运行、维护、修理说明书，部件清单资料，工厂试验报告，产品合格证，产品原产地证明等。</w:t>
      </w:r>
    </w:p>
    <w:p w14:paraId="7CE356A4">
      <w:pPr>
        <w:spacing w:before="0" w:beforeLines="0" w:after="0" w:afterLines="0" w:line="360" w:lineRule="auto"/>
        <w:rPr>
          <w:rFonts w:hint="eastAsia" w:ascii="宋体" w:hAnsi="宋体" w:cs="宋体"/>
          <w:color w:val="auto"/>
          <w:sz w:val="32"/>
          <w:szCs w:val="32"/>
          <w:highlight w:val="none"/>
        </w:rPr>
      </w:pPr>
      <w:r>
        <w:rPr>
          <w:rFonts w:hint="eastAsia" w:ascii="宋体" w:hAnsi="宋体" w:cs="宋体"/>
          <w:color w:val="auto"/>
          <w:sz w:val="21"/>
          <w:szCs w:val="21"/>
          <w:highlight w:val="none"/>
        </w:rPr>
        <w:br w:type="page"/>
      </w:r>
      <w:bookmarkStart w:id="51" w:name="_Toc526944932"/>
      <w:bookmarkStart w:id="52" w:name="_Toc513014512"/>
      <w:bookmarkStart w:id="53" w:name="_Toc343695400"/>
      <w:bookmarkStart w:id="54" w:name="_Toc515785175"/>
      <w:r>
        <w:rPr>
          <w:rFonts w:hint="eastAsia" w:ascii="宋体" w:hAnsi="宋体" w:cs="宋体"/>
          <w:b/>
          <w:bCs/>
          <w:color w:val="auto"/>
          <w:sz w:val="30"/>
          <w:szCs w:val="30"/>
          <w:highlight w:val="none"/>
        </w:rPr>
        <w:t>附件4 设备交货进度</w:t>
      </w:r>
      <w:bookmarkEnd w:id="51"/>
      <w:bookmarkEnd w:id="52"/>
      <w:bookmarkEnd w:id="53"/>
      <w:bookmarkEnd w:id="54"/>
    </w:p>
    <w:p w14:paraId="752FFC24">
      <w:pPr>
        <w:pStyle w:val="5"/>
        <w:spacing w:line="360" w:lineRule="auto"/>
        <w:ind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设备交货进度应按满足工程安装进度的要求，招标人要求的交货时间</w:t>
      </w:r>
      <w:r>
        <w:rPr>
          <w:rFonts w:hint="eastAsia" w:ascii="宋体" w:hAnsi="宋体" w:cs="宋体"/>
          <w:color w:val="auto"/>
          <w:sz w:val="21"/>
          <w:szCs w:val="21"/>
          <w:highlight w:val="none"/>
          <w:lang w:eastAsia="zh-CN"/>
        </w:rPr>
        <w:t>：</w:t>
      </w:r>
    </w:p>
    <w:p w14:paraId="3271ABEF">
      <w:pPr>
        <w:pStyle w:val="5"/>
        <w:spacing w:after="157" w:afterLines="50" w:line="360" w:lineRule="auto"/>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交货进度表(包括设备、备品备件、进口件及专用工具)</w:t>
      </w:r>
    </w:p>
    <w:tbl>
      <w:tblPr>
        <w:tblStyle w:val="18"/>
        <w:tblW w:w="8400" w:type="dxa"/>
        <w:tblInd w:w="-4"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768"/>
        <w:gridCol w:w="2507"/>
        <w:gridCol w:w="1680"/>
        <w:gridCol w:w="3445"/>
      </w:tblGrid>
      <w:tr w14:paraId="05654BF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768" w:type="dxa"/>
            <w:vAlign w:val="center"/>
          </w:tcPr>
          <w:p w14:paraId="60BC86F1">
            <w:pPr>
              <w:snapToGrid w:val="0"/>
              <w:spacing w:line="24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序号</w:t>
            </w:r>
          </w:p>
        </w:tc>
        <w:tc>
          <w:tcPr>
            <w:tcW w:w="2507" w:type="dxa"/>
            <w:vAlign w:val="center"/>
          </w:tcPr>
          <w:p w14:paraId="14797B82">
            <w:pPr>
              <w:snapToGrid w:val="0"/>
              <w:spacing w:line="24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名称、型号</w:t>
            </w:r>
          </w:p>
        </w:tc>
        <w:tc>
          <w:tcPr>
            <w:tcW w:w="1680" w:type="dxa"/>
            <w:vAlign w:val="center"/>
          </w:tcPr>
          <w:p w14:paraId="624BCA82">
            <w:pPr>
              <w:snapToGrid w:val="0"/>
              <w:spacing w:line="24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交货地点</w:t>
            </w:r>
          </w:p>
        </w:tc>
        <w:tc>
          <w:tcPr>
            <w:tcW w:w="3445" w:type="dxa"/>
            <w:vAlign w:val="center"/>
          </w:tcPr>
          <w:p w14:paraId="6B5E9F10">
            <w:pPr>
              <w:snapToGrid w:val="0"/>
              <w:spacing w:line="24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交货时间</w:t>
            </w:r>
          </w:p>
        </w:tc>
      </w:tr>
      <w:tr w14:paraId="08BB33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768" w:type="dxa"/>
            <w:vAlign w:val="center"/>
          </w:tcPr>
          <w:p w14:paraId="2A60BC89">
            <w:pPr>
              <w:snapToGrid w:val="0"/>
              <w:spacing w:line="24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c>
          <w:tcPr>
            <w:tcW w:w="2507" w:type="dxa"/>
            <w:vAlign w:val="center"/>
          </w:tcPr>
          <w:p w14:paraId="3E484DA1">
            <w:pPr>
              <w:snapToGrid w:val="0"/>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发变组保护设备</w:t>
            </w:r>
          </w:p>
        </w:tc>
        <w:tc>
          <w:tcPr>
            <w:tcW w:w="1680" w:type="dxa"/>
            <w:vAlign w:val="center"/>
          </w:tcPr>
          <w:p w14:paraId="73847833">
            <w:pPr>
              <w:snapToGrid w:val="0"/>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电厂工地现场</w:t>
            </w:r>
          </w:p>
        </w:tc>
        <w:tc>
          <w:tcPr>
            <w:tcW w:w="3445" w:type="dxa"/>
            <w:vAlign w:val="center"/>
          </w:tcPr>
          <w:p w14:paraId="11A599B9">
            <w:pPr>
              <w:snapToGrid w:val="0"/>
              <w:spacing w:line="240" w:lineRule="auto"/>
              <w:jc w:val="center"/>
              <w:rPr>
                <w:rFonts w:hint="default" w:ascii="宋体" w:hAnsi="宋体" w:cs="宋体"/>
                <w:color w:val="auto"/>
                <w:kern w:val="0"/>
                <w:sz w:val="21"/>
                <w:szCs w:val="21"/>
                <w:highlight w:val="none"/>
                <w:lang w:val="en-US"/>
              </w:rPr>
            </w:pPr>
            <w:r>
              <w:rPr>
                <w:rFonts w:hint="eastAsia" w:ascii="宋体" w:hAnsi="宋体" w:cs="宋体"/>
                <w:color w:val="auto"/>
                <w:kern w:val="0"/>
                <w:sz w:val="21"/>
                <w:szCs w:val="21"/>
                <w:highlight w:val="none"/>
                <w:lang w:val="en-US" w:eastAsia="zh-CN"/>
              </w:rPr>
              <w:t>合同签订后30天内，暂定2</w:t>
            </w:r>
            <w:r>
              <w:rPr>
                <w:rFonts w:hint="default" w:ascii="宋体" w:hAnsi="宋体" w:cs="宋体"/>
                <w:color w:val="auto"/>
                <w:kern w:val="0"/>
                <w:sz w:val="21"/>
                <w:szCs w:val="21"/>
                <w:highlight w:val="none"/>
                <w:lang w:val="en-US" w:eastAsia="zh-CN"/>
              </w:rPr>
              <w:t>025</w:t>
            </w:r>
            <w:r>
              <w:rPr>
                <w:rFonts w:hint="eastAsia" w:ascii="宋体" w:hAnsi="宋体" w:cs="宋体"/>
                <w:color w:val="auto"/>
                <w:kern w:val="0"/>
                <w:sz w:val="21"/>
                <w:szCs w:val="21"/>
                <w:highlight w:val="none"/>
                <w:lang w:val="en-US" w:eastAsia="zh-CN"/>
              </w:rPr>
              <w:t>年3</w:t>
            </w:r>
            <w:r>
              <w:rPr>
                <w:rFonts w:hint="default" w:ascii="宋体" w:hAnsi="宋体" w:cs="宋体"/>
                <w:color w:val="auto"/>
                <w:kern w:val="0"/>
                <w:sz w:val="21"/>
                <w:szCs w:val="21"/>
                <w:highlight w:val="none"/>
                <w:lang w:val="en-US" w:eastAsia="zh-CN"/>
              </w:rPr>
              <w:t>月</w:t>
            </w:r>
            <w:r>
              <w:rPr>
                <w:rFonts w:hint="eastAsia" w:ascii="宋体" w:hAnsi="宋体" w:cs="宋体"/>
                <w:color w:val="auto"/>
                <w:kern w:val="0"/>
                <w:sz w:val="21"/>
                <w:szCs w:val="21"/>
                <w:highlight w:val="none"/>
                <w:lang w:val="en-US" w:eastAsia="zh-CN"/>
              </w:rPr>
              <w:t>28日</w:t>
            </w:r>
          </w:p>
        </w:tc>
      </w:tr>
      <w:tr w14:paraId="60C98C4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768" w:type="dxa"/>
            <w:vAlign w:val="center"/>
          </w:tcPr>
          <w:p w14:paraId="7072E652">
            <w:pPr>
              <w:snapToGrid w:val="0"/>
              <w:spacing w:line="24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p>
        </w:tc>
        <w:tc>
          <w:tcPr>
            <w:tcW w:w="2507" w:type="dxa"/>
            <w:vAlign w:val="center"/>
          </w:tcPr>
          <w:p w14:paraId="0CDAF721">
            <w:pPr>
              <w:snapToGrid w:val="0"/>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备品备件</w:t>
            </w:r>
          </w:p>
        </w:tc>
        <w:tc>
          <w:tcPr>
            <w:tcW w:w="1680" w:type="dxa"/>
            <w:vAlign w:val="center"/>
          </w:tcPr>
          <w:p w14:paraId="3181204A">
            <w:pPr>
              <w:snapToGrid w:val="0"/>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电厂工地现场</w:t>
            </w:r>
          </w:p>
        </w:tc>
        <w:tc>
          <w:tcPr>
            <w:tcW w:w="3445" w:type="dxa"/>
            <w:vAlign w:val="center"/>
          </w:tcPr>
          <w:p w14:paraId="2E7EDEBE">
            <w:pPr>
              <w:snapToGrid w:val="0"/>
              <w:spacing w:line="240" w:lineRule="auto"/>
              <w:jc w:val="center"/>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合同签订后30天内，暂定2</w:t>
            </w:r>
            <w:r>
              <w:rPr>
                <w:rFonts w:hint="default" w:ascii="宋体" w:hAnsi="宋体" w:cs="宋体"/>
                <w:color w:val="auto"/>
                <w:kern w:val="0"/>
                <w:sz w:val="21"/>
                <w:szCs w:val="21"/>
                <w:highlight w:val="none"/>
                <w:lang w:val="en-US" w:eastAsia="zh-CN"/>
              </w:rPr>
              <w:t>025</w:t>
            </w:r>
            <w:r>
              <w:rPr>
                <w:rFonts w:hint="eastAsia" w:ascii="宋体" w:hAnsi="宋体" w:cs="宋体"/>
                <w:color w:val="auto"/>
                <w:kern w:val="0"/>
                <w:sz w:val="21"/>
                <w:szCs w:val="21"/>
                <w:highlight w:val="none"/>
                <w:lang w:val="en-US" w:eastAsia="zh-CN"/>
              </w:rPr>
              <w:t>年3</w:t>
            </w:r>
            <w:r>
              <w:rPr>
                <w:rFonts w:hint="default" w:ascii="宋体" w:hAnsi="宋体" w:cs="宋体"/>
                <w:color w:val="auto"/>
                <w:kern w:val="0"/>
                <w:sz w:val="21"/>
                <w:szCs w:val="21"/>
                <w:highlight w:val="none"/>
                <w:lang w:val="en-US" w:eastAsia="zh-CN"/>
              </w:rPr>
              <w:t>月</w:t>
            </w:r>
            <w:r>
              <w:rPr>
                <w:rFonts w:hint="eastAsia" w:ascii="宋体" w:hAnsi="宋体" w:cs="宋体"/>
                <w:color w:val="auto"/>
                <w:kern w:val="0"/>
                <w:sz w:val="21"/>
                <w:szCs w:val="21"/>
                <w:highlight w:val="none"/>
                <w:lang w:val="en-US" w:eastAsia="zh-CN"/>
              </w:rPr>
              <w:t>28日</w:t>
            </w:r>
          </w:p>
        </w:tc>
      </w:tr>
      <w:tr w14:paraId="5B29B57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768" w:type="dxa"/>
            <w:tcBorders>
              <w:bottom w:val="single" w:color="000000" w:sz="12" w:space="0"/>
            </w:tcBorders>
            <w:vAlign w:val="center"/>
          </w:tcPr>
          <w:p w14:paraId="7C7C8E0C">
            <w:pPr>
              <w:snapToGrid w:val="0"/>
              <w:spacing w:line="24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p>
        </w:tc>
        <w:tc>
          <w:tcPr>
            <w:tcW w:w="2507" w:type="dxa"/>
            <w:tcBorders>
              <w:bottom w:val="single" w:color="000000" w:sz="12" w:space="0"/>
            </w:tcBorders>
            <w:vAlign w:val="center"/>
          </w:tcPr>
          <w:p w14:paraId="24BBD5AD">
            <w:pPr>
              <w:snapToGrid w:val="0"/>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专用软件和工器具</w:t>
            </w:r>
          </w:p>
        </w:tc>
        <w:tc>
          <w:tcPr>
            <w:tcW w:w="1680" w:type="dxa"/>
            <w:tcBorders>
              <w:bottom w:val="single" w:color="000000" w:sz="12" w:space="0"/>
            </w:tcBorders>
            <w:vAlign w:val="center"/>
          </w:tcPr>
          <w:p w14:paraId="23B87356">
            <w:pPr>
              <w:snapToGrid w:val="0"/>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电厂工地现场</w:t>
            </w:r>
          </w:p>
        </w:tc>
        <w:tc>
          <w:tcPr>
            <w:tcW w:w="3445" w:type="dxa"/>
            <w:tcBorders>
              <w:bottom w:val="single" w:color="000000" w:sz="12" w:space="0"/>
            </w:tcBorders>
            <w:vAlign w:val="center"/>
          </w:tcPr>
          <w:p w14:paraId="658703A5">
            <w:pPr>
              <w:snapToGrid w:val="0"/>
              <w:spacing w:line="240" w:lineRule="auto"/>
              <w:jc w:val="center"/>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合同签订后30天内，暂定2</w:t>
            </w:r>
            <w:r>
              <w:rPr>
                <w:rFonts w:hint="default" w:ascii="宋体" w:hAnsi="宋体" w:cs="宋体"/>
                <w:color w:val="auto"/>
                <w:kern w:val="0"/>
                <w:sz w:val="21"/>
                <w:szCs w:val="21"/>
                <w:highlight w:val="none"/>
                <w:lang w:val="en-US" w:eastAsia="zh-CN"/>
              </w:rPr>
              <w:t>025</w:t>
            </w:r>
            <w:r>
              <w:rPr>
                <w:rFonts w:hint="eastAsia" w:ascii="宋体" w:hAnsi="宋体" w:cs="宋体"/>
                <w:color w:val="auto"/>
                <w:kern w:val="0"/>
                <w:sz w:val="21"/>
                <w:szCs w:val="21"/>
                <w:highlight w:val="none"/>
                <w:lang w:val="en-US" w:eastAsia="zh-CN"/>
              </w:rPr>
              <w:t>年3</w:t>
            </w:r>
            <w:r>
              <w:rPr>
                <w:rFonts w:hint="default" w:ascii="宋体" w:hAnsi="宋体" w:cs="宋体"/>
                <w:color w:val="auto"/>
                <w:kern w:val="0"/>
                <w:sz w:val="21"/>
                <w:szCs w:val="21"/>
                <w:highlight w:val="none"/>
                <w:lang w:val="en-US" w:eastAsia="zh-CN"/>
              </w:rPr>
              <w:t>月</w:t>
            </w:r>
            <w:r>
              <w:rPr>
                <w:rFonts w:hint="eastAsia" w:ascii="宋体" w:hAnsi="宋体" w:cs="宋体"/>
                <w:color w:val="auto"/>
                <w:kern w:val="0"/>
                <w:sz w:val="21"/>
                <w:szCs w:val="21"/>
                <w:highlight w:val="none"/>
                <w:lang w:val="en-US" w:eastAsia="zh-CN"/>
              </w:rPr>
              <w:t>28日</w:t>
            </w:r>
          </w:p>
        </w:tc>
      </w:tr>
    </w:tbl>
    <w:p w14:paraId="70AFE6D5">
      <w:pPr>
        <w:pStyle w:val="5"/>
        <w:adjustRightInd/>
        <w:spacing w:before="157" w:beforeLines="50" w:line="360" w:lineRule="auto"/>
        <w:ind w:left="0" w:leftChars="0" w:firstLine="420" w:firstLineChars="200"/>
        <w:outlineLvl w:val="0"/>
        <w:rPr>
          <w:rFonts w:hint="eastAsia"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eastAsia="宋体" w:cs="宋体"/>
          <w:color w:val="auto"/>
          <w:sz w:val="21"/>
          <w:szCs w:val="21"/>
          <w:highlight w:val="none"/>
          <w:lang w:eastAsia="zh-CN"/>
        </w:rPr>
        <w:t xml:space="preserve"> </w:t>
      </w:r>
      <w:r>
        <w:rPr>
          <w:rFonts w:hint="eastAsia" w:ascii="宋体" w:hAnsi="宋体" w:cs="宋体"/>
          <w:color w:val="auto"/>
          <w:sz w:val="21"/>
          <w:szCs w:val="21"/>
          <w:highlight w:val="none"/>
        </w:rPr>
        <w:t>本交货时间为暂定计划，投标人承诺满足工程进度的要求。</w:t>
      </w:r>
    </w:p>
    <w:p w14:paraId="5E82BC7C">
      <w:pPr>
        <w:pStyle w:val="5"/>
        <w:adjustRightInd/>
        <w:spacing w:line="360" w:lineRule="auto"/>
        <w:ind w:left="0" w:leftChars="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w:t>
      </w:r>
      <w:r>
        <w:rPr>
          <w:rFonts w:hint="eastAsia" w:ascii="宋体" w:hAnsi="宋体" w:eastAsia="宋体" w:cs="宋体"/>
          <w:color w:val="auto"/>
          <w:sz w:val="21"/>
          <w:szCs w:val="21"/>
          <w:highlight w:val="none"/>
          <w:lang w:eastAsia="zh-CN"/>
        </w:rPr>
        <w:t xml:space="preserve"> </w:t>
      </w:r>
      <w:r>
        <w:rPr>
          <w:rFonts w:hint="eastAsia" w:ascii="宋体" w:hAnsi="宋体" w:cs="宋体"/>
          <w:color w:val="auto"/>
          <w:sz w:val="21"/>
          <w:szCs w:val="21"/>
          <w:highlight w:val="none"/>
        </w:rPr>
        <w:t>投标人将上述设备发运至指定交货地点的运杂费包含在投标总价中。</w:t>
      </w:r>
    </w:p>
    <w:p w14:paraId="740D1708">
      <w:pPr>
        <w:pStyle w:val="5"/>
        <w:adjustRightInd/>
        <w:spacing w:line="360" w:lineRule="auto"/>
        <w:ind w:left="0" w:leftChars="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w:t>
      </w:r>
      <w:r>
        <w:rPr>
          <w:rFonts w:hint="eastAsia" w:ascii="宋体" w:hAnsi="宋体" w:eastAsia="宋体" w:cs="宋体"/>
          <w:color w:val="auto"/>
          <w:sz w:val="21"/>
          <w:szCs w:val="21"/>
          <w:highlight w:val="none"/>
          <w:lang w:eastAsia="zh-CN"/>
        </w:rPr>
        <w:t xml:space="preserve"> </w:t>
      </w:r>
      <w:r>
        <w:rPr>
          <w:rFonts w:hint="eastAsia" w:ascii="宋体" w:hAnsi="宋体" w:cs="宋体"/>
          <w:color w:val="auto"/>
          <w:sz w:val="21"/>
          <w:szCs w:val="21"/>
          <w:highlight w:val="none"/>
        </w:rPr>
        <w:t>如交货进度有变动，招标人</w:t>
      </w:r>
      <w:r>
        <w:rPr>
          <w:rFonts w:hint="eastAsia" w:ascii="宋体" w:hAnsi="宋体" w:cs="宋体"/>
          <w:color w:val="auto"/>
          <w:sz w:val="21"/>
          <w:szCs w:val="21"/>
          <w:highlight w:val="none"/>
          <w:lang w:val="en-US" w:eastAsia="zh-CN"/>
        </w:rPr>
        <w:t>应</w:t>
      </w:r>
      <w:r>
        <w:rPr>
          <w:rFonts w:hint="eastAsia" w:ascii="宋体" w:hAnsi="宋体" w:cs="宋体"/>
          <w:color w:val="auto"/>
          <w:sz w:val="21"/>
          <w:szCs w:val="21"/>
          <w:highlight w:val="none"/>
        </w:rPr>
        <w:t>提前通知，投标人不产生额外费用。</w:t>
      </w:r>
    </w:p>
    <w:p w14:paraId="2E1693D5">
      <w:pPr>
        <w:spacing w:before="0" w:beforeLines="0" w:after="0" w:afterLines="0" w:line="360" w:lineRule="auto"/>
        <w:outlineLvl w:val="1"/>
        <w:rPr>
          <w:rFonts w:hint="eastAsia" w:ascii="宋体" w:hAnsi="宋体" w:cs="宋体"/>
          <w:color w:val="auto"/>
          <w:sz w:val="30"/>
          <w:szCs w:val="30"/>
          <w:highlight w:val="none"/>
        </w:rPr>
      </w:pPr>
      <w:r>
        <w:rPr>
          <w:rFonts w:hint="eastAsia" w:ascii="宋体" w:hAnsi="宋体" w:cs="宋体"/>
          <w:color w:val="auto"/>
          <w:sz w:val="21"/>
          <w:szCs w:val="21"/>
          <w:highlight w:val="none"/>
        </w:rPr>
        <w:br w:type="page"/>
      </w:r>
      <w:bookmarkStart w:id="55" w:name="_Toc513014514"/>
      <w:bookmarkStart w:id="56" w:name="_Toc501817570"/>
      <w:bookmarkStart w:id="57" w:name="_Toc526944933"/>
      <w:bookmarkStart w:id="58" w:name="_Toc343695401"/>
      <w:bookmarkStart w:id="59" w:name="_Toc515785176"/>
      <w:r>
        <w:rPr>
          <w:rFonts w:hint="eastAsia" w:ascii="宋体" w:hAnsi="宋体" w:cs="宋体"/>
          <w:b/>
          <w:bCs/>
          <w:color w:val="auto"/>
          <w:sz w:val="30"/>
          <w:szCs w:val="30"/>
          <w:highlight w:val="none"/>
        </w:rPr>
        <w:t>附件5 设备监造、检验和性能验收试验</w:t>
      </w:r>
      <w:bookmarkEnd w:id="55"/>
      <w:bookmarkEnd w:id="56"/>
      <w:bookmarkEnd w:id="57"/>
      <w:bookmarkEnd w:id="58"/>
      <w:bookmarkEnd w:id="59"/>
    </w:p>
    <w:p w14:paraId="07B70AA9">
      <w:pPr>
        <w:snapToGrid/>
        <w:spacing w:before="0" w:beforeLines="0" w:after="0" w:afterLines="0" w:line="360" w:lineRule="auto"/>
        <w:outlineLvl w:val="0"/>
        <w:rPr>
          <w:rFonts w:hint="eastAsia" w:ascii="宋体" w:hAnsi="宋体" w:eastAsia="宋体" w:cs="宋体"/>
          <w:b/>
          <w:bCs/>
          <w:color w:val="auto"/>
          <w:sz w:val="28"/>
          <w:szCs w:val="28"/>
          <w:highlight w:val="none"/>
        </w:rPr>
      </w:pPr>
      <w:bookmarkStart w:id="60" w:name="_Toc515785177"/>
      <w:bookmarkStart w:id="61" w:name="_Toc513014515"/>
      <w:bookmarkStart w:id="62" w:name="_Toc501817571"/>
      <w:r>
        <w:rPr>
          <w:rFonts w:hint="eastAsia" w:ascii="宋体" w:hAnsi="宋体" w:eastAsia="宋体" w:cs="宋体"/>
          <w:b/>
          <w:bCs/>
          <w:color w:val="auto"/>
          <w:sz w:val="28"/>
          <w:szCs w:val="28"/>
          <w:highlight w:val="none"/>
        </w:rPr>
        <w:t>1</w:t>
      </w:r>
      <w:r>
        <w:rPr>
          <w:rFonts w:hint="eastAsia" w:ascii="宋体" w:hAnsi="宋体" w:eastAsia="宋体" w:cs="宋体"/>
          <w:b/>
          <w:bCs/>
          <w:color w:val="auto"/>
          <w:sz w:val="28"/>
          <w:szCs w:val="28"/>
          <w:highlight w:val="none"/>
          <w:lang w:eastAsia="zh-CN"/>
        </w:rPr>
        <w:t xml:space="preserve"> </w:t>
      </w:r>
      <w:r>
        <w:rPr>
          <w:rFonts w:hint="eastAsia" w:ascii="宋体" w:hAnsi="宋体" w:eastAsia="宋体" w:cs="宋体"/>
          <w:b/>
          <w:bCs/>
          <w:color w:val="auto"/>
          <w:sz w:val="28"/>
          <w:szCs w:val="28"/>
          <w:highlight w:val="none"/>
        </w:rPr>
        <w:t>概述</w:t>
      </w:r>
      <w:bookmarkEnd w:id="60"/>
      <w:bookmarkEnd w:id="61"/>
      <w:bookmarkEnd w:id="62"/>
    </w:p>
    <w:p w14:paraId="2557BBA9">
      <w:pPr>
        <w:spacing w:line="300" w:lineRule="auto"/>
        <w:ind w:firstLine="0"/>
        <w:rPr>
          <w:rFonts w:hint="eastAsia" w:ascii="宋体" w:hAnsi="宋体" w:cs="宋体"/>
          <w:color w:val="auto"/>
          <w:sz w:val="21"/>
          <w:szCs w:val="21"/>
          <w:highlight w:val="none"/>
        </w:rPr>
      </w:pPr>
      <w:r>
        <w:rPr>
          <w:rFonts w:hint="eastAsia" w:ascii="宋体" w:hAnsi="宋体" w:cs="宋体"/>
          <w:color w:val="auto"/>
          <w:sz w:val="21"/>
          <w:szCs w:val="21"/>
          <w:highlight w:val="none"/>
        </w:rPr>
        <w:t>1.1 本附件用于合同执行期间对</w:t>
      </w:r>
      <w:r>
        <w:rPr>
          <w:rFonts w:hint="eastAsia" w:ascii="宋体" w:hAnsi="宋体" w:cs="宋体"/>
          <w:color w:val="auto"/>
          <w:sz w:val="21"/>
          <w:szCs w:val="21"/>
          <w:highlight w:val="none"/>
          <w:lang w:eastAsia="zh-CN"/>
        </w:rPr>
        <w:t>投标人</w:t>
      </w:r>
      <w:r>
        <w:rPr>
          <w:rFonts w:hint="eastAsia" w:ascii="宋体" w:hAnsi="宋体" w:cs="宋体"/>
          <w:color w:val="auto"/>
          <w:sz w:val="21"/>
          <w:szCs w:val="21"/>
          <w:highlight w:val="none"/>
        </w:rPr>
        <w:t>所提供的设备（包括对分包外购设备）进行检验、监造和性能验收试验，确保</w:t>
      </w:r>
      <w:r>
        <w:rPr>
          <w:rFonts w:hint="eastAsia" w:ascii="宋体" w:hAnsi="宋体" w:cs="宋体"/>
          <w:color w:val="auto"/>
          <w:sz w:val="21"/>
          <w:szCs w:val="21"/>
          <w:highlight w:val="none"/>
          <w:lang w:eastAsia="zh-CN"/>
        </w:rPr>
        <w:t>投标人</w:t>
      </w:r>
      <w:r>
        <w:rPr>
          <w:rFonts w:hint="eastAsia" w:ascii="宋体" w:hAnsi="宋体" w:cs="宋体"/>
          <w:color w:val="auto"/>
          <w:sz w:val="21"/>
          <w:szCs w:val="21"/>
          <w:highlight w:val="none"/>
        </w:rPr>
        <w:t>所提供的设备符合附件1规定的要求。</w:t>
      </w:r>
    </w:p>
    <w:p w14:paraId="13D03283">
      <w:pPr>
        <w:spacing w:line="300" w:lineRule="auto"/>
        <w:ind w:firstLine="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1.2 </w:t>
      </w:r>
      <w:r>
        <w:rPr>
          <w:rFonts w:hint="eastAsia" w:ascii="宋体" w:hAnsi="宋体" w:cs="宋体"/>
          <w:color w:val="auto"/>
          <w:sz w:val="21"/>
          <w:szCs w:val="21"/>
          <w:highlight w:val="none"/>
          <w:lang w:eastAsia="zh-CN"/>
        </w:rPr>
        <w:t>投标人</w:t>
      </w:r>
      <w:r>
        <w:rPr>
          <w:rFonts w:hint="eastAsia" w:ascii="宋体" w:hAnsi="宋体" w:cs="宋体"/>
          <w:color w:val="auto"/>
          <w:sz w:val="21"/>
          <w:szCs w:val="21"/>
          <w:highlight w:val="none"/>
        </w:rPr>
        <w:t>应在本合同生效后</w:t>
      </w:r>
      <w:r>
        <w:rPr>
          <w:rFonts w:hint="eastAsia" w:ascii="宋体" w:hAnsi="宋体" w:cs="宋体"/>
          <w:color w:val="auto"/>
          <w:sz w:val="21"/>
          <w:szCs w:val="21"/>
          <w:highlight w:val="none"/>
          <w:lang w:eastAsia="zh-CN"/>
        </w:rPr>
        <w:t>1</w:t>
      </w:r>
      <w:r>
        <w:rPr>
          <w:rFonts w:hint="eastAsia" w:ascii="宋体" w:hAnsi="宋体" w:cs="宋体"/>
          <w:color w:val="auto"/>
          <w:sz w:val="21"/>
          <w:szCs w:val="21"/>
          <w:highlight w:val="none"/>
        </w:rPr>
        <w:t>个月内，向</w:t>
      </w:r>
      <w:r>
        <w:rPr>
          <w:rFonts w:hint="eastAsia" w:ascii="宋体" w:hAnsi="宋体" w:cs="宋体"/>
          <w:color w:val="auto"/>
          <w:sz w:val="21"/>
          <w:szCs w:val="21"/>
          <w:highlight w:val="none"/>
          <w:lang w:eastAsia="zh-CN"/>
        </w:rPr>
        <w:t>招标人</w:t>
      </w:r>
      <w:r>
        <w:rPr>
          <w:rFonts w:hint="eastAsia" w:ascii="宋体" w:hAnsi="宋体" w:cs="宋体"/>
          <w:color w:val="auto"/>
          <w:sz w:val="21"/>
          <w:szCs w:val="21"/>
          <w:highlight w:val="none"/>
        </w:rPr>
        <w:t>提供与本合同设备有关的监造、检验、性能验收试验标准。有关标准应符合附件1的规定。</w:t>
      </w:r>
    </w:p>
    <w:p w14:paraId="3DF22679">
      <w:pPr>
        <w:snapToGrid/>
        <w:spacing w:before="0" w:beforeLines="0" w:after="0" w:afterLines="0" w:line="360" w:lineRule="auto"/>
        <w:outlineLvl w:val="0"/>
        <w:rPr>
          <w:rFonts w:hint="eastAsia" w:ascii="宋体" w:hAnsi="宋体" w:eastAsia="宋体" w:cs="宋体"/>
          <w:b/>
          <w:bCs/>
          <w:color w:val="auto"/>
          <w:sz w:val="28"/>
          <w:szCs w:val="28"/>
          <w:highlight w:val="none"/>
        </w:rPr>
      </w:pPr>
      <w:bookmarkStart w:id="63" w:name="_Toc513014516"/>
      <w:bookmarkStart w:id="64" w:name="_Toc501817572"/>
      <w:bookmarkStart w:id="65" w:name="_Toc515785178"/>
      <w:r>
        <w:rPr>
          <w:rFonts w:hint="eastAsia" w:ascii="宋体" w:hAnsi="宋体" w:eastAsia="宋体" w:cs="宋体"/>
          <w:b/>
          <w:bCs/>
          <w:color w:val="auto"/>
          <w:sz w:val="28"/>
          <w:szCs w:val="28"/>
          <w:highlight w:val="none"/>
        </w:rPr>
        <w:t>2</w:t>
      </w:r>
      <w:r>
        <w:rPr>
          <w:rFonts w:hint="eastAsia" w:ascii="宋体" w:hAnsi="宋体" w:eastAsia="宋体" w:cs="宋体"/>
          <w:b/>
          <w:bCs/>
          <w:color w:val="auto"/>
          <w:sz w:val="28"/>
          <w:szCs w:val="28"/>
          <w:highlight w:val="none"/>
          <w:lang w:eastAsia="zh-CN"/>
        </w:rPr>
        <w:t xml:space="preserve"> </w:t>
      </w:r>
      <w:r>
        <w:rPr>
          <w:rFonts w:hint="eastAsia" w:ascii="宋体" w:hAnsi="宋体" w:eastAsia="宋体" w:cs="宋体"/>
          <w:b/>
          <w:bCs/>
          <w:color w:val="auto"/>
          <w:sz w:val="28"/>
          <w:szCs w:val="28"/>
          <w:highlight w:val="none"/>
        </w:rPr>
        <w:t>工厂检查</w:t>
      </w:r>
      <w:bookmarkEnd w:id="63"/>
      <w:bookmarkEnd w:id="64"/>
      <w:bookmarkEnd w:id="65"/>
      <w:r>
        <w:rPr>
          <w:rFonts w:hint="eastAsia" w:ascii="宋体" w:hAnsi="宋体" w:eastAsia="宋体" w:cs="宋体"/>
          <w:b/>
          <w:bCs/>
          <w:color w:val="auto"/>
          <w:sz w:val="28"/>
          <w:szCs w:val="28"/>
          <w:highlight w:val="none"/>
        </w:rPr>
        <w:t>和监造</w:t>
      </w:r>
    </w:p>
    <w:p w14:paraId="566B9C8C">
      <w:pPr>
        <w:spacing w:line="360" w:lineRule="auto"/>
        <w:ind w:firstLine="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2.1 </w:t>
      </w:r>
      <w:r>
        <w:rPr>
          <w:rFonts w:hint="eastAsia" w:ascii="宋体" w:hAnsi="宋体" w:cs="宋体"/>
          <w:color w:val="auto"/>
          <w:sz w:val="21"/>
          <w:szCs w:val="21"/>
          <w:highlight w:val="none"/>
          <w:lang w:eastAsia="zh-CN"/>
        </w:rPr>
        <w:t>招标人</w:t>
      </w:r>
      <w:r>
        <w:rPr>
          <w:rFonts w:hint="eastAsia" w:ascii="宋体" w:hAnsi="宋体" w:cs="宋体"/>
          <w:color w:val="auto"/>
          <w:sz w:val="21"/>
          <w:szCs w:val="21"/>
          <w:highlight w:val="none"/>
        </w:rPr>
        <w:t>有权派遣其检验人员到</w:t>
      </w:r>
      <w:r>
        <w:rPr>
          <w:rFonts w:hint="eastAsia" w:ascii="宋体" w:hAnsi="宋体" w:cs="宋体"/>
          <w:color w:val="auto"/>
          <w:sz w:val="21"/>
          <w:szCs w:val="21"/>
          <w:highlight w:val="none"/>
          <w:lang w:eastAsia="zh-CN"/>
        </w:rPr>
        <w:t>投标人</w:t>
      </w:r>
      <w:r>
        <w:rPr>
          <w:rFonts w:hint="eastAsia" w:ascii="宋体" w:hAnsi="宋体" w:cs="宋体"/>
          <w:color w:val="auto"/>
          <w:sz w:val="21"/>
          <w:szCs w:val="21"/>
          <w:highlight w:val="none"/>
        </w:rPr>
        <w:t>及其分包商的车间场所，对合同设备的加工制造进行检验和监造。</w:t>
      </w:r>
      <w:r>
        <w:rPr>
          <w:rFonts w:hint="eastAsia" w:ascii="宋体" w:hAnsi="宋体" w:cs="宋体"/>
          <w:color w:val="auto"/>
          <w:sz w:val="21"/>
          <w:szCs w:val="21"/>
          <w:highlight w:val="none"/>
          <w:lang w:eastAsia="zh-CN"/>
        </w:rPr>
        <w:t>招标人</w:t>
      </w:r>
      <w:r>
        <w:rPr>
          <w:rFonts w:hint="eastAsia" w:ascii="宋体" w:hAnsi="宋体" w:cs="宋体"/>
          <w:color w:val="auto"/>
          <w:sz w:val="21"/>
          <w:szCs w:val="21"/>
          <w:highlight w:val="none"/>
        </w:rPr>
        <w:t>将为此目的而派遣的代表的身份以书面形式通知</w:t>
      </w:r>
      <w:r>
        <w:rPr>
          <w:rFonts w:hint="eastAsia" w:ascii="宋体" w:hAnsi="宋体" w:cs="宋体"/>
          <w:color w:val="auto"/>
          <w:sz w:val="21"/>
          <w:szCs w:val="21"/>
          <w:highlight w:val="none"/>
          <w:lang w:eastAsia="zh-CN"/>
        </w:rPr>
        <w:t>投标人</w:t>
      </w:r>
      <w:r>
        <w:rPr>
          <w:rFonts w:hint="eastAsia" w:ascii="宋体" w:hAnsi="宋体" w:cs="宋体"/>
          <w:color w:val="auto"/>
          <w:sz w:val="21"/>
          <w:szCs w:val="21"/>
          <w:highlight w:val="none"/>
        </w:rPr>
        <w:t>。</w:t>
      </w:r>
    </w:p>
    <w:p w14:paraId="6888F0E1">
      <w:pPr>
        <w:spacing w:line="360" w:lineRule="auto"/>
        <w:ind w:firstLine="0"/>
        <w:rPr>
          <w:rFonts w:hint="eastAsia" w:ascii="宋体" w:hAnsi="宋体" w:cs="宋体"/>
          <w:color w:val="auto"/>
          <w:sz w:val="21"/>
          <w:szCs w:val="21"/>
          <w:highlight w:val="none"/>
        </w:rPr>
      </w:pPr>
      <w:r>
        <w:rPr>
          <w:rFonts w:hint="eastAsia" w:ascii="宋体" w:hAnsi="宋体" w:cs="宋体"/>
          <w:color w:val="auto"/>
          <w:sz w:val="21"/>
          <w:szCs w:val="21"/>
          <w:highlight w:val="none"/>
        </w:rPr>
        <w:t>2.2 如有合同设备经检验和试验不符合技术规范的要求,</w:t>
      </w:r>
      <w:r>
        <w:rPr>
          <w:rFonts w:hint="eastAsia" w:ascii="宋体" w:hAnsi="宋体" w:cs="宋体"/>
          <w:color w:val="auto"/>
          <w:sz w:val="21"/>
          <w:szCs w:val="21"/>
          <w:highlight w:val="none"/>
          <w:lang w:eastAsia="zh-CN"/>
        </w:rPr>
        <w:t>招标人</w:t>
      </w:r>
      <w:r>
        <w:rPr>
          <w:rFonts w:hint="eastAsia" w:ascii="宋体" w:hAnsi="宋体" w:cs="宋体"/>
          <w:color w:val="auto"/>
          <w:sz w:val="21"/>
          <w:szCs w:val="21"/>
          <w:highlight w:val="none"/>
        </w:rPr>
        <w:t>可以拒收,</w:t>
      </w:r>
      <w:r>
        <w:rPr>
          <w:rFonts w:hint="eastAsia" w:ascii="宋体" w:hAnsi="宋体" w:cs="宋体"/>
          <w:color w:val="auto"/>
          <w:sz w:val="21"/>
          <w:szCs w:val="21"/>
          <w:highlight w:val="none"/>
          <w:lang w:eastAsia="zh-CN"/>
        </w:rPr>
        <w:t>投标人</w:t>
      </w:r>
      <w:r>
        <w:rPr>
          <w:rFonts w:hint="eastAsia" w:ascii="宋体" w:hAnsi="宋体" w:cs="宋体"/>
          <w:color w:val="auto"/>
          <w:sz w:val="21"/>
          <w:szCs w:val="21"/>
          <w:highlight w:val="none"/>
        </w:rPr>
        <w:t>应更换被拒收的货物，或进行必要的改造使之符合技术规范的要求，</w:t>
      </w:r>
      <w:r>
        <w:rPr>
          <w:rFonts w:hint="eastAsia" w:ascii="宋体" w:hAnsi="宋体" w:cs="宋体"/>
          <w:color w:val="auto"/>
          <w:sz w:val="21"/>
          <w:szCs w:val="21"/>
          <w:highlight w:val="none"/>
          <w:lang w:eastAsia="zh-CN"/>
        </w:rPr>
        <w:t>招标人</w:t>
      </w:r>
      <w:r>
        <w:rPr>
          <w:rFonts w:hint="eastAsia" w:ascii="宋体" w:hAnsi="宋体" w:cs="宋体"/>
          <w:color w:val="auto"/>
          <w:sz w:val="21"/>
          <w:szCs w:val="21"/>
          <w:highlight w:val="none"/>
        </w:rPr>
        <w:t>不承担上述的费用。</w:t>
      </w:r>
    </w:p>
    <w:p w14:paraId="1F38AFF2">
      <w:pPr>
        <w:spacing w:line="360" w:lineRule="auto"/>
        <w:ind w:firstLine="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2.3 </w:t>
      </w:r>
      <w:r>
        <w:rPr>
          <w:rFonts w:hint="eastAsia" w:ascii="宋体" w:hAnsi="宋体" w:cs="宋体"/>
          <w:color w:val="auto"/>
          <w:sz w:val="21"/>
          <w:szCs w:val="21"/>
          <w:highlight w:val="none"/>
          <w:lang w:eastAsia="zh-CN"/>
        </w:rPr>
        <w:t>招标人</w:t>
      </w:r>
      <w:r>
        <w:rPr>
          <w:rFonts w:hint="eastAsia" w:ascii="宋体" w:hAnsi="宋体" w:cs="宋体"/>
          <w:color w:val="auto"/>
          <w:sz w:val="21"/>
          <w:szCs w:val="21"/>
          <w:highlight w:val="none"/>
        </w:rPr>
        <w:t>对货物运到</w:t>
      </w:r>
      <w:r>
        <w:rPr>
          <w:rFonts w:hint="eastAsia" w:ascii="宋体" w:hAnsi="宋体" w:cs="宋体"/>
          <w:color w:val="auto"/>
          <w:sz w:val="21"/>
          <w:szCs w:val="21"/>
          <w:highlight w:val="none"/>
          <w:lang w:eastAsia="zh-CN"/>
        </w:rPr>
        <w:t>招标人</w:t>
      </w:r>
      <w:r>
        <w:rPr>
          <w:rFonts w:hint="eastAsia" w:ascii="宋体" w:hAnsi="宋体" w:cs="宋体"/>
          <w:color w:val="auto"/>
          <w:sz w:val="21"/>
          <w:szCs w:val="21"/>
          <w:highlight w:val="none"/>
        </w:rPr>
        <w:t>所在地以后进行检验、试验和拒收(如果必要时)的权利，不得因该货物在原产地发运以前已经由</w:t>
      </w:r>
      <w:r>
        <w:rPr>
          <w:rFonts w:hint="eastAsia" w:ascii="宋体" w:hAnsi="宋体" w:cs="宋体"/>
          <w:color w:val="auto"/>
          <w:sz w:val="21"/>
          <w:szCs w:val="21"/>
          <w:highlight w:val="none"/>
          <w:lang w:eastAsia="zh-CN"/>
        </w:rPr>
        <w:t>招标人</w:t>
      </w:r>
      <w:r>
        <w:rPr>
          <w:rFonts w:hint="eastAsia" w:ascii="宋体" w:hAnsi="宋体" w:cs="宋体"/>
          <w:color w:val="auto"/>
          <w:sz w:val="21"/>
          <w:szCs w:val="21"/>
          <w:highlight w:val="none"/>
        </w:rPr>
        <w:t>或其代表进行过监造和检验并已通过作为理由而受到限制。</w:t>
      </w:r>
      <w:r>
        <w:rPr>
          <w:rFonts w:hint="eastAsia" w:ascii="宋体" w:hAnsi="宋体" w:cs="宋体"/>
          <w:color w:val="auto"/>
          <w:sz w:val="21"/>
          <w:szCs w:val="21"/>
          <w:highlight w:val="none"/>
          <w:lang w:eastAsia="zh-CN"/>
        </w:rPr>
        <w:t>招标人</w:t>
      </w:r>
      <w:r>
        <w:rPr>
          <w:rFonts w:hint="eastAsia" w:ascii="宋体" w:hAnsi="宋体" w:cs="宋体"/>
          <w:color w:val="auto"/>
          <w:sz w:val="21"/>
          <w:szCs w:val="21"/>
          <w:highlight w:val="none"/>
        </w:rPr>
        <w:t>人员参加工厂试验,包括会签任何试验结果，既不免除</w:t>
      </w:r>
      <w:r>
        <w:rPr>
          <w:rFonts w:hint="eastAsia" w:ascii="宋体" w:hAnsi="宋体" w:cs="宋体"/>
          <w:color w:val="auto"/>
          <w:sz w:val="21"/>
          <w:szCs w:val="21"/>
          <w:highlight w:val="none"/>
          <w:lang w:eastAsia="zh-CN"/>
        </w:rPr>
        <w:t>投标人</w:t>
      </w:r>
      <w:r>
        <w:rPr>
          <w:rFonts w:hint="eastAsia" w:ascii="宋体" w:hAnsi="宋体" w:cs="宋体"/>
          <w:color w:val="auto"/>
          <w:sz w:val="21"/>
          <w:szCs w:val="21"/>
          <w:highlight w:val="none"/>
        </w:rPr>
        <w:t>按合同规定应负的责任,也不能代替合同设备到达现场后</w:t>
      </w:r>
      <w:r>
        <w:rPr>
          <w:rFonts w:hint="eastAsia" w:ascii="宋体" w:hAnsi="宋体" w:cs="宋体"/>
          <w:color w:val="auto"/>
          <w:sz w:val="21"/>
          <w:szCs w:val="21"/>
          <w:highlight w:val="none"/>
          <w:lang w:eastAsia="zh-CN"/>
        </w:rPr>
        <w:t>招标人</w:t>
      </w:r>
      <w:r>
        <w:rPr>
          <w:rFonts w:hint="eastAsia" w:ascii="宋体" w:hAnsi="宋体" w:cs="宋体"/>
          <w:color w:val="auto"/>
          <w:sz w:val="21"/>
          <w:szCs w:val="21"/>
          <w:highlight w:val="none"/>
        </w:rPr>
        <w:t>对其进行的检验。</w:t>
      </w:r>
    </w:p>
    <w:p w14:paraId="5682A408">
      <w:pPr>
        <w:spacing w:line="360" w:lineRule="auto"/>
        <w:ind w:firstLine="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2.4 </w:t>
      </w:r>
      <w:r>
        <w:rPr>
          <w:rFonts w:hint="eastAsia" w:ascii="宋体" w:hAnsi="宋体" w:cs="宋体"/>
          <w:color w:val="auto"/>
          <w:sz w:val="21"/>
          <w:szCs w:val="21"/>
          <w:highlight w:val="none"/>
          <w:lang w:eastAsia="zh-CN"/>
        </w:rPr>
        <w:t>投标人</w:t>
      </w:r>
      <w:r>
        <w:rPr>
          <w:rFonts w:hint="eastAsia" w:ascii="宋体" w:hAnsi="宋体" w:cs="宋体"/>
          <w:color w:val="auto"/>
          <w:sz w:val="21"/>
          <w:szCs w:val="21"/>
          <w:highlight w:val="none"/>
        </w:rPr>
        <w:t>应在开始进行工厂试验前15天，通知</w:t>
      </w:r>
      <w:r>
        <w:rPr>
          <w:rFonts w:hint="eastAsia" w:ascii="宋体" w:hAnsi="宋体" w:cs="宋体"/>
          <w:color w:val="auto"/>
          <w:sz w:val="21"/>
          <w:szCs w:val="21"/>
          <w:highlight w:val="none"/>
          <w:lang w:eastAsia="zh-CN"/>
        </w:rPr>
        <w:t>招标人</w:t>
      </w:r>
      <w:r>
        <w:rPr>
          <w:rFonts w:hint="eastAsia" w:ascii="宋体" w:hAnsi="宋体" w:cs="宋体"/>
          <w:color w:val="auto"/>
          <w:sz w:val="21"/>
          <w:szCs w:val="21"/>
          <w:highlight w:val="none"/>
        </w:rPr>
        <w:t>其日程安排。根据这个日程安排，</w:t>
      </w:r>
      <w:r>
        <w:rPr>
          <w:rFonts w:hint="eastAsia" w:ascii="宋体" w:hAnsi="宋体" w:cs="宋体"/>
          <w:color w:val="auto"/>
          <w:sz w:val="21"/>
          <w:szCs w:val="21"/>
          <w:highlight w:val="none"/>
          <w:lang w:eastAsia="zh-CN"/>
        </w:rPr>
        <w:t>招标人</w:t>
      </w:r>
      <w:r>
        <w:rPr>
          <w:rFonts w:hint="eastAsia" w:ascii="宋体" w:hAnsi="宋体" w:cs="宋体"/>
          <w:color w:val="auto"/>
          <w:sz w:val="21"/>
          <w:szCs w:val="21"/>
          <w:highlight w:val="none"/>
        </w:rPr>
        <w:t>将确定对合同设备的那些试验项目和阶段要进行现场验证，并将在接到</w:t>
      </w:r>
      <w:r>
        <w:rPr>
          <w:rFonts w:hint="eastAsia" w:ascii="宋体" w:hAnsi="宋体" w:cs="宋体"/>
          <w:color w:val="auto"/>
          <w:sz w:val="21"/>
          <w:szCs w:val="21"/>
          <w:highlight w:val="none"/>
          <w:lang w:eastAsia="zh-CN"/>
        </w:rPr>
        <w:t>投标人</w:t>
      </w:r>
      <w:r>
        <w:rPr>
          <w:rFonts w:hint="eastAsia" w:ascii="宋体" w:hAnsi="宋体" w:cs="宋体"/>
          <w:color w:val="auto"/>
          <w:sz w:val="21"/>
          <w:szCs w:val="21"/>
          <w:highlight w:val="none"/>
        </w:rPr>
        <w:t>关于安装、试验和检验的日程安排通知后10天内通知</w:t>
      </w:r>
      <w:r>
        <w:rPr>
          <w:rFonts w:hint="eastAsia" w:ascii="宋体" w:hAnsi="宋体" w:cs="宋体"/>
          <w:color w:val="auto"/>
          <w:sz w:val="21"/>
          <w:szCs w:val="21"/>
          <w:highlight w:val="none"/>
          <w:lang w:eastAsia="zh-CN"/>
        </w:rPr>
        <w:t>投标人</w:t>
      </w:r>
      <w:r>
        <w:rPr>
          <w:rFonts w:hint="eastAsia" w:ascii="宋体" w:hAnsi="宋体" w:cs="宋体"/>
          <w:color w:val="auto"/>
          <w:sz w:val="21"/>
          <w:szCs w:val="21"/>
          <w:highlight w:val="none"/>
        </w:rPr>
        <w:t>。然后</w:t>
      </w:r>
      <w:r>
        <w:rPr>
          <w:rFonts w:hint="eastAsia" w:ascii="宋体" w:hAnsi="宋体" w:cs="宋体"/>
          <w:color w:val="auto"/>
          <w:sz w:val="21"/>
          <w:szCs w:val="21"/>
          <w:highlight w:val="none"/>
          <w:lang w:eastAsia="zh-CN"/>
        </w:rPr>
        <w:t>招标人</w:t>
      </w:r>
      <w:r>
        <w:rPr>
          <w:rFonts w:hint="eastAsia" w:ascii="宋体" w:hAnsi="宋体" w:cs="宋体"/>
          <w:color w:val="auto"/>
          <w:sz w:val="21"/>
          <w:szCs w:val="21"/>
          <w:highlight w:val="none"/>
        </w:rPr>
        <w:t>将派出技术人员前往</w:t>
      </w:r>
      <w:r>
        <w:rPr>
          <w:rFonts w:hint="eastAsia" w:ascii="宋体" w:hAnsi="宋体" w:cs="宋体"/>
          <w:color w:val="auto"/>
          <w:sz w:val="21"/>
          <w:szCs w:val="21"/>
          <w:highlight w:val="none"/>
          <w:lang w:eastAsia="zh-CN"/>
        </w:rPr>
        <w:t>投标人</w:t>
      </w:r>
      <w:r>
        <w:rPr>
          <w:rFonts w:hint="eastAsia" w:ascii="宋体" w:hAnsi="宋体" w:cs="宋体"/>
          <w:color w:val="auto"/>
          <w:sz w:val="21"/>
          <w:szCs w:val="21"/>
          <w:highlight w:val="none"/>
        </w:rPr>
        <w:t>和(或)其分包商生产现场，以观察和了解该合同设备工厂试验的情况及其运输包装的情况。若发现任一货物的质量不符合合同规定的标准，或包装不满足要求,</w:t>
      </w:r>
      <w:r>
        <w:rPr>
          <w:rFonts w:hint="eastAsia" w:ascii="宋体" w:hAnsi="宋体" w:cs="宋体"/>
          <w:color w:val="auto"/>
          <w:sz w:val="21"/>
          <w:szCs w:val="21"/>
          <w:highlight w:val="none"/>
          <w:lang w:eastAsia="zh-CN"/>
        </w:rPr>
        <w:t>招标人</w:t>
      </w:r>
      <w:r>
        <w:rPr>
          <w:rFonts w:hint="eastAsia" w:ascii="宋体" w:hAnsi="宋体" w:cs="宋体"/>
          <w:color w:val="auto"/>
          <w:sz w:val="21"/>
          <w:szCs w:val="21"/>
          <w:highlight w:val="none"/>
        </w:rPr>
        <w:t>代表有权发表意见,</w:t>
      </w:r>
      <w:r>
        <w:rPr>
          <w:rFonts w:hint="eastAsia" w:ascii="宋体" w:hAnsi="宋体" w:cs="宋体"/>
          <w:color w:val="auto"/>
          <w:sz w:val="21"/>
          <w:szCs w:val="21"/>
          <w:highlight w:val="none"/>
          <w:lang w:eastAsia="zh-CN"/>
        </w:rPr>
        <w:t>投标人</w:t>
      </w:r>
      <w:r>
        <w:rPr>
          <w:rFonts w:hint="eastAsia" w:ascii="宋体" w:hAnsi="宋体" w:cs="宋体"/>
          <w:color w:val="auto"/>
          <w:sz w:val="21"/>
          <w:szCs w:val="21"/>
          <w:highlight w:val="none"/>
        </w:rPr>
        <w:t>应认真考虑其意见，并采取必要措施以确保待运合同设备的质量，现场验证检验程序由双方代表共同协商决定。</w:t>
      </w:r>
    </w:p>
    <w:p w14:paraId="10BC4F33">
      <w:pPr>
        <w:spacing w:line="360" w:lineRule="auto"/>
        <w:ind w:firstLine="0"/>
        <w:rPr>
          <w:rFonts w:hint="eastAsia" w:ascii="宋体" w:hAnsi="宋体" w:cs="宋体"/>
          <w:color w:val="auto"/>
          <w:sz w:val="21"/>
          <w:szCs w:val="21"/>
          <w:highlight w:val="none"/>
        </w:rPr>
      </w:pPr>
      <w:r>
        <w:rPr>
          <w:rFonts w:hint="eastAsia" w:ascii="宋体" w:hAnsi="宋体" w:cs="宋体"/>
          <w:color w:val="auto"/>
          <w:sz w:val="21"/>
          <w:szCs w:val="21"/>
          <w:highlight w:val="none"/>
        </w:rPr>
        <w:t>2.5 若</w:t>
      </w:r>
      <w:r>
        <w:rPr>
          <w:rFonts w:hint="eastAsia" w:ascii="宋体" w:hAnsi="宋体" w:cs="宋体"/>
          <w:color w:val="auto"/>
          <w:sz w:val="21"/>
          <w:szCs w:val="21"/>
          <w:highlight w:val="none"/>
          <w:lang w:eastAsia="zh-CN"/>
        </w:rPr>
        <w:t>招标人</w:t>
      </w:r>
      <w:r>
        <w:rPr>
          <w:rFonts w:hint="eastAsia" w:ascii="宋体" w:hAnsi="宋体" w:cs="宋体"/>
          <w:color w:val="auto"/>
          <w:sz w:val="21"/>
          <w:szCs w:val="21"/>
          <w:highlight w:val="none"/>
        </w:rPr>
        <w:t>不派代表参加上述试验,</w:t>
      </w:r>
      <w:r>
        <w:rPr>
          <w:rFonts w:hint="eastAsia" w:ascii="宋体" w:hAnsi="宋体" w:cs="宋体"/>
          <w:color w:val="auto"/>
          <w:sz w:val="21"/>
          <w:szCs w:val="21"/>
          <w:highlight w:val="none"/>
          <w:lang w:eastAsia="zh-CN"/>
        </w:rPr>
        <w:t>投标人</w:t>
      </w:r>
      <w:r>
        <w:rPr>
          <w:rFonts w:hint="eastAsia" w:ascii="宋体" w:hAnsi="宋体" w:cs="宋体"/>
          <w:color w:val="auto"/>
          <w:sz w:val="21"/>
          <w:szCs w:val="21"/>
          <w:highlight w:val="none"/>
        </w:rPr>
        <w:t>应在接到</w:t>
      </w:r>
      <w:r>
        <w:rPr>
          <w:rFonts w:hint="eastAsia" w:ascii="宋体" w:hAnsi="宋体" w:cs="宋体"/>
          <w:color w:val="auto"/>
          <w:sz w:val="21"/>
          <w:szCs w:val="21"/>
          <w:highlight w:val="none"/>
          <w:lang w:eastAsia="zh-CN"/>
        </w:rPr>
        <w:t>招标人</w:t>
      </w:r>
      <w:r>
        <w:rPr>
          <w:rFonts w:hint="eastAsia" w:ascii="宋体" w:hAnsi="宋体" w:cs="宋体"/>
          <w:color w:val="auto"/>
          <w:sz w:val="21"/>
          <w:szCs w:val="21"/>
          <w:highlight w:val="none"/>
        </w:rPr>
        <w:t>关于不派员到</w:t>
      </w:r>
      <w:r>
        <w:rPr>
          <w:rFonts w:hint="eastAsia" w:ascii="宋体" w:hAnsi="宋体" w:cs="宋体"/>
          <w:color w:val="auto"/>
          <w:sz w:val="21"/>
          <w:szCs w:val="21"/>
          <w:highlight w:val="none"/>
          <w:lang w:eastAsia="zh-CN"/>
        </w:rPr>
        <w:t>投标人</w:t>
      </w:r>
      <w:r>
        <w:rPr>
          <w:rFonts w:hint="eastAsia" w:ascii="宋体" w:hAnsi="宋体" w:cs="宋体"/>
          <w:color w:val="auto"/>
          <w:sz w:val="21"/>
          <w:szCs w:val="21"/>
          <w:highlight w:val="none"/>
        </w:rPr>
        <w:t>和(或)其分包商工厂的通知后,或</w:t>
      </w:r>
      <w:r>
        <w:rPr>
          <w:rFonts w:hint="eastAsia" w:ascii="宋体" w:hAnsi="宋体" w:cs="宋体"/>
          <w:color w:val="auto"/>
          <w:sz w:val="21"/>
          <w:szCs w:val="21"/>
          <w:highlight w:val="none"/>
          <w:lang w:eastAsia="zh-CN"/>
        </w:rPr>
        <w:t>招标人</w:t>
      </w:r>
      <w:r>
        <w:rPr>
          <w:rFonts w:hint="eastAsia" w:ascii="宋体" w:hAnsi="宋体" w:cs="宋体"/>
          <w:color w:val="auto"/>
          <w:sz w:val="21"/>
          <w:szCs w:val="21"/>
          <w:highlight w:val="none"/>
        </w:rPr>
        <w:t>未按时派遣人员参加的情况下，自行组织检验。</w:t>
      </w:r>
    </w:p>
    <w:p w14:paraId="17D1FC90">
      <w:pPr>
        <w:spacing w:line="360" w:lineRule="auto"/>
        <w:ind w:firstLine="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2.6 </w:t>
      </w:r>
      <w:r>
        <w:rPr>
          <w:rFonts w:hint="eastAsia" w:ascii="宋体" w:hAnsi="宋体" w:cs="宋体"/>
          <w:color w:val="auto"/>
          <w:sz w:val="21"/>
          <w:szCs w:val="21"/>
          <w:highlight w:val="none"/>
          <w:lang w:eastAsia="zh-CN"/>
        </w:rPr>
        <w:t>招标人</w:t>
      </w:r>
      <w:r>
        <w:rPr>
          <w:rFonts w:hint="eastAsia" w:ascii="宋体" w:hAnsi="宋体" w:cs="宋体"/>
          <w:color w:val="auto"/>
          <w:sz w:val="21"/>
          <w:szCs w:val="21"/>
          <w:highlight w:val="none"/>
        </w:rPr>
        <w:t>将委托监造公司对本设备进行监造，监造公司将根据本技术协议附件五中的内容与</w:t>
      </w:r>
      <w:r>
        <w:rPr>
          <w:rFonts w:hint="eastAsia" w:ascii="宋体" w:hAnsi="宋体" w:cs="宋体"/>
          <w:color w:val="auto"/>
          <w:sz w:val="21"/>
          <w:szCs w:val="21"/>
          <w:highlight w:val="none"/>
          <w:lang w:eastAsia="zh-CN"/>
        </w:rPr>
        <w:t>投标人</w:t>
      </w:r>
      <w:r>
        <w:rPr>
          <w:rFonts w:hint="eastAsia" w:ascii="宋体" w:hAnsi="宋体" w:cs="宋体"/>
          <w:color w:val="auto"/>
          <w:sz w:val="21"/>
          <w:szCs w:val="21"/>
          <w:highlight w:val="none"/>
        </w:rPr>
        <w:t>签署一份监造协议，作为入厂对本设备监造的依据。监造者有权到生产合同设备的车间和部门了解生产信息，并提出监造中发现的问题(如有)。</w:t>
      </w:r>
    </w:p>
    <w:p w14:paraId="52D5DA5F">
      <w:pPr>
        <w:snapToGrid/>
        <w:spacing w:before="0" w:beforeLines="0" w:after="0" w:afterLines="0" w:line="360" w:lineRule="auto"/>
        <w:outlineLvl w:val="0"/>
        <w:rPr>
          <w:rFonts w:hint="eastAsia" w:ascii="宋体" w:hAnsi="宋体" w:eastAsia="宋体" w:cs="宋体"/>
          <w:b/>
          <w:bCs/>
          <w:color w:val="auto"/>
          <w:sz w:val="28"/>
          <w:szCs w:val="28"/>
          <w:highlight w:val="none"/>
        </w:rPr>
      </w:pPr>
      <w:bookmarkStart w:id="66" w:name="_Toc513014518"/>
      <w:bookmarkStart w:id="67" w:name="_Toc515785180"/>
      <w:bookmarkStart w:id="68" w:name="_Toc501817574"/>
      <w:r>
        <w:rPr>
          <w:rFonts w:hint="eastAsia" w:ascii="宋体" w:hAnsi="宋体" w:eastAsia="宋体" w:cs="宋体"/>
          <w:b/>
          <w:bCs/>
          <w:color w:val="auto"/>
          <w:sz w:val="28"/>
          <w:szCs w:val="28"/>
          <w:highlight w:val="none"/>
        </w:rPr>
        <w:t>3</w:t>
      </w:r>
      <w:r>
        <w:rPr>
          <w:rFonts w:hint="eastAsia" w:ascii="宋体" w:hAnsi="宋体" w:eastAsia="宋体" w:cs="宋体"/>
          <w:b/>
          <w:bCs/>
          <w:color w:val="auto"/>
          <w:sz w:val="28"/>
          <w:szCs w:val="28"/>
          <w:highlight w:val="none"/>
          <w:lang w:val="en-US" w:eastAsia="zh-CN"/>
        </w:rPr>
        <w:t xml:space="preserve"> </w:t>
      </w:r>
      <w:r>
        <w:rPr>
          <w:rFonts w:hint="eastAsia" w:ascii="宋体" w:hAnsi="宋体" w:eastAsia="宋体" w:cs="宋体"/>
          <w:b/>
          <w:bCs/>
          <w:color w:val="auto"/>
          <w:sz w:val="28"/>
          <w:szCs w:val="28"/>
          <w:highlight w:val="none"/>
        </w:rPr>
        <w:t>性能验收试验</w:t>
      </w:r>
      <w:bookmarkEnd w:id="66"/>
      <w:bookmarkEnd w:id="67"/>
      <w:bookmarkEnd w:id="68"/>
    </w:p>
    <w:p w14:paraId="59DC4152">
      <w:pPr>
        <w:spacing w:line="360" w:lineRule="auto"/>
        <w:jc w:val="left"/>
        <w:outlineLvl w:val="1"/>
        <w:rPr>
          <w:rFonts w:hint="eastAsia" w:ascii="宋体" w:hAnsi="宋体" w:cs="宋体"/>
          <w:color w:val="auto"/>
          <w:sz w:val="21"/>
          <w:szCs w:val="21"/>
          <w:highlight w:val="none"/>
        </w:rPr>
      </w:pPr>
      <w:r>
        <w:rPr>
          <w:rFonts w:hint="eastAsia" w:ascii="宋体" w:hAnsi="宋体" w:cs="宋体"/>
          <w:color w:val="auto"/>
          <w:sz w:val="21"/>
          <w:szCs w:val="21"/>
          <w:highlight w:val="none"/>
        </w:rPr>
        <w:t>3.1</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质量保证</w:t>
      </w:r>
    </w:p>
    <w:p w14:paraId="691D125E">
      <w:pPr>
        <w:spacing w:line="360" w:lineRule="auto"/>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3.1.1</w:t>
      </w:r>
      <w:r>
        <w:rPr>
          <w:rFonts w:hint="eastAsia" w:ascii="宋体" w:hAnsi="宋体" w:cs="宋体"/>
          <w:color w:val="auto"/>
          <w:sz w:val="21"/>
          <w:szCs w:val="21"/>
          <w:highlight w:val="none"/>
          <w:lang w:eastAsia="zh-CN"/>
        </w:rPr>
        <w:t xml:space="preserve"> </w:t>
      </w:r>
      <w:r>
        <w:rPr>
          <w:rFonts w:hint="eastAsia" w:ascii="宋体" w:hAnsi="宋体" w:cs="宋体"/>
          <w:color w:val="auto"/>
          <w:sz w:val="21"/>
          <w:szCs w:val="21"/>
          <w:highlight w:val="none"/>
        </w:rPr>
        <w:t>订购的新产品除应满足本规范书外，</w:t>
      </w:r>
      <w:r>
        <w:rPr>
          <w:rFonts w:hint="eastAsia" w:ascii="宋体" w:hAnsi="宋体" w:cs="宋体"/>
          <w:color w:val="auto"/>
          <w:sz w:val="21"/>
          <w:szCs w:val="21"/>
          <w:highlight w:val="none"/>
          <w:lang w:eastAsia="zh-CN"/>
        </w:rPr>
        <w:t>投标人</w:t>
      </w:r>
      <w:r>
        <w:rPr>
          <w:rFonts w:hint="eastAsia" w:ascii="宋体" w:hAnsi="宋体" w:cs="宋体"/>
          <w:color w:val="auto"/>
          <w:sz w:val="21"/>
          <w:szCs w:val="21"/>
          <w:highlight w:val="none"/>
        </w:rPr>
        <w:t>还应提供产品的鉴定证书。</w:t>
      </w:r>
    </w:p>
    <w:p w14:paraId="1CB889BF">
      <w:pPr>
        <w:spacing w:line="360" w:lineRule="auto"/>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3.1.2</w:t>
      </w:r>
      <w:r>
        <w:rPr>
          <w:rFonts w:hint="eastAsia" w:ascii="宋体" w:hAnsi="宋体" w:cs="宋体"/>
          <w:color w:val="auto"/>
          <w:sz w:val="21"/>
          <w:szCs w:val="21"/>
          <w:highlight w:val="none"/>
          <w:lang w:eastAsia="zh-CN"/>
        </w:rPr>
        <w:t xml:space="preserve"> 投标人</w:t>
      </w:r>
      <w:r>
        <w:rPr>
          <w:rFonts w:hint="eastAsia" w:ascii="宋体" w:hAnsi="宋体" w:cs="宋体"/>
          <w:color w:val="auto"/>
          <w:sz w:val="21"/>
          <w:szCs w:val="21"/>
          <w:highlight w:val="none"/>
        </w:rPr>
        <w:t>应保证制造过程中的所有工艺、材料等（包括</w:t>
      </w:r>
      <w:r>
        <w:rPr>
          <w:rFonts w:hint="eastAsia" w:ascii="宋体" w:hAnsi="宋体" w:cs="宋体"/>
          <w:color w:val="auto"/>
          <w:sz w:val="21"/>
          <w:szCs w:val="21"/>
          <w:highlight w:val="none"/>
          <w:lang w:eastAsia="zh-CN"/>
        </w:rPr>
        <w:t>投标人</w:t>
      </w:r>
      <w:r>
        <w:rPr>
          <w:rFonts w:hint="eastAsia" w:ascii="宋体" w:hAnsi="宋体" w:cs="宋体"/>
          <w:color w:val="auto"/>
          <w:sz w:val="21"/>
          <w:szCs w:val="21"/>
          <w:highlight w:val="none"/>
        </w:rPr>
        <w:t>的外购件在内）均应符合规范书的规定。若</w:t>
      </w:r>
      <w:r>
        <w:rPr>
          <w:rFonts w:hint="eastAsia" w:ascii="宋体" w:hAnsi="宋体" w:cs="宋体"/>
          <w:color w:val="auto"/>
          <w:sz w:val="21"/>
          <w:szCs w:val="21"/>
          <w:highlight w:val="none"/>
          <w:lang w:eastAsia="zh-CN"/>
        </w:rPr>
        <w:t>招标人</w:t>
      </w:r>
      <w:r>
        <w:rPr>
          <w:rFonts w:hint="eastAsia" w:ascii="宋体" w:hAnsi="宋体" w:cs="宋体"/>
          <w:color w:val="auto"/>
          <w:sz w:val="21"/>
          <w:szCs w:val="21"/>
          <w:highlight w:val="none"/>
        </w:rPr>
        <w:t>根据运行经验指定</w:t>
      </w:r>
      <w:r>
        <w:rPr>
          <w:rFonts w:hint="eastAsia" w:ascii="宋体" w:hAnsi="宋体" w:cs="宋体"/>
          <w:color w:val="auto"/>
          <w:sz w:val="21"/>
          <w:szCs w:val="21"/>
          <w:highlight w:val="none"/>
          <w:lang w:eastAsia="zh-CN"/>
        </w:rPr>
        <w:t>投标人</w:t>
      </w:r>
      <w:r>
        <w:rPr>
          <w:rFonts w:hint="eastAsia" w:ascii="宋体" w:hAnsi="宋体" w:cs="宋体"/>
          <w:color w:val="auto"/>
          <w:sz w:val="21"/>
          <w:szCs w:val="21"/>
          <w:highlight w:val="none"/>
        </w:rPr>
        <w:t>提供某种外购零部件，</w:t>
      </w:r>
      <w:r>
        <w:rPr>
          <w:rFonts w:hint="eastAsia" w:ascii="宋体" w:hAnsi="宋体" w:cs="宋体"/>
          <w:color w:val="auto"/>
          <w:sz w:val="21"/>
          <w:szCs w:val="21"/>
          <w:highlight w:val="none"/>
          <w:lang w:eastAsia="zh-CN"/>
        </w:rPr>
        <w:t>投标人</w:t>
      </w:r>
      <w:r>
        <w:rPr>
          <w:rFonts w:hint="eastAsia" w:ascii="宋体" w:hAnsi="宋体" w:cs="宋体"/>
          <w:color w:val="auto"/>
          <w:sz w:val="21"/>
          <w:szCs w:val="21"/>
          <w:highlight w:val="none"/>
        </w:rPr>
        <w:t>应积极配合。</w:t>
      </w:r>
    </w:p>
    <w:p w14:paraId="1637C680">
      <w:pPr>
        <w:spacing w:line="360" w:lineRule="auto"/>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3.1.3</w:t>
      </w:r>
      <w:r>
        <w:rPr>
          <w:rFonts w:hint="eastAsia" w:ascii="宋体" w:hAnsi="宋体" w:cs="宋体"/>
          <w:color w:val="auto"/>
          <w:sz w:val="21"/>
          <w:szCs w:val="21"/>
          <w:highlight w:val="none"/>
          <w:lang w:eastAsia="zh-CN"/>
        </w:rPr>
        <w:t xml:space="preserve"> 投标人</w:t>
      </w:r>
      <w:r>
        <w:rPr>
          <w:rFonts w:hint="eastAsia" w:ascii="宋体" w:hAnsi="宋体" w:cs="宋体"/>
          <w:color w:val="auto"/>
          <w:sz w:val="21"/>
          <w:szCs w:val="21"/>
          <w:highlight w:val="none"/>
        </w:rPr>
        <w:t>应遵守本规范书中各条款和工作项目的ISO</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900</w:t>
      </w:r>
      <w:r>
        <w:rPr>
          <w:rFonts w:hint="eastAsia" w:ascii="宋体" w:hAnsi="宋体" w:cs="宋体"/>
          <w:color w:val="auto"/>
          <w:sz w:val="21"/>
          <w:szCs w:val="21"/>
          <w:highlight w:val="none"/>
          <w:lang w:val="en-US" w:eastAsia="zh-CN"/>
        </w:rPr>
        <w:t>0或</w:t>
      </w:r>
      <w:r>
        <w:rPr>
          <w:rFonts w:hint="eastAsia" w:ascii="宋体" w:hAnsi="宋体" w:cs="宋体"/>
          <w:color w:val="auto"/>
          <w:sz w:val="21"/>
          <w:szCs w:val="21"/>
          <w:highlight w:val="none"/>
        </w:rPr>
        <w:t xml:space="preserve"> GB/T</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1900质量保证体系，该质量保证体系经过国家认证和正常运转。</w:t>
      </w:r>
    </w:p>
    <w:p w14:paraId="35378D6A">
      <w:pPr>
        <w:spacing w:line="360" w:lineRule="auto"/>
        <w:jc w:val="left"/>
        <w:outlineLvl w:val="1"/>
        <w:rPr>
          <w:rFonts w:hint="eastAsia" w:ascii="宋体" w:hAnsi="宋体" w:cs="宋体"/>
          <w:color w:val="auto"/>
          <w:sz w:val="21"/>
          <w:szCs w:val="21"/>
          <w:highlight w:val="none"/>
        </w:rPr>
      </w:pPr>
      <w:r>
        <w:rPr>
          <w:rFonts w:hint="eastAsia" w:ascii="宋体" w:hAnsi="宋体" w:cs="宋体"/>
          <w:color w:val="auto"/>
          <w:sz w:val="21"/>
          <w:szCs w:val="21"/>
          <w:highlight w:val="none"/>
        </w:rPr>
        <w:t>3.2</w:t>
      </w:r>
      <w:r>
        <w:rPr>
          <w:rFonts w:hint="eastAsia" w:ascii="宋体" w:hAnsi="宋体" w:cs="宋体"/>
          <w:color w:val="auto"/>
          <w:sz w:val="21"/>
          <w:szCs w:val="21"/>
          <w:highlight w:val="none"/>
          <w:lang w:eastAsia="zh-CN"/>
        </w:rPr>
        <w:t xml:space="preserve"> </w:t>
      </w:r>
      <w:r>
        <w:rPr>
          <w:rFonts w:hint="eastAsia" w:ascii="宋体" w:hAnsi="宋体" w:cs="宋体"/>
          <w:color w:val="auto"/>
          <w:sz w:val="21"/>
          <w:szCs w:val="21"/>
          <w:highlight w:val="none"/>
        </w:rPr>
        <w:t>试验条件</w:t>
      </w:r>
    </w:p>
    <w:p w14:paraId="0FB9D6A0">
      <w:pPr>
        <w:spacing w:line="360" w:lineRule="auto"/>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3.2.1</w:t>
      </w:r>
      <w:r>
        <w:rPr>
          <w:rFonts w:hint="eastAsia" w:ascii="宋体" w:hAnsi="宋体" w:cs="宋体"/>
          <w:color w:val="auto"/>
          <w:sz w:val="21"/>
          <w:szCs w:val="21"/>
          <w:highlight w:val="none"/>
          <w:lang w:eastAsia="zh-CN"/>
        </w:rPr>
        <w:t xml:space="preserve"> </w:t>
      </w:r>
      <w:r>
        <w:rPr>
          <w:rFonts w:hint="eastAsia" w:ascii="宋体" w:hAnsi="宋体" w:cs="宋体"/>
          <w:color w:val="auto"/>
          <w:sz w:val="21"/>
          <w:szCs w:val="21"/>
          <w:highlight w:val="none"/>
        </w:rPr>
        <w:t>除另有规定外，各项试验均应在规定的试验的标准大气条件下进行。</w:t>
      </w:r>
    </w:p>
    <w:p w14:paraId="542BA3EC">
      <w:pPr>
        <w:spacing w:line="360" w:lineRule="auto"/>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3.2.2</w:t>
      </w:r>
      <w:r>
        <w:rPr>
          <w:rFonts w:hint="eastAsia" w:ascii="宋体" w:hAnsi="宋体" w:cs="宋体"/>
          <w:color w:val="auto"/>
          <w:sz w:val="21"/>
          <w:szCs w:val="21"/>
          <w:highlight w:val="none"/>
          <w:lang w:eastAsia="zh-CN"/>
        </w:rPr>
        <w:t xml:space="preserve"> </w:t>
      </w:r>
      <w:r>
        <w:rPr>
          <w:rFonts w:hint="eastAsia" w:ascii="宋体" w:hAnsi="宋体" w:cs="宋体"/>
          <w:color w:val="auto"/>
          <w:sz w:val="21"/>
          <w:szCs w:val="21"/>
          <w:highlight w:val="none"/>
        </w:rPr>
        <w:t>被试验装置和测试仪表必须良好接地，并考虑周围环境电磁干扰对测试结果的影响。</w:t>
      </w:r>
    </w:p>
    <w:p w14:paraId="56DBC9BD">
      <w:pPr>
        <w:spacing w:line="360" w:lineRule="auto"/>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3.3</w:t>
      </w:r>
      <w:r>
        <w:rPr>
          <w:rFonts w:hint="eastAsia" w:ascii="宋体" w:hAnsi="宋体" w:cs="宋体"/>
          <w:color w:val="auto"/>
          <w:sz w:val="21"/>
          <w:szCs w:val="21"/>
          <w:highlight w:val="none"/>
          <w:lang w:eastAsia="zh-CN"/>
        </w:rPr>
        <w:t xml:space="preserve"> </w:t>
      </w:r>
      <w:r>
        <w:rPr>
          <w:rFonts w:hint="eastAsia" w:ascii="宋体" w:hAnsi="宋体" w:cs="宋体"/>
          <w:color w:val="auto"/>
          <w:sz w:val="21"/>
          <w:szCs w:val="21"/>
          <w:highlight w:val="none"/>
        </w:rPr>
        <w:t>结构和外观检查</w:t>
      </w:r>
    </w:p>
    <w:p w14:paraId="46CB682A">
      <w:pPr>
        <w:spacing w:line="360" w:lineRule="auto"/>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3.4</w:t>
      </w:r>
      <w:r>
        <w:rPr>
          <w:rFonts w:hint="eastAsia" w:ascii="宋体" w:hAnsi="宋体" w:cs="宋体"/>
          <w:color w:val="auto"/>
          <w:sz w:val="21"/>
          <w:szCs w:val="21"/>
          <w:highlight w:val="none"/>
          <w:lang w:eastAsia="zh-CN"/>
        </w:rPr>
        <w:t xml:space="preserve"> </w:t>
      </w:r>
      <w:r>
        <w:rPr>
          <w:rFonts w:hint="eastAsia" w:ascii="宋体" w:hAnsi="宋体" w:cs="宋体"/>
          <w:color w:val="auto"/>
          <w:sz w:val="21"/>
          <w:szCs w:val="21"/>
          <w:highlight w:val="none"/>
        </w:rPr>
        <w:t>主要功能及技术要求试验</w:t>
      </w:r>
    </w:p>
    <w:p w14:paraId="72255621">
      <w:pPr>
        <w:spacing w:line="360" w:lineRule="auto"/>
        <w:jc w:val="left"/>
        <w:outlineLvl w:val="2"/>
        <w:rPr>
          <w:rFonts w:hint="eastAsia" w:ascii="宋体" w:hAnsi="宋体" w:cs="宋体"/>
          <w:color w:val="auto"/>
          <w:sz w:val="21"/>
          <w:szCs w:val="21"/>
          <w:highlight w:val="none"/>
        </w:rPr>
      </w:pPr>
      <w:r>
        <w:rPr>
          <w:rFonts w:hint="eastAsia" w:ascii="宋体" w:hAnsi="宋体" w:cs="宋体"/>
          <w:color w:val="auto"/>
          <w:sz w:val="21"/>
          <w:szCs w:val="21"/>
          <w:highlight w:val="none"/>
        </w:rPr>
        <w:t>3.4.1</w:t>
      </w:r>
      <w:r>
        <w:rPr>
          <w:rFonts w:hint="eastAsia" w:ascii="宋体" w:hAnsi="宋体" w:cs="宋体"/>
          <w:color w:val="auto"/>
          <w:sz w:val="21"/>
          <w:szCs w:val="21"/>
          <w:highlight w:val="none"/>
          <w:lang w:eastAsia="zh-CN"/>
        </w:rPr>
        <w:t xml:space="preserve"> </w:t>
      </w:r>
      <w:r>
        <w:rPr>
          <w:rFonts w:hint="eastAsia" w:ascii="宋体" w:hAnsi="宋体" w:cs="宋体"/>
          <w:color w:val="auto"/>
          <w:sz w:val="21"/>
          <w:szCs w:val="21"/>
          <w:highlight w:val="none"/>
        </w:rPr>
        <w:t>基本功能试验</w:t>
      </w:r>
    </w:p>
    <w:p w14:paraId="301386F4">
      <w:pPr>
        <w:spacing w:line="360" w:lineRule="auto"/>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装置中各种原理保护的定值试验</w:t>
      </w:r>
    </w:p>
    <w:p w14:paraId="49EC42E6">
      <w:pPr>
        <w:spacing w:line="360" w:lineRule="auto"/>
        <w:ind w:left="0" w:firstLine="420" w:firstLineChars="200"/>
        <w:jc w:val="left"/>
        <w:rPr>
          <w:rFonts w:hint="eastAsia" w:ascii="宋体" w:hAnsi="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cs="宋体"/>
          <w:color w:val="auto"/>
          <w:sz w:val="21"/>
          <w:szCs w:val="21"/>
          <w:highlight w:val="none"/>
        </w:rPr>
        <w:t>各种原理保护动作时间特性试验</w:t>
      </w:r>
    </w:p>
    <w:p w14:paraId="1B92A6CC">
      <w:pPr>
        <w:spacing w:line="360" w:lineRule="auto"/>
        <w:ind w:left="0" w:firstLine="420" w:firstLineChars="200"/>
        <w:jc w:val="left"/>
        <w:rPr>
          <w:rFonts w:hint="eastAsia" w:ascii="宋体" w:hAnsi="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rPr>
        <w:t>各种原理保护动作特性试验</w:t>
      </w:r>
    </w:p>
    <w:p w14:paraId="4B1C08FA">
      <w:pPr>
        <w:spacing w:line="360" w:lineRule="auto"/>
        <w:ind w:left="0" w:firstLine="420" w:firstLineChars="200"/>
        <w:jc w:val="left"/>
        <w:rPr>
          <w:rFonts w:hint="eastAsia" w:ascii="宋体" w:hAnsi="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cs="宋体"/>
          <w:color w:val="auto"/>
          <w:sz w:val="21"/>
          <w:szCs w:val="21"/>
          <w:highlight w:val="none"/>
        </w:rPr>
        <w:t>逻辑回路及其联合动作正确性检查</w:t>
      </w:r>
    </w:p>
    <w:p w14:paraId="2EB38729">
      <w:pPr>
        <w:spacing w:line="360" w:lineRule="auto"/>
        <w:ind w:left="0" w:firstLine="420" w:firstLineChars="200"/>
        <w:jc w:val="left"/>
        <w:rPr>
          <w:rFonts w:hint="eastAsia" w:ascii="宋体" w:hAnsi="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cs="宋体"/>
          <w:color w:val="auto"/>
          <w:sz w:val="21"/>
          <w:szCs w:val="21"/>
          <w:highlight w:val="none"/>
        </w:rPr>
        <w:t>微机保护的其它功能及技术要求试验</w:t>
      </w:r>
    </w:p>
    <w:p w14:paraId="3F1A4AD4">
      <w:pPr>
        <w:spacing w:line="360" w:lineRule="auto"/>
        <w:ind w:left="0" w:firstLine="420" w:firstLineChars="200"/>
        <w:jc w:val="left"/>
        <w:rPr>
          <w:rFonts w:hint="eastAsia" w:ascii="宋体" w:hAnsi="宋体" w:cs="宋体"/>
          <w:color w:val="auto"/>
          <w:sz w:val="21"/>
          <w:szCs w:val="21"/>
          <w:highlight w:val="none"/>
        </w:rPr>
      </w:pPr>
      <w:r>
        <w:rPr>
          <w:rFonts w:hint="eastAsia" w:ascii="宋体" w:hAnsi="宋体" w:eastAsia="宋体" w:cs="宋体"/>
          <w:color w:val="auto"/>
          <w:sz w:val="21"/>
          <w:szCs w:val="21"/>
          <w:highlight w:val="none"/>
          <w:lang w:val="en-US" w:eastAsia="zh-CN"/>
        </w:rPr>
        <w:t>6）</w:t>
      </w:r>
      <w:r>
        <w:rPr>
          <w:rFonts w:hint="eastAsia" w:ascii="宋体" w:hAnsi="宋体" w:cs="宋体"/>
          <w:color w:val="auto"/>
          <w:sz w:val="21"/>
          <w:szCs w:val="21"/>
          <w:highlight w:val="none"/>
        </w:rPr>
        <w:t>硬件系统自检</w:t>
      </w:r>
    </w:p>
    <w:p w14:paraId="477E9BAD">
      <w:pPr>
        <w:spacing w:line="360" w:lineRule="auto"/>
        <w:ind w:left="0" w:firstLine="420" w:firstLineChars="200"/>
        <w:jc w:val="left"/>
        <w:rPr>
          <w:rFonts w:hint="eastAsia" w:ascii="宋体" w:hAnsi="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cs="宋体"/>
          <w:color w:val="auto"/>
          <w:sz w:val="21"/>
          <w:szCs w:val="21"/>
          <w:highlight w:val="none"/>
        </w:rPr>
        <w:t>硬件系统时钟校核</w:t>
      </w:r>
    </w:p>
    <w:p w14:paraId="1D02468C">
      <w:pPr>
        <w:spacing w:line="360" w:lineRule="auto"/>
        <w:ind w:left="0" w:firstLine="420" w:firstLineChars="200"/>
        <w:jc w:val="left"/>
        <w:rPr>
          <w:rFonts w:hint="eastAsia" w:ascii="宋体" w:hAnsi="宋体" w:cs="宋体"/>
          <w:color w:val="auto"/>
          <w:sz w:val="21"/>
          <w:szCs w:val="21"/>
          <w:highlight w:val="none"/>
        </w:rPr>
      </w:pPr>
      <w:r>
        <w:rPr>
          <w:rFonts w:hint="eastAsia" w:ascii="宋体" w:hAnsi="宋体" w:eastAsia="宋体" w:cs="宋体"/>
          <w:color w:val="auto"/>
          <w:sz w:val="21"/>
          <w:szCs w:val="21"/>
          <w:highlight w:val="none"/>
          <w:lang w:val="en-US" w:eastAsia="zh-CN"/>
        </w:rPr>
        <w:t>8）</w:t>
      </w:r>
      <w:r>
        <w:rPr>
          <w:rFonts w:hint="eastAsia" w:ascii="宋体" w:hAnsi="宋体" w:cs="宋体"/>
          <w:color w:val="auto"/>
          <w:sz w:val="21"/>
          <w:szCs w:val="21"/>
          <w:highlight w:val="none"/>
        </w:rPr>
        <w:t>通信及信息输出功能试验</w:t>
      </w:r>
    </w:p>
    <w:p w14:paraId="42E65F23">
      <w:pPr>
        <w:spacing w:line="360" w:lineRule="auto"/>
        <w:ind w:left="0" w:firstLine="420" w:firstLineChars="200"/>
        <w:jc w:val="left"/>
        <w:rPr>
          <w:rFonts w:hint="eastAsia" w:ascii="宋体" w:hAnsi="宋体" w:cs="宋体"/>
          <w:color w:val="auto"/>
          <w:sz w:val="21"/>
          <w:szCs w:val="21"/>
          <w:highlight w:val="none"/>
        </w:rPr>
      </w:pPr>
      <w:r>
        <w:rPr>
          <w:rFonts w:hint="eastAsia" w:ascii="宋体" w:hAnsi="宋体" w:eastAsia="宋体" w:cs="宋体"/>
          <w:color w:val="auto"/>
          <w:sz w:val="21"/>
          <w:szCs w:val="21"/>
          <w:highlight w:val="none"/>
          <w:lang w:val="en-US" w:eastAsia="zh-CN"/>
        </w:rPr>
        <w:t>9）</w:t>
      </w:r>
      <w:r>
        <w:rPr>
          <w:rFonts w:hint="eastAsia" w:ascii="宋体" w:hAnsi="宋体" w:cs="宋体"/>
          <w:color w:val="auto"/>
          <w:sz w:val="21"/>
          <w:szCs w:val="21"/>
          <w:highlight w:val="none"/>
        </w:rPr>
        <w:t>开关量输入输出回路检查</w:t>
      </w:r>
    </w:p>
    <w:p w14:paraId="4E807377">
      <w:pPr>
        <w:spacing w:line="360" w:lineRule="auto"/>
        <w:ind w:left="0" w:firstLine="420" w:firstLineChars="200"/>
        <w:jc w:val="left"/>
        <w:rPr>
          <w:rFonts w:hint="eastAsia" w:ascii="宋体" w:hAnsi="宋体" w:cs="宋体"/>
          <w:color w:val="auto"/>
          <w:sz w:val="21"/>
          <w:szCs w:val="21"/>
          <w:highlight w:val="none"/>
        </w:rPr>
      </w:pPr>
      <w:r>
        <w:rPr>
          <w:rFonts w:hint="eastAsia" w:ascii="宋体" w:hAnsi="宋体" w:eastAsia="宋体" w:cs="宋体"/>
          <w:color w:val="auto"/>
          <w:sz w:val="21"/>
          <w:szCs w:val="21"/>
          <w:highlight w:val="none"/>
          <w:lang w:val="en-US" w:eastAsia="zh-CN"/>
        </w:rPr>
        <w:t>10）</w:t>
      </w:r>
      <w:r>
        <w:rPr>
          <w:rFonts w:hint="eastAsia" w:ascii="宋体" w:hAnsi="宋体" w:cs="宋体"/>
          <w:color w:val="auto"/>
          <w:sz w:val="21"/>
          <w:szCs w:val="21"/>
          <w:highlight w:val="none"/>
        </w:rPr>
        <w:t>数据采集系统的精度和线性度范围试验</w:t>
      </w:r>
    </w:p>
    <w:p w14:paraId="4CCEE99C">
      <w:pPr>
        <w:spacing w:line="360" w:lineRule="auto"/>
        <w:jc w:val="left"/>
        <w:outlineLvl w:val="1"/>
        <w:rPr>
          <w:rFonts w:hint="eastAsia" w:ascii="宋体" w:hAnsi="宋体" w:cs="宋体"/>
          <w:color w:val="auto"/>
          <w:sz w:val="21"/>
          <w:szCs w:val="21"/>
          <w:highlight w:val="none"/>
        </w:rPr>
      </w:pPr>
      <w:r>
        <w:rPr>
          <w:rFonts w:hint="eastAsia" w:ascii="宋体" w:hAnsi="宋体" w:cs="宋体"/>
          <w:color w:val="auto"/>
          <w:sz w:val="21"/>
          <w:szCs w:val="21"/>
          <w:highlight w:val="none"/>
        </w:rPr>
        <w:t>3.5</w:t>
      </w:r>
      <w:r>
        <w:rPr>
          <w:rFonts w:hint="eastAsia" w:ascii="宋体" w:hAnsi="宋体" w:cs="宋体"/>
          <w:color w:val="auto"/>
          <w:sz w:val="21"/>
          <w:szCs w:val="21"/>
          <w:highlight w:val="none"/>
          <w:lang w:eastAsia="zh-CN"/>
        </w:rPr>
        <w:t xml:space="preserve"> </w:t>
      </w:r>
      <w:r>
        <w:rPr>
          <w:rFonts w:hint="eastAsia" w:ascii="宋体" w:hAnsi="宋体" w:cs="宋体"/>
          <w:color w:val="auto"/>
          <w:sz w:val="21"/>
          <w:szCs w:val="21"/>
          <w:highlight w:val="none"/>
        </w:rPr>
        <w:t>绝缘试验</w:t>
      </w:r>
    </w:p>
    <w:p w14:paraId="7E3074ED">
      <w:pPr>
        <w:spacing w:line="360" w:lineRule="auto"/>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按GB</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7261</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87和方法，第20章规定，分别进行绝缘电阻测量介质强度及冲击电压试验。</w:t>
      </w:r>
    </w:p>
    <w:p w14:paraId="164085D8">
      <w:pPr>
        <w:spacing w:line="360" w:lineRule="auto"/>
        <w:jc w:val="left"/>
        <w:outlineLvl w:val="1"/>
        <w:rPr>
          <w:rFonts w:hint="eastAsia" w:ascii="宋体" w:hAnsi="宋体" w:cs="宋体"/>
          <w:color w:val="auto"/>
          <w:sz w:val="21"/>
          <w:szCs w:val="21"/>
          <w:highlight w:val="none"/>
        </w:rPr>
      </w:pPr>
      <w:r>
        <w:rPr>
          <w:rFonts w:hint="eastAsia" w:ascii="宋体" w:hAnsi="宋体" w:cs="宋体"/>
          <w:color w:val="auto"/>
          <w:sz w:val="21"/>
          <w:szCs w:val="21"/>
          <w:highlight w:val="none"/>
        </w:rPr>
        <w:t>3.6</w:t>
      </w:r>
      <w:r>
        <w:rPr>
          <w:rFonts w:hint="eastAsia" w:ascii="宋体" w:hAnsi="宋体" w:cs="宋体"/>
          <w:color w:val="auto"/>
          <w:sz w:val="21"/>
          <w:szCs w:val="21"/>
          <w:highlight w:val="none"/>
          <w:lang w:eastAsia="zh-CN"/>
        </w:rPr>
        <w:t xml:space="preserve"> </w:t>
      </w:r>
      <w:r>
        <w:rPr>
          <w:rFonts w:hint="eastAsia" w:ascii="宋体" w:hAnsi="宋体" w:cs="宋体"/>
          <w:color w:val="auto"/>
          <w:sz w:val="21"/>
          <w:szCs w:val="21"/>
          <w:highlight w:val="none"/>
        </w:rPr>
        <w:t>低温试验</w:t>
      </w:r>
    </w:p>
    <w:p w14:paraId="1A96EFB0">
      <w:pPr>
        <w:spacing w:line="360" w:lineRule="auto"/>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按GB</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7261</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87第12章的规定和方法进行。</w:t>
      </w:r>
    </w:p>
    <w:p w14:paraId="391E8B95">
      <w:pPr>
        <w:spacing w:line="360" w:lineRule="auto"/>
        <w:jc w:val="left"/>
        <w:outlineLvl w:val="1"/>
        <w:rPr>
          <w:rFonts w:hint="eastAsia" w:ascii="宋体" w:hAnsi="宋体" w:cs="宋体"/>
          <w:color w:val="auto"/>
          <w:sz w:val="21"/>
          <w:szCs w:val="21"/>
          <w:highlight w:val="none"/>
        </w:rPr>
      </w:pPr>
      <w:r>
        <w:rPr>
          <w:rFonts w:hint="eastAsia" w:ascii="宋体" w:hAnsi="宋体" w:cs="宋体"/>
          <w:color w:val="auto"/>
          <w:sz w:val="21"/>
          <w:szCs w:val="21"/>
          <w:highlight w:val="none"/>
        </w:rPr>
        <w:t>3.7</w:t>
      </w:r>
      <w:r>
        <w:rPr>
          <w:rFonts w:hint="eastAsia" w:ascii="宋体" w:hAnsi="宋体" w:cs="宋体"/>
          <w:color w:val="auto"/>
          <w:sz w:val="21"/>
          <w:szCs w:val="21"/>
          <w:highlight w:val="none"/>
          <w:lang w:eastAsia="zh-CN"/>
        </w:rPr>
        <w:t xml:space="preserve"> </w:t>
      </w:r>
      <w:r>
        <w:rPr>
          <w:rFonts w:hint="eastAsia" w:ascii="宋体" w:hAnsi="宋体" w:cs="宋体"/>
          <w:color w:val="auto"/>
          <w:sz w:val="21"/>
          <w:szCs w:val="21"/>
          <w:highlight w:val="none"/>
        </w:rPr>
        <w:t>高温试验</w:t>
      </w:r>
    </w:p>
    <w:p w14:paraId="0AC5F3B1">
      <w:pPr>
        <w:spacing w:line="360" w:lineRule="auto"/>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按GB</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7261</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87第13章的规定和方法进行。</w:t>
      </w:r>
    </w:p>
    <w:p w14:paraId="05AAF9A3">
      <w:pPr>
        <w:spacing w:line="360" w:lineRule="auto"/>
        <w:jc w:val="left"/>
        <w:outlineLvl w:val="1"/>
        <w:rPr>
          <w:rFonts w:hint="eastAsia" w:ascii="宋体" w:hAnsi="宋体" w:cs="宋体"/>
          <w:color w:val="auto"/>
          <w:sz w:val="21"/>
          <w:szCs w:val="21"/>
          <w:highlight w:val="none"/>
        </w:rPr>
      </w:pPr>
      <w:r>
        <w:rPr>
          <w:rFonts w:hint="eastAsia" w:ascii="宋体" w:hAnsi="宋体" w:cs="宋体"/>
          <w:color w:val="auto"/>
          <w:sz w:val="21"/>
          <w:szCs w:val="21"/>
          <w:highlight w:val="none"/>
        </w:rPr>
        <w:t>3.8</w:t>
      </w:r>
      <w:r>
        <w:rPr>
          <w:rFonts w:hint="eastAsia" w:ascii="宋体" w:hAnsi="宋体" w:cs="宋体"/>
          <w:color w:val="auto"/>
          <w:sz w:val="21"/>
          <w:szCs w:val="21"/>
          <w:highlight w:val="none"/>
          <w:lang w:eastAsia="zh-CN"/>
        </w:rPr>
        <w:t xml:space="preserve"> </w:t>
      </w:r>
      <w:r>
        <w:rPr>
          <w:rFonts w:hint="eastAsia" w:ascii="宋体" w:hAnsi="宋体" w:cs="宋体"/>
          <w:color w:val="auto"/>
          <w:sz w:val="21"/>
          <w:szCs w:val="21"/>
          <w:highlight w:val="none"/>
        </w:rPr>
        <w:t>湿热试验</w:t>
      </w:r>
    </w:p>
    <w:p w14:paraId="71DC407B">
      <w:pPr>
        <w:spacing w:line="360" w:lineRule="auto"/>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按GB/T</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2423.9</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89或GB</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7261</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87第21章的规定和方法进行。</w:t>
      </w:r>
    </w:p>
    <w:p w14:paraId="0AC7274C">
      <w:pPr>
        <w:spacing w:line="360" w:lineRule="auto"/>
        <w:jc w:val="left"/>
        <w:outlineLvl w:val="1"/>
        <w:rPr>
          <w:rFonts w:hint="eastAsia" w:ascii="宋体" w:hAnsi="宋体" w:cs="宋体"/>
          <w:color w:val="auto"/>
          <w:sz w:val="21"/>
          <w:szCs w:val="21"/>
          <w:highlight w:val="none"/>
        </w:rPr>
      </w:pPr>
      <w:r>
        <w:rPr>
          <w:rFonts w:hint="eastAsia" w:ascii="宋体" w:hAnsi="宋体" w:cs="宋体"/>
          <w:color w:val="auto"/>
          <w:sz w:val="21"/>
          <w:szCs w:val="21"/>
          <w:highlight w:val="none"/>
        </w:rPr>
        <w:t>3.9</w:t>
      </w:r>
      <w:r>
        <w:rPr>
          <w:rFonts w:hint="eastAsia" w:ascii="宋体" w:hAnsi="宋体" w:cs="宋体"/>
          <w:color w:val="auto"/>
          <w:sz w:val="21"/>
          <w:szCs w:val="21"/>
          <w:highlight w:val="none"/>
          <w:lang w:eastAsia="zh-CN"/>
        </w:rPr>
        <w:t xml:space="preserve"> </w:t>
      </w:r>
      <w:r>
        <w:rPr>
          <w:rFonts w:hint="eastAsia" w:ascii="宋体" w:hAnsi="宋体" w:cs="宋体"/>
          <w:color w:val="auto"/>
          <w:sz w:val="21"/>
          <w:szCs w:val="21"/>
          <w:highlight w:val="none"/>
        </w:rPr>
        <w:t>电气干扰试验</w:t>
      </w:r>
    </w:p>
    <w:p w14:paraId="56AAD273">
      <w:pPr>
        <w:spacing w:line="360" w:lineRule="auto"/>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3.9.</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lang w:eastAsia="zh-CN"/>
        </w:rPr>
        <w:t xml:space="preserve"> </w:t>
      </w:r>
      <w:r>
        <w:rPr>
          <w:rFonts w:hint="eastAsia" w:ascii="宋体" w:hAnsi="宋体" w:cs="宋体"/>
          <w:color w:val="auto"/>
          <w:sz w:val="21"/>
          <w:szCs w:val="21"/>
          <w:highlight w:val="none"/>
        </w:rPr>
        <w:t>按GB/T</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14598.9的规定和方法，对装置进行辐射电磁场干扰试验。</w:t>
      </w:r>
    </w:p>
    <w:p w14:paraId="23F78C61">
      <w:pPr>
        <w:spacing w:line="360" w:lineRule="auto"/>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3.9.</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lang w:eastAsia="zh-CN"/>
        </w:rPr>
        <w:t xml:space="preserve"> </w:t>
      </w:r>
      <w:r>
        <w:rPr>
          <w:rFonts w:hint="eastAsia" w:ascii="宋体" w:hAnsi="宋体" w:cs="宋体"/>
          <w:color w:val="auto"/>
          <w:sz w:val="21"/>
          <w:szCs w:val="21"/>
          <w:highlight w:val="none"/>
        </w:rPr>
        <w:t>按GB/T</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14598.10的规定和方法，对装置进行快速瞬变干扰试验。</w:t>
      </w:r>
    </w:p>
    <w:p w14:paraId="095A7BD6">
      <w:pPr>
        <w:spacing w:line="360" w:lineRule="auto"/>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3.9.</w:t>
      </w:r>
      <w:r>
        <w:rPr>
          <w:rFonts w:hint="eastAsia" w:ascii="宋体" w:hAnsi="宋体" w:cs="宋体"/>
          <w:color w:val="auto"/>
          <w:sz w:val="21"/>
          <w:szCs w:val="21"/>
          <w:highlight w:val="none"/>
          <w:lang w:eastAsia="zh-CN"/>
        </w:rPr>
        <w:t xml:space="preserve">3 </w:t>
      </w:r>
      <w:r>
        <w:rPr>
          <w:rFonts w:hint="eastAsia" w:ascii="宋体" w:hAnsi="宋体" w:cs="宋体"/>
          <w:color w:val="auto"/>
          <w:sz w:val="21"/>
          <w:szCs w:val="21"/>
          <w:highlight w:val="none"/>
        </w:rPr>
        <w:t>按GB/T</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14598.13的规定和方法，对装置进行脉冲群干扰试验。</w:t>
      </w:r>
    </w:p>
    <w:p w14:paraId="4F53CEDE">
      <w:pPr>
        <w:spacing w:line="360" w:lineRule="auto"/>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3.9.</w:t>
      </w:r>
      <w:r>
        <w:rPr>
          <w:rFonts w:hint="eastAsia" w:ascii="宋体" w:hAnsi="宋体" w:cs="宋体"/>
          <w:color w:val="auto"/>
          <w:sz w:val="21"/>
          <w:szCs w:val="21"/>
          <w:highlight w:val="none"/>
          <w:lang w:eastAsia="zh-CN"/>
        </w:rPr>
        <w:t xml:space="preserve">4 </w:t>
      </w:r>
      <w:r>
        <w:rPr>
          <w:rFonts w:hint="eastAsia" w:ascii="宋体" w:hAnsi="宋体" w:cs="宋体"/>
          <w:color w:val="auto"/>
          <w:sz w:val="21"/>
          <w:szCs w:val="21"/>
          <w:highlight w:val="none"/>
        </w:rPr>
        <w:t>按GB/T</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14598.14的规定和方法，对装置进行静电放电试验。</w:t>
      </w:r>
    </w:p>
    <w:p w14:paraId="73616CA1">
      <w:pPr>
        <w:spacing w:line="360" w:lineRule="auto"/>
        <w:jc w:val="left"/>
        <w:outlineLvl w:val="1"/>
        <w:rPr>
          <w:rFonts w:hint="eastAsia" w:ascii="宋体" w:hAnsi="宋体" w:cs="宋体"/>
          <w:color w:val="auto"/>
          <w:sz w:val="21"/>
          <w:szCs w:val="21"/>
          <w:highlight w:val="none"/>
        </w:rPr>
      </w:pPr>
      <w:r>
        <w:rPr>
          <w:rFonts w:hint="eastAsia" w:ascii="宋体" w:hAnsi="宋体" w:cs="宋体"/>
          <w:color w:val="auto"/>
          <w:sz w:val="21"/>
          <w:szCs w:val="21"/>
          <w:highlight w:val="none"/>
        </w:rPr>
        <w:t>3.10</w:t>
      </w:r>
      <w:r>
        <w:rPr>
          <w:rFonts w:hint="eastAsia" w:ascii="宋体" w:hAnsi="宋体" w:cs="宋体"/>
          <w:color w:val="auto"/>
          <w:sz w:val="21"/>
          <w:szCs w:val="21"/>
          <w:highlight w:val="none"/>
          <w:lang w:eastAsia="zh-CN"/>
        </w:rPr>
        <w:t xml:space="preserve"> </w:t>
      </w:r>
      <w:r>
        <w:rPr>
          <w:rFonts w:hint="eastAsia" w:ascii="宋体" w:hAnsi="宋体" w:cs="宋体"/>
          <w:color w:val="auto"/>
          <w:sz w:val="21"/>
          <w:szCs w:val="21"/>
          <w:highlight w:val="none"/>
        </w:rPr>
        <w:t>连续通电试验</w:t>
      </w:r>
    </w:p>
    <w:p w14:paraId="63558BCF">
      <w:pPr>
        <w:spacing w:line="360" w:lineRule="auto"/>
        <w:jc w:val="left"/>
        <w:outlineLvl w:val="2"/>
        <w:rPr>
          <w:rFonts w:hint="eastAsia" w:ascii="宋体" w:hAnsi="宋体" w:cs="宋体"/>
          <w:color w:val="auto"/>
          <w:sz w:val="21"/>
          <w:szCs w:val="21"/>
          <w:highlight w:val="none"/>
        </w:rPr>
      </w:pPr>
      <w:r>
        <w:rPr>
          <w:rFonts w:hint="eastAsia" w:ascii="宋体" w:hAnsi="宋体" w:cs="宋体"/>
          <w:color w:val="auto"/>
          <w:sz w:val="21"/>
          <w:szCs w:val="21"/>
          <w:highlight w:val="none"/>
        </w:rPr>
        <w:t>3.10.1</w:t>
      </w:r>
      <w:r>
        <w:rPr>
          <w:rFonts w:hint="eastAsia" w:ascii="宋体" w:hAnsi="宋体" w:cs="宋体"/>
          <w:color w:val="auto"/>
          <w:sz w:val="21"/>
          <w:szCs w:val="21"/>
          <w:highlight w:val="none"/>
          <w:lang w:eastAsia="zh-CN"/>
        </w:rPr>
        <w:t xml:space="preserve"> </w:t>
      </w:r>
      <w:r>
        <w:rPr>
          <w:rFonts w:hint="eastAsia" w:ascii="宋体" w:hAnsi="宋体" w:cs="宋体"/>
          <w:color w:val="auto"/>
          <w:sz w:val="21"/>
          <w:szCs w:val="21"/>
          <w:highlight w:val="none"/>
        </w:rPr>
        <w:t>装置在完成调试后应进行连续通电试验。</w:t>
      </w:r>
    </w:p>
    <w:p w14:paraId="08360548">
      <w:pPr>
        <w:spacing w:line="360" w:lineRule="auto"/>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3.10.2</w:t>
      </w:r>
      <w:r>
        <w:rPr>
          <w:rFonts w:hint="eastAsia" w:ascii="宋体" w:hAnsi="宋体" w:cs="宋体"/>
          <w:color w:val="auto"/>
          <w:sz w:val="21"/>
          <w:szCs w:val="21"/>
          <w:highlight w:val="none"/>
          <w:lang w:eastAsia="zh-CN"/>
        </w:rPr>
        <w:t xml:space="preserve"> </w:t>
      </w:r>
      <w:r>
        <w:rPr>
          <w:rFonts w:hint="eastAsia" w:ascii="宋体" w:hAnsi="宋体" w:cs="宋体"/>
          <w:color w:val="auto"/>
          <w:sz w:val="21"/>
          <w:szCs w:val="21"/>
          <w:highlight w:val="none"/>
        </w:rPr>
        <w:t>连续通电试验的被试装置只施加直流电源，必要时可施加其他激励量进行功能检测；</w:t>
      </w:r>
    </w:p>
    <w:p w14:paraId="122F4F9E">
      <w:pPr>
        <w:spacing w:line="360" w:lineRule="auto"/>
        <w:jc w:val="left"/>
        <w:outlineLvl w:val="2"/>
        <w:rPr>
          <w:rFonts w:hint="eastAsia" w:ascii="宋体" w:hAnsi="宋体" w:cs="宋体"/>
          <w:color w:val="auto"/>
          <w:sz w:val="21"/>
          <w:szCs w:val="21"/>
          <w:highlight w:val="none"/>
        </w:rPr>
      </w:pPr>
      <w:r>
        <w:rPr>
          <w:rFonts w:hint="eastAsia" w:ascii="宋体" w:hAnsi="宋体" w:cs="宋体"/>
          <w:color w:val="auto"/>
          <w:sz w:val="21"/>
          <w:szCs w:val="21"/>
          <w:highlight w:val="none"/>
        </w:rPr>
        <w:t>3.10.3</w:t>
      </w:r>
      <w:r>
        <w:rPr>
          <w:rFonts w:hint="eastAsia" w:ascii="宋体" w:hAnsi="宋体" w:cs="宋体"/>
          <w:color w:val="auto"/>
          <w:sz w:val="21"/>
          <w:szCs w:val="21"/>
          <w:highlight w:val="none"/>
          <w:lang w:eastAsia="zh-CN"/>
        </w:rPr>
        <w:t xml:space="preserve"> </w:t>
      </w:r>
      <w:r>
        <w:rPr>
          <w:rFonts w:hint="eastAsia" w:ascii="宋体" w:hAnsi="宋体" w:cs="宋体"/>
          <w:color w:val="auto"/>
          <w:sz w:val="21"/>
          <w:szCs w:val="21"/>
          <w:highlight w:val="none"/>
        </w:rPr>
        <w:t>连续通电试验时间不少于100</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h或72</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h。</w:t>
      </w:r>
    </w:p>
    <w:p w14:paraId="679B2642">
      <w:pPr>
        <w:spacing w:line="360" w:lineRule="auto"/>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3.10.4</w:t>
      </w:r>
      <w:r>
        <w:rPr>
          <w:rFonts w:hint="eastAsia" w:ascii="宋体" w:hAnsi="宋体" w:cs="宋体"/>
          <w:color w:val="auto"/>
          <w:sz w:val="21"/>
          <w:szCs w:val="21"/>
          <w:highlight w:val="none"/>
          <w:lang w:eastAsia="zh-CN"/>
        </w:rPr>
        <w:t xml:space="preserve"> </w:t>
      </w:r>
      <w:r>
        <w:rPr>
          <w:rFonts w:hint="eastAsia" w:ascii="宋体" w:hAnsi="宋体" w:cs="宋体"/>
          <w:color w:val="auto"/>
          <w:sz w:val="21"/>
          <w:szCs w:val="21"/>
          <w:highlight w:val="none"/>
        </w:rPr>
        <w:t>在连续通电试验过程中，装置应工作正常，信号指示正确，不应有元器件损坏或其他异常情况出现。</w:t>
      </w:r>
    </w:p>
    <w:p w14:paraId="3D6CBE4D">
      <w:pPr>
        <w:spacing w:line="360" w:lineRule="auto"/>
        <w:jc w:val="left"/>
        <w:outlineLvl w:val="1"/>
        <w:rPr>
          <w:rFonts w:hint="eastAsia" w:ascii="宋体" w:hAnsi="宋体" w:cs="宋体"/>
          <w:color w:val="auto"/>
          <w:sz w:val="21"/>
          <w:szCs w:val="21"/>
          <w:highlight w:val="none"/>
        </w:rPr>
      </w:pPr>
      <w:r>
        <w:rPr>
          <w:rFonts w:hint="eastAsia" w:ascii="宋体" w:hAnsi="宋体" w:cs="宋体"/>
          <w:color w:val="auto"/>
          <w:sz w:val="21"/>
          <w:szCs w:val="21"/>
          <w:highlight w:val="none"/>
        </w:rPr>
        <w:t>3.11</w:t>
      </w:r>
      <w:r>
        <w:rPr>
          <w:rFonts w:hint="eastAsia" w:ascii="宋体" w:hAnsi="宋体" w:cs="宋体"/>
          <w:color w:val="auto"/>
          <w:sz w:val="21"/>
          <w:szCs w:val="21"/>
          <w:highlight w:val="none"/>
          <w:lang w:eastAsia="zh-CN"/>
        </w:rPr>
        <w:t xml:space="preserve"> </w:t>
      </w:r>
      <w:r>
        <w:rPr>
          <w:rFonts w:hint="eastAsia" w:ascii="宋体" w:hAnsi="宋体" w:cs="宋体"/>
          <w:color w:val="auto"/>
          <w:sz w:val="21"/>
          <w:szCs w:val="21"/>
          <w:highlight w:val="none"/>
        </w:rPr>
        <w:t>过负荷能力试验</w:t>
      </w:r>
    </w:p>
    <w:p w14:paraId="70B3A461">
      <w:pPr>
        <w:spacing w:line="360" w:lineRule="auto"/>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按GB</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7261</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87第23章的规定和方法进行。</w:t>
      </w:r>
    </w:p>
    <w:p w14:paraId="795EDE71">
      <w:pPr>
        <w:spacing w:line="360" w:lineRule="auto"/>
        <w:jc w:val="left"/>
        <w:outlineLvl w:val="1"/>
        <w:rPr>
          <w:rFonts w:hint="eastAsia" w:ascii="宋体" w:hAnsi="宋体" w:cs="宋体"/>
          <w:color w:val="auto"/>
          <w:sz w:val="21"/>
          <w:szCs w:val="21"/>
          <w:highlight w:val="none"/>
        </w:rPr>
      </w:pPr>
      <w:r>
        <w:rPr>
          <w:rFonts w:hint="eastAsia" w:ascii="宋体" w:hAnsi="宋体" w:cs="宋体"/>
          <w:color w:val="auto"/>
          <w:sz w:val="21"/>
          <w:szCs w:val="21"/>
          <w:highlight w:val="none"/>
        </w:rPr>
        <w:t>3.12</w:t>
      </w:r>
      <w:r>
        <w:rPr>
          <w:rFonts w:hint="eastAsia" w:ascii="宋体" w:hAnsi="宋体" w:cs="宋体"/>
          <w:color w:val="auto"/>
          <w:sz w:val="21"/>
          <w:szCs w:val="21"/>
          <w:highlight w:val="none"/>
          <w:lang w:eastAsia="zh-CN"/>
        </w:rPr>
        <w:t xml:space="preserve"> </w:t>
      </w:r>
      <w:r>
        <w:rPr>
          <w:rFonts w:hint="eastAsia" w:ascii="宋体" w:hAnsi="宋体" w:cs="宋体"/>
          <w:color w:val="auto"/>
          <w:sz w:val="21"/>
          <w:szCs w:val="21"/>
          <w:highlight w:val="none"/>
        </w:rPr>
        <w:t>电源影响试验</w:t>
      </w:r>
    </w:p>
    <w:p w14:paraId="3DA34675">
      <w:pPr>
        <w:spacing w:line="360" w:lineRule="auto"/>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按GB</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7261</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87第15章的规定和方法进行。</w:t>
      </w:r>
    </w:p>
    <w:p w14:paraId="539501C7">
      <w:pPr>
        <w:spacing w:line="360" w:lineRule="auto"/>
        <w:jc w:val="left"/>
        <w:outlineLvl w:val="1"/>
        <w:rPr>
          <w:rFonts w:hint="eastAsia" w:ascii="宋体" w:hAnsi="宋体" w:cs="宋体"/>
          <w:color w:val="auto"/>
          <w:sz w:val="21"/>
          <w:szCs w:val="21"/>
          <w:highlight w:val="none"/>
        </w:rPr>
      </w:pPr>
      <w:r>
        <w:rPr>
          <w:rFonts w:hint="eastAsia" w:ascii="宋体" w:hAnsi="宋体" w:cs="宋体"/>
          <w:color w:val="auto"/>
          <w:sz w:val="21"/>
          <w:szCs w:val="21"/>
          <w:highlight w:val="none"/>
        </w:rPr>
        <w:t>3.13</w:t>
      </w:r>
      <w:r>
        <w:rPr>
          <w:rFonts w:hint="eastAsia" w:ascii="宋体" w:hAnsi="宋体" w:cs="宋体"/>
          <w:color w:val="auto"/>
          <w:sz w:val="21"/>
          <w:szCs w:val="21"/>
          <w:highlight w:val="none"/>
          <w:lang w:eastAsia="zh-CN"/>
        </w:rPr>
        <w:t xml:space="preserve"> </w:t>
      </w:r>
      <w:r>
        <w:rPr>
          <w:rFonts w:hint="eastAsia" w:ascii="宋体" w:hAnsi="宋体" w:cs="宋体"/>
          <w:color w:val="auto"/>
          <w:sz w:val="21"/>
          <w:szCs w:val="21"/>
          <w:highlight w:val="none"/>
        </w:rPr>
        <w:t>出厂检验</w:t>
      </w:r>
    </w:p>
    <w:p w14:paraId="266BB9C6">
      <w:pPr>
        <w:spacing w:line="360" w:lineRule="auto"/>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每台装置出厂前必须由制造厂的检验部门进行出厂检验，出厂检验在试验的标准大气条件下进行。检验项目如下：</w:t>
      </w:r>
    </w:p>
    <w:p w14:paraId="15D4CCD9">
      <w:pPr>
        <w:spacing w:line="360" w:lineRule="auto"/>
        <w:ind w:firstLine="420"/>
        <w:jc w:val="left"/>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结构与外观</w:t>
      </w:r>
    </w:p>
    <w:p w14:paraId="747FD7DF">
      <w:pPr>
        <w:spacing w:line="360" w:lineRule="auto"/>
        <w:ind w:firstLine="420"/>
        <w:jc w:val="left"/>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主要功能及技术性能</w:t>
      </w:r>
    </w:p>
    <w:p w14:paraId="4E691489">
      <w:pPr>
        <w:spacing w:line="360" w:lineRule="auto"/>
        <w:ind w:firstLine="420"/>
        <w:jc w:val="left"/>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rPr>
        <w:t>绝缘电阻</w:t>
      </w:r>
    </w:p>
    <w:p w14:paraId="654C1E7A">
      <w:pPr>
        <w:spacing w:line="360" w:lineRule="auto"/>
        <w:ind w:firstLine="420"/>
        <w:jc w:val="left"/>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rPr>
        <w:t>介质强度</w:t>
      </w:r>
    </w:p>
    <w:p w14:paraId="34C94353">
      <w:pPr>
        <w:spacing w:line="360" w:lineRule="auto"/>
        <w:ind w:firstLine="420"/>
        <w:jc w:val="left"/>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连续通电</w:t>
      </w:r>
    </w:p>
    <w:p w14:paraId="3D5E34C1">
      <w:pPr>
        <w:spacing w:line="360" w:lineRule="auto"/>
        <w:jc w:val="left"/>
        <w:outlineLvl w:val="1"/>
        <w:rPr>
          <w:rFonts w:hint="eastAsia" w:ascii="宋体" w:hAnsi="宋体" w:cs="宋体"/>
          <w:color w:val="auto"/>
          <w:sz w:val="21"/>
          <w:szCs w:val="21"/>
          <w:highlight w:val="none"/>
        </w:rPr>
      </w:pPr>
      <w:r>
        <w:rPr>
          <w:rFonts w:hint="eastAsia" w:ascii="宋体" w:hAnsi="宋体" w:cs="宋体"/>
          <w:color w:val="auto"/>
          <w:sz w:val="21"/>
          <w:szCs w:val="21"/>
          <w:highlight w:val="none"/>
        </w:rPr>
        <w:t>3.14</w:t>
      </w:r>
      <w:r>
        <w:rPr>
          <w:rFonts w:hint="eastAsia" w:ascii="宋体" w:hAnsi="宋体" w:cs="宋体"/>
          <w:color w:val="auto"/>
          <w:sz w:val="21"/>
          <w:szCs w:val="21"/>
          <w:highlight w:val="none"/>
          <w:lang w:eastAsia="zh-CN"/>
        </w:rPr>
        <w:t xml:space="preserve"> </w:t>
      </w:r>
      <w:r>
        <w:rPr>
          <w:rFonts w:hint="eastAsia" w:ascii="宋体" w:hAnsi="宋体" w:cs="宋体"/>
          <w:color w:val="auto"/>
          <w:sz w:val="21"/>
          <w:szCs w:val="21"/>
          <w:highlight w:val="none"/>
        </w:rPr>
        <w:t>现场试验</w:t>
      </w:r>
    </w:p>
    <w:p w14:paraId="36274B67">
      <w:pPr>
        <w:pStyle w:val="5"/>
        <w:spacing w:before="0" w:beforeLines="0" w:after="0" w:afterLines="0" w:line="360" w:lineRule="auto"/>
        <w:ind w:firstLine="0"/>
        <w:rPr>
          <w:rFonts w:hint="eastAsia" w:ascii="宋体" w:hAnsi="宋体" w:cs="宋体"/>
          <w:color w:val="auto"/>
          <w:sz w:val="32"/>
          <w:szCs w:val="32"/>
          <w:highlight w:val="none"/>
        </w:rPr>
      </w:pPr>
      <w:r>
        <w:rPr>
          <w:rFonts w:hint="eastAsia" w:ascii="宋体" w:hAnsi="宋体" w:cs="宋体"/>
          <w:color w:val="auto"/>
          <w:sz w:val="21"/>
          <w:szCs w:val="21"/>
          <w:highlight w:val="none"/>
        </w:rPr>
        <w:br w:type="page"/>
      </w:r>
      <w:bookmarkStart w:id="69" w:name="_Toc488922627"/>
      <w:bookmarkStart w:id="70" w:name="_Toc515332013"/>
      <w:bookmarkStart w:id="71" w:name="_Toc515697899"/>
      <w:bookmarkStart w:id="72" w:name="_Toc515708315"/>
      <w:bookmarkStart w:id="73" w:name="_Toc515727599"/>
      <w:bookmarkStart w:id="74" w:name="_Toc515335072"/>
      <w:bookmarkStart w:id="75" w:name="_Toc515705620"/>
      <w:bookmarkStart w:id="76" w:name="_Toc515785184"/>
      <w:bookmarkStart w:id="77" w:name="_Toc343695402"/>
      <w:bookmarkStart w:id="78" w:name="_Toc526944934"/>
      <w:bookmarkStart w:id="79" w:name="_Toc515622054"/>
      <w:r>
        <w:rPr>
          <w:rFonts w:hint="eastAsia" w:ascii="宋体" w:hAnsi="宋体" w:cs="宋体"/>
          <w:b/>
          <w:bCs/>
          <w:color w:val="auto"/>
          <w:kern w:val="2"/>
          <w:sz w:val="30"/>
          <w:szCs w:val="30"/>
          <w:highlight w:val="none"/>
        </w:rPr>
        <w:t>附件</w:t>
      </w:r>
      <w:bookmarkEnd w:id="69"/>
      <w:bookmarkStart w:id="80" w:name="_Hlt515349331"/>
      <w:bookmarkEnd w:id="80"/>
      <w:r>
        <w:rPr>
          <w:rFonts w:hint="eastAsia" w:ascii="宋体" w:hAnsi="宋体" w:cs="宋体"/>
          <w:b/>
          <w:bCs/>
          <w:color w:val="auto"/>
          <w:kern w:val="2"/>
          <w:sz w:val="30"/>
          <w:szCs w:val="30"/>
          <w:highlight w:val="none"/>
        </w:rPr>
        <w:t>6 技术服务和联络</w:t>
      </w:r>
      <w:bookmarkEnd w:id="70"/>
      <w:bookmarkEnd w:id="71"/>
      <w:bookmarkEnd w:id="72"/>
      <w:bookmarkEnd w:id="73"/>
      <w:bookmarkEnd w:id="74"/>
      <w:bookmarkEnd w:id="75"/>
      <w:bookmarkEnd w:id="76"/>
      <w:bookmarkEnd w:id="77"/>
      <w:bookmarkEnd w:id="78"/>
      <w:bookmarkEnd w:id="79"/>
      <w:bookmarkStart w:id="81" w:name="_Toc515708316"/>
      <w:bookmarkStart w:id="82" w:name="_Toc515697900"/>
      <w:bookmarkStart w:id="83" w:name="_Toc515705621"/>
      <w:bookmarkStart w:id="84" w:name="_Toc515727600"/>
      <w:bookmarkStart w:id="85" w:name="_Toc515785185"/>
    </w:p>
    <w:p w14:paraId="230EAFBB">
      <w:pPr>
        <w:numPr>
          <w:ilvl w:val="-1"/>
          <w:numId w:val="0"/>
        </w:numPr>
        <w:snapToGrid/>
        <w:spacing w:before="0" w:beforeLines="0" w:after="0" w:afterLines="0" w:line="360" w:lineRule="auto"/>
        <w:ind w:left="0" w:firstLine="0"/>
        <w:outlineLvl w:val="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 xml:space="preserve">1 </w:t>
      </w:r>
      <w:r>
        <w:rPr>
          <w:rFonts w:hint="eastAsia" w:ascii="宋体" w:hAnsi="宋体" w:eastAsia="宋体" w:cs="宋体"/>
          <w:b/>
          <w:bCs/>
          <w:color w:val="auto"/>
          <w:sz w:val="28"/>
          <w:szCs w:val="28"/>
          <w:highlight w:val="none"/>
        </w:rPr>
        <w:t>投标人现场技术服务</w:t>
      </w:r>
      <w:bookmarkEnd w:id="81"/>
      <w:bookmarkEnd w:id="82"/>
      <w:bookmarkEnd w:id="83"/>
      <w:bookmarkEnd w:id="84"/>
      <w:bookmarkEnd w:id="85"/>
    </w:p>
    <w:p w14:paraId="6F647CF8">
      <w:pPr>
        <w:pStyle w:val="5"/>
        <w:spacing w:line="360" w:lineRule="auto"/>
        <w:ind w:firstLine="0"/>
        <w:rPr>
          <w:rFonts w:hint="eastAsia" w:ascii="宋体" w:hAnsi="宋体" w:cs="宋体"/>
          <w:color w:val="auto"/>
          <w:sz w:val="21"/>
          <w:szCs w:val="21"/>
          <w:highlight w:val="none"/>
        </w:rPr>
      </w:pPr>
      <w:r>
        <w:rPr>
          <w:rFonts w:hint="eastAsia" w:ascii="宋体" w:hAnsi="宋体" w:cs="宋体"/>
          <w:color w:val="auto"/>
          <w:sz w:val="21"/>
          <w:szCs w:val="21"/>
          <w:highlight w:val="none"/>
        </w:rPr>
        <w:t>1.1 投标人现场服务人员的目的是使所供设备安全、正常投运。投标人要派合格的现场服务人员。在投标阶段应提供包括服务人月数的现场服务计划表（格式）。如果此人月数不能满足工程需要，投标人</w:t>
      </w:r>
      <w:r>
        <w:rPr>
          <w:rFonts w:hint="eastAsia" w:ascii="宋体" w:hAnsi="宋体" w:cs="宋体"/>
          <w:color w:val="auto"/>
          <w:sz w:val="21"/>
          <w:szCs w:val="21"/>
          <w:highlight w:val="none"/>
          <w:lang w:eastAsia="zh-CN"/>
        </w:rPr>
        <w:t>应</w:t>
      </w:r>
      <w:r>
        <w:rPr>
          <w:rFonts w:hint="eastAsia" w:ascii="宋体" w:hAnsi="宋体" w:cs="宋体"/>
          <w:color w:val="auto"/>
          <w:sz w:val="21"/>
          <w:szCs w:val="21"/>
          <w:highlight w:val="none"/>
        </w:rPr>
        <w:t>追加人月数，且不发生费用。</w:t>
      </w:r>
    </w:p>
    <w:p w14:paraId="5671B574">
      <w:pPr>
        <w:pStyle w:val="5"/>
        <w:spacing w:line="360" w:lineRule="auto"/>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现场服务计划表</w:t>
      </w:r>
    </w:p>
    <w:tbl>
      <w:tblPr>
        <w:tblStyle w:val="18"/>
        <w:tblW w:w="836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96"/>
        <w:gridCol w:w="2029"/>
        <w:gridCol w:w="1736"/>
        <w:gridCol w:w="1247"/>
        <w:gridCol w:w="1315"/>
        <w:gridCol w:w="1139"/>
      </w:tblGrid>
      <w:tr w14:paraId="6E071D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trPr>
        <w:tc>
          <w:tcPr>
            <w:tcW w:w="896" w:type="dxa"/>
            <w:vMerge w:val="restart"/>
            <w:tcBorders>
              <w:tl2br w:val="nil"/>
              <w:tr2bl w:val="nil"/>
            </w:tcBorders>
            <w:vAlign w:val="center"/>
          </w:tcPr>
          <w:p w14:paraId="37D5BC18">
            <w:pPr>
              <w:pStyle w:val="5"/>
              <w:spacing w:line="36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序号</w:t>
            </w:r>
          </w:p>
        </w:tc>
        <w:tc>
          <w:tcPr>
            <w:tcW w:w="2029" w:type="dxa"/>
            <w:vMerge w:val="restart"/>
            <w:tcBorders>
              <w:tl2br w:val="nil"/>
              <w:tr2bl w:val="nil"/>
            </w:tcBorders>
            <w:vAlign w:val="center"/>
          </w:tcPr>
          <w:p w14:paraId="57FAE11E">
            <w:pPr>
              <w:pStyle w:val="5"/>
              <w:spacing w:line="36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技术服务内容</w:t>
            </w:r>
          </w:p>
        </w:tc>
        <w:tc>
          <w:tcPr>
            <w:tcW w:w="1736" w:type="dxa"/>
            <w:vMerge w:val="restart"/>
            <w:tcBorders>
              <w:tl2br w:val="nil"/>
              <w:tr2bl w:val="nil"/>
            </w:tcBorders>
            <w:vAlign w:val="center"/>
          </w:tcPr>
          <w:p w14:paraId="04CD9BEF">
            <w:pPr>
              <w:pStyle w:val="5"/>
              <w:spacing w:line="36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计划人月数</w:t>
            </w:r>
          </w:p>
        </w:tc>
        <w:tc>
          <w:tcPr>
            <w:tcW w:w="2562" w:type="dxa"/>
            <w:gridSpan w:val="2"/>
            <w:tcBorders>
              <w:tl2br w:val="nil"/>
              <w:tr2bl w:val="nil"/>
            </w:tcBorders>
            <w:vAlign w:val="center"/>
          </w:tcPr>
          <w:p w14:paraId="0F2A9016">
            <w:pPr>
              <w:pStyle w:val="5"/>
              <w:spacing w:line="36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派出人员构成</w:t>
            </w:r>
          </w:p>
        </w:tc>
        <w:tc>
          <w:tcPr>
            <w:tcW w:w="1139" w:type="dxa"/>
            <w:vMerge w:val="restart"/>
            <w:tcBorders>
              <w:tl2br w:val="nil"/>
              <w:tr2bl w:val="nil"/>
            </w:tcBorders>
            <w:vAlign w:val="center"/>
          </w:tcPr>
          <w:p w14:paraId="5A250361">
            <w:pPr>
              <w:pStyle w:val="5"/>
              <w:spacing w:line="36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备注</w:t>
            </w:r>
          </w:p>
        </w:tc>
      </w:tr>
      <w:tr w14:paraId="3DC0B8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trPr>
        <w:tc>
          <w:tcPr>
            <w:tcW w:w="896" w:type="dxa"/>
            <w:vMerge w:val="continue"/>
            <w:tcBorders>
              <w:tl2br w:val="nil"/>
              <w:tr2bl w:val="nil"/>
            </w:tcBorders>
            <w:vAlign w:val="center"/>
          </w:tcPr>
          <w:p w14:paraId="00818D18">
            <w:pPr>
              <w:pStyle w:val="5"/>
              <w:spacing w:line="360" w:lineRule="auto"/>
              <w:jc w:val="center"/>
              <w:rPr>
                <w:rFonts w:hint="eastAsia" w:ascii="宋体" w:hAnsi="宋体" w:cs="宋体"/>
                <w:color w:val="auto"/>
                <w:sz w:val="21"/>
                <w:szCs w:val="21"/>
                <w:highlight w:val="none"/>
              </w:rPr>
            </w:pPr>
          </w:p>
        </w:tc>
        <w:tc>
          <w:tcPr>
            <w:tcW w:w="2029" w:type="dxa"/>
            <w:vMerge w:val="continue"/>
            <w:tcBorders>
              <w:tl2br w:val="nil"/>
              <w:tr2bl w:val="nil"/>
            </w:tcBorders>
            <w:vAlign w:val="center"/>
          </w:tcPr>
          <w:p w14:paraId="17C9117F">
            <w:pPr>
              <w:pStyle w:val="5"/>
              <w:spacing w:line="360" w:lineRule="auto"/>
              <w:jc w:val="center"/>
              <w:rPr>
                <w:rFonts w:hint="eastAsia" w:ascii="宋体" w:hAnsi="宋体" w:cs="宋体"/>
                <w:color w:val="auto"/>
                <w:sz w:val="21"/>
                <w:szCs w:val="21"/>
                <w:highlight w:val="none"/>
              </w:rPr>
            </w:pPr>
          </w:p>
        </w:tc>
        <w:tc>
          <w:tcPr>
            <w:tcW w:w="1736" w:type="dxa"/>
            <w:vMerge w:val="continue"/>
            <w:tcBorders>
              <w:tl2br w:val="nil"/>
              <w:tr2bl w:val="nil"/>
            </w:tcBorders>
            <w:vAlign w:val="center"/>
          </w:tcPr>
          <w:p w14:paraId="1D6A2C10">
            <w:pPr>
              <w:pStyle w:val="5"/>
              <w:spacing w:line="360" w:lineRule="auto"/>
              <w:jc w:val="center"/>
              <w:rPr>
                <w:rFonts w:hint="eastAsia" w:ascii="宋体" w:hAnsi="宋体" w:cs="宋体"/>
                <w:color w:val="auto"/>
                <w:sz w:val="21"/>
                <w:szCs w:val="21"/>
                <w:highlight w:val="none"/>
              </w:rPr>
            </w:pPr>
          </w:p>
        </w:tc>
        <w:tc>
          <w:tcPr>
            <w:tcW w:w="1247" w:type="dxa"/>
            <w:tcBorders>
              <w:tl2br w:val="nil"/>
              <w:tr2bl w:val="nil"/>
            </w:tcBorders>
            <w:vAlign w:val="center"/>
          </w:tcPr>
          <w:p w14:paraId="18D6A017">
            <w:pPr>
              <w:pStyle w:val="5"/>
              <w:spacing w:line="360" w:lineRule="auto"/>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职称</w:t>
            </w:r>
          </w:p>
        </w:tc>
        <w:tc>
          <w:tcPr>
            <w:tcW w:w="1315" w:type="dxa"/>
            <w:tcBorders>
              <w:tl2br w:val="nil"/>
              <w:tr2bl w:val="nil"/>
            </w:tcBorders>
            <w:vAlign w:val="center"/>
          </w:tcPr>
          <w:p w14:paraId="6ED8A38E">
            <w:pPr>
              <w:pStyle w:val="5"/>
              <w:spacing w:line="36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人数</w:t>
            </w:r>
          </w:p>
        </w:tc>
        <w:tc>
          <w:tcPr>
            <w:tcW w:w="1139" w:type="dxa"/>
            <w:vMerge w:val="continue"/>
            <w:tcBorders>
              <w:tl2br w:val="nil"/>
              <w:tr2bl w:val="nil"/>
            </w:tcBorders>
            <w:vAlign w:val="center"/>
          </w:tcPr>
          <w:p w14:paraId="46FFAF47">
            <w:pPr>
              <w:pStyle w:val="5"/>
              <w:spacing w:line="360" w:lineRule="auto"/>
              <w:jc w:val="center"/>
              <w:rPr>
                <w:rFonts w:hint="eastAsia" w:ascii="宋体" w:hAnsi="宋体" w:cs="宋体"/>
                <w:color w:val="auto"/>
                <w:sz w:val="21"/>
                <w:szCs w:val="21"/>
                <w:highlight w:val="none"/>
              </w:rPr>
            </w:pPr>
          </w:p>
        </w:tc>
      </w:tr>
      <w:tr w14:paraId="62891F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896" w:type="dxa"/>
            <w:tcBorders>
              <w:tl2br w:val="nil"/>
              <w:tr2bl w:val="nil"/>
            </w:tcBorders>
            <w:vAlign w:val="center"/>
          </w:tcPr>
          <w:p w14:paraId="62ECB004">
            <w:pPr>
              <w:pStyle w:val="5"/>
              <w:spacing w:line="360" w:lineRule="auto"/>
              <w:jc w:val="both"/>
              <w:rPr>
                <w:rFonts w:hint="eastAsia" w:ascii="宋体" w:hAnsi="宋体" w:cs="宋体"/>
                <w:color w:val="auto"/>
                <w:sz w:val="21"/>
                <w:szCs w:val="21"/>
                <w:highlight w:val="none"/>
              </w:rPr>
            </w:pPr>
          </w:p>
        </w:tc>
        <w:tc>
          <w:tcPr>
            <w:tcW w:w="2029" w:type="dxa"/>
            <w:tcBorders>
              <w:tl2br w:val="nil"/>
              <w:tr2bl w:val="nil"/>
            </w:tcBorders>
            <w:vAlign w:val="center"/>
          </w:tcPr>
          <w:p w14:paraId="31AE032D">
            <w:pPr>
              <w:pStyle w:val="5"/>
              <w:spacing w:line="360" w:lineRule="auto"/>
              <w:ind w:firstLine="0"/>
              <w:jc w:val="center"/>
              <w:rPr>
                <w:rFonts w:hint="eastAsia" w:ascii="宋体" w:hAnsi="宋体" w:cs="宋体"/>
                <w:color w:val="auto"/>
                <w:sz w:val="21"/>
                <w:szCs w:val="21"/>
                <w:highlight w:val="none"/>
              </w:rPr>
            </w:pPr>
          </w:p>
        </w:tc>
        <w:tc>
          <w:tcPr>
            <w:tcW w:w="1736" w:type="dxa"/>
            <w:tcBorders>
              <w:tl2br w:val="nil"/>
              <w:tr2bl w:val="nil"/>
            </w:tcBorders>
            <w:vAlign w:val="center"/>
          </w:tcPr>
          <w:p w14:paraId="5E16D63B">
            <w:pPr>
              <w:pStyle w:val="5"/>
              <w:spacing w:line="360" w:lineRule="auto"/>
              <w:ind w:firstLine="0"/>
              <w:jc w:val="center"/>
              <w:rPr>
                <w:rFonts w:hint="eastAsia" w:ascii="宋体" w:hAnsi="宋体" w:cs="宋体"/>
                <w:color w:val="auto"/>
                <w:sz w:val="21"/>
                <w:szCs w:val="21"/>
                <w:highlight w:val="none"/>
              </w:rPr>
            </w:pPr>
          </w:p>
        </w:tc>
        <w:tc>
          <w:tcPr>
            <w:tcW w:w="1247" w:type="dxa"/>
            <w:tcBorders>
              <w:tl2br w:val="nil"/>
              <w:tr2bl w:val="nil"/>
            </w:tcBorders>
            <w:vAlign w:val="center"/>
          </w:tcPr>
          <w:p w14:paraId="5E4C95B2">
            <w:pPr>
              <w:pStyle w:val="5"/>
              <w:spacing w:line="360" w:lineRule="auto"/>
              <w:ind w:firstLine="0"/>
              <w:jc w:val="center"/>
              <w:rPr>
                <w:rFonts w:hint="eastAsia" w:ascii="宋体" w:hAnsi="宋体" w:cs="宋体"/>
                <w:color w:val="auto"/>
                <w:sz w:val="21"/>
                <w:szCs w:val="21"/>
                <w:highlight w:val="none"/>
              </w:rPr>
            </w:pPr>
          </w:p>
        </w:tc>
        <w:tc>
          <w:tcPr>
            <w:tcW w:w="1315" w:type="dxa"/>
            <w:tcBorders>
              <w:tl2br w:val="nil"/>
              <w:tr2bl w:val="nil"/>
            </w:tcBorders>
            <w:vAlign w:val="center"/>
          </w:tcPr>
          <w:p w14:paraId="0F626B22">
            <w:pPr>
              <w:pStyle w:val="5"/>
              <w:spacing w:line="360" w:lineRule="auto"/>
              <w:ind w:firstLine="0"/>
              <w:jc w:val="center"/>
              <w:rPr>
                <w:rFonts w:hint="eastAsia" w:ascii="宋体" w:hAnsi="宋体" w:cs="宋体"/>
                <w:color w:val="auto"/>
                <w:sz w:val="21"/>
                <w:szCs w:val="21"/>
                <w:highlight w:val="none"/>
              </w:rPr>
            </w:pPr>
          </w:p>
        </w:tc>
        <w:tc>
          <w:tcPr>
            <w:tcW w:w="1139" w:type="dxa"/>
            <w:tcBorders>
              <w:tl2br w:val="nil"/>
              <w:tr2bl w:val="nil"/>
            </w:tcBorders>
            <w:vAlign w:val="center"/>
          </w:tcPr>
          <w:p w14:paraId="35101029">
            <w:pPr>
              <w:pStyle w:val="5"/>
              <w:spacing w:line="360" w:lineRule="auto"/>
              <w:ind w:firstLine="0"/>
              <w:jc w:val="center"/>
              <w:rPr>
                <w:rFonts w:hint="eastAsia" w:ascii="宋体" w:hAnsi="宋体" w:cs="宋体"/>
                <w:color w:val="auto"/>
                <w:sz w:val="21"/>
                <w:szCs w:val="21"/>
                <w:highlight w:val="none"/>
              </w:rPr>
            </w:pPr>
          </w:p>
        </w:tc>
      </w:tr>
      <w:tr w14:paraId="27E742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896" w:type="dxa"/>
            <w:tcBorders>
              <w:tl2br w:val="nil"/>
              <w:tr2bl w:val="nil"/>
            </w:tcBorders>
            <w:vAlign w:val="center"/>
          </w:tcPr>
          <w:p w14:paraId="3295989D">
            <w:pPr>
              <w:pStyle w:val="5"/>
              <w:spacing w:line="360" w:lineRule="auto"/>
              <w:jc w:val="both"/>
              <w:rPr>
                <w:rFonts w:hint="eastAsia" w:ascii="宋体" w:hAnsi="宋体" w:cs="宋体"/>
                <w:color w:val="auto"/>
                <w:sz w:val="21"/>
                <w:szCs w:val="21"/>
                <w:highlight w:val="none"/>
              </w:rPr>
            </w:pPr>
          </w:p>
        </w:tc>
        <w:tc>
          <w:tcPr>
            <w:tcW w:w="2029" w:type="dxa"/>
            <w:tcBorders>
              <w:tl2br w:val="nil"/>
              <w:tr2bl w:val="nil"/>
            </w:tcBorders>
            <w:vAlign w:val="center"/>
          </w:tcPr>
          <w:p w14:paraId="2F146679">
            <w:pPr>
              <w:pStyle w:val="5"/>
              <w:spacing w:line="360" w:lineRule="auto"/>
              <w:ind w:firstLine="0"/>
              <w:jc w:val="center"/>
              <w:rPr>
                <w:rFonts w:hint="eastAsia" w:ascii="宋体" w:hAnsi="宋体" w:cs="宋体"/>
                <w:color w:val="auto"/>
                <w:sz w:val="21"/>
                <w:szCs w:val="21"/>
                <w:highlight w:val="none"/>
              </w:rPr>
            </w:pPr>
          </w:p>
        </w:tc>
        <w:tc>
          <w:tcPr>
            <w:tcW w:w="1736" w:type="dxa"/>
            <w:tcBorders>
              <w:tl2br w:val="nil"/>
              <w:tr2bl w:val="nil"/>
            </w:tcBorders>
            <w:vAlign w:val="center"/>
          </w:tcPr>
          <w:p w14:paraId="0540B1FA">
            <w:pPr>
              <w:pStyle w:val="5"/>
              <w:spacing w:line="360" w:lineRule="auto"/>
              <w:ind w:firstLine="0"/>
              <w:jc w:val="center"/>
              <w:rPr>
                <w:rFonts w:hint="eastAsia" w:ascii="宋体" w:hAnsi="宋体" w:cs="宋体"/>
                <w:color w:val="auto"/>
                <w:sz w:val="21"/>
                <w:szCs w:val="21"/>
                <w:highlight w:val="none"/>
              </w:rPr>
            </w:pPr>
          </w:p>
        </w:tc>
        <w:tc>
          <w:tcPr>
            <w:tcW w:w="1247" w:type="dxa"/>
            <w:tcBorders>
              <w:tl2br w:val="nil"/>
              <w:tr2bl w:val="nil"/>
            </w:tcBorders>
            <w:vAlign w:val="center"/>
          </w:tcPr>
          <w:p w14:paraId="69D782C3">
            <w:pPr>
              <w:pStyle w:val="5"/>
              <w:spacing w:line="360" w:lineRule="auto"/>
              <w:ind w:firstLine="0"/>
              <w:jc w:val="center"/>
              <w:rPr>
                <w:rFonts w:hint="eastAsia" w:ascii="宋体" w:hAnsi="宋体" w:cs="宋体"/>
                <w:color w:val="auto"/>
                <w:sz w:val="21"/>
                <w:szCs w:val="21"/>
                <w:highlight w:val="none"/>
              </w:rPr>
            </w:pPr>
          </w:p>
        </w:tc>
        <w:tc>
          <w:tcPr>
            <w:tcW w:w="1315" w:type="dxa"/>
            <w:tcBorders>
              <w:tl2br w:val="nil"/>
              <w:tr2bl w:val="nil"/>
            </w:tcBorders>
            <w:vAlign w:val="center"/>
          </w:tcPr>
          <w:p w14:paraId="00984D3A">
            <w:pPr>
              <w:pStyle w:val="5"/>
              <w:spacing w:line="360" w:lineRule="auto"/>
              <w:ind w:firstLine="0"/>
              <w:jc w:val="center"/>
              <w:rPr>
                <w:rFonts w:hint="eastAsia" w:ascii="宋体" w:hAnsi="宋体" w:cs="宋体"/>
                <w:color w:val="auto"/>
                <w:sz w:val="21"/>
                <w:szCs w:val="21"/>
                <w:highlight w:val="none"/>
              </w:rPr>
            </w:pPr>
          </w:p>
        </w:tc>
        <w:tc>
          <w:tcPr>
            <w:tcW w:w="1139" w:type="dxa"/>
            <w:tcBorders>
              <w:tl2br w:val="nil"/>
              <w:tr2bl w:val="nil"/>
            </w:tcBorders>
            <w:vAlign w:val="center"/>
          </w:tcPr>
          <w:p w14:paraId="04748911">
            <w:pPr>
              <w:pStyle w:val="5"/>
              <w:spacing w:line="360" w:lineRule="auto"/>
              <w:ind w:firstLine="0"/>
              <w:jc w:val="center"/>
              <w:rPr>
                <w:rFonts w:hint="eastAsia" w:ascii="宋体" w:hAnsi="宋体" w:cs="宋体"/>
                <w:color w:val="auto"/>
                <w:sz w:val="21"/>
                <w:szCs w:val="21"/>
                <w:highlight w:val="none"/>
              </w:rPr>
            </w:pPr>
          </w:p>
        </w:tc>
      </w:tr>
      <w:tr w14:paraId="03D511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896" w:type="dxa"/>
            <w:tcBorders>
              <w:tl2br w:val="nil"/>
              <w:tr2bl w:val="nil"/>
            </w:tcBorders>
            <w:vAlign w:val="center"/>
          </w:tcPr>
          <w:p w14:paraId="3D6964F2">
            <w:pPr>
              <w:pStyle w:val="5"/>
              <w:spacing w:line="360" w:lineRule="auto"/>
              <w:jc w:val="both"/>
              <w:rPr>
                <w:rFonts w:hint="eastAsia" w:ascii="宋体" w:hAnsi="宋体" w:cs="宋体"/>
                <w:color w:val="auto"/>
                <w:sz w:val="21"/>
                <w:szCs w:val="21"/>
                <w:highlight w:val="none"/>
              </w:rPr>
            </w:pPr>
          </w:p>
        </w:tc>
        <w:tc>
          <w:tcPr>
            <w:tcW w:w="2029" w:type="dxa"/>
            <w:tcBorders>
              <w:tl2br w:val="nil"/>
              <w:tr2bl w:val="nil"/>
            </w:tcBorders>
            <w:vAlign w:val="center"/>
          </w:tcPr>
          <w:p w14:paraId="169A2D95">
            <w:pPr>
              <w:pStyle w:val="5"/>
              <w:spacing w:line="360" w:lineRule="auto"/>
              <w:ind w:firstLine="0"/>
              <w:jc w:val="center"/>
              <w:rPr>
                <w:rFonts w:hint="eastAsia" w:ascii="宋体" w:hAnsi="宋体" w:cs="宋体"/>
                <w:color w:val="auto"/>
                <w:sz w:val="21"/>
                <w:szCs w:val="21"/>
                <w:highlight w:val="none"/>
              </w:rPr>
            </w:pPr>
          </w:p>
        </w:tc>
        <w:tc>
          <w:tcPr>
            <w:tcW w:w="1736" w:type="dxa"/>
            <w:tcBorders>
              <w:tl2br w:val="nil"/>
              <w:tr2bl w:val="nil"/>
            </w:tcBorders>
            <w:vAlign w:val="center"/>
          </w:tcPr>
          <w:p w14:paraId="3FA78AFD">
            <w:pPr>
              <w:pStyle w:val="5"/>
              <w:spacing w:line="360" w:lineRule="auto"/>
              <w:ind w:firstLine="0"/>
              <w:jc w:val="center"/>
              <w:rPr>
                <w:rFonts w:hint="eastAsia" w:ascii="宋体" w:hAnsi="宋体" w:cs="宋体"/>
                <w:color w:val="auto"/>
                <w:sz w:val="21"/>
                <w:szCs w:val="21"/>
                <w:highlight w:val="none"/>
              </w:rPr>
            </w:pPr>
          </w:p>
        </w:tc>
        <w:tc>
          <w:tcPr>
            <w:tcW w:w="1247" w:type="dxa"/>
            <w:tcBorders>
              <w:tl2br w:val="nil"/>
              <w:tr2bl w:val="nil"/>
            </w:tcBorders>
            <w:vAlign w:val="center"/>
          </w:tcPr>
          <w:p w14:paraId="461DE142">
            <w:pPr>
              <w:pStyle w:val="5"/>
              <w:spacing w:line="360" w:lineRule="auto"/>
              <w:ind w:firstLine="0"/>
              <w:jc w:val="center"/>
              <w:rPr>
                <w:rFonts w:hint="eastAsia" w:ascii="宋体" w:hAnsi="宋体" w:cs="宋体"/>
                <w:color w:val="auto"/>
                <w:sz w:val="21"/>
                <w:szCs w:val="21"/>
                <w:highlight w:val="none"/>
              </w:rPr>
            </w:pPr>
          </w:p>
        </w:tc>
        <w:tc>
          <w:tcPr>
            <w:tcW w:w="1315" w:type="dxa"/>
            <w:tcBorders>
              <w:tl2br w:val="nil"/>
              <w:tr2bl w:val="nil"/>
            </w:tcBorders>
            <w:vAlign w:val="center"/>
          </w:tcPr>
          <w:p w14:paraId="7209A278">
            <w:pPr>
              <w:pStyle w:val="5"/>
              <w:spacing w:line="360" w:lineRule="auto"/>
              <w:ind w:firstLine="0"/>
              <w:jc w:val="center"/>
              <w:rPr>
                <w:rFonts w:hint="eastAsia" w:ascii="宋体" w:hAnsi="宋体" w:cs="宋体"/>
                <w:color w:val="auto"/>
                <w:sz w:val="21"/>
                <w:szCs w:val="21"/>
                <w:highlight w:val="none"/>
              </w:rPr>
            </w:pPr>
          </w:p>
        </w:tc>
        <w:tc>
          <w:tcPr>
            <w:tcW w:w="1139" w:type="dxa"/>
            <w:tcBorders>
              <w:tl2br w:val="nil"/>
              <w:tr2bl w:val="nil"/>
            </w:tcBorders>
            <w:vAlign w:val="center"/>
          </w:tcPr>
          <w:p w14:paraId="1E3D5BA6">
            <w:pPr>
              <w:pStyle w:val="5"/>
              <w:spacing w:line="360" w:lineRule="auto"/>
              <w:ind w:firstLine="0"/>
              <w:jc w:val="center"/>
              <w:rPr>
                <w:rFonts w:hint="eastAsia" w:ascii="宋体" w:hAnsi="宋体" w:cs="宋体"/>
                <w:color w:val="auto"/>
                <w:sz w:val="21"/>
                <w:szCs w:val="21"/>
                <w:highlight w:val="none"/>
              </w:rPr>
            </w:pPr>
          </w:p>
        </w:tc>
      </w:tr>
    </w:tbl>
    <w:p w14:paraId="6EE5F5AA">
      <w:pPr>
        <w:pStyle w:val="5"/>
        <w:spacing w:before="157" w:beforeLines="50" w:line="360" w:lineRule="auto"/>
        <w:ind w:firstLine="0"/>
        <w:outlineLvl w:val="1"/>
        <w:rPr>
          <w:rFonts w:hint="eastAsia" w:ascii="宋体" w:hAnsi="宋体" w:cs="宋体"/>
          <w:color w:val="auto"/>
          <w:sz w:val="21"/>
          <w:szCs w:val="21"/>
          <w:highlight w:val="none"/>
        </w:rPr>
      </w:pPr>
      <w:r>
        <w:rPr>
          <w:rFonts w:hint="eastAsia" w:ascii="宋体" w:hAnsi="宋体" w:cs="宋体"/>
          <w:color w:val="auto"/>
          <w:sz w:val="21"/>
          <w:szCs w:val="21"/>
          <w:highlight w:val="none"/>
        </w:rPr>
        <w:t>1.2 投标人现场服务人员应具有下列资质：</w:t>
      </w:r>
    </w:p>
    <w:p w14:paraId="3D0450BF">
      <w:pPr>
        <w:pStyle w:val="5"/>
        <w:spacing w:line="360" w:lineRule="auto"/>
        <w:ind w:firstLine="0"/>
        <w:rPr>
          <w:rFonts w:hint="eastAsia" w:ascii="宋体" w:hAnsi="宋体" w:cs="宋体"/>
          <w:color w:val="auto"/>
          <w:sz w:val="21"/>
          <w:szCs w:val="21"/>
          <w:highlight w:val="none"/>
        </w:rPr>
      </w:pPr>
      <w:r>
        <w:rPr>
          <w:rFonts w:hint="eastAsia" w:ascii="宋体" w:hAnsi="宋体" w:cs="宋体"/>
          <w:color w:val="auto"/>
          <w:sz w:val="21"/>
          <w:szCs w:val="21"/>
          <w:highlight w:val="none"/>
        </w:rPr>
        <w:t>1.2.1 遵守法纪，遵守现场的各项规章和制度</w:t>
      </w:r>
      <w:r>
        <w:rPr>
          <w:rFonts w:hint="eastAsia" w:ascii="宋体" w:hAnsi="宋体" w:cs="宋体"/>
          <w:color w:val="auto"/>
          <w:sz w:val="21"/>
          <w:szCs w:val="21"/>
          <w:highlight w:val="none"/>
          <w:lang w:eastAsia="zh-CN"/>
        </w:rPr>
        <w:t>；</w:t>
      </w:r>
    </w:p>
    <w:p w14:paraId="6C4B26A4">
      <w:pPr>
        <w:pStyle w:val="5"/>
        <w:spacing w:line="360" w:lineRule="auto"/>
        <w:ind w:firstLine="0"/>
        <w:rPr>
          <w:rFonts w:hint="eastAsia" w:ascii="宋体" w:hAnsi="宋体" w:cs="宋体"/>
          <w:color w:val="auto"/>
          <w:sz w:val="21"/>
          <w:szCs w:val="21"/>
          <w:highlight w:val="none"/>
        </w:rPr>
      </w:pPr>
      <w:r>
        <w:rPr>
          <w:rFonts w:hint="eastAsia" w:ascii="宋体" w:hAnsi="宋体" w:cs="宋体"/>
          <w:color w:val="auto"/>
          <w:sz w:val="21"/>
          <w:szCs w:val="21"/>
          <w:highlight w:val="none"/>
        </w:rPr>
        <w:t>1.2.2 有较强的责任感和事业心，按时到位</w:t>
      </w:r>
      <w:r>
        <w:rPr>
          <w:rFonts w:hint="eastAsia" w:ascii="宋体" w:hAnsi="宋体" w:cs="宋体"/>
          <w:color w:val="auto"/>
          <w:sz w:val="21"/>
          <w:szCs w:val="21"/>
          <w:highlight w:val="none"/>
          <w:lang w:eastAsia="zh-CN"/>
        </w:rPr>
        <w:t>；</w:t>
      </w:r>
    </w:p>
    <w:p w14:paraId="6A91C55F">
      <w:pPr>
        <w:pStyle w:val="5"/>
        <w:spacing w:line="360" w:lineRule="auto"/>
        <w:ind w:firstLine="0"/>
        <w:rPr>
          <w:rFonts w:hint="eastAsia" w:ascii="宋体" w:hAnsi="宋体" w:cs="宋体"/>
          <w:color w:val="auto"/>
          <w:sz w:val="21"/>
          <w:szCs w:val="21"/>
          <w:highlight w:val="none"/>
        </w:rPr>
      </w:pPr>
      <w:r>
        <w:rPr>
          <w:rFonts w:hint="eastAsia" w:ascii="宋体" w:hAnsi="宋体" w:cs="宋体"/>
          <w:color w:val="auto"/>
          <w:sz w:val="21"/>
          <w:szCs w:val="21"/>
          <w:highlight w:val="none"/>
        </w:rPr>
        <w:t>1.2.3 了解合同设备的设计，熟悉其结构，有相同或相近机组的现场工作经验，能够正确地进行现场指导</w:t>
      </w:r>
      <w:r>
        <w:rPr>
          <w:rFonts w:hint="eastAsia" w:ascii="宋体" w:hAnsi="宋体" w:cs="宋体"/>
          <w:color w:val="auto"/>
          <w:sz w:val="21"/>
          <w:szCs w:val="21"/>
          <w:highlight w:val="none"/>
          <w:lang w:eastAsia="zh-CN"/>
        </w:rPr>
        <w:t>；</w:t>
      </w:r>
    </w:p>
    <w:p w14:paraId="269E65AF">
      <w:pPr>
        <w:pStyle w:val="5"/>
        <w:spacing w:line="360" w:lineRule="auto"/>
        <w:ind w:firstLine="0"/>
        <w:outlineLvl w:val="2"/>
        <w:rPr>
          <w:rFonts w:hint="eastAsia" w:ascii="宋体" w:hAnsi="宋体" w:cs="宋体"/>
          <w:color w:val="auto"/>
          <w:sz w:val="21"/>
          <w:szCs w:val="21"/>
          <w:highlight w:val="none"/>
        </w:rPr>
      </w:pPr>
      <w:r>
        <w:rPr>
          <w:rFonts w:hint="eastAsia" w:ascii="宋体" w:hAnsi="宋体" w:cs="宋体"/>
          <w:color w:val="auto"/>
          <w:sz w:val="21"/>
          <w:szCs w:val="21"/>
          <w:highlight w:val="none"/>
        </w:rPr>
        <w:t>1.2.4 身体健康，适应现场工作的条件。</w:t>
      </w:r>
    </w:p>
    <w:p w14:paraId="309157F5">
      <w:pPr>
        <w:pStyle w:val="5"/>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投标人要向招标人提供服务人员情况表</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见下表格式</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。投标人须更换不合格的投标人现场服务人员。服务人员情况表：</w:t>
      </w:r>
    </w:p>
    <w:tbl>
      <w:tblPr>
        <w:tblStyle w:val="18"/>
        <w:tblW w:w="8364"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045"/>
        <w:gridCol w:w="1045"/>
        <w:gridCol w:w="1045"/>
        <w:gridCol w:w="1045"/>
        <w:gridCol w:w="1045"/>
        <w:gridCol w:w="1045"/>
        <w:gridCol w:w="1045"/>
        <w:gridCol w:w="1049"/>
      </w:tblGrid>
      <w:tr w14:paraId="5716CE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45" w:type="dxa"/>
            <w:tcBorders>
              <w:tl2br w:val="nil"/>
              <w:tr2bl w:val="nil"/>
            </w:tcBorders>
            <w:vAlign w:val="center"/>
          </w:tcPr>
          <w:p w14:paraId="6BD9B597">
            <w:pPr>
              <w:pStyle w:val="5"/>
              <w:spacing w:line="360" w:lineRule="auto"/>
              <w:ind w:firstLine="0" w:firstLineChars="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姓名</w:t>
            </w:r>
          </w:p>
        </w:tc>
        <w:tc>
          <w:tcPr>
            <w:tcW w:w="1045" w:type="dxa"/>
            <w:tcBorders>
              <w:tl2br w:val="nil"/>
              <w:tr2bl w:val="nil"/>
            </w:tcBorders>
            <w:vAlign w:val="center"/>
          </w:tcPr>
          <w:p w14:paraId="6896AE54">
            <w:pPr>
              <w:pStyle w:val="5"/>
              <w:spacing w:line="360" w:lineRule="auto"/>
              <w:ind w:firstLine="0" w:firstLineChars="0"/>
              <w:jc w:val="center"/>
              <w:rPr>
                <w:rFonts w:hint="eastAsia" w:ascii="宋体" w:hAnsi="宋体" w:cs="宋体"/>
                <w:color w:val="auto"/>
                <w:sz w:val="21"/>
                <w:szCs w:val="21"/>
                <w:highlight w:val="none"/>
              </w:rPr>
            </w:pPr>
          </w:p>
        </w:tc>
        <w:tc>
          <w:tcPr>
            <w:tcW w:w="1045" w:type="dxa"/>
            <w:tcBorders>
              <w:tl2br w:val="nil"/>
              <w:tr2bl w:val="nil"/>
            </w:tcBorders>
            <w:vAlign w:val="center"/>
          </w:tcPr>
          <w:p w14:paraId="3A0D72F3">
            <w:pPr>
              <w:pStyle w:val="5"/>
              <w:spacing w:line="360" w:lineRule="auto"/>
              <w:ind w:firstLine="0" w:firstLineChars="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性别</w:t>
            </w:r>
          </w:p>
        </w:tc>
        <w:tc>
          <w:tcPr>
            <w:tcW w:w="1045" w:type="dxa"/>
            <w:tcBorders>
              <w:tl2br w:val="nil"/>
              <w:tr2bl w:val="nil"/>
            </w:tcBorders>
            <w:vAlign w:val="center"/>
          </w:tcPr>
          <w:p w14:paraId="395F9A2D">
            <w:pPr>
              <w:pStyle w:val="5"/>
              <w:spacing w:line="360" w:lineRule="auto"/>
              <w:ind w:firstLine="0" w:firstLineChars="0"/>
              <w:jc w:val="center"/>
              <w:rPr>
                <w:rFonts w:hint="eastAsia" w:ascii="宋体" w:hAnsi="宋体" w:cs="宋体"/>
                <w:color w:val="auto"/>
                <w:sz w:val="21"/>
                <w:szCs w:val="21"/>
                <w:highlight w:val="none"/>
              </w:rPr>
            </w:pPr>
          </w:p>
        </w:tc>
        <w:tc>
          <w:tcPr>
            <w:tcW w:w="1045" w:type="dxa"/>
            <w:tcBorders>
              <w:tl2br w:val="nil"/>
              <w:tr2bl w:val="nil"/>
            </w:tcBorders>
            <w:vAlign w:val="center"/>
          </w:tcPr>
          <w:p w14:paraId="6C618A48">
            <w:pPr>
              <w:pStyle w:val="5"/>
              <w:spacing w:line="360" w:lineRule="auto"/>
              <w:ind w:firstLine="0" w:firstLineChars="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年龄</w:t>
            </w:r>
          </w:p>
        </w:tc>
        <w:tc>
          <w:tcPr>
            <w:tcW w:w="1045" w:type="dxa"/>
            <w:tcBorders>
              <w:tl2br w:val="nil"/>
              <w:tr2bl w:val="nil"/>
            </w:tcBorders>
            <w:vAlign w:val="center"/>
          </w:tcPr>
          <w:p w14:paraId="7F406C89">
            <w:pPr>
              <w:pStyle w:val="5"/>
              <w:spacing w:line="360" w:lineRule="auto"/>
              <w:ind w:firstLine="0" w:firstLineChars="0"/>
              <w:jc w:val="center"/>
              <w:rPr>
                <w:rFonts w:hint="eastAsia" w:ascii="宋体" w:hAnsi="宋体" w:cs="宋体"/>
                <w:color w:val="auto"/>
                <w:sz w:val="21"/>
                <w:szCs w:val="21"/>
                <w:highlight w:val="none"/>
              </w:rPr>
            </w:pPr>
          </w:p>
        </w:tc>
        <w:tc>
          <w:tcPr>
            <w:tcW w:w="1045" w:type="dxa"/>
            <w:tcBorders>
              <w:tl2br w:val="nil"/>
              <w:tr2bl w:val="nil"/>
            </w:tcBorders>
            <w:vAlign w:val="center"/>
          </w:tcPr>
          <w:p w14:paraId="35A0A942">
            <w:pPr>
              <w:pStyle w:val="5"/>
              <w:spacing w:line="360" w:lineRule="auto"/>
              <w:ind w:firstLine="0" w:firstLineChars="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民族</w:t>
            </w:r>
          </w:p>
        </w:tc>
        <w:tc>
          <w:tcPr>
            <w:tcW w:w="1049" w:type="dxa"/>
            <w:tcBorders>
              <w:tl2br w:val="nil"/>
              <w:tr2bl w:val="nil"/>
            </w:tcBorders>
            <w:vAlign w:val="center"/>
          </w:tcPr>
          <w:p w14:paraId="22032E06">
            <w:pPr>
              <w:pStyle w:val="5"/>
              <w:spacing w:line="360" w:lineRule="auto"/>
              <w:ind w:firstLine="0" w:firstLineChars="0"/>
              <w:jc w:val="center"/>
              <w:rPr>
                <w:rFonts w:hint="eastAsia" w:ascii="宋体" w:hAnsi="宋体" w:cs="宋体"/>
                <w:color w:val="auto"/>
                <w:sz w:val="21"/>
                <w:szCs w:val="21"/>
                <w:highlight w:val="none"/>
              </w:rPr>
            </w:pPr>
          </w:p>
        </w:tc>
      </w:tr>
      <w:tr w14:paraId="202842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45" w:type="dxa"/>
            <w:tcBorders>
              <w:tl2br w:val="nil"/>
              <w:tr2bl w:val="nil"/>
            </w:tcBorders>
            <w:vAlign w:val="center"/>
          </w:tcPr>
          <w:p w14:paraId="40774772">
            <w:pPr>
              <w:pStyle w:val="5"/>
              <w:spacing w:line="36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学校</w:t>
            </w:r>
          </w:p>
        </w:tc>
        <w:tc>
          <w:tcPr>
            <w:tcW w:w="1045" w:type="dxa"/>
            <w:tcBorders>
              <w:tl2br w:val="nil"/>
              <w:tr2bl w:val="nil"/>
            </w:tcBorders>
            <w:vAlign w:val="center"/>
          </w:tcPr>
          <w:p w14:paraId="0E14EA8A">
            <w:pPr>
              <w:pStyle w:val="5"/>
              <w:spacing w:line="360" w:lineRule="auto"/>
              <w:ind w:firstLine="0"/>
              <w:jc w:val="center"/>
              <w:rPr>
                <w:rFonts w:hint="eastAsia" w:ascii="宋体" w:hAnsi="宋体" w:cs="宋体"/>
                <w:color w:val="auto"/>
                <w:sz w:val="21"/>
                <w:szCs w:val="21"/>
                <w:highlight w:val="none"/>
              </w:rPr>
            </w:pPr>
          </w:p>
        </w:tc>
        <w:tc>
          <w:tcPr>
            <w:tcW w:w="1045" w:type="dxa"/>
            <w:tcBorders>
              <w:tl2br w:val="nil"/>
              <w:tr2bl w:val="nil"/>
            </w:tcBorders>
            <w:vAlign w:val="center"/>
          </w:tcPr>
          <w:p w14:paraId="309FEBB1">
            <w:pPr>
              <w:pStyle w:val="5"/>
              <w:spacing w:line="36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专业</w:t>
            </w:r>
          </w:p>
        </w:tc>
        <w:tc>
          <w:tcPr>
            <w:tcW w:w="1045" w:type="dxa"/>
            <w:tcBorders>
              <w:tl2br w:val="nil"/>
              <w:tr2bl w:val="nil"/>
            </w:tcBorders>
            <w:vAlign w:val="center"/>
          </w:tcPr>
          <w:p w14:paraId="0DAC8DD4">
            <w:pPr>
              <w:pStyle w:val="5"/>
              <w:spacing w:line="360" w:lineRule="auto"/>
              <w:ind w:firstLine="0"/>
              <w:jc w:val="center"/>
              <w:rPr>
                <w:rFonts w:hint="eastAsia" w:ascii="宋体" w:hAnsi="宋体" w:cs="宋体"/>
                <w:color w:val="auto"/>
                <w:sz w:val="21"/>
                <w:szCs w:val="21"/>
                <w:highlight w:val="none"/>
              </w:rPr>
            </w:pPr>
          </w:p>
        </w:tc>
        <w:tc>
          <w:tcPr>
            <w:tcW w:w="1045" w:type="dxa"/>
            <w:tcBorders>
              <w:tl2br w:val="nil"/>
              <w:tr2bl w:val="nil"/>
            </w:tcBorders>
            <w:vAlign w:val="center"/>
          </w:tcPr>
          <w:p w14:paraId="36BB5259">
            <w:pPr>
              <w:pStyle w:val="5"/>
              <w:spacing w:line="36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职务</w:t>
            </w:r>
          </w:p>
        </w:tc>
        <w:tc>
          <w:tcPr>
            <w:tcW w:w="1045" w:type="dxa"/>
            <w:tcBorders>
              <w:tl2br w:val="nil"/>
              <w:tr2bl w:val="nil"/>
            </w:tcBorders>
            <w:vAlign w:val="center"/>
          </w:tcPr>
          <w:p w14:paraId="1FB6147E">
            <w:pPr>
              <w:pStyle w:val="5"/>
              <w:spacing w:line="360" w:lineRule="auto"/>
              <w:ind w:firstLine="0"/>
              <w:jc w:val="center"/>
              <w:rPr>
                <w:rFonts w:hint="eastAsia" w:ascii="宋体" w:hAnsi="宋体" w:cs="宋体"/>
                <w:color w:val="auto"/>
                <w:sz w:val="21"/>
                <w:szCs w:val="21"/>
                <w:highlight w:val="none"/>
              </w:rPr>
            </w:pPr>
          </w:p>
        </w:tc>
        <w:tc>
          <w:tcPr>
            <w:tcW w:w="1045" w:type="dxa"/>
            <w:tcBorders>
              <w:tl2br w:val="nil"/>
              <w:tr2bl w:val="nil"/>
            </w:tcBorders>
            <w:vAlign w:val="center"/>
          </w:tcPr>
          <w:p w14:paraId="5D00A54C">
            <w:pPr>
              <w:pStyle w:val="5"/>
              <w:spacing w:line="36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职称</w:t>
            </w:r>
          </w:p>
        </w:tc>
        <w:tc>
          <w:tcPr>
            <w:tcW w:w="1049" w:type="dxa"/>
            <w:tcBorders>
              <w:tl2br w:val="nil"/>
              <w:tr2bl w:val="nil"/>
            </w:tcBorders>
            <w:vAlign w:val="center"/>
          </w:tcPr>
          <w:p w14:paraId="7047C9AA">
            <w:pPr>
              <w:pStyle w:val="5"/>
              <w:spacing w:line="360" w:lineRule="auto"/>
              <w:ind w:firstLine="0"/>
              <w:jc w:val="center"/>
              <w:rPr>
                <w:rFonts w:hint="eastAsia" w:ascii="宋体" w:hAnsi="宋体" w:cs="宋体"/>
                <w:color w:val="auto"/>
                <w:sz w:val="21"/>
                <w:szCs w:val="21"/>
                <w:highlight w:val="none"/>
              </w:rPr>
            </w:pPr>
          </w:p>
        </w:tc>
      </w:tr>
      <w:tr w14:paraId="76E817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154" w:hRule="atLeast"/>
        </w:trPr>
        <w:tc>
          <w:tcPr>
            <w:tcW w:w="1045" w:type="dxa"/>
            <w:tcBorders>
              <w:tl2br w:val="nil"/>
              <w:tr2bl w:val="nil"/>
            </w:tcBorders>
            <w:textDirection w:val="tbLrV"/>
            <w:vAlign w:val="center"/>
          </w:tcPr>
          <w:p w14:paraId="1F372BA8">
            <w:pPr>
              <w:pStyle w:val="5"/>
              <w:spacing w:line="360" w:lineRule="auto"/>
              <w:ind w:left="0" w:right="113" w:firstLine="0" w:firstLineChars="0"/>
              <w:jc w:val="center"/>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工作简历</w:t>
            </w:r>
          </w:p>
        </w:tc>
        <w:tc>
          <w:tcPr>
            <w:tcW w:w="7319" w:type="dxa"/>
            <w:gridSpan w:val="7"/>
            <w:tcBorders>
              <w:tl2br w:val="nil"/>
              <w:tr2bl w:val="nil"/>
            </w:tcBorders>
            <w:vAlign w:val="top"/>
          </w:tcPr>
          <w:p w14:paraId="3DF877DB">
            <w:pPr>
              <w:pStyle w:val="5"/>
              <w:spacing w:line="360" w:lineRule="auto"/>
              <w:ind w:firstLine="0"/>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（现场服务业绩）</w:t>
            </w:r>
          </w:p>
        </w:tc>
      </w:tr>
    </w:tbl>
    <w:p w14:paraId="0971E39F">
      <w:pPr>
        <w:pStyle w:val="5"/>
        <w:spacing w:line="36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（注：每人一表）</w:t>
      </w:r>
    </w:p>
    <w:p w14:paraId="029E27AC">
      <w:pPr>
        <w:pStyle w:val="5"/>
        <w:spacing w:line="360" w:lineRule="auto"/>
        <w:ind w:firstLine="0"/>
        <w:outlineLvl w:val="1"/>
        <w:rPr>
          <w:rFonts w:hint="eastAsia" w:ascii="宋体" w:hAnsi="宋体" w:cs="宋体"/>
          <w:color w:val="auto"/>
          <w:sz w:val="21"/>
          <w:szCs w:val="21"/>
          <w:highlight w:val="none"/>
        </w:rPr>
      </w:pPr>
      <w:r>
        <w:rPr>
          <w:rFonts w:hint="eastAsia" w:ascii="宋体" w:hAnsi="宋体" w:cs="宋体"/>
          <w:color w:val="auto"/>
          <w:sz w:val="21"/>
          <w:szCs w:val="21"/>
          <w:highlight w:val="none"/>
        </w:rPr>
        <w:t>1.3 投标人现场服务人员的职责</w:t>
      </w:r>
    </w:p>
    <w:p w14:paraId="2D6EA281">
      <w:pPr>
        <w:pStyle w:val="5"/>
        <w:spacing w:line="360" w:lineRule="auto"/>
        <w:ind w:firstLine="0"/>
        <w:rPr>
          <w:rFonts w:hint="eastAsia" w:ascii="宋体" w:hAnsi="宋体" w:cs="宋体"/>
          <w:color w:val="auto"/>
          <w:sz w:val="21"/>
          <w:szCs w:val="21"/>
          <w:highlight w:val="none"/>
        </w:rPr>
      </w:pPr>
      <w:r>
        <w:rPr>
          <w:rFonts w:hint="eastAsia" w:ascii="宋体" w:hAnsi="宋体" w:cs="宋体"/>
          <w:color w:val="auto"/>
          <w:sz w:val="21"/>
          <w:szCs w:val="21"/>
          <w:highlight w:val="none"/>
        </w:rPr>
        <w:t>1.3.1 投标人现场服务人员的任务主要包括设备催交、货物的开箱检验、设备质量问题的处理、指导安装和调试、参加试运和性能验收试验。</w:t>
      </w:r>
    </w:p>
    <w:p w14:paraId="2462A3B9">
      <w:pPr>
        <w:pStyle w:val="5"/>
        <w:spacing w:line="360" w:lineRule="auto"/>
        <w:ind w:firstLine="0"/>
        <w:rPr>
          <w:rFonts w:hint="eastAsia" w:ascii="宋体" w:hAnsi="宋体" w:cs="宋体"/>
          <w:color w:val="auto"/>
          <w:sz w:val="21"/>
          <w:szCs w:val="21"/>
          <w:highlight w:val="none"/>
        </w:rPr>
      </w:pPr>
      <w:r>
        <w:rPr>
          <w:rFonts w:hint="eastAsia" w:ascii="宋体" w:hAnsi="宋体" w:cs="宋体"/>
          <w:color w:val="auto"/>
          <w:sz w:val="21"/>
          <w:szCs w:val="21"/>
          <w:highlight w:val="none"/>
        </w:rPr>
        <w:t>1.3.2</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在安装和调试前，投标人技术服务人员应向招标人技术交底，讲解和示范将要进行的程序和方法。对重要工序（见下表），投标人技术人员要对施工情况进行确认和签证，否则招标人不能进行下一道工序。经投标人确认和签证的工序如因投标人技术服务人员指导错误而发生问题，投标人负全部责任。</w:t>
      </w:r>
    </w:p>
    <w:p w14:paraId="26DA5FB4">
      <w:pPr>
        <w:pStyle w:val="5"/>
        <w:spacing w:line="360" w:lineRule="auto"/>
        <w:ind w:firstLine="420" w:firstLineChars="20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安装、调试重要工序表（投标人细化）</w:t>
      </w:r>
    </w:p>
    <w:tbl>
      <w:tblPr>
        <w:tblStyle w:val="18"/>
        <w:tblW w:w="836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900"/>
        <w:gridCol w:w="2767"/>
        <w:gridCol w:w="3000"/>
        <w:gridCol w:w="1697"/>
      </w:tblGrid>
      <w:tr w14:paraId="36CDDE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900" w:type="dxa"/>
            <w:tcBorders>
              <w:top w:val="single" w:color="000000" w:sz="12" w:space="0"/>
              <w:left w:val="single" w:color="000000" w:sz="12" w:space="0"/>
            </w:tcBorders>
            <w:vAlign w:val="center"/>
          </w:tcPr>
          <w:p w14:paraId="50087F90">
            <w:pPr>
              <w:pStyle w:val="5"/>
              <w:spacing w:line="36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序号</w:t>
            </w:r>
          </w:p>
        </w:tc>
        <w:tc>
          <w:tcPr>
            <w:tcW w:w="2767" w:type="dxa"/>
            <w:tcBorders>
              <w:top w:val="single" w:color="000000" w:sz="12" w:space="0"/>
            </w:tcBorders>
            <w:vAlign w:val="center"/>
          </w:tcPr>
          <w:p w14:paraId="33029696">
            <w:pPr>
              <w:pStyle w:val="5"/>
              <w:spacing w:line="36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工序名称</w:t>
            </w:r>
          </w:p>
        </w:tc>
        <w:tc>
          <w:tcPr>
            <w:tcW w:w="3000" w:type="dxa"/>
            <w:tcBorders>
              <w:top w:val="single" w:color="000000" w:sz="12" w:space="0"/>
            </w:tcBorders>
            <w:vAlign w:val="center"/>
          </w:tcPr>
          <w:p w14:paraId="02F93CCF">
            <w:pPr>
              <w:pStyle w:val="5"/>
              <w:spacing w:line="36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工序主要内容</w:t>
            </w:r>
          </w:p>
        </w:tc>
        <w:tc>
          <w:tcPr>
            <w:tcW w:w="1697" w:type="dxa"/>
            <w:tcBorders>
              <w:top w:val="single" w:color="000000" w:sz="12" w:space="0"/>
              <w:right w:val="single" w:color="000000" w:sz="12" w:space="0"/>
            </w:tcBorders>
            <w:vAlign w:val="center"/>
          </w:tcPr>
          <w:p w14:paraId="1A76EA70">
            <w:pPr>
              <w:pStyle w:val="5"/>
              <w:spacing w:line="36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备注</w:t>
            </w:r>
          </w:p>
        </w:tc>
      </w:tr>
      <w:tr w14:paraId="5A0E9E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900" w:type="dxa"/>
            <w:tcBorders>
              <w:left w:val="single" w:color="000000" w:sz="12" w:space="0"/>
            </w:tcBorders>
            <w:vAlign w:val="center"/>
          </w:tcPr>
          <w:p w14:paraId="1C521874">
            <w:pPr>
              <w:pStyle w:val="5"/>
              <w:spacing w:line="360" w:lineRule="auto"/>
              <w:ind w:firstLine="0"/>
              <w:jc w:val="center"/>
              <w:rPr>
                <w:rFonts w:hint="eastAsia" w:ascii="宋体" w:hAnsi="宋体" w:cs="宋体"/>
                <w:color w:val="auto"/>
                <w:sz w:val="21"/>
                <w:szCs w:val="21"/>
                <w:highlight w:val="none"/>
              </w:rPr>
            </w:pPr>
          </w:p>
        </w:tc>
        <w:tc>
          <w:tcPr>
            <w:tcW w:w="2767" w:type="dxa"/>
            <w:vAlign w:val="center"/>
          </w:tcPr>
          <w:p w14:paraId="07F0D9A1">
            <w:pPr>
              <w:pStyle w:val="5"/>
              <w:spacing w:line="360" w:lineRule="auto"/>
              <w:ind w:firstLine="0"/>
              <w:jc w:val="center"/>
              <w:rPr>
                <w:rFonts w:hint="eastAsia" w:ascii="宋体" w:hAnsi="宋体" w:cs="宋体"/>
                <w:color w:val="auto"/>
                <w:sz w:val="21"/>
                <w:szCs w:val="21"/>
                <w:highlight w:val="none"/>
              </w:rPr>
            </w:pPr>
          </w:p>
        </w:tc>
        <w:tc>
          <w:tcPr>
            <w:tcW w:w="3000" w:type="dxa"/>
            <w:vAlign w:val="center"/>
          </w:tcPr>
          <w:p w14:paraId="3397747B">
            <w:pPr>
              <w:pStyle w:val="5"/>
              <w:spacing w:line="360" w:lineRule="auto"/>
              <w:ind w:firstLine="0"/>
              <w:jc w:val="center"/>
              <w:rPr>
                <w:rFonts w:hint="eastAsia" w:ascii="宋体" w:hAnsi="宋体" w:cs="宋体"/>
                <w:color w:val="auto"/>
                <w:sz w:val="21"/>
                <w:szCs w:val="21"/>
                <w:highlight w:val="none"/>
              </w:rPr>
            </w:pPr>
          </w:p>
        </w:tc>
        <w:tc>
          <w:tcPr>
            <w:tcW w:w="1697" w:type="dxa"/>
            <w:tcBorders>
              <w:right w:val="single" w:color="000000" w:sz="12" w:space="0"/>
            </w:tcBorders>
            <w:vAlign w:val="center"/>
          </w:tcPr>
          <w:p w14:paraId="5C6BF983">
            <w:pPr>
              <w:pStyle w:val="5"/>
              <w:spacing w:line="360" w:lineRule="auto"/>
              <w:ind w:firstLine="0"/>
              <w:jc w:val="center"/>
              <w:rPr>
                <w:rFonts w:hint="eastAsia" w:ascii="宋体" w:hAnsi="宋体" w:cs="宋体"/>
                <w:color w:val="auto"/>
                <w:sz w:val="21"/>
                <w:szCs w:val="21"/>
                <w:highlight w:val="none"/>
              </w:rPr>
            </w:pPr>
          </w:p>
        </w:tc>
      </w:tr>
      <w:tr w14:paraId="3F9C2B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900" w:type="dxa"/>
            <w:tcBorders>
              <w:left w:val="single" w:color="000000" w:sz="12" w:space="0"/>
            </w:tcBorders>
            <w:vAlign w:val="center"/>
          </w:tcPr>
          <w:p w14:paraId="01FF745C">
            <w:pPr>
              <w:pStyle w:val="5"/>
              <w:spacing w:line="360" w:lineRule="auto"/>
              <w:ind w:firstLine="0"/>
              <w:jc w:val="center"/>
              <w:rPr>
                <w:rFonts w:hint="eastAsia" w:ascii="宋体" w:hAnsi="宋体" w:cs="宋体"/>
                <w:color w:val="auto"/>
                <w:sz w:val="21"/>
                <w:szCs w:val="21"/>
                <w:highlight w:val="none"/>
              </w:rPr>
            </w:pPr>
          </w:p>
        </w:tc>
        <w:tc>
          <w:tcPr>
            <w:tcW w:w="2767" w:type="dxa"/>
            <w:vAlign w:val="center"/>
          </w:tcPr>
          <w:p w14:paraId="32826147">
            <w:pPr>
              <w:pStyle w:val="5"/>
              <w:spacing w:line="360" w:lineRule="auto"/>
              <w:ind w:firstLine="0"/>
              <w:jc w:val="center"/>
              <w:rPr>
                <w:rFonts w:hint="eastAsia" w:ascii="宋体" w:hAnsi="宋体" w:cs="宋体"/>
                <w:color w:val="auto"/>
                <w:sz w:val="21"/>
                <w:szCs w:val="21"/>
                <w:highlight w:val="none"/>
              </w:rPr>
            </w:pPr>
          </w:p>
        </w:tc>
        <w:tc>
          <w:tcPr>
            <w:tcW w:w="3000" w:type="dxa"/>
            <w:vAlign w:val="center"/>
          </w:tcPr>
          <w:p w14:paraId="389165FD">
            <w:pPr>
              <w:pStyle w:val="5"/>
              <w:spacing w:line="360" w:lineRule="auto"/>
              <w:ind w:firstLine="0"/>
              <w:jc w:val="center"/>
              <w:rPr>
                <w:rFonts w:hint="eastAsia" w:ascii="宋体" w:hAnsi="宋体" w:cs="宋体"/>
                <w:color w:val="auto"/>
                <w:sz w:val="21"/>
                <w:szCs w:val="21"/>
                <w:highlight w:val="none"/>
              </w:rPr>
            </w:pPr>
          </w:p>
        </w:tc>
        <w:tc>
          <w:tcPr>
            <w:tcW w:w="1697" w:type="dxa"/>
            <w:tcBorders>
              <w:right w:val="single" w:color="000000" w:sz="12" w:space="0"/>
            </w:tcBorders>
            <w:vAlign w:val="center"/>
          </w:tcPr>
          <w:p w14:paraId="07744EAD">
            <w:pPr>
              <w:pStyle w:val="5"/>
              <w:spacing w:line="360" w:lineRule="auto"/>
              <w:ind w:firstLine="0"/>
              <w:jc w:val="center"/>
              <w:rPr>
                <w:rFonts w:hint="eastAsia" w:ascii="宋体" w:hAnsi="宋体" w:cs="宋体"/>
                <w:color w:val="auto"/>
                <w:sz w:val="21"/>
                <w:szCs w:val="21"/>
                <w:highlight w:val="none"/>
              </w:rPr>
            </w:pPr>
          </w:p>
        </w:tc>
      </w:tr>
      <w:tr w14:paraId="77E3B9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900" w:type="dxa"/>
            <w:tcBorders>
              <w:left w:val="single" w:color="000000" w:sz="12" w:space="0"/>
              <w:bottom w:val="single" w:color="000000" w:sz="12" w:space="0"/>
            </w:tcBorders>
            <w:vAlign w:val="center"/>
          </w:tcPr>
          <w:p w14:paraId="4B599A17">
            <w:pPr>
              <w:pStyle w:val="5"/>
              <w:spacing w:line="360" w:lineRule="auto"/>
              <w:ind w:firstLine="0"/>
              <w:jc w:val="center"/>
              <w:rPr>
                <w:rFonts w:hint="eastAsia" w:ascii="宋体" w:hAnsi="宋体" w:cs="宋体"/>
                <w:color w:val="auto"/>
                <w:sz w:val="21"/>
                <w:szCs w:val="21"/>
                <w:highlight w:val="none"/>
              </w:rPr>
            </w:pPr>
          </w:p>
        </w:tc>
        <w:tc>
          <w:tcPr>
            <w:tcW w:w="2767" w:type="dxa"/>
            <w:tcBorders>
              <w:bottom w:val="single" w:color="000000" w:sz="12" w:space="0"/>
            </w:tcBorders>
            <w:vAlign w:val="center"/>
          </w:tcPr>
          <w:p w14:paraId="04C79634">
            <w:pPr>
              <w:pStyle w:val="5"/>
              <w:spacing w:line="360" w:lineRule="auto"/>
              <w:ind w:firstLine="0"/>
              <w:jc w:val="center"/>
              <w:rPr>
                <w:rFonts w:hint="eastAsia" w:ascii="宋体" w:hAnsi="宋体" w:cs="宋体"/>
                <w:color w:val="auto"/>
                <w:sz w:val="21"/>
                <w:szCs w:val="21"/>
                <w:highlight w:val="none"/>
              </w:rPr>
            </w:pPr>
          </w:p>
        </w:tc>
        <w:tc>
          <w:tcPr>
            <w:tcW w:w="3000" w:type="dxa"/>
            <w:tcBorders>
              <w:bottom w:val="single" w:color="000000" w:sz="12" w:space="0"/>
            </w:tcBorders>
            <w:vAlign w:val="center"/>
          </w:tcPr>
          <w:p w14:paraId="768B27A9">
            <w:pPr>
              <w:pStyle w:val="5"/>
              <w:spacing w:line="360" w:lineRule="auto"/>
              <w:ind w:firstLine="0"/>
              <w:jc w:val="center"/>
              <w:rPr>
                <w:rFonts w:hint="eastAsia" w:ascii="宋体" w:hAnsi="宋体" w:cs="宋体"/>
                <w:color w:val="auto"/>
                <w:sz w:val="21"/>
                <w:szCs w:val="21"/>
                <w:highlight w:val="none"/>
              </w:rPr>
            </w:pPr>
          </w:p>
        </w:tc>
        <w:tc>
          <w:tcPr>
            <w:tcW w:w="1697" w:type="dxa"/>
            <w:tcBorders>
              <w:bottom w:val="single" w:color="000000" w:sz="12" w:space="0"/>
              <w:right w:val="single" w:color="000000" w:sz="12" w:space="0"/>
            </w:tcBorders>
            <w:vAlign w:val="center"/>
          </w:tcPr>
          <w:p w14:paraId="0D7ECC4D">
            <w:pPr>
              <w:pStyle w:val="5"/>
              <w:spacing w:line="360" w:lineRule="auto"/>
              <w:ind w:firstLine="0"/>
              <w:jc w:val="center"/>
              <w:rPr>
                <w:rFonts w:hint="eastAsia" w:ascii="宋体" w:hAnsi="宋体" w:cs="宋体"/>
                <w:color w:val="auto"/>
                <w:sz w:val="21"/>
                <w:szCs w:val="21"/>
                <w:highlight w:val="none"/>
              </w:rPr>
            </w:pPr>
          </w:p>
        </w:tc>
      </w:tr>
    </w:tbl>
    <w:p w14:paraId="240273DA">
      <w:pPr>
        <w:pStyle w:val="5"/>
        <w:spacing w:before="157" w:beforeLines="50" w:line="360" w:lineRule="auto"/>
        <w:ind w:firstLine="0"/>
        <w:rPr>
          <w:rFonts w:hint="eastAsia" w:ascii="宋体" w:hAnsi="宋体" w:cs="宋体"/>
          <w:color w:val="auto"/>
          <w:sz w:val="21"/>
          <w:szCs w:val="21"/>
          <w:highlight w:val="none"/>
        </w:rPr>
      </w:pPr>
      <w:r>
        <w:rPr>
          <w:rFonts w:hint="eastAsia" w:ascii="宋体" w:hAnsi="宋体" w:cs="宋体"/>
          <w:color w:val="auto"/>
          <w:sz w:val="21"/>
          <w:szCs w:val="21"/>
          <w:highlight w:val="none"/>
        </w:rPr>
        <w:t>1.3.3 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w:t>
      </w:r>
    </w:p>
    <w:p w14:paraId="04A3A45D">
      <w:pPr>
        <w:pStyle w:val="5"/>
        <w:spacing w:line="360" w:lineRule="auto"/>
        <w:ind w:firstLine="0"/>
        <w:outlineLvl w:val="2"/>
        <w:rPr>
          <w:rFonts w:hint="eastAsia" w:ascii="宋体" w:hAnsi="宋体" w:cs="宋体"/>
          <w:color w:val="auto"/>
          <w:sz w:val="21"/>
          <w:szCs w:val="21"/>
          <w:highlight w:val="none"/>
        </w:rPr>
      </w:pPr>
      <w:r>
        <w:rPr>
          <w:rFonts w:hint="eastAsia" w:ascii="宋体" w:hAnsi="宋体" w:cs="宋体"/>
          <w:color w:val="auto"/>
          <w:sz w:val="21"/>
          <w:szCs w:val="21"/>
          <w:highlight w:val="none"/>
        </w:rPr>
        <w:t>1.3.4 投标人对其现场服务人员的一切行为负全部责任。</w:t>
      </w:r>
    </w:p>
    <w:p w14:paraId="7B6F1501">
      <w:pPr>
        <w:pStyle w:val="5"/>
        <w:spacing w:line="360" w:lineRule="auto"/>
        <w:ind w:firstLine="0"/>
        <w:rPr>
          <w:rFonts w:hint="eastAsia" w:ascii="宋体" w:hAnsi="宋体" w:cs="宋体"/>
          <w:color w:val="auto"/>
          <w:sz w:val="21"/>
          <w:szCs w:val="21"/>
          <w:highlight w:val="none"/>
        </w:rPr>
      </w:pPr>
      <w:r>
        <w:rPr>
          <w:rFonts w:hint="eastAsia" w:ascii="宋体" w:hAnsi="宋体" w:cs="宋体"/>
          <w:color w:val="auto"/>
          <w:sz w:val="21"/>
          <w:szCs w:val="21"/>
          <w:highlight w:val="none"/>
        </w:rPr>
        <w:t>1.3.5 投标人现场服务人员的正常来去和更换事先与招标人协商。</w:t>
      </w:r>
    </w:p>
    <w:p w14:paraId="3FEC0B50">
      <w:pPr>
        <w:pStyle w:val="5"/>
        <w:spacing w:line="360" w:lineRule="auto"/>
        <w:ind w:firstLine="0"/>
        <w:outlineLvl w:val="1"/>
        <w:rPr>
          <w:rFonts w:hint="eastAsia" w:ascii="宋体" w:hAnsi="宋体" w:cs="宋体"/>
          <w:color w:val="auto"/>
          <w:sz w:val="21"/>
          <w:szCs w:val="21"/>
          <w:highlight w:val="none"/>
        </w:rPr>
      </w:pPr>
      <w:r>
        <w:rPr>
          <w:rFonts w:hint="eastAsia" w:ascii="宋体" w:hAnsi="宋体" w:cs="宋体"/>
          <w:color w:val="auto"/>
          <w:sz w:val="21"/>
          <w:szCs w:val="21"/>
          <w:highlight w:val="none"/>
        </w:rPr>
        <w:t>1.4 招标人的义务</w:t>
      </w:r>
    </w:p>
    <w:p w14:paraId="01F2CA9F">
      <w:pPr>
        <w:pStyle w:val="5"/>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招标人要配合投标人现场服务人员的工作，并在生活、交通和通讯上提供方便。</w:t>
      </w:r>
    </w:p>
    <w:p w14:paraId="59D30738">
      <w:pPr>
        <w:numPr>
          <w:ilvl w:val="-1"/>
          <w:numId w:val="0"/>
        </w:numPr>
        <w:snapToGrid/>
        <w:spacing w:before="0" w:beforeLines="0" w:after="0" w:afterLines="0" w:line="360" w:lineRule="auto"/>
        <w:ind w:left="0" w:firstLine="0"/>
        <w:outlineLvl w:val="0"/>
        <w:rPr>
          <w:rFonts w:hint="eastAsia" w:ascii="宋体" w:hAnsi="宋体" w:eastAsia="宋体" w:cs="宋体"/>
          <w:b/>
          <w:bCs/>
          <w:color w:val="auto"/>
          <w:sz w:val="28"/>
          <w:szCs w:val="28"/>
          <w:highlight w:val="none"/>
        </w:rPr>
      </w:pPr>
      <w:bookmarkStart w:id="86" w:name="_Toc515727601"/>
      <w:bookmarkStart w:id="87" w:name="_Toc515785186"/>
      <w:bookmarkStart w:id="88" w:name="_Toc515705622"/>
      <w:bookmarkStart w:id="89" w:name="_Toc515708317"/>
      <w:bookmarkStart w:id="90" w:name="_Toc515697901"/>
      <w:r>
        <w:rPr>
          <w:rFonts w:hint="eastAsia" w:ascii="宋体" w:hAnsi="宋体" w:eastAsia="宋体" w:cs="宋体"/>
          <w:b/>
          <w:bCs/>
          <w:color w:val="auto"/>
          <w:sz w:val="28"/>
          <w:szCs w:val="28"/>
          <w:highlight w:val="none"/>
          <w:lang w:val="en-US" w:eastAsia="zh-CN"/>
        </w:rPr>
        <w:t xml:space="preserve">2 </w:t>
      </w:r>
      <w:r>
        <w:rPr>
          <w:rFonts w:hint="eastAsia" w:ascii="宋体" w:hAnsi="宋体" w:eastAsia="宋体" w:cs="宋体"/>
          <w:b/>
          <w:bCs/>
          <w:color w:val="auto"/>
          <w:sz w:val="28"/>
          <w:szCs w:val="28"/>
          <w:highlight w:val="none"/>
        </w:rPr>
        <w:t>培训</w:t>
      </w:r>
      <w:bookmarkEnd w:id="86"/>
      <w:bookmarkEnd w:id="87"/>
      <w:bookmarkEnd w:id="88"/>
      <w:bookmarkEnd w:id="89"/>
      <w:bookmarkEnd w:id="90"/>
    </w:p>
    <w:p w14:paraId="5B95C371">
      <w:pPr>
        <w:pStyle w:val="5"/>
        <w:spacing w:line="360" w:lineRule="auto"/>
        <w:ind w:firstLine="0"/>
        <w:rPr>
          <w:rFonts w:hint="eastAsia" w:ascii="宋体" w:hAnsi="宋体" w:cs="宋体"/>
          <w:color w:val="auto"/>
          <w:sz w:val="21"/>
          <w:szCs w:val="21"/>
          <w:highlight w:val="none"/>
        </w:rPr>
      </w:pPr>
      <w:r>
        <w:rPr>
          <w:rFonts w:hint="eastAsia" w:ascii="宋体" w:hAnsi="宋体" w:cs="宋体"/>
          <w:color w:val="auto"/>
          <w:sz w:val="21"/>
          <w:szCs w:val="21"/>
          <w:highlight w:val="none"/>
        </w:rPr>
        <w:t>2.1 为使合同设备能正常安装和运行，投标人有责任提供相应的技术培训。培训内容应与工程进度相一致。</w:t>
      </w:r>
    </w:p>
    <w:tbl>
      <w:tblPr>
        <w:tblStyle w:val="18"/>
        <w:tblW w:w="83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89"/>
        <w:gridCol w:w="1938"/>
        <w:gridCol w:w="1161"/>
        <w:gridCol w:w="1080"/>
        <w:gridCol w:w="1080"/>
        <w:gridCol w:w="1080"/>
        <w:gridCol w:w="1112"/>
      </w:tblGrid>
      <w:tr w14:paraId="1B730F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889" w:type="dxa"/>
            <w:vMerge w:val="restart"/>
            <w:tcBorders>
              <w:tl2br w:val="nil"/>
              <w:tr2bl w:val="nil"/>
            </w:tcBorders>
            <w:vAlign w:val="center"/>
          </w:tcPr>
          <w:p w14:paraId="0FB8DBDA">
            <w:pPr>
              <w:pStyle w:val="5"/>
              <w:spacing w:line="36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序号</w:t>
            </w:r>
          </w:p>
        </w:tc>
        <w:tc>
          <w:tcPr>
            <w:tcW w:w="1938" w:type="dxa"/>
            <w:vMerge w:val="restart"/>
            <w:tcBorders>
              <w:tl2br w:val="nil"/>
              <w:tr2bl w:val="nil"/>
            </w:tcBorders>
            <w:vAlign w:val="center"/>
          </w:tcPr>
          <w:p w14:paraId="1B553D7B">
            <w:pPr>
              <w:pStyle w:val="5"/>
              <w:spacing w:line="36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培训内容</w:t>
            </w:r>
          </w:p>
        </w:tc>
        <w:tc>
          <w:tcPr>
            <w:tcW w:w="1161" w:type="dxa"/>
            <w:vMerge w:val="restart"/>
            <w:tcBorders>
              <w:tl2br w:val="nil"/>
              <w:tr2bl w:val="nil"/>
            </w:tcBorders>
            <w:vAlign w:val="center"/>
          </w:tcPr>
          <w:p w14:paraId="5A4D70DF">
            <w:pPr>
              <w:pStyle w:val="5"/>
              <w:spacing w:line="36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计划人月数</w:t>
            </w:r>
          </w:p>
        </w:tc>
        <w:tc>
          <w:tcPr>
            <w:tcW w:w="2160" w:type="dxa"/>
            <w:gridSpan w:val="2"/>
            <w:tcBorders>
              <w:tl2br w:val="nil"/>
              <w:tr2bl w:val="nil"/>
            </w:tcBorders>
            <w:vAlign w:val="center"/>
          </w:tcPr>
          <w:p w14:paraId="6CF9916B">
            <w:pPr>
              <w:pStyle w:val="5"/>
              <w:spacing w:line="360" w:lineRule="auto"/>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培训教师构成</w:t>
            </w:r>
          </w:p>
        </w:tc>
        <w:tc>
          <w:tcPr>
            <w:tcW w:w="1080" w:type="dxa"/>
            <w:vMerge w:val="restart"/>
            <w:tcBorders>
              <w:tl2br w:val="nil"/>
              <w:tr2bl w:val="nil"/>
            </w:tcBorders>
            <w:vAlign w:val="center"/>
          </w:tcPr>
          <w:p w14:paraId="0A4382C5">
            <w:pPr>
              <w:pStyle w:val="5"/>
              <w:spacing w:line="36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地点</w:t>
            </w:r>
          </w:p>
        </w:tc>
        <w:tc>
          <w:tcPr>
            <w:tcW w:w="1112" w:type="dxa"/>
            <w:vMerge w:val="restart"/>
            <w:tcBorders>
              <w:tl2br w:val="nil"/>
              <w:tr2bl w:val="nil"/>
            </w:tcBorders>
            <w:vAlign w:val="center"/>
          </w:tcPr>
          <w:p w14:paraId="4B66CF64">
            <w:pPr>
              <w:pStyle w:val="5"/>
              <w:spacing w:line="36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备注</w:t>
            </w:r>
          </w:p>
        </w:tc>
      </w:tr>
      <w:tr w14:paraId="6B35BE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889" w:type="dxa"/>
            <w:vMerge w:val="continue"/>
            <w:tcBorders>
              <w:tl2br w:val="nil"/>
              <w:tr2bl w:val="nil"/>
            </w:tcBorders>
            <w:vAlign w:val="center"/>
          </w:tcPr>
          <w:p w14:paraId="5A69E9A7">
            <w:pPr>
              <w:pStyle w:val="5"/>
              <w:spacing w:line="360" w:lineRule="auto"/>
              <w:jc w:val="center"/>
              <w:rPr>
                <w:rFonts w:hint="eastAsia" w:ascii="宋体" w:hAnsi="宋体" w:cs="宋体"/>
                <w:color w:val="auto"/>
                <w:sz w:val="21"/>
                <w:szCs w:val="21"/>
                <w:highlight w:val="none"/>
              </w:rPr>
            </w:pPr>
          </w:p>
        </w:tc>
        <w:tc>
          <w:tcPr>
            <w:tcW w:w="1938" w:type="dxa"/>
            <w:vMerge w:val="continue"/>
            <w:tcBorders>
              <w:tl2br w:val="nil"/>
              <w:tr2bl w:val="nil"/>
            </w:tcBorders>
            <w:vAlign w:val="center"/>
          </w:tcPr>
          <w:p w14:paraId="18991758">
            <w:pPr>
              <w:pStyle w:val="5"/>
              <w:spacing w:line="360" w:lineRule="auto"/>
              <w:jc w:val="center"/>
              <w:rPr>
                <w:rFonts w:hint="eastAsia" w:ascii="宋体" w:hAnsi="宋体" w:cs="宋体"/>
                <w:color w:val="auto"/>
                <w:sz w:val="21"/>
                <w:szCs w:val="21"/>
                <w:highlight w:val="none"/>
              </w:rPr>
            </w:pPr>
          </w:p>
        </w:tc>
        <w:tc>
          <w:tcPr>
            <w:tcW w:w="1161" w:type="dxa"/>
            <w:vMerge w:val="continue"/>
            <w:tcBorders>
              <w:tl2br w:val="nil"/>
              <w:tr2bl w:val="nil"/>
            </w:tcBorders>
            <w:vAlign w:val="center"/>
          </w:tcPr>
          <w:p w14:paraId="13CBF8CC">
            <w:pPr>
              <w:pStyle w:val="5"/>
              <w:spacing w:line="360" w:lineRule="auto"/>
              <w:jc w:val="center"/>
              <w:rPr>
                <w:rFonts w:hint="eastAsia" w:ascii="宋体" w:hAnsi="宋体" w:cs="宋体"/>
                <w:color w:val="auto"/>
                <w:sz w:val="21"/>
                <w:szCs w:val="21"/>
                <w:highlight w:val="none"/>
              </w:rPr>
            </w:pPr>
          </w:p>
        </w:tc>
        <w:tc>
          <w:tcPr>
            <w:tcW w:w="1080" w:type="dxa"/>
            <w:tcBorders>
              <w:tl2br w:val="nil"/>
              <w:tr2bl w:val="nil"/>
            </w:tcBorders>
            <w:vAlign w:val="center"/>
          </w:tcPr>
          <w:p w14:paraId="296D68DE">
            <w:pPr>
              <w:pStyle w:val="5"/>
              <w:spacing w:line="36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职称</w:t>
            </w:r>
          </w:p>
        </w:tc>
        <w:tc>
          <w:tcPr>
            <w:tcW w:w="1080" w:type="dxa"/>
            <w:tcBorders>
              <w:tl2br w:val="nil"/>
              <w:tr2bl w:val="nil"/>
            </w:tcBorders>
            <w:vAlign w:val="center"/>
          </w:tcPr>
          <w:p w14:paraId="7C916299">
            <w:pPr>
              <w:pStyle w:val="5"/>
              <w:spacing w:line="36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人数</w:t>
            </w:r>
          </w:p>
        </w:tc>
        <w:tc>
          <w:tcPr>
            <w:tcW w:w="1080" w:type="dxa"/>
            <w:vMerge w:val="continue"/>
            <w:tcBorders>
              <w:tl2br w:val="nil"/>
              <w:tr2bl w:val="nil"/>
            </w:tcBorders>
            <w:vAlign w:val="center"/>
          </w:tcPr>
          <w:p w14:paraId="1F220A70">
            <w:pPr>
              <w:pStyle w:val="5"/>
              <w:spacing w:line="360" w:lineRule="auto"/>
              <w:jc w:val="center"/>
              <w:rPr>
                <w:rFonts w:hint="eastAsia" w:ascii="宋体" w:hAnsi="宋体" w:cs="宋体"/>
                <w:color w:val="auto"/>
                <w:sz w:val="21"/>
                <w:szCs w:val="21"/>
                <w:highlight w:val="none"/>
              </w:rPr>
            </w:pPr>
          </w:p>
        </w:tc>
        <w:tc>
          <w:tcPr>
            <w:tcW w:w="1112" w:type="dxa"/>
            <w:vMerge w:val="continue"/>
            <w:tcBorders>
              <w:tl2br w:val="nil"/>
              <w:tr2bl w:val="nil"/>
            </w:tcBorders>
            <w:vAlign w:val="center"/>
          </w:tcPr>
          <w:p w14:paraId="1FC30E4A">
            <w:pPr>
              <w:pStyle w:val="5"/>
              <w:spacing w:line="360" w:lineRule="auto"/>
              <w:jc w:val="center"/>
              <w:rPr>
                <w:rFonts w:hint="eastAsia" w:ascii="宋体" w:hAnsi="宋体" w:cs="宋体"/>
                <w:color w:val="auto"/>
                <w:sz w:val="21"/>
                <w:szCs w:val="21"/>
                <w:highlight w:val="none"/>
              </w:rPr>
            </w:pPr>
          </w:p>
        </w:tc>
      </w:tr>
      <w:tr w14:paraId="0AE3B4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89" w:type="dxa"/>
            <w:tcBorders>
              <w:tl2br w:val="nil"/>
              <w:tr2bl w:val="nil"/>
            </w:tcBorders>
            <w:vAlign w:val="center"/>
          </w:tcPr>
          <w:p w14:paraId="20C9BEC8">
            <w:pPr>
              <w:pStyle w:val="5"/>
              <w:spacing w:line="360" w:lineRule="auto"/>
              <w:jc w:val="both"/>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w:t>
            </w:r>
          </w:p>
        </w:tc>
        <w:tc>
          <w:tcPr>
            <w:tcW w:w="1938" w:type="dxa"/>
            <w:tcBorders>
              <w:tl2br w:val="nil"/>
              <w:tr2bl w:val="nil"/>
            </w:tcBorders>
            <w:vAlign w:val="center"/>
          </w:tcPr>
          <w:p w14:paraId="7516E17B">
            <w:pPr>
              <w:pStyle w:val="5"/>
              <w:spacing w:line="360" w:lineRule="auto"/>
              <w:ind w:firstLine="0"/>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发变组保护原理</w:t>
            </w:r>
          </w:p>
        </w:tc>
        <w:tc>
          <w:tcPr>
            <w:tcW w:w="1161" w:type="dxa"/>
            <w:tcBorders>
              <w:tl2br w:val="nil"/>
              <w:tr2bl w:val="nil"/>
            </w:tcBorders>
            <w:vAlign w:val="center"/>
          </w:tcPr>
          <w:p w14:paraId="1D4D9BE5">
            <w:pPr>
              <w:pStyle w:val="5"/>
              <w:spacing w:line="360" w:lineRule="auto"/>
              <w:ind w:firstLine="0"/>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p>
        </w:tc>
        <w:tc>
          <w:tcPr>
            <w:tcW w:w="1080" w:type="dxa"/>
            <w:tcBorders>
              <w:tl2br w:val="nil"/>
              <w:tr2bl w:val="nil"/>
            </w:tcBorders>
            <w:vAlign w:val="center"/>
          </w:tcPr>
          <w:p w14:paraId="4D224844">
            <w:pPr>
              <w:pStyle w:val="5"/>
              <w:spacing w:line="360" w:lineRule="auto"/>
              <w:ind w:firstLine="0"/>
              <w:jc w:val="center"/>
              <w:rPr>
                <w:rFonts w:hint="eastAsia" w:ascii="宋体" w:hAnsi="宋体" w:cs="宋体"/>
                <w:color w:val="auto"/>
                <w:sz w:val="21"/>
                <w:szCs w:val="21"/>
                <w:highlight w:val="none"/>
              </w:rPr>
            </w:pPr>
          </w:p>
        </w:tc>
        <w:tc>
          <w:tcPr>
            <w:tcW w:w="1080" w:type="dxa"/>
            <w:tcBorders>
              <w:tl2br w:val="nil"/>
              <w:tr2bl w:val="nil"/>
            </w:tcBorders>
            <w:vAlign w:val="center"/>
          </w:tcPr>
          <w:p w14:paraId="275B09AF">
            <w:pPr>
              <w:pStyle w:val="5"/>
              <w:spacing w:line="360" w:lineRule="auto"/>
              <w:ind w:firstLine="0"/>
              <w:jc w:val="center"/>
              <w:rPr>
                <w:rFonts w:hint="eastAsia" w:ascii="宋体" w:hAnsi="宋体" w:cs="宋体"/>
                <w:color w:val="auto"/>
                <w:sz w:val="21"/>
                <w:szCs w:val="21"/>
                <w:highlight w:val="none"/>
              </w:rPr>
            </w:pPr>
          </w:p>
        </w:tc>
        <w:tc>
          <w:tcPr>
            <w:tcW w:w="1080" w:type="dxa"/>
            <w:tcBorders>
              <w:tl2br w:val="nil"/>
              <w:tr2bl w:val="nil"/>
            </w:tcBorders>
            <w:vAlign w:val="center"/>
          </w:tcPr>
          <w:p w14:paraId="22BF63A0">
            <w:pPr>
              <w:pStyle w:val="5"/>
              <w:spacing w:line="360" w:lineRule="auto"/>
              <w:ind w:firstLine="0"/>
              <w:jc w:val="center"/>
              <w:rPr>
                <w:rFonts w:hint="eastAsia" w:ascii="宋体" w:hAnsi="宋体" w:cs="宋体"/>
                <w:color w:val="auto"/>
                <w:sz w:val="21"/>
                <w:szCs w:val="21"/>
                <w:highlight w:val="none"/>
              </w:rPr>
            </w:pPr>
          </w:p>
        </w:tc>
        <w:tc>
          <w:tcPr>
            <w:tcW w:w="1112" w:type="dxa"/>
            <w:tcBorders>
              <w:tl2br w:val="nil"/>
              <w:tr2bl w:val="nil"/>
            </w:tcBorders>
            <w:vAlign w:val="center"/>
          </w:tcPr>
          <w:p w14:paraId="148801AD">
            <w:pPr>
              <w:pStyle w:val="5"/>
              <w:spacing w:line="360" w:lineRule="auto"/>
              <w:ind w:firstLine="0"/>
              <w:jc w:val="center"/>
              <w:rPr>
                <w:rFonts w:hint="eastAsia" w:ascii="宋体" w:hAnsi="宋体" w:cs="宋体"/>
                <w:color w:val="auto"/>
                <w:sz w:val="21"/>
                <w:szCs w:val="21"/>
                <w:highlight w:val="none"/>
              </w:rPr>
            </w:pPr>
          </w:p>
        </w:tc>
      </w:tr>
      <w:tr w14:paraId="63ADB2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89" w:type="dxa"/>
            <w:tcBorders>
              <w:tl2br w:val="nil"/>
              <w:tr2bl w:val="nil"/>
            </w:tcBorders>
            <w:vAlign w:val="center"/>
          </w:tcPr>
          <w:p w14:paraId="75801EA7">
            <w:pPr>
              <w:pStyle w:val="5"/>
              <w:spacing w:line="360" w:lineRule="auto"/>
              <w:jc w:val="both"/>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2</w:t>
            </w:r>
          </w:p>
        </w:tc>
        <w:tc>
          <w:tcPr>
            <w:tcW w:w="1938" w:type="dxa"/>
            <w:tcBorders>
              <w:tl2br w:val="nil"/>
              <w:tr2bl w:val="nil"/>
            </w:tcBorders>
            <w:vAlign w:val="center"/>
          </w:tcPr>
          <w:p w14:paraId="701293CA">
            <w:pPr>
              <w:pStyle w:val="5"/>
              <w:spacing w:line="360" w:lineRule="auto"/>
              <w:ind w:firstLine="0"/>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发变组调试方法</w:t>
            </w:r>
          </w:p>
        </w:tc>
        <w:tc>
          <w:tcPr>
            <w:tcW w:w="1161" w:type="dxa"/>
            <w:tcBorders>
              <w:tl2br w:val="nil"/>
              <w:tr2bl w:val="nil"/>
            </w:tcBorders>
            <w:vAlign w:val="center"/>
          </w:tcPr>
          <w:p w14:paraId="0A19ED2B">
            <w:pPr>
              <w:pStyle w:val="5"/>
              <w:spacing w:line="360" w:lineRule="auto"/>
              <w:ind w:firstLine="0"/>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p>
        </w:tc>
        <w:tc>
          <w:tcPr>
            <w:tcW w:w="1080" w:type="dxa"/>
            <w:tcBorders>
              <w:tl2br w:val="nil"/>
              <w:tr2bl w:val="nil"/>
            </w:tcBorders>
            <w:vAlign w:val="center"/>
          </w:tcPr>
          <w:p w14:paraId="48387AE5">
            <w:pPr>
              <w:pStyle w:val="5"/>
              <w:spacing w:line="360" w:lineRule="auto"/>
              <w:ind w:firstLine="0"/>
              <w:jc w:val="center"/>
              <w:rPr>
                <w:rFonts w:hint="eastAsia" w:ascii="宋体" w:hAnsi="宋体" w:cs="宋体"/>
                <w:color w:val="auto"/>
                <w:sz w:val="21"/>
                <w:szCs w:val="21"/>
                <w:highlight w:val="none"/>
              </w:rPr>
            </w:pPr>
          </w:p>
        </w:tc>
        <w:tc>
          <w:tcPr>
            <w:tcW w:w="1080" w:type="dxa"/>
            <w:tcBorders>
              <w:tl2br w:val="nil"/>
              <w:tr2bl w:val="nil"/>
            </w:tcBorders>
            <w:vAlign w:val="center"/>
          </w:tcPr>
          <w:p w14:paraId="4865838E">
            <w:pPr>
              <w:pStyle w:val="5"/>
              <w:spacing w:line="360" w:lineRule="auto"/>
              <w:ind w:firstLine="0"/>
              <w:jc w:val="center"/>
              <w:rPr>
                <w:rFonts w:hint="eastAsia" w:ascii="宋体" w:hAnsi="宋体" w:cs="宋体"/>
                <w:color w:val="auto"/>
                <w:sz w:val="21"/>
                <w:szCs w:val="21"/>
                <w:highlight w:val="none"/>
              </w:rPr>
            </w:pPr>
          </w:p>
        </w:tc>
        <w:tc>
          <w:tcPr>
            <w:tcW w:w="1080" w:type="dxa"/>
            <w:tcBorders>
              <w:tl2br w:val="nil"/>
              <w:tr2bl w:val="nil"/>
            </w:tcBorders>
            <w:vAlign w:val="center"/>
          </w:tcPr>
          <w:p w14:paraId="64C1D5AD">
            <w:pPr>
              <w:pStyle w:val="5"/>
              <w:spacing w:line="360" w:lineRule="auto"/>
              <w:ind w:firstLine="0"/>
              <w:jc w:val="center"/>
              <w:rPr>
                <w:rFonts w:hint="eastAsia" w:ascii="宋体" w:hAnsi="宋体" w:cs="宋体"/>
                <w:color w:val="auto"/>
                <w:sz w:val="21"/>
                <w:szCs w:val="21"/>
                <w:highlight w:val="none"/>
              </w:rPr>
            </w:pPr>
          </w:p>
        </w:tc>
        <w:tc>
          <w:tcPr>
            <w:tcW w:w="1112" w:type="dxa"/>
            <w:tcBorders>
              <w:tl2br w:val="nil"/>
              <w:tr2bl w:val="nil"/>
            </w:tcBorders>
            <w:vAlign w:val="center"/>
          </w:tcPr>
          <w:p w14:paraId="1243D58F">
            <w:pPr>
              <w:pStyle w:val="5"/>
              <w:spacing w:line="360" w:lineRule="auto"/>
              <w:ind w:firstLine="0"/>
              <w:jc w:val="center"/>
              <w:rPr>
                <w:rFonts w:hint="eastAsia" w:ascii="宋体" w:hAnsi="宋体" w:cs="宋体"/>
                <w:color w:val="auto"/>
                <w:sz w:val="21"/>
                <w:szCs w:val="21"/>
                <w:highlight w:val="none"/>
              </w:rPr>
            </w:pPr>
          </w:p>
        </w:tc>
      </w:tr>
    </w:tbl>
    <w:p w14:paraId="0FDA14DD">
      <w:pPr>
        <w:pStyle w:val="5"/>
        <w:spacing w:before="157" w:beforeLines="50" w:line="360" w:lineRule="auto"/>
        <w:ind w:firstLine="0"/>
        <w:rPr>
          <w:rFonts w:hint="eastAsia" w:ascii="宋体" w:hAnsi="宋体" w:cs="宋体"/>
          <w:color w:val="auto"/>
          <w:sz w:val="21"/>
          <w:szCs w:val="21"/>
          <w:highlight w:val="none"/>
        </w:rPr>
      </w:pPr>
      <w:r>
        <w:rPr>
          <w:rFonts w:hint="eastAsia" w:ascii="宋体" w:hAnsi="宋体" w:cs="宋体"/>
          <w:color w:val="auto"/>
          <w:sz w:val="21"/>
          <w:szCs w:val="21"/>
          <w:highlight w:val="none"/>
        </w:rPr>
        <w:t>2.</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val="en-US" w:eastAsia="zh-CN"/>
        </w:rPr>
        <w:t>若需求发生变化，</w:t>
      </w:r>
      <w:r>
        <w:rPr>
          <w:rFonts w:hint="eastAsia" w:ascii="宋体" w:hAnsi="宋体" w:cs="宋体"/>
          <w:color w:val="auto"/>
          <w:sz w:val="21"/>
          <w:szCs w:val="21"/>
          <w:highlight w:val="none"/>
        </w:rPr>
        <w:t>培训的时间、人数、地点等具体内容由招投标双方商定。</w:t>
      </w:r>
    </w:p>
    <w:p w14:paraId="188CC717">
      <w:pPr>
        <w:pStyle w:val="5"/>
        <w:spacing w:line="360" w:lineRule="auto"/>
        <w:ind w:firstLine="0"/>
        <w:rPr>
          <w:rFonts w:hint="eastAsia" w:ascii="宋体" w:hAnsi="宋体" w:cs="宋体"/>
          <w:color w:val="auto"/>
          <w:sz w:val="21"/>
          <w:szCs w:val="21"/>
          <w:highlight w:val="none"/>
        </w:rPr>
      </w:pPr>
      <w:r>
        <w:rPr>
          <w:rFonts w:hint="eastAsia" w:ascii="宋体" w:hAnsi="宋体" w:cs="宋体"/>
          <w:color w:val="auto"/>
          <w:sz w:val="21"/>
          <w:szCs w:val="21"/>
          <w:highlight w:val="none"/>
        </w:rPr>
        <w:t>2.</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rPr>
        <w:t xml:space="preserve"> 投标人为招标人培训人员提供设备、场地、资料等培训条件，并提供食宿和交通、通信方便。</w:t>
      </w:r>
    </w:p>
    <w:p w14:paraId="79BC1792">
      <w:pPr>
        <w:pStyle w:val="5"/>
        <w:spacing w:line="360" w:lineRule="auto"/>
        <w:ind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现场、工厂培训费用包含在合同总价中，如因工程实际的需要，</w:t>
      </w:r>
      <w:r>
        <w:rPr>
          <w:rFonts w:hint="eastAsia" w:ascii="宋体" w:hAnsi="宋体" w:cs="宋体"/>
          <w:color w:val="auto"/>
          <w:sz w:val="21"/>
          <w:szCs w:val="21"/>
          <w:highlight w:val="none"/>
          <w:lang w:eastAsia="zh-CN"/>
        </w:rPr>
        <w:t>招标人</w:t>
      </w:r>
      <w:r>
        <w:rPr>
          <w:rFonts w:hint="eastAsia" w:ascii="宋体" w:hAnsi="宋体" w:cs="宋体"/>
          <w:color w:val="auto"/>
          <w:sz w:val="21"/>
          <w:szCs w:val="21"/>
          <w:highlight w:val="none"/>
        </w:rPr>
        <w:t>需培训人数和次数的增加均不影响合同总价。</w:t>
      </w:r>
    </w:p>
    <w:p w14:paraId="597C0B36">
      <w:pPr>
        <w:numPr>
          <w:ilvl w:val="-1"/>
          <w:numId w:val="0"/>
        </w:numPr>
        <w:snapToGrid/>
        <w:spacing w:before="0" w:beforeLines="0" w:after="0" w:afterLines="0" w:line="360" w:lineRule="auto"/>
        <w:ind w:left="0" w:firstLine="0"/>
        <w:outlineLvl w:val="0"/>
        <w:rPr>
          <w:rFonts w:hint="eastAsia" w:ascii="宋体" w:hAnsi="宋体" w:eastAsia="宋体" w:cs="宋体"/>
          <w:b/>
          <w:bCs/>
          <w:color w:val="auto"/>
          <w:sz w:val="28"/>
          <w:szCs w:val="28"/>
          <w:highlight w:val="none"/>
        </w:rPr>
      </w:pPr>
      <w:bookmarkStart w:id="91" w:name="_Toc515785187"/>
      <w:bookmarkStart w:id="92" w:name="_Toc515708318"/>
      <w:bookmarkStart w:id="93" w:name="_Toc515697902"/>
      <w:bookmarkStart w:id="94" w:name="_Toc515727602"/>
      <w:bookmarkStart w:id="95" w:name="_Toc515705623"/>
      <w:r>
        <w:rPr>
          <w:rFonts w:hint="eastAsia" w:ascii="宋体" w:hAnsi="宋体" w:eastAsia="宋体" w:cs="宋体"/>
          <w:b/>
          <w:bCs/>
          <w:color w:val="auto"/>
          <w:sz w:val="28"/>
          <w:szCs w:val="28"/>
          <w:highlight w:val="none"/>
          <w:lang w:val="en-US" w:eastAsia="zh-CN"/>
        </w:rPr>
        <w:t xml:space="preserve">3 </w:t>
      </w:r>
      <w:r>
        <w:rPr>
          <w:rFonts w:hint="eastAsia" w:ascii="宋体" w:hAnsi="宋体" w:eastAsia="宋体" w:cs="宋体"/>
          <w:b/>
          <w:bCs/>
          <w:color w:val="auto"/>
          <w:sz w:val="28"/>
          <w:szCs w:val="28"/>
          <w:highlight w:val="none"/>
        </w:rPr>
        <w:t>设计联络会</w:t>
      </w:r>
      <w:bookmarkEnd w:id="91"/>
      <w:bookmarkEnd w:id="92"/>
      <w:bookmarkEnd w:id="93"/>
      <w:bookmarkEnd w:id="94"/>
      <w:bookmarkEnd w:id="95"/>
    </w:p>
    <w:p w14:paraId="58F1089B">
      <w:pPr>
        <w:pStyle w:val="5"/>
        <w:spacing w:line="360" w:lineRule="auto"/>
        <w:ind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本</w:t>
      </w:r>
      <w:r>
        <w:rPr>
          <w:rFonts w:hint="eastAsia" w:ascii="宋体" w:hAnsi="宋体" w:cs="宋体"/>
          <w:color w:val="auto"/>
          <w:sz w:val="21"/>
          <w:szCs w:val="21"/>
          <w:highlight w:val="none"/>
          <w:lang w:val="en-US" w:eastAsia="zh-CN"/>
        </w:rPr>
        <w:t>项目</w:t>
      </w:r>
      <w:r>
        <w:rPr>
          <w:rFonts w:hint="eastAsia" w:ascii="宋体" w:hAnsi="宋体" w:cs="宋体"/>
          <w:color w:val="auto"/>
          <w:sz w:val="21"/>
          <w:szCs w:val="21"/>
          <w:highlight w:val="none"/>
        </w:rPr>
        <w:t>的设计联络会安排二次，差旅费均各自理。有关设计联络的计划、时间、地点和内容要求由招投标双方商定。</w:t>
      </w:r>
    </w:p>
    <w:p w14:paraId="10293524">
      <w:pPr>
        <w:pStyle w:val="5"/>
        <w:spacing w:line="36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设计联络计划表</w:t>
      </w:r>
    </w:p>
    <w:tbl>
      <w:tblPr>
        <w:tblStyle w:val="18"/>
        <w:tblW w:w="8352" w:type="dxa"/>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28" w:type="dxa"/>
          <w:bottom w:w="0" w:type="dxa"/>
          <w:right w:w="28" w:type="dxa"/>
        </w:tblCellMar>
      </w:tblPr>
      <w:tblGrid>
        <w:gridCol w:w="900"/>
        <w:gridCol w:w="924"/>
        <w:gridCol w:w="1920"/>
        <w:gridCol w:w="1692"/>
        <w:gridCol w:w="1800"/>
        <w:gridCol w:w="1116"/>
      </w:tblGrid>
      <w:tr w14:paraId="64E7C55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900" w:type="dxa"/>
            <w:tcBorders>
              <w:tl2br w:val="nil"/>
              <w:tr2bl w:val="nil"/>
            </w:tcBorders>
            <w:vAlign w:val="center"/>
          </w:tcPr>
          <w:p w14:paraId="0B38902A">
            <w:pPr>
              <w:pStyle w:val="5"/>
              <w:spacing w:line="36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序号</w:t>
            </w:r>
          </w:p>
        </w:tc>
        <w:tc>
          <w:tcPr>
            <w:tcW w:w="924" w:type="dxa"/>
            <w:tcBorders>
              <w:tl2br w:val="nil"/>
              <w:tr2bl w:val="nil"/>
            </w:tcBorders>
            <w:vAlign w:val="center"/>
          </w:tcPr>
          <w:p w14:paraId="4A56EB18">
            <w:pPr>
              <w:pStyle w:val="5"/>
              <w:spacing w:line="36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次数</w:t>
            </w:r>
          </w:p>
        </w:tc>
        <w:tc>
          <w:tcPr>
            <w:tcW w:w="1920" w:type="dxa"/>
            <w:tcBorders>
              <w:tl2br w:val="nil"/>
              <w:tr2bl w:val="nil"/>
            </w:tcBorders>
            <w:vAlign w:val="center"/>
          </w:tcPr>
          <w:p w14:paraId="2BA8319C">
            <w:pPr>
              <w:pStyle w:val="5"/>
              <w:spacing w:line="36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内容</w:t>
            </w:r>
          </w:p>
        </w:tc>
        <w:tc>
          <w:tcPr>
            <w:tcW w:w="1692" w:type="dxa"/>
            <w:tcBorders>
              <w:tl2br w:val="nil"/>
              <w:tr2bl w:val="nil"/>
            </w:tcBorders>
            <w:vAlign w:val="center"/>
          </w:tcPr>
          <w:p w14:paraId="17A9A5AA">
            <w:pPr>
              <w:pStyle w:val="5"/>
              <w:spacing w:line="36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时间</w:t>
            </w:r>
          </w:p>
        </w:tc>
        <w:tc>
          <w:tcPr>
            <w:tcW w:w="1800" w:type="dxa"/>
            <w:tcBorders>
              <w:tl2br w:val="nil"/>
              <w:tr2bl w:val="nil"/>
            </w:tcBorders>
            <w:vAlign w:val="center"/>
          </w:tcPr>
          <w:p w14:paraId="6C530C41">
            <w:pPr>
              <w:pStyle w:val="5"/>
              <w:spacing w:line="36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地点</w:t>
            </w:r>
          </w:p>
        </w:tc>
        <w:tc>
          <w:tcPr>
            <w:tcW w:w="1116" w:type="dxa"/>
            <w:tcBorders>
              <w:tl2br w:val="nil"/>
              <w:tr2bl w:val="nil"/>
            </w:tcBorders>
            <w:vAlign w:val="center"/>
          </w:tcPr>
          <w:p w14:paraId="5AF26325">
            <w:pPr>
              <w:pStyle w:val="5"/>
              <w:spacing w:line="36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人数</w:t>
            </w:r>
          </w:p>
        </w:tc>
      </w:tr>
      <w:tr w14:paraId="0886D0D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900" w:type="dxa"/>
            <w:tcBorders>
              <w:tl2br w:val="nil"/>
              <w:tr2bl w:val="nil"/>
            </w:tcBorders>
            <w:vAlign w:val="center"/>
          </w:tcPr>
          <w:p w14:paraId="0603DAF0">
            <w:pPr>
              <w:pStyle w:val="5"/>
              <w:spacing w:line="360" w:lineRule="auto"/>
              <w:jc w:val="both"/>
              <w:rPr>
                <w:rFonts w:hint="eastAsia" w:ascii="宋体" w:hAnsi="宋体" w:cs="宋体"/>
                <w:color w:val="auto"/>
                <w:sz w:val="21"/>
                <w:szCs w:val="21"/>
                <w:highlight w:val="none"/>
              </w:rPr>
            </w:pPr>
          </w:p>
        </w:tc>
        <w:tc>
          <w:tcPr>
            <w:tcW w:w="924" w:type="dxa"/>
            <w:tcBorders>
              <w:tl2br w:val="nil"/>
              <w:tr2bl w:val="nil"/>
            </w:tcBorders>
            <w:vAlign w:val="center"/>
          </w:tcPr>
          <w:p w14:paraId="368B02CF">
            <w:pPr>
              <w:pStyle w:val="5"/>
              <w:spacing w:line="360" w:lineRule="auto"/>
              <w:jc w:val="both"/>
              <w:rPr>
                <w:rFonts w:hint="eastAsia" w:ascii="宋体" w:hAnsi="宋体" w:cs="宋体"/>
                <w:color w:val="auto"/>
                <w:sz w:val="21"/>
                <w:szCs w:val="21"/>
                <w:highlight w:val="none"/>
              </w:rPr>
            </w:pPr>
          </w:p>
        </w:tc>
        <w:tc>
          <w:tcPr>
            <w:tcW w:w="1920" w:type="dxa"/>
            <w:tcBorders>
              <w:tl2br w:val="nil"/>
              <w:tr2bl w:val="nil"/>
            </w:tcBorders>
            <w:vAlign w:val="center"/>
          </w:tcPr>
          <w:p w14:paraId="7E987EDD">
            <w:pPr>
              <w:pStyle w:val="5"/>
              <w:spacing w:line="360" w:lineRule="auto"/>
              <w:ind w:firstLine="0"/>
              <w:jc w:val="center"/>
              <w:rPr>
                <w:rFonts w:hint="eastAsia" w:ascii="宋体" w:hAnsi="宋体" w:cs="宋体"/>
                <w:color w:val="auto"/>
                <w:sz w:val="21"/>
                <w:szCs w:val="21"/>
                <w:highlight w:val="none"/>
              </w:rPr>
            </w:pPr>
          </w:p>
        </w:tc>
        <w:tc>
          <w:tcPr>
            <w:tcW w:w="1692" w:type="dxa"/>
            <w:tcBorders>
              <w:tl2br w:val="nil"/>
              <w:tr2bl w:val="nil"/>
            </w:tcBorders>
            <w:vAlign w:val="center"/>
          </w:tcPr>
          <w:p w14:paraId="37F83CB2">
            <w:pPr>
              <w:pStyle w:val="5"/>
              <w:spacing w:line="360" w:lineRule="auto"/>
              <w:ind w:firstLine="0"/>
              <w:jc w:val="center"/>
              <w:rPr>
                <w:rFonts w:hint="eastAsia" w:ascii="宋体" w:hAnsi="宋体" w:cs="宋体"/>
                <w:color w:val="auto"/>
                <w:sz w:val="21"/>
                <w:szCs w:val="21"/>
                <w:highlight w:val="none"/>
              </w:rPr>
            </w:pPr>
          </w:p>
        </w:tc>
        <w:tc>
          <w:tcPr>
            <w:tcW w:w="1800" w:type="dxa"/>
            <w:tcBorders>
              <w:tl2br w:val="nil"/>
              <w:tr2bl w:val="nil"/>
            </w:tcBorders>
            <w:vAlign w:val="center"/>
          </w:tcPr>
          <w:p w14:paraId="773FFD84">
            <w:pPr>
              <w:pStyle w:val="5"/>
              <w:spacing w:line="360" w:lineRule="auto"/>
              <w:ind w:firstLine="0"/>
              <w:jc w:val="center"/>
              <w:rPr>
                <w:rFonts w:hint="eastAsia" w:ascii="宋体" w:hAnsi="宋体" w:cs="宋体"/>
                <w:color w:val="auto"/>
                <w:sz w:val="21"/>
                <w:szCs w:val="21"/>
                <w:highlight w:val="none"/>
              </w:rPr>
            </w:pPr>
          </w:p>
        </w:tc>
        <w:tc>
          <w:tcPr>
            <w:tcW w:w="1116" w:type="dxa"/>
            <w:tcBorders>
              <w:tl2br w:val="nil"/>
              <w:tr2bl w:val="nil"/>
            </w:tcBorders>
            <w:vAlign w:val="center"/>
          </w:tcPr>
          <w:p w14:paraId="099C465D">
            <w:pPr>
              <w:pStyle w:val="5"/>
              <w:spacing w:line="360" w:lineRule="auto"/>
              <w:ind w:firstLine="0"/>
              <w:jc w:val="center"/>
              <w:rPr>
                <w:rFonts w:hint="eastAsia" w:ascii="宋体" w:hAnsi="宋体" w:cs="宋体"/>
                <w:color w:val="auto"/>
                <w:sz w:val="21"/>
                <w:szCs w:val="21"/>
                <w:highlight w:val="none"/>
              </w:rPr>
            </w:pPr>
          </w:p>
        </w:tc>
      </w:tr>
      <w:tr w14:paraId="61DD4C9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900" w:type="dxa"/>
            <w:tcBorders>
              <w:tl2br w:val="nil"/>
              <w:tr2bl w:val="nil"/>
            </w:tcBorders>
            <w:vAlign w:val="center"/>
          </w:tcPr>
          <w:p w14:paraId="2CA662A1">
            <w:pPr>
              <w:pStyle w:val="5"/>
              <w:spacing w:line="360" w:lineRule="auto"/>
              <w:jc w:val="both"/>
              <w:rPr>
                <w:rFonts w:hint="eastAsia" w:ascii="宋体" w:hAnsi="宋体" w:cs="宋体"/>
                <w:color w:val="auto"/>
                <w:sz w:val="21"/>
                <w:szCs w:val="21"/>
                <w:highlight w:val="none"/>
              </w:rPr>
            </w:pPr>
          </w:p>
        </w:tc>
        <w:tc>
          <w:tcPr>
            <w:tcW w:w="924" w:type="dxa"/>
            <w:tcBorders>
              <w:tl2br w:val="nil"/>
              <w:tr2bl w:val="nil"/>
            </w:tcBorders>
            <w:vAlign w:val="center"/>
          </w:tcPr>
          <w:p w14:paraId="1D73CF9F">
            <w:pPr>
              <w:pStyle w:val="5"/>
              <w:spacing w:line="360" w:lineRule="auto"/>
              <w:jc w:val="both"/>
              <w:rPr>
                <w:rFonts w:hint="eastAsia" w:ascii="宋体" w:hAnsi="宋体" w:cs="宋体"/>
                <w:color w:val="auto"/>
                <w:sz w:val="21"/>
                <w:szCs w:val="21"/>
                <w:highlight w:val="none"/>
              </w:rPr>
            </w:pPr>
          </w:p>
        </w:tc>
        <w:tc>
          <w:tcPr>
            <w:tcW w:w="1920" w:type="dxa"/>
            <w:tcBorders>
              <w:tl2br w:val="nil"/>
              <w:tr2bl w:val="nil"/>
            </w:tcBorders>
            <w:vAlign w:val="center"/>
          </w:tcPr>
          <w:p w14:paraId="67DB5CE2">
            <w:pPr>
              <w:pStyle w:val="5"/>
              <w:spacing w:line="360" w:lineRule="auto"/>
              <w:ind w:firstLine="0"/>
              <w:jc w:val="center"/>
              <w:rPr>
                <w:rFonts w:hint="eastAsia" w:ascii="宋体" w:hAnsi="宋体" w:cs="宋体"/>
                <w:color w:val="auto"/>
                <w:sz w:val="21"/>
                <w:szCs w:val="21"/>
                <w:highlight w:val="none"/>
              </w:rPr>
            </w:pPr>
          </w:p>
        </w:tc>
        <w:tc>
          <w:tcPr>
            <w:tcW w:w="1692" w:type="dxa"/>
            <w:tcBorders>
              <w:tl2br w:val="nil"/>
              <w:tr2bl w:val="nil"/>
            </w:tcBorders>
            <w:vAlign w:val="center"/>
          </w:tcPr>
          <w:p w14:paraId="2FE0FBE9">
            <w:pPr>
              <w:pStyle w:val="5"/>
              <w:spacing w:line="360" w:lineRule="auto"/>
              <w:ind w:firstLine="0"/>
              <w:jc w:val="center"/>
              <w:rPr>
                <w:rFonts w:hint="eastAsia" w:ascii="宋体" w:hAnsi="宋体" w:cs="宋体"/>
                <w:color w:val="auto"/>
                <w:sz w:val="21"/>
                <w:szCs w:val="21"/>
                <w:highlight w:val="none"/>
              </w:rPr>
            </w:pPr>
          </w:p>
        </w:tc>
        <w:tc>
          <w:tcPr>
            <w:tcW w:w="1800" w:type="dxa"/>
            <w:tcBorders>
              <w:tl2br w:val="nil"/>
              <w:tr2bl w:val="nil"/>
            </w:tcBorders>
            <w:vAlign w:val="center"/>
          </w:tcPr>
          <w:p w14:paraId="59D77590">
            <w:pPr>
              <w:pStyle w:val="5"/>
              <w:spacing w:line="360" w:lineRule="auto"/>
              <w:ind w:firstLine="0"/>
              <w:jc w:val="center"/>
              <w:rPr>
                <w:rFonts w:hint="eastAsia" w:ascii="宋体" w:hAnsi="宋体" w:cs="宋体"/>
                <w:color w:val="auto"/>
                <w:sz w:val="21"/>
                <w:szCs w:val="21"/>
                <w:highlight w:val="none"/>
              </w:rPr>
            </w:pPr>
          </w:p>
        </w:tc>
        <w:tc>
          <w:tcPr>
            <w:tcW w:w="1116" w:type="dxa"/>
            <w:tcBorders>
              <w:tl2br w:val="nil"/>
              <w:tr2bl w:val="nil"/>
            </w:tcBorders>
            <w:vAlign w:val="center"/>
          </w:tcPr>
          <w:p w14:paraId="17ED853D">
            <w:pPr>
              <w:pStyle w:val="5"/>
              <w:spacing w:line="360" w:lineRule="auto"/>
              <w:ind w:firstLine="0"/>
              <w:jc w:val="center"/>
              <w:rPr>
                <w:rFonts w:hint="eastAsia" w:ascii="宋体" w:hAnsi="宋体" w:cs="宋体"/>
                <w:color w:val="auto"/>
                <w:sz w:val="21"/>
                <w:szCs w:val="21"/>
                <w:highlight w:val="none"/>
              </w:rPr>
            </w:pPr>
          </w:p>
        </w:tc>
      </w:tr>
      <w:tr w14:paraId="036A46E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900" w:type="dxa"/>
            <w:tcBorders>
              <w:tl2br w:val="nil"/>
              <w:tr2bl w:val="nil"/>
            </w:tcBorders>
            <w:vAlign w:val="center"/>
          </w:tcPr>
          <w:p w14:paraId="2C611545">
            <w:pPr>
              <w:pStyle w:val="5"/>
              <w:spacing w:line="360" w:lineRule="auto"/>
              <w:jc w:val="both"/>
              <w:rPr>
                <w:rFonts w:hint="eastAsia" w:ascii="宋体" w:hAnsi="宋体" w:cs="宋体"/>
                <w:color w:val="auto"/>
                <w:sz w:val="21"/>
                <w:szCs w:val="21"/>
                <w:highlight w:val="none"/>
              </w:rPr>
            </w:pPr>
          </w:p>
        </w:tc>
        <w:tc>
          <w:tcPr>
            <w:tcW w:w="924" w:type="dxa"/>
            <w:tcBorders>
              <w:tl2br w:val="nil"/>
              <w:tr2bl w:val="nil"/>
            </w:tcBorders>
            <w:vAlign w:val="center"/>
          </w:tcPr>
          <w:p w14:paraId="6CADE465">
            <w:pPr>
              <w:pStyle w:val="5"/>
              <w:spacing w:line="360" w:lineRule="auto"/>
              <w:jc w:val="both"/>
              <w:rPr>
                <w:rFonts w:hint="eastAsia" w:ascii="宋体" w:hAnsi="宋体" w:cs="宋体"/>
                <w:color w:val="auto"/>
                <w:sz w:val="21"/>
                <w:szCs w:val="21"/>
                <w:highlight w:val="none"/>
              </w:rPr>
            </w:pPr>
          </w:p>
        </w:tc>
        <w:tc>
          <w:tcPr>
            <w:tcW w:w="1920" w:type="dxa"/>
            <w:tcBorders>
              <w:tl2br w:val="nil"/>
              <w:tr2bl w:val="nil"/>
            </w:tcBorders>
            <w:vAlign w:val="center"/>
          </w:tcPr>
          <w:p w14:paraId="04A2A1A7">
            <w:pPr>
              <w:pStyle w:val="5"/>
              <w:spacing w:line="360" w:lineRule="auto"/>
              <w:ind w:firstLine="0"/>
              <w:jc w:val="center"/>
              <w:rPr>
                <w:rFonts w:hint="eastAsia" w:ascii="宋体" w:hAnsi="宋体" w:cs="宋体"/>
                <w:color w:val="auto"/>
                <w:sz w:val="21"/>
                <w:szCs w:val="21"/>
                <w:highlight w:val="none"/>
              </w:rPr>
            </w:pPr>
          </w:p>
        </w:tc>
        <w:tc>
          <w:tcPr>
            <w:tcW w:w="1692" w:type="dxa"/>
            <w:tcBorders>
              <w:tl2br w:val="nil"/>
              <w:tr2bl w:val="nil"/>
            </w:tcBorders>
            <w:vAlign w:val="center"/>
          </w:tcPr>
          <w:p w14:paraId="0B06D7AB">
            <w:pPr>
              <w:pStyle w:val="5"/>
              <w:spacing w:line="360" w:lineRule="auto"/>
              <w:ind w:firstLine="0"/>
              <w:jc w:val="center"/>
              <w:rPr>
                <w:rFonts w:hint="eastAsia" w:ascii="宋体" w:hAnsi="宋体" w:cs="宋体"/>
                <w:color w:val="auto"/>
                <w:sz w:val="21"/>
                <w:szCs w:val="21"/>
                <w:highlight w:val="none"/>
              </w:rPr>
            </w:pPr>
          </w:p>
        </w:tc>
        <w:tc>
          <w:tcPr>
            <w:tcW w:w="1800" w:type="dxa"/>
            <w:tcBorders>
              <w:tl2br w:val="nil"/>
              <w:tr2bl w:val="nil"/>
            </w:tcBorders>
            <w:vAlign w:val="center"/>
          </w:tcPr>
          <w:p w14:paraId="620212E9">
            <w:pPr>
              <w:pStyle w:val="5"/>
              <w:spacing w:line="360" w:lineRule="auto"/>
              <w:ind w:firstLine="0"/>
              <w:jc w:val="center"/>
              <w:rPr>
                <w:rFonts w:hint="eastAsia" w:ascii="宋体" w:hAnsi="宋体" w:cs="宋体"/>
                <w:color w:val="auto"/>
                <w:sz w:val="21"/>
                <w:szCs w:val="21"/>
                <w:highlight w:val="none"/>
              </w:rPr>
            </w:pPr>
          </w:p>
        </w:tc>
        <w:tc>
          <w:tcPr>
            <w:tcW w:w="1116" w:type="dxa"/>
            <w:tcBorders>
              <w:tl2br w:val="nil"/>
              <w:tr2bl w:val="nil"/>
            </w:tcBorders>
            <w:vAlign w:val="center"/>
          </w:tcPr>
          <w:p w14:paraId="407163C9">
            <w:pPr>
              <w:pStyle w:val="5"/>
              <w:spacing w:line="360" w:lineRule="auto"/>
              <w:ind w:firstLine="0"/>
              <w:jc w:val="center"/>
              <w:rPr>
                <w:rFonts w:hint="eastAsia" w:ascii="宋体" w:hAnsi="宋体" w:cs="宋体"/>
                <w:color w:val="auto"/>
                <w:sz w:val="21"/>
                <w:szCs w:val="21"/>
                <w:highlight w:val="none"/>
              </w:rPr>
            </w:pPr>
          </w:p>
        </w:tc>
      </w:tr>
    </w:tbl>
    <w:p w14:paraId="4893AB6F">
      <w:pPr>
        <w:pStyle w:val="5"/>
        <w:spacing w:before="157" w:beforeLines="50" w:line="360" w:lineRule="auto"/>
        <w:ind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此外，投标人还应参加招标人组织的与ECMS相关设备（如DCS）的设计联络会，由此产生的费用自理。</w:t>
      </w:r>
    </w:p>
    <w:p w14:paraId="356C8617">
      <w:pPr>
        <w:spacing w:before="0" w:beforeLines="0" w:after="0" w:afterLines="0" w:line="360" w:lineRule="auto"/>
        <w:rPr>
          <w:rFonts w:hint="eastAsia" w:ascii="宋体" w:hAnsi="宋体" w:cs="宋体"/>
          <w:color w:val="auto"/>
          <w:sz w:val="32"/>
          <w:szCs w:val="32"/>
          <w:highlight w:val="none"/>
        </w:rPr>
      </w:pPr>
      <w:r>
        <w:rPr>
          <w:rFonts w:hint="eastAsia" w:ascii="宋体" w:hAnsi="宋体" w:cs="宋体"/>
          <w:color w:val="auto"/>
          <w:highlight w:val="none"/>
        </w:rPr>
        <w:br w:type="page"/>
      </w:r>
      <w:bookmarkStart w:id="96" w:name="_Toc343695403"/>
      <w:bookmarkStart w:id="97" w:name="_Toc526944935"/>
      <w:r>
        <w:rPr>
          <w:rFonts w:hint="eastAsia" w:ascii="宋体" w:hAnsi="宋体" w:cs="宋体"/>
          <w:b/>
          <w:bCs/>
          <w:color w:val="auto"/>
          <w:sz w:val="30"/>
          <w:szCs w:val="30"/>
          <w:highlight w:val="none"/>
        </w:rPr>
        <w:t>附件7 分包与外购</w:t>
      </w:r>
      <w:bookmarkEnd w:id="96"/>
      <w:bookmarkEnd w:id="97"/>
    </w:p>
    <w:p w14:paraId="6059C891">
      <w:pPr>
        <w:spacing w:afterLines="0"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投标人要按下列表格填写分包情况表，并报各分包厂家的简要资质情况（包括与本设备的配套业绩）。</w:t>
      </w:r>
    </w:p>
    <w:p w14:paraId="26F1B5D7">
      <w:pPr>
        <w:spacing w:afterLines="0"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注：下表中的序号和内容应与附件2的一致</w:t>
      </w:r>
    </w:p>
    <w:tbl>
      <w:tblPr>
        <w:tblStyle w:val="18"/>
        <w:tblW w:w="8352" w:type="dxa"/>
        <w:tblInd w:w="79"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28"/>
        <w:gridCol w:w="1372"/>
        <w:gridCol w:w="1428"/>
        <w:gridCol w:w="980"/>
        <w:gridCol w:w="1120"/>
        <w:gridCol w:w="1105"/>
        <w:gridCol w:w="768"/>
        <w:gridCol w:w="851"/>
      </w:tblGrid>
      <w:tr w14:paraId="68284B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728" w:type="dxa"/>
            <w:tcBorders>
              <w:tl2br w:val="nil"/>
              <w:tr2bl w:val="nil"/>
            </w:tcBorders>
            <w:vAlign w:val="center"/>
          </w:tcPr>
          <w:p w14:paraId="2E76DEA6">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序号</w:t>
            </w:r>
          </w:p>
        </w:tc>
        <w:tc>
          <w:tcPr>
            <w:tcW w:w="1372" w:type="dxa"/>
            <w:tcBorders>
              <w:tl2br w:val="nil"/>
              <w:tr2bl w:val="nil"/>
            </w:tcBorders>
            <w:vAlign w:val="center"/>
          </w:tcPr>
          <w:p w14:paraId="70D349BD">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设备组件</w:t>
            </w:r>
          </w:p>
        </w:tc>
        <w:tc>
          <w:tcPr>
            <w:tcW w:w="1428" w:type="dxa"/>
            <w:tcBorders>
              <w:tl2br w:val="nil"/>
              <w:tr2bl w:val="nil"/>
            </w:tcBorders>
            <w:vAlign w:val="center"/>
          </w:tcPr>
          <w:p w14:paraId="05602195">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厂家名称</w:t>
            </w:r>
          </w:p>
        </w:tc>
        <w:tc>
          <w:tcPr>
            <w:tcW w:w="980" w:type="dxa"/>
            <w:tcBorders>
              <w:tl2br w:val="nil"/>
              <w:tr2bl w:val="nil"/>
            </w:tcBorders>
            <w:vAlign w:val="center"/>
          </w:tcPr>
          <w:p w14:paraId="55C78EC3">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型号</w:t>
            </w:r>
          </w:p>
        </w:tc>
        <w:tc>
          <w:tcPr>
            <w:tcW w:w="1120" w:type="dxa"/>
            <w:tcBorders>
              <w:tl2br w:val="nil"/>
              <w:tr2bl w:val="nil"/>
            </w:tcBorders>
            <w:vAlign w:val="center"/>
          </w:tcPr>
          <w:p w14:paraId="6C75902F">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单位</w:t>
            </w:r>
          </w:p>
        </w:tc>
        <w:tc>
          <w:tcPr>
            <w:tcW w:w="1105" w:type="dxa"/>
            <w:tcBorders>
              <w:tl2br w:val="nil"/>
              <w:tr2bl w:val="nil"/>
            </w:tcBorders>
            <w:vAlign w:val="center"/>
          </w:tcPr>
          <w:p w14:paraId="233E1CC2">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数量</w:t>
            </w:r>
          </w:p>
        </w:tc>
        <w:tc>
          <w:tcPr>
            <w:tcW w:w="768" w:type="dxa"/>
            <w:tcBorders>
              <w:tl2br w:val="nil"/>
              <w:tr2bl w:val="nil"/>
            </w:tcBorders>
            <w:vAlign w:val="center"/>
          </w:tcPr>
          <w:p w14:paraId="7D61D669">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产地</w:t>
            </w:r>
          </w:p>
        </w:tc>
        <w:tc>
          <w:tcPr>
            <w:tcW w:w="851" w:type="dxa"/>
            <w:tcBorders>
              <w:tl2br w:val="nil"/>
              <w:tr2bl w:val="nil"/>
            </w:tcBorders>
            <w:vAlign w:val="center"/>
          </w:tcPr>
          <w:p w14:paraId="0468A5FF">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备注</w:t>
            </w:r>
          </w:p>
        </w:tc>
      </w:tr>
      <w:tr w14:paraId="35A1B7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728" w:type="dxa"/>
            <w:vMerge w:val="restart"/>
            <w:tcBorders>
              <w:tl2br w:val="nil"/>
              <w:tr2bl w:val="nil"/>
            </w:tcBorders>
            <w:vAlign w:val="center"/>
          </w:tcPr>
          <w:p w14:paraId="01B52920">
            <w:pPr>
              <w:jc w:val="center"/>
              <w:rPr>
                <w:rFonts w:hint="eastAsia" w:ascii="宋体" w:hAnsi="宋体" w:cs="宋体"/>
                <w:color w:val="auto"/>
                <w:sz w:val="21"/>
                <w:szCs w:val="21"/>
                <w:highlight w:val="none"/>
              </w:rPr>
            </w:pPr>
          </w:p>
        </w:tc>
        <w:tc>
          <w:tcPr>
            <w:tcW w:w="1372" w:type="dxa"/>
            <w:vMerge w:val="restart"/>
            <w:tcBorders>
              <w:tl2br w:val="nil"/>
              <w:tr2bl w:val="nil"/>
            </w:tcBorders>
            <w:vAlign w:val="center"/>
          </w:tcPr>
          <w:p w14:paraId="1FB0EB04">
            <w:pPr>
              <w:jc w:val="center"/>
              <w:rPr>
                <w:rFonts w:hint="eastAsia" w:ascii="宋体" w:hAnsi="宋体" w:cs="宋体"/>
                <w:color w:val="auto"/>
                <w:sz w:val="21"/>
                <w:szCs w:val="21"/>
                <w:highlight w:val="none"/>
              </w:rPr>
            </w:pPr>
          </w:p>
        </w:tc>
        <w:tc>
          <w:tcPr>
            <w:tcW w:w="1428" w:type="dxa"/>
            <w:tcBorders>
              <w:tl2br w:val="nil"/>
              <w:tr2bl w:val="nil"/>
            </w:tcBorders>
            <w:vAlign w:val="center"/>
          </w:tcPr>
          <w:p w14:paraId="029417D0">
            <w:pPr>
              <w:jc w:val="center"/>
              <w:rPr>
                <w:rFonts w:hint="eastAsia" w:ascii="宋体" w:hAnsi="宋体" w:cs="宋体"/>
                <w:color w:val="auto"/>
                <w:sz w:val="21"/>
                <w:szCs w:val="21"/>
                <w:highlight w:val="none"/>
              </w:rPr>
            </w:pPr>
          </w:p>
        </w:tc>
        <w:tc>
          <w:tcPr>
            <w:tcW w:w="980" w:type="dxa"/>
            <w:tcBorders>
              <w:tl2br w:val="nil"/>
              <w:tr2bl w:val="nil"/>
            </w:tcBorders>
            <w:vAlign w:val="center"/>
          </w:tcPr>
          <w:p w14:paraId="431886CD">
            <w:pPr>
              <w:jc w:val="center"/>
              <w:rPr>
                <w:rFonts w:hint="eastAsia" w:ascii="宋体" w:hAnsi="宋体" w:cs="宋体"/>
                <w:color w:val="auto"/>
                <w:sz w:val="21"/>
                <w:szCs w:val="21"/>
                <w:highlight w:val="none"/>
              </w:rPr>
            </w:pPr>
          </w:p>
        </w:tc>
        <w:tc>
          <w:tcPr>
            <w:tcW w:w="1120" w:type="dxa"/>
            <w:tcBorders>
              <w:tl2br w:val="nil"/>
              <w:tr2bl w:val="nil"/>
            </w:tcBorders>
            <w:vAlign w:val="center"/>
          </w:tcPr>
          <w:p w14:paraId="52ADBAAA">
            <w:pPr>
              <w:jc w:val="center"/>
              <w:rPr>
                <w:rFonts w:hint="eastAsia" w:ascii="宋体" w:hAnsi="宋体" w:cs="宋体"/>
                <w:color w:val="auto"/>
                <w:sz w:val="21"/>
                <w:szCs w:val="21"/>
                <w:highlight w:val="none"/>
              </w:rPr>
            </w:pPr>
          </w:p>
        </w:tc>
        <w:tc>
          <w:tcPr>
            <w:tcW w:w="1105" w:type="dxa"/>
            <w:tcBorders>
              <w:tl2br w:val="nil"/>
              <w:tr2bl w:val="nil"/>
            </w:tcBorders>
            <w:vAlign w:val="center"/>
          </w:tcPr>
          <w:p w14:paraId="27E3F9A8">
            <w:pPr>
              <w:jc w:val="center"/>
              <w:rPr>
                <w:rFonts w:hint="eastAsia" w:ascii="宋体" w:hAnsi="宋体" w:cs="宋体"/>
                <w:color w:val="auto"/>
                <w:sz w:val="21"/>
                <w:szCs w:val="21"/>
                <w:highlight w:val="none"/>
              </w:rPr>
            </w:pPr>
          </w:p>
        </w:tc>
        <w:tc>
          <w:tcPr>
            <w:tcW w:w="768" w:type="dxa"/>
            <w:tcBorders>
              <w:tl2br w:val="nil"/>
              <w:tr2bl w:val="nil"/>
            </w:tcBorders>
            <w:vAlign w:val="center"/>
          </w:tcPr>
          <w:p w14:paraId="5D778B90">
            <w:pPr>
              <w:jc w:val="center"/>
              <w:rPr>
                <w:rFonts w:hint="eastAsia" w:ascii="宋体" w:hAnsi="宋体" w:cs="宋体"/>
                <w:color w:val="auto"/>
                <w:sz w:val="21"/>
                <w:szCs w:val="21"/>
                <w:highlight w:val="none"/>
              </w:rPr>
            </w:pPr>
          </w:p>
        </w:tc>
        <w:tc>
          <w:tcPr>
            <w:tcW w:w="851" w:type="dxa"/>
            <w:tcBorders>
              <w:tl2br w:val="nil"/>
              <w:tr2bl w:val="nil"/>
            </w:tcBorders>
            <w:vAlign w:val="center"/>
          </w:tcPr>
          <w:p w14:paraId="7E022487">
            <w:pPr>
              <w:jc w:val="center"/>
              <w:rPr>
                <w:rFonts w:hint="eastAsia" w:ascii="宋体" w:hAnsi="宋体" w:cs="宋体"/>
                <w:color w:val="auto"/>
                <w:sz w:val="21"/>
                <w:szCs w:val="21"/>
                <w:highlight w:val="none"/>
              </w:rPr>
            </w:pPr>
          </w:p>
        </w:tc>
      </w:tr>
      <w:tr w14:paraId="217905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728" w:type="dxa"/>
            <w:vMerge w:val="continue"/>
            <w:tcBorders>
              <w:tl2br w:val="nil"/>
              <w:tr2bl w:val="nil"/>
            </w:tcBorders>
            <w:vAlign w:val="center"/>
          </w:tcPr>
          <w:p w14:paraId="3C98CACD">
            <w:pPr>
              <w:jc w:val="center"/>
              <w:rPr>
                <w:rFonts w:hint="eastAsia" w:ascii="宋体" w:hAnsi="宋体" w:cs="宋体"/>
                <w:color w:val="auto"/>
                <w:sz w:val="21"/>
                <w:szCs w:val="21"/>
                <w:highlight w:val="none"/>
              </w:rPr>
            </w:pPr>
          </w:p>
        </w:tc>
        <w:tc>
          <w:tcPr>
            <w:tcW w:w="1372" w:type="dxa"/>
            <w:vMerge w:val="continue"/>
            <w:tcBorders>
              <w:tl2br w:val="nil"/>
              <w:tr2bl w:val="nil"/>
            </w:tcBorders>
            <w:vAlign w:val="center"/>
          </w:tcPr>
          <w:p w14:paraId="5E08AAC9">
            <w:pPr>
              <w:jc w:val="center"/>
              <w:rPr>
                <w:rFonts w:hint="eastAsia" w:ascii="宋体" w:hAnsi="宋体" w:cs="宋体"/>
                <w:color w:val="auto"/>
                <w:sz w:val="21"/>
                <w:szCs w:val="21"/>
                <w:highlight w:val="none"/>
              </w:rPr>
            </w:pPr>
          </w:p>
        </w:tc>
        <w:tc>
          <w:tcPr>
            <w:tcW w:w="1428" w:type="dxa"/>
            <w:tcBorders>
              <w:tl2br w:val="nil"/>
              <w:tr2bl w:val="nil"/>
            </w:tcBorders>
            <w:vAlign w:val="center"/>
          </w:tcPr>
          <w:p w14:paraId="3F1AD392">
            <w:pPr>
              <w:jc w:val="center"/>
              <w:rPr>
                <w:rFonts w:hint="eastAsia" w:ascii="宋体" w:hAnsi="宋体" w:cs="宋体"/>
                <w:color w:val="auto"/>
                <w:sz w:val="21"/>
                <w:szCs w:val="21"/>
                <w:highlight w:val="none"/>
              </w:rPr>
            </w:pPr>
          </w:p>
        </w:tc>
        <w:tc>
          <w:tcPr>
            <w:tcW w:w="980" w:type="dxa"/>
            <w:tcBorders>
              <w:tl2br w:val="nil"/>
              <w:tr2bl w:val="nil"/>
            </w:tcBorders>
            <w:vAlign w:val="center"/>
          </w:tcPr>
          <w:p w14:paraId="2D4A3F0F">
            <w:pPr>
              <w:jc w:val="center"/>
              <w:rPr>
                <w:rFonts w:hint="eastAsia" w:ascii="宋体" w:hAnsi="宋体" w:cs="宋体"/>
                <w:color w:val="auto"/>
                <w:sz w:val="21"/>
                <w:szCs w:val="21"/>
                <w:highlight w:val="none"/>
              </w:rPr>
            </w:pPr>
          </w:p>
        </w:tc>
        <w:tc>
          <w:tcPr>
            <w:tcW w:w="1120" w:type="dxa"/>
            <w:tcBorders>
              <w:tl2br w:val="nil"/>
              <w:tr2bl w:val="nil"/>
            </w:tcBorders>
            <w:vAlign w:val="center"/>
          </w:tcPr>
          <w:p w14:paraId="05AEEA91">
            <w:pPr>
              <w:jc w:val="center"/>
              <w:rPr>
                <w:rFonts w:hint="eastAsia" w:ascii="宋体" w:hAnsi="宋体" w:cs="宋体"/>
                <w:color w:val="auto"/>
                <w:sz w:val="21"/>
                <w:szCs w:val="21"/>
                <w:highlight w:val="none"/>
              </w:rPr>
            </w:pPr>
          </w:p>
        </w:tc>
        <w:tc>
          <w:tcPr>
            <w:tcW w:w="1105" w:type="dxa"/>
            <w:tcBorders>
              <w:tl2br w:val="nil"/>
              <w:tr2bl w:val="nil"/>
            </w:tcBorders>
            <w:vAlign w:val="center"/>
          </w:tcPr>
          <w:p w14:paraId="1F3CD10A">
            <w:pPr>
              <w:jc w:val="center"/>
              <w:rPr>
                <w:rFonts w:hint="eastAsia" w:ascii="宋体" w:hAnsi="宋体" w:cs="宋体"/>
                <w:color w:val="auto"/>
                <w:sz w:val="21"/>
                <w:szCs w:val="21"/>
                <w:highlight w:val="none"/>
              </w:rPr>
            </w:pPr>
          </w:p>
        </w:tc>
        <w:tc>
          <w:tcPr>
            <w:tcW w:w="768" w:type="dxa"/>
            <w:tcBorders>
              <w:tl2br w:val="nil"/>
              <w:tr2bl w:val="nil"/>
            </w:tcBorders>
            <w:vAlign w:val="center"/>
          </w:tcPr>
          <w:p w14:paraId="65CFCB6D">
            <w:pPr>
              <w:jc w:val="center"/>
              <w:rPr>
                <w:rFonts w:hint="eastAsia" w:ascii="宋体" w:hAnsi="宋体" w:cs="宋体"/>
                <w:color w:val="auto"/>
                <w:sz w:val="21"/>
                <w:szCs w:val="21"/>
                <w:highlight w:val="none"/>
              </w:rPr>
            </w:pPr>
          </w:p>
        </w:tc>
        <w:tc>
          <w:tcPr>
            <w:tcW w:w="851" w:type="dxa"/>
            <w:tcBorders>
              <w:tl2br w:val="nil"/>
              <w:tr2bl w:val="nil"/>
            </w:tcBorders>
            <w:vAlign w:val="center"/>
          </w:tcPr>
          <w:p w14:paraId="2791AED3">
            <w:pPr>
              <w:jc w:val="center"/>
              <w:rPr>
                <w:rFonts w:hint="eastAsia" w:ascii="宋体" w:hAnsi="宋体" w:cs="宋体"/>
                <w:color w:val="auto"/>
                <w:sz w:val="21"/>
                <w:szCs w:val="21"/>
                <w:highlight w:val="none"/>
              </w:rPr>
            </w:pPr>
          </w:p>
        </w:tc>
      </w:tr>
      <w:tr w14:paraId="0D54BB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728" w:type="dxa"/>
            <w:vMerge w:val="continue"/>
            <w:tcBorders>
              <w:tl2br w:val="nil"/>
              <w:tr2bl w:val="nil"/>
            </w:tcBorders>
            <w:vAlign w:val="center"/>
          </w:tcPr>
          <w:p w14:paraId="12BC39A2">
            <w:pPr>
              <w:jc w:val="center"/>
              <w:rPr>
                <w:rFonts w:hint="eastAsia" w:ascii="宋体" w:hAnsi="宋体" w:cs="宋体"/>
                <w:color w:val="auto"/>
                <w:sz w:val="21"/>
                <w:szCs w:val="21"/>
                <w:highlight w:val="none"/>
              </w:rPr>
            </w:pPr>
          </w:p>
        </w:tc>
        <w:tc>
          <w:tcPr>
            <w:tcW w:w="1372" w:type="dxa"/>
            <w:vMerge w:val="continue"/>
            <w:tcBorders>
              <w:tl2br w:val="nil"/>
              <w:tr2bl w:val="nil"/>
            </w:tcBorders>
            <w:vAlign w:val="center"/>
          </w:tcPr>
          <w:p w14:paraId="5D18C46B">
            <w:pPr>
              <w:jc w:val="center"/>
              <w:rPr>
                <w:rFonts w:hint="eastAsia" w:ascii="宋体" w:hAnsi="宋体" w:cs="宋体"/>
                <w:color w:val="auto"/>
                <w:sz w:val="21"/>
                <w:szCs w:val="21"/>
                <w:highlight w:val="none"/>
              </w:rPr>
            </w:pPr>
          </w:p>
        </w:tc>
        <w:tc>
          <w:tcPr>
            <w:tcW w:w="1428" w:type="dxa"/>
            <w:tcBorders>
              <w:tl2br w:val="nil"/>
              <w:tr2bl w:val="nil"/>
            </w:tcBorders>
            <w:vAlign w:val="center"/>
          </w:tcPr>
          <w:p w14:paraId="5561B8F6">
            <w:pPr>
              <w:jc w:val="center"/>
              <w:rPr>
                <w:rFonts w:hint="eastAsia" w:ascii="宋体" w:hAnsi="宋体" w:cs="宋体"/>
                <w:color w:val="auto"/>
                <w:sz w:val="21"/>
                <w:szCs w:val="21"/>
                <w:highlight w:val="none"/>
              </w:rPr>
            </w:pPr>
          </w:p>
        </w:tc>
        <w:tc>
          <w:tcPr>
            <w:tcW w:w="980" w:type="dxa"/>
            <w:tcBorders>
              <w:tl2br w:val="nil"/>
              <w:tr2bl w:val="nil"/>
            </w:tcBorders>
            <w:vAlign w:val="center"/>
          </w:tcPr>
          <w:p w14:paraId="46EDC1BE">
            <w:pPr>
              <w:jc w:val="center"/>
              <w:rPr>
                <w:rFonts w:hint="eastAsia" w:ascii="宋体" w:hAnsi="宋体" w:cs="宋体"/>
                <w:color w:val="auto"/>
                <w:sz w:val="21"/>
                <w:szCs w:val="21"/>
                <w:highlight w:val="none"/>
              </w:rPr>
            </w:pPr>
          </w:p>
        </w:tc>
        <w:tc>
          <w:tcPr>
            <w:tcW w:w="1120" w:type="dxa"/>
            <w:tcBorders>
              <w:tl2br w:val="nil"/>
              <w:tr2bl w:val="nil"/>
            </w:tcBorders>
            <w:vAlign w:val="center"/>
          </w:tcPr>
          <w:p w14:paraId="1DF8830D">
            <w:pPr>
              <w:jc w:val="center"/>
              <w:rPr>
                <w:rFonts w:hint="eastAsia" w:ascii="宋体" w:hAnsi="宋体" w:cs="宋体"/>
                <w:color w:val="auto"/>
                <w:sz w:val="21"/>
                <w:szCs w:val="21"/>
                <w:highlight w:val="none"/>
              </w:rPr>
            </w:pPr>
          </w:p>
        </w:tc>
        <w:tc>
          <w:tcPr>
            <w:tcW w:w="1105" w:type="dxa"/>
            <w:tcBorders>
              <w:tl2br w:val="nil"/>
              <w:tr2bl w:val="nil"/>
            </w:tcBorders>
            <w:vAlign w:val="center"/>
          </w:tcPr>
          <w:p w14:paraId="50A5A51F">
            <w:pPr>
              <w:jc w:val="center"/>
              <w:rPr>
                <w:rFonts w:hint="eastAsia" w:ascii="宋体" w:hAnsi="宋体" w:cs="宋体"/>
                <w:color w:val="auto"/>
                <w:sz w:val="21"/>
                <w:szCs w:val="21"/>
                <w:highlight w:val="none"/>
              </w:rPr>
            </w:pPr>
          </w:p>
        </w:tc>
        <w:tc>
          <w:tcPr>
            <w:tcW w:w="768" w:type="dxa"/>
            <w:tcBorders>
              <w:tl2br w:val="nil"/>
              <w:tr2bl w:val="nil"/>
            </w:tcBorders>
            <w:vAlign w:val="center"/>
          </w:tcPr>
          <w:p w14:paraId="7FA45F84">
            <w:pPr>
              <w:jc w:val="center"/>
              <w:rPr>
                <w:rFonts w:hint="eastAsia" w:ascii="宋体" w:hAnsi="宋体" w:cs="宋体"/>
                <w:color w:val="auto"/>
                <w:sz w:val="21"/>
                <w:szCs w:val="21"/>
                <w:highlight w:val="none"/>
              </w:rPr>
            </w:pPr>
          </w:p>
        </w:tc>
        <w:tc>
          <w:tcPr>
            <w:tcW w:w="851" w:type="dxa"/>
            <w:tcBorders>
              <w:tl2br w:val="nil"/>
              <w:tr2bl w:val="nil"/>
            </w:tcBorders>
            <w:vAlign w:val="center"/>
          </w:tcPr>
          <w:p w14:paraId="53D28FBE">
            <w:pPr>
              <w:jc w:val="center"/>
              <w:rPr>
                <w:rFonts w:hint="eastAsia" w:ascii="宋体" w:hAnsi="宋体" w:cs="宋体"/>
                <w:color w:val="auto"/>
                <w:sz w:val="21"/>
                <w:szCs w:val="21"/>
                <w:highlight w:val="none"/>
              </w:rPr>
            </w:pPr>
          </w:p>
        </w:tc>
      </w:tr>
      <w:tr w14:paraId="706795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728" w:type="dxa"/>
            <w:vMerge w:val="restart"/>
            <w:tcBorders>
              <w:tl2br w:val="nil"/>
              <w:tr2bl w:val="nil"/>
            </w:tcBorders>
            <w:vAlign w:val="center"/>
          </w:tcPr>
          <w:p w14:paraId="5EB0BDA3">
            <w:pPr>
              <w:jc w:val="center"/>
              <w:rPr>
                <w:rFonts w:hint="eastAsia" w:ascii="宋体" w:hAnsi="宋体" w:cs="宋体"/>
                <w:color w:val="auto"/>
                <w:sz w:val="21"/>
                <w:szCs w:val="21"/>
                <w:highlight w:val="none"/>
              </w:rPr>
            </w:pPr>
          </w:p>
        </w:tc>
        <w:tc>
          <w:tcPr>
            <w:tcW w:w="1372" w:type="dxa"/>
            <w:vMerge w:val="restart"/>
            <w:tcBorders>
              <w:tl2br w:val="nil"/>
              <w:tr2bl w:val="nil"/>
            </w:tcBorders>
            <w:vAlign w:val="center"/>
          </w:tcPr>
          <w:p w14:paraId="12F2D9CB">
            <w:pPr>
              <w:jc w:val="center"/>
              <w:rPr>
                <w:rFonts w:hint="eastAsia" w:ascii="宋体" w:hAnsi="宋体" w:cs="宋体"/>
                <w:color w:val="auto"/>
                <w:sz w:val="21"/>
                <w:szCs w:val="21"/>
                <w:highlight w:val="none"/>
              </w:rPr>
            </w:pPr>
          </w:p>
        </w:tc>
        <w:tc>
          <w:tcPr>
            <w:tcW w:w="1428" w:type="dxa"/>
            <w:tcBorders>
              <w:tl2br w:val="nil"/>
              <w:tr2bl w:val="nil"/>
            </w:tcBorders>
            <w:vAlign w:val="center"/>
          </w:tcPr>
          <w:p w14:paraId="19647960">
            <w:pPr>
              <w:jc w:val="center"/>
              <w:rPr>
                <w:rFonts w:hint="eastAsia" w:ascii="宋体" w:hAnsi="宋体" w:cs="宋体"/>
                <w:color w:val="auto"/>
                <w:sz w:val="21"/>
                <w:szCs w:val="21"/>
                <w:highlight w:val="none"/>
              </w:rPr>
            </w:pPr>
          </w:p>
        </w:tc>
        <w:tc>
          <w:tcPr>
            <w:tcW w:w="980" w:type="dxa"/>
            <w:tcBorders>
              <w:tl2br w:val="nil"/>
              <w:tr2bl w:val="nil"/>
            </w:tcBorders>
            <w:vAlign w:val="center"/>
          </w:tcPr>
          <w:p w14:paraId="4CA5B20D">
            <w:pPr>
              <w:jc w:val="center"/>
              <w:rPr>
                <w:rFonts w:hint="eastAsia" w:ascii="宋体" w:hAnsi="宋体" w:cs="宋体"/>
                <w:color w:val="auto"/>
                <w:sz w:val="21"/>
                <w:szCs w:val="21"/>
                <w:highlight w:val="none"/>
              </w:rPr>
            </w:pPr>
          </w:p>
        </w:tc>
        <w:tc>
          <w:tcPr>
            <w:tcW w:w="1120" w:type="dxa"/>
            <w:tcBorders>
              <w:tl2br w:val="nil"/>
              <w:tr2bl w:val="nil"/>
            </w:tcBorders>
            <w:vAlign w:val="center"/>
          </w:tcPr>
          <w:p w14:paraId="41722F6E">
            <w:pPr>
              <w:jc w:val="center"/>
              <w:rPr>
                <w:rFonts w:hint="eastAsia" w:ascii="宋体" w:hAnsi="宋体" w:cs="宋体"/>
                <w:color w:val="auto"/>
                <w:sz w:val="21"/>
                <w:szCs w:val="21"/>
                <w:highlight w:val="none"/>
              </w:rPr>
            </w:pPr>
          </w:p>
        </w:tc>
        <w:tc>
          <w:tcPr>
            <w:tcW w:w="1105" w:type="dxa"/>
            <w:tcBorders>
              <w:tl2br w:val="nil"/>
              <w:tr2bl w:val="nil"/>
            </w:tcBorders>
            <w:vAlign w:val="center"/>
          </w:tcPr>
          <w:p w14:paraId="27DEE150">
            <w:pPr>
              <w:jc w:val="center"/>
              <w:rPr>
                <w:rFonts w:hint="eastAsia" w:ascii="宋体" w:hAnsi="宋体" w:cs="宋体"/>
                <w:color w:val="auto"/>
                <w:sz w:val="21"/>
                <w:szCs w:val="21"/>
                <w:highlight w:val="none"/>
              </w:rPr>
            </w:pPr>
          </w:p>
        </w:tc>
        <w:tc>
          <w:tcPr>
            <w:tcW w:w="768" w:type="dxa"/>
            <w:tcBorders>
              <w:tl2br w:val="nil"/>
              <w:tr2bl w:val="nil"/>
            </w:tcBorders>
            <w:vAlign w:val="center"/>
          </w:tcPr>
          <w:p w14:paraId="36F1D7F5">
            <w:pPr>
              <w:jc w:val="center"/>
              <w:rPr>
                <w:rFonts w:hint="eastAsia" w:ascii="宋体" w:hAnsi="宋体" w:cs="宋体"/>
                <w:color w:val="auto"/>
                <w:sz w:val="21"/>
                <w:szCs w:val="21"/>
                <w:highlight w:val="none"/>
              </w:rPr>
            </w:pPr>
          </w:p>
        </w:tc>
        <w:tc>
          <w:tcPr>
            <w:tcW w:w="851" w:type="dxa"/>
            <w:tcBorders>
              <w:tl2br w:val="nil"/>
              <w:tr2bl w:val="nil"/>
            </w:tcBorders>
            <w:vAlign w:val="center"/>
          </w:tcPr>
          <w:p w14:paraId="3E3F610B">
            <w:pPr>
              <w:jc w:val="center"/>
              <w:rPr>
                <w:rFonts w:hint="eastAsia" w:ascii="宋体" w:hAnsi="宋体" w:cs="宋体"/>
                <w:color w:val="auto"/>
                <w:sz w:val="21"/>
                <w:szCs w:val="21"/>
                <w:highlight w:val="none"/>
              </w:rPr>
            </w:pPr>
          </w:p>
        </w:tc>
      </w:tr>
      <w:tr w14:paraId="2B40FE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728" w:type="dxa"/>
            <w:vMerge w:val="continue"/>
            <w:tcBorders>
              <w:tl2br w:val="nil"/>
              <w:tr2bl w:val="nil"/>
            </w:tcBorders>
            <w:vAlign w:val="center"/>
          </w:tcPr>
          <w:p w14:paraId="1854DEB4">
            <w:pPr>
              <w:jc w:val="center"/>
              <w:rPr>
                <w:rFonts w:hint="eastAsia" w:ascii="宋体" w:hAnsi="宋体" w:cs="宋体"/>
                <w:color w:val="auto"/>
                <w:sz w:val="21"/>
                <w:szCs w:val="21"/>
                <w:highlight w:val="none"/>
              </w:rPr>
            </w:pPr>
          </w:p>
        </w:tc>
        <w:tc>
          <w:tcPr>
            <w:tcW w:w="1372" w:type="dxa"/>
            <w:vMerge w:val="continue"/>
            <w:tcBorders>
              <w:tl2br w:val="nil"/>
              <w:tr2bl w:val="nil"/>
            </w:tcBorders>
            <w:vAlign w:val="center"/>
          </w:tcPr>
          <w:p w14:paraId="7FBC5EA6">
            <w:pPr>
              <w:jc w:val="center"/>
              <w:rPr>
                <w:rFonts w:hint="eastAsia" w:ascii="宋体" w:hAnsi="宋体" w:cs="宋体"/>
                <w:color w:val="auto"/>
                <w:sz w:val="21"/>
                <w:szCs w:val="21"/>
                <w:highlight w:val="none"/>
              </w:rPr>
            </w:pPr>
          </w:p>
        </w:tc>
        <w:tc>
          <w:tcPr>
            <w:tcW w:w="1428" w:type="dxa"/>
            <w:tcBorders>
              <w:tl2br w:val="nil"/>
              <w:tr2bl w:val="nil"/>
            </w:tcBorders>
            <w:vAlign w:val="center"/>
          </w:tcPr>
          <w:p w14:paraId="563D231A">
            <w:pPr>
              <w:jc w:val="center"/>
              <w:rPr>
                <w:rFonts w:hint="eastAsia" w:ascii="宋体" w:hAnsi="宋体" w:cs="宋体"/>
                <w:color w:val="auto"/>
                <w:sz w:val="21"/>
                <w:szCs w:val="21"/>
                <w:highlight w:val="none"/>
              </w:rPr>
            </w:pPr>
          </w:p>
        </w:tc>
        <w:tc>
          <w:tcPr>
            <w:tcW w:w="980" w:type="dxa"/>
            <w:tcBorders>
              <w:tl2br w:val="nil"/>
              <w:tr2bl w:val="nil"/>
            </w:tcBorders>
            <w:vAlign w:val="center"/>
          </w:tcPr>
          <w:p w14:paraId="018B8E46">
            <w:pPr>
              <w:jc w:val="center"/>
              <w:rPr>
                <w:rFonts w:hint="eastAsia" w:ascii="宋体" w:hAnsi="宋体" w:cs="宋体"/>
                <w:color w:val="auto"/>
                <w:sz w:val="21"/>
                <w:szCs w:val="21"/>
                <w:highlight w:val="none"/>
              </w:rPr>
            </w:pPr>
          </w:p>
        </w:tc>
        <w:tc>
          <w:tcPr>
            <w:tcW w:w="1120" w:type="dxa"/>
            <w:tcBorders>
              <w:tl2br w:val="nil"/>
              <w:tr2bl w:val="nil"/>
            </w:tcBorders>
            <w:vAlign w:val="center"/>
          </w:tcPr>
          <w:p w14:paraId="0EE13FFD">
            <w:pPr>
              <w:jc w:val="center"/>
              <w:rPr>
                <w:rFonts w:hint="eastAsia" w:ascii="宋体" w:hAnsi="宋体" w:cs="宋体"/>
                <w:color w:val="auto"/>
                <w:sz w:val="21"/>
                <w:szCs w:val="21"/>
                <w:highlight w:val="none"/>
              </w:rPr>
            </w:pPr>
          </w:p>
        </w:tc>
        <w:tc>
          <w:tcPr>
            <w:tcW w:w="1105" w:type="dxa"/>
            <w:tcBorders>
              <w:tl2br w:val="nil"/>
              <w:tr2bl w:val="nil"/>
            </w:tcBorders>
            <w:vAlign w:val="center"/>
          </w:tcPr>
          <w:p w14:paraId="12C28497">
            <w:pPr>
              <w:jc w:val="center"/>
              <w:rPr>
                <w:rFonts w:hint="eastAsia" w:ascii="宋体" w:hAnsi="宋体" w:cs="宋体"/>
                <w:color w:val="auto"/>
                <w:sz w:val="21"/>
                <w:szCs w:val="21"/>
                <w:highlight w:val="none"/>
              </w:rPr>
            </w:pPr>
          </w:p>
        </w:tc>
        <w:tc>
          <w:tcPr>
            <w:tcW w:w="768" w:type="dxa"/>
            <w:tcBorders>
              <w:tl2br w:val="nil"/>
              <w:tr2bl w:val="nil"/>
            </w:tcBorders>
            <w:vAlign w:val="center"/>
          </w:tcPr>
          <w:p w14:paraId="67FDF4B6">
            <w:pPr>
              <w:jc w:val="center"/>
              <w:rPr>
                <w:rFonts w:hint="eastAsia" w:ascii="宋体" w:hAnsi="宋体" w:cs="宋体"/>
                <w:color w:val="auto"/>
                <w:sz w:val="21"/>
                <w:szCs w:val="21"/>
                <w:highlight w:val="none"/>
              </w:rPr>
            </w:pPr>
          </w:p>
        </w:tc>
        <w:tc>
          <w:tcPr>
            <w:tcW w:w="851" w:type="dxa"/>
            <w:tcBorders>
              <w:tl2br w:val="nil"/>
              <w:tr2bl w:val="nil"/>
            </w:tcBorders>
            <w:vAlign w:val="center"/>
          </w:tcPr>
          <w:p w14:paraId="2EC199AA">
            <w:pPr>
              <w:jc w:val="center"/>
              <w:rPr>
                <w:rFonts w:hint="eastAsia" w:ascii="宋体" w:hAnsi="宋体" w:cs="宋体"/>
                <w:color w:val="auto"/>
                <w:sz w:val="21"/>
                <w:szCs w:val="21"/>
                <w:highlight w:val="none"/>
              </w:rPr>
            </w:pPr>
          </w:p>
        </w:tc>
      </w:tr>
      <w:tr w14:paraId="039536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728" w:type="dxa"/>
            <w:vMerge w:val="continue"/>
            <w:tcBorders>
              <w:tl2br w:val="nil"/>
              <w:tr2bl w:val="nil"/>
            </w:tcBorders>
            <w:vAlign w:val="center"/>
          </w:tcPr>
          <w:p w14:paraId="4F9ED2DB">
            <w:pPr>
              <w:jc w:val="center"/>
              <w:rPr>
                <w:rFonts w:hint="eastAsia" w:ascii="宋体" w:hAnsi="宋体" w:cs="宋体"/>
                <w:color w:val="auto"/>
                <w:sz w:val="21"/>
                <w:szCs w:val="21"/>
                <w:highlight w:val="none"/>
              </w:rPr>
            </w:pPr>
          </w:p>
        </w:tc>
        <w:tc>
          <w:tcPr>
            <w:tcW w:w="1372" w:type="dxa"/>
            <w:vMerge w:val="continue"/>
            <w:tcBorders>
              <w:tl2br w:val="nil"/>
              <w:tr2bl w:val="nil"/>
            </w:tcBorders>
            <w:vAlign w:val="center"/>
          </w:tcPr>
          <w:p w14:paraId="32ECCA09">
            <w:pPr>
              <w:jc w:val="center"/>
              <w:rPr>
                <w:rFonts w:hint="eastAsia" w:ascii="宋体" w:hAnsi="宋体" w:cs="宋体"/>
                <w:color w:val="auto"/>
                <w:sz w:val="21"/>
                <w:szCs w:val="21"/>
                <w:highlight w:val="none"/>
              </w:rPr>
            </w:pPr>
          </w:p>
        </w:tc>
        <w:tc>
          <w:tcPr>
            <w:tcW w:w="1428" w:type="dxa"/>
            <w:tcBorders>
              <w:tl2br w:val="nil"/>
              <w:tr2bl w:val="nil"/>
            </w:tcBorders>
            <w:vAlign w:val="center"/>
          </w:tcPr>
          <w:p w14:paraId="47867D28">
            <w:pPr>
              <w:jc w:val="center"/>
              <w:rPr>
                <w:rFonts w:hint="eastAsia" w:ascii="宋体" w:hAnsi="宋体" w:cs="宋体"/>
                <w:color w:val="auto"/>
                <w:sz w:val="21"/>
                <w:szCs w:val="21"/>
                <w:highlight w:val="none"/>
              </w:rPr>
            </w:pPr>
          </w:p>
        </w:tc>
        <w:tc>
          <w:tcPr>
            <w:tcW w:w="980" w:type="dxa"/>
            <w:tcBorders>
              <w:tl2br w:val="nil"/>
              <w:tr2bl w:val="nil"/>
            </w:tcBorders>
            <w:vAlign w:val="center"/>
          </w:tcPr>
          <w:p w14:paraId="13EE36AA">
            <w:pPr>
              <w:jc w:val="center"/>
              <w:rPr>
                <w:rFonts w:hint="eastAsia" w:ascii="宋体" w:hAnsi="宋体" w:cs="宋体"/>
                <w:color w:val="auto"/>
                <w:sz w:val="21"/>
                <w:szCs w:val="21"/>
                <w:highlight w:val="none"/>
              </w:rPr>
            </w:pPr>
          </w:p>
        </w:tc>
        <w:tc>
          <w:tcPr>
            <w:tcW w:w="1120" w:type="dxa"/>
            <w:tcBorders>
              <w:tl2br w:val="nil"/>
              <w:tr2bl w:val="nil"/>
            </w:tcBorders>
            <w:vAlign w:val="center"/>
          </w:tcPr>
          <w:p w14:paraId="4E0180EC">
            <w:pPr>
              <w:jc w:val="center"/>
              <w:rPr>
                <w:rFonts w:hint="eastAsia" w:ascii="宋体" w:hAnsi="宋体" w:cs="宋体"/>
                <w:color w:val="auto"/>
                <w:sz w:val="21"/>
                <w:szCs w:val="21"/>
                <w:highlight w:val="none"/>
              </w:rPr>
            </w:pPr>
          </w:p>
        </w:tc>
        <w:tc>
          <w:tcPr>
            <w:tcW w:w="1105" w:type="dxa"/>
            <w:tcBorders>
              <w:tl2br w:val="nil"/>
              <w:tr2bl w:val="nil"/>
            </w:tcBorders>
            <w:vAlign w:val="center"/>
          </w:tcPr>
          <w:p w14:paraId="10303130">
            <w:pPr>
              <w:jc w:val="center"/>
              <w:rPr>
                <w:rFonts w:hint="eastAsia" w:ascii="宋体" w:hAnsi="宋体" w:cs="宋体"/>
                <w:color w:val="auto"/>
                <w:sz w:val="21"/>
                <w:szCs w:val="21"/>
                <w:highlight w:val="none"/>
              </w:rPr>
            </w:pPr>
          </w:p>
        </w:tc>
        <w:tc>
          <w:tcPr>
            <w:tcW w:w="768" w:type="dxa"/>
            <w:tcBorders>
              <w:tl2br w:val="nil"/>
              <w:tr2bl w:val="nil"/>
            </w:tcBorders>
            <w:vAlign w:val="center"/>
          </w:tcPr>
          <w:p w14:paraId="037F8609">
            <w:pPr>
              <w:jc w:val="center"/>
              <w:rPr>
                <w:rFonts w:hint="eastAsia" w:ascii="宋体" w:hAnsi="宋体" w:cs="宋体"/>
                <w:color w:val="auto"/>
                <w:sz w:val="21"/>
                <w:szCs w:val="21"/>
                <w:highlight w:val="none"/>
              </w:rPr>
            </w:pPr>
          </w:p>
        </w:tc>
        <w:tc>
          <w:tcPr>
            <w:tcW w:w="851" w:type="dxa"/>
            <w:tcBorders>
              <w:tl2br w:val="nil"/>
              <w:tr2bl w:val="nil"/>
            </w:tcBorders>
            <w:vAlign w:val="center"/>
          </w:tcPr>
          <w:p w14:paraId="23A4FB60">
            <w:pPr>
              <w:jc w:val="center"/>
              <w:rPr>
                <w:rFonts w:hint="eastAsia" w:ascii="宋体" w:hAnsi="宋体" w:cs="宋体"/>
                <w:color w:val="auto"/>
                <w:sz w:val="21"/>
                <w:szCs w:val="21"/>
                <w:highlight w:val="none"/>
              </w:rPr>
            </w:pPr>
          </w:p>
        </w:tc>
      </w:tr>
      <w:tr w14:paraId="248DC4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728" w:type="dxa"/>
            <w:vMerge w:val="restart"/>
            <w:tcBorders>
              <w:tl2br w:val="nil"/>
              <w:tr2bl w:val="nil"/>
            </w:tcBorders>
            <w:vAlign w:val="center"/>
          </w:tcPr>
          <w:p w14:paraId="170A43D6">
            <w:pPr>
              <w:jc w:val="center"/>
              <w:rPr>
                <w:rFonts w:hint="eastAsia" w:ascii="宋体" w:hAnsi="宋体" w:cs="宋体"/>
                <w:color w:val="auto"/>
                <w:sz w:val="21"/>
                <w:szCs w:val="21"/>
                <w:highlight w:val="none"/>
              </w:rPr>
            </w:pPr>
          </w:p>
        </w:tc>
        <w:tc>
          <w:tcPr>
            <w:tcW w:w="1372" w:type="dxa"/>
            <w:vMerge w:val="restart"/>
            <w:tcBorders>
              <w:tl2br w:val="nil"/>
              <w:tr2bl w:val="nil"/>
            </w:tcBorders>
            <w:vAlign w:val="center"/>
          </w:tcPr>
          <w:p w14:paraId="60D9D424">
            <w:pPr>
              <w:jc w:val="center"/>
              <w:rPr>
                <w:rFonts w:hint="eastAsia" w:ascii="宋体" w:hAnsi="宋体" w:cs="宋体"/>
                <w:color w:val="auto"/>
                <w:sz w:val="21"/>
                <w:szCs w:val="21"/>
                <w:highlight w:val="none"/>
              </w:rPr>
            </w:pPr>
          </w:p>
        </w:tc>
        <w:tc>
          <w:tcPr>
            <w:tcW w:w="1428" w:type="dxa"/>
            <w:tcBorders>
              <w:tl2br w:val="nil"/>
              <w:tr2bl w:val="nil"/>
            </w:tcBorders>
            <w:vAlign w:val="center"/>
          </w:tcPr>
          <w:p w14:paraId="26ADF466">
            <w:pPr>
              <w:jc w:val="center"/>
              <w:rPr>
                <w:rFonts w:hint="eastAsia" w:ascii="宋体" w:hAnsi="宋体" w:cs="宋体"/>
                <w:color w:val="auto"/>
                <w:sz w:val="21"/>
                <w:szCs w:val="21"/>
                <w:highlight w:val="none"/>
              </w:rPr>
            </w:pPr>
          </w:p>
        </w:tc>
        <w:tc>
          <w:tcPr>
            <w:tcW w:w="980" w:type="dxa"/>
            <w:tcBorders>
              <w:tl2br w:val="nil"/>
              <w:tr2bl w:val="nil"/>
            </w:tcBorders>
            <w:vAlign w:val="center"/>
          </w:tcPr>
          <w:p w14:paraId="75348B51">
            <w:pPr>
              <w:jc w:val="center"/>
              <w:rPr>
                <w:rFonts w:hint="eastAsia" w:ascii="宋体" w:hAnsi="宋体" w:cs="宋体"/>
                <w:color w:val="auto"/>
                <w:sz w:val="21"/>
                <w:szCs w:val="21"/>
                <w:highlight w:val="none"/>
              </w:rPr>
            </w:pPr>
          </w:p>
        </w:tc>
        <w:tc>
          <w:tcPr>
            <w:tcW w:w="1120" w:type="dxa"/>
            <w:tcBorders>
              <w:tl2br w:val="nil"/>
              <w:tr2bl w:val="nil"/>
            </w:tcBorders>
            <w:vAlign w:val="center"/>
          </w:tcPr>
          <w:p w14:paraId="07492EE2">
            <w:pPr>
              <w:jc w:val="center"/>
              <w:rPr>
                <w:rFonts w:hint="eastAsia" w:ascii="宋体" w:hAnsi="宋体" w:cs="宋体"/>
                <w:color w:val="auto"/>
                <w:sz w:val="21"/>
                <w:szCs w:val="21"/>
                <w:highlight w:val="none"/>
              </w:rPr>
            </w:pPr>
          </w:p>
        </w:tc>
        <w:tc>
          <w:tcPr>
            <w:tcW w:w="1105" w:type="dxa"/>
            <w:tcBorders>
              <w:tl2br w:val="nil"/>
              <w:tr2bl w:val="nil"/>
            </w:tcBorders>
            <w:vAlign w:val="center"/>
          </w:tcPr>
          <w:p w14:paraId="2DDBD821">
            <w:pPr>
              <w:jc w:val="center"/>
              <w:rPr>
                <w:rFonts w:hint="eastAsia" w:ascii="宋体" w:hAnsi="宋体" w:cs="宋体"/>
                <w:color w:val="auto"/>
                <w:sz w:val="21"/>
                <w:szCs w:val="21"/>
                <w:highlight w:val="none"/>
              </w:rPr>
            </w:pPr>
          </w:p>
        </w:tc>
        <w:tc>
          <w:tcPr>
            <w:tcW w:w="768" w:type="dxa"/>
            <w:tcBorders>
              <w:tl2br w:val="nil"/>
              <w:tr2bl w:val="nil"/>
            </w:tcBorders>
            <w:vAlign w:val="center"/>
          </w:tcPr>
          <w:p w14:paraId="075EA1EF">
            <w:pPr>
              <w:jc w:val="center"/>
              <w:rPr>
                <w:rFonts w:hint="eastAsia" w:ascii="宋体" w:hAnsi="宋体" w:cs="宋体"/>
                <w:color w:val="auto"/>
                <w:sz w:val="21"/>
                <w:szCs w:val="21"/>
                <w:highlight w:val="none"/>
              </w:rPr>
            </w:pPr>
          </w:p>
        </w:tc>
        <w:tc>
          <w:tcPr>
            <w:tcW w:w="851" w:type="dxa"/>
            <w:tcBorders>
              <w:tl2br w:val="nil"/>
              <w:tr2bl w:val="nil"/>
            </w:tcBorders>
            <w:vAlign w:val="center"/>
          </w:tcPr>
          <w:p w14:paraId="71BFF2ED">
            <w:pPr>
              <w:jc w:val="center"/>
              <w:rPr>
                <w:rFonts w:hint="eastAsia" w:ascii="宋体" w:hAnsi="宋体" w:cs="宋体"/>
                <w:color w:val="auto"/>
                <w:sz w:val="21"/>
                <w:szCs w:val="21"/>
                <w:highlight w:val="none"/>
              </w:rPr>
            </w:pPr>
          </w:p>
        </w:tc>
      </w:tr>
      <w:tr w14:paraId="394C3A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728" w:type="dxa"/>
            <w:vMerge w:val="continue"/>
            <w:tcBorders>
              <w:tl2br w:val="nil"/>
              <w:tr2bl w:val="nil"/>
            </w:tcBorders>
            <w:vAlign w:val="center"/>
          </w:tcPr>
          <w:p w14:paraId="5E1E2CB9">
            <w:pPr>
              <w:jc w:val="center"/>
              <w:rPr>
                <w:rFonts w:hint="eastAsia" w:ascii="宋体" w:hAnsi="宋体" w:cs="宋体"/>
                <w:color w:val="auto"/>
                <w:sz w:val="21"/>
                <w:szCs w:val="21"/>
                <w:highlight w:val="none"/>
              </w:rPr>
            </w:pPr>
          </w:p>
        </w:tc>
        <w:tc>
          <w:tcPr>
            <w:tcW w:w="1372" w:type="dxa"/>
            <w:vMerge w:val="continue"/>
            <w:tcBorders>
              <w:tl2br w:val="nil"/>
              <w:tr2bl w:val="nil"/>
            </w:tcBorders>
            <w:vAlign w:val="center"/>
          </w:tcPr>
          <w:p w14:paraId="4A90B328">
            <w:pPr>
              <w:jc w:val="center"/>
              <w:rPr>
                <w:rFonts w:hint="eastAsia" w:ascii="宋体" w:hAnsi="宋体" w:cs="宋体"/>
                <w:color w:val="auto"/>
                <w:sz w:val="21"/>
                <w:szCs w:val="21"/>
                <w:highlight w:val="none"/>
              </w:rPr>
            </w:pPr>
          </w:p>
        </w:tc>
        <w:tc>
          <w:tcPr>
            <w:tcW w:w="1428" w:type="dxa"/>
            <w:tcBorders>
              <w:tl2br w:val="nil"/>
              <w:tr2bl w:val="nil"/>
            </w:tcBorders>
            <w:vAlign w:val="center"/>
          </w:tcPr>
          <w:p w14:paraId="68E3774C">
            <w:pPr>
              <w:jc w:val="center"/>
              <w:rPr>
                <w:rFonts w:hint="eastAsia" w:ascii="宋体" w:hAnsi="宋体" w:cs="宋体"/>
                <w:color w:val="auto"/>
                <w:sz w:val="21"/>
                <w:szCs w:val="21"/>
                <w:highlight w:val="none"/>
              </w:rPr>
            </w:pPr>
          </w:p>
        </w:tc>
        <w:tc>
          <w:tcPr>
            <w:tcW w:w="980" w:type="dxa"/>
            <w:tcBorders>
              <w:tl2br w:val="nil"/>
              <w:tr2bl w:val="nil"/>
            </w:tcBorders>
            <w:vAlign w:val="center"/>
          </w:tcPr>
          <w:p w14:paraId="3B3634D7">
            <w:pPr>
              <w:jc w:val="center"/>
              <w:rPr>
                <w:rFonts w:hint="eastAsia" w:ascii="宋体" w:hAnsi="宋体" w:cs="宋体"/>
                <w:color w:val="auto"/>
                <w:sz w:val="21"/>
                <w:szCs w:val="21"/>
                <w:highlight w:val="none"/>
              </w:rPr>
            </w:pPr>
          </w:p>
        </w:tc>
        <w:tc>
          <w:tcPr>
            <w:tcW w:w="1120" w:type="dxa"/>
            <w:tcBorders>
              <w:tl2br w:val="nil"/>
              <w:tr2bl w:val="nil"/>
            </w:tcBorders>
            <w:vAlign w:val="center"/>
          </w:tcPr>
          <w:p w14:paraId="208F0A25">
            <w:pPr>
              <w:jc w:val="center"/>
              <w:rPr>
                <w:rFonts w:hint="eastAsia" w:ascii="宋体" w:hAnsi="宋体" w:cs="宋体"/>
                <w:color w:val="auto"/>
                <w:sz w:val="21"/>
                <w:szCs w:val="21"/>
                <w:highlight w:val="none"/>
              </w:rPr>
            </w:pPr>
          </w:p>
        </w:tc>
        <w:tc>
          <w:tcPr>
            <w:tcW w:w="1105" w:type="dxa"/>
            <w:tcBorders>
              <w:tl2br w:val="nil"/>
              <w:tr2bl w:val="nil"/>
            </w:tcBorders>
            <w:vAlign w:val="center"/>
          </w:tcPr>
          <w:p w14:paraId="321957D0">
            <w:pPr>
              <w:jc w:val="center"/>
              <w:rPr>
                <w:rFonts w:hint="eastAsia" w:ascii="宋体" w:hAnsi="宋体" w:cs="宋体"/>
                <w:color w:val="auto"/>
                <w:sz w:val="21"/>
                <w:szCs w:val="21"/>
                <w:highlight w:val="none"/>
              </w:rPr>
            </w:pPr>
          </w:p>
        </w:tc>
        <w:tc>
          <w:tcPr>
            <w:tcW w:w="768" w:type="dxa"/>
            <w:tcBorders>
              <w:tl2br w:val="nil"/>
              <w:tr2bl w:val="nil"/>
            </w:tcBorders>
            <w:vAlign w:val="center"/>
          </w:tcPr>
          <w:p w14:paraId="0EF31310">
            <w:pPr>
              <w:jc w:val="center"/>
              <w:rPr>
                <w:rFonts w:hint="eastAsia" w:ascii="宋体" w:hAnsi="宋体" w:cs="宋体"/>
                <w:color w:val="auto"/>
                <w:sz w:val="21"/>
                <w:szCs w:val="21"/>
                <w:highlight w:val="none"/>
              </w:rPr>
            </w:pPr>
          </w:p>
        </w:tc>
        <w:tc>
          <w:tcPr>
            <w:tcW w:w="851" w:type="dxa"/>
            <w:tcBorders>
              <w:tl2br w:val="nil"/>
              <w:tr2bl w:val="nil"/>
            </w:tcBorders>
            <w:vAlign w:val="center"/>
          </w:tcPr>
          <w:p w14:paraId="192AC78F">
            <w:pPr>
              <w:jc w:val="center"/>
              <w:rPr>
                <w:rFonts w:hint="eastAsia" w:ascii="宋体" w:hAnsi="宋体" w:cs="宋体"/>
                <w:color w:val="auto"/>
                <w:sz w:val="21"/>
                <w:szCs w:val="21"/>
                <w:highlight w:val="none"/>
              </w:rPr>
            </w:pPr>
          </w:p>
        </w:tc>
      </w:tr>
      <w:tr w14:paraId="121FA6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728" w:type="dxa"/>
            <w:vMerge w:val="continue"/>
            <w:tcBorders>
              <w:tl2br w:val="nil"/>
              <w:tr2bl w:val="nil"/>
            </w:tcBorders>
            <w:vAlign w:val="center"/>
          </w:tcPr>
          <w:p w14:paraId="475320A4">
            <w:pPr>
              <w:jc w:val="center"/>
              <w:rPr>
                <w:rFonts w:hint="eastAsia" w:ascii="宋体" w:hAnsi="宋体" w:cs="宋体"/>
                <w:color w:val="auto"/>
                <w:sz w:val="21"/>
                <w:szCs w:val="21"/>
                <w:highlight w:val="none"/>
              </w:rPr>
            </w:pPr>
          </w:p>
        </w:tc>
        <w:tc>
          <w:tcPr>
            <w:tcW w:w="1372" w:type="dxa"/>
            <w:vMerge w:val="continue"/>
            <w:tcBorders>
              <w:tl2br w:val="nil"/>
              <w:tr2bl w:val="nil"/>
            </w:tcBorders>
            <w:vAlign w:val="center"/>
          </w:tcPr>
          <w:p w14:paraId="5AD8CBB5">
            <w:pPr>
              <w:jc w:val="center"/>
              <w:rPr>
                <w:rFonts w:hint="eastAsia" w:ascii="宋体" w:hAnsi="宋体" w:cs="宋体"/>
                <w:color w:val="auto"/>
                <w:sz w:val="21"/>
                <w:szCs w:val="21"/>
                <w:highlight w:val="none"/>
              </w:rPr>
            </w:pPr>
          </w:p>
        </w:tc>
        <w:tc>
          <w:tcPr>
            <w:tcW w:w="1428" w:type="dxa"/>
            <w:tcBorders>
              <w:tl2br w:val="nil"/>
              <w:tr2bl w:val="nil"/>
            </w:tcBorders>
            <w:vAlign w:val="center"/>
          </w:tcPr>
          <w:p w14:paraId="596EB446">
            <w:pPr>
              <w:jc w:val="center"/>
              <w:rPr>
                <w:rFonts w:hint="eastAsia" w:ascii="宋体" w:hAnsi="宋体" w:cs="宋体"/>
                <w:color w:val="auto"/>
                <w:sz w:val="21"/>
                <w:szCs w:val="21"/>
                <w:highlight w:val="none"/>
              </w:rPr>
            </w:pPr>
          </w:p>
        </w:tc>
        <w:tc>
          <w:tcPr>
            <w:tcW w:w="980" w:type="dxa"/>
            <w:tcBorders>
              <w:tl2br w:val="nil"/>
              <w:tr2bl w:val="nil"/>
            </w:tcBorders>
            <w:vAlign w:val="center"/>
          </w:tcPr>
          <w:p w14:paraId="6D1798A6">
            <w:pPr>
              <w:jc w:val="center"/>
              <w:rPr>
                <w:rFonts w:hint="eastAsia" w:ascii="宋体" w:hAnsi="宋体" w:cs="宋体"/>
                <w:color w:val="auto"/>
                <w:sz w:val="21"/>
                <w:szCs w:val="21"/>
                <w:highlight w:val="none"/>
              </w:rPr>
            </w:pPr>
          </w:p>
        </w:tc>
        <w:tc>
          <w:tcPr>
            <w:tcW w:w="1120" w:type="dxa"/>
            <w:tcBorders>
              <w:tl2br w:val="nil"/>
              <w:tr2bl w:val="nil"/>
            </w:tcBorders>
            <w:vAlign w:val="center"/>
          </w:tcPr>
          <w:p w14:paraId="64C6759D">
            <w:pPr>
              <w:jc w:val="center"/>
              <w:rPr>
                <w:rFonts w:hint="eastAsia" w:ascii="宋体" w:hAnsi="宋体" w:cs="宋体"/>
                <w:color w:val="auto"/>
                <w:sz w:val="21"/>
                <w:szCs w:val="21"/>
                <w:highlight w:val="none"/>
              </w:rPr>
            </w:pPr>
          </w:p>
        </w:tc>
        <w:tc>
          <w:tcPr>
            <w:tcW w:w="1105" w:type="dxa"/>
            <w:tcBorders>
              <w:tl2br w:val="nil"/>
              <w:tr2bl w:val="nil"/>
            </w:tcBorders>
            <w:vAlign w:val="center"/>
          </w:tcPr>
          <w:p w14:paraId="0ADE1F73">
            <w:pPr>
              <w:jc w:val="center"/>
              <w:rPr>
                <w:rFonts w:hint="eastAsia" w:ascii="宋体" w:hAnsi="宋体" w:cs="宋体"/>
                <w:color w:val="auto"/>
                <w:sz w:val="21"/>
                <w:szCs w:val="21"/>
                <w:highlight w:val="none"/>
              </w:rPr>
            </w:pPr>
          </w:p>
        </w:tc>
        <w:tc>
          <w:tcPr>
            <w:tcW w:w="768" w:type="dxa"/>
            <w:tcBorders>
              <w:tl2br w:val="nil"/>
              <w:tr2bl w:val="nil"/>
            </w:tcBorders>
            <w:vAlign w:val="center"/>
          </w:tcPr>
          <w:p w14:paraId="3158B89B">
            <w:pPr>
              <w:jc w:val="center"/>
              <w:rPr>
                <w:rFonts w:hint="eastAsia" w:ascii="宋体" w:hAnsi="宋体" w:cs="宋体"/>
                <w:color w:val="auto"/>
                <w:sz w:val="21"/>
                <w:szCs w:val="21"/>
                <w:highlight w:val="none"/>
              </w:rPr>
            </w:pPr>
          </w:p>
        </w:tc>
        <w:tc>
          <w:tcPr>
            <w:tcW w:w="851" w:type="dxa"/>
            <w:tcBorders>
              <w:tl2br w:val="nil"/>
              <w:tr2bl w:val="nil"/>
            </w:tcBorders>
            <w:vAlign w:val="center"/>
          </w:tcPr>
          <w:p w14:paraId="73851796">
            <w:pPr>
              <w:jc w:val="center"/>
              <w:rPr>
                <w:rFonts w:hint="eastAsia" w:ascii="宋体" w:hAnsi="宋体" w:cs="宋体"/>
                <w:color w:val="auto"/>
                <w:sz w:val="21"/>
                <w:szCs w:val="21"/>
                <w:highlight w:val="none"/>
              </w:rPr>
            </w:pPr>
          </w:p>
        </w:tc>
      </w:tr>
    </w:tbl>
    <w:p w14:paraId="03A85409">
      <w:pPr>
        <w:spacing w:before="0" w:beforeLines="0" w:after="0" w:afterLines="0" w:line="360" w:lineRule="auto"/>
        <w:rPr>
          <w:rFonts w:hint="eastAsia" w:ascii="宋体" w:hAnsi="宋体" w:eastAsia="宋体" w:cs="宋体"/>
          <w:b/>
          <w:bCs/>
          <w:color w:val="auto"/>
          <w:sz w:val="30"/>
          <w:szCs w:val="30"/>
          <w:highlight w:val="none"/>
        </w:rPr>
      </w:pPr>
      <w:r>
        <w:rPr>
          <w:rFonts w:hint="eastAsia" w:ascii="宋体" w:hAnsi="宋体" w:cs="宋体"/>
          <w:color w:val="auto"/>
          <w:highlight w:val="none"/>
        </w:rPr>
        <w:br w:type="page"/>
      </w:r>
      <w:r>
        <w:rPr>
          <w:rFonts w:hint="eastAsia" w:ascii="宋体" w:hAnsi="宋体" w:cs="宋体"/>
          <w:b/>
          <w:bCs/>
          <w:color w:val="auto"/>
          <w:sz w:val="30"/>
          <w:szCs w:val="30"/>
          <w:highlight w:val="none"/>
          <w:lang w:val="en-US" w:eastAsia="zh-CN"/>
        </w:rPr>
        <w:t>附</w:t>
      </w:r>
      <w:bookmarkStart w:id="98" w:name="_Toc526944936"/>
      <w:bookmarkStart w:id="99" w:name="_Toc343695404"/>
      <w:bookmarkStart w:id="100" w:name="_Toc201065489"/>
      <w:r>
        <w:rPr>
          <w:rFonts w:hint="eastAsia" w:ascii="宋体" w:hAnsi="宋体" w:eastAsia="宋体" w:cs="宋体"/>
          <w:b/>
          <w:bCs/>
          <w:color w:val="auto"/>
          <w:sz w:val="30"/>
          <w:szCs w:val="30"/>
          <w:highlight w:val="none"/>
        </w:rPr>
        <w:t>件8 运行维护手册</w:t>
      </w:r>
      <w:bookmarkEnd w:id="98"/>
      <w:bookmarkEnd w:id="99"/>
      <w:bookmarkEnd w:id="100"/>
    </w:p>
    <w:p w14:paraId="0E8EE2E0">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运行维护手册格式要求如下：</w:t>
      </w:r>
    </w:p>
    <w:p w14:paraId="1585A2E5">
      <w:pPr>
        <w:spacing w:line="360" w:lineRule="auto"/>
        <w:rPr>
          <w:rFonts w:hint="eastAsia" w:ascii="宋体" w:hAnsi="宋体" w:cs="宋体"/>
          <w:color w:val="auto"/>
          <w:highlight w:val="none"/>
        </w:rPr>
      </w:pPr>
    </w:p>
    <w:p w14:paraId="349B7302">
      <w:pPr>
        <w:spacing w:line="360" w:lineRule="auto"/>
        <w:jc w:val="center"/>
        <w:outlineLvl w:val="1"/>
        <w:rPr>
          <w:rFonts w:hint="eastAsia" w:ascii="宋体" w:hAnsi="宋体" w:cs="宋体"/>
          <w:b/>
          <w:color w:val="auto"/>
          <w:sz w:val="44"/>
          <w:szCs w:val="44"/>
          <w:highlight w:val="none"/>
        </w:rPr>
      </w:pPr>
      <w:r>
        <w:rPr>
          <w:rFonts w:hint="eastAsia" w:ascii="宋体" w:hAnsi="宋体" w:cs="宋体"/>
          <w:b/>
          <w:color w:val="auto"/>
          <w:sz w:val="44"/>
          <w:szCs w:val="44"/>
          <w:highlight w:val="none"/>
        </w:rPr>
        <w:t>浙能**工程（项目名称）</w:t>
      </w:r>
    </w:p>
    <w:p w14:paraId="10BD13BC">
      <w:pPr>
        <w:spacing w:line="360" w:lineRule="auto"/>
        <w:rPr>
          <w:rFonts w:hint="eastAsia" w:ascii="宋体" w:hAnsi="宋体" w:cs="宋体"/>
          <w:b/>
          <w:color w:val="auto"/>
          <w:sz w:val="32"/>
          <w:highlight w:val="none"/>
        </w:rPr>
      </w:pPr>
    </w:p>
    <w:p w14:paraId="6636FAF1">
      <w:pPr>
        <w:spacing w:line="360" w:lineRule="auto"/>
        <w:jc w:val="center"/>
        <w:rPr>
          <w:rFonts w:hint="eastAsia" w:ascii="宋体" w:hAnsi="宋体" w:cs="宋体"/>
          <w:b/>
          <w:color w:val="auto"/>
          <w:sz w:val="36"/>
          <w:szCs w:val="36"/>
          <w:highlight w:val="none"/>
        </w:rPr>
      </w:pPr>
      <w:r>
        <w:rPr>
          <w:rFonts w:hint="eastAsia" w:ascii="宋体" w:hAnsi="宋体" w:cs="宋体"/>
          <w:b/>
          <w:color w:val="auto"/>
          <w:sz w:val="36"/>
          <w:szCs w:val="36"/>
          <w:highlight w:val="none"/>
        </w:rPr>
        <w:t>发变组保护装置</w:t>
      </w:r>
    </w:p>
    <w:p w14:paraId="60F6A64D">
      <w:pPr>
        <w:spacing w:line="360" w:lineRule="auto"/>
        <w:jc w:val="both"/>
        <w:rPr>
          <w:rFonts w:hint="eastAsia" w:ascii="宋体" w:hAnsi="宋体" w:cs="宋体"/>
          <w:b/>
          <w:color w:val="auto"/>
          <w:sz w:val="36"/>
          <w:szCs w:val="36"/>
          <w:highlight w:val="none"/>
        </w:rPr>
      </w:pPr>
    </w:p>
    <w:p w14:paraId="2B2F8F10">
      <w:pPr>
        <w:spacing w:line="360" w:lineRule="auto"/>
        <w:jc w:val="center"/>
        <w:rPr>
          <w:rFonts w:hint="eastAsia" w:ascii="宋体" w:hAnsi="宋体" w:cs="宋体"/>
          <w:b/>
          <w:color w:val="auto"/>
          <w:sz w:val="32"/>
          <w:highlight w:val="none"/>
        </w:rPr>
      </w:pPr>
      <w:r>
        <w:rPr>
          <w:rFonts w:hint="eastAsia" w:ascii="宋体" w:hAnsi="宋体" w:cs="宋体"/>
          <w:b/>
          <w:color w:val="auto"/>
          <w:sz w:val="32"/>
          <w:highlight w:val="none"/>
        </w:rPr>
        <w:t xml:space="preserve">运 </w:t>
      </w:r>
      <w:r>
        <w:rPr>
          <w:rFonts w:hint="eastAsia" w:ascii="宋体" w:hAnsi="宋体" w:cs="宋体"/>
          <w:b/>
          <w:color w:val="auto"/>
          <w:sz w:val="32"/>
          <w:highlight w:val="none"/>
          <w:lang w:val="en-US" w:eastAsia="zh-CN"/>
        </w:rPr>
        <w:t xml:space="preserve"> </w:t>
      </w:r>
      <w:r>
        <w:rPr>
          <w:rFonts w:hint="eastAsia" w:ascii="宋体" w:hAnsi="宋体" w:cs="宋体"/>
          <w:b/>
          <w:color w:val="auto"/>
          <w:sz w:val="32"/>
          <w:highlight w:val="none"/>
        </w:rPr>
        <w:t>行  维  护</w:t>
      </w:r>
    </w:p>
    <w:p w14:paraId="0D7A789E">
      <w:pPr>
        <w:spacing w:line="360" w:lineRule="auto"/>
        <w:jc w:val="both"/>
        <w:rPr>
          <w:rFonts w:hint="eastAsia" w:ascii="宋体" w:hAnsi="宋体" w:cs="宋体"/>
          <w:b/>
          <w:color w:val="auto"/>
          <w:sz w:val="32"/>
          <w:highlight w:val="none"/>
        </w:rPr>
      </w:pPr>
    </w:p>
    <w:p w14:paraId="77F14E07">
      <w:pPr>
        <w:spacing w:line="360" w:lineRule="auto"/>
        <w:jc w:val="center"/>
        <w:rPr>
          <w:rFonts w:hint="eastAsia" w:ascii="宋体" w:hAnsi="宋体" w:cs="宋体"/>
          <w:b/>
          <w:color w:val="auto"/>
          <w:sz w:val="32"/>
          <w:highlight w:val="none"/>
        </w:rPr>
      </w:pPr>
      <w:r>
        <w:rPr>
          <w:rFonts w:hint="eastAsia" w:ascii="宋体" w:hAnsi="宋体" w:cs="宋体"/>
          <w:b/>
          <w:color w:val="auto"/>
          <w:sz w:val="32"/>
          <w:highlight w:val="none"/>
        </w:rPr>
        <w:t>手</w:t>
      </w:r>
    </w:p>
    <w:p w14:paraId="69157A6E">
      <w:pPr>
        <w:spacing w:line="360" w:lineRule="auto"/>
        <w:jc w:val="both"/>
        <w:rPr>
          <w:rFonts w:hint="eastAsia" w:ascii="宋体" w:hAnsi="宋体" w:cs="宋体"/>
          <w:b/>
          <w:color w:val="auto"/>
          <w:sz w:val="32"/>
          <w:highlight w:val="none"/>
        </w:rPr>
      </w:pPr>
    </w:p>
    <w:p w14:paraId="5B89B9E7">
      <w:pPr>
        <w:spacing w:line="360" w:lineRule="auto"/>
        <w:jc w:val="center"/>
        <w:rPr>
          <w:rFonts w:hint="eastAsia" w:ascii="宋体" w:hAnsi="宋体" w:cs="宋体"/>
          <w:b/>
          <w:color w:val="auto"/>
          <w:sz w:val="32"/>
          <w:highlight w:val="none"/>
        </w:rPr>
      </w:pPr>
      <w:r>
        <w:rPr>
          <w:rFonts w:hint="eastAsia" w:ascii="宋体" w:hAnsi="宋体" w:cs="宋体"/>
          <w:b/>
          <w:color w:val="auto"/>
          <w:sz w:val="32"/>
          <w:highlight w:val="none"/>
        </w:rPr>
        <w:t>册</w:t>
      </w:r>
    </w:p>
    <w:p w14:paraId="280F5E0B">
      <w:pPr>
        <w:spacing w:line="360" w:lineRule="auto"/>
        <w:jc w:val="both"/>
        <w:rPr>
          <w:rFonts w:hint="eastAsia" w:ascii="宋体" w:hAnsi="宋体" w:cs="宋体"/>
          <w:b/>
          <w:color w:val="auto"/>
          <w:sz w:val="32"/>
          <w:highlight w:val="none"/>
        </w:rPr>
      </w:pPr>
    </w:p>
    <w:p w14:paraId="1C5EBBF9">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要求：一式10套</w:t>
      </w:r>
    </w:p>
    <w:p w14:paraId="1CEA7A49">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纸张：A4</w:t>
      </w:r>
    </w:p>
    <w:p w14:paraId="5FB68D0A">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字体：宋体，小四号</w:t>
      </w:r>
    </w:p>
    <w:p w14:paraId="71D449E4">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行间距：1.5倍</w:t>
      </w:r>
    </w:p>
    <w:p w14:paraId="2B22F9D4">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页边距（mm）：左-30  右-25  上-30  下-40</w:t>
      </w:r>
    </w:p>
    <w:p w14:paraId="08170E46">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页眉：XX设备运行维护手册</w:t>
      </w:r>
    </w:p>
    <w:p w14:paraId="65D0EB52">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注：在正式提交前，先由招标人审定。</w:t>
      </w:r>
    </w:p>
    <w:p w14:paraId="67E35D48">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设备运行和维护手册的目的是能够把全部必要的数据和说明装订成册，这样，运行人员可以较好地查阅和理解最初调试及试运行工作、有效操作以及在正常、事故和异常(非设计情况)下怎样正确操作设备和停机。在提交之前，双方应商定操作和维护手册的形式和内容。</w:t>
      </w:r>
    </w:p>
    <w:p w14:paraId="1C3F0688">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该手册应详细地叙述和说明设备构造，使新来的操作和维护人员能够研究和理解设备的功能的控制方法。</w:t>
      </w:r>
    </w:p>
    <w:p w14:paraId="605DDC74">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手册中应能够快速查阅运行参数、设备说明书、操作、维护和安全程度。</w:t>
      </w:r>
    </w:p>
    <w:p w14:paraId="34A75309">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运行和维护手册应包括，但不限于下述内容：</w:t>
      </w:r>
    </w:p>
    <w:p w14:paraId="059D568D">
      <w:pPr>
        <w:numPr>
          <w:ilvl w:val="-1"/>
          <w:numId w:val="0"/>
        </w:numPr>
        <w:spacing w:line="360" w:lineRule="auto"/>
        <w:ind w:left="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设备概述，包括设备、系统说明、设备结构、功能说明、技术规范等。</w:t>
      </w:r>
    </w:p>
    <w:p w14:paraId="0989AF36">
      <w:pPr>
        <w:numPr>
          <w:ilvl w:val="-1"/>
          <w:numId w:val="0"/>
        </w:numPr>
        <w:spacing w:line="360" w:lineRule="auto"/>
        <w:ind w:left="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设备启动、运行和停运的操作程序及注意事项。</w:t>
      </w:r>
    </w:p>
    <w:p w14:paraId="602F5536">
      <w:pPr>
        <w:numPr>
          <w:ilvl w:val="-1"/>
          <w:numId w:val="0"/>
        </w:numPr>
        <w:spacing w:line="360" w:lineRule="auto"/>
        <w:ind w:left="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rPr>
        <w:t>设备联锁和保护功能说明。</w:t>
      </w:r>
    </w:p>
    <w:p w14:paraId="3583860B">
      <w:pPr>
        <w:numPr>
          <w:ilvl w:val="-1"/>
          <w:numId w:val="0"/>
        </w:numPr>
        <w:spacing w:line="360" w:lineRule="auto"/>
        <w:ind w:left="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rPr>
        <w:t>设备安装、拆卸、维护的程序及注意事项。</w:t>
      </w:r>
    </w:p>
    <w:p w14:paraId="73696799">
      <w:pPr>
        <w:numPr>
          <w:ilvl w:val="-1"/>
          <w:numId w:val="0"/>
        </w:numPr>
        <w:spacing w:line="360" w:lineRule="auto"/>
        <w:ind w:left="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设备零、部件清单，包括名称、图号、规格、材质、制造厂家全称等。</w:t>
      </w:r>
    </w:p>
    <w:p w14:paraId="7735DA0F">
      <w:pPr>
        <w:numPr>
          <w:ilvl w:val="-1"/>
          <w:numId w:val="0"/>
        </w:numPr>
        <w:spacing w:line="360" w:lineRule="auto"/>
        <w:ind w:left="0"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rPr>
        <w:t>设备易损件、消耗性材料清单，包括名称、规格、制造厂家全称等。</w:t>
      </w:r>
    </w:p>
    <w:p w14:paraId="53B2C1FA">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为便于使用和查阅，手册应分成卷，每一卷包括封面的最大厚度为50</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mm。</w:t>
      </w:r>
    </w:p>
    <w:p w14:paraId="6D3D2FC0">
      <w:pPr>
        <w:pStyle w:val="8"/>
        <w:ind w:left="0" w:firstLine="420" w:firstLineChars="200"/>
        <w:rPr>
          <w:rFonts w:hint="eastAsia" w:hAnsi="宋体" w:cs="宋体"/>
          <w:color w:val="auto"/>
          <w:sz w:val="21"/>
          <w:szCs w:val="21"/>
          <w:highlight w:val="none"/>
        </w:rPr>
      </w:pPr>
      <w:r>
        <w:rPr>
          <w:rFonts w:hint="eastAsia" w:hAnsi="宋体" w:cs="宋体"/>
          <w:color w:val="auto"/>
          <w:sz w:val="21"/>
          <w:szCs w:val="21"/>
          <w:highlight w:val="none"/>
        </w:rPr>
        <w:t>每一卷的版式应尽可能地一致，每一部分的系统、设备等描述顺序也应一致。</w:t>
      </w:r>
    </w:p>
    <w:p w14:paraId="1CCB028E">
      <w:pPr>
        <w:spacing w:before="0" w:beforeLines="0" w:after="0" w:afterLines="0" w:line="360" w:lineRule="auto"/>
        <w:rPr>
          <w:rFonts w:hint="eastAsia" w:ascii="宋体" w:hAnsi="宋体" w:eastAsia="宋体" w:cs="宋体"/>
          <w:b/>
          <w:bCs/>
          <w:color w:val="auto"/>
          <w:sz w:val="30"/>
          <w:szCs w:val="30"/>
          <w:highlight w:val="none"/>
        </w:rPr>
      </w:pPr>
      <w:r>
        <w:rPr>
          <w:rFonts w:hint="eastAsia" w:ascii="宋体" w:hAnsi="宋体" w:cs="宋体"/>
          <w:color w:val="auto"/>
          <w:highlight w:val="none"/>
        </w:rPr>
        <w:br w:type="page"/>
      </w:r>
      <w:bookmarkStart w:id="101" w:name="_Toc526944937"/>
      <w:bookmarkStart w:id="102" w:name="_Toc343695405"/>
      <w:r>
        <w:rPr>
          <w:rFonts w:hint="eastAsia" w:ascii="宋体" w:hAnsi="宋体" w:eastAsia="宋体" w:cs="宋体"/>
          <w:b/>
          <w:bCs/>
          <w:color w:val="auto"/>
          <w:sz w:val="30"/>
          <w:szCs w:val="30"/>
          <w:highlight w:val="none"/>
        </w:rPr>
        <w:t>附件9</w:t>
      </w:r>
      <w:r>
        <w:rPr>
          <w:rFonts w:hint="eastAsia" w:ascii="宋体" w:hAnsi="宋体" w:eastAsia="宋体" w:cs="宋体"/>
          <w:b/>
          <w:bCs/>
          <w:color w:val="auto"/>
          <w:sz w:val="30"/>
          <w:szCs w:val="30"/>
          <w:highlight w:val="none"/>
          <w:lang w:eastAsia="zh-CN"/>
        </w:rPr>
        <w:t xml:space="preserve"> </w:t>
      </w:r>
      <w:r>
        <w:rPr>
          <w:rFonts w:hint="eastAsia" w:ascii="宋体" w:hAnsi="宋体" w:eastAsia="宋体" w:cs="宋体"/>
          <w:b/>
          <w:bCs/>
          <w:color w:val="auto"/>
          <w:sz w:val="30"/>
          <w:szCs w:val="30"/>
          <w:highlight w:val="none"/>
        </w:rPr>
        <w:t>大（部）件情况</w:t>
      </w:r>
      <w:bookmarkEnd w:id="101"/>
      <w:bookmarkEnd w:id="102"/>
    </w:p>
    <w:p w14:paraId="6DDC1600">
      <w:pPr>
        <w:spacing w:before="157" w:beforeLines="50" w:after="157" w:afterLines="50"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投标人应把超级超限的情况详细予以说明</w:t>
      </w:r>
    </w:p>
    <w:tbl>
      <w:tblPr>
        <w:tblStyle w:val="18"/>
        <w:tblW w:w="878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60"/>
        <w:gridCol w:w="668"/>
        <w:gridCol w:w="652"/>
        <w:gridCol w:w="1003"/>
        <w:gridCol w:w="1010"/>
        <w:gridCol w:w="895"/>
        <w:gridCol w:w="882"/>
        <w:gridCol w:w="740"/>
        <w:gridCol w:w="1037"/>
        <w:gridCol w:w="740"/>
        <w:gridCol w:w="599"/>
      </w:tblGrid>
      <w:tr w14:paraId="149A0E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560" w:type="dxa"/>
            <w:vMerge w:val="restart"/>
            <w:vAlign w:val="center"/>
          </w:tcPr>
          <w:p w14:paraId="7C183A43">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序号</w:t>
            </w:r>
          </w:p>
        </w:tc>
        <w:tc>
          <w:tcPr>
            <w:tcW w:w="668" w:type="dxa"/>
            <w:vMerge w:val="restart"/>
            <w:vAlign w:val="center"/>
          </w:tcPr>
          <w:p w14:paraId="22091E82">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部件</w:t>
            </w:r>
          </w:p>
          <w:p w14:paraId="4BB36032">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名称</w:t>
            </w:r>
          </w:p>
        </w:tc>
        <w:tc>
          <w:tcPr>
            <w:tcW w:w="652" w:type="dxa"/>
            <w:vMerge w:val="restart"/>
            <w:vAlign w:val="center"/>
          </w:tcPr>
          <w:p w14:paraId="2CA82E08">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数量</w:t>
            </w:r>
          </w:p>
        </w:tc>
        <w:tc>
          <w:tcPr>
            <w:tcW w:w="2013" w:type="dxa"/>
            <w:gridSpan w:val="2"/>
            <w:vAlign w:val="center"/>
          </w:tcPr>
          <w:p w14:paraId="2B66F48F">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长×宽×高</w:t>
            </w:r>
          </w:p>
        </w:tc>
        <w:tc>
          <w:tcPr>
            <w:tcW w:w="1777" w:type="dxa"/>
            <w:gridSpan w:val="2"/>
            <w:vAlign w:val="center"/>
          </w:tcPr>
          <w:p w14:paraId="37686C82">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重量</w:t>
            </w:r>
          </w:p>
        </w:tc>
        <w:tc>
          <w:tcPr>
            <w:tcW w:w="740" w:type="dxa"/>
            <w:vMerge w:val="restart"/>
            <w:vAlign w:val="center"/>
          </w:tcPr>
          <w:p w14:paraId="0E57FB3D">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厂家</w:t>
            </w:r>
          </w:p>
          <w:p w14:paraId="5ACC1EC1">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名称</w:t>
            </w:r>
          </w:p>
        </w:tc>
        <w:tc>
          <w:tcPr>
            <w:tcW w:w="1037" w:type="dxa"/>
            <w:vMerge w:val="restart"/>
            <w:vAlign w:val="center"/>
          </w:tcPr>
          <w:p w14:paraId="3E8BE664">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货物发</w:t>
            </w:r>
          </w:p>
          <w:p w14:paraId="3F236DB6">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运地点</w:t>
            </w:r>
          </w:p>
        </w:tc>
        <w:tc>
          <w:tcPr>
            <w:tcW w:w="740" w:type="dxa"/>
            <w:vMerge w:val="restart"/>
            <w:vAlign w:val="center"/>
          </w:tcPr>
          <w:p w14:paraId="59A81B00">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运输</w:t>
            </w:r>
          </w:p>
          <w:p w14:paraId="7B1A3B0E">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方式</w:t>
            </w:r>
          </w:p>
        </w:tc>
        <w:tc>
          <w:tcPr>
            <w:tcW w:w="599" w:type="dxa"/>
            <w:vMerge w:val="restart"/>
            <w:vAlign w:val="center"/>
          </w:tcPr>
          <w:p w14:paraId="2FC9B75D">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备注</w:t>
            </w:r>
          </w:p>
        </w:tc>
      </w:tr>
      <w:tr w14:paraId="66138D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560" w:type="dxa"/>
            <w:vMerge w:val="continue"/>
            <w:vAlign w:val="center"/>
          </w:tcPr>
          <w:p w14:paraId="7FECD056">
            <w:pPr>
              <w:jc w:val="center"/>
              <w:rPr>
                <w:rFonts w:hint="eastAsia" w:ascii="宋体" w:hAnsi="宋体" w:cs="宋体"/>
                <w:color w:val="auto"/>
                <w:sz w:val="21"/>
                <w:szCs w:val="21"/>
                <w:highlight w:val="none"/>
              </w:rPr>
            </w:pPr>
          </w:p>
        </w:tc>
        <w:tc>
          <w:tcPr>
            <w:tcW w:w="668" w:type="dxa"/>
            <w:vMerge w:val="continue"/>
            <w:vAlign w:val="center"/>
          </w:tcPr>
          <w:p w14:paraId="0491DB29">
            <w:pPr>
              <w:jc w:val="center"/>
              <w:rPr>
                <w:rFonts w:hint="eastAsia" w:ascii="宋体" w:hAnsi="宋体" w:cs="宋体"/>
                <w:color w:val="auto"/>
                <w:sz w:val="21"/>
                <w:szCs w:val="21"/>
                <w:highlight w:val="none"/>
              </w:rPr>
            </w:pPr>
          </w:p>
        </w:tc>
        <w:tc>
          <w:tcPr>
            <w:tcW w:w="652" w:type="dxa"/>
            <w:vMerge w:val="continue"/>
            <w:vAlign w:val="center"/>
          </w:tcPr>
          <w:p w14:paraId="3767C87F">
            <w:pPr>
              <w:jc w:val="center"/>
              <w:rPr>
                <w:rFonts w:hint="eastAsia" w:ascii="宋体" w:hAnsi="宋体" w:cs="宋体"/>
                <w:color w:val="auto"/>
                <w:sz w:val="21"/>
                <w:szCs w:val="21"/>
                <w:highlight w:val="none"/>
              </w:rPr>
            </w:pPr>
          </w:p>
        </w:tc>
        <w:tc>
          <w:tcPr>
            <w:tcW w:w="1003" w:type="dxa"/>
            <w:vAlign w:val="center"/>
          </w:tcPr>
          <w:p w14:paraId="336380CD">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包装</w:t>
            </w:r>
          </w:p>
        </w:tc>
        <w:tc>
          <w:tcPr>
            <w:tcW w:w="1010" w:type="dxa"/>
            <w:vAlign w:val="center"/>
          </w:tcPr>
          <w:p w14:paraId="6EFEBCA8">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未包装</w:t>
            </w:r>
          </w:p>
        </w:tc>
        <w:tc>
          <w:tcPr>
            <w:tcW w:w="895" w:type="dxa"/>
            <w:vAlign w:val="center"/>
          </w:tcPr>
          <w:p w14:paraId="6C579296">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包装</w:t>
            </w:r>
          </w:p>
        </w:tc>
        <w:tc>
          <w:tcPr>
            <w:tcW w:w="882" w:type="dxa"/>
            <w:vAlign w:val="center"/>
          </w:tcPr>
          <w:p w14:paraId="304CE86E">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未包装</w:t>
            </w:r>
          </w:p>
        </w:tc>
        <w:tc>
          <w:tcPr>
            <w:tcW w:w="740" w:type="dxa"/>
            <w:vMerge w:val="continue"/>
            <w:vAlign w:val="center"/>
          </w:tcPr>
          <w:p w14:paraId="50795430">
            <w:pPr>
              <w:jc w:val="center"/>
              <w:rPr>
                <w:rFonts w:hint="eastAsia" w:ascii="宋体" w:hAnsi="宋体" w:cs="宋体"/>
                <w:color w:val="auto"/>
                <w:sz w:val="21"/>
                <w:szCs w:val="21"/>
                <w:highlight w:val="none"/>
              </w:rPr>
            </w:pPr>
          </w:p>
        </w:tc>
        <w:tc>
          <w:tcPr>
            <w:tcW w:w="1037" w:type="dxa"/>
            <w:vMerge w:val="continue"/>
            <w:vAlign w:val="center"/>
          </w:tcPr>
          <w:p w14:paraId="130C4C71">
            <w:pPr>
              <w:jc w:val="center"/>
              <w:rPr>
                <w:rFonts w:hint="eastAsia" w:ascii="宋体" w:hAnsi="宋体" w:cs="宋体"/>
                <w:color w:val="auto"/>
                <w:sz w:val="21"/>
                <w:szCs w:val="21"/>
                <w:highlight w:val="none"/>
              </w:rPr>
            </w:pPr>
          </w:p>
        </w:tc>
        <w:tc>
          <w:tcPr>
            <w:tcW w:w="740" w:type="dxa"/>
            <w:vMerge w:val="continue"/>
            <w:vAlign w:val="center"/>
          </w:tcPr>
          <w:p w14:paraId="56FBDF36">
            <w:pPr>
              <w:jc w:val="center"/>
              <w:rPr>
                <w:rFonts w:hint="eastAsia" w:ascii="宋体" w:hAnsi="宋体" w:cs="宋体"/>
                <w:color w:val="auto"/>
                <w:sz w:val="21"/>
                <w:szCs w:val="21"/>
                <w:highlight w:val="none"/>
              </w:rPr>
            </w:pPr>
          </w:p>
        </w:tc>
        <w:tc>
          <w:tcPr>
            <w:tcW w:w="599" w:type="dxa"/>
            <w:vMerge w:val="continue"/>
            <w:vAlign w:val="center"/>
          </w:tcPr>
          <w:p w14:paraId="520F587A">
            <w:pPr>
              <w:jc w:val="center"/>
              <w:rPr>
                <w:rFonts w:hint="eastAsia" w:ascii="宋体" w:hAnsi="宋体" w:cs="宋体"/>
                <w:color w:val="auto"/>
                <w:sz w:val="21"/>
                <w:szCs w:val="21"/>
                <w:highlight w:val="none"/>
              </w:rPr>
            </w:pPr>
          </w:p>
        </w:tc>
      </w:tr>
      <w:tr w14:paraId="1A4BF7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60" w:type="dxa"/>
            <w:vAlign w:val="center"/>
          </w:tcPr>
          <w:p w14:paraId="1C25DD70">
            <w:pPr>
              <w:jc w:val="center"/>
              <w:rPr>
                <w:rFonts w:hint="eastAsia" w:ascii="宋体" w:hAnsi="宋体" w:cs="宋体"/>
                <w:color w:val="auto"/>
                <w:sz w:val="21"/>
                <w:szCs w:val="21"/>
                <w:highlight w:val="none"/>
              </w:rPr>
            </w:pPr>
          </w:p>
        </w:tc>
        <w:tc>
          <w:tcPr>
            <w:tcW w:w="668" w:type="dxa"/>
            <w:vAlign w:val="center"/>
          </w:tcPr>
          <w:p w14:paraId="6A66FA95">
            <w:pPr>
              <w:jc w:val="center"/>
              <w:rPr>
                <w:rFonts w:hint="eastAsia" w:ascii="宋体" w:hAnsi="宋体" w:cs="宋体"/>
                <w:color w:val="auto"/>
                <w:sz w:val="21"/>
                <w:szCs w:val="21"/>
                <w:highlight w:val="none"/>
              </w:rPr>
            </w:pPr>
          </w:p>
        </w:tc>
        <w:tc>
          <w:tcPr>
            <w:tcW w:w="652" w:type="dxa"/>
            <w:vAlign w:val="center"/>
          </w:tcPr>
          <w:p w14:paraId="73AD9860">
            <w:pPr>
              <w:jc w:val="center"/>
              <w:rPr>
                <w:rFonts w:hint="eastAsia" w:ascii="宋体" w:hAnsi="宋体" w:cs="宋体"/>
                <w:color w:val="auto"/>
                <w:sz w:val="21"/>
                <w:szCs w:val="21"/>
                <w:highlight w:val="none"/>
              </w:rPr>
            </w:pPr>
          </w:p>
        </w:tc>
        <w:tc>
          <w:tcPr>
            <w:tcW w:w="1003" w:type="dxa"/>
            <w:vAlign w:val="center"/>
          </w:tcPr>
          <w:p w14:paraId="03974B89">
            <w:pPr>
              <w:jc w:val="center"/>
              <w:rPr>
                <w:rFonts w:hint="eastAsia" w:ascii="宋体" w:hAnsi="宋体" w:cs="宋体"/>
                <w:color w:val="auto"/>
                <w:sz w:val="21"/>
                <w:szCs w:val="21"/>
                <w:highlight w:val="none"/>
              </w:rPr>
            </w:pPr>
          </w:p>
        </w:tc>
        <w:tc>
          <w:tcPr>
            <w:tcW w:w="1010" w:type="dxa"/>
            <w:vAlign w:val="center"/>
          </w:tcPr>
          <w:p w14:paraId="63F990C9">
            <w:pPr>
              <w:jc w:val="center"/>
              <w:rPr>
                <w:rFonts w:hint="eastAsia" w:ascii="宋体" w:hAnsi="宋体" w:cs="宋体"/>
                <w:color w:val="auto"/>
                <w:sz w:val="21"/>
                <w:szCs w:val="21"/>
                <w:highlight w:val="none"/>
              </w:rPr>
            </w:pPr>
          </w:p>
        </w:tc>
        <w:tc>
          <w:tcPr>
            <w:tcW w:w="895" w:type="dxa"/>
            <w:vAlign w:val="center"/>
          </w:tcPr>
          <w:p w14:paraId="170A41DF">
            <w:pPr>
              <w:jc w:val="center"/>
              <w:rPr>
                <w:rFonts w:hint="eastAsia" w:ascii="宋体" w:hAnsi="宋体" w:cs="宋体"/>
                <w:color w:val="auto"/>
                <w:sz w:val="21"/>
                <w:szCs w:val="21"/>
                <w:highlight w:val="none"/>
              </w:rPr>
            </w:pPr>
          </w:p>
        </w:tc>
        <w:tc>
          <w:tcPr>
            <w:tcW w:w="882" w:type="dxa"/>
            <w:vAlign w:val="center"/>
          </w:tcPr>
          <w:p w14:paraId="1ECE534D">
            <w:pPr>
              <w:jc w:val="center"/>
              <w:rPr>
                <w:rFonts w:hint="eastAsia" w:ascii="宋体" w:hAnsi="宋体" w:cs="宋体"/>
                <w:color w:val="auto"/>
                <w:sz w:val="21"/>
                <w:szCs w:val="21"/>
                <w:highlight w:val="none"/>
              </w:rPr>
            </w:pPr>
          </w:p>
        </w:tc>
        <w:tc>
          <w:tcPr>
            <w:tcW w:w="740" w:type="dxa"/>
            <w:vAlign w:val="center"/>
          </w:tcPr>
          <w:p w14:paraId="05BBA7A2">
            <w:pPr>
              <w:jc w:val="center"/>
              <w:rPr>
                <w:rFonts w:hint="eastAsia" w:ascii="宋体" w:hAnsi="宋体" w:cs="宋体"/>
                <w:color w:val="auto"/>
                <w:sz w:val="21"/>
                <w:szCs w:val="21"/>
                <w:highlight w:val="none"/>
              </w:rPr>
            </w:pPr>
          </w:p>
        </w:tc>
        <w:tc>
          <w:tcPr>
            <w:tcW w:w="1037" w:type="dxa"/>
            <w:vAlign w:val="center"/>
          </w:tcPr>
          <w:p w14:paraId="04695B68">
            <w:pPr>
              <w:jc w:val="center"/>
              <w:rPr>
                <w:rFonts w:hint="eastAsia" w:ascii="宋体" w:hAnsi="宋体" w:cs="宋体"/>
                <w:color w:val="auto"/>
                <w:sz w:val="21"/>
                <w:szCs w:val="21"/>
                <w:highlight w:val="none"/>
              </w:rPr>
            </w:pPr>
          </w:p>
        </w:tc>
        <w:tc>
          <w:tcPr>
            <w:tcW w:w="740" w:type="dxa"/>
            <w:vAlign w:val="center"/>
          </w:tcPr>
          <w:p w14:paraId="05AFCA72">
            <w:pPr>
              <w:jc w:val="center"/>
              <w:rPr>
                <w:rFonts w:hint="eastAsia" w:ascii="宋体" w:hAnsi="宋体" w:cs="宋体"/>
                <w:color w:val="auto"/>
                <w:sz w:val="21"/>
                <w:szCs w:val="21"/>
                <w:highlight w:val="none"/>
              </w:rPr>
            </w:pPr>
          </w:p>
        </w:tc>
        <w:tc>
          <w:tcPr>
            <w:tcW w:w="599" w:type="dxa"/>
            <w:vAlign w:val="center"/>
          </w:tcPr>
          <w:p w14:paraId="103D9E19">
            <w:pPr>
              <w:jc w:val="center"/>
              <w:rPr>
                <w:rFonts w:hint="eastAsia" w:ascii="宋体" w:hAnsi="宋体" w:cs="宋体"/>
                <w:color w:val="auto"/>
                <w:sz w:val="21"/>
                <w:szCs w:val="21"/>
                <w:highlight w:val="none"/>
              </w:rPr>
            </w:pPr>
          </w:p>
        </w:tc>
      </w:tr>
      <w:tr w14:paraId="0BB071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60" w:type="dxa"/>
            <w:vAlign w:val="center"/>
          </w:tcPr>
          <w:p w14:paraId="58D99FE1">
            <w:pPr>
              <w:jc w:val="center"/>
              <w:rPr>
                <w:rFonts w:hint="eastAsia" w:ascii="宋体" w:hAnsi="宋体" w:cs="宋体"/>
                <w:color w:val="auto"/>
                <w:sz w:val="21"/>
                <w:szCs w:val="21"/>
                <w:highlight w:val="none"/>
              </w:rPr>
            </w:pPr>
          </w:p>
        </w:tc>
        <w:tc>
          <w:tcPr>
            <w:tcW w:w="668" w:type="dxa"/>
            <w:vAlign w:val="center"/>
          </w:tcPr>
          <w:p w14:paraId="39C73419">
            <w:pPr>
              <w:jc w:val="center"/>
              <w:rPr>
                <w:rFonts w:hint="eastAsia" w:ascii="宋体" w:hAnsi="宋体" w:cs="宋体"/>
                <w:color w:val="auto"/>
                <w:sz w:val="21"/>
                <w:szCs w:val="21"/>
                <w:highlight w:val="none"/>
              </w:rPr>
            </w:pPr>
          </w:p>
        </w:tc>
        <w:tc>
          <w:tcPr>
            <w:tcW w:w="652" w:type="dxa"/>
            <w:vAlign w:val="center"/>
          </w:tcPr>
          <w:p w14:paraId="56645A31">
            <w:pPr>
              <w:jc w:val="center"/>
              <w:rPr>
                <w:rFonts w:hint="eastAsia" w:ascii="宋体" w:hAnsi="宋体" w:cs="宋体"/>
                <w:color w:val="auto"/>
                <w:sz w:val="21"/>
                <w:szCs w:val="21"/>
                <w:highlight w:val="none"/>
              </w:rPr>
            </w:pPr>
          </w:p>
        </w:tc>
        <w:tc>
          <w:tcPr>
            <w:tcW w:w="1003" w:type="dxa"/>
            <w:vAlign w:val="center"/>
          </w:tcPr>
          <w:p w14:paraId="4F021B97">
            <w:pPr>
              <w:jc w:val="center"/>
              <w:rPr>
                <w:rFonts w:hint="eastAsia" w:ascii="宋体" w:hAnsi="宋体" w:cs="宋体"/>
                <w:color w:val="auto"/>
                <w:sz w:val="21"/>
                <w:szCs w:val="21"/>
                <w:highlight w:val="none"/>
              </w:rPr>
            </w:pPr>
          </w:p>
        </w:tc>
        <w:tc>
          <w:tcPr>
            <w:tcW w:w="1010" w:type="dxa"/>
            <w:vAlign w:val="center"/>
          </w:tcPr>
          <w:p w14:paraId="6EB9586C">
            <w:pPr>
              <w:jc w:val="center"/>
              <w:rPr>
                <w:rFonts w:hint="eastAsia" w:ascii="宋体" w:hAnsi="宋体" w:cs="宋体"/>
                <w:color w:val="auto"/>
                <w:sz w:val="21"/>
                <w:szCs w:val="21"/>
                <w:highlight w:val="none"/>
              </w:rPr>
            </w:pPr>
          </w:p>
        </w:tc>
        <w:tc>
          <w:tcPr>
            <w:tcW w:w="895" w:type="dxa"/>
            <w:vAlign w:val="center"/>
          </w:tcPr>
          <w:p w14:paraId="0CE6AF64">
            <w:pPr>
              <w:jc w:val="center"/>
              <w:rPr>
                <w:rFonts w:hint="eastAsia" w:ascii="宋体" w:hAnsi="宋体" w:cs="宋体"/>
                <w:color w:val="auto"/>
                <w:sz w:val="21"/>
                <w:szCs w:val="21"/>
                <w:highlight w:val="none"/>
              </w:rPr>
            </w:pPr>
          </w:p>
        </w:tc>
        <w:tc>
          <w:tcPr>
            <w:tcW w:w="882" w:type="dxa"/>
            <w:vAlign w:val="center"/>
          </w:tcPr>
          <w:p w14:paraId="6A8E39E4">
            <w:pPr>
              <w:jc w:val="center"/>
              <w:rPr>
                <w:rFonts w:hint="eastAsia" w:ascii="宋体" w:hAnsi="宋体" w:cs="宋体"/>
                <w:color w:val="auto"/>
                <w:sz w:val="21"/>
                <w:szCs w:val="21"/>
                <w:highlight w:val="none"/>
              </w:rPr>
            </w:pPr>
          </w:p>
        </w:tc>
        <w:tc>
          <w:tcPr>
            <w:tcW w:w="740" w:type="dxa"/>
            <w:vAlign w:val="center"/>
          </w:tcPr>
          <w:p w14:paraId="262DF8AB">
            <w:pPr>
              <w:jc w:val="center"/>
              <w:rPr>
                <w:rFonts w:hint="eastAsia" w:ascii="宋体" w:hAnsi="宋体" w:cs="宋体"/>
                <w:color w:val="auto"/>
                <w:sz w:val="21"/>
                <w:szCs w:val="21"/>
                <w:highlight w:val="none"/>
              </w:rPr>
            </w:pPr>
          </w:p>
        </w:tc>
        <w:tc>
          <w:tcPr>
            <w:tcW w:w="1037" w:type="dxa"/>
            <w:vAlign w:val="center"/>
          </w:tcPr>
          <w:p w14:paraId="0D8B1BC4">
            <w:pPr>
              <w:jc w:val="center"/>
              <w:rPr>
                <w:rFonts w:hint="eastAsia" w:ascii="宋体" w:hAnsi="宋体" w:cs="宋体"/>
                <w:color w:val="auto"/>
                <w:sz w:val="21"/>
                <w:szCs w:val="21"/>
                <w:highlight w:val="none"/>
              </w:rPr>
            </w:pPr>
          </w:p>
        </w:tc>
        <w:tc>
          <w:tcPr>
            <w:tcW w:w="740" w:type="dxa"/>
            <w:vAlign w:val="center"/>
          </w:tcPr>
          <w:p w14:paraId="104C5756">
            <w:pPr>
              <w:jc w:val="center"/>
              <w:rPr>
                <w:rFonts w:hint="eastAsia" w:ascii="宋体" w:hAnsi="宋体" w:cs="宋体"/>
                <w:color w:val="auto"/>
                <w:sz w:val="21"/>
                <w:szCs w:val="21"/>
                <w:highlight w:val="none"/>
              </w:rPr>
            </w:pPr>
          </w:p>
        </w:tc>
        <w:tc>
          <w:tcPr>
            <w:tcW w:w="599" w:type="dxa"/>
            <w:vAlign w:val="center"/>
          </w:tcPr>
          <w:p w14:paraId="33B27CE7">
            <w:pPr>
              <w:jc w:val="center"/>
              <w:rPr>
                <w:rFonts w:hint="eastAsia" w:ascii="宋体" w:hAnsi="宋体" w:cs="宋体"/>
                <w:color w:val="auto"/>
                <w:sz w:val="21"/>
                <w:szCs w:val="21"/>
                <w:highlight w:val="none"/>
              </w:rPr>
            </w:pPr>
          </w:p>
        </w:tc>
      </w:tr>
      <w:tr w14:paraId="1D9822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60" w:type="dxa"/>
            <w:vAlign w:val="center"/>
          </w:tcPr>
          <w:p w14:paraId="580F53FF">
            <w:pPr>
              <w:jc w:val="center"/>
              <w:rPr>
                <w:rFonts w:hint="eastAsia" w:ascii="宋体" w:hAnsi="宋体" w:cs="宋体"/>
                <w:color w:val="auto"/>
                <w:sz w:val="21"/>
                <w:szCs w:val="21"/>
                <w:highlight w:val="none"/>
              </w:rPr>
            </w:pPr>
          </w:p>
        </w:tc>
        <w:tc>
          <w:tcPr>
            <w:tcW w:w="668" w:type="dxa"/>
            <w:vAlign w:val="center"/>
          </w:tcPr>
          <w:p w14:paraId="10700710">
            <w:pPr>
              <w:jc w:val="center"/>
              <w:rPr>
                <w:rFonts w:hint="eastAsia" w:ascii="宋体" w:hAnsi="宋体" w:cs="宋体"/>
                <w:color w:val="auto"/>
                <w:sz w:val="21"/>
                <w:szCs w:val="21"/>
                <w:highlight w:val="none"/>
              </w:rPr>
            </w:pPr>
          </w:p>
        </w:tc>
        <w:tc>
          <w:tcPr>
            <w:tcW w:w="652" w:type="dxa"/>
            <w:vAlign w:val="center"/>
          </w:tcPr>
          <w:p w14:paraId="6D323F74">
            <w:pPr>
              <w:jc w:val="center"/>
              <w:rPr>
                <w:rFonts w:hint="eastAsia" w:ascii="宋体" w:hAnsi="宋体" w:cs="宋体"/>
                <w:color w:val="auto"/>
                <w:sz w:val="21"/>
                <w:szCs w:val="21"/>
                <w:highlight w:val="none"/>
              </w:rPr>
            </w:pPr>
          </w:p>
        </w:tc>
        <w:tc>
          <w:tcPr>
            <w:tcW w:w="1003" w:type="dxa"/>
            <w:vAlign w:val="center"/>
          </w:tcPr>
          <w:p w14:paraId="3668D97E">
            <w:pPr>
              <w:jc w:val="center"/>
              <w:rPr>
                <w:rFonts w:hint="eastAsia" w:ascii="宋体" w:hAnsi="宋体" w:cs="宋体"/>
                <w:color w:val="auto"/>
                <w:sz w:val="21"/>
                <w:szCs w:val="21"/>
                <w:highlight w:val="none"/>
              </w:rPr>
            </w:pPr>
          </w:p>
        </w:tc>
        <w:tc>
          <w:tcPr>
            <w:tcW w:w="1010" w:type="dxa"/>
            <w:vAlign w:val="center"/>
          </w:tcPr>
          <w:p w14:paraId="4A78A7E0">
            <w:pPr>
              <w:jc w:val="center"/>
              <w:rPr>
                <w:rFonts w:hint="eastAsia" w:ascii="宋体" w:hAnsi="宋体" w:cs="宋体"/>
                <w:color w:val="auto"/>
                <w:sz w:val="21"/>
                <w:szCs w:val="21"/>
                <w:highlight w:val="none"/>
              </w:rPr>
            </w:pPr>
          </w:p>
        </w:tc>
        <w:tc>
          <w:tcPr>
            <w:tcW w:w="895" w:type="dxa"/>
            <w:vAlign w:val="center"/>
          </w:tcPr>
          <w:p w14:paraId="105F9C9F">
            <w:pPr>
              <w:jc w:val="center"/>
              <w:rPr>
                <w:rFonts w:hint="eastAsia" w:ascii="宋体" w:hAnsi="宋体" w:cs="宋体"/>
                <w:color w:val="auto"/>
                <w:sz w:val="21"/>
                <w:szCs w:val="21"/>
                <w:highlight w:val="none"/>
              </w:rPr>
            </w:pPr>
          </w:p>
        </w:tc>
        <w:tc>
          <w:tcPr>
            <w:tcW w:w="882" w:type="dxa"/>
            <w:vAlign w:val="center"/>
          </w:tcPr>
          <w:p w14:paraId="6D5A63D8">
            <w:pPr>
              <w:jc w:val="center"/>
              <w:rPr>
                <w:rFonts w:hint="eastAsia" w:ascii="宋体" w:hAnsi="宋体" w:cs="宋体"/>
                <w:color w:val="auto"/>
                <w:sz w:val="21"/>
                <w:szCs w:val="21"/>
                <w:highlight w:val="none"/>
              </w:rPr>
            </w:pPr>
          </w:p>
        </w:tc>
        <w:tc>
          <w:tcPr>
            <w:tcW w:w="740" w:type="dxa"/>
            <w:vAlign w:val="center"/>
          </w:tcPr>
          <w:p w14:paraId="06EF9635">
            <w:pPr>
              <w:jc w:val="center"/>
              <w:rPr>
                <w:rFonts w:hint="eastAsia" w:ascii="宋体" w:hAnsi="宋体" w:cs="宋体"/>
                <w:color w:val="auto"/>
                <w:sz w:val="21"/>
                <w:szCs w:val="21"/>
                <w:highlight w:val="none"/>
              </w:rPr>
            </w:pPr>
          </w:p>
        </w:tc>
        <w:tc>
          <w:tcPr>
            <w:tcW w:w="1037" w:type="dxa"/>
            <w:vAlign w:val="center"/>
          </w:tcPr>
          <w:p w14:paraId="09F56B23">
            <w:pPr>
              <w:jc w:val="center"/>
              <w:rPr>
                <w:rFonts w:hint="eastAsia" w:ascii="宋体" w:hAnsi="宋体" w:cs="宋体"/>
                <w:color w:val="auto"/>
                <w:sz w:val="21"/>
                <w:szCs w:val="21"/>
                <w:highlight w:val="none"/>
              </w:rPr>
            </w:pPr>
          </w:p>
        </w:tc>
        <w:tc>
          <w:tcPr>
            <w:tcW w:w="740" w:type="dxa"/>
            <w:vAlign w:val="center"/>
          </w:tcPr>
          <w:p w14:paraId="52652A9D">
            <w:pPr>
              <w:jc w:val="center"/>
              <w:rPr>
                <w:rFonts w:hint="eastAsia" w:ascii="宋体" w:hAnsi="宋体" w:cs="宋体"/>
                <w:color w:val="auto"/>
                <w:sz w:val="21"/>
                <w:szCs w:val="21"/>
                <w:highlight w:val="none"/>
              </w:rPr>
            </w:pPr>
          </w:p>
        </w:tc>
        <w:tc>
          <w:tcPr>
            <w:tcW w:w="599" w:type="dxa"/>
            <w:vAlign w:val="center"/>
          </w:tcPr>
          <w:p w14:paraId="5DB60E4F">
            <w:pPr>
              <w:jc w:val="center"/>
              <w:rPr>
                <w:rFonts w:hint="eastAsia" w:ascii="宋体" w:hAnsi="宋体" w:cs="宋体"/>
                <w:color w:val="auto"/>
                <w:sz w:val="21"/>
                <w:szCs w:val="21"/>
                <w:highlight w:val="none"/>
              </w:rPr>
            </w:pPr>
          </w:p>
        </w:tc>
      </w:tr>
    </w:tbl>
    <w:p w14:paraId="56101076">
      <w:pPr>
        <w:rPr>
          <w:rFonts w:hint="eastAsia" w:ascii="宋体" w:hAnsi="宋体" w:cs="宋体"/>
          <w:color w:val="auto"/>
          <w:sz w:val="21"/>
          <w:szCs w:val="21"/>
          <w:highlight w:val="none"/>
        </w:rPr>
      </w:pPr>
    </w:p>
    <w:p w14:paraId="49794057">
      <w:pPr>
        <w:spacing w:before="0" w:beforeLines="0" w:after="0" w:afterLines="0" w:line="360" w:lineRule="auto"/>
        <w:rPr>
          <w:rFonts w:hint="eastAsia" w:ascii="宋体" w:hAnsi="宋体" w:cs="宋体"/>
          <w:b/>
          <w:bCs/>
          <w:color w:val="auto"/>
          <w:sz w:val="30"/>
          <w:szCs w:val="30"/>
          <w:highlight w:val="none"/>
        </w:rPr>
      </w:pPr>
      <w:r>
        <w:rPr>
          <w:rFonts w:hint="eastAsia" w:ascii="宋体" w:hAnsi="宋体" w:cs="宋体"/>
          <w:color w:val="auto"/>
          <w:highlight w:val="none"/>
        </w:rPr>
        <w:br w:type="page"/>
      </w:r>
      <w:bookmarkStart w:id="103" w:name="_Toc399318779"/>
      <w:bookmarkStart w:id="104" w:name="_Toc517056038"/>
      <w:bookmarkStart w:id="105" w:name="_Toc397131869"/>
      <w:bookmarkStart w:id="106" w:name="_Toc396528069"/>
      <w:bookmarkStart w:id="107" w:name="_Toc397175925"/>
      <w:bookmarkStart w:id="108" w:name="_Toc396988670"/>
      <w:bookmarkStart w:id="109" w:name="_Toc396990284"/>
      <w:bookmarkStart w:id="110" w:name="_Toc343695406"/>
      <w:bookmarkStart w:id="111" w:name="_Toc396529293"/>
      <w:bookmarkStart w:id="112" w:name="_Toc397174654"/>
      <w:bookmarkStart w:id="113" w:name="_Toc396527854"/>
      <w:bookmarkStart w:id="114" w:name="_Toc399326523"/>
      <w:bookmarkStart w:id="115" w:name="_Toc396528500"/>
      <w:bookmarkStart w:id="116" w:name="_Toc526944938"/>
      <w:bookmarkStart w:id="117" w:name="_Toc501940892"/>
      <w:r>
        <w:rPr>
          <w:rFonts w:hint="eastAsia" w:ascii="宋体" w:hAnsi="宋体" w:cs="宋体"/>
          <w:b/>
          <w:bCs/>
          <w:color w:val="auto"/>
          <w:sz w:val="30"/>
          <w:szCs w:val="30"/>
          <w:highlight w:val="none"/>
        </w:rPr>
        <w:t>附件10 技术差异表</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B253377">
      <w:pPr>
        <w:spacing w:line="400" w:lineRule="atLeas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投标人</w:t>
      </w:r>
      <w:r>
        <w:rPr>
          <w:rFonts w:hint="eastAsia" w:ascii="宋体" w:hAnsi="宋体" w:cs="宋体"/>
          <w:color w:val="auto"/>
          <w:sz w:val="21"/>
          <w:szCs w:val="21"/>
          <w:highlight w:val="none"/>
          <w:lang w:val="en-US" w:eastAsia="zh-CN"/>
        </w:rPr>
        <w:t>应</w:t>
      </w:r>
      <w:r>
        <w:rPr>
          <w:rFonts w:hint="eastAsia" w:ascii="宋体" w:hAnsi="宋体" w:cs="宋体"/>
          <w:color w:val="auto"/>
          <w:sz w:val="21"/>
          <w:szCs w:val="21"/>
          <w:highlight w:val="none"/>
        </w:rPr>
        <w:t>将投标文件和</w:t>
      </w:r>
      <w:r>
        <w:rPr>
          <w:rFonts w:hint="eastAsia" w:ascii="宋体" w:hAnsi="宋体" w:cs="宋体"/>
          <w:color w:val="auto"/>
          <w:sz w:val="21"/>
          <w:szCs w:val="21"/>
          <w:highlight w:val="none"/>
          <w:lang w:eastAsia="zh-CN"/>
        </w:rPr>
        <w:t>技术规范书</w:t>
      </w:r>
      <w:r>
        <w:rPr>
          <w:rFonts w:hint="eastAsia" w:ascii="宋体" w:hAnsi="宋体" w:cs="宋体"/>
          <w:color w:val="auto"/>
          <w:sz w:val="21"/>
          <w:szCs w:val="21"/>
          <w:highlight w:val="none"/>
        </w:rPr>
        <w:t>的差异之处汇集成表。技术部分和商务部分</w:t>
      </w:r>
      <w:r>
        <w:rPr>
          <w:rFonts w:hint="eastAsia" w:ascii="宋体" w:hAnsi="宋体" w:cs="宋体"/>
          <w:color w:val="auto"/>
          <w:sz w:val="21"/>
          <w:szCs w:val="21"/>
          <w:highlight w:val="none"/>
          <w:lang w:eastAsia="zh-CN"/>
        </w:rPr>
        <w:t>需</w:t>
      </w:r>
      <w:r>
        <w:rPr>
          <w:rFonts w:hint="eastAsia" w:ascii="宋体" w:hAnsi="宋体" w:cs="宋体"/>
          <w:color w:val="auto"/>
          <w:sz w:val="21"/>
          <w:szCs w:val="21"/>
          <w:highlight w:val="none"/>
        </w:rPr>
        <w:t>单独列表。</w:t>
      </w:r>
    </w:p>
    <w:p w14:paraId="3B2268D8">
      <w:pPr>
        <w:spacing w:line="360" w:lineRule="auto"/>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差异表</w:t>
      </w:r>
    </w:p>
    <w:tbl>
      <w:tblPr>
        <w:tblStyle w:val="18"/>
        <w:tblW w:w="835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0"/>
        <w:gridCol w:w="1830"/>
        <w:gridCol w:w="1830"/>
        <w:gridCol w:w="1830"/>
        <w:gridCol w:w="2022"/>
      </w:tblGrid>
      <w:tr w14:paraId="6EB035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trPr>
        <w:tc>
          <w:tcPr>
            <w:tcW w:w="840" w:type="dxa"/>
            <w:vMerge w:val="restart"/>
            <w:tcBorders>
              <w:tl2br w:val="nil"/>
              <w:tr2bl w:val="nil"/>
            </w:tcBorders>
            <w:vAlign w:val="center"/>
          </w:tcPr>
          <w:p w14:paraId="45BB0BBC">
            <w:pPr>
              <w:spacing w:line="240" w:lineRule="auto"/>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序号</w:t>
            </w:r>
          </w:p>
        </w:tc>
        <w:tc>
          <w:tcPr>
            <w:tcW w:w="3660" w:type="dxa"/>
            <w:gridSpan w:val="2"/>
            <w:tcBorders>
              <w:tl2br w:val="nil"/>
              <w:tr2bl w:val="nil"/>
            </w:tcBorders>
            <w:vAlign w:val="center"/>
          </w:tcPr>
          <w:p w14:paraId="565DDE2A">
            <w:pPr>
              <w:spacing w:line="240" w:lineRule="auto"/>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技术规范书</w:t>
            </w:r>
          </w:p>
        </w:tc>
        <w:tc>
          <w:tcPr>
            <w:tcW w:w="3852" w:type="dxa"/>
            <w:gridSpan w:val="2"/>
            <w:tcBorders>
              <w:tl2br w:val="nil"/>
              <w:tr2bl w:val="nil"/>
            </w:tcBorders>
            <w:vAlign w:val="center"/>
          </w:tcPr>
          <w:p w14:paraId="695A8E1F">
            <w:pPr>
              <w:spacing w:line="240" w:lineRule="auto"/>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投标文件</w:t>
            </w:r>
          </w:p>
        </w:tc>
      </w:tr>
      <w:tr w14:paraId="68F345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trPr>
        <w:tc>
          <w:tcPr>
            <w:tcW w:w="840" w:type="dxa"/>
            <w:vMerge w:val="continue"/>
            <w:tcBorders>
              <w:tl2br w:val="nil"/>
              <w:tr2bl w:val="nil"/>
            </w:tcBorders>
            <w:vAlign w:val="center"/>
          </w:tcPr>
          <w:p w14:paraId="10CFE253">
            <w:pPr>
              <w:spacing w:line="240" w:lineRule="auto"/>
              <w:jc w:val="center"/>
              <w:rPr>
                <w:rFonts w:hint="eastAsia" w:ascii="宋体" w:hAnsi="宋体" w:cs="宋体"/>
                <w:color w:val="auto"/>
                <w:sz w:val="21"/>
                <w:szCs w:val="21"/>
                <w:highlight w:val="none"/>
              </w:rPr>
            </w:pPr>
          </w:p>
        </w:tc>
        <w:tc>
          <w:tcPr>
            <w:tcW w:w="1830" w:type="dxa"/>
            <w:tcBorders>
              <w:tl2br w:val="nil"/>
              <w:tr2bl w:val="nil"/>
            </w:tcBorders>
            <w:vAlign w:val="center"/>
          </w:tcPr>
          <w:p w14:paraId="4B0B38FB">
            <w:pPr>
              <w:spacing w:line="240" w:lineRule="auto"/>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条目</w:t>
            </w:r>
          </w:p>
        </w:tc>
        <w:tc>
          <w:tcPr>
            <w:tcW w:w="1830" w:type="dxa"/>
            <w:tcBorders>
              <w:tl2br w:val="nil"/>
              <w:tr2bl w:val="nil"/>
            </w:tcBorders>
            <w:vAlign w:val="center"/>
          </w:tcPr>
          <w:p w14:paraId="57B5689D">
            <w:pPr>
              <w:spacing w:line="240" w:lineRule="auto"/>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简要内容</w:t>
            </w:r>
          </w:p>
        </w:tc>
        <w:tc>
          <w:tcPr>
            <w:tcW w:w="1830" w:type="dxa"/>
            <w:tcBorders>
              <w:tl2br w:val="nil"/>
              <w:tr2bl w:val="nil"/>
            </w:tcBorders>
            <w:vAlign w:val="center"/>
          </w:tcPr>
          <w:p w14:paraId="0F06A6F0">
            <w:pPr>
              <w:spacing w:line="240" w:lineRule="auto"/>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条目</w:t>
            </w:r>
          </w:p>
        </w:tc>
        <w:tc>
          <w:tcPr>
            <w:tcW w:w="2022" w:type="dxa"/>
            <w:tcBorders>
              <w:tl2br w:val="nil"/>
              <w:tr2bl w:val="nil"/>
            </w:tcBorders>
            <w:vAlign w:val="center"/>
          </w:tcPr>
          <w:p w14:paraId="43BC0963">
            <w:pPr>
              <w:spacing w:line="240" w:lineRule="auto"/>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简要内容</w:t>
            </w:r>
          </w:p>
        </w:tc>
      </w:tr>
      <w:tr w14:paraId="683BC6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840" w:type="dxa"/>
            <w:tcBorders>
              <w:tl2br w:val="nil"/>
              <w:tr2bl w:val="nil"/>
            </w:tcBorders>
            <w:vAlign w:val="center"/>
          </w:tcPr>
          <w:p w14:paraId="267FABF1">
            <w:pPr>
              <w:spacing w:line="240" w:lineRule="auto"/>
              <w:jc w:val="center"/>
              <w:rPr>
                <w:rFonts w:hint="eastAsia" w:ascii="宋体" w:hAnsi="宋体" w:cs="宋体"/>
                <w:color w:val="auto"/>
                <w:sz w:val="21"/>
                <w:szCs w:val="21"/>
                <w:highlight w:val="none"/>
              </w:rPr>
            </w:pPr>
          </w:p>
        </w:tc>
        <w:tc>
          <w:tcPr>
            <w:tcW w:w="1830" w:type="dxa"/>
            <w:tcBorders>
              <w:tl2br w:val="nil"/>
              <w:tr2bl w:val="nil"/>
            </w:tcBorders>
            <w:vAlign w:val="center"/>
          </w:tcPr>
          <w:p w14:paraId="2FB53773">
            <w:pPr>
              <w:spacing w:line="240" w:lineRule="auto"/>
              <w:jc w:val="center"/>
              <w:rPr>
                <w:rFonts w:hint="eastAsia" w:ascii="宋体" w:hAnsi="宋体" w:cs="宋体"/>
                <w:color w:val="auto"/>
                <w:sz w:val="21"/>
                <w:szCs w:val="21"/>
                <w:highlight w:val="none"/>
              </w:rPr>
            </w:pPr>
          </w:p>
        </w:tc>
        <w:tc>
          <w:tcPr>
            <w:tcW w:w="1830" w:type="dxa"/>
            <w:tcBorders>
              <w:tl2br w:val="nil"/>
              <w:tr2bl w:val="nil"/>
            </w:tcBorders>
            <w:vAlign w:val="center"/>
          </w:tcPr>
          <w:p w14:paraId="7E3E3F7D">
            <w:pPr>
              <w:spacing w:line="240" w:lineRule="auto"/>
              <w:jc w:val="center"/>
              <w:rPr>
                <w:rFonts w:hint="eastAsia" w:ascii="宋体" w:hAnsi="宋体" w:cs="宋体"/>
                <w:color w:val="auto"/>
                <w:sz w:val="21"/>
                <w:szCs w:val="21"/>
                <w:highlight w:val="none"/>
              </w:rPr>
            </w:pPr>
          </w:p>
        </w:tc>
        <w:tc>
          <w:tcPr>
            <w:tcW w:w="1830" w:type="dxa"/>
            <w:tcBorders>
              <w:tl2br w:val="nil"/>
              <w:tr2bl w:val="nil"/>
            </w:tcBorders>
            <w:vAlign w:val="center"/>
          </w:tcPr>
          <w:p w14:paraId="0F37EEDF">
            <w:pPr>
              <w:pStyle w:val="10"/>
              <w:spacing w:line="240" w:lineRule="auto"/>
              <w:jc w:val="center"/>
              <w:rPr>
                <w:rFonts w:hint="eastAsia" w:ascii="宋体" w:hAnsi="宋体" w:cs="宋体"/>
                <w:color w:val="auto"/>
                <w:sz w:val="21"/>
                <w:szCs w:val="21"/>
                <w:highlight w:val="none"/>
                <w:lang w:val="en-US" w:eastAsia="zh-CN"/>
              </w:rPr>
            </w:pPr>
          </w:p>
        </w:tc>
        <w:tc>
          <w:tcPr>
            <w:tcW w:w="2022" w:type="dxa"/>
            <w:tcBorders>
              <w:tl2br w:val="nil"/>
              <w:tr2bl w:val="nil"/>
            </w:tcBorders>
            <w:vAlign w:val="center"/>
          </w:tcPr>
          <w:p w14:paraId="2E60B8B9">
            <w:pPr>
              <w:spacing w:line="240" w:lineRule="auto"/>
              <w:jc w:val="center"/>
              <w:rPr>
                <w:rFonts w:hint="eastAsia" w:ascii="宋体" w:hAnsi="宋体" w:cs="宋体"/>
                <w:color w:val="auto"/>
                <w:sz w:val="21"/>
                <w:szCs w:val="21"/>
                <w:highlight w:val="none"/>
              </w:rPr>
            </w:pPr>
          </w:p>
        </w:tc>
      </w:tr>
      <w:tr w14:paraId="245B9F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840" w:type="dxa"/>
            <w:tcBorders>
              <w:tl2br w:val="nil"/>
              <w:tr2bl w:val="nil"/>
            </w:tcBorders>
            <w:vAlign w:val="center"/>
          </w:tcPr>
          <w:p w14:paraId="5F8950B7">
            <w:pPr>
              <w:spacing w:line="240" w:lineRule="auto"/>
              <w:jc w:val="center"/>
              <w:rPr>
                <w:rFonts w:hint="eastAsia" w:ascii="宋体" w:hAnsi="宋体" w:cs="宋体"/>
                <w:color w:val="auto"/>
                <w:sz w:val="21"/>
                <w:szCs w:val="21"/>
                <w:highlight w:val="none"/>
              </w:rPr>
            </w:pPr>
          </w:p>
        </w:tc>
        <w:tc>
          <w:tcPr>
            <w:tcW w:w="1830" w:type="dxa"/>
            <w:tcBorders>
              <w:tl2br w:val="nil"/>
              <w:tr2bl w:val="nil"/>
            </w:tcBorders>
            <w:vAlign w:val="center"/>
          </w:tcPr>
          <w:p w14:paraId="26B46FAF">
            <w:pPr>
              <w:spacing w:line="240" w:lineRule="auto"/>
              <w:jc w:val="center"/>
              <w:rPr>
                <w:rFonts w:hint="eastAsia" w:ascii="宋体" w:hAnsi="宋体" w:cs="宋体"/>
                <w:color w:val="auto"/>
                <w:sz w:val="21"/>
                <w:szCs w:val="21"/>
                <w:highlight w:val="none"/>
              </w:rPr>
            </w:pPr>
          </w:p>
        </w:tc>
        <w:tc>
          <w:tcPr>
            <w:tcW w:w="1830" w:type="dxa"/>
            <w:tcBorders>
              <w:tl2br w:val="nil"/>
              <w:tr2bl w:val="nil"/>
            </w:tcBorders>
            <w:vAlign w:val="center"/>
          </w:tcPr>
          <w:p w14:paraId="3BBEBB5B">
            <w:pPr>
              <w:spacing w:line="240" w:lineRule="auto"/>
              <w:jc w:val="center"/>
              <w:rPr>
                <w:rFonts w:hint="eastAsia" w:ascii="宋体" w:hAnsi="宋体" w:cs="宋体"/>
                <w:color w:val="auto"/>
                <w:sz w:val="21"/>
                <w:szCs w:val="21"/>
                <w:highlight w:val="none"/>
              </w:rPr>
            </w:pPr>
          </w:p>
        </w:tc>
        <w:tc>
          <w:tcPr>
            <w:tcW w:w="1830" w:type="dxa"/>
            <w:tcBorders>
              <w:tl2br w:val="nil"/>
              <w:tr2bl w:val="nil"/>
            </w:tcBorders>
            <w:vAlign w:val="center"/>
          </w:tcPr>
          <w:p w14:paraId="74811644">
            <w:pPr>
              <w:spacing w:line="240" w:lineRule="auto"/>
              <w:jc w:val="center"/>
              <w:rPr>
                <w:rFonts w:hint="eastAsia" w:ascii="宋体" w:hAnsi="宋体" w:cs="宋体"/>
                <w:color w:val="auto"/>
                <w:sz w:val="21"/>
                <w:szCs w:val="21"/>
                <w:highlight w:val="none"/>
              </w:rPr>
            </w:pPr>
          </w:p>
        </w:tc>
        <w:tc>
          <w:tcPr>
            <w:tcW w:w="2022" w:type="dxa"/>
            <w:tcBorders>
              <w:tl2br w:val="nil"/>
              <w:tr2bl w:val="nil"/>
            </w:tcBorders>
            <w:vAlign w:val="center"/>
          </w:tcPr>
          <w:p w14:paraId="1AC06BAA">
            <w:pPr>
              <w:spacing w:line="240" w:lineRule="auto"/>
              <w:jc w:val="center"/>
              <w:rPr>
                <w:rFonts w:hint="eastAsia" w:ascii="宋体" w:hAnsi="宋体" w:cs="宋体"/>
                <w:color w:val="auto"/>
                <w:sz w:val="21"/>
                <w:szCs w:val="21"/>
                <w:highlight w:val="none"/>
              </w:rPr>
            </w:pPr>
          </w:p>
        </w:tc>
      </w:tr>
      <w:tr w14:paraId="3FEDBF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840" w:type="dxa"/>
            <w:tcBorders>
              <w:tl2br w:val="nil"/>
              <w:tr2bl w:val="nil"/>
            </w:tcBorders>
            <w:vAlign w:val="center"/>
          </w:tcPr>
          <w:p w14:paraId="05935B36">
            <w:pPr>
              <w:spacing w:line="240" w:lineRule="auto"/>
              <w:jc w:val="center"/>
              <w:rPr>
                <w:rFonts w:hint="eastAsia" w:ascii="宋体" w:hAnsi="宋体" w:cs="宋体"/>
                <w:color w:val="auto"/>
                <w:sz w:val="21"/>
                <w:szCs w:val="21"/>
                <w:highlight w:val="none"/>
              </w:rPr>
            </w:pPr>
          </w:p>
        </w:tc>
        <w:tc>
          <w:tcPr>
            <w:tcW w:w="1830" w:type="dxa"/>
            <w:tcBorders>
              <w:tl2br w:val="nil"/>
              <w:tr2bl w:val="nil"/>
            </w:tcBorders>
            <w:vAlign w:val="center"/>
          </w:tcPr>
          <w:p w14:paraId="2A356B97">
            <w:pPr>
              <w:spacing w:line="240" w:lineRule="auto"/>
              <w:jc w:val="center"/>
              <w:rPr>
                <w:rFonts w:hint="eastAsia" w:ascii="宋体" w:hAnsi="宋体" w:cs="宋体"/>
                <w:color w:val="auto"/>
                <w:sz w:val="21"/>
                <w:szCs w:val="21"/>
                <w:highlight w:val="none"/>
              </w:rPr>
            </w:pPr>
          </w:p>
        </w:tc>
        <w:tc>
          <w:tcPr>
            <w:tcW w:w="1830" w:type="dxa"/>
            <w:tcBorders>
              <w:tl2br w:val="nil"/>
              <w:tr2bl w:val="nil"/>
            </w:tcBorders>
            <w:vAlign w:val="center"/>
          </w:tcPr>
          <w:p w14:paraId="1B5F0FAC">
            <w:pPr>
              <w:spacing w:line="240" w:lineRule="auto"/>
              <w:jc w:val="center"/>
              <w:rPr>
                <w:rFonts w:hint="eastAsia" w:ascii="宋体" w:hAnsi="宋体" w:cs="宋体"/>
                <w:color w:val="auto"/>
                <w:sz w:val="21"/>
                <w:szCs w:val="21"/>
                <w:highlight w:val="none"/>
              </w:rPr>
            </w:pPr>
          </w:p>
        </w:tc>
        <w:tc>
          <w:tcPr>
            <w:tcW w:w="1830" w:type="dxa"/>
            <w:tcBorders>
              <w:tl2br w:val="nil"/>
              <w:tr2bl w:val="nil"/>
            </w:tcBorders>
            <w:vAlign w:val="center"/>
          </w:tcPr>
          <w:p w14:paraId="6320EE58">
            <w:pPr>
              <w:spacing w:line="240" w:lineRule="auto"/>
              <w:jc w:val="center"/>
              <w:rPr>
                <w:rFonts w:hint="eastAsia" w:ascii="宋体" w:hAnsi="宋体" w:cs="宋体"/>
                <w:color w:val="auto"/>
                <w:sz w:val="21"/>
                <w:szCs w:val="21"/>
                <w:highlight w:val="none"/>
              </w:rPr>
            </w:pPr>
          </w:p>
        </w:tc>
        <w:tc>
          <w:tcPr>
            <w:tcW w:w="2022" w:type="dxa"/>
            <w:tcBorders>
              <w:tl2br w:val="nil"/>
              <w:tr2bl w:val="nil"/>
            </w:tcBorders>
            <w:vAlign w:val="center"/>
          </w:tcPr>
          <w:p w14:paraId="0F33C3E6">
            <w:pPr>
              <w:spacing w:line="240" w:lineRule="auto"/>
              <w:jc w:val="center"/>
              <w:rPr>
                <w:rFonts w:hint="eastAsia" w:ascii="宋体" w:hAnsi="宋体" w:cs="宋体"/>
                <w:color w:val="auto"/>
                <w:sz w:val="21"/>
                <w:szCs w:val="21"/>
                <w:highlight w:val="none"/>
              </w:rPr>
            </w:pPr>
          </w:p>
        </w:tc>
      </w:tr>
    </w:tbl>
    <w:p w14:paraId="20EF10C8">
      <w:pPr>
        <w:rPr>
          <w:rFonts w:hint="eastAsia" w:ascii="宋体" w:hAnsi="宋体" w:cs="宋体"/>
          <w:color w:val="auto"/>
          <w:highlight w:val="none"/>
        </w:rPr>
      </w:pPr>
    </w:p>
    <w:p w14:paraId="06C80DE1">
      <w:pPr>
        <w:spacing w:before="0" w:beforeLines="0" w:after="0" w:afterLines="0" w:line="360" w:lineRule="auto"/>
        <w:rPr>
          <w:rFonts w:hint="eastAsia" w:ascii="宋体" w:hAnsi="宋体" w:eastAsia="宋体" w:cs="宋体"/>
          <w:b/>
          <w:bCs/>
          <w:color w:val="auto"/>
          <w:sz w:val="30"/>
          <w:szCs w:val="30"/>
          <w:highlight w:val="none"/>
        </w:rPr>
      </w:pPr>
      <w:r>
        <w:rPr>
          <w:rFonts w:hint="eastAsia" w:ascii="宋体" w:hAnsi="宋体" w:cs="宋体"/>
          <w:color w:val="auto"/>
          <w:highlight w:val="none"/>
        </w:rPr>
        <w:br w:type="page"/>
      </w:r>
      <w:bookmarkStart w:id="118" w:name="_Toc517056044"/>
      <w:bookmarkStart w:id="119" w:name="_Toc343695407"/>
      <w:bookmarkStart w:id="120" w:name="_Toc526944939"/>
      <w:r>
        <w:rPr>
          <w:rFonts w:hint="eastAsia" w:ascii="宋体" w:hAnsi="宋体" w:cs="宋体"/>
          <w:b/>
          <w:bCs/>
          <w:color w:val="auto"/>
          <w:sz w:val="30"/>
          <w:szCs w:val="30"/>
          <w:highlight w:val="none"/>
        </w:rPr>
        <w:t>附件</w:t>
      </w:r>
      <w:bookmarkEnd w:id="118"/>
      <w:r>
        <w:rPr>
          <w:rFonts w:hint="eastAsia" w:ascii="宋体" w:hAnsi="宋体" w:cs="宋体"/>
          <w:b/>
          <w:bCs/>
          <w:color w:val="auto"/>
          <w:sz w:val="30"/>
          <w:szCs w:val="30"/>
          <w:highlight w:val="none"/>
        </w:rPr>
        <w:t>11 附图</w:t>
      </w:r>
      <w:bookmarkEnd w:id="119"/>
      <w:bookmarkEnd w:id="120"/>
    </w:p>
    <w:p w14:paraId="7B9C7540">
      <w:pPr>
        <w:spacing w:before="157" w:beforeLines="50" w:after="157" w:afterLines="50" w:line="360" w:lineRule="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附图1：</w:t>
      </w:r>
      <w:r>
        <w:rPr>
          <w:rFonts w:hint="eastAsia" w:ascii="宋体" w:hAnsi="宋体" w:cs="宋体"/>
          <w:color w:val="auto"/>
          <w:sz w:val="21"/>
          <w:szCs w:val="21"/>
          <w:highlight w:val="none"/>
          <w:lang w:val="en-US" w:eastAsia="zh-CN"/>
        </w:rPr>
        <w:t>1号发变组</w:t>
      </w:r>
      <w:r>
        <w:rPr>
          <w:rFonts w:hint="eastAsia" w:ascii="宋体" w:hAnsi="宋体" w:cs="宋体"/>
          <w:color w:val="auto"/>
          <w:sz w:val="21"/>
          <w:szCs w:val="21"/>
          <w:highlight w:val="none"/>
        </w:rPr>
        <w:t>保护配置图</w:t>
      </w:r>
    </w:p>
    <w:p w14:paraId="14E45D97">
      <w:pPr>
        <w:spacing w:line="360" w:lineRule="auto"/>
        <w:rPr>
          <w:rFonts w:hint="eastAsia" w:ascii="宋体" w:hAnsi="宋体" w:cs="宋体"/>
          <w:color w:val="auto"/>
          <w:highlight w:val="none"/>
        </w:rPr>
      </w:pPr>
      <w:r>
        <w:rPr>
          <w:rFonts w:hint="eastAsia" w:ascii="宋体" w:hAnsi="宋体" w:cs="宋体"/>
          <w:color w:val="auto"/>
          <w:highlight w:val="none"/>
        </w:rPr>
        <w:object>
          <v:shape id="_x0000_i1025" o:spt="75" type="#_x0000_t75" style="height:66pt;width:72.75pt;" o:ole="t" filled="f" o:preferrelative="t" stroked="f" coordsize="21600,21600">
            <v:path/>
            <v:fill on="f" focussize="0,0"/>
            <v:stroke on="f"/>
            <v:imagedata r:id="rId5" o:title=""/>
            <o:lock v:ext="edit" aspectratio="t"/>
            <w10:wrap type="none"/>
            <w10:anchorlock/>
          </v:shape>
          <o:OLEObject Type="Embed" ProgID="ZWCAD.Drawing.2019" ShapeID="_x0000_i1025" DrawAspect="Icon" ObjectID="_1468075725" r:id="rId4">
            <o:LockedField>false</o:LockedField>
          </o:OLEObject>
        </w:object>
      </w:r>
    </w:p>
    <w:p w14:paraId="741EDFE1">
      <w:pPr>
        <w:spacing w:line="360" w:lineRule="auto"/>
        <w:rPr>
          <w:rFonts w:hint="eastAsia" w:ascii="宋体" w:hAnsi="宋体" w:cs="宋体"/>
          <w:color w:val="auto"/>
          <w:sz w:val="32"/>
          <w:szCs w:val="32"/>
          <w:highlight w:val="none"/>
        </w:rPr>
      </w:pPr>
      <w:r>
        <w:rPr>
          <w:rFonts w:hint="eastAsia" w:ascii="宋体" w:hAnsi="宋体" w:cs="宋体"/>
          <w:color w:val="auto"/>
          <w:highlight w:val="none"/>
        </w:rPr>
        <w:br w:type="page"/>
      </w:r>
      <w:bookmarkStart w:id="121" w:name="_Toc343695408"/>
      <w:bookmarkStart w:id="122" w:name="_Toc526944940"/>
      <w:r>
        <w:rPr>
          <w:rFonts w:hint="eastAsia" w:ascii="宋体" w:hAnsi="宋体" w:cs="宋体"/>
          <w:b/>
          <w:bCs/>
          <w:color w:val="auto"/>
          <w:sz w:val="30"/>
          <w:szCs w:val="30"/>
          <w:highlight w:val="none"/>
        </w:rPr>
        <w:t>附件12 性能考核条款</w:t>
      </w:r>
      <w:bookmarkEnd w:id="121"/>
      <w:bookmarkEnd w:id="122"/>
    </w:p>
    <w:p w14:paraId="0A04D7E0">
      <w:pPr>
        <w:keepNext w:val="0"/>
        <w:keepLines w:val="0"/>
        <w:pageBreakBefore w:val="0"/>
        <w:widowControl w:val="0"/>
        <w:numPr>
          <w:ilvl w:val="-1"/>
          <w:numId w:val="0"/>
        </w:numPr>
        <w:tabs>
          <w:tab w:val="left" w:pos="0"/>
        </w:tabs>
        <w:spacing w:line="360" w:lineRule="auto"/>
        <w:ind w:left="0"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 xml:space="preserve">1 </w:t>
      </w:r>
      <w:r>
        <w:rPr>
          <w:rFonts w:hint="eastAsia" w:ascii="宋体" w:hAnsi="宋体" w:eastAsia="宋体" w:cs="宋体"/>
          <w:color w:val="auto"/>
          <w:kern w:val="0"/>
          <w:sz w:val="21"/>
          <w:szCs w:val="21"/>
          <w:highlight w:val="none"/>
        </w:rPr>
        <w:t>投标人所提供的产品应达到技术协议所要求的技术指标，如未达到，投标人应支付该分项合同设备价3%/项的违约金，并且投标人接到招标人通知后一周内免费调试或免费更换，直至满足性能要求。</w:t>
      </w:r>
    </w:p>
    <w:p w14:paraId="665F289F">
      <w:pPr>
        <w:pStyle w:val="5"/>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 xml:space="preserve">2 </w:t>
      </w:r>
      <w:r>
        <w:rPr>
          <w:rFonts w:hint="eastAsia" w:ascii="宋体" w:hAnsi="宋体" w:eastAsia="宋体" w:cs="宋体"/>
          <w:color w:val="auto"/>
          <w:sz w:val="21"/>
          <w:szCs w:val="21"/>
          <w:highlight w:val="none"/>
        </w:rPr>
        <w:t>由于投标人原因，影响系统的安装与调试整体项目进度，每推迟一天投入运行扣除合同金额的0.1%。</w:t>
      </w:r>
    </w:p>
    <w:p w14:paraId="59CD566F">
      <w:pPr>
        <w:pStyle w:val="5"/>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 xml:space="preserve">3 </w:t>
      </w:r>
      <w:r>
        <w:rPr>
          <w:rFonts w:hint="eastAsia" w:ascii="宋体" w:hAnsi="宋体" w:cs="宋体"/>
          <w:color w:val="auto"/>
          <w:sz w:val="21"/>
          <w:szCs w:val="21"/>
          <w:highlight w:val="none"/>
        </w:rPr>
        <w:t>质保期内因投标人设备质量原因发生保护拒动或误动的，投标人免费整改至满足技术规范书的要求并按每次5万人民币的支付违约金。</w:t>
      </w:r>
    </w:p>
    <w:p w14:paraId="7AEA7737">
      <w:pPr>
        <w:keepNext w:val="0"/>
        <w:keepLines w:val="0"/>
        <w:pageBreakBefore w:val="0"/>
        <w:widowControl w:val="0"/>
        <w:numPr>
          <w:ilvl w:val="-1"/>
          <w:numId w:val="0"/>
        </w:numPr>
        <w:tabs>
          <w:tab w:val="left" w:pos="0"/>
        </w:tabs>
        <w:spacing w:line="360" w:lineRule="auto"/>
        <w:ind w:left="0"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 xml:space="preserve">4 </w:t>
      </w:r>
      <w:r>
        <w:rPr>
          <w:rFonts w:hint="eastAsia" w:ascii="宋体" w:hAnsi="宋体" w:eastAsia="宋体" w:cs="宋体"/>
          <w:color w:val="auto"/>
          <w:kern w:val="0"/>
          <w:sz w:val="21"/>
          <w:szCs w:val="21"/>
          <w:highlight w:val="none"/>
        </w:rPr>
        <w:t>设备发生故障，从通知之日起投标人在二周内仍未能将其消除故障，以致影响调试工期，投标人除必须继续工作直至故障消除外，并承担所发生的一切费用，同时支付合同价2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的违约金。</w:t>
      </w:r>
    </w:p>
    <w:p w14:paraId="1B7BFDAA">
      <w:pPr>
        <w:keepNext w:val="0"/>
        <w:keepLines w:val="0"/>
        <w:pageBreakBefore w:val="0"/>
        <w:widowControl w:val="0"/>
        <w:numPr>
          <w:ilvl w:val="-1"/>
          <w:numId w:val="0"/>
        </w:numPr>
        <w:tabs>
          <w:tab w:val="left" w:pos="0"/>
        </w:tabs>
        <w:spacing w:line="360" w:lineRule="auto"/>
        <w:ind w:left="0"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 xml:space="preserve">5 </w:t>
      </w:r>
      <w:r>
        <w:rPr>
          <w:rFonts w:hint="eastAsia" w:ascii="宋体" w:hAnsi="宋体" w:eastAsia="宋体" w:cs="宋体"/>
          <w:color w:val="auto"/>
          <w:kern w:val="0"/>
          <w:sz w:val="21"/>
          <w:szCs w:val="21"/>
          <w:highlight w:val="none"/>
        </w:rPr>
        <w:t>整套合同设备按照以上各项累积计算的最大违约金总金额将不超过每套合同设备总价的30</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。投标人支付全部违约金后，投标人仍应免费调试或免费更换，直至满足性能要求。</w:t>
      </w:r>
    </w:p>
    <w:p w14:paraId="3ACA16AB">
      <w:pPr>
        <w:keepNext w:val="0"/>
        <w:keepLines w:val="0"/>
        <w:pageBreakBefore w:val="0"/>
        <w:widowControl w:val="0"/>
        <w:numPr>
          <w:ilvl w:val="-1"/>
          <w:numId w:val="0"/>
        </w:numPr>
        <w:tabs>
          <w:tab w:val="left" w:pos="0"/>
        </w:tabs>
        <w:spacing w:line="360" w:lineRule="auto"/>
        <w:ind w:left="0"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 xml:space="preserve">6 </w:t>
      </w:r>
      <w:r>
        <w:rPr>
          <w:rFonts w:hint="eastAsia" w:ascii="宋体" w:hAnsi="宋体" w:eastAsia="宋体" w:cs="宋体"/>
          <w:color w:val="auto"/>
          <w:kern w:val="0"/>
          <w:sz w:val="21"/>
          <w:szCs w:val="21"/>
          <w:highlight w:val="none"/>
        </w:rPr>
        <w:t>设备及其部件在质保期内不允许发生因设备及其部件原因而导致的强迫停运，同时在要求的设备设计寿命期内也不因改造设备原因发生强迫停运，否则，投标人应采取措施消除存在的问题，并按每发生一次，扣除合同总价的2%。</w:t>
      </w:r>
    </w:p>
    <w:p w14:paraId="79D0FF17">
      <w:pPr>
        <w:keepNext w:val="0"/>
        <w:keepLines w:val="0"/>
        <w:pageBreakBefore w:val="0"/>
        <w:widowControl w:val="0"/>
        <w:numPr>
          <w:ilvl w:val="-1"/>
          <w:numId w:val="0"/>
        </w:numPr>
        <w:tabs>
          <w:tab w:val="left" w:pos="0"/>
        </w:tabs>
        <w:spacing w:line="360" w:lineRule="auto"/>
        <w:ind w:left="0"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 xml:space="preserve">7 </w:t>
      </w:r>
      <w:r>
        <w:rPr>
          <w:rFonts w:hint="eastAsia" w:ascii="宋体" w:hAnsi="宋体" w:eastAsia="宋体" w:cs="宋体"/>
          <w:color w:val="auto"/>
          <w:kern w:val="0"/>
          <w:sz w:val="21"/>
          <w:szCs w:val="21"/>
          <w:highlight w:val="none"/>
        </w:rPr>
        <w:t>设备如达不到设计要求，投标人必须负责重新设计及免费更换，期间产生的一切费用由投标人负责。</w:t>
      </w:r>
    </w:p>
    <w:p w14:paraId="4F863A5B">
      <w:pPr>
        <w:keepNext w:val="0"/>
        <w:keepLines w:val="0"/>
        <w:pageBreakBefore w:val="0"/>
        <w:widowControl w:val="0"/>
        <w:numPr>
          <w:ilvl w:val="-1"/>
          <w:numId w:val="0"/>
        </w:numPr>
        <w:tabs>
          <w:tab w:val="left" w:pos="0"/>
        </w:tabs>
        <w:spacing w:line="360" w:lineRule="auto"/>
        <w:ind w:left="0"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 xml:space="preserve">8 </w:t>
      </w:r>
      <w:r>
        <w:rPr>
          <w:rFonts w:hint="eastAsia" w:ascii="宋体" w:hAnsi="宋体" w:eastAsia="宋体" w:cs="宋体"/>
          <w:color w:val="auto"/>
          <w:kern w:val="0"/>
          <w:sz w:val="21"/>
          <w:szCs w:val="21"/>
          <w:highlight w:val="none"/>
        </w:rPr>
        <w:t>标的物不得选用国家已宣布淘汰的产品或元件。若在交货的标的物内含有国家已宣布淘汰的品名或元件，投标人应无条件退货或及时免费更换。</w:t>
      </w:r>
    </w:p>
    <w:p w14:paraId="0E37C4AC">
      <w:pPr>
        <w:keepNext w:val="0"/>
        <w:keepLines w:val="0"/>
        <w:pageBreakBefore w:val="0"/>
        <w:widowControl w:val="0"/>
        <w:numPr>
          <w:ilvl w:val="-1"/>
          <w:numId w:val="0"/>
        </w:numPr>
        <w:tabs>
          <w:tab w:val="left" w:pos="0"/>
        </w:tabs>
        <w:spacing w:line="360" w:lineRule="auto"/>
        <w:ind w:left="0"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 xml:space="preserve">9 </w:t>
      </w:r>
      <w:r>
        <w:rPr>
          <w:rFonts w:hint="eastAsia" w:ascii="宋体" w:hAnsi="宋体" w:eastAsia="宋体" w:cs="宋体"/>
          <w:color w:val="auto"/>
          <w:kern w:val="0"/>
          <w:sz w:val="21"/>
          <w:szCs w:val="21"/>
          <w:highlight w:val="none"/>
        </w:rPr>
        <w:t>如在安装和试运期间发现部件缺陷、损坏情况，在经证实设备储存安装、维护和运行符合要求时，投标人应尽快免费更换。</w:t>
      </w:r>
    </w:p>
    <w:p w14:paraId="7B29DCA0">
      <w:pPr>
        <w:keepNext w:val="0"/>
        <w:keepLines w:val="0"/>
        <w:pageBreakBefore w:val="0"/>
        <w:widowControl w:val="0"/>
        <w:numPr>
          <w:ilvl w:val="-1"/>
          <w:numId w:val="0"/>
        </w:numPr>
        <w:tabs>
          <w:tab w:val="left" w:pos="0"/>
        </w:tabs>
        <w:spacing w:line="360" w:lineRule="auto"/>
        <w:ind w:left="0"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 xml:space="preserve">10 </w:t>
      </w:r>
      <w:r>
        <w:rPr>
          <w:rFonts w:hint="eastAsia" w:ascii="宋体" w:hAnsi="宋体" w:cs="宋体"/>
          <w:color w:val="auto"/>
          <w:kern w:val="0"/>
          <w:sz w:val="21"/>
          <w:szCs w:val="21"/>
          <w:highlight w:val="none"/>
          <w:lang w:eastAsia="zh-CN"/>
        </w:rPr>
        <w:t>招标人</w:t>
      </w:r>
      <w:r>
        <w:rPr>
          <w:rFonts w:hint="eastAsia" w:ascii="宋体" w:hAnsi="宋体" w:eastAsia="宋体" w:cs="宋体"/>
          <w:color w:val="auto"/>
          <w:kern w:val="0"/>
          <w:sz w:val="21"/>
          <w:szCs w:val="21"/>
          <w:highlight w:val="none"/>
        </w:rPr>
        <w:t>应在开工前对施工人员进行安全和现场文明生产的教育，施工现场应符合GB26164.1《电业安全工作规程</w:t>
      </w:r>
      <w:r>
        <w:rPr>
          <w:rFonts w:hint="eastAsia" w:ascii="宋体" w:hAnsi="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rPr>
        <w:t>第1部分》及Q/ZNYD 2070《外包工程安全管理规定》中的相关要求，如有违反，应按《外包工程安全管理规定》及乐清电厂设备管理部《检修质量及进度考核》中的规定进行考核，表内的“考核者”指的是</w:t>
      </w:r>
      <w:r>
        <w:rPr>
          <w:rFonts w:hint="eastAsia" w:ascii="宋体" w:hAnsi="宋体" w:cs="宋体"/>
          <w:color w:val="auto"/>
          <w:kern w:val="0"/>
          <w:sz w:val="21"/>
          <w:szCs w:val="21"/>
          <w:highlight w:val="none"/>
          <w:lang w:eastAsia="zh-CN"/>
        </w:rPr>
        <w:t>招标人</w:t>
      </w:r>
      <w:r>
        <w:rPr>
          <w:rFonts w:hint="eastAsia" w:ascii="宋体" w:hAnsi="宋体" w:eastAsia="宋体" w:cs="宋体"/>
          <w:color w:val="auto"/>
          <w:kern w:val="0"/>
          <w:sz w:val="21"/>
          <w:szCs w:val="21"/>
          <w:highlight w:val="none"/>
        </w:rPr>
        <w:t>管理机构或人员。涉及生产现场考核内容按《生产现场考核标准》进行。现场服务安全要求参照《承发包项目安全管理实施细则》、《个人安全绩效考核办法》等乐清电厂相关制度。</w:t>
      </w:r>
    </w:p>
    <w:p w14:paraId="279DF15E">
      <w:pPr>
        <w:keepNext w:val="0"/>
        <w:keepLines w:val="0"/>
        <w:pageBreakBefore w:val="0"/>
        <w:widowControl w:val="0"/>
        <w:numPr>
          <w:ilvl w:val="-1"/>
          <w:numId w:val="0"/>
        </w:numPr>
        <w:tabs>
          <w:tab w:val="left" w:pos="0"/>
        </w:tabs>
        <w:spacing w:line="360" w:lineRule="auto"/>
        <w:ind w:left="0" w:firstLine="420" w:firstLineChars="200"/>
        <w:outlineLvl w:val="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 xml:space="preserve">11 </w:t>
      </w:r>
      <w:r>
        <w:rPr>
          <w:rFonts w:hint="eastAsia" w:ascii="宋体" w:hAnsi="宋体" w:eastAsia="宋体" w:cs="宋体"/>
          <w:color w:val="auto"/>
          <w:kern w:val="0"/>
          <w:sz w:val="21"/>
          <w:szCs w:val="21"/>
          <w:highlight w:val="none"/>
        </w:rPr>
        <w:t>本章未尽事宜，遵守</w:t>
      </w:r>
      <w:r>
        <w:rPr>
          <w:rFonts w:hint="eastAsia" w:ascii="宋体" w:hAnsi="宋体" w:cs="宋体"/>
          <w:color w:val="auto"/>
          <w:kern w:val="0"/>
          <w:sz w:val="21"/>
          <w:szCs w:val="21"/>
          <w:highlight w:val="none"/>
          <w:lang w:eastAsia="zh-CN"/>
        </w:rPr>
        <w:t>技术规范书</w:t>
      </w:r>
      <w:r>
        <w:rPr>
          <w:rFonts w:hint="eastAsia" w:ascii="宋体" w:hAnsi="宋体" w:eastAsia="宋体" w:cs="宋体"/>
          <w:color w:val="auto"/>
          <w:kern w:val="0"/>
          <w:sz w:val="21"/>
          <w:szCs w:val="21"/>
          <w:highlight w:val="none"/>
        </w:rPr>
        <w:t>商务部分的规定。</w:t>
      </w:r>
    </w:p>
    <w:p w14:paraId="178A52CB">
      <w:pPr>
        <w:spacing w:before="0" w:beforeLines="0" w:after="0" w:afterLines="0" w:line="360" w:lineRule="auto"/>
        <w:outlineLvl w:val="0"/>
        <w:rPr>
          <w:rFonts w:hint="eastAsia" w:ascii="宋体" w:hAnsi="宋体" w:cs="宋体"/>
          <w:color w:val="auto"/>
          <w:sz w:val="30"/>
          <w:szCs w:val="30"/>
          <w:highlight w:val="none"/>
        </w:rPr>
      </w:pPr>
      <w:bookmarkStart w:id="123" w:name="_Toc526944941"/>
      <w:bookmarkStart w:id="124" w:name="_Toc343695409"/>
      <w:r>
        <w:rPr>
          <w:rFonts w:hint="eastAsia" w:ascii="宋体" w:hAnsi="宋体" w:cs="宋体"/>
          <w:b/>
          <w:bCs/>
          <w:color w:val="auto"/>
          <w:sz w:val="30"/>
          <w:szCs w:val="30"/>
          <w:highlight w:val="none"/>
        </w:rPr>
        <w:t>附件13 投标人需要说明的其他问题（质量承诺及售后承诺等）</w:t>
      </w:r>
      <w:bookmarkEnd w:id="123"/>
      <w:bookmarkEnd w:id="124"/>
    </w:p>
    <w:p w14:paraId="03187E86">
      <w:pPr>
        <w:spacing w:line="360" w:lineRule="auto"/>
        <w:ind w:firstLine="420"/>
        <w:rPr>
          <w:color w:val="auto"/>
          <w:sz w:val="21"/>
          <w:szCs w:val="21"/>
          <w:highlight w:val="none"/>
        </w:rPr>
      </w:pPr>
      <w:r>
        <w:rPr>
          <w:rFonts w:hint="eastAsia" w:ascii="宋体" w:hAnsi="宋体" w:cs="宋体"/>
          <w:color w:val="auto"/>
          <w:sz w:val="21"/>
          <w:szCs w:val="21"/>
          <w:highlight w:val="none"/>
        </w:rPr>
        <w:t>投标人提供在专业技术、设备设施、人员组织、业绩经验等方面具有设计、制造、质量控制、经营管理的相应的资格和能力的资料。</w:t>
      </w:r>
    </w:p>
    <w:p w14:paraId="4B7CA64D">
      <w:pPr>
        <w:rPr>
          <w:color w:val="auto"/>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2"/>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7A"/>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CA3939"/>
    <w:multiLevelType w:val="multilevel"/>
    <w:tmpl w:val="8ACA3939"/>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
    <w:nsid w:val="904A33BE"/>
    <w:multiLevelType w:val="multilevel"/>
    <w:tmpl w:val="904A33BE"/>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
    <w:nsid w:val="90E74316"/>
    <w:multiLevelType w:val="multilevel"/>
    <w:tmpl w:val="90E74316"/>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
    <w:nsid w:val="9CCCDFE8"/>
    <w:multiLevelType w:val="multilevel"/>
    <w:tmpl w:val="9CCCDFE8"/>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4">
    <w:nsid w:val="A0DD280D"/>
    <w:multiLevelType w:val="multilevel"/>
    <w:tmpl w:val="A0DD280D"/>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5">
    <w:nsid w:val="A2FEC088"/>
    <w:multiLevelType w:val="multilevel"/>
    <w:tmpl w:val="A2FEC088"/>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6">
    <w:nsid w:val="BF41B21B"/>
    <w:multiLevelType w:val="multilevel"/>
    <w:tmpl w:val="BF41B21B"/>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7">
    <w:nsid w:val="C0B0634D"/>
    <w:multiLevelType w:val="multilevel"/>
    <w:tmpl w:val="C0B0634D"/>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8">
    <w:nsid w:val="C81F1E22"/>
    <w:multiLevelType w:val="multilevel"/>
    <w:tmpl w:val="C81F1E22"/>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9">
    <w:nsid w:val="C8715E1D"/>
    <w:multiLevelType w:val="multilevel"/>
    <w:tmpl w:val="C8715E1D"/>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0">
    <w:nsid w:val="CC6954F5"/>
    <w:multiLevelType w:val="multilevel"/>
    <w:tmpl w:val="CC6954F5"/>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1">
    <w:nsid w:val="D9BB100A"/>
    <w:multiLevelType w:val="multilevel"/>
    <w:tmpl w:val="D9BB100A"/>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2">
    <w:nsid w:val="E45D2385"/>
    <w:multiLevelType w:val="multilevel"/>
    <w:tmpl w:val="E45D2385"/>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3">
    <w:nsid w:val="F94308E6"/>
    <w:multiLevelType w:val="multilevel"/>
    <w:tmpl w:val="F94308E6"/>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4">
    <w:nsid w:val="F98C9812"/>
    <w:multiLevelType w:val="singleLevel"/>
    <w:tmpl w:val="F98C9812"/>
    <w:lvl w:ilvl="0" w:tentative="0">
      <w:start w:val="1"/>
      <w:numFmt w:val="lowerLetter"/>
      <w:lvlText w:val="%1)"/>
      <w:lvlJc w:val="left"/>
      <w:pPr>
        <w:ind w:left="420" w:hanging="420"/>
      </w:pPr>
      <w:rPr>
        <w:rFonts w:hint="eastAsia"/>
      </w:rPr>
    </w:lvl>
  </w:abstractNum>
  <w:abstractNum w:abstractNumId="15">
    <w:nsid w:val="FF829E49"/>
    <w:multiLevelType w:val="multilevel"/>
    <w:tmpl w:val="FF829E49"/>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6">
    <w:nsid w:val="0801EFFA"/>
    <w:multiLevelType w:val="multilevel"/>
    <w:tmpl w:val="0801EFFA"/>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7">
    <w:nsid w:val="0C8E35F3"/>
    <w:multiLevelType w:val="multilevel"/>
    <w:tmpl w:val="0C8E35F3"/>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8">
    <w:nsid w:val="0EBF029A"/>
    <w:multiLevelType w:val="multilevel"/>
    <w:tmpl w:val="0EBF029A"/>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9">
    <w:nsid w:val="1438636A"/>
    <w:multiLevelType w:val="multilevel"/>
    <w:tmpl w:val="1438636A"/>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0">
    <w:nsid w:val="17A54263"/>
    <w:multiLevelType w:val="singleLevel"/>
    <w:tmpl w:val="17A54263"/>
    <w:lvl w:ilvl="0" w:tentative="0">
      <w:start w:val="1"/>
      <w:numFmt w:val="lowerLetter"/>
      <w:lvlText w:val="%1)"/>
      <w:lvlJc w:val="left"/>
      <w:pPr>
        <w:ind w:left="420" w:hanging="420"/>
      </w:pPr>
      <w:rPr>
        <w:rFonts w:hint="eastAsia"/>
      </w:rPr>
    </w:lvl>
  </w:abstractNum>
  <w:abstractNum w:abstractNumId="21">
    <w:nsid w:val="319BAEE6"/>
    <w:multiLevelType w:val="multilevel"/>
    <w:tmpl w:val="319BAEE6"/>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2">
    <w:nsid w:val="38F523EC"/>
    <w:multiLevelType w:val="multilevel"/>
    <w:tmpl w:val="38F523EC"/>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3">
    <w:nsid w:val="395DA9EF"/>
    <w:multiLevelType w:val="multilevel"/>
    <w:tmpl w:val="395DA9EF"/>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4">
    <w:nsid w:val="3DA0F0BD"/>
    <w:multiLevelType w:val="multilevel"/>
    <w:tmpl w:val="3DA0F0BD"/>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5">
    <w:nsid w:val="40EEE8E2"/>
    <w:multiLevelType w:val="multilevel"/>
    <w:tmpl w:val="40EEE8E2"/>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6">
    <w:nsid w:val="418C5196"/>
    <w:multiLevelType w:val="singleLevel"/>
    <w:tmpl w:val="418C5196"/>
    <w:lvl w:ilvl="0" w:tentative="0">
      <w:start w:val="1"/>
      <w:numFmt w:val="bullet"/>
      <w:lvlText w:val=""/>
      <w:lvlJc w:val="left"/>
      <w:pPr>
        <w:tabs>
          <w:tab w:val="left" w:pos="927"/>
        </w:tabs>
        <w:ind w:left="624" w:hanging="57"/>
      </w:pPr>
      <w:rPr>
        <w:rFonts w:hint="default" w:ascii="Wingdings" w:hAnsi="Wingdings"/>
        <w:sz w:val="15"/>
      </w:rPr>
    </w:lvl>
  </w:abstractNum>
  <w:abstractNum w:abstractNumId="27">
    <w:nsid w:val="44E53FCA"/>
    <w:multiLevelType w:val="multilevel"/>
    <w:tmpl w:val="44E53FCA"/>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8">
    <w:nsid w:val="48BC926F"/>
    <w:multiLevelType w:val="multilevel"/>
    <w:tmpl w:val="48BC926F"/>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9">
    <w:nsid w:val="4D835FE0"/>
    <w:multiLevelType w:val="multilevel"/>
    <w:tmpl w:val="4D835FE0"/>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0">
    <w:nsid w:val="562AD2B8"/>
    <w:multiLevelType w:val="multilevel"/>
    <w:tmpl w:val="562AD2B8"/>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1">
    <w:nsid w:val="585D2B9A"/>
    <w:multiLevelType w:val="singleLevel"/>
    <w:tmpl w:val="585D2B9A"/>
    <w:lvl w:ilvl="0" w:tentative="0">
      <w:start w:val="1"/>
      <w:numFmt w:val="decimal"/>
      <w:lvlText w:val="%1)"/>
      <w:lvlJc w:val="left"/>
      <w:pPr>
        <w:tabs>
          <w:tab w:val="left" w:pos="1260"/>
        </w:tabs>
        <w:ind w:left="1260" w:hanging="420"/>
      </w:pPr>
      <w:rPr>
        <w:rFonts w:hint="default"/>
      </w:rPr>
    </w:lvl>
  </w:abstractNum>
  <w:abstractNum w:abstractNumId="32">
    <w:nsid w:val="59F86250"/>
    <w:multiLevelType w:val="multilevel"/>
    <w:tmpl w:val="59F86250"/>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3">
    <w:nsid w:val="63CDA292"/>
    <w:multiLevelType w:val="multilevel"/>
    <w:tmpl w:val="63CDA292"/>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4">
    <w:nsid w:val="6665C568"/>
    <w:multiLevelType w:val="multilevel"/>
    <w:tmpl w:val="6665C568"/>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5">
    <w:nsid w:val="6CDBE076"/>
    <w:multiLevelType w:val="multilevel"/>
    <w:tmpl w:val="6CDBE076"/>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6">
    <w:nsid w:val="71597A31"/>
    <w:multiLevelType w:val="multilevel"/>
    <w:tmpl w:val="71597A31"/>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7">
    <w:nsid w:val="736AA61C"/>
    <w:multiLevelType w:val="multilevel"/>
    <w:tmpl w:val="736AA61C"/>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8">
    <w:nsid w:val="7C7306BB"/>
    <w:multiLevelType w:val="multilevel"/>
    <w:tmpl w:val="7C7306BB"/>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9">
    <w:nsid w:val="7DC555C3"/>
    <w:multiLevelType w:val="multilevel"/>
    <w:tmpl w:val="7DC555C3"/>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1"/>
  </w:num>
  <w:num w:numId="2">
    <w:abstractNumId w:val="26"/>
  </w:num>
  <w:num w:numId="3">
    <w:abstractNumId w:val="29"/>
  </w:num>
  <w:num w:numId="4">
    <w:abstractNumId w:val="13"/>
  </w:num>
  <w:num w:numId="5">
    <w:abstractNumId w:val="8"/>
  </w:num>
  <w:num w:numId="6">
    <w:abstractNumId w:val="15"/>
  </w:num>
  <w:num w:numId="7">
    <w:abstractNumId w:val="1"/>
  </w:num>
  <w:num w:numId="8">
    <w:abstractNumId w:val="20"/>
  </w:num>
  <w:num w:numId="9">
    <w:abstractNumId w:val="14"/>
  </w:num>
  <w:num w:numId="10">
    <w:abstractNumId w:val="18"/>
  </w:num>
  <w:num w:numId="11">
    <w:abstractNumId w:val="6"/>
  </w:num>
  <w:num w:numId="12">
    <w:abstractNumId w:val="17"/>
  </w:num>
  <w:num w:numId="13">
    <w:abstractNumId w:val="19"/>
  </w:num>
  <w:num w:numId="14">
    <w:abstractNumId w:val="34"/>
  </w:num>
  <w:num w:numId="15">
    <w:abstractNumId w:val="12"/>
  </w:num>
  <w:num w:numId="16">
    <w:abstractNumId w:val="16"/>
  </w:num>
  <w:num w:numId="17">
    <w:abstractNumId w:val="35"/>
  </w:num>
  <w:num w:numId="18">
    <w:abstractNumId w:val="21"/>
  </w:num>
  <w:num w:numId="19">
    <w:abstractNumId w:val="30"/>
  </w:num>
  <w:num w:numId="20">
    <w:abstractNumId w:val="32"/>
  </w:num>
  <w:num w:numId="21">
    <w:abstractNumId w:val="37"/>
  </w:num>
  <w:num w:numId="22">
    <w:abstractNumId w:val="11"/>
  </w:num>
  <w:num w:numId="23">
    <w:abstractNumId w:val="3"/>
  </w:num>
  <w:num w:numId="24">
    <w:abstractNumId w:val="2"/>
  </w:num>
  <w:num w:numId="25">
    <w:abstractNumId w:val="0"/>
  </w:num>
  <w:num w:numId="26">
    <w:abstractNumId w:val="25"/>
  </w:num>
  <w:num w:numId="27">
    <w:abstractNumId w:val="22"/>
  </w:num>
  <w:num w:numId="28">
    <w:abstractNumId w:val="9"/>
  </w:num>
  <w:num w:numId="29">
    <w:abstractNumId w:val="23"/>
  </w:num>
  <w:num w:numId="30">
    <w:abstractNumId w:val="38"/>
  </w:num>
  <w:num w:numId="31">
    <w:abstractNumId w:val="28"/>
  </w:num>
  <w:num w:numId="32">
    <w:abstractNumId w:val="39"/>
  </w:num>
  <w:num w:numId="33">
    <w:abstractNumId w:val="33"/>
  </w:num>
  <w:num w:numId="34">
    <w:abstractNumId w:val="7"/>
  </w:num>
  <w:num w:numId="35">
    <w:abstractNumId w:val="10"/>
  </w:num>
  <w:num w:numId="36">
    <w:abstractNumId w:val="27"/>
  </w:num>
  <w:num w:numId="37">
    <w:abstractNumId w:val="24"/>
  </w:num>
  <w:num w:numId="38">
    <w:abstractNumId w:val="4"/>
  </w:num>
  <w:num w:numId="39">
    <w:abstractNumId w:val="36"/>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revisionView w:markup="0"/>
  <w:documentProtection w:enforcement="0"/>
  <w:defaultTabStop w:val="420"/>
  <w:hyphenationZone w:val="36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lZmZmYTNhM2Q3ZjQ0NDEyMmI5MjE1M2IxOWUxNTgifQ=="/>
  </w:docVars>
  <w:rsids>
    <w:rsidRoot w:val="00FF439E"/>
    <w:rsid w:val="00024FA2"/>
    <w:rsid w:val="00027A4E"/>
    <w:rsid w:val="0003475F"/>
    <w:rsid w:val="00040B27"/>
    <w:rsid w:val="000577A6"/>
    <w:rsid w:val="00060078"/>
    <w:rsid w:val="00074A8A"/>
    <w:rsid w:val="000839FB"/>
    <w:rsid w:val="00087753"/>
    <w:rsid w:val="00094241"/>
    <w:rsid w:val="000A1D30"/>
    <w:rsid w:val="000A5671"/>
    <w:rsid w:val="000C310A"/>
    <w:rsid w:val="000D0A96"/>
    <w:rsid w:val="000D40F7"/>
    <w:rsid w:val="000D6A7B"/>
    <w:rsid w:val="000D7179"/>
    <w:rsid w:val="000E0155"/>
    <w:rsid w:val="000E6071"/>
    <w:rsid w:val="000F7C52"/>
    <w:rsid w:val="00101C8D"/>
    <w:rsid w:val="001048E1"/>
    <w:rsid w:val="00106309"/>
    <w:rsid w:val="00107F12"/>
    <w:rsid w:val="00120DA7"/>
    <w:rsid w:val="00124897"/>
    <w:rsid w:val="00125AE5"/>
    <w:rsid w:val="0012757F"/>
    <w:rsid w:val="00127E90"/>
    <w:rsid w:val="0013640A"/>
    <w:rsid w:val="0014678A"/>
    <w:rsid w:val="001574DA"/>
    <w:rsid w:val="00163AF3"/>
    <w:rsid w:val="00175F4A"/>
    <w:rsid w:val="0017651E"/>
    <w:rsid w:val="001834EA"/>
    <w:rsid w:val="00183636"/>
    <w:rsid w:val="00185BAC"/>
    <w:rsid w:val="00186CFE"/>
    <w:rsid w:val="00190191"/>
    <w:rsid w:val="001909C2"/>
    <w:rsid w:val="001919D9"/>
    <w:rsid w:val="001935B4"/>
    <w:rsid w:val="0019750F"/>
    <w:rsid w:val="001A2E69"/>
    <w:rsid w:val="001A3FF5"/>
    <w:rsid w:val="001A77E4"/>
    <w:rsid w:val="001B1899"/>
    <w:rsid w:val="001B2B7E"/>
    <w:rsid w:val="001C0DE9"/>
    <w:rsid w:val="001C12BF"/>
    <w:rsid w:val="001E0A6A"/>
    <w:rsid w:val="001E7410"/>
    <w:rsid w:val="001F2EC5"/>
    <w:rsid w:val="001F532E"/>
    <w:rsid w:val="00200FFC"/>
    <w:rsid w:val="00204C60"/>
    <w:rsid w:val="00205591"/>
    <w:rsid w:val="00205B32"/>
    <w:rsid w:val="002153D1"/>
    <w:rsid w:val="00231A44"/>
    <w:rsid w:val="002427AB"/>
    <w:rsid w:val="002464EC"/>
    <w:rsid w:val="0025019B"/>
    <w:rsid w:val="00262415"/>
    <w:rsid w:val="002643A3"/>
    <w:rsid w:val="00275CBE"/>
    <w:rsid w:val="00280572"/>
    <w:rsid w:val="0028116E"/>
    <w:rsid w:val="00283E2D"/>
    <w:rsid w:val="00287D48"/>
    <w:rsid w:val="002A1DA5"/>
    <w:rsid w:val="002A7089"/>
    <w:rsid w:val="002A75D1"/>
    <w:rsid w:val="002C0237"/>
    <w:rsid w:val="002C1F6E"/>
    <w:rsid w:val="002D0055"/>
    <w:rsid w:val="002D71A8"/>
    <w:rsid w:val="002E195E"/>
    <w:rsid w:val="002E50A7"/>
    <w:rsid w:val="002E6928"/>
    <w:rsid w:val="002E71A7"/>
    <w:rsid w:val="002F7FC6"/>
    <w:rsid w:val="00307E1F"/>
    <w:rsid w:val="003103AF"/>
    <w:rsid w:val="00325BD2"/>
    <w:rsid w:val="00337A50"/>
    <w:rsid w:val="00340499"/>
    <w:rsid w:val="00345C08"/>
    <w:rsid w:val="00346439"/>
    <w:rsid w:val="003476AD"/>
    <w:rsid w:val="0034798D"/>
    <w:rsid w:val="00347FBB"/>
    <w:rsid w:val="00353BC4"/>
    <w:rsid w:val="003A54C3"/>
    <w:rsid w:val="003C17DF"/>
    <w:rsid w:val="003C2BB4"/>
    <w:rsid w:val="003C360B"/>
    <w:rsid w:val="003C49BD"/>
    <w:rsid w:val="003C7F89"/>
    <w:rsid w:val="003D107C"/>
    <w:rsid w:val="003D369A"/>
    <w:rsid w:val="003D7239"/>
    <w:rsid w:val="003E0909"/>
    <w:rsid w:val="003E4C54"/>
    <w:rsid w:val="00441977"/>
    <w:rsid w:val="0044389A"/>
    <w:rsid w:val="00466EF0"/>
    <w:rsid w:val="00470C2E"/>
    <w:rsid w:val="004711EF"/>
    <w:rsid w:val="00477D65"/>
    <w:rsid w:val="00482B0C"/>
    <w:rsid w:val="00482BC1"/>
    <w:rsid w:val="00490A3B"/>
    <w:rsid w:val="00497F32"/>
    <w:rsid w:val="004A5B63"/>
    <w:rsid w:val="004B06C7"/>
    <w:rsid w:val="004C153A"/>
    <w:rsid w:val="004C1861"/>
    <w:rsid w:val="004C1D67"/>
    <w:rsid w:val="004D3123"/>
    <w:rsid w:val="004D44C9"/>
    <w:rsid w:val="004F06AF"/>
    <w:rsid w:val="004F0F86"/>
    <w:rsid w:val="00504CF8"/>
    <w:rsid w:val="0051408E"/>
    <w:rsid w:val="00527047"/>
    <w:rsid w:val="00530A6B"/>
    <w:rsid w:val="00535FB0"/>
    <w:rsid w:val="00537274"/>
    <w:rsid w:val="005434E4"/>
    <w:rsid w:val="005502B2"/>
    <w:rsid w:val="00551586"/>
    <w:rsid w:val="00551BFD"/>
    <w:rsid w:val="00552C38"/>
    <w:rsid w:val="005749DC"/>
    <w:rsid w:val="0058032B"/>
    <w:rsid w:val="00587CD6"/>
    <w:rsid w:val="00596432"/>
    <w:rsid w:val="005A113E"/>
    <w:rsid w:val="005A4A68"/>
    <w:rsid w:val="005A4C7E"/>
    <w:rsid w:val="005B0397"/>
    <w:rsid w:val="005B6C7E"/>
    <w:rsid w:val="005C130B"/>
    <w:rsid w:val="005C4FF0"/>
    <w:rsid w:val="005D3DBF"/>
    <w:rsid w:val="005D57BE"/>
    <w:rsid w:val="005E23F6"/>
    <w:rsid w:val="005F20CC"/>
    <w:rsid w:val="005F6364"/>
    <w:rsid w:val="00601838"/>
    <w:rsid w:val="00606C5E"/>
    <w:rsid w:val="00613189"/>
    <w:rsid w:val="00616B5A"/>
    <w:rsid w:val="0062278D"/>
    <w:rsid w:val="00632153"/>
    <w:rsid w:val="0064786A"/>
    <w:rsid w:val="006517F9"/>
    <w:rsid w:val="006548BB"/>
    <w:rsid w:val="00660274"/>
    <w:rsid w:val="00662B30"/>
    <w:rsid w:val="006635EF"/>
    <w:rsid w:val="00671E74"/>
    <w:rsid w:val="006723AA"/>
    <w:rsid w:val="00676BCC"/>
    <w:rsid w:val="00681A7A"/>
    <w:rsid w:val="0069174C"/>
    <w:rsid w:val="006939D2"/>
    <w:rsid w:val="00694204"/>
    <w:rsid w:val="006966F2"/>
    <w:rsid w:val="006A079D"/>
    <w:rsid w:val="006A1317"/>
    <w:rsid w:val="006A1E53"/>
    <w:rsid w:val="006C00CF"/>
    <w:rsid w:val="006C4935"/>
    <w:rsid w:val="006D3B80"/>
    <w:rsid w:val="006F567C"/>
    <w:rsid w:val="007014FB"/>
    <w:rsid w:val="00701B45"/>
    <w:rsid w:val="00732327"/>
    <w:rsid w:val="00734775"/>
    <w:rsid w:val="00735ADB"/>
    <w:rsid w:val="00743079"/>
    <w:rsid w:val="00743F2F"/>
    <w:rsid w:val="00747594"/>
    <w:rsid w:val="007615EB"/>
    <w:rsid w:val="00761FB1"/>
    <w:rsid w:val="00763851"/>
    <w:rsid w:val="00763A93"/>
    <w:rsid w:val="00771B67"/>
    <w:rsid w:val="00773BFB"/>
    <w:rsid w:val="007757D5"/>
    <w:rsid w:val="007852C9"/>
    <w:rsid w:val="007950B9"/>
    <w:rsid w:val="007A653C"/>
    <w:rsid w:val="007B37CF"/>
    <w:rsid w:val="007B5350"/>
    <w:rsid w:val="007C2A6D"/>
    <w:rsid w:val="007C6136"/>
    <w:rsid w:val="007C732C"/>
    <w:rsid w:val="007D185E"/>
    <w:rsid w:val="007D1B11"/>
    <w:rsid w:val="007F4CF5"/>
    <w:rsid w:val="007F4DAC"/>
    <w:rsid w:val="007F7C9D"/>
    <w:rsid w:val="0080114E"/>
    <w:rsid w:val="008033DA"/>
    <w:rsid w:val="00814479"/>
    <w:rsid w:val="00821676"/>
    <w:rsid w:val="008317EE"/>
    <w:rsid w:val="0083555E"/>
    <w:rsid w:val="00837D8F"/>
    <w:rsid w:val="00850EC9"/>
    <w:rsid w:val="00854AAB"/>
    <w:rsid w:val="00864157"/>
    <w:rsid w:val="00873077"/>
    <w:rsid w:val="00874C4D"/>
    <w:rsid w:val="008769B9"/>
    <w:rsid w:val="00876E04"/>
    <w:rsid w:val="008847A5"/>
    <w:rsid w:val="008904FB"/>
    <w:rsid w:val="008907E9"/>
    <w:rsid w:val="0089460D"/>
    <w:rsid w:val="008A6E87"/>
    <w:rsid w:val="008B79DD"/>
    <w:rsid w:val="008C4064"/>
    <w:rsid w:val="008C4362"/>
    <w:rsid w:val="008C598C"/>
    <w:rsid w:val="008D26C8"/>
    <w:rsid w:val="008D2AAC"/>
    <w:rsid w:val="008D622C"/>
    <w:rsid w:val="008D6BED"/>
    <w:rsid w:val="008E7CAF"/>
    <w:rsid w:val="008F1AEC"/>
    <w:rsid w:val="008F1B0B"/>
    <w:rsid w:val="008F2347"/>
    <w:rsid w:val="009002E9"/>
    <w:rsid w:val="00915502"/>
    <w:rsid w:val="00922462"/>
    <w:rsid w:val="009242FE"/>
    <w:rsid w:val="009264D1"/>
    <w:rsid w:val="00930DD0"/>
    <w:rsid w:val="00933649"/>
    <w:rsid w:val="0093520A"/>
    <w:rsid w:val="00943626"/>
    <w:rsid w:val="009467A0"/>
    <w:rsid w:val="00947F17"/>
    <w:rsid w:val="009508D4"/>
    <w:rsid w:val="0095200D"/>
    <w:rsid w:val="0095451C"/>
    <w:rsid w:val="00961FBA"/>
    <w:rsid w:val="0096533C"/>
    <w:rsid w:val="009729B1"/>
    <w:rsid w:val="00977C40"/>
    <w:rsid w:val="00984743"/>
    <w:rsid w:val="009868FF"/>
    <w:rsid w:val="00990BA5"/>
    <w:rsid w:val="009911CB"/>
    <w:rsid w:val="009A0489"/>
    <w:rsid w:val="009A567C"/>
    <w:rsid w:val="009B075C"/>
    <w:rsid w:val="009B3789"/>
    <w:rsid w:val="009B52B0"/>
    <w:rsid w:val="009D6703"/>
    <w:rsid w:val="009D7C6F"/>
    <w:rsid w:val="009E1D76"/>
    <w:rsid w:val="009E250F"/>
    <w:rsid w:val="009E4CFB"/>
    <w:rsid w:val="009F3DA0"/>
    <w:rsid w:val="00A0247B"/>
    <w:rsid w:val="00A040D3"/>
    <w:rsid w:val="00A06370"/>
    <w:rsid w:val="00A10617"/>
    <w:rsid w:val="00A22343"/>
    <w:rsid w:val="00A370B0"/>
    <w:rsid w:val="00A40F4E"/>
    <w:rsid w:val="00A4542D"/>
    <w:rsid w:val="00A47635"/>
    <w:rsid w:val="00A5036B"/>
    <w:rsid w:val="00A63BB9"/>
    <w:rsid w:val="00A67981"/>
    <w:rsid w:val="00A70145"/>
    <w:rsid w:val="00A71035"/>
    <w:rsid w:val="00A80873"/>
    <w:rsid w:val="00A92141"/>
    <w:rsid w:val="00A93353"/>
    <w:rsid w:val="00AA73FF"/>
    <w:rsid w:val="00AA7868"/>
    <w:rsid w:val="00AB6196"/>
    <w:rsid w:val="00AC0691"/>
    <w:rsid w:val="00AC6EFB"/>
    <w:rsid w:val="00AD4A9B"/>
    <w:rsid w:val="00AF7CC1"/>
    <w:rsid w:val="00B01CF8"/>
    <w:rsid w:val="00B02999"/>
    <w:rsid w:val="00B170DC"/>
    <w:rsid w:val="00B17920"/>
    <w:rsid w:val="00B23EEC"/>
    <w:rsid w:val="00B25410"/>
    <w:rsid w:val="00B26908"/>
    <w:rsid w:val="00B26AB8"/>
    <w:rsid w:val="00B34D37"/>
    <w:rsid w:val="00B46FB9"/>
    <w:rsid w:val="00B5197D"/>
    <w:rsid w:val="00B53FB9"/>
    <w:rsid w:val="00B5782F"/>
    <w:rsid w:val="00B70FF2"/>
    <w:rsid w:val="00B777A8"/>
    <w:rsid w:val="00B835B4"/>
    <w:rsid w:val="00B910F0"/>
    <w:rsid w:val="00B96193"/>
    <w:rsid w:val="00B9674D"/>
    <w:rsid w:val="00BA17DF"/>
    <w:rsid w:val="00BA2E12"/>
    <w:rsid w:val="00BA44ED"/>
    <w:rsid w:val="00BB3927"/>
    <w:rsid w:val="00BC1DED"/>
    <w:rsid w:val="00BC26DF"/>
    <w:rsid w:val="00BD7D1C"/>
    <w:rsid w:val="00BE4B40"/>
    <w:rsid w:val="00BE5E90"/>
    <w:rsid w:val="00BF0E20"/>
    <w:rsid w:val="00BF43A7"/>
    <w:rsid w:val="00BF7043"/>
    <w:rsid w:val="00C01542"/>
    <w:rsid w:val="00C14A4A"/>
    <w:rsid w:val="00C14AC0"/>
    <w:rsid w:val="00C23F96"/>
    <w:rsid w:val="00C24F27"/>
    <w:rsid w:val="00C252A6"/>
    <w:rsid w:val="00C260AF"/>
    <w:rsid w:val="00C30EA0"/>
    <w:rsid w:val="00C34E8F"/>
    <w:rsid w:val="00C365CF"/>
    <w:rsid w:val="00C42E07"/>
    <w:rsid w:val="00C43B39"/>
    <w:rsid w:val="00C44A57"/>
    <w:rsid w:val="00C54CE7"/>
    <w:rsid w:val="00C6081E"/>
    <w:rsid w:val="00C654F6"/>
    <w:rsid w:val="00C7024C"/>
    <w:rsid w:val="00C8167A"/>
    <w:rsid w:val="00C81EF6"/>
    <w:rsid w:val="00C86F9A"/>
    <w:rsid w:val="00C96FB8"/>
    <w:rsid w:val="00CB1723"/>
    <w:rsid w:val="00CB39D5"/>
    <w:rsid w:val="00CC047A"/>
    <w:rsid w:val="00CC2B54"/>
    <w:rsid w:val="00CD5405"/>
    <w:rsid w:val="00CD6510"/>
    <w:rsid w:val="00CE48F3"/>
    <w:rsid w:val="00CE5B66"/>
    <w:rsid w:val="00CF59ED"/>
    <w:rsid w:val="00D04203"/>
    <w:rsid w:val="00D0555C"/>
    <w:rsid w:val="00D05DAF"/>
    <w:rsid w:val="00D165FC"/>
    <w:rsid w:val="00D24B4D"/>
    <w:rsid w:val="00D3043A"/>
    <w:rsid w:val="00D37268"/>
    <w:rsid w:val="00D45222"/>
    <w:rsid w:val="00D467A3"/>
    <w:rsid w:val="00D47D66"/>
    <w:rsid w:val="00D5504C"/>
    <w:rsid w:val="00D62CE8"/>
    <w:rsid w:val="00D71770"/>
    <w:rsid w:val="00D74F47"/>
    <w:rsid w:val="00D82AA9"/>
    <w:rsid w:val="00D87130"/>
    <w:rsid w:val="00D876DE"/>
    <w:rsid w:val="00D91236"/>
    <w:rsid w:val="00D962B5"/>
    <w:rsid w:val="00DA206B"/>
    <w:rsid w:val="00DA3EB4"/>
    <w:rsid w:val="00DB2695"/>
    <w:rsid w:val="00DB39A8"/>
    <w:rsid w:val="00DC16D8"/>
    <w:rsid w:val="00DC2C1C"/>
    <w:rsid w:val="00DC2F1D"/>
    <w:rsid w:val="00DC71B5"/>
    <w:rsid w:val="00DD0965"/>
    <w:rsid w:val="00DD7711"/>
    <w:rsid w:val="00DF676F"/>
    <w:rsid w:val="00E065C5"/>
    <w:rsid w:val="00E11152"/>
    <w:rsid w:val="00E13038"/>
    <w:rsid w:val="00E223CF"/>
    <w:rsid w:val="00E24296"/>
    <w:rsid w:val="00E24AF5"/>
    <w:rsid w:val="00E26B6F"/>
    <w:rsid w:val="00E37069"/>
    <w:rsid w:val="00E434AE"/>
    <w:rsid w:val="00E55481"/>
    <w:rsid w:val="00E60F6A"/>
    <w:rsid w:val="00E740E7"/>
    <w:rsid w:val="00E83905"/>
    <w:rsid w:val="00E90355"/>
    <w:rsid w:val="00E95FA8"/>
    <w:rsid w:val="00E96E38"/>
    <w:rsid w:val="00E97D12"/>
    <w:rsid w:val="00EB3B49"/>
    <w:rsid w:val="00EC36F3"/>
    <w:rsid w:val="00EC5871"/>
    <w:rsid w:val="00EE0193"/>
    <w:rsid w:val="00EF535E"/>
    <w:rsid w:val="00F1256E"/>
    <w:rsid w:val="00F21DD3"/>
    <w:rsid w:val="00F22FBA"/>
    <w:rsid w:val="00F2379B"/>
    <w:rsid w:val="00F24539"/>
    <w:rsid w:val="00F31A1C"/>
    <w:rsid w:val="00F365B9"/>
    <w:rsid w:val="00F373ED"/>
    <w:rsid w:val="00F37EA0"/>
    <w:rsid w:val="00F455DC"/>
    <w:rsid w:val="00F52C77"/>
    <w:rsid w:val="00F567E2"/>
    <w:rsid w:val="00F60F7B"/>
    <w:rsid w:val="00F74F68"/>
    <w:rsid w:val="00F76D22"/>
    <w:rsid w:val="00F817C3"/>
    <w:rsid w:val="00F910EC"/>
    <w:rsid w:val="00F95B43"/>
    <w:rsid w:val="00FA5B5C"/>
    <w:rsid w:val="00FB6982"/>
    <w:rsid w:val="00FD45F2"/>
    <w:rsid w:val="00FD54F1"/>
    <w:rsid w:val="00FE0A78"/>
    <w:rsid w:val="00FE1326"/>
    <w:rsid w:val="00FE5BC9"/>
    <w:rsid w:val="00FE7A68"/>
    <w:rsid w:val="00FF016E"/>
    <w:rsid w:val="00FF439E"/>
    <w:rsid w:val="013B7D58"/>
    <w:rsid w:val="01F41F89"/>
    <w:rsid w:val="02132CA4"/>
    <w:rsid w:val="05315B22"/>
    <w:rsid w:val="05AF6F4D"/>
    <w:rsid w:val="06597E8A"/>
    <w:rsid w:val="08137FF3"/>
    <w:rsid w:val="088558A3"/>
    <w:rsid w:val="09581270"/>
    <w:rsid w:val="0A1876E0"/>
    <w:rsid w:val="0A327FC6"/>
    <w:rsid w:val="0A8446A2"/>
    <w:rsid w:val="0B7A65DB"/>
    <w:rsid w:val="0BAE7E92"/>
    <w:rsid w:val="0BEA54A6"/>
    <w:rsid w:val="0C322333"/>
    <w:rsid w:val="0C454836"/>
    <w:rsid w:val="0C6E697F"/>
    <w:rsid w:val="0CAC2B5D"/>
    <w:rsid w:val="0DCE61AE"/>
    <w:rsid w:val="0E063E03"/>
    <w:rsid w:val="0E0D4DD8"/>
    <w:rsid w:val="0FD84B21"/>
    <w:rsid w:val="103B5130"/>
    <w:rsid w:val="10424A9B"/>
    <w:rsid w:val="10F76A2B"/>
    <w:rsid w:val="11340891"/>
    <w:rsid w:val="1243062A"/>
    <w:rsid w:val="12434FC5"/>
    <w:rsid w:val="1530573D"/>
    <w:rsid w:val="15E83E69"/>
    <w:rsid w:val="16555549"/>
    <w:rsid w:val="16844304"/>
    <w:rsid w:val="16921080"/>
    <w:rsid w:val="171747FA"/>
    <w:rsid w:val="179D48A5"/>
    <w:rsid w:val="199543BE"/>
    <w:rsid w:val="1AA869AD"/>
    <w:rsid w:val="1B392EE7"/>
    <w:rsid w:val="1B4047A5"/>
    <w:rsid w:val="1BBE397C"/>
    <w:rsid w:val="1D023669"/>
    <w:rsid w:val="1D044858"/>
    <w:rsid w:val="1D1E46AF"/>
    <w:rsid w:val="1E297AD1"/>
    <w:rsid w:val="1EF14C76"/>
    <w:rsid w:val="1F83668F"/>
    <w:rsid w:val="1FC136C4"/>
    <w:rsid w:val="201325AD"/>
    <w:rsid w:val="2053754B"/>
    <w:rsid w:val="20E128F1"/>
    <w:rsid w:val="22387876"/>
    <w:rsid w:val="226A7012"/>
    <w:rsid w:val="23154978"/>
    <w:rsid w:val="237A77B8"/>
    <w:rsid w:val="23C40504"/>
    <w:rsid w:val="244E1C1C"/>
    <w:rsid w:val="24E32521"/>
    <w:rsid w:val="25EC52E6"/>
    <w:rsid w:val="268D0971"/>
    <w:rsid w:val="271D7DBB"/>
    <w:rsid w:val="273B779C"/>
    <w:rsid w:val="273D3B93"/>
    <w:rsid w:val="2815786B"/>
    <w:rsid w:val="28592E80"/>
    <w:rsid w:val="29915CCF"/>
    <w:rsid w:val="2A067A0F"/>
    <w:rsid w:val="2A701FA4"/>
    <w:rsid w:val="2A710664"/>
    <w:rsid w:val="2BD76EAB"/>
    <w:rsid w:val="2C950E9E"/>
    <w:rsid w:val="2DA504DC"/>
    <w:rsid w:val="2E2B7F64"/>
    <w:rsid w:val="2EEB62E7"/>
    <w:rsid w:val="2FEF6D23"/>
    <w:rsid w:val="3075454B"/>
    <w:rsid w:val="30A75974"/>
    <w:rsid w:val="30EA440A"/>
    <w:rsid w:val="312002AA"/>
    <w:rsid w:val="3164718E"/>
    <w:rsid w:val="317D47D8"/>
    <w:rsid w:val="324E1126"/>
    <w:rsid w:val="32E01F2E"/>
    <w:rsid w:val="3369627D"/>
    <w:rsid w:val="33845854"/>
    <w:rsid w:val="33BB049E"/>
    <w:rsid w:val="351168B7"/>
    <w:rsid w:val="35F449B1"/>
    <w:rsid w:val="36DA16C8"/>
    <w:rsid w:val="371B37D7"/>
    <w:rsid w:val="38CB5D1D"/>
    <w:rsid w:val="3A4535C8"/>
    <w:rsid w:val="3AFD4B93"/>
    <w:rsid w:val="3C071F4E"/>
    <w:rsid w:val="3DFB004F"/>
    <w:rsid w:val="3E07467A"/>
    <w:rsid w:val="3F021266"/>
    <w:rsid w:val="3F125DAB"/>
    <w:rsid w:val="3FA40B2A"/>
    <w:rsid w:val="40F51A87"/>
    <w:rsid w:val="411B09D0"/>
    <w:rsid w:val="417E36B4"/>
    <w:rsid w:val="42B36E9A"/>
    <w:rsid w:val="42F76CF1"/>
    <w:rsid w:val="45040A62"/>
    <w:rsid w:val="45354DD3"/>
    <w:rsid w:val="461D4876"/>
    <w:rsid w:val="4620494C"/>
    <w:rsid w:val="46261A56"/>
    <w:rsid w:val="47E16CBE"/>
    <w:rsid w:val="48987112"/>
    <w:rsid w:val="48F44BB1"/>
    <w:rsid w:val="496373E6"/>
    <w:rsid w:val="4A0D0CB1"/>
    <w:rsid w:val="4B787A8C"/>
    <w:rsid w:val="4B805748"/>
    <w:rsid w:val="4BDD179A"/>
    <w:rsid w:val="4D2856FB"/>
    <w:rsid w:val="4D570D8A"/>
    <w:rsid w:val="4F6F7D66"/>
    <w:rsid w:val="4F9C07F8"/>
    <w:rsid w:val="52F75B02"/>
    <w:rsid w:val="531B5AF6"/>
    <w:rsid w:val="5349153E"/>
    <w:rsid w:val="53CD68F6"/>
    <w:rsid w:val="54755B3B"/>
    <w:rsid w:val="54F03446"/>
    <w:rsid w:val="55E54E3F"/>
    <w:rsid w:val="572D72D3"/>
    <w:rsid w:val="5735423D"/>
    <w:rsid w:val="57995354"/>
    <w:rsid w:val="58F506C6"/>
    <w:rsid w:val="590B31AE"/>
    <w:rsid w:val="59133C28"/>
    <w:rsid w:val="59A779CF"/>
    <w:rsid w:val="5A9104F8"/>
    <w:rsid w:val="5C2B1CC9"/>
    <w:rsid w:val="5C381321"/>
    <w:rsid w:val="5C5D0B1A"/>
    <w:rsid w:val="5CD034F4"/>
    <w:rsid w:val="5D1A51C3"/>
    <w:rsid w:val="5D3502DE"/>
    <w:rsid w:val="5E607EC4"/>
    <w:rsid w:val="5E8067E8"/>
    <w:rsid w:val="5E986FD9"/>
    <w:rsid w:val="5FC36343"/>
    <w:rsid w:val="60985C38"/>
    <w:rsid w:val="60AF4214"/>
    <w:rsid w:val="61967499"/>
    <w:rsid w:val="620146C6"/>
    <w:rsid w:val="62385652"/>
    <w:rsid w:val="635A55F8"/>
    <w:rsid w:val="63BF6914"/>
    <w:rsid w:val="63DD7674"/>
    <w:rsid w:val="644545DB"/>
    <w:rsid w:val="651255A4"/>
    <w:rsid w:val="672D48A0"/>
    <w:rsid w:val="67325ED7"/>
    <w:rsid w:val="67C669F5"/>
    <w:rsid w:val="682812CA"/>
    <w:rsid w:val="68285E14"/>
    <w:rsid w:val="69335A73"/>
    <w:rsid w:val="695E169D"/>
    <w:rsid w:val="6AB15BE4"/>
    <w:rsid w:val="6AF31D0F"/>
    <w:rsid w:val="6B2A2FDD"/>
    <w:rsid w:val="6B40578E"/>
    <w:rsid w:val="6C85722F"/>
    <w:rsid w:val="6E4A490C"/>
    <w:rsid w:val="6EBD4602"/>
    <w:rsid w:val="6F4115B7"/>
    <w:rsid w:val="6FEF0B6E"/>
    <w:rsid w:val="708834A0"/>
    <w:rsid w:val="70E343EB"/>
    <w:rsid w:val="727924C1"/>
    <w:rsid w:val="72886AC9"/>
    <w:rsid w:val="732912D7"/>
    <w:rsid w:val="744C6916"/>
    <w:rsid w:val="754E68EF"/>
    <w:rsid w:val="76502DE8"/>
    <w:rsid w:val="775E0CEF"/>
    <w:rsid w:val="788516DD"/>
    <w:rsid w:val="78BA07F9"/>
    <w:rsid w:val="78D95689"/>
    <w:rsid w:val="792A1F84"/>
    <w:rsid w:val="794411AA"/>
    <w:rsid w:val="79A62D77"/>
    <w:rsid w:val="79A82975"/>
    <w:rsid w:val="7AA95FEE"/>
    <w:rsid w:val="7B0B23BC"/>
    <w:rsid w:val="7BBF56C8"/>
    <w:rsid w:val="7BD96F2A"/>
    <w:rsid w:val="7F8D3097"/>
    <w:rsid w:val="7FFF21A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3">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9"/>
    <w:qFormat/>
    <w:uiPriority w:val="0"/>
    <w:pPr>
      <w:keepNext/>
      <w:keepLines/>
      <w:adjustRightInd w:val="0"/>
      <w:spacing w:before="260" w:after="260" w:line="416" w:lineRule="atLeast"/>
      <w:textAlignment w:val="baseline"/>
      <w:outlineLvl w:val="1"/>
    </w:pPr>
    <w:rPr>
      <w:rFonts w:ascii="宋体"/>
      <w:b/>
      <w:kern w:val="44"/>
      <w:sz w:val="28"/>
      <w:szCs w:val="20"/>
    </w:rPr>
  </w:style>
  <w:style w:type="paragraph" w:styleId="2">
    <w:name w:val="heading 3"/>
    <w:basedOn w:val="1"/>
    <w:next w:val="1"/>
    <w:qFormat/>
    <w:uiPriority w:val="0"/>
    <w:pPr>
      <w:keepNext/>
      <w:keepLines/>
      <w:spacing w:line="360" w:lineRule="auto"/>
      <w:outlineLvl w:val="2"/>
    </w:pPr>
    <w:rPr>
      <w:rFonts w:ascii="宋体" w:hAnsi="宋体"/>
      <w:b/>
      <w:bCs/>
      <w:sz w:val="28"/>
      <w:szCs w:val="3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adjustRightInd w:val="0"/>
      <w:spacing w:line="360" w:lineRule="atLeast"/>
      <w:ind w:firstLine="420"/>
      <w:jc w:val="left"/>
      <w:textAlignment w:val="baseline"/>
    </w:pPr>
    <w:rPr>
      <w:kern w:val="0"/>
      <w:szCs w:val="20"/>
    </w:rPr>
  </w:style>
  <w:style w:type="paragraph" w:styleId="6">
    <w:name w:val="Document Map"/>
    <w:basedOn w:val="1"/>
    <w:link w:val="40"/>
    <w:semiHidden/>
    <w:unhideWhenUsed/>
    <w:qFormat/>
    <w:uiPriority w:val="99"/>
    <w:rPr>
      <w:rFonts w:ascii="宋体"/>
      <w:sz w:val="18"/>
      <w:szCs w:val="18"/>
    </w:rPr>
  </w:style>
  <w:style w:type="paragraph" w:styleId="7">
    <w:name w:val="annotation text"/>
    <w:basedOn w:val="1"/>
    <w:link w:val="34"/>
    <w:unhideWhenUsed/>
    <w:qFormat/>
    <w:uiPriority w:val="0"/>
    <w:pPr>
      <w:jc w:val="left"/>
    </w:pPr>
  </w:style>
  <w:style w:type="paragraph" w:styleId="8">
    <w:name w:val="Body Text Indent"/>
    <w:basedOn w:val="1"/>
    <w:link w:val="33"/>
    <w:qFormat/>
    <w:uiPriority w:val="0"/>
    <w:pPr>
      <w:adjustRightInd w:val="0"/>
      <w:spacing w:line="360" w:lineRule="auto"/>
      <w:ind w:left="454"/>
      <w:jc w:val="left"/>
      <w:textAlignment w:val="baseline"/>
    </w:pPr>
    <w:rPr>
      <w:rFonts w:ascii="宋体"/>
      <w:kern w:val="0"/>
      <w:szCs w:val="20"/>
    </w:rPr>
  </w:style>
  <w:style w:type="paragraph" w:styleId="9">
    <w:name w:val="Plain Text"/>
    <w:basedOn w:val="1"/>
    <w:link w:val="38"/>
    <w:qFormat/>
    <w:uiPriority w:val="0"/>
    <w:rPr>
      <w:rFonts w:ascii="宋体" w:hAnsi="Courier New"/>
      <w:sz w:val="21"/>
      <w:szCs w:val="20"/>
    </w:rPr>
  </w:style>
  <w:style w:type="paragraph" w:styleId="10">
    <w:name w:val="Date"/>
    <w:basedOn w:val="1"/>
    <w:next w:val="1"/>
    <w:link w:val="37"/>
    <w:qFormat/>
    <w:uiPriority w:val="0"/>
    <w:pPr>
      <w:adjustRightInd w:val="0"/>
      <w:spacing w:line="360" w:lineRule="atLeast"/>
      <w:textAlignment w:val="baseline"/>
    </w:pPr>
    <w:rPr>
      <w:rFonts w:ascii="宋体"/>
      <w:kern w:val="0"/>
      <w:szCs w:val="20"/>
    </w:rPr>
  </w:style>
  <w:style w:type="paragraph" w:styleId="11">
    <w:name w:val="Balloon Text"/>
    <w:basedOn w:val="1"/>
    <w:link w:val="36"/>
    <w:semiHidden/>
    <w:unhideWhenUsed/>
    <w:qFormat/>
    <w:uiPriority w:val="99"/>
    <w:rPr>
      <w:sz w:val="18"/>
      <w:szCs w:val="18"/>
    </w:rPr>
  </w:style>
  <w:style w:type="paragraph" w:styleId="12">
    <w:name w:val="footer"/>
    <w:basedOn w:val="1"/>
    <w:link w:val="28"/>
    <w:unhideWhenUsed/>
    <w:qFormat/>
    <w:uiPriority w:val="99"/>
    <w:pPr>
      <w:tabs>
        <w:tab w:val="center" w:pos="4153"/>
        <w:tab w:val="right" w:pos="8306"/>
      </w:tabs>
      <w:snapToGrid w:val="0"/>
      <w:jc w:val="left"/>
    </w:pPr>
    <w:rPr>
      <w:rFonts w:ascii="等线" w:hAnsi="等线" w:eastAsia="等线"/>
      <w:kern w:val="0"/>
      <w:sz w:val="18"/>
      <w:szCs w:val="18"/>
    </w:rPr>
  </w:style>
  <w:style w:type="paragraph" w:styleId="13">
    <w:name w:val="header"/>
    <w:basedOn w:val="1"/>
    <w:link w:val="27"/>
    <w:unhideWhenUsed/>
    <w:qFormat/>
    <w:uiPriority w:val="99"/>
    <w:pPr>
      <w:pBdr>
        <w:bottom w:val="single" w:color="auto" w:sz="6" w:space="1"/>
      </w:pBdr>
      <w:tabs>
        <w:tab w:val="center" w:pos="4153"/>
        <w:tab w:val="right" w:pos="8306"/>
      </w:tabs>
      <w:snapToGrid w:val="0"/>
      <w:jc w:val="center"/>
    </w:pPr>
    <w:rPr>
      <w:rFonts w:ascii="等线" w:hAnsi="等线" w:eastAsia="等线"/>
      <w:kern w:val="0"/>
      <w:sz w:val="18"/>
      <w:szCs w:val="18"/>
    </w:rPr>
  </w:style>
  <w:style w:type="paragraph" w:styleId="14">
    <w:name w:val="toc 1"/>
    <w:basedOn w:val="1"/>
    <w:next w:val="1"/>
    <w:unhideWhenUsed/>
    <w:qFormat/>
    <w:uiPriority w:val="39"/>
  </w:style>
  <w:style w:type="paragraph" w:styleId="15">
    <w:name w:val="Body Text Indent 3"/>
    <w:basedOn w:val="1"/>
    <w:link w:val="39"/>
    <w:qFormat/>
    <w:uiPriority w:val="0"/>
    <w:pPr>
      <w:spacing w:after="120"/>
      <w:ind w:left="420" w:leftChars="200"/>
    </w:pPr>
    <w:rPr>
      <w:sz w:val="16"/>
      <w:szCs w:val="16"/>
    </w:rPr>
  </w:style>
  <w:style w:type="paragraph" w:styleId="16">
    <w:name w:val="Title"/>
    <w:basedOn w:val="1"/>
    <w:link w:val="32"/>
    <w:qFormat/>
    <w:uiPriority w:val="0"/>
    <w:pPr>
      <w:spacing w:before="240" w:after="60"/>
      <w:jc w:val="center"/>
      <w:outlineLvl w:val="0"/>
    </w:pPr>
    <w:rPr>
      <w:rFonts w:ascii="Arial" w:hAnsi="Arial"/>
      <w:b/>
      <w:kern w:val="0"/>
      <w:sz w:val="32"/>
      <w:szCs w:val="20"/>
    </w:rPr>
  </w:style>
  <w:style w:type="paragraph" w:styleId="17">
    <w:name w:val="annotation subject"/>
    <w:basedOn w:val="7"/>
    <w:next w:val="7"/>
    <w:link w:val="35"/>
    <w:semiHidden/>
    <w:unhideWhenUsed/>
    <w:qFormat/>
    <w:uiPriority w:val="99"/>
    <w:rPr>
      <w:b/>
      <w:bCs/>
    </w:rPr>
  </w:style>
  <w:style w:type="character" w:styleId="20">
    <w:name w:val="Hyperlink"/>
    <w:qFormat/>
    <w:uiPriority w:val="99"/>
    <w:rPr>
      <w:color w:val="0000FF"/>
      <w:u w:val="single"/>
    </w:rPr>
  </w:style>
  <w:style w:type="character" w:styleId="21">
    <w:name w:val="annotation reference"/>
    <w:semiHidden/>
    <w:unhideWhenUsed/>
    <w:qFormat/>
    <w:uiPriority w:val="99"/>
    <w:rPr>
      <w:sz w:val="21"/>
      <w:szCs w:val="21"/>
    </w:rPr>
  </w:style>
  <w:style w:type="paragraph" w:customStyle="1" w:styleId="22">
    <w:name w:val="样式2"/>
    <w:basedOn w:val="9"/>
    <w:next w:val="1"/>
    <w:qFormat/>
    <w:uiPriority w:val="0"/>
    <w:pPr>
      <w:snapToGrid w:val="0"/>
      <w:spacing w:line="460" w:lineRule="atLeast"/>
      <w:ind w:left="426" w:hanging="426"/>
    </w:pPr>
    <w:rPr>
      <w:rFonts w:ascii="Times New Roman" w:hAnsi="Times New Roman"/>
      <w:spacing w:val="10"/>
      <w:sz w:val="24"/>
    </w:rPr>
  </w:style>
  <w:style w:type="paragraph" w:customStyle="1" w:styleId="23">
    <w:name w:val="_Style 5"/>
    <w:basedOn w:val="1"/>
    <w:next w:val="1"/>
    <w:qFormat/>
    <w:uiPriority w:val="39"/>
    <w:pPr>
      <w:tabs>
        <w:tab w:val="right" w:leader="dot" w:pos="8296"/>
      </w:tabs>
      <w:spacing w:before="120" w:after="120"/>
    </w:pPr>
    <w:rPr>
      <w:caps/>
      <w:sz w:val="28"/>
      <w:szCs w:val="28"/>
    </w:rPr>
  </w:style>
  <w:style w:type="paragraph" w:styleId="24">
    <w:name w:val="List Paragraph"/>
    <w:basedOn w:val="1"/>
    <w:qFormat/>
    <w:uiPriority w:val="34"/>
    <w:pPr>
      <w:ind w:firstLine="420" w:firstLineChars="200"/>
    </w:pPr>
  </w:style>
  <w:style w:type="paragraph" w:customStyle="1" w:styleId="25">
    <w:name w:val="样式1"/>
    <w:basedOn w:val="1"/>
    <w:qFormat/>
    <w:uiPriority w:val="0"/>
    <w:pPr>
      <w:adjustRightInd w:val="0"/>
      <w:spacing w:line="420" w:lineRule="auto"/>
      <w:jc w:val="center"/>
      <w:textAlignment w:val="baseline"/>
    </w:pPr>
    <w:rPr>
      <w:rFonts w:ascii="宋体"/>
      <w:kern w:val="0"/>
      <w:szCs w:val="20"/>
    </w:rPr>
  </w:style>
  <w:style w:type="paragraph" w:customStyle="1" w:styleId="26">
    <w:name w:val="_Style 25"/>
    <w:hidden/>
    <w:semiHidden/>
    <w:qFormat/>
    <w:uiPriority w:val="99"/>
    <w:rPr>
      <w:rFonts w:ascii="Times New Roman" w:hAnsi="Times New Roman" w:eastAsia="宋体" w:cs="Times New Roman"/>
      <w:kern w:val="2"/>
      <w:sz w:val="24"/>
      <w:szCs w:val="24"/>
      <w:lang w:val="en-US" w:eastAsia="zh-CN" w:bidi="ar-SA"/>
    </w:rPr>
  </w:style>
  <w:style w:type="character" w:customStyle="1" w:styleId="27">
    <w:name w:val="页眉 Char"/>
    <w:link w:val="13"/>
    <w:qFormat/>
    <w:uiPriority w:val="99"/>
    <w:rPr>
      <w:sz w:val="18"/>
      <w:szCs w:val="18"/>
    </w:rPr>
  </w:style>
  <w:style w:type="character" w:customStyle="1" w:styleId="28">
    <w:name w:val="页脚 Char"/>
    <w:link w:val="12"/>
    <w:qFormat/>
    <w:uiPriority w:val="99"/>
    <w:rPr>
      <w:sz w:val="18"/>
      <w:szCs w:val="18"/>
    </w:rPr>
  </w:style>
  <w:style w:type="character" w:customStyle="1" w:styleId="29">
    <w:name w:val="标题 2 Char"/>
    <w:link w:val="4"/>
    <w:qFormat/>
    <w:uiPriority w:val="0"/>
    <w:rPr>
      <w:rFonts w:ascii="宋体" w:hAnsi="Times New Roman" w:eastAsia="宋体" w:cs="Times New Roman"/>
      <w:b/>
      <w:kern w:val="44"/>
      <w:sz w:val="28"/>
      <w:szCs w:val="20"/>
    </w:rPr>
  </w:style>
  <w:style w:type="character" w:customStyle="1" w:styleId="30">
    <w:name w:val="标题 1 Char"/>
    <w:link w:val="3"/>
    <w:qFormat/>
    <w:uiPriority w:val="9"/>
    <w:rPr>
      <w:rFonts w:ascii="Times New Roman" w:hAnsi="Times New Roman" w:eastAsia="宋体" w:cs="Times New Roman"/>
      <w:b/>
      <w:bCs/>
      <w:kern w:val="44"/>
      <w:sz w:val="44"/>
      <w:szCs w:val="44"/>
    </w:rPr>
  </w:style>
  <w:style w:type="character" w:customStyle="1" w:styleId="31">
    <w:name w:val="标题 字符"/>
    <w:qFormat/>
    <w:uiPriority w:val="10"/>
    <w:rPr>
      <w:rFonts w:ascii="等线 Light" w:hAnsi="等线 Light" w:eastAsia="等线 Light" w:cs="Times New Roman"/>
      <w:b/>
      <w:bCs/>
      <w:sz w:val="32"/>
      <w:szCs w:val="32"/>
    </w:rPr>
  </w:style>
  <w:style w:type="character" w:customStyle="1" w:styleId="32">
    <w:name w:val="标题 Char"/>
    <w:link w:val="16"/>
    <w:qFormat/>
    <w:uiPriority w:val="0"/>
    <w:rPr>
      <w:rFonts w:ascii="Arial" w:hAnsi="Arial" w:eastAsia="宋体" w:cs="Times New Roman"/>
      <w:b/>
      <w:sz w:val="32"/>
      <w:szCs w:val="20"/>
    </w:rPr>
  </w:style>
  <w:style w:type="character" w:customStyle="1" w:styleId="33">
    <w:name w:val="正文文本缩进 Char"/>
    <w:link w:val="8"/>
    <w:qFormat/>
    <w:uiPriority w:val="0"/>
    <w:rPr>
      <w:rFonts w:ascii="宋体" w:hAnsi="Times New Roman" w:eastAsia="宋体" w:cs="Times New Roman"/>
      <w:kern w:val="0"/>
      <w:sz w:val="24"/>
      <w:szCs w:val="20"/>
    </w:rPr>
  </w:style>
  <w:style w:type="character" w:customStyle="1" w:styleId="34">
    <w:name w:val="批注文字 Char"/>
    <w:link w:val="7"/>
    <w:qFormat/>
    <w:uiPriority w:val="0"/>
    <w:rPr>
      <w:rFonts w:ascii="Times New Roman" w:hAnsi="Times New Roman" w:eastAsia="宋体"/>
      <w:kern w:val="2"/>
      <w:sz w:val="24"/>
      <w:szCs w:val="24"/>
    </w:rPr>
  </w:style>
  <w:style w:type="character" w:customStyle="1" w:styleId="35">
    <w:name w:val="批注主题 Char"/>
    <w:link w:val="17"/>
    <w:semiHidden/>
    <w:qFormat/>
    <w:uiPriority w:val="99"/>
    <w:rPr>
      <w:rFonts w:ascii="Times New Roman" w:hAnsi="Times New Roman" w:eastAsia="宋体"/>
      <w:b/>
      <w:bCs/>
      <w:kern w:val="2"/>
      <w:sz w:val="24"/>
      <w:szCs w:val="24"/>
    </w:rPr>
  </w:style>
  <w:style w:type="character" w:customStyle="1" w:styleId="36">
    <w:name w:val="批注框文本 Char"/>
    <w:link w:val="11"/>
    <w:semiHidden/>
    <w:qFormat/>
    <w:uiPriority w:val="99"/>
    <w:rPr>
      <w:rFonts w:ascii="Times New Roman" w:hAnsi="Times New Roman" w:eastAsia="宋体"/>
      <w:kern w:val="2"/>
      <w:sz w:val="18"/>
      <w:szCs w:val="18"/>
    </w:rPr>
  </w:style>
  <w:style w:type="character" w:customStyle="1" w:styleId="37">
    <w:name w:val="日期 Char"/>
    <w:link w:val="10"/>
    <w:qFormat/>
    <w:uiPriority w:val="0"/>
    <w:rPr>
      <w:rFonts w:ascii="宋体" w:hAnsi="Times New Roman" w:eastAsia="宋体"/>
      <w:sz w:val="24"/>
    </w:rPr>
  </w:style>
  <w:style w:type="character" w:customStyle="1" w:styleId="38">
    <w:name w:val="纯文本 Char"/>
    <w:link w:val="9"/>
    <w:qFormat/>
    <w:uiPriority w:val="0"/>
    <w:rPr>
      <w:rFonts w:ascii="宋体" w:hAnsi="Courier New" w:eastAsia="宋体"/>
      <w:kern w:val="2"/>
      <w:sz w:val="21"/>
    </w:rPr>
  </w:style>
  <w:style w:type="character" w:customStyle="1" w:styleId="39">
    <w:name w:val="正文文本缩进 3 Char"/>
    <w:link w:val="15"/>
    <w:qFormat/>
    <w:uiPriority w:val="0"/>
    <w:rPr>
      <w:rFonts w:ascii="Times New Roman" w:hAnsi="Times New Roman" w:eastAsia="宋体"/>
      <w:kern w:val="2"/>
      <w:sz w:val="16"/>
      <w:szCs w:val="16"/>
    </w:rPr>
  </w:style>
  <w:style w:type="character" w:customStyle="1" w:styleId="40">
    <w:name w:val="文档结构图 Char"/>
    <w:link w:val="6"/>
    <w:semiHidden/>
    <w:qFormat/>
    <w:uiPriority w:val="99"/>
    <w:rPr>
      <w:rFonts w:ascii="宋体"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54</Pages>
  <Words>16951</Words>
  <Characters>18745</Characters>
  <Lines>257</Lines>
  <Paragraphs>72</Paragraphs>
  <TotalTime>0</TotalTime>
  <ScaleCrop>false</ScaleCrop>
  <LinksUpToDate>false</LinksUpToDate>
  <CharactersWithSpaces>19384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2018-10-26T02:25:00Z</dcterms:created>
  <dc:creator>NTKO</dc:creator>
  <cp:lastModifiedBy>陈涌顺</cp:lastModifiedBy>
  <dcterms:modified xsi:type="dcterms:W3CDTF">2025-02-19T07:52:52Z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C4328C982A6B43CA8DB280BF145B26EA_12</vt:lpwstr>
  </property>
  <property fmtid="{D5CDD505-2E9C-101B-9397-08002B2CF9AE}" pid="4" name="KSOTemplateDocerSaveRecord">
    <vt:lpwstr>eyJoZGlkIjoiN2Y4MTI2M2FmY2YyZDkwYTZlZjEzMGUxMWIwM2Y3MzIiLCJ1c2VySWQiOiIxNjI0Mzk3NTQ3In0=</vt:lpwstr>
  </property>
</Properties>
</file>