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90B43">
      <w:pPr>
        <w:pStyle w:val="3"/>
        <w:spacing w:line="241" w:lineRule="auto"/>
        <w:rPr>
          <w:color w:val="auto"/>
          <w:highlight w:val="none"/>
        </w:rPr>
      </w:pPr>
    </w:p>
    <w:p w14:paraId="62B78435">
      <w:pPr>
        <w:pStyle w:val="3"/>
        <w:spacing w:line="241" w:lineRule="auto"/>
        <w:rPr>
          <w:color w:val="auto"/>
          <w:highlight w:val="none"/>
        </w:rPr>
      </w:pPr>
    </w:p>
    <w:p w14:paraId="6F7F82F3">
      <w:pPr>
        <w:pStyle w:val="3"/>
        <w:spacing w:line="242" w:lineRule="auto"/>
        <w:rPr>
          <w:color w:val="auto"/>
          <w:highlight w:val="none"/>
        </w:rPr>
      </w:pPr>
    </w:p>
    <w:p w14:paraId="05DBC699">
      <w:pPr>
        <w:pStyle w:val="3"/>
        <w:spacing w:line="242" w:lineRule="auto"/>
        <w:rPr>
          <w:color w:val="auto"/>
          <w:highlight w:val="none"/>
        </w:rPr>
      </w:pPr>
    </w:p>
    <w:p w14:paraId="64233B6B">
      <w:pPr>
        <w:pStyle w:val="3"/>
        <w:spacing w:line="242" w:lineRule="auto"/>
        <w:rPr>
          <w:color w:val="auto"/>
          <w:highlight w:val="none"/>
        </w:rPr>
      </w:pPr>
    </w:p>
    <w:p w14:paraId="15BBB40B">
      <w:pPr>
        <w:pStyle w:val="3"/>
        <w:spacing w:line="242" w:lineRule="auto"/>
        <w:rPr>
          <w:color w:val="auto"/>
          <w:highlight w:val="none"/>
        </w:rPr>
      </w:pPr>
    </w:p>
    <w:p w14:paraId="7755EEFB">
      <w:pPr>
        <w:pStyle w:val="3"/>
        <w:spacing w:line="242" w:lineRule="auto"/>
        <w:rPr>
          <w:color w:val="auto"/>
          <w:highlight w:val="none"/>
        </w:rPr>
      </w:pPr>
    </w:p>
    <w:p w14:paraId="34070949">
      <w:pPr>
        <w:pStyle w:val="3"/>
        <w:spacing w:line="242" w:lineRule="auto"/>
        <w:rPr>
          <w:color w:val="auto"/>
          <w:highlight w:val="none"/>
        </w:rPr>
      </w:pPr>
    </w:p>
    <w:p w14:paraId="6A0FEA9E">
      <w:pPr>
        <w:pStyle w:val="3"/>
        <w:spacing w:line="242" w:lineRule="auto"/>
        <w:rPr>
          <w:color w:val="auto"/>
          <w:highlight w:val="none"/>
        </w:rPr>
      </w:pPr>
    </w:p>
    <w:p w14:paraId="07953F76">
      <w:pPr>
        <w:pStyle w:val="3"/>
        <w:spacing w:line="242" w:lineRule="auto"/>
        <w:rPr>
          <w:color w:val="auto"/>
          <w:highlight w:val="none"/>
        </w:rPr>
      </w:pPr>
    </w:p>
    <w:p w14:paraId="61221E1F">
      <w:pPr>
        <w:pStyle w:val="3"/>
        <w:spacing w:line="242" w:lineRule="auto"/>
        <w:rPr>
          <w:color w:val="auto"/>
          <w:highlight w:val="none"/>
        </w:rPr>
      </w:pPr>
    </w:p>
    <w:p w14:paraId="7519B39B">
      <w:pPr>
        <w:pStyle w:val="3"/>
        <w:spacing w:line="242" w:lineRule="auto"/>
        <w:rPr>
          <w:color w:val="auto"/>
          <w:highlight w:val="none"/>
        </w:rPr>
      </w:pPr>
    </w:p>
    <w:p w14:paraId="793D56C4">
      <w:pPr>
        <w:spacing w:before="169" w:line="220" w:lineRule="auto"/>
        <w:ind w:left="2623"/>
        <w:outlineLvl w:val="0"/>
        <w:rPr>
          <w:rFonts w:ascii="宋体" w:hAnsi="宋体" w:eastAsia="宋体" w:cs="宋体"/>
          <w:color w:val="auto"/>
          <w:sz w:val="52"/>
          <w:szCs w:val="52"/>
          <w:highlight w:val="none"/>
        </w:rPr>
      </w:pPr>
      <w:r>
        <w:rPr>
          <w:rFonts w:ascii="宋体" w:hAnsi="宋体" w:eastAsia="宋体" w:cs="宋体"/>
          <w:b/>
          <w:bCs/>
          <w:color w:val="auto"/>
          <w:spacing w:val="-8"/>
          <w:sz w:val="52"/>
          <w:szCs w:val="52"/>
          <w:highlight w:val="none"/>
        </w:rPr>
        <w:t>凤台电厂工程</w:t>
      </w:r>
    </w:p>
    <w:p w14:paraId="1C2A3F37">
      <w:pPr>
        <w:pStyle w:val="3"/>
        <w:spacing w:line="250" w:lineRule="auto"/>
        <w:rPr>
          <w:color w:val="auto"/>
          <w:highlight w:val="none"/>
        </w:rPr>
      </w:pPr>
    </w:p>
    <w:p w14:paraId="6728566B">
      <w:pPr>
        <w:pStyle w:val="3"/>
        <w:spacing w:line="250" w:lineRule="auto"/>
        <w:rPr>
          <w:color w:val="auto"/>
          <w:highlight w:val="none"/>
        </w:rPr>
      </w:pPr>
    </w:p>
    <w:p w14:paraId="727D3E28">
      <w:pPr>
        <w:pStyle w:val="3"/>
        <w:spacing w:line="250" w:lineRule="auto"/>
        <w:rPr>
          <w:color w:val="auto"/>
          <w:highlight w:val="none"/>
        </w:rPr>
      </w:pPr>
    </w:p>
    <w:p w14:paraId="57B5FADA">
      <w:pPr>
        <w:pStyle w:val="3"/>
        <w:spacing w:line="251" w:lineRule="auto"/>
        <w:rPr>
          <w:color w:val="auto"/>
          <w:highlight w:val="none"/>
        </w:rPr>
      </w:pPr>
    </w:p>
    <w:p w14:paraId="7B2DD0C2">
      <w:pPr>
        <w:pStyle w:val="3"/>
        <w:spacing w:line="251" w:lineRule="auto"/>
        <w:rPr>
          <w:color w:val="auto"/>
          <w:highlight w:val="none"/>
        </w:rPr>
      </w:pPr>
    </w:p>
    <w:p w14:paraId="634FBE4A">
      <w:pPr>
        <w:pStyle w:val="3"/>
        <w:spacing w:line="251" w:lineRule="auto"/>
        <w:rPr>
          <w:color w:val="auto"/>
          <w:highlight w:val="none"/>
        </w:rPr>
      </w:pPr>
    </w:p>
    <w:p w14:paraId="21759D0E">
      <w:pPr>
        <w:pStyle w:val="3"/>
        <w:spacing w:line="251" w:lineRule="auto"/>
        <w:rPr>
          <w:color w:val="auto"/>
          <w:highlight w:val="none"/>
        </w:rPr>
      </w:pPr>
    </w:p>
    <w:p w14:paraId="23B6D617">
      <w:pPr>
        <w:pStyle w:val="3"/>
        <w:spacing w:line="251" w:lineRule="auto"/>
        <w:rPr>
          <w:color w:val="auto"/>
          <w:highlight w:val="none"/>
        </w:rPr>
      </w:pPr>
    </w:p>
    <w:p w14:paraId="7831FA96">
      <w:pPr>
        <w:pStyle w:val="3"/>
        <w:spacing w:line="251" w:lineRule="auto"/>
        <w:rPr>
          <w:color w:val="auto"/>
          <w:highlight w:val="none"/>
        </w:rPr>
      </w:pPr>
    </w:p>
    <w:p w14:paraId="1F6B3334">
      <w:pPr>
        <w:pStyle w:val="3"/>
        <w:spacing w:line="251" w:lineRule="auto"/>
        <w:rPr>
          <w:color w:val="auto"/>
          <w:highlight w:val="none"/>
        </w:rPr>
      </w:pPr>
    </w:p>
    <w:p w14:paraId="61C8DF91">
      <w:pPr>
        <w:spacing w:before="153" w:line="224" w:lineRule="auto"/>
        <w:ind w:left="103"/>
        <w:rPr>
          <w:rFonts w:ascii="宋体" w:hAnsi="宋体" w:eastAsia="宋体" w:cs="宋体"/>
          <w:color w:val="auto"/>
          <w:sz w:val="47"/>
          <w:szCs w:val="47"/>
          <w:highlight w:val="none"/>
        </w:rPr>
      </w:pPr>
      <w:r>
        <w:rPr>
          <w:rFonts w:ascii="宋体" w:hAnsi="宋体" w:eastAsia="宋体" w:cs="宋体"/>
          <w:b/>
          <w:bCs/>
          <w:color w:val="auto"/>
          <w:spacing w:val="1"/>
          <w:sz w:val="47"/>
          <w:szCs w:val="47"/>
          <w:highlight w:val="none"/>
        </w:rPr>
        <w:t>2</w:t>
      </w:r>
      <w:r>
        <w:rPr>
          <w:rFonts w:ascii="宋体" w:hAnsi="宋体" w:eastAsia="宋体" w:cs="宋体"/>
          <w:color w:val="auto"/>
          <w:spacing w:val="-82"/>
          <w:sz w:val="47"/>
          <w:szCs w:val="47"/>
          <w:highlight w:val="none"/>
        </w:rPr>
        <w:t xml:space="preserve"> </w:t>
      </w:r>
      <w:r>
        <w:rPr>
          <w:rFonts w:ascii="宋体" w:hAnsi="宋体" w:eastAsia="宋体" w:cs="宋体"/>
          <w:b/>
          <w:bCs/>
          <w:color w:val="auto"/>
          <w:spacing w:val="1"/>
          <w:sz w:val="47"/>
          <w:szCs w:val="47"/>
          <w:highlight w:val="none"/>
        </w:rPr>
        <w:t>号发变组保护、01</w:t>
      </w:r>
      <w:r>
        <w:rPr>
          <w:rFonts w:ascii="宋体" w:hAnsi="宋体" w:eastAsia="宋体" w:cs="宋体"/>
          <w:color w:val="auto"/>
          <w:spacing w:val="-85"/>
          <w:sz w:val="47"/>
          <w:szCs w:val="47"/>
          <w:highlight w:val="none"/>
        </w:rPr>
        <w:t xml:space="preserve"> </w:t>
      </w:r>
      <w:r>
        <w:rPr>
          <w:rFonts w:ascii="宋体" w:hAnsi="宋体" w:eastAsia="宋体" w:cs="宋体"/>
          <w:b/>
          <w:bCs/>
          <w:color w:val="auto"/>
          <w:spacing w:val="1"/>
          <w:sz w:val="47"/>
          <w:szCs w:val="47"/>
          <w:highlight w:val="none"/>
        </w:rPr>
        <w:t>号启备变保护设备</w:t>
      </w:r>
    </w:p>
    <w:p w14:paraId="165ABB01">
      <w:pPr>
        <w:pStyle w:val="3"/>
        <w:spacing w:line="260" w:lineRule="auto"/>
        <w:rPr>
          <w:color w:val="auto"/>
          <w:highlight w:val="none"/>
        </w:rPr>
      </w:pPr>
    </w:p>
    <w:p w14:paraId="7A00F6B0">
      <w:pPr>
        <w:pStyle w:val="3"/>
        <w:spacing w:line="260" w:lineRule="auto"/>
        <w:rPr>
          <w:color w:val="auto"/>
          <w:highlight w:val="none"/>
        </w:rPr>
      </w:pPr>
    </w:p>
    <w:p w14:paraId="581D5352">
      <w:pPr>
        <w:spacing w:before="153" w:line="223" w:lineRule="auto"/>
        <w:ind w:left="2984"/>
        <w:rPr>
          <w:rFonts w:ascii="宋体" w:hAnsi="宋体" w:eastAsia="宋体" w:cs="宋体"/>
          <w:color w:val="auto"/>
          <w:sz w:val="47"/>
          <w:szCs w:val="47"/>
          <w:highlight w:val="none"/>
        </w:rPr>
      </w:pPr>
      <w:r>
        <w:rPr>
          <w:rFonts w:ascii="宋体" w:hAnsi="宋体" w:eastAsia="宋体" w:cs="宋体"/>
          <w:b/>
          <w:bCs/>
          <w:color w:val="auto"/>
          <w:spacing w:val="2"/>
          <w:sz w:val="47"/>
          <w:szCs w:val="47"/>
          <w:highlight w:val="none"/>
        </w:rPr>
        <w:t>技术规范书</w:t>
      </w:r>
    </w:p>
    <w:p w14:paraId="3119BFED">
      <w:pPr>
        <w:spacing w:line="223" w:lineRule="auto"/>
        <w:rPr>
          <w:rFonts w:ascii="宋体" w:hAnsi="宋体" w:eastAsia="宋体" w:cs="宋体"/>
          <w:color w:val="auto"/>
          <w:sz w:val="47"/>
          <w:szCs w:val="47"/>
          <w:highlight w:val="none"/>
        </w:rPr>
        <w:sectPr>
          <w:pgSz w:w="11906" w:h="16839"/>
          <w:pgMar w:top="1431" w:right="1785" w:bottom="0" w:left="1785" w:header="0" w:footer="0" w:gutter="0"/>
          <w:pgBorders>
            <w:top w:val="none" w:sz="0" w:space="0"/>
            <w:left w:val="none" w:sz="0" w:space="0"/>
            <w:bottom w:val="none" w:sz="0" w:space="0"/>
            <w:right w:val="none" w:sz="0" w:space="0"/>
          </w:pgBorders>
          <w:cols w:space="720" w:num="1"/>
        </w:sectPr>
      </w:pPr>
    </w:p>
    <w:sdt>
      <w:sdtPr>
        <w:rPr>
          <w:rFonts w:ascii="宋体" w:hAnsi="宋体" w:eastAsia="宋体" w:cs="宋体"/>
          <w:color w:val="auto"/>
          <w:sz w:val="43"/>
          <w:szCs w:val="43"/>
          <w:highlight w:val="none"/>
        </w:rPr>
        <w:id w:val="1"/>
        <w:docPartObj>
          <w:docPartGallery w:val="Table of Contents"/>
          <w:docPartUnique/>
        </w:docPartObj>
      </w:sdtPr>
      <w:sdtEndPr>
        <w:rPr>
          <w:rFonts w:ascii="宋体" w:hAnsi="宋体" w:eastAsia="宋体" w:cs="宋体"/>
          <w:color w:val="auto"/>
          <w:sz w:val="24"/>
          <w:szCs w:val="24"/>
          <w:highlight w:val="none"/>
        </w:rPr>
      </w:sdtEndPr>
      <w:sdtContent>
        <w:p w14:paraId="19C03B70">
          <w:pPr>
            <w:spacing w:before="101" w:line="225" w:lineRule="auto"/>
            <w:ind w:left="3496"/>
            <w:rPr>
              <w:rFonts w:ascii="宋体" w:hAnsi="宋体" w:eastAsia="宋体" w:cs="宋体"/>
              <w:color w:val="auto"/>
              <w:sz w:val="43"/>
              <w:szCs w:val="43"/>
              <w:highlight w:val="none"/>
            </w:rPr>
          </w:pPr>
          <w:r>
            <w:rPr>
              <w:rFonts w:ascii="宋体" w:hAnsi="宋体" w:eastAsia="宋体" w:cs="宋体"/>
              <w:b/>
              <w:bCs/>
              <w:color w:val="auto"/>
              <w:spacing w:val="-51"/>
              <w:sz w:val="43"/>
              <w:szCs w:val="43"/>
              <w:highlight w:val="none"/>
            </w:rPr>
            <w:t>目</w:t>
          </w:r>
          <w:r>
            <w:rPr>
              <w:rFonts w:ascii="宋体" w:hAnsi="宋体" w:eastAsia="宋体" w:cs="宋体"/>
              <w:color w:val="auto"/>
              <w:spacing w:val="12"/>
              <w:sz w:val="43"/>
              <w:szCs w:val="43"/>
              <w:highlight w:val="none"/>
            </w:rPr>
            <w:t xml:space="preserve">   </w:t>
          </w:r>
          <w:r>
            <w:rPr>
              <w:rFonts w:ascii="宋体" w:hAnsi="宋体" w:eastAsia="宋体" w:cs="宋体"/>
              <w:b/>
              <w:bCs/>
              <w:color w:val="auto"/>
              <w:spacing w:val="-51"/>
              <w:sz w:val="43"/>
              <w:szCs w:val="43"/>
              <w:highlight w:val="none"/>
            </w:rPr>
            <w:t>录</w:t>
          </w:r>
        </w:p>
        <w:p w14:paraId="33090101">
          <w:pPr>
            <w:pStyle w:val="3"/>
            <w:spacing w:line="254" w:lineRule="auto"/>
            <w:rPr>
              <w:color w:val="auto"/>
              <w:highlight w:val="none"/>
            </w:rPr>
          </w:pPr>
        </w:p>
        <w:p w14:paraId="523764A3">
          <w:pPr>
            <w:pStyle w:val="3"/>
            <w:spacing w:line="254" w:lineRule="auto"/>
            <w:rPr>
              <w:color w:val="auto"/>
              <w:highlight w:val="none"/>
            </w:rPr>
          </w:pPr>
        </w:p>
        <w:p w14:paraId="7C2EA1BE">
          <w:pPr>
            <w:tabs>
              <w:tab w:val="right" w:leader="dot" w:pos="8310"/>
            </w:tabs>
            <w:spacing w:before="78" w:line="184" w:lineRule="auto"/>
            <w:ind w:left="42"/>
            <w:rPr>
              <w:rFonts w:ascii="宋体" w:hAnsi="宋体" w:eastAsia="宋体" w:cs="宋体"/>
              <w:color w:val="auto"/>
              <w:sz w:val="24"/>
              <w:szCs w:val="24"/>
              <w:highlight w:val="none"/>
            </w:rPr>
          </w:pPr>
          <w:bookmarkStart w:id="0" w:name="bookmark1"/>
          <w:bookmarkEnd w:id="0"/>
          <w:r>
            <w:rPr>
              <w:color w:val="auto"/>
              <w:highlight w:val="none"/>
            </w:rPr>
            <w:fldChar w:fldCharType="begin"/>
          </w:r>
          <w:r>
            <w:rPr>
              <w:color w:val="auto"/>
              <w:highlight w:val="none"/>
            </w:rPr>
            <w:instrText xml:space="preserve"> HYPERLINK \l "bookmark2" </w:instrText>
          </w:r>
          <w:r>
            <w:rPr>
              <w:color w:val="auto"/>
              <w:highlight w:val="none"/>
            </w:rPr>
            <w:fldChar w:fldCharType="separate"/>
          </w:r>
          <w:r>
            <w:rPr>
              <w:rFonts w:ascii="宋体" w:hAnsi="宋体" w:eastAsia="宋体" w:cs="宋体"/>
              <w:color w:val="auto"/>
              <w:spacing w:val="-10"/>
              <w:sz w:val="24"/>
              <w:szCs w:val="24"/>
              <w:highlight w:val="none"/>
            </w:rPr>
            <w:t>附件</w:t>
          </w:r>
          <w:r>
            <w:rPr>
              <w:rFonts w:ascii="宋体" w:hAnsi="宋体" w:eastAsia="宋体" w:cs="宋体"/>
              <w:color w:val="auto"/>
              <w:spacing w:val="-30"/>
              <w:sz w:val="24"/>
              <w:szCs w:val="24"/>
              <w:highlight w:val="none"/>
            </w:rPr>
            <w:t xml:space="preserve"> </w:t>
          </w:r>
          <w:r>
            <w:rPr>
              <w:rFonts w:ascii="宋体" w:hAnsi="宋体" w:eastAsia="宋体" w:cs="宋体"/>
              <w:color w:val="auto"/>
              <w:spacing w:val="-10"/>
              <w:sz w:val="24"/>
              <w:szCs w:val="24"/>
              <w:highlight w:val="none"/>
            </w:rPr>
            <w:t>1</w:t>
          </w:r>
          <w:r>
            <w:rPr>
              <w:rFonts w:ascii="宋体" w:hAnsi="宋体" w:eastAsia="宋体" w:cs="宋体"/>
              <w:color w:val="auto"/>
              <w:spacing w:val="5"/>
              <w:sz w:val="24"/>
              <w:szCs w:val="24"/>
              <w:highlight w:val="none"/>
            </w:rPr>
            <w:t xml:space="preserve">  </w:t>
          </w:r>
          <w:r>
            <w:rPr>
              <w:rFonts w:ascii="宋体" w:hAnsi="宋体" w:eastAsia="宋体" w:cs="宋体"/>
              <w:color w:val="auto"/>
              <w:spacing w:val="-10"/>
              <w:sz w:val="24"/>
              <w:szCs w:val="24"/>
              <w:highlight w:val="none"/>
            </w:rPr>
            <w:t>技术规范</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z w:val="24"/>
              <w:szCs w:val="24"/>
              <w:highlight w:val="none"/>
            </w:rPr>
            <w:t>3</w:t>
          </w:r>
          <w:r>
            <w:rPr>
              <w:rFonts w:ascii="宋体" w:hAnsi="宋体" w:eastAsia="宋体" w:cs="宋体"/>
              <w:color w:val="auto"/>
              <w:sz w:val="24"/>
              <w:szCs w:val="24"/>
              <w:highlight w:val="none"/>
            </w:rPr>
            <w:fldChar w:fldCharType="end"/>
          </w:r>
        </w:p>
        <w:p w14:paraId="4BE74AD2">
          <w:pPr>
            <w:tabs>
              <w:tab w:val="right" w:leader="dot" w:pos="8310"/>
            </w:tabs>
            <w:spacing w:before="228" w:line="184" w:lineRule="auto"/>
            <w:ind w:left="42"/>
            <w:rPr>
              <w:rFonts w:ascii="宋体" w:hAnsi="宋体" w:eastAsia="宋体" w:cs="宋体"/>
              <w:color w:val="auto"/>
              <w:sz w:val="24"/>
              <w:szCs w:val="24"/>
              <w:highlight w:val="none"/>
            </w:rPr>
          </w:pPr>
          <w:bookmarkStart w:id="1" w:name="bookmark3"/>
          <w:bookmarkEnd w:id="1"/>
          <w:r>
            <w:rPr>
              <w:color w:val="auto"/>
              <w:highlight w:val="none"/>
            </w:rPr>
            <w:fldChar w:fldCharType="begin"/>
          </w:r>
          <w:r>
            <w:rPr>
              <w:color w:val="auto"/>
              <w:highlight w:val="none"/>
            </w:rPr>
            <w:instrText xml:space="preserve"> HYPERLINK \l "bookmark4" </w:instrText>
          </w:r>
          <w:r>
            <w:rPr>
              <w:color w:val="auto"/>
              <w:highlight w:val="none"/>
            </w:rPr>
            <w:fldChar w:fldCharType="separate"/>
          </w:r>
          <w:r>
            <w:rPr>
              <w:rFonts w:ascii="宋体" w:hAnsi="宋体" w:eastAsia="宋体" w:cs="宋体"/>
              <w:color w:val="auto"/>
              <w:spacing w:val="-8"/>
              <w:sz w:val="24"/>
              <w:szCs w:val="24"/>
              <w:highlight w:val="none"/>
            </w:rPr>
            <w:t>附件</w:t>
          </w:r>
          <w:r>
            <w:rPr>
              <w:rFonts w:ascii="宋体" w:hAnsi="宋体" w:eastAsia="宋体" w:cs="宋体"/>
              <w:color w:val="auto"/>
              <w:spacing w:val="-43"/>
              <w:sz w:val="24"/>
              <w:szCs w:val="24"/>
              <w:highlight w:val="none"/>
            </w:rPr>
            <w:t xml:space="preserve"> </w:t>
          </w:r>
          <w:r>
            <w:rPr>
              <w:rFonts w:ascii="宋体" w:hAnsi="宋体" w:eastAsia="宋体" w:cs="宋体"/>
              <w:color w:val="auto"/>
              <w:spacing w:val="-8"/>
              <w:sz w:val="24"/>
              <w:szCs w:val="24"/>
              <w:highlight w:val="none"/>
            </w:rPr>
            <w:t>2</w:t>
          </w:r>
          <w:r>
            <w:rPr>
              <w:rFonts w:ascii="宋体" w:hAnsi="宋体" w:eastAsia="宋体" w:cs="宋体"/>
              <w:color w:val="auto"/>
              <w:spacing w:val="4"/>
              <w:sz w:val="24"/>
              <w:szCs w:val="24"/>
              <w:highlight w:val="none"/>
            </w:rPr>
            <w:t xml:space="preserve">  </w:t>
          </w:r>
          <w:r>
            <w:rPr>
              <w:rFonts w:ascii="宋体" w:hAnsi="宋体" w:eastAsia="宋体" w:cs="宋体"/>
              <w:color w:val="auto"/>
              <w:spacing w:val="-8"/>
              <w:sz w:val="24"/>
              <w:szCs w:val="24"/>
              <w:highlight w:val="none"/>
            </w:rPr>
            <w:t>供货范围</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36</w:t>
          </w:r>
          <w:r>
            <w:rPr>
              <w:rFonts w:ascii="宋体" w:hAnsi="宋体" w:eastAsia="宋体" w:cs="宋体"/>
              <w:color w:val="auto"/>
              <w:spacing w:val="-8"/>
              <w:sz w:val="24"/>
              <w:szCs w:val="24"/>
              <w:highlight w:val="none"/>
            </w:rPr>
            <w:fldChar w:fldCharType="end"/>
          </w:r>
        </w:p>
        <w:p w14:paraId="34D8C550">
          <w:pPr>
            <w:tabs>
              <w:tab w:val="right" w:leader="dot" w:pos="8310"/>
            </w:tabs>
            <w:spacing w:before="228" w:line="184" w:lineRule="auto"/>
            <w:ind w:left="42"/>
            <w:rPr>
              <w:rFonts w:ascii="宋体" w:hAnsi="宋体" w:eastAsia="宋体" w:cs="宋体"/>
              <w:color w:val="auto"/>
              <w:sz w:val="24"/>
              <w:szCs w:val="24"/>
              <w:highlight w:val="none"/>
            </w:rPr>
          </w:pPr>
          <w:bookmarkStart w:id="2" w:name="bookmark5"/>
          <w:bookmarkEnd w:id="2"/>
          <w:r>
            <w:rPr>
              <w:color w:val="auto"/>
              <w:highlight w:val="none"/>
            </w:rPr>
            <w:fldChar w:fldCharType="begin"/>
          </w:r>
          <w:r>
            <w:rPr>
              <w:color w:val="auto"/>
              <w:highlight w:val="none"/>
            </w:rPr>
            <w:instrText xml:space="preserve"> HYPERLINK \l "bookmark6" </w:instrText>
          </w:r>
          <w:r>
            <w:rPr>
              <w:color w:val="auto"/>
              <w:highlight w:val="none"/>
            </w:rPr>
            <w:fldChar w:fldCharType="separate"/>
          </w:r>
          <w:r>
            <w:rPr>
              <w:rFonts w:ascii="宋体" w:hAnsi="宋体" w:eastAsia="宋体" w:cs="宋体"/>
              <w:color w:val="auto"/>
              <w:spacing w:val="-4"/>
              <w:sz w:val="24"/>
              <w:szCs w:val="24"/>
              <w:highlight w:val="none"/>
            </w:rPr>
            <w:t>附件</w:t>
          </w:r>
          <w:r>
            <w:rPr>
              <w:rFonts w:ascii="宋体" w:hAnsi="宋体" w:eastAsia="宋体" w:cs="宋体"/>
              <w:color w:val="auto"/>
              <w:spacing w:val="-34"/>
              <w:sz w:val="24"/>
              <w:szCs w:val="24"/>
              <w:highlight w:val="none"/>
            </w:rPr>
            <w:t xml:space="preserve"> </w:t>
          </w:r>
          <w:r>
            <w:rPr>
              <w:rFonts w:ascii="宋体" w:hAnsi="宋体" w:eastAsia="宋体" w:cs="宋体"/>
              <w:color w:val="auto"/>
              <w:spacing w:val="-4"/>
              <w:sz w:val="24"/>
              <w:szCs w:val="24"/>
              <w:highlight w:val="none"/>
            </w:rPr>
            <w:t>3  技术资料及交付进度</w:t>
          </w:r>
          <w:r>
            <w:rPr>
              <w:rFonts w:ascii="宋体" w:hAnsi="宋体" w:eastAsia="宋体" w:cs="宋体"/>
              <w:color w:val="auto"/>
              <w:sz w:val="24"/>
              <w:szCs w:val="24"/>
              <w:highlight w:val="none"/>
            </w:rPr>
            <w:tab/>
          </w:r>
          <w:r>
            <w:rPr>
              <w:rFonts w:ascii="宋体" w:hAnsi="宋体" w:eastAsia="宋体" w:cs="宋体"/>
              <w:color w:val="auto"/>
              <w:spacing w:val="-95"/>
              <w:sz w:val="24"/>
              <w:szCs w:val="24"/>
              <w:highlight w:val="none"/>
            </w:rPr>
            <w:t xml:space="preserve"> </w:t>
          </w:r>
          <w:r>
            <w:rPr>
              <w:rFonts w:ascii="宋体" w:hAnsi="宋体" w:eastAsia="宋体" w:cs="宋体"/>
              <w:color w:val="auto"/>
              <w:spacing w:val="-5"/>
              <w:sz w:val="24"/>
              <w:szCs w:val="24"/>
              <w:highlight w:val="none"/>
            </w:rPr>
            <w:t>40</w:t>
          </w:r>
          <w:r>
            <w:rPr>
              <w:rFonts w:ascii="宋体" w:hAnsi="宋体" w:eastAsia="宋体" w:cs="宋体"/>
              <w:color w:val="auto"/>
              <w:spacing w:val="-5"/>
              <w:sz w:val="24"/>
              <w:szCs w:val="24"/>
              <w:highlight w:val="none"/>
            </w:rPr>
            <w:fldChar w:fldCharType="end"/>
          </w:r>
        </w:p>
        <w:p w14:paraId="43B39808">
          <w:pPr>
            <w:tabs>
              <w:tab w:val="right" w:leader="dot" w:pos="8310"/>
            </w:tabs>
            <w:spacing w:before="229" w:line="184" w:lineRule="auto"/>
            <w:ind w:left="42"/>
            <w:rPr>
              <w:rFonts w:ascii="宋体" w:hAnsi="宋体" w:eastAsia="宋体" w:cs="宋体"/>
              <w:color w:val="auto"/>
              <w:sz w:val="24"/>
              <w:szCs w:val="24"/>
              <w:highlight w:val="none"/>
            </w:rPr>
          </w:pPr>
          <w:bookmarkStart w:id="3" w:name="bookmark7"/>
          <w:bookmarkEnd w:id="3"/>
          <w:r>
            <w:rPr>
              <w:color w:val="auto"/>
              <w:highlight w:val="none"/>
            </w:rPr>
            <w:fldChar w:fldCharType="begin"/>
          </w:r>
          <w:r>
            <w:rPr>
              <w:color w:val="auto"/>
              <w:highlight w:val="none"/>
            </w:rPr>
            <w:instrText xml:space="preserve"> HYPERLINK \l "bookmark8" </w:instrText>
          </w:r>
          <w:r>
            <w:rPr>
              <w:color w:val="auto"/>
              <w:highlight w:val="none"/>
            </w:rPr>
            <w:fldChar w:fldCharType="separate"/>
          </w:r>
          <w:r>
            <w:rPr>
              <w:rFonts w:ascii="宋体" w:hAnsi="宋体" w:eastAsia="宋体" w:cs="宋体"/>
              <w:color w:val="auto"/>
              <w:spacing w:val="-4"/>
              <w:sz w:val="24"/>
              <w:szCs w:val="24"/>
              <w:highlight w:val="none"/>
            </w:rPr>
            <w:t>附件</w:t>
          </w:r>
          <w:r>
            <w:rPr>
              <w:rFonts w:ascii="宋体" w:hAnsi="宋体" w:eastAsia="宋体" w:cs="宋体"/>
              <w:color w:val="auto"/>
              <w:spacing w:val="-46"/>
              <w:sz w:val="24"/>
              <w:szCs w:val="24"/>
              <w:highlight w:val="none"/>
            </w:rPr>
            <w:t xml:space="preserve"> </w:t>
          </w:r>
          <w:r>
            <w:rPr>
              <w:rFonts w:ascii="宋体" w:hAnsi="宋体" w:eastAsia="宋体" w:cs="宋体"/>
              <w:color w:val="auto"/>
              <w:spacing w:val="-4"/>
              <w:sz w:val="24"/>
              <w:szCs w:val="24"/>
              <w:highlight w:val="none"/>
            </w:rPr>
            <w:t>4  设备交货进度</w:t>
          </w:r>
          <w:r>
            <w:rPr>
              <w:rFonts w:ascii="宋体" w:hAnsi="宋体" w:eastAsia="宋体" w:cs="宋体"/>
              <w:color w:val="auto"/>
              <w:sz w:val="24"/>
              <w:szCs w:val="24"/>
              <w:highlight w:val="none"/>
            </w:rPr>
            <w:tab/>
          </w:r>
          <w:r>
            <w:rPr>
              <w:rFonts w:ascii="宋体" w:hAnsi="宋体" w:eastAsia="宋体" w:cs="宋体"/>
              <w:color w:val="auto"/>
              <w:spacing w:val="-95"/>
              <w:sz w:val="24"/>
              <w:szCs w:val="24"/>
              <w:highlight w:val="none"/>
            </w:rPr>
            <w:t xml:space="preserve"> </w:t>
          </w:r>
          <w:r>
            <w:rPr>
              <w:rFonts w:ascii="宋体" w:hAnsi="宋体" w:eastAsia="宋体" w:cs="宋体"/>
              <w:color w:val="auto"/>
              <w:spacing w:val="-5"/>
              <w:sz w:val="24"/>
              <w:szCs w:val="24"/>
              <w:highlight w:val="none"/>
            </w:rPr>
            <w:t>43</w:t>
          </w:r>
          <w:r>
            <w:rPr>
              <w:rFonts w:ascii="宋体" w:hAnsi="宋体" w:eastAsia="宋体" w:cs="宋体"/>
              <w:color w:val="auto"/>
              <w:spacing w:val="-5"/>
              <w:sz w:val="24"/>
              <w:szCs w:val="24"/>
              <w:highlight w:val="none"/>
            </w:rPr>
            <w:fldChar w:fldCharType="end"/>
          </w:r>
        </w:p>
        <w:p w14:paraId="31BD2EEE">
          <w:pPr>
            <w:tabs>
              <w:tab w:val="right" w:leader="dot" w:pos="8310"/>
            </w:tabs>
            <w:spacing w:before="229" w:line="184" w:lineRule="auto"/>
            <w:ind w:left="42"/>
            <w:rPr>
              <w:rFonts w:ascii="宋体" w:hAnsi="宋体" w:eastAsia="宋体" w:cs="宋体"/>
              <w:color w:val="auto"/>
              <w:sz w:val="24"/>
              <w:szCs w:val="24"/>
              <w:highlight w:val="none"/>
            </w:rPr>
          </w:pPr>
          <w:bookmarkStart w:id="4" w:name="bookmark9"/>
          <w:bookmarkEnd w:id="4"/>
          <w:r>
            <w:rPr>
              <w:color w:val="auto"/>
              <w:highlight w:val="none"/>
            </w:rPr>
            <w:fldChar w:fldCharType="begin"/>
          </w:r>
          <w:r>
            <w:rPr>
              <w:color w:val="auto"/>
              <w:highlight w:val="none"/>
            </w:rPr>
            <w:instrText xml:space="preserve"> HYPERLINK \l "bookmark10" </w:instrText>
          </w:r>
          <w:r>
            <w:rPr>
              <w:color w:val="auto"/>
              <w:highlight w:val="none"/>
            </w:rPr>
            <w:fldChar w:fldCharType="separate"/>
          </w:r>
          <w:r>
            <w:rPr>
              <w:rFonts w:ascii="宋体" w:hAnsi="宋体" w:eastAsia="宋体" w:cs="宋体"/>
              <w:color w:val="auto"/>
              <w:spacing w:val="-3"/>
              <w:sz w:val="24"/>
              <w:szCs w:val="24"/>
              <w:highlight w:val="none"/>
            </w:rPr>
            <w:t>附件</w:t>
          </w:r>
          <w:r>
            <w:rPr>
              <w:rFonts w:ascii="宋体" w:hAnsi="宋体" w:eastAsia="宋体" w:cs="宋体"/>
              <w:color w:val="auto"/>
              <w:spacing w:val="-33"/>
              <w:sz w:val="24"/>
              <w:szCs w:val="24"/>
              <w:highlight w:val="none"/>
            </w:rPr>
            <w:t xml:space="preserve"> </w:t>
          </w:r>
          <w:r>
            <w:rPr>
              <w:rFonts w:ascii="宋体" w:hAnsi="宋体" w:eastAsia="宋体" w:cs="宋体"/>
              <w:color w:val="auto"/>
              <w:spacing w:val="-3"/>
              <w:sz w:val="24"/>
              <w:szCs w:val="24"/>
              <w:highlight w:val="none"/>
            </w:rPr>
            <w:t>5  设备监造、检验和性能验收试验</w:t>
          </w:r>
          <w:r>
            <w:rPr>
              <w:rFonts w:ascii="宋体" w:hAnsi="宋体" w:eastAsia="宋体" w:cs="宋体"/>
              <w:color w:val="auto"/>
              <w:sz w:val="24"/>
              <w:szCs w:val="24"/>
              <w:highlight w:val="none"/>
            </w:rPr>
            <w:tab/>
          </w:r>
          <w:r>
            <w:rPr>
              <w:rFonts w:ascii="宋体" w:hAnsi="宋体" w:eastAsia="宋体" w:cs="宋体"/>
              <w:color w:val="auto"/>
              <w:spacing w:val="-95"/>
              <w:sz w:val="24"/>
              <w:szCs w:val="24"/>
              <w:highlight w:val="none"/>
            </w:rPr>
            <w:t xml:space="preserve"> </w:t>
          </w:r>
          <w:r>
            <w:rPr>
              <w:rFonts w:ascii="宋体" w:hAnsi="宋体" w:eastAsia="宋体" w:cs="宋体"/>
              <w:color w:val="auto"/>
              <w:spacing w:val="-5"/>
              <w:sz w:val="24"/>
              <w:szCs w:val="24"/>
              <w:highlight w:val="none"/>
            </w:rPr>
            <w:t>44</w:t>
          </w:r>
          <w:r>
            <w:rPr>
              <w:rFonts w:ascii="宋体" w:hAnsi="宋体" w:eastAsia="宋体" w:cs="宋体"/>
              <w:color w:val="auto"/>
              <w:spacing w:val="-5"/>
              <w:sz w:val="24"/>
              <w:szCs w:val="24"/>
              <w:highlight w:val="none"/>
            </w:rPr>
            <w:fldChar w:fldCharType="end"/>
          </w:r>
        </w:p>
        <w:p w14:paraId="1E1E0D63">
          <w:pPr>
            <w:tabs>
              <w:tab w:val="right" w:leader="dot" w:pos="8310"/>
            </w:tabs>
            <w:spacing w:before="229" w:line="184" w:lineRule="auto"/>
            <w:ind w:left="42"/>
            <w:rPr>
              <w:rFonts w:ascii="宋体" w:hAnsi="宋体" w:eastAsia="宋体" w:cs="宋体"/>
              <w:color w:val="auto"/>
              <w:sz w:val="24"/>
              <w:szCs w:val="24"/>
              <w:highlight w:val="none"/>
            </w:rPr>
          </w:pPr>
          <w:bookmarkStart w:id="5" w:name="bookmark11"/>
          <w:bookmarkEnd w:id="5"/>
          <w:r>
            <w:rPr>
              <w:color w:val="auto"/>
              <w:highlight w:val="none"/>
            </w:rPr>
            <w:fldChar w:fldCharType="begin"/>
          </w:r>
          <w:r>
            <w:rPr>
              <w:color w:val="auto"/>
              <w:highlight w:val="none"/>
            </w:rPr>
            <w:instrText xml:space="preserve"> HYPERLINK \l "bookmark12" </w:instrText>
          </w:r>
          <w:r>
            <w:rPr>
              <w:color w:val="auto"/>
              <w:highlight w:val="none"/>
            </w:rPr>
            <w:fldChar w:fldCharType="separate"/>
          </w:r>
          <w:r>
            <w:rPr>
              <w:rFonts w:ascii="宋体" w:hAnsi="宋体" w:eastAsia="宋体" w:cs="宋体"/>
              <w:color w:val="auto"/>
              <w:spacing w:val="-4"/>
              <w:sz w:val="24"/>
              <w:szCs w:val="24"/>
              <w:highlight w:val="none"/>
            </w:rPr>
            <w:t>附件</w:t>
          </w:r>
          <w:r>
            <w:rPr>
              <w:rFonts w:ascii="宋体" w:hAnsi="宋体" w:eastAsia="宋体" w:cs="宋体"/>
              <w:color w:val="auto"/>
              <w:spacing w:val="-42"/>
              <w:sz w:val="24"/>
              <w:szCs w:val="24"/>
              <w:highlight w:val="none"/>
            </w:rPr>
            <w:t xml:space="preserve"> </w:t>
          </w:r>
          <w:r>
            <w:rPr>
              <w:rFonts w:ascii="宋体" w:hAnsi="宋体" w:eastAsia="宋体" w:cs="宋体"/>
              <w:color w:val="auto"/>
              <w:spacing w:val="-4"/>
              <w:sz w:val="24"/>
              <w:szCs w:val="24"/>
              <w:highlight w:val="none"/>
            </w:rPr>
            <w:t>6  技术服务和联络</w:t>
          </w:r>
          <w:r>
            <w:rPr>
              <w:rFonts w:ascii="宋体" w:hAnsi="宋体" w:eastAsia="宋体" w:cs="宋体"/>
              <w:color w:val="auto"/>
              <w:sz w:val="24"/>
              <w:szCs w:val="24"/>
              <w:highlight w:val="none"/>
            </w:rPr>
            <w:tab/>
          </w:r>
          <w:r>
            <w:rPr>
              <w:rFonts w:ascii="宋体" w:hAnsi="宋体" w:eastAsia="宋体" w:cs="宋体"/>
              <w:color w:val="auto"/>
              <w:spacing w:val="-95"/>
              <w:sz w:val="24"/>
              <w:szCs w:val="24"/>
              <w:highlight w:val="none"/>
            </w:rPr>
            <w:t xml:space="preserve"> </w:t>
          </w:r>
          <w:r>
            <w:rPr>
              <w:rFonts w:ascii="宋体" w:hAnsi="宋体" w:eastAsia="宋体" w:cs="宋体"/>
              <w:color w:val="auto"/>
              <w:spacing w:val="-5"/>
              <w:sz w:val="24"/>
              <w:szCs w:val="24"/>
              <w:highlight w:val="none"/>
            </w:rPr>
            <w:t>47</w:t>
          </w:r>
          <w:r>
            <w:rPr>
              <w:rFonts w:ascii="宋体" w:hAnsi="宋体" w:eastAsia="宋体" w:cs="宋体"/>
              <w:color w:val="auto"/>
              <w:spacing w:val="-5"/>
              <w:sz w:val="24"/>
              <w:szCs w:val="24"/>
              <w:highlight w:val="none"/>
            </w:rPr>
            <w:fldChar w:fldCharType="end"/>
          </w:r>
        </w:p>
        <w:p w14:paraId="6622EF9B">
          <w:pPr>
            <w:tabs>
              <w:tab w:val="right" w:leader="dot" w:pos="8310"/>
            </w:tabs>
            <w:spacing w:before="228" w:line="184" w:lineRule="auto"/>
            <w:ind w:left="42"/>
            <w:rPr>
              <w:rFonts w:ascii="宋体" w:hAnsi="宋体" w:eastAsia="宋体" w:cs="宋体"/>
              <w:color w:val="auto"/>
              <w:sz w:val="24"/>
              <w:szCs w:val="24"/>
              <w:highlight w:val="none"/>
            </w:rPr>
          </w:pPr>
          <w:bookmarkStart w:id="6" w:name="bookmark13"/>
          <w:bookmarkEnd w:id="6"/>
          <w:r>
            <w:rPr>
              <w:color w:val="auto"/>
              <w:highlight w:val="none"/>
            </w:rPr>
            <w:fldChar w:fldCharType="begin"/>
          </w:r>
          <w:r>
            <w:rPr>
              <w:color w:val="auto"/>
              <w:highlight w:val="none"/>
            </w:rPr>
            <w:instrText xml:space="preserve"> HYPERLINK \l "bookmark14" </w:instrText>
          </w:r>
          <w:r>
            <w:rPr>
              <w:color w:val="auto"/>
              <w:highlight w:val="none"/>
            </w:rPr>
            <w:fldChar w:fldCharType="separate"/>
          </w:r>
          <w:r>
            <w:rPr>
              <w:rFonts w:ascii="宋体" w:hAnsi="宋体" w:eastAsia="宋体" w:cs="宋体"/>
              <w:color w:val="auto"/>
              <w:spacing w:val="-7"/>
              <w:sz w:val="24"/>
              <w:szCs w:val="24"/>
              <w:highlight w:val="none"/>
            </w:rPr>
            <w:t>附件</w:t>
          </w:r>
          <w:r>
            <w:rPr>
              <w:rFonts w:ascii="宋体" w:hAnsi="宋体" w:eastAsia="宋体" w:cs="宋体"/>
              <w:color w:val="auto"/>
              <w:spacing w:val="-45"/>
              <w:sz w:val="24"/>
              <w:szCs w:val="24"/>
              <w:highlight w:val="none"/>
            </w:rPr>
            <w:t xml:space="preserve"> </w:t>
          </w:r>
          <w:r>
            <w:rPr>
              <w:rFonts w:ascii="宋体" w:hAnsi="宋体" w:eastAsia="宋体" w:cs="宋体"/>
              <w:color w:val="auto"/>
              <w:spacing w:val="-7"/>
              <w:sz w:val="24"/>
              <w:szCs w:val="24"/>
              <w:highlight w:val="none"/>
            </w:rPr>
            <w:t>7</w:t>
          </w:r>
          <w:r>
            <w:rPr>
              <w:rFonts w:ascii="宋体" w:hAnsi="宋体" w:eastAsia="宋体" w:cs="宋体"/>
              <w:color w:val="auto"/>
              <w:spacing w:val="6"/>
              <w:sz w:val="24"/>
              <w:szCs w:val="24"/>
              <w:highlight w:val="none"/>
            </w:rPr>
            <w:t xml:space="preserve">  </w:t>
          </w:r>
          <w:r>
            <w:rPr>
              <w:rFonts w:ascii="宋体" w:hAnsi="宋体" w:eastAsia="宋体" w:cs="宋体"/>
              <w:color w:val="auto"/>
              <w:spacing w:val="-7"/>
              <w:sz w:val="24"/>
              <w:szCs w:val="24"/>
              <w:highlight w:val="none"/>
            </w:rPr>
            <w:t>分包与外购</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50</w:t>
          </w:r>
          <w:r>
            <w:rPr>
              <w:rFonts w:ascii="宋体" w:hAnsi="宋体" w:eastAsia="宋体" w:cs="宋体"/>
              <w:color w:val="auto"/>
              <w:spacing w:val="-8"/>
              <w:sz w:val="24"/>
              <w:szCs w:val="24"/>
              <w:highlight w:val="none"/>
            </w:rPr>
            <w:fldChar w:fldCharType="end"/>
          </w:r>
        </w:p>
        <w:p w14:paraId="638B60C8">
          <w:pPr>
            <w:tabs>
              <w:tab w:val="right" w:leader="dot" w:pos="8310"/>
            </w:tabs>
            <w:spacing w:before="229" w:line="184" w:lineRule="auto"/>
            <w:ind w:left="42"/>
            <w:rPr>
              <w:rFonts w:ascii="宋体" w:hAnsi="宋体" w:eastAsia="宋体" w:cs="宋体"/>
              <w:color w:val="auto"/>
              <w:sz w:val="24"/>
              <w:szCs w:val="24"/>
              <w:highlight w:val="none"/>
            </w:rPr>
          </w:pPr>
          <w:bookmarkStart w:id="7" w:name="bookmark15"/>
          <w:bookmarkEnd w:id="7"/>
          <w:r>
            <w:rPr>
              <w:color w:val="auto"/>
              <w:highlight w:val="none"/>
            </w:rPr>
            <w:fldChar w:fldCharType="begin"/>
          </w:r>
          <w:r>
            <w:rPr>
              <w:color w:val="auto"/>
              <w:highlight w:val="none"/>
            </w:rPr>
            <w:instrText xml:space="preserve"> HYPERLINK \l "bookmark16" </w:instrText>
          </w:r>
          <w:r>
            <w:rPr>
              <w:color w:val="auto"/>
              <w:highlight w:val="none"/>
            </w:rPr>
            <w:fldChar w:fldCharType="separate"/>
          </w:r>
          <w:r>
            <w:rPr>
              <w:rFonts w:ascii="宋体" w:hAnsi="宋体" w:eastAsia="宋体" w:cs="宋体"/>
              <w:color w:val="auto"/>
              <w:spacing w:val="-4"/>
              <w:sz w:val="24"/>
              <w:szCs w:val="24"/>
              <w:highlight w:val="none"/>
            </w:rPr>
            <w:t>附件</w:t>
          </w:r>
          <w:r>
            <w:rPr>
              <w:rFonts w:ascii="宋体" w:hAnsi="宋体" w:eastAsia="宋体" w:cs="宋体"/>
              <w:color w:val="auto"/>
              <w:spacing w:val="-46"/>
              <w:sz w:val="24"/>
              <w:szCs w:val="24"/>
              <w:highlight w:val="none"/>
            </w:rPr>
            <w:t xml:space="preserve"> </w:t>
          </w:r>
          <w:r>
            <w:rPr>
              <w:rFonts w:ascii="宋体" w:hAnsi="宋体" w:eastAsia="宋体" w:cs="宋体"/>
              <w:color w:val="auto"/>
              <w:spacing w:val="-4"/>
              <w:sz w:val="24"/>
              <w:szCs w:val="24"/>
              <w:highlight w:val="none"/>
            </w:rPr>
            <w:t>8  运行维护手册</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51</w:t>
          </w:r>
          <w:r>
            <w:rPr>
              <w:rFonts w:ascii="宋体" w:hAnsi="宋体" w:eastAsia="宋体" w:cs="宋体"/>
              <w:color w:val="auto"/>
              <w:spacing w:val="-8"/>
              <w:sz w:val="24"/>
              <w:szCs w:val="24"/>
              <w:highlight w:val="none"/>
            </w:rPr>
            <w:fldChar w:fldCharType="end"/>
          </w:r>
        </w:p>
        <w:p w14:paraId="0D11E8F3">
          <w:pPr>
            <w:tabs>
              <w:tab w:val="right" w:leader="dot" w:pos="8310"/>
            </w:tabs>
            <w:spacing w:before="229" w:line="184" w:lineRule="auto"/>
            <w:ind w:left="42"/>
            <w:rPr>
              <w:rFonts w:ascii="宋体" w:hAnsi="宋体" w:eastAsia="宋体" w:cs="宋体"/>
              <w:color w:val="auto"/>
              <w:sz w:val="24"/>
              <w:szCs w:val="24"/>
              <w:highlight w:val="none"/>
            </w:rPr>
          </w:pPr>
          <w:bookmarkStart w:id="8" w:name="bookmark17"/>
          <w:bookmarkEnd w:id="8"/>
          <w:r>
            <w:rPr>
              <w:color w:val="auto"/>
              <w:highlight w:val="none"/>
            </w:rPr>
            <w:fldChar w:fldCharType="begin"/>
          </w:r>
          <w:r>
            <w:rPr>
              <w:color w:val="auto"/>
              <w:highlight w:val="none"/>
            </w:rPr>
            <w:instrText xml:space="preserve"> HYPERLINK \l "bookmark18" </w:instrText>
          </w:r>
          <w:r>
            <w:rPr>
              <w:color w:val="auto"/>
              <w:highlight w:val="none"/>
            </w:rPr>
            <w:fldChar w:fldCharType="separate"/>
          </w:r>
          <w:r>
            <w:rPr>
              <w:rFonts w:ascii="宋体" w:hAnsi="宋体" w:eastAsia="宋体" w:cs="宋体"/>
              <w:color w:val="auto"/>
              <w:spacing w:val="-4"/>
              <w:sz w:val="24"/>
              <w:szCs w:val="24"/>
              <w:highlight w:val="none"/>
            </w:rPr>
            <w:t>附件</w:t>
          </w:r>
          <w:r>
            <w:rPr>
              <w:rFonts w:ascii="宋体" w:hAnsi="宋体" w:eastAsia="宋体" w:cs="宋体"/>
              <w:color w:val="auto"/>
              <w:spacing w:val="-42"/>
              <w:sz w:val="24"/>
              <w:szCs w:val="24"/>
              <w:highlight w:val="none"/>
            </w:rPr>
            <w:t xml:space="preserve"> </w:t>
          </w:r>
          <w:r>
            <w:rPr>
              <w:rFonts w:ascii="宋体" w:hAnsi="宋体" w:eastAsia="宋体" w:cs="宋体"/>
              <w:color w:val="auto"/>
              <w:spacing w:val="-4"/>
              <w:sz w:val="24"/>
              <w:szCs w:val="24"/>
              <w:highlight w:val="none"/>
            </w:rPr>
            <w:t>9  大（部）件情况</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53</w:t>
          </w:r>
          <w:r>
            <w:rPr>
              <w:rFonts w:ascii="宋体" w:hAnsi="宋体" w:eastAsia="宋体" w:cs="宋体"/>
              <w:color w:val="auto"/>
              <w:spacing w:val="-8"/>
              <w:sz w:val="24"/>
              <w:szCs w:val="24"/>
              <w:highlight w:val="none"/>
            </w:rPr>
            <w:fldChar w:fldCharType="end"/>
          </w:r>
        </w:p>
        <w:p w14:paraId="0BD998A2">
          <w:pPr>
            <w:tabs>
              <w:tab w:val="right" w:leader="dot" w:pos="8310"/>
            </w:tabs>
            <w:spacing w:before="229" w:line="184" w:lineRule="auto"/>
            <w:ind w:left="42"/>
            <w:rPr>
              <w:rFonts w:ascii="宋体" w:hAnsi="宋体" w:eastAsia="宋体" w:cs="宋体"/>
              <w:color w:val="auto"/>
              <w:sz w:val="24"/>
              <w:szCs w:val="24"/>
              <w:highlight w:val="none"/>
            </w:rPr>
          </w:pPr>
          <w:bookmarkStart w:id="9" w:name="bookmark19"/>
          <w:bookmarkEnd w:id="9"/>
          <w:r>
            <w:rPr>
              <w:color w:val="auto"/>
              <w:highlight w:val="none"/>
            </w:rPr>
            <w:fldChar w:fldCharType="begin"/>
          </w:r>
          <w:r>
            <w:rPr>
              <w:color w:val="auto"/>
              <w:highlight w:val="none"/>
            </w:rPr>
            <w:instrText xml:space="preserve"> HYPERLINK \l "bookmark20" </w:instrText>
          </w:r>
          <w:r>
            <w:rPr>
              <w:color w:val="auto"/>
              <w:highlight w:val="none"/>
            </w:rPr>
            <w:fldChar w:fldCharType="separate"/>
          </w:r>
          <w:r>
            <w:rPr>
              <w:rFonts w:ascii="宋体" w:hAnsi="宋体" w:eastAsia="宋体" w:cs="宋体"/>
              <w:color w:val="auto"/>
              <w:spacing w:val="-6"/>
              <w:sz w:val="24"/>
              <w:szCs w:val="24"/>
              <w:highlight w:val="none"/>
            </w:rPr>
            <w:t>附件</w:t>
          </w:r>
          <w:r>
            <w:rPr>
              <w:rFonts w:ascii="宋体" w:hAnsi="宋体" w:eastAsia="宋体" w:cs="宋体"/>
              <w:color w:val="auto"/>
              <w:spacing w:val="-24"/>
              <w:sz w:val="24"/>
              <w:szCs w:val="24"/>
              <w:highlight w:val="none"/>
            </w:rPr>
            <w:t xml:space="preserve"> </w:t>
          </w:r>
          <w:r>
            <w:rPr>
              <w:rFonts w:ascii="宋体" w:hAnsi="宋体" w:eastAsia="宋体" w:cs="宋体"/>
              <w:color w:val="auto"/>
              <w:spacing w:val="-6"/>
              <w:sz w:val="24"/>
              <w:szCs w:val="24"/>
              <w:highlight w:val="none"/>
            </w:rPr>
            <w:t>10  技术差异表</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54</w:t>
          </w:r>
          <w:r>
            <w:rPr>
              <w:rFonts w:ascii="宋体" w:hAnsi="宋体" w:eastAsia="宋体" w:cs="宋体"/>
              <w:color w:val="auto"/>
              <w:spacing w:val="-8"/>
              <w:sz w:val="24"/>
              <w:szCs w:val="24"/>
              <w:highlight w:val="none"/>
            </w:rPr>
            <w:fldChar w:fldCharType="end"/>
          </w:r>
        </w:p>
        <w:p w14:paraId="281C6A2D">
          <w:pPr>
            <w:tabs>
              <w:tab w:val="right" w:leader="dot" w:pos="8310"/>
            </w:tabs>
            <w:spacing w:before="229" w:line="184" w:lineRule="auto"/>
            <w:ind w:left="42"/>
            <w:rPr>
              <w:rFonts w:ascii="宋体" w:hAnsi="宋体" w:eastAsia="宋体" w:cs="宋体"/>
              <w:color w:val="auto"/>
              <w:sz w:val="24"/>
              <w:szCs w:val="24"/>
              <w:highlight w:val="none"/>
            </w:rPr>
          </w:pPr>
          <w:bookmarkStart w:id="10" w:name="bookmark21"/>
          <w:bookmarkEnd w:id="10"/>
          <w:r>
            <w:rPr>
              <w:color w:val="auto"/>
              <w:highlight w:val="none"/>
            </w:rPr>
            <w:fldChar w:fldCharType="begin"/>
          </w:r>
          <w:r>
            <w:rPr>
              <w:color w:val="auto"/>
              <w:highlight w:val="none"/>
            </w:rPr>
            <w:instrText xml:space="preserve"> HYPERLINK \l "bookmark22" </w:instrText>
          </w:r>
          <w:r>
            <w:rPr>
              <w:color w:val="auto"/>
              <w:highlight w:val="none"/>
            </w:rPr>
            <w:fldChar w:fldCharType="separate"/>
          </w:r>
          <w:r>
            <w:rPr>
              <w:rFonts w:ascii="宋体" w:hAnsi="宋体" w:eastAsia="宋体" w:cs="宋体"/>
              <w:color w:val="auto"/>
              <w:spacing w:val="-14"/>
              <w:sz w:val="24"/>
              <w:szCs w:val="24"/>
              <w:highlight w:val="none"/>
            </w:rPr>
            <w:t>附件</w:t>
          </w:r>
          <w:r>
            <w:rPr>
              <w:rFonts w:ascii="宋体" w:hAnsi="宋体" w:eastAsia="宋体" w:cs="宋体"/>
              <w:color w:val="auto"/>
              <w:spacing w:val="-33"/>
              <w:sz w:val="24"/>
              <w:szCs w:val="24"/>
              <w:highlight w:val="none"/>
            </w:rPr>
            <w:t xml:space="preserve"> </w:t>
          </w:r>
          <w:r>
            <w:rPr>
              <w:rFonts w:ascii="宋体" w:hAnsi="宋体" w:eastAsia="宋体" w:cs="宋体"/>
              <w:color w:val="auto"/>
              <w:spacing w:val="-14"/>
              <w:sz w:val="24"/>
              <w:szCs w:val="24"/>
              <w:highlight w:val="none"/>
            </w:rPr>
            <w:t>11</w:t>
          </w:r>
          <w:r>
            <w:rPr>
              <w:rFonts w:ascii="宋体" w:hAnsi="宋体" w:eastAsia="宋体" w:cs="宋体"/>
              <w:color w:val="auto"/>
              <w:spacing w:val="14"/>
              <w:sz w:val="24"/>
              <w:szCs w:val="24"/>
              <w:highlight w:val="none"/>
            </w:rPr>
            <w:t xml:space="preserve">  </w:t>
          </w:r>
          <w:r>
            <w:rPr>
              <w:rFonts w:ascii="宋体" w:hAnsi="宋体" w:eastAsia="宋体" w:cs="宋体"/>
              <w:color w:val="auto"/>
              <w:spacing w:val="-14"/>
              <w:sz w:val="24"/>
              <w:szCs w:val="24"/>
              <w:highlight w:val="none"/>
            </w:rPr>
            <w:t>附图</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55</w:t>
          </w:r>
          <w:r>
            <w:rPr>
              <w:rFonts w:ascii="宋体" w:hAnsi="宋体" w:eastAsia="宋体" w:cs="宋体"/>
              <w:color w:val="auto"/>
              <w:spacing w:val="-8"/>
              <w:sz w:val="24"/>
              <w:szCs w:val="24"/>
              <w:highlight w:val="none"/>
            </w:rPr>
            <w:fldChar w:fldCharType="end"/>
          </w:r>
        </w:p>
        <w:p w14:paraId="09AFEB3D">
          <w:pPr>
            <w:tabs>
              <w:tab w:val="right" w:leader="dot" w:pos="8310"/>
            </w:tabs>
            <w:spacing w:before="228" w:line="184" w:lineRule="auto"/>
            <w:ind w:left="42"/>
            <w:rPr>
              <w:rFonts w:ascii="宋体" w:hAnsi="宋体" w:eastAsia="宋体" w:cs="宋体"/>
              <w:color w:val="auto"/>
              <w:sz w:val="24"/>
              <w:szCs w:val="24"/>
              <w:highlight w:val="none"/>
            </w:rPr>
          </w:pPr>
          <w:bookmarkStart w:id="11" w:name="bookmark23"/>
          <w:bookmarkEnd w:id="11"/>
          <w:r>
            <w:rPr>
              <w:color w:val="auto"/>
              <w:highlight w:val="none"/>
            </w:rPr>
            <w:fldChar w:fldCharType="begin"/>
          </w:r>
          <w:r>
            <w:rPr>
              <w:color w:val="auto"/>
              <w:highlight w:val="none"/>
            </w:rPr>
            <w:instrText xml:space="preserve"> HYPERLINK \l "bookmark24" </w:instrText>
          </w:r>
          <w:r>
            <w:rPr>
              <w:color w:val="auto"/>
              <w:highlight w:val="none"/>
            </w:rPr>
            <w:fldChar w:fldCharType="separate"/>
          </w:r>
          <w:r>
            <w:rPr>
              <w:rFonts w:ascii="宋体" w:hAnsi="宋体" w:eastAsia="宋体" w:cs="宋体"/>
              <w:color w:val="auto"/>
              <w:spacing w:val="-5"/>
              <w:sz w:val="24"/>
              <w:szCs w:val="24"/>
              <w:highlight w:val="none"/>
            </w:rPr>
            <w:t>附件</w:t>
          </w:r>
          <w:r>
            <w:rPr>
              <w:rFonts w:ascii="宋体" w:hAnsi="宋体" w:eastAsia="宋体" w:cs="宋体"/>
              <w:color w:val="auto"/>
              <w:spacing w:val="-30"/>
              <w:sz w:val="24"/>
              <w:szCs w:val="24"/>
              <w:highlight w:val="none"/>
            </w:rPr>
            <w:t xml:space="preserve"> </w:t>
          </w:r>
          <w:r>
            <w:rPr>
              <w:rFonts w:ascii="宋体" w:hAnsi="宋体" w:eastAsia="宋体" w:cs="宋体"/>
              <w:color w:val="auto"/>
              <w:spacing w:val="-5"/>
              <w:sz w:val="24"/>
              <w:szCs w:val="24"/>
              <w:highlight w:val="none"/>
            </w:rPr>
            <w:t>12  性能考核条款</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56</w:t>
          </w:r>
          <w:r>
            <w:rPr>
              <w:rFonts w:ascii="宋体" w:hAnsi="宋体" w:eastAsia="宋体" w:cs="宋体"/>
              <w:color w:val="auto"/>
              <w:spacing w:val="-8"/>
              <w:sz w:val="24"/>
              <w:szCs w:val="24"/>
              <w:highlight w:val="none"/>
            </w:rPr>
            <w:fldChar w:fldCharType="end"/>
          </w:r>
        </w:p>
        <w:p w14:paraId="0C43E72D">
          <w:pPr>
            <w:tabs>
              <w:tab w:val="right" w:leader="dot" w:pos="8310"/>
            </w:tabs>
            <w:spacing w:before="228" w:line="219" w:lineRule="auto"/>
            <w:ind w:left="42"/>
            <w:rPr>
              <w:rFonts w:ascii="宋体" w:hAnsi="宋体" w:eastAsia="宋体" w:cs="宋体"/>
              <w:color w:val="auto"/>
              <w:sz w:val="24"/>
              <w:szCs w:val="24"/>
              <w:highlight w:val="none"/>
            </w:rPr>
          </w:pPr>
          <w:bookmarkStart w:id="12" w:name="bookmark25"/>
          <w:bookmarkEnd w:id="12"/>
          <w:r>
            <w:rPr>
              <w:color w:val="auto"/>
              <w:highlight w:val="none"/>
            </w:rPr>
            <w:fldChar w:fldCharType="begin"/>
          </w:r>
          <w:r>
            <w:rPr>
              <w:color w:val="auto"/>
              <w:highlight w:val="none"/>
            </w:rPr>
            <w:instrText xml:space="preserve"> HYPERLINK \l "bookmark26" </w:instrText>
          </w:r>
          <w:r>
            <w:rPr>
              <w:color w:val="auto"/>
              <w:highlight w:val="none"/>
            </w:rPr>
            <w:fldChar w:fldCharType="separate"/>
          </w:r>
          <w:r>
            <w:rPr>
              <w:rFonts w:ascii="宋体" w:hAnsi="宋体" w:eastAsia="宋体" w:cs="宋体"/>
              <w:color w:val="auto"/>
              <w:spacing w:val="-1"/>
              <w:sz w:val="24"/>
              <w:szCs w:val="24"/>
              <w:highlight w:val="none"/>
            </w:rPr>
            <w:t>附件</w:t>
          </w:r>
          <w:r>
            <w:rPr>
              <w:rFonts w:ascii="宋体" w:hAnsi="宋体" w:eastAsia="宋体" w:cs="宋体"/>
              <w:color w:val="auto"/>
              <w:spacing w:val="-33"/>
              <w:sz w:val="24"/>
              <w:szCs w:val="24"/>
              <w:highlight w:val="none"/>
            </w:rPr>
            <w:t xml:space="preserve"> </w:t>
          </w:r>
          <w:r>
            <w:rPr>
              <w:rFonts w:ascii="宋体" w:hAnsi="宋体" w:eastAsia="宋体" w:cs="宋体"/>
              <w:color w:val="auto"/>
              <w:spacing w:val="-1"/>
              <w:sz w:val="24"/>
              <w:szCs w:val="24"/>
              <w:highlight w:val="none"/>
            </w:rPr>
            <w:t>13  投标人需要说明的其他问题（质量承诺及</w:t>
          </w:r>
          <w:r>
            <w:rPr>
              <w:rFonts w:ascii="宋体" w:hAnsi="宋体" w:eastAsia="宋体" w:cs="宋体"/>
              <w:color w:val="auto"/>
              <w:spacing w:val="-2"/>
              <w:sz w:val="24"/>
              <w:szCs w:val="24"/>
              <w:highlight w:val="none"/>
            </w:rPr>
            <w:t>售后服务承诺等）</w:t>
          </w:r>
          <w:r>
            <w:rPr>
              <w:rFonts w:ascii="宋体" w:hAnsi="宋体" w:eastAsia="宋体" w:cs="宋体"/>
              <w:color w:val="auto"/>
              <w:sz w:val="24"/>
              <w:szCs w:val="24"/>
              <w:highlight w:val="none"/>
            </w:rPr>
            <w:tab/>
          </w:r>
          <w:r>
            <w:rPr>
              <w:rFonts w:ascii="宋体" w:hAnsi="宋体" w:eastAsia="宋体" w:cs="宋体"/>
              <w:color w:val="auto"/>
              <w:spacing w:val="-89"/>
              <w:sz w:val="24"/>
              <w:szCs w:val="24"/>
              <w:highlight w:val="none"/>
            </w:rPr>
            <w:t xml:space="preserve"> </w:t>
          </w:r>
          <w:r>
            <w:rPr>
              <w:rFonts w:ascii="宋体" w:hAnsi="宋体" w:eastAsia="宋体" w:cs="宋体"/>
              <w:color w:val="auto"/>
              <w:spacing w:val="-8"/>
              <w:sz w:val="24"/>
              <w:szCs w:val="24"/>
              <w:highlight w:val="none"/>
            </w:rPr>
            <w:t>57</w:t>
          </w:r>
          <w:r>
            <w:rPr>
              <w:rFonts w:ascii="宋体" w:hAnsi="宋体" w:eastAsia="宋体" w:cs="宋体"/>
              <w:color w:val="auto"/>
              <w:spacing w:val="-8"/>
              <w:sz w:val="24"/>
              <w:szCs w:val="24"/>
              <w:highlight w:val="none"/>
            </w:rPr>
            <w:fldChar w:fldCharType="end"/>
          </w:r>
        </w:p>
      </w:sdtContent>
    </w:sdt>
    <w:p w14:paraId="0418FA90">
      <w:pPr>
        <w:spacing w:line="219" w:lineRule="auto"/>
        <w:rPr>
          <w:rFonts w:ascii="宋体" w:hAnsi="宋体" w:eastAsia="宋体" w:cs="宋体"/>
          <w:color w:val="auto"/>
          <w:sz w:val="24"/>
          <w:szCs w:val="24"/>
          <w:highlight w:val="none"/>
        </w:rPr>
        <w:sectPr>
          <w:pgSz w:w="11906" w:h="16839"/>
          <w:pgMar w:top="1431" w:right="1785" w:bottom="0" w:left="1785" w:header="0" w:footer="0" w:gutter="0"/>
          <w:pgBorders>
            <w:top w:val="none" w:sz="0" w:space="0"/>
            <w:left w:val="none" w:sz="0" w:space="0"/>
            <w:bottom w:val="none" w:sz="0" w:space="0"/>
            <w:right w:val="none" w:sz="0" w:space="0"/>
          </w:pgBorders>
          <w:cols w:space="720" w:num="1"/>
        </w:sectPr>
      </w:pPr>
    </w:p>
    <w:p w14:paraId="4D3202DF">
      <w:pPr>
        <w:spacing w:before="318" w:line="224" w:lineRule="auto"/>
        <w:ind w:left="51"/>
        <w:outlineLvl w:val="0"/>
        <w:rPr>
          <w:rFonts w:ascii="宋体" w:hAnsi="宋体" w:eastAsia="宋体" w:cs="宋体"/>
          <w:color w:val="auto"/>
          <w:sz w:val="31"/>
          <w:szCs w:val="31"/>
          <w:highlight w:val="none"/>
        </w:rPr>
      </w:pPr>
      <w:bookmarkStart w:id="13" w:name="bookmark1"/>
      <w:bookmarkEnd w:id="13"/>
      <w:bookmarkStart w:id="14" w:name="bookmark2"/>
      <w:bookmarkEnd w:id="14"/>
      <w:r>
        <w:rPr>
          <w:rFonts w:ascii="宋体" w:hAnsi="宋体" w:eastAsia="宋体" w:cs="宋体"/>
          <w:b/>
          <w:bCs/>
          <w:color w:val="auto"/>
          <w:spacing w:val="-6"/>
          <w:sz w:val="31"/>
          <w:szCs w:val="31"/>
          <w:highlight w:val="none"/>
        </w:rPr>
        <w:t>附件</w:t>
      </w:r>
      <w:r>
        <w:rPr>
          <w:rFonts w:ascii="宋体" w:hAnsi="宋体" w:eastAsia="宋体" w:cs="宋体"/>
          <w:color w:val="auto"/>
          <w:spacing w:val="-38"/>
          <w:sz w:val="31"/>
          <w:szCs w:val="31"/>
          <w:highlight w:val="none"/>
        </w:rPr>
        <w:t xml:space="preserve"> </w:t>
      </w:r>
      <w:r>
        <w:rPr>
          <w:rFonts w:ascii="宋体" w:hAnsi="宋体" w:eastAsia="宋体" w:cs="宋体"/>
          <w:b/>
          <w:bCs/>
          <w:color w:val="auto"/>
          <w:spacing w:val="-6"/>
          <w:sz w:val="31"/>
          <w:szCs w:val="31"/>
          <w:highlight w:val="none"/>
        </w:rPr>
        <w:t>1</w:t>
      </w:r>
      <w:r>
        <w:rPr>
          <w:rFonts w:ascii="宋体" w:hAnsi="宋体" w:eastAsia="宋体" w:cs="宋体"/>
          <w:color w:val="auto"/>
          <w:spacing w:val="21"/>
          <w:sz w:val="31"/>
          <w:szCs w:val="31"/>
          <w:highlight w:val="none"/>
        </w:rPr>
        <w:t xml:space="preserve"> </w:t>
      </w:r>
      <w:r>
        <w:rPr>
          <w:rFonts w:ascii="宋体" w:hAnsi="宋体" w:eastAsia="宋体" w:cs="宋体"/>
          <w:b/>
          <w:bCs/>
          <w:color w:val="auto"/>
          <w:spacing w:val="-6"/>
          <w:sz w:val="31"/>
          <w:szCs w:val="31"/>
          <w:highlight w:val="none"/>
        </w:rPr>
        <w:t>技术规范</w:t>
      </w:r>
    </w:p>
    <w:p w14:paraId="785A49AE">
      <w:pPr>
        <w:pStyle w:val="3"/>
        <w:spacing w:line="284" w:lineRule="auto"/>
        <w:rPr>
          <w:color w:val="auto"/>
          <w:highlight w:val="none"/>
        </w:rPr>
      </w:pPr>
    </w:p>
    <w:p w14:paraId="726DD5D7">
      <w:pPr>
        <w:spacing w:before="78" w:line="220" w:lineRule="auto"/>
        <w:ind w:left="41"/>
        <w:outlineLvl w:val="0"/>
        <w:rPr>
          <w:rFonts w:ascii="宋体" w:hAnsi="宋体" w:eastAsia="宋体" w:cs="宋体"/>
          <w:color w:val="auto"/>
          <w:sz w:val="24"/>
          <w:szCs w:val="24"/>
          <w:highlight w:val="none"/>
        </w:rPr>
      </w:pPr>
      <w:r>
        <w:rPr>
          <w:rFonts w:ascii="宋体" w:hAnsi="宋体" w:eastAsia="宋体" w:cs="宋体"/>
          <w:b/>
          <w:bCs/>
          <w:color w:val="auto"/>
          <w:spacing w:val="-17"/>
          <w:sz w:val="24"/>
          <w:szCs w:val="24"/>
          <w:highlight w:val="none"/>
        </w:rPr>
        <w:t>1</w:t>
      </w:r>
      <w:r>
        <w:rPr>
          <w:rFonts w:ascii="宋体" w:hAnsi="宋体" w:eastAsia="宋体" w:cs="宋体"/>
          <w:color w:val="auto"/>
          <w:spacing w:val="37"/>
          <w:sz w:val="24"/>
          <w:szCs w:val="24"/>
          <w:highlight w:val="none"/>
        </w:rPr>
        <w:t xml:space="preserve">  </w:t>
      </w:r>
      <w:r>
        <w:rPr>
          <w:rFonts w:ascii="宋体" w:hAnsi="宋体" w:eastAsia="宋体" w:cs="宋体"/>
          <w:b/>
          <w:bCs/>
          <w:color w:val="auto"/>
          <w:spacing w:val="-17"/>
          <w:sz w:val="24"/>
          <w:szCs w:val="24"/>
          <w:highlight w:val="none"/>
        </w:rPr>
        <w:t>总则</w:t>
      </w:r>
    </w:p>
    <w:p w14:paraId="27B1BD79">
      <w:pPr>
        <w:spacing w:before="181" w:line="220" w:lineRule="auto"/>
        <w:ind w:left="41"/>
        <w:rPr>
          <w:rFonts w:ascii="宋体" w:hAnsi="宋体" w:eastAsia="宋体" w:cs="宋体"/>
          <w:color w:val="auto"/>
          <w:sz w:val="24"/>
          <w:szCs w:val="24"/>
          <w:highlight w:val="none"/>
        </w:rPr>
      </w:pPr>
      <w:r>
        <w:rPr>
          <w:rFonts w:ascii="宋体" w:hAnsi="宋体" w:eastAsia="宋体" w:cs="宋体"/>
          <w:b/>
          <w:bCs/>
          <w:color w:val="auto"/>
          <w:spacing w:val="-8"/>
          <w:sz w:val="24"/>
          <w:szCs w:val="24"/>
          <w:highlight w:val="none"/>
        </w:rPr>
        <w:t>1.1</w:t>
      </w:r>
      <w:r>
        <w:rPr>
          <w:rFonts w:ascii="宋体" w:hAnsi="宋体" w:eastAsia="宋体" w:cs="宋体"/>
          <w:color w:val="auto"/>
          <w:spacing w:val="-48"/>
          <w:sz w:val="24"/>
          <w:szCs w:val="24"/>
          <w:highlight w:val="none"/>
        </w:rPr>
        <w:t xml:space="preserve"> </w:t>
      </w:r>
      <w:r>
        <w:rPr>
          <w:rFonts w:ascii="宋体" w:hAnsi="宋体" w:eastAsia="宋体" w:cs="宋体"/>
          <w:b/>
          <w:bCs/>
          <w:color w:val="auto"/>
          <w:spacing w:val="-8"/>
          <w:sz w:val="24"/>
          <w:szCs w:val="24"/>
          <w:highlight w:val="none"/>
        </w:rPr>
        <w:t>一般规定</w:t>
      </w:r>
    </w:p>
    <w:p w14:paraId="603A10FC">
      <w:pPr>
        <w:spacing w:before="197" w:line="391" w:lineRule="auto"/>
        <w:ind w:left="22" w:right="63" w:firstLine="1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1.1.1 本招标文件适用于浙江浙能淮浙电力凤台发电分公司</w:t>
      </w:r>
      <w:r>
        <w:rPr>
          <w:rFonts w:ascii="宋体" w:hAnsi="宋体" w:eastAsia="宋体" w:cs="宋体"/>
          <w:color w:val="auto"/>
          <w:spacing w:val="-35"/>
          <w:sz w:val="20"/>
          <w:szCs w:val="20"/>
          <w:highlight w:val="none"/>
        </w:rPr>
        <w:t xml:space="preserve"> </w:t>
      </w:r>
      <w:r>
        <w:rPr>
          <w:rFonts w:ascii="宋体" w:hAnsi="宋体" w:eastAsia="宋体" w:cs="宋体"/>
          <w:color w:val="auto"/>
          <w:spacing w:val="9"/>
          <w:sz w:val="20"/>
          <w:szCs w:val="20"/>
          <w:highlight w:val="none"/>
        </w:rPr>
        <w:t>2</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号发变组保护、0</w:t>
      </w:r>
      <w:r>
        <w:rPr>
          <w:rFonts w:ascii="宋体" w:hAnsi="宋体" w:eastAsia="宋体" w:cs="宋体"/>
          <w:color w:val="auto"/>
          <w:spacing w:val="8"/>
          <w:sz w:val="20"/>
          <w:szCs w:val="20"/>
          <w:highlight w:val="none"/>
        </w:rPr>
        <w:t>1</w:t>
      </w:r>
      <w:r>
        <w:rPr>
          <w:rFonts w:ascii="宋体" w:hAnsi="宋体" w:eastAsia="宋体" w:cs="宋体"/>
          <w:color w:val="auto"/>
          <w:spacing w:val="-33"/>
          <w:sz w:val="20"/>
          <w:szCs w:val="20"/>
          <w:highlight w:val="none"/>
        </w:rPr>
        <w:t xml:space="preserve"> </w:t>
      </w:r>
      <w:r>
        <w:rPr>
          <w:rFonts w:ascii="宋体" w:hAnsi="宋体" w:eastAsia="宋体" w:cs="宋体"/>
          <w:color w:val="auto"/>
          <w:spacing w:val="8"/>
          <w:sz w:val="20"/>
          <w:szCs w:val="20"/>
          <w:highlight w:val="none"/>
        </w:rPr>
        <w:t>号启备变</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保护工程（660</w:t>
      </w:r>
      <w:r>
        <w:rPr>
          <w:rFonts w:ascii="宋体" w:hAnsi="宋体" w:eastAsia="宋体" w:cs="宋体"/>
          <w:color w:val="auto"/>
          <w:sz w:val="20"/>
          <w:szCs w:val="20"/>
          <w:highlight w:val="none"/>
        </w:rPr>
        <w:t>MW</w:t>
      </w:r>
      <w:r>
        <w:rPr>
          <w:rFonts w:ascii="宋体" w:hAnsi="宋体" w:eastAsia="宋体" w:cs="宋体"/>
          <w:color w:val="auto"/>
          <w:spacing w:val="10"/>
          <w:sz w:val="20"/>
          <w:szCs w:val="20"/>
          <w:highlight w:val="none"/>
        </w:rPr>
        <w:t>）等级机组的发电机、励磁变、主变压器、高压厂变以及高压</w:t>
      </w:r>
      <w:r>
        <w:rPr>
          <w:rFonts w:ascii="宋体" w:hAnsi="宋体" w:eastAsia="宋体" w:cs="宋体"/>
          <w:color w:val="auto"/>
          <w:spacing w:val="9"/>
          <w:sz w:val="20"/>
          <w:szCs w:val="20"/>
          <w:highlight w:val="none"/>
        </w:rPr>
        <w:t>启备变微机</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型继电保护装置，它提出了装置的功能设计、结构、性能、制造、安装和试验等方面的技术</w:t>
      </w:r>
      <w:r>
        <w:rPr>
          <w:rFonts w:ascii="宋体" w:hAnsi="宋体" w:eastAsia="宋体" w:cs="宋体"/>
          <w:color w:val="auto"/>
          <w:spacing w:val="14"/>
          <w:sz w:val="20"/>
          <w:szCs w:val="20"/>
          <w:highlight w:val="none"/>
        </w:rPr>
        <w:t xml:space="preserve"> </w:t>
      </w:r>
      <w:r>
        <w:rPr>
          <w:rFonts w:ascii="宋体" w:hAnsi="宋体" w:eastAsia="宋体" w:cs="宋体"/>
          <w:color w:val="auto"/>
          <w:spacing w:val="7"/>
          <w:sz w:val="20"/>
          <w:szCs w:val="20"/>
          <w:highlight w:val="none"/>
        </w:rPr>
        <w:t>要求，以及供货现场技术服务。投标人投标时，应按项目分别详细说明技术方案并分别列出</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全部技术数据。</w:t>
      </w:r>
    </w:p>
    <w:p w14:paraId="0ABF4279">
      <w:pPr>
        <w:spacing w:before="221" w:line="364" w:lineRule="auto"/>
        <w:ind w:left="22" w:right="75" w:firstLine="15"/>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1.1.2</w:t>
      </w:r>
      <w:r>
        <w:rPr>
          <w:rFonts w:ascii="宋体" w:hAnsi="宋体" w:eastAsia="宋体" w:cs="宋体"/>
          <w:color w:val="auto"/>
          <w:spacing w:val="-11"/>
          <w:sz w:val="20"/>
          <w:szCs w:val="20"/>
          <w:highlight w:val="none"/>
        </w:rPr>
        <w:t xml:space="preserve"> </w:t>
      </w:r>
      <w:r>
        <w:rPr>
          <w:rFonts w:ascii="宋体" w:hAnsi="宋体" w:eastAsia="宋体" w:cs="宋体"/>
          <w:color w:val="auto"/>
          <w:spacing w:val="17"/>
          <w:sz w:val="20"/>
          <w:szCs w:val="20"/>
          <w:highlight w:val="none"/>
        </w:rPr>
        <w:t>招标人在本招标文件中提出了最低限度的技术要求，并未规定所有的技术要求和</w:t>
      </w:r>
      <w:r>
        <w:rPr>
          <w:rFonts w:ascii="宋体" w:hAnsi="宋体" w:eastAsia="宋体" w:cs="宋体"/>
          <w:color w:val="auto"/>
          <w:sz w:val="20"/>
          <w:szCs w:val="20"/>
          <w:highlight w:val="none"/>
        </w:rPr>
        <w:t xml:space="preserve"> </w:t>
      </w:r>
      <w:r>
        <w:rPr>
          <w:rFonts w:ascii="宋体" w:hAnsi="宋体" w:eastAsia="宋体" w:cs="宋体"/>
          <w:color w:val="auto"/>
          <w:spacing w:val="23"/>
          <w:sz w:val="20"/>
          <w:szCs w:val="20"/>
          <w:highlight w:val="none"/>
        </w:rPr>
        <w:t>适用的标准</w:t>
      </w:r>
      <w:r>
        <w:rPr>
          <w:rFonts w:ascii="宋体" w:hAnsi="宋体" w:eastAsia="宋体" w:cs="宋体"/>
          <w:color w:val="auto"/>
          <w:spacing w:val="-58"/>
          <w:sz w:val="20"/>
          <w:szCs w:val="20"/>
          <w:highlight w:val="none"/>
        </w:rPr>
        <w:t xml:space="preserve"> </w:t>
      </w:r>
      <w:r>
        <w:rPr>
          <w:rFonts w:ascii="宋体" w:hAnsi="宋体" w:eastAsia="宋体" w:cs="宋体"/>
          <w:color w:val="auto"/>
          <w:spacing w:val="23"/>
          <w:sz w:val="20"/>
          <w:szCs w:val="20"/>
          <w:highlight w:val="none"/>
        </w:rPr>
        <w:t>，投标人应提供满足本招标文件和所列标准要求的高质</w:t>
      </w:r>
      <w:r>
        <w:rPr>
          <w:rFonts w:ascii="宋体" w:hAnsi="宋体" w:eastAsia="宋体" w:cs="宋体"/>
          <w:color w:val="auto"/>
          <w:spacing w:val="22"/>
          <w:sz w:val="20"/>
          <w:szCs w:val="20"/>
          <w:highlight w:val="none"/>
        </w:rPr>
        <w:t>量产品及其相应服</w:t>
      </w:r>
      <w:r>
        <w:rPr>
          <w:rFonts w:ascii="宋体" w:hAnsi="宋体" w:eastAsia="宋体" w:cs="宋体"/>
          <w:color w:val="auto"/>
          <w:sz w:val="20"/>
          <w:szCs w:val="20"/>
          <w:highlight w:val="none"/>
        </w:rPr>
        <w:t xml:space="preserve"> </w:t>
      </w:r>
      <w:r>
        <w:rPr>
          <w:rFonts w:ascii="宋体" w:hAnsi="宋体" w:eastAsia="宋体" w:cs="宋体"/>
          <w:color w:val="auto"/>
          <w:spacing w:val="18"/>
          <w:sz w:val="20"/>
          <w:szCs w:val="20"/>
          <w:highlight w:val="none"/>
        </w:rPr>
        <w:t>务，并必须同时满足国家有关安全、环保等强制性标准要求。</w:t>
      </w:r>
    </w:p>
    <w:p w14:paraId="1FB8AC8F">
      <w:pPr>
        <w:spacing w:before="221" w:line="381" w:lineRule="auto"/>
        <w:ind w:left="22" w:right="75" w:firstLine="15"/>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1.1.3  投标人应在投标文件中，对于招标文件进行逐段应答，</w:t>
      </w:r>
      <w:r>
        <w:rPr>
          <w:rFonts w:ascii="宋体" w:hAnsi="宋体" w:eastAsia="宋体" w:cs="宋体"/>
          <w:color w:val="auto"/>
          <w:spacing w:val="18"/>
          <w:sz w:val="20"/>
          <w:szCs w:val="20"/>
          <w:highlight w:val="none"/>
        </w:rPr>
        <w:t>表明是否接受和同意本</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招标文件的要求，如</w:t>
      </w:r>
      <w:r>
        <w:rPr>
          <w:rFonts w:ascii="宋体" w:hAnsi="宋体" w:eastAsia="宋体" w:cs="宋体"/>
          <w:color w:val="auto"/>
          <w:spacing w:val="-60"/>
          <w:sz w:val="20"/>
          <w:szCs w:val="20"/>
          <w:highlight w:val="none"/>
        </w:rPr>
        <w:t xml:space="preserve"> </w:t>
      </w:r>
      <w:r>
        <w:rPr>
          <w:rFonts w:ascii="宋体" w:hAnsi="宋体" w:eastAsia="宋体" w:cs="宋体"/>
          <w:color w:val="auto"/>
          <w:spacing w:val="17"/>
          <w:sz w:val="20"/>
          <w:szCs w:val="20"/>
          <w:highlight w:val="none"/>
        </w:rPr>
        <w:t>：接受和同意招标文件某条款的要求，则在该条款后注明：“理解</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并承诺完全响应上述条款的要求</w:t>
      </w:r>
      <w:r>
        <w:rPr>
          <w:rFonts w:ascii="宋体" w:hAnsi="宋体" w:eastAsia="宋体" w:cs="宋体"/>
          <w:color w:val="auto"/>
          <w:spacing w:val="-61"/>
          <w:sz w:val="20"/>
          <w:szCs w:val="20"/>
          <w:highlight w:val="none"/>
        </w:rPr>
        <w:t xml:space="preserve"> </w:t>
      </w:r>
      <w:r>
        <w:rPr>
          <w:rFonts w:ascii="宋体" w:hAnsi="宋体" w:eastAsia="宋体" w:cs="宋体"/>
          <w:color w:val="auto"/>
          <w:spacing w:val="17"/>
          <w:sz w:val="20"/>
          <w:szCs w:val="20"/>
          <w:highlight w:val="none"/>
        </w:rPr>
        <w:t>”；若针对某条款，投标人有特别的建议、方案、技术</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特点或差异，请在该条款下加以描述和说明，并在“技术差异表</w:t>
      </w:r>
      <w:r>
        <w:rPr>
          <w:rFonts w:ascii="宋体" w:hAnsi="宋体" w:eastAsia="宋体" w:cs="宋体"/>
          <w:color w:val="auto"/>
          <w:spacing w:val="-43"/>
          <w:sz w:val="20"/>
          <w:szCs w:val="20"/>
          <w:highlight w:val="none"/>
        </w:rPr>
        <w:t xml:space="preserve"> </w:t>
      </w:r>
      <w:r>
        <w:rPr>
          <w:rFonts w:ascii="宋体" w:hAnsi="宋体" w:eastAsia="宋体" w:cs="宋体"/>
          <w:color w:val="auto"/>
          <w:spacing w:val="17"/>
          <w:sz w:val="20"/>
          <w:szCs w:val="20"/>
          <w:highlight w:val="none"/>
        </w:rPr>
        <w:t>”中列出。</w:t>
      </w:r>
    </w:p>
    <w:p w14:paraId="48717D9B">
      <w:pPr>
        <w:spacing w:before="222" w:line="329" w:lineRule="auto"/>
        <w:ind w:left="38" w:hanging="1"/>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1.1.4</w:t>
      </w:r>
      <w:r>
        <w:rPr>
          <w:rFonts w:ascii="宋体" w:hAnsi="宋体" w:eastAsia="宋体" w:cs="宋体"/>
          <w:color w:val="auto"/>
          <w:spacing w:val="-26"/>
          <w:sz w:val="20"/>
          <w:szCs w:val="20"/>
          <w:highlight w:val="none"/>
        </w:rPr>
        <w:t xml:space="preserve"> </w:t>
      </w:r>
      <w:r>
        <w:rPr>
          <w:rFonts w:ascii="宋体" w:hAnsi="宋体" w:eastAsia="宋体" w:cs="宋体"/>
          <w:color w:val="auto"/>
          <w:spacing w:val="17"/>
          <w:sz w:val="20"/>
          <w:szCs w:val="20"/>
          <w:highlight w:val="none"/>
        </w:rPr>
        <w:t>投标人如对本招标文件有偏差(无论多少或微小)都必须清楚地表示在本招标</w:t>
      </w:r>
      <w:r>
        <w:rPr>
          <w:rFonts w:ascii="宋体" w:hAnsi="宋体" w:eastAsia="宋体" w:cs="宋体"/>
          <w:color w:val="auto"/>
          <w:spacing w:val="16"/>
          <w:sz w:val="20"/>
          <w:szCs w:val="20"/>
          <w:highlight w:val="none"/>
        </w:rPr>
        <w:t>文件</w:t>
      </w:r>
      <w:r>
        <w:rPr>
          <w:rFonts w:ascii="宋体" w:hAnsi="宋体" w:eastAsia="宋体" w:cs="宋体"/>
          <w:color w:val="auto"/>
          <w:sz w:val="20"/>
          <w:szCs w:val="20"/>
          <w:highlight w:val="none"/>
        </w:rPr>
        <w:t xml:space="preserve"> </w:t>
      </w:r>
      <w:r>
        <w:rPr>
          <w:rFonts w:ascii="宋体" w:hAnsi="宋体" w:eastAsia="宋体" w:cs="宋体"/>
          <w:color w:val="auto"/>
          <w:spacing w:val="13"/>
          <w:sz w:val="20"/>
          <w:szCs w:val="20"/>
          <w:highlight w:val="none"/>
        </w:rPr>
        <w:t>的附件“技术差异表</w:t>
      </w:r>
      <w:r>
        <w:rPr>
          <w:rFonts w:ascii="宋体" w:hAnsi="宋体" w:eastAsia="宋体" w:cs="宋体"/>
          <w:color w:val="auto"/>
          <w:spacing w:val="-63"/>
          <w:sz w:val="20"/>
          <w:szCs w:val="20"/>
          <w:highlight w:val="none"/>
        </w:rPr>
        <w:t xml:space="preserve"> </w:t>
      </w:r>
      <w:r>
        <w:rPr>
          <w:rFonts w:ascii="宋体" w:hAnsi="宋体" w:eastAsia="宋体" w:cs="宋体"/>
          <w:color w:val="auto"/>
          <w:spacing w:val="13"/>
          <w:sz w:val="20"/>
          <w:szCs w:val="20"/>
          <w:highlight w:val="none"/>
        </w:rPr>
        <w:t>”中。否则招标人将认为投标人完全接受和同意本招标文件的要求。</w:t>
      </w:r>
    </w:p>
    <w:p w14:paraId="44025646">
      <w:pPr>
        <w:spacing w:before="223" w:line="381" w:lineRule="auto"/>
        <w:ind w:left="22" w:right="16" w:firstLine="15"/>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1.1.5</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投标人应执行本招标文件所列标准，有不一致时，按较高标准执行</w:t>
      </w:r>
      <w:r>
        <w:rPr>
          <w:rFonts w:ascii="宋体" w:hAnsi="宋体" w:eastAsia="宋体" w:cs="宋体"/>
          <w:color w:val="auto"/>
          <w:spacing w:val="-60"/>
          <w:sz w:val="20"/>
          <w:szCs w:val="20"/>
          <w:highlight w:val="none"/>
        </w:rPr>
        <w:t xml:space="preserve"> </w:t>
      </w:r>
      <w:r>
        <w:rPr>
          <w:rFonts w:ascii="宋体" w:hAnsi="宋体" w:eastAsia="宋体" w:cs="宋体"/>
          <w:color w:val="auto"/>
          <w:spacing w:val="16"/>
          <w:sz w:val="20"/>
          <w:szCs w:val="20"/>
          <w:highlight w:val="none"/>
        </w:rPr>
        <w:t>。投标人在设</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备设计和制造中所涉及的各项规程、规范和标准必须遵循现行最新标准版本</w:t>
      </w:r>
      <w:r>
        <w:rPr>
          <w:rFonts w:ascii="宋体" w:hAnsi="宋体" w:eastAsia="宋体" w:cs="宋体"/>
          <w:color w:val="auto"/>
          <w:spacing w:val="-59"/>
          <w:sz w:val="20"/>
          <w:szCs w:val="20"/>
          <w:highlight w:val="none"/>
        </w:rPr>
        <w:t xml:space="preserve"> </w:t>
      </w:r>
      <w:r>
        <w:rPr>
          <w:rFonts w:ascii="宋体" w:hAnsi="宋体" w:eastAsia="宋体" w:cs="宋体"/>
          <w:color w:val="auto"/>
          <w:spacing w:val="17"/>
          <w:sz w:val="20"/>
          <w:szCs w:val="20"/>
          <w:highlight w:val="none"/>
        </w:rPr>
        <w:t>。若投</w:t>
      </w:r>
      <w:r>
        <w:rPr>
          <w:rFonts w:ascii="宋体" w:hAnsi="宋体" w:eastAsia="宋体" w:cs="宋体"/>
          <w:color w:val="auto"/>
          <w:spacing w:val="16"/>
          <w:sz w:val="20"/>
          <w:szCs w:val="20"/>
          <w:highlight w:val="none"/>
        </w:rPr>
        <w:t>标人</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所提供的投标文件前后有不一致的地方，应以更有利于设备安装运行、工程质量为原</w:t>
      </w:r>
      <w:r>
        <w:rPr>
          <w:rFonts w:ascii="宋体" w:hAnsi="宋体" w:eastAsia="宋体" w:cs="宋体"/>
          <w:color w:val="auto"/>
          <w:spacing w:val="13"/>
          <w:sz w:val="20"/>
          <w:szCs w:val="20"/>
          <w:highlight w:val="none"/>
        </w:rPr>
        <w:t>则，</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由招标人确定。</w:t>
      </w:r>
    </w:p>
    <w:p w14:paraId="42C21320">
      <w:pPr>
        <w:spacing w:before="220" w:line="330" w:lineRule="auto"/>
        <w:ind w:left="21" w:right="126" w:firstLine="16"/>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1.1.6</w:t>
      </w:r>
      <w:r>
        <w:rPr>
          <w:rFonts w:ascii="宋体" w:hAnsi="宋体" w:eastAsia="宋体" w:cs="宋体"/>
          <w:color w:val="auto"/>
          <w:spacing w:val="-22"/>
          <w:sz w:val="20"/>
          <w:szCs w:val="20"/>
          <w:highlight w:val="none"/>
        </w:rPr>
        <w:t xml:space="preserve"> </w:t>
      </w:r>
      <w:r>
        <w:rPr>
          <w:rFonts w:ascii="宋体" w:hAnsi="宋体" w:eastAsia="宋体" w:cs="宋体"/>
          <w:color w:val="auto"/>
          <w:spacing w:val="16"/>
          <w:sz w:val="20"/>
          <w:szCs w:val="20"/>
          <w:highlight w:val="none"/>
        </w:rPr>
        <w:t>在合同签定后，招标人有权因规范、标准、规程发生变化而提出一些补充要求，</w:t>
      </w:r>
      <w:r>
        <w:rPr>
          <w:rFonts w:ascii="宋体" w:hAnsi="宋体" w:eastAsia="宋体" w:cs="宋体"/>
          <w:color w:val="auto"/>
          <w:sz w:val="20"/>
          <w:szCs w:val="20"/>
          <w:highlight w:val="none"/>
        </w:rPr>
        <w:t xml:space="preserve"> </w:t>
      </w:r>
      <w:r>
        <w:rPr>
          <w:rFonts w:ascii="宋体" w:hAnsi="宋体" w:eastAsia="宋体" w:cs="宋体"/>
          <w:color w:val="auto"/>
          <w:spacing w:val="18"/>
          <w:sz w:val="20"/>
          <w:szCs w:val="20"/>
          <w:highlight w:val="none"/>
        </w:rPr>
        <w:t>在设备投料生产前，投标人应在设计上给以修改。</w:t>
      </w:r>
    </w:p>
    <w:p w14:paraId="7C0E2F53">
      <w:pPr>
        <w:spacing w:before="221" w:line="330" w:lineRule="auto"/>
        <w:ind w:left="23" w:right="66"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1.1.7</w:t>
      </w:r>
      <w:r>
        <w:rPr>
          <w:rFonts w:ascii="宋体" w:hAnsi="宋体" w:eastAsia="宋体" w:cs="宋体"/>
          <w:color w:val="auto"/>
          <w:spacing w:val="-15"/>
          <w:sz w:val="20"/>
          <w:szCs w:val="20"/>
          <w:highlight w:val="none"/>
        </w:rPr>
        <w:t xml:space="preserve"> </w:t>
      </w:r>
      <w:r>
        <w:rPr>
          <w:rFonts w:ascii="宋体" w:hAnsi="宋体" w:eastAsia="宋体" w:cs="宋体"/>
          <w:color w:val="auto"/>
          <w:spacing w:val="7"/>
          <w:sz w:val="20"/>
          <w:szCs w:val="20"/>
          <w:highlight w:val="none"/>
        </w:rPr>
        <w:t>设备采用的专利涉及到的全部费用均被认为已包含在设备报价中，投标人应保证招标</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人不承担有关设备专利的一切责任。</w:t>
      </w:r>
    </w:p>
    <w:p w14:paraId="1739BE09">
      <w:pPr>
        <w:spacing w:before="221" w:line="364" w:lineRule="auto"/>
        <w:ind w:left="23" w:right="63" w:firstLine="1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1.1.8</w:t>
      </w:r>
      <w:r>
        <w:rPr>
          <w:rFonts w:ascii="宋体" w:hAnsi="宋体" w:eastAsia="宋体" w:cs="宋体"/>
          <w:color w:val="auto"/>
          <w:spacing w:val="-15"/>
          <w:sz w:val="20"/>
          <w:szCs w:val="20"/>
          <w:highlight w:val="none"/>
        </w:rPr>
        <w:t xml:space="preserve"> </w:t>
      </w:r>
      <w:r>
        <w:rPr>
          <w:rFonts w:ascii="宋体" w:hAnsi="宋体" w:eastAsia="宋体" w:cs="宋体"/>
          <w:color w:val="auto"/>
          <w:spacing w:val="7"/>
          <w:sz w:val="20"/>
          <w:szCs w:val="20"/>
          <w:highlight w:val="none"/>
        </w:rPr>
        <w:t>规范书经招投标双方确认后，作为合同的附件，与合同正文具有同等的法律效力。投</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标方中标后，投标文件经技术澄清后，承诺内容和技术协议具有同等约束力，与订货合同正</w:t>
      </w:r>
      <w:r>
        <w:rPr>
          <w:rFonts w:ascii="宋体" w:hAnsi="宋体" w:eastAsia="宋体" w:cs="宋体"/>
          <w:color w:val="auto"/>
          <w:spacing w:val="16"/>
          <w:sz w:val="20"/>
          <w:szCs w:val="20"/>
          <w:highlight w:val="none"/>
        </w:rPr>
        <w:t xml:space="preserve"> </w:t>
      </w:r>
      <w:r>
        <w:rPr>
          <w:rFonts w:ascii="宋体" w:hAnsi="宋体" w:eastAsia="宋体" w:cs="宋体"/>
          <w:color w:val="auto"/>
          <w:spacing w:val="7"/>
          <w:sz w:val="20"/>
          <w:szCs w:val="20"/>
          <w:highlight w:val="none"/>
        </w:rPr>
        <w:t>文具有同等效力。</w:t>
      </w:r>
    </w:p>
    <w:p w14:paraId="0BCE47C7">
      <w:pPr>
        <w:tabs>
          <w:tab w:val="left" w:pos="2862"/>
        </w:tabs>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rPr>
        <w:t>*1.1.9</w:t>
      </w:r>
      <w:r>
        <w:rPr>
          <w:rFonts w:hint="eastAsia" w:ascii="宋体" w:hAnsi="宋体" w:cs="宋体"/>
          <w:b/>
          <w:color w:val="auto"/>
          <w:sz w:val="21"/>
          <w:szCs w:val="21"/>
          <w:highlight w:val="none"/>
          <w:lang w:val="en-US" w:eastAsia="zh-CN"/>
        </w:rPr>
        <w:t xml:space="preserve"> </w:t>
      </w:r>
      <w:r>
        <w:rPr>
          <w:rFonts w:hint="eastAsia" w:ascii="宋体" w:hAnsi="宋体" w:cs="宋体"/>
          <w:b/>
          <w:color w:val="auto"/>
          <w:sz w:val="21"/>
          <w:szCs w:val="21"/>
          <w:highlight w:val="none"/>
          <w:lang w:eastAsia="zh-CN"/>
        </w:rPr>
        <w:t>投标人</w:t>
      </w:r>
      <w:r>
        <w:rPr>
          <w:rFonts w:hint="eastAsia" w:ascii="宋体" w:hAnsi="宋体" w:cs="宋体"/>
          <w:b/>
          <w:color w:val="auto"/>
          <w:sz w:val="21"/>
          <w:szCs w:val="21"/>
          <w:highlight w:val="none"/>
        </w:rPr>
        <w:t>所投产品</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发变组保护装置、启备变保护装置</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应在国家或电力工业检验检测机构通过型式试验、动模试验并提供相应的报告。</w:t>
      </w:r>
    </w:p>
    <w:p w14:paraId="69D5B62E">
      <w:pPr>
        <w:tabs>
          <w:tab w:val="left" w:pos="2862"/>
        </w:tabs>
        <w:spacing w:line="360" w:lineRule="auto"/>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1.1.10</w:t>
      </w:r>
      <w:r>
        <w:rPr>
          <w:rFonts w:hint="eastAsia" w:ascii="宋体" w:hAnsi="宋体" w:cs="宋体"/>
          <w:b/>
          <w:bCs w:val="0"/>
          <w:color w:val="auto"/>
          <w:sz w:val="21"/>
          <w:szCs w:val="21"/>
          <w:highlight w:val="none"/>
          <w:lang w:val="en-US" w:eastAsia="zh-CN"/>
        </w:rPr>
        <w:t xml:space="preserve"> 投标</w:t>
      </w:r>
      <w:r>
        <w:rPr>
          <w:rFonts w:hint="eastAsia" w:ascii="宋体" w:hAnsi="宋体" w:cs="宋体"/>
          <w:b/>
          <w:bCs w:val="0"/>
          <w:color w:val="auto"/>
          <w:sz w:val="21"/>
          <w:szCs w:val="21"/>
          <w:highlight w:val="none"/>
        </w:rPr>
        <w:t>人所投产品（发变组保护装置、启备变保护装置）应由具备资质的第三方检测机构通过IEC 61850标准一次性检测试验并提供相应的报告。</w:t>
      </w:r>
    </w:p>
    <w:p w14:paraId="759A395A">
      <w:pPr>
        <w:spacing w:before="32" w:line="381" w:lineRule="auto"/>
        <w:ind w:left="22" w:right="7" w:firstLine="15"/>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1.1.11</w:t>
      </w:r>
      <w:r>
        <w:rPr>
          <w:rFonts w:ascii="宋体" w:hAnsi="宋体" w:eastAsia="宋体" w:cs="宋体"/>
          <w:color w:val="auto"/>
          <w:spacing w:val="-26"/>
          <w:sz w:val="20"/>
          <w:szCs w:val="20"/>
          <w:highlight w:val="none"/>
        </w:rPr>
        <w:t xml:space="preserve"> </w:t>
      </w:r>
      <w:r>
        <w:rPr>
          <w:rFonts w:ascii="宋体" w:hAnsi="宋体" w:eastAsia="宋体" w:cs="宋体"/>
          <w:color w:val="auto"/>
          <w:spacing w:val="10"/>
          <w:sz w:val="20"/>
          <w:szCs w:val="20"/>
          <w:highlight w:val="none"/>
        </w:rPr>
        <w:t>投标人应对所供设备进行编码，按照</w:t>
      </w:r>
      <w:r>
        <w:rPr>
          <w:rFonts w:ascii="宋体" w:hAnsi="宋体" w:eastAsia="宋体" w:cs="宋体"/>
          <w:color w:val="auto"/>
          <w:sz w:val="20"/>
          <w:szCs w:val="20"/>
          <w:highlight w:val="none"/>
        </w:rPr>
        <w:t>GB</w:t>
      </w:r>
      <w:r>
        <w:rPr>
          <w:rFonts w:ascii="宋体" w:hAnsi="宋体" w:eastAsia="宋体" w:cs="宋体"/>
          <w:color w:val="auto"/>
          <w:spacing w:val="10"/>
          <w:sz w:val="20"/>
          <w:szCs w:val="20"/>
          <w:highlight w:val="none"/>
        </w:rPr>
        <w:t>/T 50549《电厂标识系统编</w:t>
      </w:r>
      <w:r>
        <w:rPr>
          <w:rFonts w:ascii="宋体" w:hAnsi="宋体" w:eastAsia="宋体" w:cs="宋体"/>
          <w:color w:val="auto"/>
          <w:spacing w:val="9"/>
          <w:sz w:val="20"/>
          <w:szCs w:val="20"/>
          <w:highlight w:val="none"/>
        </w:rPr>
        <w:t>码标准》执行，</w:t>
      </w:r>
      <w:r>
        <w:rPr>
          <w:rFonts w:ascii="宋体" w:hAnsi="宋体" w:eastAsia="宋体" w:cs="宋体"/>
          <w:color w:val="auto"/>
          <w:sz w:val="20"/>
          <w:szCs w:val="20"/>
          <w:highlight w:val="none"/>
        </w:rPr>
        <w:t xml:space="preserve"> </w:t>
      </w:r>
      <w:r>
        <w:rPr>
          <w:rFonts w:ascii="宋体" w:hAnsi="宋体" w:eastAsia="宋体" w:cs="宋体"/>
          <w:color w:val="auto"/>
          <w:spacing w:val="16"/>
          <w:sz w:val="20"/>
          <w:szCs w:val="20"/>
          <w:highlight w:val="none"/>
        </w:rPr>
        <w:t>满足招标人编码原则。编码范围包括投标人所供系统、设备、部件和构筑物</w:t>
      </w:r>
      <w:r>
        <w:rPr>
          <w:rFonts w:ascii="宋体" w:hAnsi="宋体" w:eastAsia="宋体" w:cs="宋体"/>
          <w:color w:val="auto"/>
          <w:spacing w:val="-43"/>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54"/>
          <w:sz w:val="20"/>
          <w:szCs w:val="20"/>
          <w:highlight w:val="none"/>
        </w:rPr>
        <w:t xml:space="preserve"> </w:t>
      </w:r>
      <w:r>
        <w:rPr>
          <w:rFonts w:ascii="宋体" w:hAnsi="宋体" w:eastAsia="宋体" w:cs="宋体"/>
          <w:color w:val="auto"/>
          <w:spacing w:val="16"/>
          <w:sz w:val="20"/>
          <w:szCs w:val="20"/>
          <w:highlight w:val="none"/>
        </w:rPr>
        <w:t>中标后，</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招标人将向投标人提供电厂标识系统的编码原则和要求，投标人应据此对其</w:t>
      </w:r>
      <w:r>
        <w:rPr>
          <w:rFonts w:ascii="宋体" w:hAnsi="宋体" w:eastAsia="宋体" w:cs="宋体"/>
          <w:color w:val="auto"/>
          <w:spacing w:val="8"/>
          <w:sz w:val="20"/>
          <w:szCs w:val="20"/>
          <w:highlight w:val="none"/>
        </w:rPr>
        <w:t>所提供的系统、</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设备、部件进行编码，并编制在提供的技术文件(包括图纸及说明书)中。</w:t>
      </w:r>
    </w:p>
    <w:p w14:paraId="236B6C40">
      <w:pPr>
        <w:spacing w:before="221" w:line="228" w:lineRule="auto"/>
        <w:ind w:left="37"/>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1.1.12 应满足华东网调对网源协调的技术要求。</w:t>
      </w:r>
    </w:p>
    <w:p w14:paraId="77078726">
      <w:pPr>
        <w:spacing w:before="221" w:line="330" w:lineRule="auto"/>
        <w:ind w:left="25" w:right="75" w:firstLine="12"/>
        <w:rPr>
          <w:rFonts w:ascii="宋体" w:hAnsi="宋体" w:eastAsia="宋体" w:cs="宋体"/>
          <w:color w:val="auto"/>
          <w:spacing w:val="16"/>
          <w:sz w:val="20"/>
          <w:szCs w:val="20"/>
          <w:highlight w:val="none"/>
        </w:rPr>
      </w:pPr>
      <w:r>
        <w:rPr>
          <w:rFonts w:ascii="宋体" w:hAnsi="宋体" w:eastAsia="宋体" w:cs="宋体"/>
          <w:color w:val="auto"/>
          <w:spacing w:val="17"/>
          <w:sz w:val="20"/>
          <w:szCs w:val="20"/>
          <w:highlight w:val="none"/>
        </w:rPr>
        <w:t>1.1.1</w:t>
      </w:r>
      <w:r>
        <w:rPr>
          <w:rFonts w:hint="eastAsia" w:ascii="宋体" w:hAnsi="宋体" w:eastAsia="宋体" w:cs="宋体"/>
          <w:color w:val="auto"/>
          <w:spacing w:val="17"/>
          <w:sz w:val="20"/>
          <w:szCs w:val="20"/>
          <w:highlight w:val="none"/>
          <w:lang w:val="en-US" w:eastAsia="zh-CN"/>
        </w:rPr>
        <w:t>3</w:t>
      </w:r>
      <w:r>
        <w:rPr>
          <w:rFonts w:ascii="宋体" w:hAnsi="宋体" w:eastAsia="宋体" w:cs="宋体"/>
          <w:color w:val="auto"/>
          <w:spacing w:val="17"/>
          <w:sz w:val="20"/>
          <w:szCs w:val="20"/>
          <w:highlight w:val="none"/>
        </w:rPr>
        <w:t xml:space="preserve"> 按照华东电网对于</w:t>
      </w:r>
      <w:r>
        <w:rPr>
          <w:rFonts w:ascii="宋体" w:hAnsi="宋体" w:eastAsia="宋体" w:cs="宋体"/>
          <w:color w:val="auto"/>
          <w:spacing w:val="-6"/>
          <w:sz w:val="20"/>
          <w:szCs w:val="20"/>
          <w:highlight w:val="none"/>
        </w:rPr>
        <w:t xml:space="preserve"> </w:t>
      </w:r>
      <w:r>
        <w:rPr>
          <w:rFonts w:ascii="宋体" w:hAnsi="宋体" w:eastAsia="宋体" w:cs="宋体"/>
          <w:color w:val="auto"/>
          <w:spacing w:val="17"/>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22"/>
          <w:sz w:val="20"/>
          <w:szCs w:val="20"/>
          <w:highlight w:val="none"/>
        </w:rPr>
        <w:t xml:space="preserve"> </w:t>
      </w:r>
      <w:r>
        <w:rPr>
          <w:rFonts w:ascii="宋体" w:hAnsi="宋体" w:eastAsia="宋体" w:cs="宋体"/>
          <w:color w:val="auto"/>
          <w:spacing w:val="17"/>
          <w:sz w:val="20"/>
          <w:szCs w:val="20"/>
          <w:highlight w:val="none"/>
        </w:rPr>
        <w:t>系统保护配置的要求，投标人应确保所提供的产品满</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足华东电网</w:t>
      </w:r>
      <w:r>
        <w:rPr>
          <w:rFonts w:ascii="宋体" w:hAnsi="宋体" w:eastAsia="宋体" w:cs="宋体"/>
          <w:color w:val="auto"/>
          <w:spacing w:val="-23"/>
          <w:sz w:val="20"/>
          <w:szCs w:val="20"/>
          <w:highlight w:val="none"/>
        </w:rPr>
        <w:t xml:space="preserve"> </w:t>
      </w:r>
      <w:r>
        <w:rPr>
          <w:rFonts w:ascii="宋体" w:hAnsi="宋体" w:eastAsia="宋体" w:cs="宋体"/>
          <w:color w:val="auto"/>
          <w:spacing w:val="17"/>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24"/>
          <w:sz w:val="20"/>
          <w:szCs w:val="20"/>
          <w:highlight w:val="none"/>
        </w:rPr>
        <w:t xml:space="preserve"> </w:t>
      </w:r>
      <w:r>
        <w:rPr>
          <w:rFonts w:ascii="宋体" w:hAnsi="宋体" w:eastAsia="宋体" w:cs="宋体"/>
          <w:color w:val="auto"/>
          <w:spacing w:val="17"/>
          <w:sz w:val="20"/>
          <w:szCs w:val="20"/>
          <w:highlight w:val="none"/>
        </w:rPr>
        <w:t>系统继电保护的专门技术</w:t>
      </w:r>
      <w:r>
        <w:rPr>
          <w:rFonts w:ascii="宋体" w:hAnsi="宋体" w:eastAsia="宋体" w:cs="宋体"/>
          <w:color w:val="auto"/>
          <w:spacing w:val="16"/>
          <w:sz w:val="20"/>
          <w:szCs w:val="20"/>
          <w:highlight w:val="none"/>
        </w:rPr>
        <w:t>要求和设计组屏规范。</w:t>
      </w:r>
    </w:p>
    <w:p w14:paraId="4EF9065F">
      <w:pPr>
        <w:spacing w:line="360" w:lineRule="auto"/>
        <w:rPr>
          <w:rFonts w:hint="default" w:ascii="宋体" w:hAnsi="宋体" w:cs="宋体"/>
          <w:color w:val="auto"/>
          <w:sz w:val="21"/>
          <w:szCs w:val="21"/>
          <w:highlight w:val="none"/>
          <w:lang w:val="en-US" w:eastAsia="zh-CN"/>
        </w:rPr>
      </w:pPr>
      <w:r>
        <w:rPr>
          <w:rFonts w:hint="eastAsia" w:ascii="宋体" w:hAnsi="宋体" w:cs="宋体"/>
          <w:b/>
          <w:bCs/>
          <w:color w:val="auto"/>
          <w:spacing w:val="5"/>
          <w:sz w:val="21"/>
          <w:szCs w:val="21"/>
          <w:highlight w:val="none"/>
        </w:rPr>
        <w:t>1.1.1</w:t>
      </w:r>
      <w:r>
        <w:rPr>
          <w:rFonts w:hint="eastAsia" w:ascii="宋体" w:hAnsi="宋体" w:cs="宋体"/>
          <w:b/>
          <w:bCs/>
          <w:color w:val="auto"/>
          <w:spacing w:val="5"/>
          <w:sz w:val="21"/>
          <w:szCs w:val="21"/>
          <w:highlight w:val="none"/>
          <w:lang w:val="en-US" w:eastAsia="zh-CN"/>
        </w:rPr>
        <w:t>4</w:t>
      </w:r>
      <w:r>
        <w:rPr>
          <w:rFonts w:hint="eastAsia" w:ascii="宋体" w:hAnsi="宋体" w:cs="宋体"/>
          <w:b/>
          <w:bCs/>
          <w:color w:val="auto"/>
          <w:spacing w:val="5"/>
          <w:sz w:val="21"/>
          <w:szCs w:val="21"/>
          <w:highlight w:val="none"/>
        </w:rPr>
        <w:t xml:space="preserve"> </w:t>
      </w:r>
      <w:r>
        <w:rPr>
          <w:rFonts w:hint="default" w:ascii="宋体" w:hAnsi="宋体" w:cs="宋体"/>
          <w:color w:val="auto"/>
          <w:sz w:val="21"/>
          <w:szCs w:val="21"/>
          <w:highlight w:val="none"/>
          <w:lang w:val="en-US" w:eastAsia="zh-CN"/>
        </w:rPr>
        <w:t>发变组、启备变保护装置采用南瑞继保、北京四方、国电南自、许继电气或相当于</w:t>
      </w:r>
      <w:r>
        <w:rPr>
          <w:rFonts w:hint="eastAsia" w:ascii="宋体" w:hAnsi="宋体" w:cs="宋体"/>
          <w:color w:val="auto"/>
          <w:sz w:val="21"/>
          <w:szCs w:val="21"/>
          <w:highlight w:val="none"/>
          <w:lang w:val="en-US" w:eastAsia="zh-CN"/>
        </w:rPr>
        <w:t>。</w:t>
      </w:r>
    </w:p>
    <w:p w14:paraId="5232D766">
      <w:pPr>
        <w:spacing w:before="207" w:line="220" w:lineRule="auto"/>
        <w:ind w:left="41"/>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1.2</w:t>
      </w:r>
      <w:r>
        <w:rPr>
          <w:rFonts w:ascii="宋体" w:hAnsi="宋体" w:eastAsia="宋体" w:cs="宋体"/>
          <w:color w:val="auto"/>
          <w:spacing w:val="-5"/>
          <w:sz w:val="24"/>
          <w:szCs w:val="24"/>
          <w:highlight w:val="none"/>
        </w:rPr>
        <w:t xml:space="preserve">  </w:t>
      </w:r>
      <w:r>
        <w:rPr>
          <w:rFonts w:ascii="宋体" w:hAnsi="宋体" w:eastAsia="宋体" w:cs="宋体"/>
          <w:b/>
          <w:bCs/>
          <w:color w:val="auto"/>
          <w:spacing w:val="-5"/>
          <w:sz w:val="24"/>
          <w:szCs w:val="24"/>
          <w:highlight w:val="none"/>
        </w:rPr>
        <w:t>标准和规范</w:t>
      </w:r>
    </w:p>
    <w:p w14:paraId="49CD53DB">
      <w:pPr>
        <w:spacing w:before="196" w:line="364" w:lineRule="auto"/>
        <w:ind w:left="22" w:right="63" w:firstLine="1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1.2.1 合同设备包括投标人向其他厂商购</w:t>
      </w:r>
      <w:r>
        <w:rPr>
          <w:rFonts w:ascii="宋体" w:hAnsi="宋体" w:eastAsia="宋体" w:cs="宋体"/>
          <w:color w:val="auto"/>
          <w:spacing w:val="6"/>
          <w:sz w:val="20"/>
          <w:szCs w:val="20"/>
          <w:highlight w:val="none"/>
        </w:rPr>
        <w:t>买的所有附件和设备。所有设备和附件都应符合相</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应的标准、规范或法规的最新版本的要求，除非另有特别外，投标期内有效的任何修正和补</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充都应包括在内。</w:t>
      </w:r>
    </w:p>
    <w:p w14:paraId="621132E4">
      <w:pPr>
        <w:spacing w:before="221" w:line="364" w:lineRule="auto"/>
        <w:ind w:left="22" w:right="63" w:firstLine="1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1.2.2 除非合同另有规定，均须遵守最新的国家标准(</w:t>
      </w:r>
      <w:r>
        <w:rPr>
          <w:rFonts w:ascii="宋体" w:hAnsi="宋体" w:eastAsia="宋体" w:cs="宋体"/>
          <w:color w:val="auto"/>
          <w:sz w:val="20"/>
          <w:szCs w:val="20"/>
          <w:highlight w:val="none"/>
        </w:rPr>
        <w:t>GB</w:t>
      </w:r>
      <w:r>
        <w:rPr>
          <w:rFonts w:ascii="宋体" w:hAnsi="宋体" w:eastAsia="宋体" w:cs="宋体"/>
          <w:color w:val="auto"/>
          <w:spacing w:val="9"/>
          <w:sz w:val="20"/>
          <w:szCs w:val="20"/>
          <w:highlight w:val="none"/>
        </w:rPr>
        <w:t>)和国际电工委员会(</w:t>
      </w:r>
      <w:r>
        <w:rPr>
          <w:rFonts w:ascii="宋体" w:hAnsi="宋体" w:eastAsia="宋体" w:cs="宋体"/>
          <w:color w:val="auto"/>
          <w:sz w:val="20"/>
          <w:szCs w:val="20"/>
          <w:highlight w:val="none"/>
        </w:rPr>
        <w:t>IEC</w:t>
      </w:r>
      <w:r>
        <w:rPr>
          <w:rFonts w:ascii="宋体" w:hAnsi="宋体" w:eastAsia="宋体" w:cs="宋体"/>
          <w:color w:val="auto"/>
          <w:spacing w:val="9"/>
          <w:sz w:val="20"/>
          <w:szCs w:val="20"/>
          <w:highlight w:val="none"/>
        </w:rPr>
        <w:t>)标准以及</w:t>
      </w:r>
      <w:r>
        <w:rPr>
          <w:rFonts w:ascii="宋体" w:hAnsi="宋体" w:eastAsia="宋体" w:cs="宋体"/>
          <w:color w:val="auto"/>
          <w:spacing w:val="1"/>
          <w:sz w:val="20"/>
          <w:szCs w:val="20"/>
          <w:highlight w:val="none"/>
        </w:rPr>
        <w:t xml:space="preserve"> </w:t>
      </w:r>
      <w:r>
        <w:rPr>
          <w:rFonts w:ascii="宋体" w:hAnsi="宋体" w:eastAsia="宋体" w:cs="宋体"/>
          <w:color w:val="auto"/>
          <w:spacing w:val="7"/>
          <w:sz w:val="20"/>
          <w:szCs w:val="20"/>
          <w:highlight w:val="none"/>
        </w:rPr>
        <w:t>国际单位制(</w:t>
      </w:r>
      <w:r>
        <w:rPr>
          <w:rFonts w:ascii="宋体" w:hAnsi="宋体" w:eastAsia="宋体" w:cs="宋体"/>
          <w:color w:val="auto"/>
          <w:sz w:val="20"/>
          <w:szCs w:val="20"/>
          <w:highlight w:val="none"/>
        </w:rPr>
        <w:t>SI</w:t>
      </w:r>
      <w:r>
        <w:rPr>
          <w:rFonts w:ascii="宋体" w:hAnsi="宋体" w:eastAsia="宋体" w:cs="宋体"/>
          <w:color w:val="auto"/>
          <w:spacing w:val="7"/>
          <w:sz w:val="20"/>
          <w:szCs w:val="20"/>
          <w:highlight w:val="none"/>
        </w:rPr>
        <w:t>)标准。如采用合资或合作产品，还应遵守合作方国家标准，当上述标准不一</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致时按高标准执行。</w:t>
      </w:r>
    </w:p>
    <w:p w14:paraId="636A2BA9">
      <w:pPr>
        <w:spacing w:before="221" w:line="331" w:lineRule="auto"/>
        <w:ind w:left="23" w:right="66"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1.2.3 投标人提供的设备和配套件要符合</w:t>
      </w:r>
      <w:r>
        <w:rPr>
          <w:rFonts w:ascii="宋体" w:hAnsi="宋体" w:eastAsia="宋体" w:cs="宋体"/>
          <w:color w:val="auto"/>
          <w:spacing w:val="6"/>
          <w:sz w:val="20"/>
          <w:szCs w:val="20"/>
          <w:highlight w:val="none"/>
        </w:rPr>
        <w:t>以下标准但不局限于以下标准（按现行最新有效标</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准</w:t>
      </w:r>
      <w:r>
        <w:rPr>
          <w:rFonts w:ascii="宋体" w:hAnsi="宋体" w:eastAsia="宋体" w:cs="宋体"/>
          <w:color w:val="auto"/>
          <w:spacing w:val="-35"/>
          <w:sz w:val="20"/>
          <w:szCs w:val="20"/>
          <w:highlight w:val="none"/>
        </w:rPr>
        <w:t>）：</w:t>
      </w:r>
    </w:p>
    <w:p w14:paraId="524A3D0E">
      <w:pPr>
        <w:spacing w:before="219"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 2423          电工电子产品基本环境试验</w:t>
      </w:r>
      <w:r>
        <w:rPr>
          <w:rFonts w:ascii="宋体" w:hAnsi="宋体" w:eastAsia="宋体" w:cs="宋体"/>
          <w:color w:val="auto"/>
          <w:spacing w:val="5"/>
          <w:sz w:val="20"/>
          <w:szCs w:val="20"/>
          <w:highlight w:val="none"/>
        </w:rPr>
        <w:t>规程</w:t>
      </w:r>
    </w:p>
    <w:p w14:paraId="49248A7D">
      <w:pPr>
        <w:spacing w:before="222" w:line="228"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 13926         工业过程测量和控制装置的电磁兼容性</w:t>
      </w:r>
    </w:p>
    <w:p w14:paraId="09E7F32D">
      <w:pPr>
        <w:spacing w:before="221"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8"/>
          <w:sz w:val="20"/>
          <w:szCs w:val="20"/>
          <w:highlight w:val="none"/>
        </w:rPr>
        <w:t>/T 7261</w:t>
      </w:r>
      <w:r>
        <w:rPr>
          <w:rFonts w:ascii="宋体" w:hAnsi="宋体" w:eastAsia="宋体" w:cs="宋体"/>
          <w:color w:val="auto"/>
          <w:spacing w:val="2"/>
          <w:sz w:val="20"/>
          <w:szCs w:val="20"/>
          <w:highlight w:val="none"/>
        </w:rPr>
        <w:t xml:space="preserve">          </w:t>
      </w:r>
      <w:r>
        <w:rPr>
          <w:rFonts w:ascii="宋体" w:hAnsi="宋体" w:eastAsia="宋体" w:cs="宋体"/>
          <w:color w:val="auto"/>
          <w:spacing w:val="8"/>
          <w:sz w:val="20"/>
          <w:szCs w:val="20"/>
          <w:highlight w:val="none"/>
        </w:rPr>
        <w:t>继电器及继电保护装置基本试验方法</w:t>
      </w:r>
    </w:p>
    <w:p w14:paraId="68835D79">
      <w:pPr>
        <w:spacing w:before="223"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7"/>
          <w:sz w:val="20"/>
          <w:szCs w:val="20"/>
          <w:highlight w:val="none"/>
        </w:rPr>
        <w:t>/T 2887</w:t>
      </w:r>
      <w:r>
        <w:rPr>
          <w:rFonts w:ascii="宋体" w:hAnsi="宋体" w:eastAsia="宋体" w:cs="宋体"/>
          <w:color w:val="auto"/>
          <w:spacing w:val="2"/>
          <w:sz w:val="20"/>
          <w:szCs w:val="20"/>
          <w:highlight w:val="none"/>
        </w:rPr>
        <w:t xml:space="preserve">          </w:t>
      </w:r>
      <w:r>
        <w:rPr>
          <w:rFonts w:ascii="宋体" w:hAnsi="宋体" w:eastAsia="宋体" w:cs="宋体"/>
          <w:color w:val="auto"/>
          <w:spacing w:val="7"/>
          <w:sz w:val="20"/>
          <w:szCs w:val="20"/>
          <w:highlight w:val="none"/>
        </w:rPr>
        <w:t>计算机场地技术条件</w:t>
      </w:r>
    </w:p>
    <w:p w14:paraId="1BD6D579">
      <w:pPr>
        <w:spacing w:before="221" w:line="228" w:lineRule="auto"/>
        <w:ind w:left="590"/>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8"/>
          <w:sz w:val="20"/>
          <w:szCs w:val="20"/>
          <w:highlight w:val="none"/>
        </w:rPr>
        <w:t>50171</w:t>
      </w:r>
      <w:r>
        <w:rPr>
          <w:rFonts w:ascii="宋体" w:hAnsi="宋体" w:eastAsia="宋体" w:cs="宋体"/>
          <w:color w:val="auto"/>
          <w:spacing w:val="4"/>
          <w:sz w:val="20"/>
          <w:szCs w:val="20"/>
          <w:highlight w:val="none"/>
        </w:rPr>
        <w:t xml:space="preserve">            </w:t>
      </w:r>
      <w:r>
        <w:rPr>
          <w:rFonts w:ascii="宋体" w:hAnsi="宋体" w:eastAsia="宋体" w:cs="宋体"/>
          <w:color w:val="auto"/>
          <w:spacing w:val="8"/>
          <w:sz w:val="20"/>
          <w:szCs w:val="20"/>
          <w:highlight w:val="none"/>
        </w:rPr>
        <w:t>电气装置安装工程盘、柜及二次回路结线施工及验收规范</w:t>
      </w:r>
    </w:p>
    <w:p w14:paraId="5AFDE4CD">
      <w:pPr>
        <w:spacing w:before="222" w:line="228"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8"/>
          <w:sz w:val="20"/>
          <w:szCs w:val="20"/>
          <w:highlight w:val="none"/>
        </w:rPr>
        <w:t>/T 14537</w:t>
      </w:r>
      <w:r>
        <w:rPr>
          <w:rFonts w:ascii="宋体" w:hAnsi="宋体" w:eastAsia="宋体" w:cs="宋体"/>
          <w:color w:val="auto"/>
          <w:spacing w:val="1"/>
          <w:sz w:val="20"/>
          <w:szCs w:val="20"/>
          <w:highlight w:val="none"/>
        </w:rPr>
        <w:t xml:space="preserve">         </w:t>
      </w:r>
      <w:r>
        <w:rPr>
          <w:rFonts w:ascii="宋体" w:hAnsi="宋体" w:eastAsia="宋体" w:cs="宋体"/>
          <w:color w:val="auto"/>
          <w:spacing w:val="8"/>
          <w:sz w:val="20"/>
          <w:szCs w:val="20"/>
          <w:highlight w:val="none"/>
        </w:rPr>
        <w:t>量度继电器和保护装置的冲击和碰撞试验</w:t>
      </w:r>
    </w:p>
    <w:p w14:paraId="67467CA2">
      <w:pPr>
        <w:spacing w:before="220" w:line="228"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 14285         继电保护和安全自动装置技术规程</w:t>
      </w:r>
    </w:p>
    <w:p w14:paraId="0903225E">
      <w:pPr>
        <w:spacing w:before="222" w:line="228"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7"/>
          <w:sz w:val="20"/>
          <w:szCs w:val="20"/>
          <w:highlight w:val="none"/>
        </w:rPr>
        <w:t>/T 50065</w:t>
      </w:r>
      <w:r>
        <w:rPr>
          <w:rFonts w:ascii="宋体" w:hAnsi="宋体" w:eastAsia="宋体" w:cs="宋体"/>
          <w:color w:val="auto"/>
          <w:spacing w:val="3"/>
          <w:sz w:val="20"/>
          <w:szCs w:val="20"/>
          <w:highlight w:val="none"/>
        </w:rPr>
        <w:t xml:space="preserve">         </w:t>
      </w:r>
      <w:r>
        <w:rPr>
          <w:rFonts w:ascii="宋体" w:hAnsi="宋体" w:eastAsia="宋体" w:cs="宋体"/>
          <w:color w:val="auto"/>
          <w:spacing w:val="7"/>
          <w:sz w:val="20"/>
          <w:szCs w:val="20"/>
          <w:highlight w:val="none"/>
        </w:rPr>
        <w:t>交流电气装置的接地设计规范</w:t>
      </w:r>
    </w:p>
    <w:p w14:paraId="541AF032">
      <w:pPr>
        <w:spacing w:before="221"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/T</w:t>
      </w:r>
      <w:r>
        <w:rPr>
          <w:rFonts w:ascii="宋体" w:hAnsi="宋体" w:eastAsia="宋体" w:cs="宋体"/>
          <w:color w:val="auto"/>
          <w:spacing w:val="30"/>
          <w:sz w:val="20"/>
          <w:szCs w:val="20"/>
          <w:highlight w:val="none"/>
        </w:rPr>
        <w:t xml:space="preserve"> </w:t>
      </w:r>
      <w:r>
        <w:rPr>
          <w:rFonts w:ascii="宋体" w:hAnsi="宋体" w:eastAsia="宋体" w:cs="宋体"/>
          <w:color w:val="auto"/>
          <w:spacing w:val="5"/>
          <w:sz w:val="20"/>
          <w:szCs w:val="20"/>
          <w:highlight w:val="none"/>
        </w:rPr>
        <w:t>14598.9</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辐射静电试验</w:t>
      </w:r>
    </w:p>
    <w:p w14:paraId="0A605DB4">
      <w:pPr>
        <w:spacing w:line="227" w:lineRule="auto"/>
        <w:rPr>
          <w:rFonts w:ascii="宋体" w:hAnsi="宋体" w:eastAsia="宋体" w:cs="宋体"/>
          <w:color w:val="auto"/>
          <w:sz w:val="20"/>
          <w:szCs w:val="20"/>
          <w:highlight w:val="none"/>
        </w:rPr>
        <w:sectPr>
          <w:pgSz w:w="11906" w:h="16839"/>
          <w:pgMar w:top="1431" w:right="1735" w:bottom="0" w:left="1785" w:header="0" w:footer="0" w:gutter="0"/>
          <w:pgBorders>
            <w:top w:val="none" w:sz="0" w:space="0"/>
            <w:left w:val="none" w:sz="0" w:space="0"/>
            <w:bottom w:val="none" w:sz="0" w:space="0"/>
            <w:right w:val="none" w:sz="0" w:space="0"/>
          </w:pgBorders>
          <w:cols w:space="720" w:num="1"/>
        </w:sectPr>
      </w:pPr>
    </w:p>
    <w:p w14:paraId="00A6A30A">
      <w:pPr>
        <w:spacing w:before="137"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 14598.10</w:t>
      </w:r>
      <w:r>
        <w:rPr>
          <w:rFonts w:ascii="宋体" w:hAnsi="宋体" w:eastAsia="宋体" w:cs="宋体"/>
          <w:color w:val="auto"/>
          <w:spacing w:val="8"/>
          <w:sz w:val="20"/>
          <w:szCs w:val="20"/>
          <w:highlight w:val="none"/>
        </w:rPr>
        <w:t xml:space="preserve">      </w:t>
      </w:r>
      <w:r>
        <w:rPr>
          <w:rFonts w:ascii="宋体" w:hAnsi="宋体" w:eastAsia="宋体" w:cs="宋体"/>
          <w:color w:val="auto"/>
          <w:spacing w:val="6"/>
          <w:sz w:val="20"/>
          <w:szCs w:val="20"/>
          <w:highlight w:val="none"/>
        </w:rPr>
        <w:t>快速瞬变干扰试验</w:t>
      </w:r>
    </w:p>
    <w:p w14:paraId="16BDF039">
      <w:pPr>
        <w:spacing w:before="222"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/T 14598.13</w:t>
      </w:r>
      <w:r>
        <w:rPr>
          <w:rFonts w:ascii="宋体" w:hAnsi="宋体" w:eastAsia="宋体" w:cs="宋体"/>
          <w:color w:val="auto"/>
          <w:spacing w:val="11"/>
          <w:sz w:val="20"/>
          <w:szCs w:val="20"/>
          <w:highlight w:val="none"/>
        </w:rPr>
        <w:t xml:space="preserve">      </w:t>
      </w:r>
      <w:r>
        <w:rPr>
          <w:rFonts w:ascii="宋体" w:hAnsi="宋体" w:eastAsia="宋体" w:cs="宋体"/>
          <w:color w:val="auto"/>
          <w:spacing w:val="5"/>
          <w:sz w:val="20"/>
          <w:szCs w:val="20"/>
          <w:highlight w:val="none"/>
        </w:rPr>
        <w:t>1</w:t>
      </w:r>
      <w:r>
        <w:rPr>
          <w:rFonts w:ascii="宋体" w:hAnsi="宋体" w:eastAsia="宋体" w:cs="宋体"/>
          <w:color w:val="auto"/>
          <w:spacing w:val="-36"/>
          <w:sz w:val="20"/>
          <w:szCs w:val="20"/>
          <w:highlight w:val="none"/>
        </w:rPr>
        <w:t xml:space="preserve"> </w:t>
      </w:r>
      <w:r>
        <w:rPr>
          <w:rFonts w:ascii="宋体" w:hAnsi="宋体" w:eastAsia="宋体" w:cs="宋体"/>
          <w:color w:val="auto"/>
          <w:spacing w:val="5"/>
          <w:sz w:val="20"/>
          <w:szCs w:val="20"/>
          <w:highlight w:val="none"/>
        </w:rPr>
        <w:t>兆赫脉冲群干扰试验</w:t>
      </w:r>
    </w:p>
    <w:p w14:paraId="71EA6C5F">
      <w:pPr>
        <w:spacing w:before="222" w:line="227" w:lineRule="auto"/>
        <w:ind w:left="586"/>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/T</w:t>
      </w:r>
      <w:r>
        <w:rPr>
          <w:rFonts w:ascii="宋体" w:hAnsi="宋体" w:eastAsia="宋体" w:cs="宋体"/>
          <w:color w:val="auto"/>
          <w:spacing w:val="35"/>
          <w:sz w:val="20"/>
          <w:szCs w:val="20"/>
          <w:highlight w:val="none"/>
        </w:rPr>
        <w:t xml:space="preserve"> </w:t>
      </w:r>
      <w:r>
        <w:rPr>
          <w:rFonts w:ascii="宋体" w:hAnsi="宋体" w:eastAsia="宋体" w:cs="宋体"/>
          <w:color w:val="auto"/>
          <w:spacing w:val="5"/>
          <w:sz w:val="20"/>
          <w:szCs w:val="20"/>
          <w:highlight w:val="none"/>
        </w:rPr>
        <w:t>14598.14      静电放电试验</w:t>
      </w:r>
    </w:p>
    <w:p w14:paraId="638929FD">
      <w:pPr>
        <w:spacing w:before="222" w:line="227" w:lineRule="auto"/>
        <w:ind w:left="584"/>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8"/>
          <w:sz w:val="20"/>
          <w:szCs w:val="20"/>
          <w:highlight w:val="none"/>
        </w:rPr>
        <w:t>/T 671</w:t>
      </w:r>
      <w:r>
        <w:rPr>
          <w:rFonts w:ascii="宋体" w:hAnsi="宋体" w:eastAsia="宋体" w:cs="宋体"/>
          <w:color w:val="auto"/>
          <w:spacing w:val="3"/>
          <w:sz w:val="20"/>
          <w:szCs w:val="20"/>
          <w:highlight w:val="none"/>
        </w:rPr>
        <w:t xml:space="preserve">           </w:t>
      </w:r>
      <w:r>
        <w:rPr>
          <w:rFonts w:ascii="宋体" w:hAnsi="宋体" w:eastAsia="宋体" w:cs="宋体"/>
          <w:color w:val="auto"/>
          <w:spacing w:val="8"/>
          <w:sz w:val="20"/>
          <w:szCs w:val="20"/>
          <w:highlight w:val="none"/>
        </w:rPr>
        <w:t>微机发电机变压器组保护装置通用技术条件</w:t>
      </w:r>
    </w:p>
    <w:p w14:paraId="50095D07">
      <w:pPr>
        <w:spacing w:before="221" w:line="228" w:lineRule="auto"/>
        <w:ind w:left="584"/>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8"/>
          <w:sz w:val="20"/>
          <w:szCs w:val="20"/>
          <w:highlight w:val="none"/>
        </w:rPr>
        <w:t>/T 667</w:t>
      </w:r>
      <w:r>
        <w:rPr>
          <w:rFonts w:ascii="宋体" w:hAnsi="宋体" w:eastAsia="宋体" w:cs="宋体"/>
          <w:color w:val="auto"/>
          <w:spacing w:val="2"/>
          <w:sz w:val="20"/>
          <w:szCs w:val="20"/>
          <w:highlight w:val="none"/>
        </w:rPr>
        <w:t xml:space="preserve">           </w:t>
      </w:r>
      <w:r>
        <w:rPr>
          <w:rFonts w:ascii="宋体" w:hAnsi="宋体" w:eastAsia="宋体" w:cs="宋体"/>
          <w:color w:val="auto"/>
          <w:spacing w:val="8"/>
          <w:sz w:val="20"/>
          <w:szCs w:val="20"/>
          <w:highlight w:val="none"/>
        </w:rPr>
        <w:t>继电保护设备信息接口配套标准</w:t>
      </w:r>
    </w:p>
    <w:p w14:paraId="7865BDCA">
      <w:pPr>
        <w:spacing w:before="220" w:line="228" w:lineRule="auto"/>
        <w:ind w:left="543"/>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8"/>
          <w:sz w:val="20"/>
          <w:szCs w:val="20"/>
          <w:highlight w:val="none"/>
        </w:rPr>
        <w:t>/T 5136          火力发电厂、变电所</w:t>
      </w:r>
      <w:r>
        <w:rPr>
          <w:rFonts w:ascii="宋体" w:hAnsi="宋体" w:eastAsia="宋体" w:cs="宋体"/>
          <w:color w:val="auto"/>
          <w:spacing w:val="7"/>
          <w:sz w:val="20"/>
          <w:szCs w:val="20"/>
          <w:highlight w:val="none"/>
        </w:rPr>
        <w:t>二次接线设计技术规程</w:t>
      </w:r>
    </w:p>
    <w:p w14:paraId="07B6EDBD">
      <w:pPr>
        <w:spacing w:before="222" w:line="228" w:lineRule="auto"/>
        <w:ind w:left="543"/>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7"/>
          <w:sz w:val="20"/>
          <w:szCs w:val="20"/>
          <w:highlight w:val="none"/>
        </w:rPr>
        <w:t>/T 621</w:t>
      </w:r>
      <w:r>
        <w:rPr>
          <w:rFonts w:ascii="宋体" w:hAnsi="宋体" w:eastAsia="宋体" w:cs="宋体"/>
          <w:color w:val="auto"/>
          <w:spacing w:val="6"/>
          <w:sz w:val="20"/>
          <w:szCs w:val="20"/>
          <w:highlight w:val="none"/>
        </w:rPr>
        <w:t xml:space="preserve">           </w:t>
      </w:r>
      <w:r>
        <w:rPr>
          <w:rFonts w:ascii="宋体" w:hAnsi="宋体" w:eastAsia="宋体" w:cs="宋体"/>
          <w:color w:val="auto"/>
          <w:spacing w:val="7"/>
          <w:sz w:val="20"/>
          <w:szCs w:val="20"/>
          <w:highlight w:val="none"/>
        </w:rPr>
        <w:t>交流电气装置的接地</w:t>
      </w:r>
    </w:p>
    <w:p w14:paraId="47D7DC64">
      <w:pPr>
        <w:spacing w:before="220" w:line="228" w:lineRule="auto"/>
        <w:ind w:left="545"/>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 4208          外壳防护等级</w:t>
      </w:r>
    </w:p>
    <w:p w14:paraId="389BA36E">
      <w:pPr>
        <w:spacing w:before="221" w:line="228" w:lineRule="auto"/>
        <w:ind w:left="545"/>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/T 50549</w:t>
      </w:r>
      <w:r>
        <w:rPr>
          <w:rFonts w:ascii="宋体" w:hAnsi="宋体" w:eastAsia="宋体" w:cs="宋体"/>
          <w:color w:val="auto"/>
          <w:spacing w:val="10"/>
          <w:sz w:val="20"/>
          <w:szCs w:val="20"/>
          <w:highlight w:val="none"/>
        </w:rPr>
        <w:t xml:space="preserve">         </w:t>
      </w:r>
      <w:r>
        <w:rPr>
          <w:rFonts w:ascii="宋体" w:hAnsi="宋体" w:eastAsia="宋体" w:cs="宋体"/>
          <w:color w:val="auto"/>
          <w:spacing w:val="5"/>
          <w:sz w:val="20"/>
          <w:szCs w:val="20"/>
          <w:highlight w:val="none"/>
        </w:rPr>
        <w:t>电厂标识系统编码标准</w:t>
      </w:r>
    </w:p>
    <w:p w14:paraId="3F3834F2">
      <w:pPr>
        <w:spacing w:before="221" w:line="228" w:lineRule="auto"/>
        <w:ind w:left="543"/>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6"/>
          <w:sz w:val="20"/>
          <w:szCs w:val="20"/>
          <w:highlight w:val="none"/>
        </w:rPr>
        <w:t>/T 1870</w:t>
      </w:r>
      <w:r>
        <w:rPr>
          <w:rFonts w:ascii="宋体" w:hAnsi="宋体" w:eastAsia="宋体" w:cs="宋体"/>
          <w:color w:val="auto"/>
          <w:spacing w:val="9"/>
          <w:sz w:val="20"/>
          <w:szCs w:val="20"/>
          <w:highlight w:val="none"/>
        </w:rPr>
        <w:t xml:space="preserve">          </w:t>
      </w:r>
      <w:r>
        <w:rPr>
          <w:rFonts w:ascii="宋体" w:hAnsi="宋体" w:eastAsia="宋体" w:cs="宋体"/>
          <w:color w:val="auto"/>
          <w:spacing w:val="6"/>
          <w:sz w:val="20"/>
          <w:szCs w:val="20"/>
          <w:highlight w:val="none"/>
        </w:rPr>
        <w:t>电力系统网源协调技术规程</w:t>
      </w:r>
    </w:p>
    <w:p w14:paraId="6E36CB00">
      <w:pPr>
        <w:spacing w:before="221"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7"/>
          <w:sz w:val="20"/>
          <w:szCs w:val="20"/>
          <w:highlight w:val="none"/>
        </w:rPr>
        <w:t xml:space="preserve"> 50171</w:t>
      </w:r>
      <w:r>
        <w:rPr>
          <w:rFonts w:ascii="宋体" w:hAnsi="宋体" w:eastAsia="宋体" w:cs="宋体"/>
          <w:color w:val="auto"/>
          <w:spacing w:val="3"/>
          <w:sz w:val="20"/>
          <w:szCs w:val="20"/>
          <w:highlight w:val="none"/>
        </w:rPr>
        <w:t xml:space="preserve">            </w:t>
      </w:r>
      <w:r>
        <w:rPr>
          <w:rFonts w:ascii="宋体" w:hAnsi="宋体" w:eastAsia="宋体" w:cs="宋体"/>
          <w:color w:val="auto"/>
          <w:spacing w:val="17"/>
          <w:sz w:val="20"/>
          <w:szCs w:val="20"/>
          <w:highlight w:val="none"/>
        </w:rPr>
        <w:t>电气装置安装工程盘、柜及二次回路接线施工</w:t>
      </w:r>
      <w:r>
        <w:rPr>
          <w:rFonts w:ascii="宋体" w:hAnsi="宋体" w:eastAsia="宋体" w:cs="宋体"/>
          <w:color w:val="auto"/>
          <w:spacing w:val="16"/>
          <w:sz w:val="20"/>
          <w:szCs w:val="20"/>
          <w:highlight w:val="none"/>
        </w:rPr>
        <w:t>及验收规范</w:t>
      </w:r>
    </w:p>
    <w:p w14:paraId="5CC1543D">
      <w:pPr>
        <w:spacing w:before="222"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5"/>
          <w:sz w:val="20"/>
          <w:szCs w:val="20"/>
          <w:highlight w:val="none"/>
        </w:rPr>
        <w:t>/T</w:t>
      </w:r>
      <w:r>
        <w:rPr>
          <w:rFonts w:ascii="宋体" w:hAnsi="宋体" w:eastAsia="宋体" w:cs="宋体"/>
          <w:color w:val="auto"/>
          <w:spacing w:val="42"/>
          <w:sz w:val="20"/>
          <w:szCs w:val="20"/>
          <w:highlight w:val="none"/>
        </w:rPr>
        <w:t xml:space="preserve"> </w:t>
      </w:r>
      <w:r>
        <w:rPr>
          <w:rFonts w:ascii="宋体" w:hAnsi="宋体" w:eastAsia="宋体" w:cs="宋体"/>
          <w:color w:val="auto"/>
          <w:spacing w:val="15"/>
          <w:sz w:val="20"/>
          <w:szCs w:val="20"/>
          <w:highlight w:val="none"/>
        </w:rPr>
        <w:t>11287         量度继电器和保护装置的振动、冲击、碰撞和地震试验</w:t>
      </w:r>
    </w:p>
    <w:p w14:paraId="1BF0E15D">
      <w:pPr>
        <w:spacing w:before="221"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4"/>
          <w:sz w:val="20"/>
          <w:szCs w:val="20"/>
          <w:highlight w:val="none"/>
        </w:rPr>
        <w:t>/T</w:t>
      </w:r>
      <w:r>
        <w:rPr>
          <w:rFonts w:ascii="宋体" w:hAnsi="宋体" w:eastAsia="宋体" w:cs="宋体"/>
          <w:color w:val="auto"/>
          <w:spacing w:val="46"/>
          <w:sz w:val="20"/>
          <w:szCs w:val="20"/>
          <w:highlight w:val="none"/>
        </w:rPr>
        <w:t xml:space="preserve"> </w:t>
      </w:r>
      <w:r>
        <w:rPr>
          <w:rFonts w:ascii="宋体" w:hAnsi="宋体" w:eastAsia="宋体" w:cs="宋体"/>
          <w:color w:val="auto"/>
          <w:spacing w:val="14"/>
          <w:sz w:val="20"/>
          <w:szCs w:val="20"/>
          <w:highlight w:val="none"/>
        </w:rPr>
        <w:t>14537         量度继电器和保护装置的冲击和碰撞试验</w:t>
      </w:r>
    </w:p>
    <w:p w14:paraId="0A760E23">
      <w:pPr>
        <w:spacing w:before="221"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4"/>
          <w:sz w:val="20"/>
          <w:szCs w:val="20"/>
          <w:highlight w:val="none"/>
        </w:rPr>
        <w:t>/T</w:t>
      </w:r>
      <w:r>
        <w:rPr>
          <w:rFonts w:ascii="宋体" w:hAnsi="宋体" w:eastAsia="宋体" w:cs="宋体"/>
          <w:color w:val="auto"/>
          <w:spacing w:val="59"/>
          <w:sz w:val="20"/>
          <w:szCs w:val="20"/>
          <w:highlight w:val="none"/>
        </w:rPr>
        <w:t xml:space="preserve"> </w:t>
      </w:r>
      <w:r>
        <w:rPr>
          <w:rFonts w:ascii="宋体" w:hAnsi="宋体" w:eastAsia="宋体" w:cs="宋体"/>
          <w:color w:val="auto"/>
          <w:spacing w:val="14"/>
          <w:sz w:val="20"/>
          <w:szCs w:val="20"/>
          <w:highlight w:val="none"/>
        </w:rPr>
        <w:t>14598.3       量度继电器和保护装置的绝缘配合要求和试验</w:t>
      </w:r>
    </w:p>
    <w:p w14:paraId="7B5E7B24">
      <w:pPr>
        <w:spacing w:before="220" w:line="227"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3"/>
          <w:sz w:val="20"/>
          <w:szCs w:val="20"/>
          <w:highlight w:val="none"/>
        </w:rPr>
        <w:t>/T</w:t>
      </w:r>
      <w:r>
        <w:rPr>
          <w:rFonts w:ascii="宋体" w:hAnsi="宋体" w:eastAsia="宋体" w:cs="宋体"/>
          <w:color w:val="auto"/>
          <w:spacing w:val="46"/>
          <w:sz w:val="20"/>
          <w:szCs w:val="20"/>
          <w:highlight w:val="none"/>
        </w:rPr>
        <w:t xml:space="preserve"> </w:t>
      </w:r>
      <w:r>
        <w:rPr>
          <w:rFonts w:ascii="宋体" w:hAnsi="宋体" w:eastAsia="宋体" w:cs="宋体"/>
          <w:color w:val="auto"/>
          <w:spacing w:val="13"/>
          <w:sz w:val="20"/>
          <w:szCs w:val="20"/>
          <w:highlight w:val="none"/>
        </w:rPr>
        <w:t>14598.17      射频场感应的传导骚扰抗扰度</w:t>
      </w:r>
    </w:p>
    <w:p w14:paraId="17E841B9">
      <w:pPr>
        <w:spacing w:before="222"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1"/>
          <w:sz w:val="20"/>
          <w:szCs w:val="20"/>
          <w:highlight w:val="none"/>
        </w:rPr>
        <w:t>/T</w:t>
      </w:r>
      <w:r>
        <w:rPr>
          <w:rFonts w:ascii="宋体" w:hAnsi="宋体" w:eastAsia="宋体" w:cs="宋体"/>
          <w:color w:val="auto"/>
          <w:spacing w:val="43"/>
          <w:sz w:val="20"/>
          <w:szCs w:val="20"/>
          <w:highlight w:val="none"/>
        </w:rPr>
        <w:t xml:space="preserve"> </w:t>
      </w:r>
      <w:r>
        <w:rPr>
          <w:rFonts w:ascii="宋体" w:hAnsi="宋体" w:eastAsia="宋体" w:cs="宋体"/>
          <w:color w:val="auto"/>
          <w:spacing w:val="11"/>
          <w:sz w:val="20"/>
          <w:szCs w:val="20"/>
          <w:highlight w:val="none"/>
        </w:rPr>
        <w:t>14598.18</w:t>
      </w:r>
      <w:r>
        <w:rPr>
          <w:rFonts w:ascii="宋体" w:hAnsi="宋体" w:eastAsia="宋体" w:cs="宋体"/>
          <w:color w:val="auto"/>
          <w:spacing w:val="12"/>
          <w:sz w:val="20"/>
          <w:szCs w:val="20"/>
          <w:highlight w:val="none"/>
        </w:rPr>
        <w:t xml:space="preserve">      </w:t>
      </w:r>
      <w:r>
        <w:rPr>
          <w:rFonts w:ascii="宋体" w:hAnsi="宋体" w:eastAsia="宋体" w:cs="宋体"/>
          <w:color w:val="auto"/>
          <w:spacing w:val="11"/>
          <w:sz w:val="20"/>
          <w:szCs w:val="20"/>
          <w:highlight w:val="none"/>
        </w:rPr>
        <w:t>浪涌抗扰度试验</w:t>
      </w:r>
    </w:p>
    <w:p w14:paraId="7D3B4B14">
      <w:pPr>
        <w:spacing w:before="221" w:line="228" w:lineRule="auto"/>
        <w:ind w:left="458"/>
        <w:rPr>
          <w:rFonts w:ascii="宋体" w:hAnsi="宋体" w:eastAsia="宋体" w:cs="宋体"/>
          <w:color w:val="auto"/>
          <w:sz w:val="20"/>
          <w:szCs w:val="20"/>
          <w:highlight w:val="none"/>
        </w:rPr>
      </w:pPr>
      <w:r>
        <w:rPr>
          <w:rFonts w:ascii="宋体" w:hAnsi="宋体" w:eastAsia="宋体" w:cs="宋体"/>
          <w:color w:val="auto"/>
          <w:sz w:val="20"/>
          <w:szCs w:val="20"/>
          <w:highlight w:val="none"/>
        </w:rPr>
        <w:t>GB</w:t>
      </w:r>
      <w:r>
        <w:rPr>
          <w:rFonts w:ascii="宋体" w:hAnsi="宋体" w:eastAsia="宋体" w:cs="宋体"/>
          <w:color w:val="auto"/>
          <w:spacing w:val="11"/>
          <w:sz w:val="20"/>
          <w:szCs w:val="20"/>
          <w:highlight w:val="none"/>
        </w:rPr>
        <w:t>/T</w:t>
      </w:r>
      <w:r>
        <w:rPr>
          <w:rFonts w:ascii="宋体" w:hAnsi="宋体" w:eastAsia="宋体" w:cs="宋体"/>
          <w:color w:val="auto"/>
          <w:spacing w:val="50"/>
          <w:sz w:val="20"/>
          <w:szCs w:val="20"/>
          <w:highlight w:val="none"/>
        </w:rPr>
        <w:t xml:space="preserve"> </w:t>
      </w:r>
      <w:r>
        <w:rPr>
          <w:rFonts w:ascii="宋体" w:hAnsi="宋体" w:eastAsia="宋体" w:cs="宋体"/>
          <w:color w:val="auto"/>
          <w:spacing w:val="11"/>
          <w:sz w:val="20"/>
          <w:szCs w:val="20"/>
          <w:highlight w:val="none"/>
        </w:rPr>
        <w:t>14598.19      工频抗扰度试验</w:t>
      </w:r>
    </w:p>
    <w:p w14:paraId="37ACEFF3">
      <w:pPr>
        <w:spacing w:before="221" w:line="228" w:lineRule="auto"/>
        <w:ind w:left="457"/>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15"/>
          <w:sz w:val="20"/>
          <w:szCs w:val="20"/>
          <w:highlight w:val="none"/>
        </w:rPr>
        <w:t>/T 478           继电保护及安全自动装置通</w:t>
      </w:r>
      <w:r>
        <w:rPr>
          <w:rFonts w:ascii="宋体" w:hAnsi="宋体" w:eastAsia="宋体" w:cs="宋体"/>
          <w:color w:val="auto"/>
          <w:spacing w:val="14"/>
          <w:sz w:val="20"/>
          <w:szCs w:val="20"/>
          <w:highlight w:val="none"/>
        </w:rPr>
        <w:t>用技术条件</w:t>
      </w:r>
    </w:p>
    <w:p w14:paraId="119E8912">
      <w:pPr>
        <w:spacing w:before="221" w:line="228" w:lineRule="auto"/>
        <w:ind w:left="457"/>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16"/>
          <w:sz w:val="20"/>
          <w:szCs w:val="20"/>
          <w:highlight w:val="none"/>
        </w:rPr>
        <w:t>/T 587</w:t>
      </w:r>
      <w:r>
        <w:rPr>
          <w:rFonts w:ascii="宋体" w:hAnsi="宋体" w:eastAsia="宋体" w:cs="宋体"/>
          <w:color w:val="auto"/>
          <w:spacing w:val="3"/>
          <w:sz w:val="20"/>
          <w:szCs w:val="20"/>
          <w:highlight w:val="none"/>
        </w:rPr>
        <w:t xml:space="preserve">            </w:t>
      </w:r>
      <w:r>
        <w:rPr>
          <w:rFonts w:ascii="宋体" w:hAnsi="宋体" w:eastAsia="宋体" w:cs="宋体"/>
          <w:color w:val="auto"/>
          <w:spacing w:val="16"/>
          <w:sz w:val="20"/>
          <w:szCs w:val="20"/>
          <w:highlight w:val="none"/>
        </w:rPr>
        <w:t>继电保护和安全自动装置运行管理规程</w:t>
      </w:r>
    </w:p>
    <w:p w14:paraId="284743C6">
      <w:pPr>
        <w:spacing w:before="221" w:line="228" w:lineRule="auto"/>
        <w:ind w:left="457"/>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15"/>
          <w:sz w:val="20"/>
          <w:szCs w:val="20"/>
          <w:highlight w:val="none"/>
        </w:rPr>
        <w:t>/T 720</w:t>
      </w:r>
      <w:r>
        <w:rPr>
          <w:rFonts w:ascii="宋体" w:hAnsi="宋体" w:eastAsia="宋体" w:cs="宋体"/>
          <w:color w:val="auto"/>
          <w:spacing w:val="5"/>
          <w:sz w:val="20"/>
          <w:szCs w:val="20"/>
          <w:highlight w:val="none"/>
        </w:rPr>
        <w:t xml:space="preserve">            </w:t>
      </w:r>
      <w:r>
        <w:rPr>
          <w:rFonts w:ascii="宋体" w:hAnsi="宋体" w:eastAsia="宋体" w:cs="宋体"/>
          <w:color w:val="auto"/>
          <w:spacing w:val="15"/>
          <w:sz w:val="20"/>
          <w:szCs w:val="20"/>
          <w:highlight w:val="none"/>
        </w:rPr>
        <w:t>电力系统继电保护柜、屏通用技术条件</w:t>
      </w:r>
    </w:p>
    <w:p w14:paraId="5199A0A8">
      <w:pPr>
        <w:spacing w:before="221" w:line="227" w:lineRule="auto"/>
        <w:ind w:left="457"/>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15"/>
          <w:sz w:val="20"/>
          <w:szCs w:val="20"/>
          <w:highlight w:val="none"/>
        </w:rPr>
        <w:t>/T 769</w:t>
      </w:r>
      <w:r>
        <w:rPr>
          <w:rFonts w:ascii="宋体" w:hAnsi="宋体" w:eastAsia="宋体" w:cs="宋体"/>
          <w:color w:val="auto"/>
          <w:spacing w:val="3"/>
          <w:sz w:val="20"/>
          <w:szCs w:val="20"/>
          <w:highlight w:val="none"/>
        </w:rPr>
        <w:t xml:space="preserve">            </w:t>
      </w:r>
      <w:r>
        <w:rPr>
          <w:rFonts w:ascii="宋体" w:hAnsi="宋体" w:eastAsia="宋体" w:cs="宋体"/>
          <w:color w:val="auto"/>
          <w:spacing w:val="15"/>
          <w:sz w:val="20"/>
          <w:szCs w:val="20"/>
          <w:highlight w:val="none"/>
        </w:rPr>
        <w:t>电力系统微机继电保护技术导则</w:t>
      </w:r>
    </w:p>
    <w:p w14:paraId="2889DEBB">
      <w:pPr>
        <w:spacing w:before="222" w:line="228" w:lineRule="auto"/>
        <w:ind w:left="457"/>
        <w:rPr>
          <w:rFonts w:ascii="宋体" w:hAnsi="宋体" w:eastAsia="宋体" w:cs="宋体"/>
          <w:color w:val="auto"/>
          <w:sz w:val="20"/>
          <w:szCs w:val="20"/>
          <w:highlight w:val="none"/>
        </w:rPr>
      </w:pPr>
      <w:r>
        <w:rPr>
          <w:rFonts w:ascii="宋体" w:hAnsi="宋体" w:eastAsia="宋体" w:cs="宋体"/>
          <w:color w:val="auto"/>
          <w:sz w:val="20"/>
          <w:szCs w:val="20"/>
          <w:highlight w:val="none"/>
        </w:rPr>
        <w:t>DL</w:t>
      </w:r>
      <w:r>
        <w:rPr>
          <w:rFonts w:ascii="宋体" w:hAnsi="宋体" w:eastAsia="宋体" w:cs="宋体"/>
          <w:color w:val="auto"/>
          <w:spacing w:val="15"/>
          <w:sz w:val="20"/>
          <w:szCs w:val="20"/>
          <w:highlight w:val="none"/>
        </w:rPr>
        <w:t>/T 995           继电保护和电网安全自动装</w:t>
      </w:r>
      <w:r>
        <w:rPr>
          <w:rFonts w:ascii="宋体" w:hAnsi="宋体" w:eastAsia="宋体" w:cs="宋体"/>
          <w:color w:val="auto"/>
          <w:spacing w:val="14"/>
          <w:sz w:val="20"/>
          <w:szCs w:val="20"/>
          <w:highlight w:val="none"/>
        </w:rPr>
        <w:t>置检验规程</w:t>
      </w:r>
    </w:p>
    <w:p w14:paraId="790A40D5">
      <w:pPr>
        <w:spacing w:before="222" w:line="228" w:lineRule="auto"/>
        <w:ind w:left="46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国家电网公司十八项电网重大反事故措施</w:t>
      </w:r>
    </w:p>
    <w:p w14:paraId="241E50B0">
      <w:pPr>
        <w:spacing w:before="220" w:line="417" w:lineRule="auto"/>
        <w:ind w:left="462" w:right="291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国家能源局《防止电力生产事故的二十五项重点要求》</w:t>
      </w:r>
      <w:r>
        <w:rPr>
          <w:rFonts w:ascii="宋体" w:hAnsi="宋体" w:eastAsia="宋体" w:cs="宋体"/>
          <w:color w:val="auto"/>
          <w:spacing w:val="3"/>
          <w:sz w:val="20"/>
          <w:szCs w:val="20"/>
          <w:highlight w:val="none"/>
        </w:rPr>
        <w:t xml:space="preserve"> </w:t>
      </w:r>
      <w:r>
        <w:rPr>
          <w:rFonts w:ascii="宋体" w:hAnsi="宋体" w:eastAsia="宋体" w:cs="宋体"/>
          <w:color w:val="auto"/>
          <w:spacing w:val="8"/>
          <w:sz w:val="20"/>
          <w:szCs w:val="20"/>
          <w:highlight w:val="none"/>
        </w:rPr>
        <w:t>国家发展和改革委员会《电力监控系统安全防护规定》</w:t>
      </w:r>
    </w:p>
    <w:p w14:paraId="5C49170B">
      <w:pPr>
        <w:spacing w:before="34" w:line="422" w:lineRule="auto"/>
        <w:ind w:left="24" w:firstLine="418"/>
        <w:jc w:val="both"/>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这些法则和标准提出了最基本要求，如果根据投标人的意见并经用户接受，使用优于或</w:t>
      </w:r>
      <w:r>
        <w:rPr>
          <w:rFonts w:ascii="宋体" w:hAnsi="宋体" w:eastAsia="宋体" w:cs="宋体"/>
          <w:color w:val="auto"/>
          <w:spacing w:val="8"/>
          <w:sz w:val="20"/>
          <w:szCs w:val="20"/>
          <w:highlight w:val="none"/>
        </w:rPr>
        <w:t xml:space="preserve"> </w:t>
      </w:r>
      <w:r>
        <w:rPr>
          <w:rFonts w:ascii="宋体" w:hAnsi="宋体" w:eastAsia="宋体" w:cs="宋体"/>
          <w:color w:val="auto"/>
          <w:spacing w:val="6"/>
          <w:sz w:val="20"/>
          <w:szCs w:val="20"/>
          <w:highlight w:val="none"/>
        </w:rPr>
        <w:t>更为经济的设计或材料,并能使投标人设备良好地、连续地在本规范所规定的条件下运行时，</w:t>
      </w:r>
      <w:r>
        <w:rPr>
          <w:rFonts w:ascii="宋体" w:hAnsi="宋体" w:eastAsia="宋体" w:cs="宋体"/>
          <w:color w:val="auto"/>
          <w:spacing w:val="1"/>
          <w:sz w:val="20"/>
          <w:szCs w:val="20"/>
          <w:highlight w:val="none"/>
        </w:rPr>
        <w:t xml:space="preserve"> </w:t>
      </w:r>
      <w:r>
        <w:rPr>
          <w:rFonts w:ascii="宋体" w:hAnsi="宋体" w:eastAsia="宋体" w:cs="宋体"/>
          <w:color w:val="auto"/>
          <w:spacing w:val="8"/>
          <w:sz w:val="20"/>
          <w:szCs w:val="20"/>
          <w:highlight w:val="none"/>
        </w:rPr>
        <w:t>则这些标准也可以由投标人超越。</w:t>
      </w:r>
    </w:p>
    <w:p w14:paraId="0AAE6635">
      <w:pPr>
        <w:spacing w:before="31" w:line="417" w:lineRule="auto"/>
        <w:ind w:left="20" w:firstLine="17"/>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1.2.4  如果投标人选用本标书上规定以外的标准时，则需提交这种替换标准供审查和分析，</w:t>
      </w:r>
      <w:r>
        <w:rPr>
          <w:rFonts w:ascii="宋体" w:hAnsi="宋体" w:eastAsia="宋体" w:cs="宋体"/>
          <w:color w:val="auto"/>
          <w:spacing w:val="14"/>
          <w:sz w:val="20"/>
          <w:szCs w:val="20"/>
          <w:highlight w:val="none"/>
        </w:rPr>
        <w:t xml:space="preserve"> </w:t>
      </w:r>
      <w:r>
        <w:rPr>
          <w:rFonts w:ascii="宋体" w:hAnsi="宋体" w:eastAsia="宋体" w:cs="宋体"/>
          <w:color w:val="auto"/>
          <w:spacing w:val="7"/>
          <w:sz w:val="20"/>
          <w:szCs w:val="20"/>
          <w:highlight w:val="none"/>
        </w:rPr>
        <w:t>仅在投标人已证明替换标准相当或优于标书规定的标准，并从招标人处获得书面认可后才能</w:t>
      </w:r>
    </w:p>
    <w:p w14:paraId="24305447">
      <w:pPr>
        <w:spacing w:line="417" w:lineRule="auto"/>
        <w:rPr>
          <w:rFonts w:ascii="宋体" w:hAnsi="宋体" w:eastAsia="宋体" w:cs="宋体"/>
          <w:color w:val="auto"/>
          <w:sz w:val="20"/>
          <w:szCs w:val="20"/>
          <w:highlight w:val="none"/>
        </w:rPr>
        <w:sectPr>
          <w:pgSz w:w="11906" w:h="16839"/>
          <w:pgMar w:top="1431" w:right="1747" w:bottom="0" w:left="1785" w:header="0" w:footer="0" w:gutter="0"/>
          <w:pgBorders>
            <w:top w:val="none" w:sz="0" w:space="0"/>
            <w:left w:val="none" w:sz="0" w:space="0"/>
            <w:bottom w:val="none" w:sz="0" w:space="0"/>
            <w:right w:val="none" w:sz="0" w:space="0"/>
          </w:pgBorders>
          <w:cols w:space="720" w:num="1"/>
        </w:sectPr>
      </w:pPr>
    </w:p>
    <w:p w14:paraId="32779B26">
      <w:pPr>
        <w:spacing w:before="137" w:line="227" w:lineRule="auto"/>
        <w:ind w:left="2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使用。提供审查的标准应为中文版本。</w:t>
      </w:r>
    </w:p>
    <w:p w14:paraId="1CBD7A00">
      <w:pPr>
        <w:spacing w:before="221" w:line="330" w:lineRule="auto"/>
        <w:ind w:left="25" w:right="16" w:firstLine="1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1.2.5  当标准、规范之间出现矛盾时，投标人应将矛盾情况提交招标人，</w:t>
      </w:r>
      <w:r>
        <w:rPr>
          <w:rFonts w:ascii="宋体" w:hAnsi="宋体" w:eastAsia="宋体" w:cs="宋体"/>
          <w:color w:val="auto"/>
          <w:spacing w:val="-59"/>
          <w:sz w:val="20"/>
          <w:szCs w:val="20"/>
          <w:highlight w:val="none"/>
        </w:rPr>
        <w:t xml:space="preserve"> </w:t>
      </w:r>
      <w:r>
        <w:rPr>
          <w:rFonts w:ascii="宋体" w:hAnsi="宋体" w:eastAsia="宋体" w:cs="宋体"/>
          <w:color w:val="auto"/>
          <w:spacing w:val="8"/>
          <w:sz w:val="20"/>
          <w:szCs w:val="20"/>
          <w:highlight w:val="none"/>
        </w:rPr>
        <w:t>以</w:t>
      </w:r>
      <w:r>
        <w:rPr>
          <w:rFonts w:ascii="宋体" w:hAnsi="宋体" w:eastAsia="宋体" w:cs="宋体"/>
          <w:color w:val="auto"/>
          <w:spacing w:val="7"/>
          <w:sz w:val="20"/>
          <w:szCs w:val="20"/>
          <w:highlight w:val="none"/>
        </w:rPr>
        <w:t>便在开始生产</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前制定解决方案。</w:t>
      </w:r>
    </w:p>
    <w:p w14:paraId="5379CBDC">
      <w:pPr>
        <w:spacing w:before="221" w:line="330" w:lineRule="auto"/>
        <w:ind w:left="23" w:right="12" w:firstLine="1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1.2.6  所有螺栓、双头螺栓、螺纹、管螺纹、螺</w:t>
      </w:r>
      <w:r>
        <w:rPr>
          <w:rFonts w:ascii="宋体" w:hAnsi="宋体" w:eastAsia="宋体" w:cs="宋体"/>
          <w:color w:val="auto"/>
          <w:spacing w:val="6"/>
          <w:sz w:val="20"/>
          <w:szCs w:val="20"/>
          <w:highlight w:val="none"/>
        </w:rPr>
        <w:t>栓夹及螺母均应遵守国际标准化组织(</w:t>
      </w:r>
      <w:r>
        <w:rPr>
          <w:rFonts w:ascii="宋体" w:hAnsi="宋体" w:eastAsia="宋体" w:cs="宋体"/>
          <w:color w:val="auto"/>
          <w:sz w:val="20"/>
          <w:szCs w:val="20"/>
          <w:highlight w:val="none"/>
        </w:rPr>
        <w:t>ISO</w:t>
      </w:r>
      <w:r>
        <w:rPr>
          <w:rFonts w:ascii="宋体" w:hAnsi="宋体" w:eastAsia="宋体" w:cs="宋体"/>
          <w:color w:val="auto"/>
          <w:spacing w:val="6"/>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和国际单位制(</w:t>
      </w:r>
      <w:r>
        <w:rPr>
          <w:rFonts w:ascii="宋体" w:hAnsi="宋体" w:eastAsia="宋体" w:cs="宋体"/>
          <w:color w:val="auto"/>
          <w:sz w:val="20"/>
          <w:szCs w:val="20"/>
          <w:highlight w:val="none"/>
        </w:rPr>
        <w:t>SI</w:t>
      </w:r>
      <w:r>
        <w:rPr>
          <w:rFonts w:ascii="宋体" w:hAnsi="宋体" w:eastAsia="宋体" w:cs="宋体"/>
          <w:color w:val="auto"/>
          <w:spacing w:val="8"/>
          <w:sz w:val="20"/>
          <w:szCs w:val="20"/>
          <w:highlight w:val="none"/>
        </w:rPr>
        <w:t>)的标准。</w:t>
      </w:r>
    </w:p>
    <w:p w14:paraId="62DC2ED3">
      <w:pPr>
        <w:spacing w:before="220" w:line="330" w:lineRule="auto"/>
        <w:ind w:left="36" w:right="1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1.2.7  合同签订后</w:t>
      </w:r>
      <w:r>
        <w:rPr>
          <w:rFonts w:ascii="宋体" w:hAnsi="宋体" w:eastAsia="宋体" w:cs="宋体"/>
          <w:color w:val="auto"/>
          <w:spacing w:val="-24"/>
          <w:sz w:val="20"/>
          <w:szCs w:val="20"/>
          <w:highlight w:val="none"/>
        </w:rPr>
        <w:t xml:space="preserve"> </w:t>
      </w:r>
      <w:r>
        <w:rPr>
          <w:rFonts w:ascii="宋体" w:hAnsi="宋体" w:eastAsia="宋体" w:cs="宋体"/>
          <w:color w:val="auto"/>
          <w:spacing w:val="8"/>
          <w:sz w:val="20"/>
          <w:szCs w:val="20"/>
          <w:highlight w:val="none"/>
        </w:rPr>
        <w:t>1</w:t>
      </w:r>
      <w:r>
        <w:rPr>
          <w:rFonts w:ascii="宋体" w:hAnsi="宋体" w:eastAsia="宋体" w:cs="宋体"/>
          <w:color w:val="auto"/>
          <w:spacing w:val="-38"/>
          <w:sz w:val="20"/>
          <w:szCs w:val="20"/>
          <w:highlight w:val="none"/>
        </w:rPr>
        <w:t xml:space="preserve"> </w:t>
      </w:r>
      <w:r>
        <w:rPr>
          <w:rFonts w:ascii="宋体" w:hAnsi="宋体" w:eastAsia="宋体" w:cs="宋体"/>
          <w:color w:val="auto"/>
          <w:spacing w:val="8"/>
          <w:sz w:val="20"/>
          <w:szCs w:val="20"/>
          <w:highlight w:val="none"/>
        </w:rPr>
        <w:t>个月，投标人提出合同设备的设计﹑制造﹑装配﹑安装﹑调试﹑试运</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﹑验收﹑试验﹑运行和维护等标准清单给招标人</w:t>
      </w:r>
      <w:r>
        <w:rPr>
          <w:rFonts w:ascii="宋体" w:hAnsi="宋体" w:eastAsia="宋体" w:cs="宋体"/>
          <w:color w:val="auto"/>
          <w:spacing w:val="8"/>
          <w:sz w:val="20"/>
          <w:szCs w:val="20"/>
          <w:highlight w:val="none"/>
        </w:rPr>
        <w:t>，招标人确认。</w:t>
      </w:r>
    </w:p>
    <w:p w14:paraId="6DA8357B">
      <w:pPr>
        <w:spacing w:before="221" w:line="330" w:lineRule="auto"/>
        <w:ind w:left="23" w:right="15" w:firstLine="1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1.2.8  投标人所供设备除满足以上及相关的标准外</w:t>
      </w:r>
      <w:r>
        <w:rPr>
          <w:rFonts w:ascii="宋体" w:hAnsi="宋体" w:eastAsia="宋体" w:cs="宋体"/>
          <w:color w:val="auto"/>
          <w:spacing w:val="-56"/>
          <w:sz w:val="20"/>
          <w:szCs w:val="20"/>
          <w:highlight w:val="none"/>
        </w:rPr>
        <w:t xml:space="preserve"> </w:t>
      </w:r>
      <w:r>
        <w:rPr>
          <w:rFonts w:ascii="宋体" w:hAnsi="宋体" w:eastAsia="宋体" w:cs="宋体"/>
          <w:color w:val="auto"/>
          <w:spacing w:val="8"/>
          <w:sz w:val="20"/>
          <w:szCs w:val="20"/>
          <w:highlight w:val="none"/>
        </w:rPr>
        <w:t>，还应满足有关的</w:t>
      </w:r>
      <w:r>
        <w:rPr>
          <w:rFonts w:ascii="宋体" w:hAnsi="宋体" w:eastAsia="宋体" w:cs="宋体"/>
          <w:color w:val="auto"/>
          <w:spacing w:val="7"/>
          <w:sz w:val="20"/>
          <w:szCs w:val="20"/>
          <w:highlight w:val="none"/>
        </w:rPr>
        <w:t>安全、消防、环境保</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护等标准。</w:t>
      </w:r>
    </w:p>
    <w:p w14:paraId="0F7C32F9">
      <w:pPr>
        <w:spacing w:before="207" w:line="219" w:lineRule="auto"/>
        <w:ind w:left="26"/>
        <w:outlineLvl w:val="0"/>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2</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7"/>
          <w:sz w:val="24"/>
          <w:szCs w:val="24"/>
          <w:highlight w:val="none"/>
        </w:rPr>
        <w:t>工程概况</w:t>
      </w:r>
    </w:p>
    <w:p w14:paraId="3E67A8DB">
      <w:pPr>
        <w:spacing w:before="183" w:line="219" w:lineRule="auto"/>
        <w:ind w:left="26"/>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2.1</w:t>
      </w:r>
      <w:r>
        <w:rPr>
          <w:rFonts w:ascii="宋体" w:hAnsi="宋体" w:eastAsia="宋体" w:cs="宋体"/>
          <w:color w:val="auto"/>
          <w:spacing w:val="-3"/>
          <w:sz w:val="24"/>
          <w:szCs w:val="24"/>
          <w:highlight w:val="none"/>
        </w:rPr>
        <w:t xml:space="preserve">  </w:t>
      </w:r>
      <w:r>
        <w:rPr>
          <w:rFonts w:ascii="宋体" w:hAnsi="宋体" w:eastAsia="宋体" w:cs="宋体"/>
          <w:b/>
          <w:bCs/>
          <w:color w:val="auto"/>
          <w:spacing w:val="-3"/>
          <w:sz w:val="24"/>
          <w:szCs w:val="24"/>
          <w:highlight w:val="none"/>
        </w:rPr>
        <w:t>厂址条件：</w:t>
      </w:r>
    </w:p>
    <w:p w14:paraId="570C9C44">
      <w:pPr>
        <w:spacing w:before="198" w:line="417" w:lineRule="auto"/>
        <w:ind w:left="23" w:right="13" w:firstLine="41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本工程厂址位于安徽省淮南市，厂址区域属暖温带半湿润季风气候区，四季分明，春暖</w:t>
      </w:r>
      <w:r>
        <w:rPr>
          <w:rFonts w:ascii="宋体" w:hAnsi="宋体" w:eastAsia="宋体" w:cs="宋体"/>
          <w:color w:val="auto"/>
          <w:spacing w:val="10"/>
          <w:sz w:val="20"/>
          <w:szCs w:val="20"/>
          <w:highlight w:val="none"/>
        </w:rPr>
        <w:t xml:space="preserve"> </w:t>
      </w:r>
      <w:r>
        <w:rPr>
          <w:rFonts w:ascii="宋体" w:hAnsi="宋体" w:eastAsia="宋体" w:cs="宋体"/>
          <w:color w:val="auto"/>
          <w:spacing w:val="8"/>
          <w:sz w:val="20"/>
          <w:szCs w:val="20"/>
          <w:highlight w:val="none"/>
        </w:rPr>
        <w:t>秋爽，夏炎冬寒，具有明显的大陆性气候。</w:t>
      </w:r>
    </w:p>
    <w:p w14:paraId="5020A15B">
      <w:pPr>
        <w:spacing w:before="32" w:line="417" w:lineRule="auto"/>
        <w:ind w:left="23" w:right="13" w:firstLine="42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凤台电厂工程建有</w:t>
      </w:r>
      <w:r>
        <w:rPr>
          <w:rFonts w:ascii="宋体" w:hAnsi="宋体" w:eastAsia="宋体" w:cs="宋体"/>
          <w:color w:val="auto"/>
          <w:spacing w:val="-25"/>
          <w:sz w:val="20"/>
          <w:szCs w:val="20"/>
          <w:highlight w:val="none"/>
        </w:rPr>
        <w:t xml:space="preserve"> </w:t>
      </w:r>
      <w:r>
        <w:rPr>
          <w:rFonts w:ascii="宋体" w:hAnsi="宋体" w:eastAsia="宋体" w:cs="宋体"/>
          <w:color w:val="auto"/>
          <w:spacing w:val="7"/>
          <w:sz w:val="20"/>
          <w:szCs w:val="20"/>
          <w:highlight w:val="none"/>
        </w:rPr>
        <w:t>4</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台</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600</w:t>
      </w:r>
      <w:r>
        <w:rPr>
          <w:rFonts w:ascii="宋体" w:hAnsi="宋体" w:eastAsia="宋体" w:cs="宋体"/>
          <w:color w:val="auto"/>
          <w:sz w:val="20"/>
          <w:szCs w:val="20"/>
          <w:highlight w:val="none"/>
        </w:rPr>
        <w:t>MW</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级机组，采用发电机-变压器单元接线方式接入</w:t>
      </w:r>
      <w:r>
        <w:rPr>
          <w:rFonts w:ascii="宋体" w:hAnsi="宋体" w:eastAsia="宋体" w:cs="宋体"/>
          <w:color w:val="auto"/>
          <w:spacing w:val="-32"/>
          <w:sz w:val="20"/>
          <w:szCs w:val="20"/>
          <w:highlight w:val="none"/>
        </w:rPr>
        <w:t xml:space="preserve"> </w:t>
      </w:r>
      <w:r>
        <w:rPr>
          <w:rFonts w:ascii="宋体" w:hAnsi="宋体" w:eastAsia="宋体" w:cs="宋体"/>
          <w:color w:val="auto"/>
          <w:spacing w:val="7"/>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39"/>
          <w:sz w:val="20"/>
          <w:szCs w:val="20"/>
          <w:highlight w:val="none"/>
        </w:rPr>
        <w:t xml:space="preserve"> </w:t>
      </w:r>
      <w:r>
        <w:rPr>
          <w:rFonts w:ascii="宋体" w:hAnsi="宋体" w:eastAsia="宋体" w:cs="宋体"/>
          <w:color w:val="auto"/>
          <w:spacing w:val="7"/>
          <w:sz w:val="20"/>
          <w:szCs w:val="20"/>
          <w:highlight w:val="none"/>
        </w:rPr>
        <w:t>升</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压站， 升压站采用</w:t>
      </w:r>
      <w:r>
        <w:rPr>
          <w:rFonts w:ascii="宋体" w:hAnsi="宋体" w:eastAsia="宋体" w:cs="宋体"/>
          <w:color w:val="auto"/>
          <w:spacing w:val="-36"/>
          <w:sz w:val="20"/>
          <w:szCs w:val="20"/>
          <w:highlight w:val="none"/>
        </w:rPr>
        <w:t xml:space="preserve"> </w:t>
      </w:r>
      <w:r>
        <w:rPr>
          <w:rFonts w:ascii="宋体" w:hAnsi="宋体" w:eastAsia="宋体" w:cs="宋体"/>
          <w:color w:val="auto"/>
          <w:spacing w:val="5"/>
          <w:sz w:val="20"/>
          <w:szCs w:val="20"/>
          <w:highlight w:val="none"/>
        </w:rPr>
        <w:t>3/2</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接线方式， 共计</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3</w:t>
      </w:r>
      <w:r>
        <w:rPr>
          <w:rFonts w:ascii="宋体" w:hAnsi="宋体" w:eastAsia="宋体" w:cs="宋体"/>
          <w:color w:val="auto"/>
          <w:spacing w:val="-40"/>
          <w:sz w:val="20"/>
          <w:szCs w:val="20"/>
          <w:highlight w:val="none"/>
        </w:rPr>
        <w:t xml:space="preserve"> </w:t>
      </w:r>
      <w:r>
        <w:rPr>
          <w:rFonts w:ascii="宋体" w:hAnsi="宋体" w:eastAsia="宋体" w:cs="宋体"/>
          <w:color w:val="auto"/>
          <w:spacing w:val="5"/>
          <w:sz w:val="20"/>
          <w:szCs w:val="20"/>
          <w:highlight w:val="none"/>
        </w:rPr>
        <w:t>个完整串及</w:t>
      </w:r>
      <w:r>
        <w:rPr>
          <w:rFonts w:ascii="宋体" w:hAnsi="宋体" w:eastAsia="宋体" w:cs="宋体"/>
          <w:color w:val="auto"/>
          <w:spacing w:val="-22"/>
          <w:sz w:val="20"/>
          <w:szCs w:val="20"/>
          <w:highlight w:val="none"/>
        </w:rPr>
        <w:t xml:space="preserve"> </w:t>
      </w:r>
      <w:r>
        <w:rPr>
          <w:rFonts w:ascii="宋体" w:hAnsi="宋体" w:eastAsia="宋体" w:cs="宋体"/>
          <w:color w:val="auto"/>
          <w:spacing w:val="5"/>
          <w:sz w:val="20"/>
          <w:szCs w:val="20"/>
          <w:highlight w:val="none"/>
        </w:rPr>
        <w:t>1</w:t>
      </w:r>
      <w:r>
        <w:rPr>
          <w:rFonts w:ascii="宋体" w:hAnsi="宋体" w:eastAsia="宋体" w:cs="宋体"/>
          <w:color w:val="auto"/>
          <w:spacing w:val="-40"/>
          <w:sz w:val="20"/>
          <w:szCs w:val="20"/>
          <w:highlight w:val="none"/>
        </w:rPr>
        <w:t xml:space="preserve"> </w:t>
      </w:r>
      <w:r>
        <w:rPr>
          <w:rFonts w:ascii="宋体" w:hAnsi="宋体" w:eastAsia="宋体" w:cs="宋体"/>
          <w:color w:val="auto"/>
          <w:spacing w:val="5"/>
          <w:sz w:val="20"/>
          <w:szCs w:val="20"/>
          <w:highlight w:val="none"/>
        </w:rPr>
        <w:t>个不完整串</w:t>
      </w:r>
      <w:r>
        <w:rPr>
          <w:rFonts w:ascii="宋体" w:hAnsi="宋体" w:eastAsia="宋体" w:cs="宋体"/>
          <w:color w:val="auto"/>
          <w:spacing w:val="4"/>
          <w:sz w:val="20"/>
          <w:szCs w:val="20"/>
          <w:highlight w:val="none"/>
        </w:rPr>
        <w:t>，2</w:t>
      </w:r>
      <w:r>
        <w:rPr>
          <w:rFonts w:ascii="宋体" w:hAnsi="宋体" w:eastAsia="宋体" w:cs="宋体"/>
          <w:color w:val="auto"/>
          <w:spacing w:val="-17"/>
          <w:sz w:val="20"/>
          <w:szCs w:val="20"/>
          <w:highlight w:val="none"/>
        </w:rPr>
        <w:t xml:space="preserve"> </w:t>
      </w:r>
      <w:r>
        <w:rPr>
          <w:rFonts w:ascii="宋体" w:hAnsi="宋体" w:eastAsia="宋体" w:cs="宋体"/>
          <w:color w:val="auto"/>
          <w:spacing w:val="4"/>
          <w:sz w:val="20"/>
          <w:szCs w:val="20"/>
          <w:highlight w:val="none"/>
        </w:rPr>
        <w:t>回</w:t>
      </w:r>
      <w:r>
        <w:rPr>
          <w:rFonts w:ascii="宋体" w:hAnsi="宋体" w:eastAsia="宋体" w:cs="宋体"/>
          <w:color w:val="auto"/>
          <w:spacing w:val="-36"/>
          <w:sz w:val="20"/>
          <w:szCs w:val="20"/>
          <w:highlight w:val="none"/>
        </w:rPr>
        <w:t xml:space="preserve"> </w:t>
      </w:r>
      <w:r>
        <w:rPr>
          <w:rFonts w:ascii="宋体" w:hAnsi="宋体" w:eastAsia="宋体" w:cs="宋体"/>
          <w:color w:val="auto"/>
          <w:spacing w:val="4"/>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20"/>
          <w:sz w:val="20"/>
          <w:szCs w:val="20"/>
          <w:highlight w:val="none"/>
        </w:rPr>
        <w:t xml:space="preserve"> </w:t>
      </w:r>
      <w:r>
        <w:rPr>
          <w:rFonts w:ascii="宋体" w:hAnsi="宋体" w:eastAsia="宋体" w:cs="宋体"/>
          <w:color w:val="auto"/>
          <w:spacing w:val="4"/>
          <w:sz w:val="20"/>
          <w:szCs w:val="20"/>
          <w:highlight w:val="none"/>
        </w:rPr>
        <w:t>出线。</w:t>
      </w:r>
    </w:p>
    <w:p w14:paraId="73D4DC1B">
      <w:pPr>
        <w:spacing w:before="18" w:line="219" w:lineRule="auto"/>
        <w:ind w:left="26"/>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2.2</w:t>
      </w:r>
      <w:r>
        <w:rPr>
          <w:rFonts w:ascii="宋体" w:hAnsi="宋体" w:eastAsia="宋体" w:cs="宋体"/>
          <w:color w:val="auto"/>
          <w:spacing w:val="-4"/>
          <w:sz w:val="24"/>
          <w:szCs w:val="24"/>
          <w:highlight w:val="none"/>
        </w:rPr>
        <w:t xml:space="preserve"> </w:t>
      </w:r>
      <w:r>
        <w:rPr>
          <w:rFonts w:ascii="宋体" w:hAnsi="宋体" w:eastAsia="宋体" w:cs="宋体"/>
          <w:b/>
          <w:bCs/>
          <w:color w:val="auto"/>
          <w:spacing w:val="-4"/>
          <w:sz w:val="24"/>
          <w:szCs w:val="24"/>
          <w:highlight w:val="none"/>
        </w:rPr>
        <w:t>气象资料</w:t>
      </w:r>
    </w:p>
    <w:p w14:paraId="34A466E5">
      <w:pPr>
        <w:spacing w:line="156" w:lineRule="exact"/>
        <w:rPr>
          <w:color w:val="auto"/>
          <w:highlight w:val="none"/>
        </w:rPr>
      </w:pPr>
    </w:p>
    <w:p w14:paraId="6673D340">
      <w:pPr>
        <w:spacing w:line="156" w:lineRule="exact"/>
        <w:rPr>
          <w:color w:val="auto"/>
          <w:highlight w:val="none"/>
        </w:rPr>
        <w:sectPr>
          <w:pgSz w:w="11906" w:h="16839"/>
          <w:pgMar w:top="1431" w:right="1785" w:bottom="0" w:left="1785" w:header="0" w:footer="0" w:gutter="0"/>
          <w:pgBorders>
            <w:top w:val="none" w:sz="0" w:space="0"/>
            <w:left w:val="none" w:sz="0" w:space="0"/>
            <w:bottom w:val="none" w:sz="0" w:space="0"/>
            <w:right w:val="none" w:sz="0" w:space="0"/>
          </w:pgBorders>
          <w:cols w:equalWidth="0" w:num="1">
            <w:col w:w="8335"/>
          </w:cols>
        </w:sectPr>
      </w:pPr>
    </w:p>
    <w:p w14:paraId="49C7977B">
      <w:pPr>
        <w:spacing w:before="42" w:line="228" w:lineRule="auto"/>
        <w:ind w:left="444"/>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历年平均气温</w:t>
      </w:r>
    </w:p>
    <w:p w14:paraId="10C2DBA4">
      <w:pPr>
        <w:spacing w:before="222" w:line="352" w:lineRule="auto"/>
        <w:ind w:left="463" w:right="722"/>
        <w:jc w:val="both"/>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历年极端最高气温</w:t>
      </w:r>
      <w:r>
        <w:rPr>
          <w:rFonts w:ascii="宋体" w:hAnsi="宋体" w:eastAsia="宋体" w:cs="宋体"/>
          <w:color w:val="auto"/>
          <w:spacing w:val="2"/>
          <w:sz w:val="20"/>
          <w:szCs w:val="20"/>
          <w:highlight w:val="none"/>
        </w:rPr>
        <w:t xml:space="preserve"> </w:t>
      </w:r>
      <w:r>
        <w:rPr>
          <w:rFonts w:ascii="宋体" w:hAnsi="宋体" w:eastAsia="宋体" w:cs="宋体"/>
          <w:color w:val="auto"/>
          <w:spacing w:val="17"/>
          <w:sz w:val="20"/>
          <w:szCs w:val="20"/>
          <w:highlight w:val="none"/>
        </w:rPr>
        <w:t>历年极端最低气温</w:t>
      </w:r>
      <w:r>
        <w:rPr>
          <w:rFonts w:ascii="宋体" w:hAnsi="宋体" w:eastAsia="宋体" w:cs="宋体"/>
          <w:color w:val="auto"/>
          <w:spacing w:val="2"/>
          <w:sz w:val="20"/>
          <w:szCs w:val="20"/>
          <w:highlight w:val="none"/>
        </w:rPr>
        <w:t xml:space="preserve"> </w:t>
      </w:r>
      <w:r>
        <w:rPr>
          <w:rFonts w:ascii="宋体" w:hAnsi="宋体" w:eastAsia="宋体" w:cs="宋体"/>
          <w:color w:val="auto"/>
          <w:spacing w:val="16"/>
          <w:sz w:val="20"/>
          <w:szCs w:val="20"/>
          <w:highlight w:val="none"/>
        </w:rPr>
        <w:t>历年平均气压</w:t>
      </w:r>
    </w:p>
    <w:p w14:paraId="26564AE5">
      <w:pPr>
        <w:pStyle w:val="3"/>
        <w:spacing w:line="14" w:lineRule="auto"/>
        <w:rPr>
          <w:color w:val="auto"/>
          <w:sz w:val="2"/>
          <w:highlight w:val="none"/>
        </w:rPr>
      </w:pPr>
      <w:r>
        <w:rPr>
          <w:color w:val="auto"/>
          <w:sz w:val="2"/>
          <w:szCs w:val="2"/>
          <w:highlight w:val="none"/>
        </w:rPr>
        <w:br w:type="column"/>
      </w:r>
    </w:p>
    <w:p w14:paraId="450DE555">
      <w:pPr>
        <w:spacing w:before="41" w:line="266" w:lineRule="exact"/>
        <w:ind w:left="7"/>
        <w:rPr>
          <w:rFonts w:ascii="宋体" w:hAnsi="宋体" w:eastAsia="宋体" w:cs="宋体"/>
          <w:color w:val="auto"/>
          <w:sz w:val="20"/>
          <w:szCs w:val="20"/>
          <w:highlight w:val="none"/>
        </w:rPr>
      </w:pPr>
      <w:r>
        <w:rPr>
          <w:rFonts w:ascii="宋体" w:hAnsi="宋体" w:eastAsia="宋体" w:cs="宋体"/>
          <w:color w:val="auto"/>
          <w:spacing w:val="4"/>
          <w:position w:val="1"/>
          <w:sz w:val="20"/>
          <w:szCs w:val="20"/>
          <w:highlight w:val="none"/>
        </w:rPr>
        <w:t>15.5℃</w:t>
      </w:r>
    </w:p>
    <w:p w14:paraId="260C1ED2">
      <w:pPr>
        <w:spacing w:before="202" w:line="266" w:lineRule="exact"/>
        <w:rPr>
          <w:rFonts w:ascii="宋体" w:hAnsi="宋体" w:eastAsia="宋体" w:cs="宋体"/>
          <w:color w:val="auto"/>
          <w:sz w:val="20"/>
          <w:szCs w:val="20"/>
          <w:highlight w:val="none"/>
        </w:rPr>
      </w:pPr>
      <w:r>
        <w:rPr>
          <w:rFonts w:ascii="宋体" w:hAnsi="宋体" w:eastAsia="宋体" w:cs="宋体"/>
          <w:color w:val="auto"/>
          <w:spacing w:val="8"/>
          <w:position w:val="1"/>
          <w:sz w:val="20"/>
          <w:szCs w:val="20"/>
          <w:highlight w:val="none"/>
        </w:rPr>
        <w:t>41.2℃</w:t>
      </w:r>
    </w:p>
    <w:p w14:paraId="4212617D">
      <w:pPr>
        <w:spacing w:before="202" w:line="266" w:lineRule="exact"/>
        <w:rPr>
          <w:rFonts w:ascii="宋体" w:hAnsi="宋体" w:eastAsia="宋体" w:cs="宋体"/>
          <w:color w:val="auto"/>
          <w:sz w:val="20"/>
          <w:szCs w:val="20"/>
          <w:highlight w:val="none"/>
        </w:rPr>
      </w:pPr>
      <w:r>
        <w:rPr>
          <w:rFonts w:ascii="宋体" w:hAnsi="宋体" w:eastAsia="宋体" w:cs="宋体"/>
          <w:color w:val="auto"/>
          <w:spacing w:val="8"/>
          <w:position w:val="1"/>
          <w:sz w:val="20"/>
          <w:szCs w:val="20"/>
          <w:highlight w:val="none"/>
        </w:rPr>
        <w:t>-22.2℃</w:t>
      </w:r>
    </w:p>
    <w:p w14:paraId="1B0E125C">
      <w:pPr>
        <w:spacing w:before="201" w:line="193" w:lineRule="auto"/>
        <w:ind w:left="3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1013.3</w:t>
      </w:r>
      <w:r>
        <w:rPr>
          <w:rFonts w:ascii="宋体" w:hAnsi="宋体" w:eastAsia="宋体" w:cs="宋体"/>
          <w:color w:val="auto"/>
          <w:spacing w:val="24"/>
          <w:sz w:val="20"/>
          <w:szCs w:val="20"/>
          <w:highlight w:val="none"/>
        </w:rPr>
        <w:t xml:space="preserve"> </w:t>
      </w:r>
      <w:r>
        <w:rPr>
          <w:rFonts w:ascii="宋体" w:hAnsi="宋体" w:eastAsia="宋体" w:cs="宋体"/>
          <w:color w:val="auto"/>
          <w:sz w:val="20"/>
          <w:szCs w:val="20"/>
          <w:highlight w:val="none"/>
        </w:rPr>
        <w:t>hPa</w:t>
      </w:r>
    </w:p>
    <w:p w14:paraId="1CA498E5">
      <w:pPr>
        <w:spacing w:line="193" w:lineRule="auto"/>
        <w:rPr>
          <w:rFonts w:ascii="宋体" w:hAnsi="宋体" w:eastAsia="宋体" w:cs="宋体"/>
          <w:color w:val="auto"/>
          <w:sz w:val="20"/>
          <w:szCs w:val="20"/>
          <w:highlight w:val="none"/>
        </w:rPr>
        <w:sectPr>
          <w:type w:val="continuous"/>
          <w:pgSz w:w="11906" w:h="16839"/>
          <w:pgMar w:top="1431" w:right="1785" w:bottom="0" w:left="1785" w:header="0" w:footer="0" w:gutter="0"/>
          <w:pgBorders>
            <w:top w:val="none" w:sz="0" w:space="0"/>
            <w:left w:val="none" w:sz="0" w:space="0"/>
            <w:bottom w:val="none" w:sz="0" w:space="0"/>
            <w:right w:val="none" w:sz="0" w:space="0"/>
          </w:pgBorders>
          <w:cols w:equalWidth="0" w:num="2">
            <w:col w:w="2926" w:space="100"/>
            <w:col w:w="5309"/>
          </w:cols>
        </w:sectPr>
      </w:pPr>
    </w:p>
    <w:p w14:paraId="1AC99E3F">
      <w:pPr>
        <w:spacing w:before="259" w:line="228" w:lineRule="auto"/>
        <w:ind w:left="46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历年平均蒸发量</w:t>
      </w:r>
      <w:r>
        <w:rPr>
          <w:rFonts w:ascii="宋体" w:hAnsi="宋体" w:eastAsia="宋体" w:cs="宋体"/>
          <w:color w:val="auto"/>
          <w:spacing w:val="7"/>
          <w:sz w:val="20"/>
          <w:szCs w:val="20"/>
          <w:highlight w:val="none"/>
        </w:rPr>
        <w:t xml:space="preserve">          </w:t>
      </w:r>
      <w:r>
        <w:rPr>
          <w:rFonts w:ascii="宋体" w:hAnsi="宋体" w:eastAsia="宋体" w:cs="宋体"/>
          <w:color w:val="auto"/>
          <w:spacing w:val="12"/>
          <w:sz w:val="20"/>
          <w:szCs w:val="20"/>
          <w:highlight w:val="none"/>
        </w:rPr>
        <w:t xml:space="preserve">1600.3 </w:t>
      </w:r>
      <w:r>
        <w:rPr>
          <w:rFonts w:ascii="宋体" w:hAnsi="宋体" w:eastAsia="宋体" w:cs="宋体"/>
          <w:color w:val="auto"/>
          <w:sz w:val="20"/>
          <w:szCs w:val="20"/>
          <w:highlight w:val="none"/>
        </w:rPr>
        <w:t>mm</w:t>
      </w:r>
    </w:p>
    <w:p w14:paraId="12EAC995">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历年平均相对湿度</w:t>
      </w:r>
      <w:r>
        <w:rPr>
          <w:rFonts w:ascii="宋体" w:hAnsi="宋体" w:eastAsia="宋体" w:cs="宋体"/>
          <w:color w:val="auto"/>
          <w:spacing w:val="3"/>
          <w:sz w:val="20"/>
          <w:szCs w:val="20"/>
          <w:highlight w:val="none"/>
        </w:rPr>
        <w:t xml:space="preserve">        </w:t>
      </w:r>
      <w:r>
        <w:rPr>
          <w:rFonts w:ascii="宋体" w:hAnsi="宋体" w:eastAsia="宋体" w:cs="宋体"/>
          <w:color w:val="auto"/>
          <w:spacing w:val="13"/>
          <w:sz w:val="20"/>
          <w:szCs w:val="20"/>
          <w:highlight w:val="none"/>
        </w:rPr>
        <w:t>72%</w:t>
      </w:r>
    </w:p>
    <w:p w14:paraId="57683D21">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历年最小相对湿度</w:t>
      </w:r>
      <w:r>
        <w:rPr>
          <w:rFonts w:ascii="宋体" w:hAnsi="宋体" w:eastAsia="宋体" w:cs="宋体"/>
          <w:color w:val="auto"/>
          <w:spacing w:val="3"/>
          <w:sz w:val="20"/>
          <w:szCs w:val="20"/>
          <w:highlight w:val="none"/>
        </w:rPr>
        <w:t xml:space="preserve">        </w:t>
      </w:r>
      <w:r>
        <w:rPr>
          <w:rFonts w:ascii="宋体" w:hAnsi="宋体" w:eastAsia="宋体" w:cs="宋体"/>
          <w:color w:val="auto"/>
          <w:spacing w:val="14"/>
          <w:sz w:val="20"/>
          <w:szCs w:val="20"/>
          <w:highlight w:val="none"/>
        </w:rPr>
        <w:t>2%</w:t>
      </w:r>
    </w:p>
    <w:p w14:paraId="6FB272CD">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历年平均风速            2</w:t>
      </w:r>
      <w:r>
        <w:rPr>
          <w:rFonts w:ascii="宋体" w:hAnsi="宋体" w:eastAsia="宋体" w:cs="宋体"/>
          <w:color w:val="auto"/>
          <w:spacing w:val="8"/>
          <w:sz w:val="20"/>
          <w:szCs w:val="20"/>
          <w:highlight w:val="none"/>
        </w:rPr>
        <w:t>.7</w:t>
      </w:r>
      <w:r>
        <w:rPr>
          <w:rFonts w:ascii="宋体" w:hAnsi="宋体" w:eastAsia="宋体" w:cs="宋体"/>
          <w:color w:val="auto"/>
          <w:spacing w:val="22"/>
          <w:sz w:val="20"/>
          <w:szCs w:val="20"/>
          <w:highlight w:val="none"/>
        </w:rPr>
        <w:t xml:space="preserve">  </w:t>
      </w:r>
      <w:r>
        <w:rPr>
          <w:rFonts w:ascii="宋体" w:hAnsi="宋体" w:eastAsia="宋体" w:cs="宋体"/>
          <w:color w:val="auto"/>
          <w:spacing w:val="8"/>
          <w:sz w:val="20"/>
          <w:szCs w:val="20"/>
          <w:highlight w:val="none"/>
        </w:rPr>
        <w:t>m/s</w:t>
      </w:r>
    </w:p>
    <w:p w14:paraId="68DADE62">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历年最大风速            19.0</w:t>
      </w:r>
      <w:r>
        <w:rPr>
          <w:rFonts w:ascii="宋体" w:hAnsi="宋体" w:eastAsia="宋体" w:cs="宋体"/>
          <w:color w:val="auto"/>
          <w:spacing w:val="23"/>
          <w:sz w:val="20"/>
          <w:szCs w:val="20"/>
          <w:highlight w:val="none"/>
        </w:rPr>
        <w:t xml:space="preserve"> </w:t>
      </w:r>
      <w:r>
        <w:rPr>
          <w:rFonts w:ascii="宋体" w:hAnsi="宋体" w:eastAsia="宋体" w:cs="宋体"/>
          <w:color w:val="auto"/>
          <w:spacing w:val="8"/>
          <w:sz w:val="20"/>
          <w:szCs w:val="20"/>
          <w:highlight w:val="none"/>
        </w:rPr>
        <w:t>m/s</w:t>
      </w:r>
    </w:p>
    <w:p w14:paraId="36E2FF5B">
      <w:pPr>
        <w:spacing w:before="221" w:line="228" w:lineRule="auto"/>
        <w:ind w:left="464"/>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五十年一遇离地十米十分钟平均最大风速  23.7m/s</w:t>
      </w:r>
    </w:p>
    <w:p w14:paraId="24D380D7">
      <w:pPr>
        <w:spacing w:before="221" w:line="227" w:lineRule="auto"/>
        <w:ind w:left="464"/>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五十年一遇平均最大风速 **m/s</w:t>
      </w:r>
      <w:r>
        <w:rPr>
          <w:rFonts w:ascii="宋体" w:hAnsi="宋体" w:eastAsia="宋体" w:cs="宋体"/>
          <w:color w:val="auto"/>
          <w:spacing w:val="-6"/>
          <w:sz w:val="20"/>
          <w:szCs w:val="20"/>
          <w:highlight w:val="none"/>
        </w:rPr>
        <w:t xml:space="preserve"> </w:t>
      </w:r>
      <w:r>
        <w:rPr>
          <w:rFonts w:ascii="宋体" w:hAnsi="宋体" w:eastAsia="宋体" w:cs="宋体"/>
          <w:color w:val="auto"/>
          <w:spacing w:val="14"/>
          <w:sz w:val="20"/>
          <w:szCs w:val="20"/>
          <w:highlight w:val="none"/>
        </w:rPr>
        <w:t>时相应基本风压</w:t>
      </w:r>
      <w:r>
        <w:rPr>
          <w:rFonts w:ascii="宋体" w:hAnsi="宋体" w:eastAsia="宋体" w:cs="宋体"/>
          <w:color w:val="auto"/>
          <w:spacing w:val="21"/>
          <w:sz w:val="20"/>
          <w:szCs w:val="20"/>
          <w:highlight w:val="none"/>
        </w:rPr>
        <w:t xml:space="preserve">   </w:t>
      </w:r>
      <w:r>
        <w:rPr>
          <w:rFonts w:ascii="宋体" w:hAnsi="宋体" w:eastAsia="宋体" w:cs="宋体"/>
          <w:color w:val="auto"/>
          <w:spacing w:val="14"/>
          <w:sz w:val="20"/>
          <w:szCs w:val="20"/>
          <w:highlight w:val="none"/>
        </w:rPr>
        <w:t>0.35</w:t>
      </w:r>
      <w:r>
        <w:rPr>
          <w:rFonts w:ascii="宋体" w:hAnsi="宋体" w:eastAsia="宋体" w:cs="宋体"/>
          <w:color w:val="auto"/>
          <w:sz w:val="20"/>
          <w:szCs w:val="20"/>
          <w:highlight w:val="none"/>
        </w:rPr>
        <w:t>kN</w:t>
      </w:r>
      <w:r>
        <w:rPr>
          <w:rFonts w:ascii="宋体" w:hAnsi="宋体" w:eastAsia="宋体" w:cs="宋体"/>
          <w:color w:val="auto"/>
          <w:spacing w:val="14"/>
          <w:sz w:val="20"/>
          <w:szCs w:val="20"/>
          <w:highlight w:val="none"/>
        </w:rPr>
        <w:t>/m2</w:t>
      </w:r>
    </w:p>
    <w:p w14:paraId="05AD8889">
      <w:pPr>
        <w:spacing w:before="222" w:line="228" w:lineRule="auto"/>
        <w:ind w:left="463"/>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历年平均降雨量</w:t>
      </w:r>
      <w:r>
        <w:rPr>
          <w:rFonts w:ascii="宋体" w:hAnsi="宋体" w:eastAsia="宋体" w:cs="宋体"/>
          <w:color w:val="auto"/>
          <w:spacing w:val="6"/>
          <w:sz w:val="20"/>
          <w:szCs w:val="20"/>
          <w:highlight w:val="none"/>
        </w:rPr>
        <w:t xml:space="preserve">          </w:t>
      </w:r>
      <w:r>
        <w:rPr>
          <w:rFonts w:ascii="宋体" w:hAnsi="宋体" w:eastAsia="宋体" w:cs="宋体"/>
          <w:color w:val="auto"/>
          <w:spacing w:val="13"/>
          <w:sz w:val="20"/>
          <w:szCs w:val="20"/>
          <w:highlight w:val="none"/>
        </w:rPr>
        <w:t xml:space="preserve">928.5 </w:t>
      </w:r>
      <w:r>
        <w:rPr>
          <w:rFonts w:ascii="宋体" w:hAnsi="宋体" w:eastAsia="宋体" w:cs="宋体"/>
          <w:color w:val="auto"/>
          <w:sz w:val="20"/>
          <w:szCs w:val="20"/>
          <w:highlight w:val="none"/>
        </w:rPr>
        <w:t>mm</w:t>
      </w:r>
    </w:p>
    <w:p w14:paraId="2432FDD2">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最大年降雨量            1567.5</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mm</w:t>
      </w:r>
    </w:p>
    <w:p w14:paraId="4FC86C3C">
      <w:pPr>
        <w:spacing w:before="221" w:line="193" w:lineRule="auto"/>
        <w:ind w:left="46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历年平均雷暴日数       26.6d</w:t>
      </w:r>
    </w:p>
    <w:p w14:paraId="4BF042AD">
      <w:pPr>
        <w:spacing w:line="193" w:lineRule="auto"/>
        <w:rPr>
          <w:rFonts w:ascii="宋体" w:hAnsi="宋体" w:eastAsia="宋体" w:cs="宋体"/>
          <w:color w:val="auto"/>
          <w:sz w:val="20"/>
          <w:szCs w:val="20"/>
          <w:highlight w:val="none"/>
        </w:rPr>
        <w:sectPr>
          <w:type w:val="continuous"/>
          <w:pgSz w:w="11906" w:h="16839"/>
          <w:pgMar w:top="1431" w:right="1785" w:bottom="0" w:left="1785" w:header="0" w:footer="0" w:gutter="0"/>
          <w:pgBorders>
            <w:top w:val="none" w:sz="0" w:space="0"/>
            <w:left w:val="none" w:sz="0" w:space="0"/>
            <w:bottom w:val="none" w:sz="0" w:space="0"/>
            <w:right w:val="none" w:sz="0" w:space="0"/>
          </w:pgBorders>
          <w:cols w:equalWidth="0" w:num="1">
            <w:col w:w="8335"/>
          </w:cols>
        </w:sectPr>
      </w:pPr>
    </w:p>
    <w:p w14:paraId="750F8646">
      <w:pPr>
        <w:spacing w:before="137" w:line="228" w:lineRule="auto"/>
        <w:ind w:left="44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历年平均雾日数          17</w:t>
      </w:r>
      <w:r>
        <w:rPr>
          <w:rFonts w:ascii="宋体" w:hAnsi="宋体" w:eastAsia="宋体" w:cs="宋体"/>
          <w:color w:val="auto"/>
          <w:spacing w:val="7"/>
          <w:sz w:val="20"/>
          <w:szCs w:val="20"/>
          <w:highlight w:val="none"/>
        </w:rPr>
        <w:t>.3d</w:t>
      </w:r>
    </w:p>
    <w:p w14:paraId="61D9E88F">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历年最大积雪深度</w:t>
      </w:r>
      <w:r>
        <w:rPr>
          <w:rFonts w:ascii="宋体" w:hAnsi="宋体" w:eastAsia="宋体" w:cs="宋体"/>
          <w:color w:val="auto"/>
          <w:spacing w:val="4"/>
          <w:sz w:val="20"/>
          <w:szCs w:val="20"/>
          <w:highlight w:val="none"/>
        </w:rPr>
        <w:t xml:space="preserve">        </w:t>
      </w:r>
      <w:r>
        <w:rPr>
          <w:rFonts w:ascii="宋体" w:hAnsi="宋体" w:eastAsia="宋体" w:cs="宋体"/>
          <w:color w:val="auto"/>
          <w:spacing w:val="13"/>
          <w:sz w:val="20"/>
          <w:szCs w:val="20"/>
          <w:highlight w:val="none"/>
        </w:rPr>
        <w:t>35</w:t>
      </w:r>
      <w:r>
        <w:rPr>
          <w:rFonts w:ascii="宋体" w:hAnsi="宋体" w:eastAsia="宋体" w:cs="宋体"/>
          <w:color w:val="auto"/>
          <w:spacing w:val="35"/>
          <w:sz w:val="20"/>
          <w:szCs w:val="20"/>
          <w:highlight w:val="none"/>
        </w:rPr>
        <w:t xml:space="preserve"> </w:t>
      </w:r>
      <w:r>
        <w:rPr>
          <w:rFonts w:ascii="宋体" w:hAnsi="宋体" w:eastAsia="宋体" w:cs="宋体"/>
          <w:color w:val="auto"/>
          <w:sz w:val="20"/>
          <w:szCs w:val="20"/>
          <w:highlight w:val="none"/>
        </w:rPr>
        <w:t>cm</w:t>
      </w:r>
    </w:p>
    <w:p w14:paraId="7565641E">
      <w:pPr>
        <w:spacing w:before="220" w:line="228" w:lineRule="auto"/>
        <w:ind w:left="46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历年最大冻土深度</w:t>
      </w:r>
      <w:r>
        <w:rPr>
          <w:rFonts w:ascii="宋体" w:hAnsi="宋体" w:eastAsia="宋体" w:cs="宋体"/>
          <w:color w:val="auto"/>
          <w:spacing w:val="5"/>
          <w:sz w:val="20"/>
          <w:szCs w:val="20"/>
          <w:highlight w:val="none"/>
        </w:rPr>
        <w:t xml:space="preserve">        </w:t>
      </w:r>
      <w:r>
        <w:rPr>
          <w:rFonts w:ascii="宋体" w:hAnsi="宋体" w:eastAsia="宋体" w:cs="宋体"/>
          <w:color w:val="auto"/>
          <w:spacing w:val="12"/>
          <w:sz w:val="20"/>
          <w:szCs w:val="20"/>
          <w:highlight w:val="none"/>
        </w:rPr>
        <w:t>13</w:t>
      </w:r>
      <w:r>
        <w:rPr>
          <w:rFonts w:ascii="宋体" w:hAnsi="宋体" w:eastAsia="宋体" w:cs="宋体"/>
          <w:color w:val="auto"/>
          <w:spacing w:val="37"/>
          <w:sz w:val="20"/>
          <w:szCs w:val="20"/>
          <w:highlight w:val="none"/>
        </w:rPr>
        <w:t xml:space="preserve"> </w:t>
      </w:r>
      <w:r>
        <w:rPr>
          <w:rFonts w:ascii="宋体" w:hAnsi="宋体" w:eastAsia="宋体" w:cs="宋体"/>
          <w:color w:val="auto"/>
          <w:sz w:val="20"/>
          <w:szCs w:val="20"/>
          <w:highlight w:val="none"/>
        </w:rPr>
        <w:t>cm</w:t>
      </w:r>
    </w:p>
    <w:p w14:paraId="137E73AD">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历年主导风向            E（</w:t>
      </w:r>
      <w:r>
        <w:rPr>
          <w:rFonts w:ascii="宋体" w:hAnsi="宋体" w:eastAsia="宋体" w:cs="宋体"/>
          <w:color w:val="auto"/>
          <w:spacing w:val="-34"/>
          <w:sz w:val="20"/>
          <w:szCs w:val="20"/>
          <w:highlight w:val="none"/>
        </w:rPr>
        <w:t xml:space="preserve"> </w:t>
      </w:r>
      <w:r>
        <w:rPr>
          <w:rFonts w:ascii="宋体" w:hAnsi="宋体" w:eastAsia="宋体" w:cs="宋体"/>
          <w:color w:val="auto"/>
          <w:spacing w:val="8"/>
          <w:sz w:val="20"/>
          <w:szCs w:val="20"/>
          <w:highlight w:val="none"/>
        </w:rPr>
        <w:t>1980~2001</w:t>
      </w:r>
      <w:r>
        <w:rPr>
          <w:rFonts w:ascii="宋体" w:hAnsi="宋体" w:eastAsia="宋体" w:cs="宋体"/>
          <w:color w:val="auto"/>
          <w:spacing w:val="-27"/>
          <w:sz w:val="20"/>
          <w:szCs w:val="20"/>
          <w:highlight w:val="none"/>
        </w:rPr>
        <w:t xml:space="preserve"> </w:t>
      </w:r>
      <w:r>
        <w:rPr>
          <w:rFonts w:ascii="宋体" w:hAnsi="宋体" w:eastAsia="宋体" w:cs="宋体"/>
          <w:color w:val="auto"/>
          <w:spacing w:val="7"/>
          <w:sz w:val="20"/>
          <w:szCs w:val="20"/>
          <w:highlight w:val="none"/>
        </w:rPr>
        <w:t>年资料）</w:t>
      </w:r>
    </w:p>
    <w:p w14:paraId="05BA072A">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历年夏季主导风向</w:t>
      </w:r>
      <w:r>
        <w:rPr>
          <w:rFonts w:ascii="宋体" w:hAnsi="宋体" w:eastAsia="宋体" w:cs="宋体"/>
          <w:color w:val="auto"/>
          <w:spacing w:val="4"/>
          <w:sz w:val="20"/>
          <w:szCs w:val="20"/>
          <w:highlight w:val="none"/>
        </w:rPr>
        <w:t xml:space="preserve">        </w:t>
      </w:r>
      <w:r>
        <w:rPr>
          <w:rFonts w:ascii="宋体" w:hAnsi="宋体" w:eastAsia="宋体" w:cs="宋体"/>
          <w:color w:val="auto"/>
          <w:spacing w:val="9"/>
          <w:sz w:val="20"/>
          <w:szCs w:val="20"/>
          <w:highlight w:val="none"/>
        </w:rPr>
        <w:t>E（</w:t>
      </w:r>
      <w:r>
        <w:rPr>
          <w:rFonts w:ascii="宋体" w:hAnsi="宋体" w:eastAsia="宋体" w:cs="宋体"/>
          <w:color w:val="auto"/>
          <w:spacing w:val="-32"/>
          <w:sz w:val="20"/>
          <w:szCs w:val="20"/>
          <w:highlight w:val="none"/>
        </w:rPr>
        <w:t xml:space="preserve"> </w:t>
      </w:r>
      <w:r>
        <w:rPr>
          <w:rFonts w:ascii="宋体" w:hAnsi="宋体" w:eastAsia="宋体" w:cs="宋体"/>
          <w:color w:val="auto"/>
          <w:spacing w:val="9"/>
          <w:sz w:val="20"/>
          <w:szCs w:val="20"/>
          <w:highlight w:val="none"/>
        </w:rPr>
        <w:t>1980~2001</w:t>
      </w:r>
      <w:r>
        <w:rPr>
          <w:rFonts w:ascii="宋体" w:hAnsi="宋体" w:eastAsia="宋体" w:cs="宋体"/>
          <w:color w:val="auto"/>
          <w:spacing w:val="-28"/>
          <w:sz w:val="20"/>
          <w:szCs w:val="20"/>
          <w:highlight w:val="none"/>
        </w:rPr>
        <w:t xml:space="preserve"> </w:t>
      </w:r>
      <w:r>
        <w:rPr>
          <w:rFonts w:ascii="宋体" w:hAnsi="宋体" w:eastAsia="宋体" w:cs="宋体"/>
          <w:color w:val="auto"/>
          <w:spacing w:val="9"/>
          <w:sz w:val="20"/>
          <w:szCs w:val="20"/>
          <w:highlight w:val="none"/>
        </w:rPr>
        <w:t>年资料）</w:t>
      </w:r>
    </w:p>
    <w:p w14:paraId="7267C059">
      <w:pPr>
        <w:spacing w:before="220" w:line="228" w:lineRule="auto"/>
        <w:ind w:left="46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历年冬季主导风向       E、</w:t>
      </w:r>
      <w:r>
        <w:rPr>
          <w:rFonts w:ascii="宋体" w:hAnsi="宋体" w:eastAsia="宋体" w:cs="宋体"/>
          <w:color w:val="auto"/>
          <w:sz w:val="20"/>
          <w:szCs w:val="20"/>
          <w:highlight w:val="none"/>
        </w:rPr>
        <w:t>ESE</w:t>
      </w:r>
      <w:r>
        <w:rPr>
          <w:rFonts w:ascii="宋体" w:hAnsi="宋体" w:eastAsia="宋体" w:cs="宋体"/>
          <w:color w:val="auto"/>
          <w:spacing w:val="8"/>
          <w:sz w:val="20"/>
          <w:szCs w:val="20"/>
          <w:highlight w:val="none"/>
        </w:rPr>
        <w:t>（1980~2001</w:t>
      </w:r>
      <w:r>
        <w:rPr>
          <w:rFonts w:ascii="宋体" w:hAnsi="宋体" w:eastAsia="宋体" w:cs="宋体"/>
          <w:color w:val="auto"/>
          <w:spacing w:val="-28"/>
          <w:sz w:val="20"/>
          <w:szCs w:val="20"/>
          <w:highlight w:val="none"/>
        </w:rPr>
        <w:t xml:space="preserve"> </w:t>
      </w:r>
      <w:r>
        <w:rPr>
          <w:rFonts w:ascii="宋体" w:hAnsi="宋体" w:eastAsia="宋体" w:cs="宋体"/>
          <w:color w:val="auto"/>
          <w:spacing w:val="8"/>
          <w:sz w:val="20"/>
          <w:szCs w:val="20"/>
          <w:highlight w:val="none"/>
        </w:rPr>
        <w:t>年资料）</w:t>
      </w:r>
    </w:p>
    <w:p w14:paraId="16F8EA90">
      <w:pPr>
        <w:spacing w:before="207" w:line="219" w:lineRule="auto"/>
        <w:ind w:left="26"/>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2.3</w:t>
      </w:r>
      <w:r>
        <w:rPr>
          <w:rFonts w:ascii="宋体" w:hAnsi="宋体" w:eastAsia="宋体" w:cs="宋体"/>
          <w:color w:val="auto"/>
          <w:spacing w:val="-3"/>
          <w:sz w:val="24"/>
          <w:szCs w:val="24"/>
          <w:highlight w:val="none"/>
        </w:rPr>
        <w:t xml:space="preserve">  </w:t>
      </w:r>
      <w:r>
        <w:rPr>
          <w:rFonts w:ascii="宋体" w:hAnsi="宋体" w:eastAsia="宋体" w:cs="宋体"/>
          <w:b/>
          <w:bCs/>
          <w:color w:val="auto"/>
          <w:spacing w:val="-3"/>
          <w:sz w:val="24"/>
          <w:szCs w:val="24"/>
          <w:highlight w:val="none"/>
        </w:rPr>
        <w:t>正常使用条件</w:t>
      </w:r>
    </w:p>
    <w:p w14:paraId="4E1D4496">
      <w:pPr>
        <w:spacing w:before="197" w:line="228" w:lineRule="auto"/>
        <w:ind w:left="46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海拔高度：</w:t>
      </w:r>
      <w:r>
        <w:rPr>
          <w:rFonts w:ascii="宋体" w:hAnsi="宋体" w:eastAsia="宋体" w:cs="宋体"/>
          <w:color w:val="auto"/>
          <w:spacing w:val="-68"/>
          <w:sz w:val="20"/>
          <w:szCs w:val="20"/>
          <w:highlight w:val="none"/>
        </w:rPr>
        <w:t xml:space="preserve"> </w:t>
      </w:r>
      <w:r>
        <w:rPr>
          <w:rFonts w:ascii="宋体" w:hAnsi="宋体" w:eastAsia="宋体" w:cs="宋体"/>
          <w:color w:val="auto"/>
          <w:spacing w:val="29"/>
          <w:sz w:val="20"/>
          <w:szCs w:val="20"/>
          <w:highlight w:val="none"/>
          <w:u w:val="single" w:color="auto"/>
        </w:rPr>
        <w:t xml:space="preserve"> </w:t>
      </w:r>
      <w:r>
        <w:rPr>
          <w:rFonts w:ascii="宋体" w:hAnsi="宋体" w:eastAsia="宋体" w:cs="宋体"/>
          <w:color w:val="auto"/>
          <w:spacing w:val="8"/>
          <w:sz w:val="20"/>
          <w:szCs w:val="20"/>
          <w:highlight w:val="none"/>
          <w:u w:val="single" w:color="auto"/>
        </w:rPr>
        <w:t>&lt;100</w:t>
      </w:r>
      <w:r>
        <w:rPr>
          <w:rFonts w:ascii="宋体" w:hAnsi="宋体" w:eastAsia="宋体" w:cs="宋体"/>
          <w:color w:val="auto"/>
          <w:spacing w:val="21"/>
          <w:sz w:val="20"/>
          <w:szCs w:val="20"/>
          <w:highlight w:val="none"/>
          <w:u w:val="single" w:color="auto"/>
        </w:rPr>
        <w:t xml:space="preserve"> </w:t>
      </w:r>
      <w:r>
        <w:rPr>
          <w:rFonts w:ascii="宋体" w:hAnsi="宋体" w:eastAsia="宋体" w:cs="宋体"/>
          <w:color w:val="auto"/>
          <w:spacing w:val="8"/>
          <w:sz w:val="20"/>
          <w:szCs w:val="20"/>
          <w:highlight w:val="none"/>
        </w:rPr>
        <w:t>m</w:t>
      </w:r>
    </w:p>
    <w:p w14:paraId="100D1002">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最大日温差：</w:t>
      </w:r>
      <w:r>
        <w:rPr>
          <w:rFonts w:ascii="宋体" w:hAnsi="宋体" w:eastAsia="宋体" w:cs="宋体"/>
          <w:color w:val="auto"/>
          <w:spacing w:val="-62"/>
          <w:sz w:val="20"/>
          <w:szCs w:val="20"/>
          <w:highlight w:val="none"/>
        </w:rPr>
        <w:t xml:space="preserve"> </w:t>
      </w:r>
      <w:r>
        <w:rPr>
          <w:rFonts w:ascii="宋体" w:hAnsi="宋体" w:eastAsia="宋体" w:cs="宋体"/>
          <w:color w:val="auto"/>
          <w:spacing w:val="26"/>
          <w:sz w:val="20"/>
          <w:szCs w:val="20"/>
          <w:highlight w:val="none"/>
          <w:u w:val="single" w:color="auto"/>
        </w:rPr>
        <w:t xml:space="preserve"> </w:t>
      </w:r>
      <w:r>
        <w:rPr>
          <w:rFonts w:ascii="宋体" w:hAnsi="宋体" w:eastAsia="宋体" w:cs="宋体"/>
          <w:color w:val="auto"/>
          <w:spacing w:val="8"/>
          <w:sz w:val="20"/>
          <w:szCs w:val="20"/>
          <w:highlight w:val="none"/>
          <w:u w:val="single" w:color="auto"/>
        </w:rPr>
        <w:t>25</w:t>
      </w:r>
      <w:r>
        <w:rPr>
          <w:rFonts w:ascii="宋体" w:hAnsi="宋体" w:eastAsia="宋体" w:cs="宋体"/>
          <w:color w:val="auto"/>
          <w:spacing w:val="23"/>
          <w:sz w:val="20"/>
          <w:szCs w:val="20"/>
          <w:highlight w:val="none"/>
          <w:u w:val="single" w:color="auto"/>
        </w:rPr>
        <w:t xml:space="preserve"> </w:t>
      </w:r>
      <w:r>
        <w:rPr>
          <w:rFonts w:ascii="宋体" w:hAnsi="宋体" w:eastAsia="宋体" w:cs="宋体"/>
          <w:color w:val="auto"/>
          <w:spacing w:val="8"/>
          <w:sz w:val="20"/>
          <w:szCs w:val="20"/>
          <w:highlight w:val="none"/>
        </w:rPr>
        <w:t>K</w:t>
      </w:r>
    </w:p>
    <w:p w14:paraId="5CDFF155">
      <w:pPr>
        <w:spacing w:before="221" w:line="228" w:lineRule="auto"/>
        <w:ind w:left="46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耐地震能力按</w:t>
      </w:r>
      <w:r>
        <w:rPr>
          <w:rFonts w:ascii="宋体" w:hAnsi="宋体" w:eastAsia="宋体" w:cs="宋体"/>
          <w:color w:val="auto"/>
          <w:spacing w:val="-20"/>
          <w:sz w:val="20"/>
          <w:szCs w:val="20"/>
          <w:highlight w:val="none"/>
        </w:rPr>
        <w:t xml:space="preserve"> </w:t>
      </w:r>
      <w:r>
        <w:rPr>
          <w:rFonts w:ascii="宋体" w:hAnsi="宋体" w:eastAsia="宋体" w:cs="宋体"/>
          <w:color w:val="auto"/>
          <w:spacing w:val="12"/>
          <w:sz w:val="20"/>
          <w:szCs w:val="20"/>
          <w:highlight w:val="none"/>
        </w:rPr>
        <w:t>7</w:t>
      </w:r>
      <w:r>
        <w:rPr>
          <w:rFonts w:ascii="宋体" w:hAnsi="宋体" w:eastAsia="宋体" w:cs="宋体"/>
          <w:color w:val="auto"/>
          <w:spacing w:val="-32"/>
          <w:sz w:val="20"/>
          <w:szCs w:val="20"/>
          <w:highlight w:val="none"/>
        </w:rPr>
        <w:t xml:space="preserve"> </w:t>
      </w:r>
      <w:r>
        <w:rPr>
          <w:rFonts w:ascii="宋体" w:hAnsi="宋体" w:eastAsia="宋体" w:cs="宋体"/>
          <w:color w:val="auto"/>
          <w:spacing w:val="12"/>
          <w:sz w:val="20"/>
          <w:szCs w:val="20"/>
          <w:highlight w:val="none"/>
        </w:rPr>
        <w:t>度设防（正弦三个周波，安</w:t>
      </w:r>
      <w:r>
        <w:rPr>
          <w:rFonts w:ascii="宋体" w:hAnsi="宋体" w:eastAsia="宋体" w:cs="宋体"/>
          <w:color w:val="auto"/>
          <w:spacing w:val="11"/>
          <w:sz w:val="20"/>
          <w:szCs w:val="20"/>
          <w:highlight w:val="none"/>
        </w:rPr>
        <w:t>全系数 1.67 以上）</w:t>
      </w:r>
    </w:p>
    <w:p w14:paraId="339C40A9">
      <w:pPr>
        <w:spacing w:before="221" w:line="222" w:lineRule="auto"/>
        <w:ind w:left="461"/>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地面水平加速度：</w:t>
      </w:r>
      <w:r>
        <w:rPr>
          <w:rFonts w:ascii="宋体" w:hAnsi="宋体" w:eastAsia="宋体" w:cs="宋体"/>
          <w:color w:val="auto"/>
          <w:spacing w:val="-58"/>
          <w:sz w:val="20"/>
          <w:szCs w:val="20"/>
          <w:highlight w:val="none"/>
        </w:rPr>
        <w:t xml:space="preserve"> </w:t>
      </w:r>
      <w:r>
        <w:rPr>
          <w:rFonts w:ascii="宋体" w:hAnsi="宋体" w:eastAsia="宋体" w:cs="宋体"/>
          <w:color w:val="auto"/>
          <w:spacing w:val="26"/>
          <w:sz w:val="20"/>
          <w:szCs w:val="20"/>
          <w:highlight w:val="none"/>
          <w:u w:val="single" w:color="auto"/>
        </w:rPr>
        <w:t xml:space="preserve"> </w:t>
      </w:r>
      <w:r>
        <w:rPr>
          <w:rFonts w:ascii="宋体" w:hAnsi="宋体" w:eastAsia="宋体" w:cs="宋体"/>
          <w:color w:val="auto"/>
          <w:spacing w:val="10"/>
          <w:sz w:val="20"/>
          <w:szCs w:val="20"/>
          <w:highlight w:val="none"/>
          <w:u w:val="single" w:color="auto"/>
        </w:rPr>
        <w:t>0.2</w:t>
      </w:r>
      <w:r>
        <w:rPr>
          <w:rFonts w:ascii="宋体" w:hAnsi="宋体" w:eastAsia="宋体" w:cs="宋体"/>
          <w:color w:val="auto"/>
          <w:spacing w:val="30"/>
          <w:sz w:val="20"/>
          <w:szCs w:val="20"/>
          <w:highlight w:val="none"/>
          <w:u w:val="single" w:color="auto"/>
        </w:rPr>
        <w:t xml:space="preserve"> </w:t>
      </w:r>
      <w:r>
        <w:rPr>
          <w:rFonts w:ascii="宋体" w:hAnsi="宋体" w:eastAsia="宋体" w:cs="宋体"/>
          <w:color w:val="auto"/>
          <w:spacing w:val="10"/>
          <w:sz w:val="20"/>
          <w:szCs w:val="20"/>
          <w:highlight w:val="none"/>
        </w:rPr>
        <w:t>g</w:t>
      </w:r>
    </w:p>
    <w:p w14:paraId="137DB9A3">
      <w:pPr>
        <w:spacing w:before="228" w:line="222" w:lineRule="auto"/>
        <w:ind w:left="461"/>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地面垂直加速度：</w:t>
      </w:r>
      <w:r>
        <w:rPr>
          <w:rFonts w:ascii="宋体" w:hAnsi="宋体" w:eastAsia="宋体" w:cs="宋体"/>
          <w:color w:val="auto"/>
          <w:spacing w:val="-58"/>
          <w:sz w:val="20"/>
          <w:szCs w:val="20"/>
          <w:highlight w:val="none"/>
        </w:rPr>
        <w:t xml:space="preserve"> </w:t>
      </w:r>
      <w:r>
        <w:rPr>
          <w:rFonts w:ascii="宋体" w:hAnsi="宋体" w:eastAsia="宋体" w:cs="宋体"/>
          <w:color w:val="auto"/>
          <w:spacing w:val="26"/>
          <w:sz w:val="20"/>
          <w:szCs w:val="20"/>
          <w:highlight w:val="none"/>
          <w:u w:val="single" w:color="auto"/>
        </w:rPr>
        <w:t xml:space="preserve"> </w:t>
      </w:r>
      <w:r>
        <w:rPr>
          <w:rFonts w:ascii="宋体" w:hAnsi="宋体" w:eastAsia="宋体" w:cs="宋体"/>
          <w:color w:val="auto"/>
          <w:spacing w:val="10"/>
          <w:sz w:val="20"/>
          <w:szCs w:val="20"/>
          <w:highlight w:val="none"/>
          <w:u w:val="single" w:color="auto"/>
        </w:rPr>
        <w:t>0.1</w:t>
      </w:r>
      <w:r>
        <w:rPr>
          <w:rFonts w:ascii="宋体" w:hAnsi="宋体" w:eastAsia="宋体" w:cs="宋体"/>
          <w:color w:val="auto"/>
          <w:spacing w:val="30"/>
          <w:sz w:val="20"/>
          <w:szCs w:val="20"/>
          <w:highlight w:val="none"/>
          <w:u w:val="single" w:color="auto"/>
        </w:rPr>
        <w:t xml:space="preserve"> </w:t>
      </w:r>
      <w:r>
        <w:rPr>
          <w:rFonts w:ascii="宋体" w:hAnsi="宋体" w:eastAsia="宋体" w:cs="宋体"/>
          <w:color w:val="auto"/>
          <w:spacing w:val="10"/>
          <w:sz w:val="20"/>
          <w:szCs w:val="20"/>
          <w:highlight w:val="none"/>
        </w:rPr>
        <w:t>g</w:t>
      </w:r>
    </w:p>
    <w:p w14:paraId="27E11CC3">
      <w:pPr>
        <w:spacing w:before="213" w:line="219" w:lineRule="auto"/>
        <w:ind w:left="26"/>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2.4</w:t>
      </w:r>
      <w:r>
        <w:rPr>
          <w:rFonts w:ascii="宋体" w:hAnsi="宋体" w:eastAsia="宋体" w:cs="宋体"/>
          <w:color w:val="auto"/>
          <w:spacing w:val="15"/>
          <w:sz w:val="24"/>
          <w:szCs w:val="24"/>
          <w:highlight w:val="none"/>
        </w:rPr>
        <w:t xml:space="preserve"> </w:t>
      </w:r>
      <w:r>
        <w:rPr>
          <w:rFonts w:ascii="宋体" w:hAnsi="宋体" w:eastAsia="宋体" w:cs="宋体"/>
          <w:b/>
          <w:bCs/>
          <w:color w:val="auto"/>
          <w:spacing w:val="-6"/>
          <w:sz w:val="24"/>
          <w:szCs w:val="24"/>
          <w:highlight w:val="none"/>
        </w:rPr>
        <w:t>工程条件</w:t>
      </w:r>
    </w:p>
    <w:p w14:paraId="70D1F383">
      <w:pPr>
        <w:spacing w:before="197" w:line="426" w:lineRule="auto"/>
        <w:ind w:left="21" w:right="13" w:firstLine="47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一次系统采用发电机-变压器组单元接线，经主变升压至</w:t>
      </w:r>
      <w:r>
        <w:rPr>
          <w:rFonts w:ascii="宋体" w:hAnsi="宋体" w:eastAsia="宋体" w:cs="宋体"/>
          <w:color w:val="auto"/>
          <w:spacing w:val="-33"/>
          <w:sz w:val="20"/>
          <w:szCs w:val="20"/>
          <w:highlight w:val="none"/>
        </w:rPr>
        <w:t xml:space="preserve"> </w:t>
      </w:r>
      <w:r>
        <w:rPr>
          <w:rFonts w:ascii="宋体" w:hAnsi="宋体" w:eastAsia="宋体" w:cs="宋体"/>
          <w:color w:val="auto"/>
          <w:spacing w:val="7"/>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36"/>
          <w:sz w:val="20"/>
          <w:szCs w:val="20"/>
          <w:highlight w:val="none"/>
        </w:rPr>
        <w:t xml:space="preserve"> </w:t>
      </w:r>
      <w:r>
        <w:rPr>
          <w:rFonts w:ascii="宋体" w:hAnsi="宋体" w:eastAsia="宋体" w:cs="宋体"/>
          <w:color w:val="auto"/>
          <w:spacing w:val="7"/>
          <w:sz w:val="20"/>
          <w:szCs w:val="20"/>
          <w:highlight w:val="none"/>
        </w:rPr>
        <w:t>后接入</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50</w:t>
      </w:r>
      <w:r>
        <w:rPr>
          <w:rFonts w:ascii="宋体" w:hAnsi="宋体" w:eastAsia="宋体" w:cs="宋体"/>
          <w:color w:val="auto"/>
          <w:spacing w:val="6"/>
          <w:sz w:val="20"/>
          <w:szCs w:val="20"/>
          <w:highlight w:val="none"/>
        </w:rPr>
        <w:t>0</w:t>
      </w:r>
      <w:r>
        <w:rPr>
          <w:rFonts w:ascii="宋体" w:hAnsi="宋体" w:eastAsia="宋体" w:cs="宋体"/>
          <w:color w:val="auto"/>
          <w:sz w:val="20"/>
          <w:szCs w:val="20"/>
          <w:highlight w:val="none"/>
        </w:rPr>
        <w:t>kV</w:t>
      </w:r>
      <w:r>
        <w:rPr>
          <w:rFonts w:ascii="宋体" w:hAnsi="宋体" w:eastAsia="宋体" w:cs="宋体"/>
          <w:color w:val="auto"/>
          <w:spacing w:val="-36"/>
          <w:sz w:val="20"/>
          <w:szCs w:val="20"/>
          <w:highlight w:val="none"/>
        </w:rPr>
        <w:t xml:space="preserve"> </w:t>
      </w:r>
      <w:r>
        <w:rPr>
          <w:rFonts w:ascii="宋体" w:hAnsi="宋体" w:eastAsia="宋体" w:cs="宋体"/>
          <w:color w:val="auto"/>
          <w:spacing w:val="6"/>
          <w:sz w:val="20"/>
          <w:szCs w:val="20"/>
          <w:highlight w:val="none"/>
        </w:rPr>
        <w:t>升压站，</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升压站采用二分之三接线方式。发电机出口不设断路器，发电机与主变压器采用全连式离相</w:t>
      </w:r>
      <w:r>
        <w:rPr>
          <w:rFonts w:ascii="宋体" w:hAnsi="宋体" w:eastAsia="宋体" w:cs="宋体"/>
          <w:color w:val="auto"/>
          <w:spacing w:val="15"/>
          <w:sz w:val="20"/>
          <w:szCs w:val="20"/>
          <w:highlight w:val="none"/>
        </w:rPr>
        <w:t xml:space="preserve"> </w:t>
      </w:r>
      <w:r>
        <w:rPr>
          <w:rFonts w:ascii="宋体" w:hAnsi="宋体" w:eastAsia="宋体" w:cs="宋体"/>
          <w:color w:val="auto"/>
          <w:spacing w:val="25"/>
          <w:sz w:val="20"/>
          <w:szCs w:val="20"/>
          <w:highlight w:val="none"/>
        </w:rPr>
        <w:t>封闭母线相连接</w:t>
      </w:r>
      <w:r>
        <w:rPr>
          <w:rFonts w:ascii="宋体" w:hAnsi="宋体" w:eastAsia="宋体" w:cs="宋体"/>
          <w:color w:val="auto"/>
          <w:spacing w:val="-41"/>
          <w:sz w:val="20"/>
          <w:szCs w:val="20"/>
          <w:highlight w:val="none"/>
        </w:rPr>
        <w:t xml:space="preserve"> </w:t>
      </w:r>
      <w:r>
        <w:rPr>
          <w:rFonts w:ascii="宋体" w:hAnsi="宋体" w:eastAsia="宋体" w:cs="宋体"/>
          <w:color w:val="auto"/>
          <w:spacing w:val="25"/>
          <w:sz w:val="20"/>
          <w:szCs w:val="20"/>
          <w:highlight w:val="none"/>
        </w:rPr>
        <w:t>。本工程共设置两台高压厂用变压器</w:t>
      </w:r>
      <w:r>
        <w:rPr>
          <w:rFonts w:ascii="宋体" w:hAnsi="宋体" w:eastAsia="宋体" w:cs="宋体"/>
          <w:color w:val="auto"/>
          <w:spacing w:val="-51"/>
          <w:sz w:val="20"/>
          <w:szCs w:val="20"/>
          <w:highlight w:val="none"/>
        </w:rPr>
        <w:t xml:space="preserve"> </w:t>
      </w:r>
      <w:r>
        <w:rPr>
          <w:rFonts w:ascii="宋体" w:hAnsi="宋体" w:eastAsia="宋体" w:cs="宋体"/>
          <w:color w:val="auto"/>
          <w:spacing w:val="25"/>
          <w:sz w:val="20"/>
          <w:szCs w:val="20"/>
          <w:highlight w:val="none"/>
        </w:rPr>
        <w:t>，其中一台为分裂变</w:t>
      </w:r>
      <w:r>
        <w:rPr>
          <w:rFonts w:ascii="宋体" w:hAnsi="宋体" w:eastAsia="宋体" w:cs="宋体"/>
          <w:color w:val="auto"/>
          <w:spacing w:val="-54"/>
          <w:sz w:val="20"/>
          <w:szCs w:val="20"/>
          <w:highlight w:val="none"/>
        </w:rPr>
        <w:t xml:space="preserve"> </w:t>
      </w:r>
      <w:r>
        <w:rPr>
          <w:rFonts w:ascii="宋体" w:hAnsi="宋体" w:eastAsia="宋体" w:cs="宋体"/>
          <w:color w:val="auto"/>
          <w:spacing w:val="25"/>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25"/>
          <w:sz w:val="20"/>
          <w:szCs w:val="20"/>
          <w:highlight w:val="none"/>
        </w:rPr>
        <w:t>容量为</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50/28-28</w:t>
      </w:r>
      <w:r>
        <w:rPr>
          <w:rFonts w:ascii="宋体" w:hAnsi="宋体" w:eastAsia="宋体" w:cs="宋体"/>
          <w:color w:val="auto"/>
          <w:sz w:val="20"/>
          <w:szCs w:val="20"/>
          <w:highlight w:val="none"/>
        </w:rPr>
        <w:t>MVA</w:t>
      </w:r>
      <w:r>
        <w:rPr>
          <w:rFonts w:ascii="宋体" w:hAnsi="宋体" w:eastAsia="宋体" w:cs="宋体"/>
          <w:color w:val="auto"/>
          <w:spacing w:val="11"/>
          <w:sz w:val="20"/>
          <w:szCs w:val="20"/>
          <w:highlight w:val="none"/>
        </w:rPr>
        <w:t>， 分裂变的两个低压侧各接一段</w:t>
      </w:r>
      <w:r>
        <w:rPr>
          <w:rFonts w:ascii="宋体" w:hAnsi="宋体" w:eastAsia="宋体" w:cs="宋体"/>
          <w:color w:val="auto"/>
          <w:spacing w:val="-20"/>
          <w:sz w:val="20"/>
          <w:szCs w:val="20"/>
          <w:highlight w:val="none"/>
        </w:rPr>
        <w:t xml:space="preserve"> </w:t>
      </w:r>
      <w:r>
        <w:rPr>
          <w:rFonts w:ascii="宋体" w:hAnsi="宋体" w:eastAsia="宋体" w:cs="宋体"/>
          <w:color w:val="auto"/>
          <w:spacing w:val="11"/>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33"/>
          <w:sz w:val="20"/>
          <w:szCs w:val="20"/>
          <w:highlight w:val="none"/>
        </w:rPr>
        <w:t xml:space="preserve"> </w:t>
      </w:r>
      <w:r>
        <w:rPr>
          <w:rFonts w:ascii="宋体" w:hAnsi="宋体" w:eastAsia="宋体" w:cs="宋体"/>
          <w:color w:val="auto"/>
          <w:spacing w:val="11"/>
          <w:sz w:val="20"/>
          <w:szCs w:val="20"/>
          <w:highlight w:val="none"/>
        </w:rPr>
        <w:t>厂用母线；另外一台为双卷变，容量为</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28</w:t>
      </w:r>
      <w:r>
        <w:rPr>
          <w:rFonts w:ascii="宋体" w:hAnsi="宋体" w:eastAsia="宋体" w:cs="宋体"/>
          <w:color w:val="auto"/>
          <w:sz w:val="20"/>
          <w:szCs w:val="20"/>
          <w:highlight w:val="none"/>
        </w:rPr>
        <w:t>MVA</w:t>
      </w:r>
      <w:r>
        <w:rPr>
          <w:rFonts w:ascii="宋体" w:hAnsi="宋体" w:eastAsia="宋体" w:cs="宋体"/>
          <w:color w:val="auto"/>
          <w:spacing w:val="10"/>
          <w:sz w:val="20"/>
          <w:szCs w:val="20"/>
          <w:highlight w:val="none"/>
        </w:rPr>
        <w:t>，双卷变的低压侧接一段</w:t>
      </w:r>
      <w:r>
        <w:rPr>
          <w:rFonts w:ascii="宋体" w:hAnsi="宋体" w:eastAsia="宋体" w:cs="宋体"/>
          <w:color w:val="auto"/>
          <w:spacing w:val="-37"/>
          <w:sz w:val="20"/>
          <w:szCs w:val="20"/>
          <w:highlight w:val="none"/>
        </w:rPr>
        <w:t xml:space="preserve"> </w:t>
      </w:r>
      <w:r>
        <w:rPr>
          <w:rFonts w:ascii="宋体" w:hAnsi="宋体" w:eastAsia="宋体" w:cs="宋体"/>
          <w:color w:val="auto"/>
          <w:spacing w:val="10"/>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38"/>
          <w:sz w:val="20"/>
          <w:szCs w:val="20"/>
          <w:highlight w:val="none"/>
        </w:rPr>
        <w:t xml:space="preserve"> </w:t>
      </w:r>
      <w:r>
        <w:rPr>
          <w:rFonts w:ascii="宋体" w:hAnsi="宋体" w:eastAsia="宋体" w:cs="宋体"/>
          <w:color w:val="auto"/>
          <w:spacing w:val="10"/>
          <w:sz w:val="20"/>
          <w:szCs w:val="20"/>
          <w:highlight w:val="none"/>
        </w:rPr>
        <w:t>厂用母线。</w:t>
      </w:r>
      <w:r>
        <w:rPr>
          <w:rFonts w:ascii="宋体" w:hAnsi="宋体" w:eastAsia="宋体" w:cs="宋体"/>
          <w:color w:val="auto"/>
          <w:spacing w:val="9"/>
          <w:sz w:val="20"/>
          <w:szCs w:val="20"/>
          <w:highlight w:val="none"/>
        </w:rPr>
        <w:t>此外，本工程设置一台高压启备变，容量为</w:t>
      </w:r>
    </w:p>
    <w:p w14:paraId="3509C2A2">
      <w:pPr>
        <w:spacing w:before="33"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50/25-25</w:t>
      </w:r>
      <w:r>
        <w:rPr>
          <w:rFonts w:ascii="宋体" w:hAnsi="宋体" w:eastAsia="宋体" w:cs="宋体"/>
          <w:color w:val="auto"/>
          <w:sz w:val="20"/>
          <w:szCs w:val="20"/>
          <w:highlight w:val="none"/>
        </w:rPr>
        <w:t>MVA</w:t>
      </w:r>
      <w:r>
        <w:rPr>
          <w:rFonts w:ascii="宋体" w:hAnsi="宋体" w:eastAsia="宋体" w:cs="宋体"/>
          <w:color w:val="auto"/>
          <w:spacing w:val="7"/>
          <w:sz w:val="20"/>
          <w:szCs w:val="20"/>
          <w:highlight w:val="none"/>
        </w:rPr>
        <w:t>，两个低压侧各接一段</w:t>
      </w:r>
      <w:r>
        <w:rPr>
          <w:rFonts w:ascii="宋体" w:hAnsi="宋体" w:eastAsia="宋体" w:cs="宋体"/>
          <w:color w:val="auto"/>
          <w:spacing w:val="-32"/>
          <w:sz w:val="20"/>
          <w:szCs w:val="20"/>
          <w:highlight w:val="none"/>
        </w:rPr>
        <w:t xml:space="preserve"> </w:t>
      </w:r>
      <w:r>
        <w:rPr>
          <w:rFonts w:ascii="宋体" w:hAnsi="宋体" w:eastAsia="宋体" w:cs="宋体"/>
          <w:color w:val="auto"/>
          <w:spacing w:val="7"/>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38"/>
          <w:sz w:val="20"/>
          <w:szCs w:val="20"/>
          <w:highlight w:val="none"/>
        </w:rPr>
        <w:t xml:space="preserve"> </w:t>
      </w:r>
      <w:r>
        <w:rPr>
          <w:rFonts w:ascii="宋体" w:hAnsi="宋体" w:eastAsia="宋体" w:cs="宋体"/>
          <w:color w:val="auto"/>
          <w:spacing w:val="7"/>
          <w:sz w:val="20"/>
          <w:szCs w:val="20"/>
          <w:highlight w:val="none"/>
        </w:rPr>
        <w:t>厂用母线。</w:t>
      </w:r>
    </w:p>
    <w:p w14:paraId="04E48125">
      <w:pPr>
        <w:spacing w:before="122" w:line="303" w:lineRule="auto"/>
        <w:ind w:left="3141" w:right="3835" w:hanging="245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发电机、变压器容量：发电机 660</w:t>
      </w:r>
      <w:r>
        <w:rPr>
          <w:rFonts w:ascii="宋体" w:hAnsi="宋体" w:eastAsia="宋体" w:cs="宋体"/>
          <w:color w:val="auto"/>
          <w:sz w:val="20"/>
          <w:szCs w:val="20"/>
          <w:highlight w:val="none"/>
        </w:rPr>
        <w:t>MW</w:t>
      </w:r>
      <w:r>
        <w:rPr>
          <w:rFonts w:ascii="宋体" w:hAnsi="宋体" w:eastAsia="宋体" w:cs="宋体"/>
          <w:color w:val="auto"/>
          <w:spacing w:val="9"/>
          <w:sz w:val="20"/>
          <w:szCs w:val="20"/>
          <w:highlight w:val="none"/>
        </w:rPr>
        <w:t xml:space="preserve"> </w:t>
      </w:r>
      <w:r>
        <w:rPr>
          <w:rFonts w:ascii="宋体" w:hAnsi="宋体" w:eastAsia="宋体" w:cs="宋体"/>
          <w:color w:val="auto"/>
          <w:spacing w:val="6"/>
          <w:sz w:val="20"/>
          <w:szCs w:val="20"/>
          <w:highlight w:val="none"/>
        </w:rPr>
        <w:t>变压器</w:t>
      </w:r>
      <w:r>
        <w:rPr>
          <w:rFonts w:ascii="宋体" w:hAnsi="宋体" w:eastAsia="宋体" w:cs="宋体"/>
          <w:color w:val="auto"/>
          <w:spacing w:val="19"/>
          <w:sz w:val="20"/>
          <w:szCs w:val="20"/>
          <w:highlight w:val="none"/>
        </w:rPr>
        <w:t xml:space="preserve"> </w:t>
      </w:r>
      <w:r>
        <w:rPr>
          <w:rFonts w:ascii="宋体" w:hAnsi="宋体" w:eastAsia="宋体" w:cs="宋体"/>
          <w:color w:val="auto"/>
          <w:spacing w:val="6"/>
          <w:sz w:val="20"/>
          <w:szCs w:val="20"/>
          <w:highlight w:val="none"/>
        </w:rPr>
        <w:t>792</w:t>
      </w:r>
      <w:r>
        <w:rPr>
          <w:rFonts w:ascii="宋体" w:hAnsi="宋体" w:eastAsia="宋体" w:cs="宋体"/>
          <w:color w:val="auto"/>
          <w:sz w:val="20"/>
          <w:szCs w:val="20"/>
          <w:highlight w:val="none"/>
        </w:rPr>
        <w:t>MVA</w:t>
      </w:r>
    </w:p>
    <w:p w14:paraId="31B848F4">
      <w:pPr>
        <w:spacing w:before="162" w:line="302" w:lineRule="auto"/>
        <w:ind w:left="2185" w:right="4421" w:hanging="1515"/>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2)  系统电压：主变高压侧</w:t>
      </w:r>
      <w:r>
        <w:rPr>
          <w:rFonts w:ascii="宋体" w:hAnsi="宋体" w:eastAsia="宋体" w:cs="宋体"/>
          <w:color w:val="auto"/>
          <w:spacing w:val="-47"/>
          <w:sz w:val="20"/>
          <w:szCs w:val="20"/>
          <w:highlight w:val="none"/>
        </w:rPr>
        <w:t xml:space="preserve"> </w:t>
      </w:r>
      <w:r>
        <w:rPr>
          <w:rFonts w:ascii="宋体" w:hAnsi="宋体" w:eastAsia="宋体" w:cs="宋体"/>
          <w:color w:val="auto"/>
          <w:spacing w:val="4"/>
          <w:sz w:val="20"/>
          <w:szCs w:val="20"/>
          <w:highlight w:val="none"/>
        </w:rPr>
        <w:t>:</w:t>
      </w:r>
      <w:r>
        <w:rPr>
          <w:rFonts w:ascii="宋体" w:hAnsi="宋体" w:eastAsia="宋体" w:cs="宋体"/>
          <w:color w:val="auto"/>
          <w:spacing w:val="16"/>
          <w:sz w:val="20"/>
          <w:szCs w:val="20"/>
          <w:highlight w:val="none"/>
        </w:rPr>
        <w:t xml:space="preserve"> </w:t>
      </w:r>
      <w:r>
        <w:rPr>
          <w:rFonts w:ascii="宋体" w:hAnsi="宋体" w:eastAsia="宋体" w:cs="宋体"/>
          <w:color w:val="auto"/>
          <w:spacing w:val="4"/>
          <w:sz w:val="20"/>
          <w:szCs w:val="20"/>
          <w:highlight w:val="none"/>
        </w:rPr>
        <w:t>525</w:t>
      </w:r>
      <w:r>
        <w:rPr>
          <w:rFonts w:ascii="宋体" w:hAnsi="宋体" w:eastAsia="宋体" w:cs="宋体"/>
          <w:color w:val="auto"/>
          <w:sz w:val="20"/>
          <w:szCs w:val="20"/>
          <w:highlight w:val="none"/>
        </w:rPr>
        <w:t>kV 发电机侧</w:t>
      </w:r>
      <w:r>
        <w:rPr>
          <w:rFonts w:ascii="宋体" w:hAnsi="宋体" w:eastAsia="宋体" w:cs="宋体"/>
          <w:color w:val="auto"/>
          <w:spacing w:val="-58"/>
          <w:sz w:val="20"/>
          <w:szCs w:val="20"/>
          <w:highlight w:val="none"/>
        </w:rPr>
        <w:t xml:space="preserve"> </w:t>
      </w:r>
      <w:r>
        <w:rPr>
          <w:rFonts w:ascii="宋体" w:hAnsi="宋体" w:eastAsia="宋体" w:cs="宋体"/>
          <w:color w:val="auto"/>
          <w:sz w:val="20"/>
          <w:szCs w:val="20"/>
          <w:highlight w:val="none"/>
        </w:rPr>
        <w:t>:</w:t>
      </w:r>
      <w:r>
        <w:rPr>
          <w:rFonts w:ascii="宋体" w:hAnsi="宋体" w:eastAsia="宋体" w:cs="宋体"/>
          <w:color w:val="auto"/>
          <w:spacing w:val="10"/>
          <w:sz w:val="20"/>
          <w:szCs w:val="20"/>
          <w:highlight w:val="none"/>
        </w:rPr>
        <w:t xml:space="preserve">  </w:t>
      </w:r>
      <w:r>
        <w:rPr>
          <w:rFonts w:ascii="宋体" w:hAnsi="宋体" w:eastAsia="宋体" w:cs="宋体"/>
          <w:color w:val="auto"/>
          <w:sz w:val="20"/>
          <w:szCs w:val="20"/>
          <w:highlight w:val="none"/>
        </w:rPr>
        <w:t>22kV</w:t>
      </w:r>
    </w:p>
    <w:p w14:paraId="70C70A14">
      <w:pPr>
        <w:spacing w:before="163" w:line="228" w:lineRule="auto"/>
        <w:ind w:left="67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  变压器接线组别：</w:t>
      </w:r>
      <w:r>
        <w:rPr>
          <w:rFonts w:ascii="宋体" w:hAnsi="宋体" w:eastAsia="宋体" w:cs="宋体"/>
          <w:color w:val="auto"/>
          <w:sz w:val="20"/>
          <w:szCs w:val="20"/>
          <w:highlight w:val="none"/>
        </w:rPr>
        <w:t>YNd</w:t>
      </w:r>
      <w:r>
        <w:rPr>
          <w:rFonts w:ascii="宋体" w:hAnsi="宋体" w:eastAsia="宋体" w:cs="宋体"/>
          <w:color w:val="auto"/>
          <w:spacing w:val="8"/>
          <w:sz w:val="20"/>
          <w:szCs w:val="20"/>
          <w:highlight w:val="none"/>
        </w:rPr>
        <w:t>11</w:t>
      </w:r>
    </w:p>
    <w:p w14:paraId="10E2CFE7">
      <w:pPr>
        <w:spacing w:before="160" w:line="227" w:lineRule="auto"/>
        <w:ind w:left="66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  励磁方式：机端自并励</w:t>
      </w:r>
    </w:p>
    <w:p w14:paraId="49BCD0B8">
      <w:pPr>
        <w:spacing w:before="165" w:line="227" w:lineRule="auto"/>
        <w:ind w:left="67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5)  发电机出口开关（</w:t>
      </w:r>
      <w:r>
        <w:rPr>
          <w:rFonts w:ascii="宋体" w:hAnsi="宋体" w:eastAsia="宋体" w:cs="宋体"/>
          <w:color w:val="auto"/>
          <w:sz w:val="20"/>
          <w:szCs w:val="20"/>
          <w:highlight w:val="none"/>
        </w:rPr>
        <w:t>GCB</w:t>
      </w:r>
      <w:r>
        <w:rPr>
          <w:rFonts w:ascii="宋体" w:hAnsi="宋体" w:eastAsia="宋体" w:cs="宋体"/>
          <w:color w:val="auto"/>
          <w:spacing w:val="-33"/>
          <w:sz w:val="20"/>
          <w:szCs w:val="20"/>
          <w:highlight w:val="none"/>
        </w:rPr>
        <w:t>）：</w:t>
      </w:r>
      <w:r>
        <w:rPr>
          <w:rFonts w:ascii="宋体" w:hAnsi="宋体" w:eastAsia="宋体" w:cs="宋体"/>
          <w:color w:val="auto"/>
          <w:spacing w:val="7"/>
          <w:sz w:val="20"/>
          <w:szCs w:val="20"/>
          <w:highlight w:val="none"/>
        </w:rPr>
        <w:t>无</w:t>
      </w:r>
    </w:p>
    <w:p w14:paraId="3F11B394">
      <w:pPr>
        <w:spacing w:before="162" w:line="302" w:lineRule="auto"/>
        <w:ind w:left="2627" w:right="4452" w:hanging="195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  高压厂变电压：高压侧:22</w:t>
      </w:r>
      <w:r>
        <w:rPr>
          <w:rFonts w:ascii="宋体" w:hAnsi="宋体" w:eastAsia="宋体" w:cs="宋体"/>
          <w:color w:val="auto"/>
          <w:sz w:val="20"/>
          <w:szCs w:val="20"/>
          <w:highlight w:val="none"/>
        </w:rPr>
        <w:t>kV</w:t>
      </w:r>
      <w:r>
        <w:rPr>
          <w:rFonts w:ascii="宋体" w:hAnsi="宋体" w:eastAsia="宋体" w:cs="宋体"/>
          <w:color w:val="auto"/>
          <w:spacing w:val="7"/>
          <w:sz w:val="20"/>
          <w:szCs w:val="20"/>
          <w:highlight w:val="none"/>
        </w:rPr>
        <w:t xml:space="preserve">  低压侧:6.3</w:t>
      </w:r>
      <w:r>
        <w:rPr>
          <w:rFonts w:ascii="宋体" w:hAnsi="宋体" w:eastAsia="宋体" w:cs="宋体"/>
          <w:color w:val="auto"/>
          <w:sz w:val="20"/>
          <w:szCs w:val="20"/>
          <w:highlight w:val="none"/>
        </w:rPr>
        <w:t>kV</w:t>
      </w:r>
    </w:p>
    <w:p w14:paraId="4211C13A">
      <w:pPr>
        <w:spacing w:before="162" w:line="223" w:lineRule="auto"/>
        <w:ind w:left="67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7)  高压厂变接线组别：</w:t>
      </w:r>
      <w:r>
        <w:rPr>
          <w:rFonts w:ascii="宋体" w:hAnsi="宋体" w:eastAsia="宋体" w:cs="宋体"/>
          <w:color w:val="auto"/>
          <w:sz w:val="20"/>
          <w:szCs w:val="20"/>
          <w:highlight w:val="none"/>
        </w:rPr>
        <w:t>D</w:t>
      </w:r>
      <w:r>
        <w:rPr>
          <w:rFonts w:ascii="宋体" w:hAnsi="宋体" w:eastAsia="宋体" w:cs="宋体"/>
          <w:color w:val="auto"/>
          <w:spacing w:val="7"/>
          <w:sz w:val="20"/>
          <w:szCs w:val="20"/>
          <w:highlight w:val="none"/>
        </w:rPr>
        <w:t xml:space="preserve"> </w:t>
      </w:r>
      <w:r>
        <w:rPr>
          <w:rFonts w:ascii="宋体" w:hAnsi="宋体" w:eastAsia="宋体" w:cs="宋体"/>
          <w:color w:val="auto"/>
          <w:sz w:val="20"/>
          <w:szCs w:val="20"/>
          <w:highlight w:val="none"/>
        </w:rPr>
        <w:t>yn</w:t>
      </w:r>
      <w:r>
        <w:rPr>
          <w:rFonts w:ascii="宋体" w:hAnsi="宋体" w:eastAsia="宋体" w:cs="宋体"/>
          <w:color w:val="auto"/>
          <w:spacing w:val="7"/>
          <w:sz w:val="20"/>
          <w:szCs w:val="20"/>
          <w:highlight w:val="none"/>
        </w:rPr>
        <w:t>1-</w:t>
      </w:r>
      <w:r>
        <w:rPr>
          <w:rFonts w:ascii="宋体" w:hAnsi="宋体" w:eastAsia="宋体" w:cs="宋体"/>
          <w:color w:val="auto"/>
          <w:sz w:val="20"/>
          <w:szCs w:val="20"/>
          <w:highlight w:val="none"/>
        </w:rPr>
        <w:t>yn</w:t>
      </w:r>
      <w:r>
        <w:rPr>
          <w:rFonts w:ascii="宋体" w:hAnsi="宋体" w:eastAsia="宋体" w:cs="宋体"/>
          <w:color w:val="auto"/>
          <w:spacing w:val="7"/>
          <w:sz w:val="20"/>
          <w:szCs w:val="20"/>
          <w:highlight w:val="none"/>
        </w:rPr>
        <w:t>1</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和</w:t>
      </w:r>
      <w:r>
        <w:rPr>
          <w:rFonts w:ascii="宋体" w:hAnsi="宋体" w:eastAsia="宋体" w:cs="宋体"/>
          <w:color w:val="auto"/>
          <w:spacing w:val="-44"/>
          <w:sz w:val="20"/>
          <w:szCs w:val="20"/>
          <w:highlight w:val="none"/>
        </w:rPr>
        <w:t xml:space="preserve"> </w:t>
      </w:r>
      <w:r>
        <w:rPr>
          <w:rFonts w:ascii="宋体" w:hAnsi="宋体" w:eastAsia="宋体" w:cs="宋体"/>
          <w:color w:val="auto"/>
          <w:sz w:val="20"/>
          <w:szCs w:val="20"/>
          <w:highlight w:val="none"/>
        </w:rPr>
        <w:t>Dyn</w:t>
      </w:r>
      <w:r>
        <w:rPr>
          <w:rFonts w:ascii="宋体" w:hAnsi="宋体" w:eastAsia="宋体" w:cs="宋体"/>
          <w:color w:val="auto"/>
          <w:spacing w:val="7"/>
          <w:sz w:val="20"/>
          <w:szCs w:val="20"/>
          <w:highlight w:val="none"/>
        </w:rPr>
        <w:t>1。</w:t>
      </w:r>
    </w:p>
    <w:p w14:paraId="2BC6B7AE">
      <w:pPr>
        <w:spacing w:before="168" w:line="228" w:lineRule="auto"/>
        <w:ind w:left="66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8)  高压厂变容量：50</w:t>
      </w:r>
      <w:r>
        <w:rPr>
          <w:rFonts w:ascii="宋体" w:hAnsi="宋体" w:eastAsia="宋体" w:cs="宋体"/>
          <w:color w:val="auto"/>
          <w:sz w:val="20"/>
          <w:szCs w:val="20"/>
          <w:highlight w:val="none"/>
        </w:rPr>
        <w:t>MVA</w:t>
      </w:r>
      <w:r>
        <w:rPr>
          <w:rFonts w:ascii="宋体" w:hAnsi="宋体" w:eastAsia="宋体" w:cs="宋体"/>
          <w:color w:val="auto"/>
          <w:spacing w:val="-39"/>
          <w:sz w:val="20"/>
          <w:szCs w:val="20"/>
          <w:highlight w:val="none"/>
        </w:rPr>
        <w:t xml:space="preserve"> </w:t>
      </w:r>
      <w:r>
        <w:rPr>
          <w:rFonts w:ascii="宋体" w:hAnsi="宋体" w:eastAsia="宋体" w:cs="宋体"/>
          <w:color w:val="auto"/>
          <w:spacing w:val="7"/>
          <w:sz w:val="20"/>
          <w:szCs w:val="20"/>
          <w:highlight w:val="none"/>
        </w:rPr>
        <w:t>和</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28</w:t>
      </w:r>
      <w:r>
        <w:rPr>
          <w:rFonts w:ascii="宋体" w:hAnsi="宋体" w:eastAsia="宋体" w:cs="宋体"/>
          <w:color w:val="auto"/>
          <w:sz w:val="20"/>
          <w:szCs w:val="20"/>
          <w:highlight w:val="none"/>
        </w:rPr>
        <w:t>MVA</w:t>
      </w:r>
      <w:r>
        <w:rPr>
          <w:rFonts w:ascii="宋体" w:hAnsi="宋体" w:eastAsia="宋体" w:cs="宋体"/>
          <w:color w:val="auto"/>
          <w:spacing w:val="7"/>
          <w:sz w:val="20"/>
          <w:szCs w:val="20"/>
          <w:highlight w:val="none"/>
        </w:rPr>
        <w:t>。</w:t>
      </w:r>
    </w:p>
    <w:p w14:paraId="2D3E1654">
      <w:pPr>
        <w:spacing w:before="161" w:line="228" w:lineRule="auto"/>
        <w:ind w:left="668"/>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9)  高压厂变接地方式： 6.3</w:t>
      </w:r>
      <w:r>
        <w:rPr>
          <w:rFonts w:ascii="宋体" w:hAnsi="宋体" w:eastAsia="宋体" w:cs="宋体"/>
          <w:color w:val="auto"/>
          <w:spacing w:val="13"/>
          <w:sz w:val="20"/>
          <w:szCs w:val="20"/>
          <w:highlight w:val="none"/>
        </w:rPr>
        <w:t xml:space="preserve"> </w:t>
      </w:r>
      <w:r>
        <w:rPr>
          <w:rFonts w:ascii="宋体" w:hAnsi="宋体" w:eastAsia="宋体" w:cs="宋体"/>
          <w:color w:val="auto"/>
          <w:sz w:val="20"/>
          <w:szCs w:val="20"/>
          <w:highlight w:val="none"/>
        </w:rPr>
        <w:t>kV</w:t>
      </w:r>
      <w:r>
        <w:rPr>
          <w:rFonts w:ascii="宋体" w:hAnsi="宋体" w:eastAsia="宋体" w:cs="宋体"/>
          <w:color w:val="auto"/>
          <w:spacing w:val="-21"/>
          <w:sz w:val="20"/>
          <w:szCs w:val="20"/>
          <w:highlight w:val="none"/>
        </w:rPr>
        <w:t xml:space="preserve"> </w:t>
      </w:r>
      <w:r>
        <w:rPr>
          <w:rFonts w:ascii="宋体" w:hAnsi="宋体" w:eastAsia="宋体" w:cs="宋体"/>
          <w:color w:val="auto"/>
          <w:spacing w:val="6"/>
          <w:sz w:val="20"/>
          <w:szCs w:val="20"/>
          <w:highlight w:val="none"/>
        </w:rPr>
        <w:t>中性点接地电阻</w:t>
      </w:r>
      <w:r>
        <w:rPr>
          <w:rFonts w:ascii="宋体" w:hAnsi="宋体" w:eastAsia="宋体" w:cs="宋体"/>
          <w:color w:val="auto"/>
          <w:spacing w:val="15"/>
          <w:sz w:val="20"/>
          <w:szCs w:val="20"/>
          <w:highlight w:val="none"/>
        </w:rPr>
        <w:t xml:space="preserve"> </w:t>
      </w:r>
      <w:r>
        <w:rPr>
          <w:rFonts w:ascii="宋体" w:hAnsi="宋体" w:eastAsia="宋体" w:cs="宋体"/>
          <w:color w:val="auto"/>
          <w:spacing w:val="6"/>
          <w:sz w:val="20"/>
          <w:szCs w:val="20"/>
          <w:highlight w:val="none"/>
        </w:rPr>
        <w:t>6.07</w:t>
      </w:r>
      <w:r>
        <w:rPr>
          <w:rFonts w:ascii="宋体" w:hAnsi="宋体" w:eastAsia="宋体" w:cs="宋体"/>
          <w:color w:val="auto"/>
          <w:spacing w:val="54"/>
          <w:sz w:val="20"/>
          <w:szCs w:val="20"/>
          <w:highlight w:val="none"/>
        </w:rPr>
        <w:t xml:space="preserve"> </w:t>
      </w:r>
      <w:r>
        <w:rPr>
          <w:rFonts w:ascii="宋体" w:hAnsi="宋体" w:eastAsia="宋体" w:cs="宋体"/>
          <w:color w:val="auto"/>
          <w:spacing w:val="6"/>
          <w:sz w:val="20"/>
          <w:szCs w:val="20"/>
          <w:highlight w:val="none"/>
        </w:rPr>
        <w:t>Ω</w:t>
      </w:r>
    </w:p>
    <w:p w14:paraId="67A65CE8">
      <w:pPr>
        <w:spacing w:line="228" w:lineRule="auto"/>
        <w:rPr>
          <w:rFonts w:ascii="宋体" w:hAnsi="宋体" w:eastAsia="宋体" w:cs="宋体"/>
          <w:color w:val="auto"/>
          <w:sz w:val="20"/>
          <w:szCs w:val="20"/>
          <w:highlight w:val="none"/>
        </w:rPr>
        <w:sectPr>
          <w:pgSz w:w="11906" w:h="16839"/>
          <w:pgMar w:top="1431" w:right="1785" w:bottom="0" w:left="1785" w:header="0" w:footer="0" w:gutter="0"/>
          <w:pgBorders>
            <w:top w:val="none" w:sz="0" w:space="0"/>
            <w:left w:val="none" w:sz="0" w:space="0"/>
            <w:bottom w:val="none" w:sz="0" w:space="0"/>
            <w:right w:val="none" w:sz="0" w:space="0"/>
          </w:pgBorders>
          <w:cols w:space="720" w:num="1"/>
        </w:sectPr>
      </w:pPr>
    </w:p>
    <w:p w14:paraId="7ED81A06">
      <w:pPr>
        <w:spacing w:before="41" w:line="228" w:lineRule="auto"/>
        <w:ind w:left="68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10) 励磁变电压：高压侧:22</w:t>
      </w:r>
      <w:r>
        <w:rPr>
          <w:rFonts w:ascii="宋体" w:hAnsi="宋体" w:eastAsia="宋体" w:cs="宋体"/>
          <w:color w:val="auto"/>
          <w:sz w:val="20"/>
          <w:szCs w:val="20"/>
          <w:highlight w:val="none"/>
        </w:rPr>
        <w:t>kV</w:t>
      </w:r>
    </w:p>
    <w:p w14:paraId="033DEEC9">
      <w:pPr>
        <w:spacing w:before="161" w:line="228" w:lineRule="auto"/>
        <w:ind w:left="241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低压侧:0.86</w:t>
      </w:r>
      <w:r>
        <w:rPr>
          <w:rFonts w:ascii="宋体" w:hAnsi="宋体" w:eastAsia="宋体" w:cs="宋体"/>
          <w:color w:val="auto"/>
          <w:sz w:val="20"/>
          <w:szCs w:val="20"/>
          <w:highlight w:val="none"/>
        </w:rPr>
        <w:t>kV</w:t>
      </w:r>
    </w:p>
    <w:p w14:paraId="34D99C7F">
      <w:pPr>
        <w:spacing w:before="163" w:line="228" w:lineRule="auto"/>
        <w:ind w:left="68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11) 励磁变接线组别：</w:t>
      </w:r>
      <w:r>
        <w:rPr>
          <w:rFonts w:ascii="宋体" w:hAnsi="宋体" w:eastAsia="宋体" w:cs="宋体"/>
          <w:color w:val="auto"/>
          <w:sz w:val="20"/>
          <w:szCs w:val="20"/>
          <w:highlight w:val="none"/>
        </w:rPr>
        <w:t>Yd</w:t>
      </w:r>
      <w:r>
        <w:rPr>
          <w:rFonts w:ascii="宋体" w:hAnsi="宋体" w:eastAsia="宋体" w:cs="宋体"/>
          <w:color w:val="auto"/>
          <w:spacing w:val="6"/>
          <w:sz w:val="20"/>
          <w:szCs w:val="20"/>
          <w:highlight w:val="none"/>
        </w:rPr>
        <w:t>11。</w:t>
      </w:r>
    </w:p>
    <w:p w14:paraId="18F65E3F">
      <w:pPr>
        <w:spacing w:before="161" w:line="228" w:lineRule="auto"/>
        <w:ind w:left="68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12) 励磁变容量：6.6</w:t>
      </w:r>
      <w:r>
        <w:rPr>
          <w:rFonts w:ascii="宋体" w:hAnsi="宋体" w:eastAsia="宋体" w:cs="宋体"/>
          <w:color w:val="auto"/>
          <w:sz w:val="20"/>
          <w:szCs w:val="20"/>
          <w:highlight w:val="none"/>
        </w:rPr>
        <w:t>MVA</w:t>
      </w:r>
      <w:r>
        <w:rPr>
          <w:rFonts w:ascii="宋体" w:hAnsi="宋体" w:eastAsia="宋体" w:cs="宋体"/>
          <w:color w:val="auto"/>
          <w:spacing w:val="6"/>
          <w:sz w:val="20"/>
          <w:szCs w:val="20"/>
          <w:highlight w:val="none"/>
        </w:rPr>
        <w:t>。</w:t>
      </w:r>
    </w:p>
    <w:p w14:paraId="20D7C6BE">
      <w:pPr>
        <w:spacing w:before="161" w:line="302" w:lineRule="auto"/>
        <w:ind w:left="2749" w:right="4104" w:hanging="206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 xml:space="preserve">13) 高压启备变电压：高压侧：525 </w:t>
      </w:r>
      <w:r>
        <w:rPr>
          <w:rFonts w:ascii="宋体" w:hAnsi="宋体" w:eastAsia="宋体" w:cs="宋体"/>
          <w:color w:val="auto"/>
          <w:sz w:val="20"/>
          <w:szCs w:val="20"/>
          <w:highlight w:val="none"/>
        </w:rPr>
        <w:t>kV</w:t>
      </w:r>
      <w:r>
        <w:rPr>
          <w:rFonts w:ascii="宋体" w:hAnsi="宋体" w:eastAsia="宋体" w:cs="宋体"/>
          <w:color w:val="auto"/>
          <w:spacing w:val="5"/>
          <w:sz w:val="20"/>
          <w:szCs w:val="20"/>
          <w:highlight w:val="none"/>
        </w:rPr>
        <w:t xml:space="preserve"> </w:t>
      </w:r>
      <w:r>
        <w:rPr>
          <w:rFonts w:ascii="宋体" w:hAnsi="宋体" w:eastAsia="宋体" w:cs="宋体"/>
          <w:color w:val="auto"/>
          <w:spacing w:val="7"/>
          <w:sz w:val="20"/>
          <w:szCs w:val="20"/>
          <w:highlight w:val="none"/>
        </w:rPr>
        <w:t xml:space="preserve">低压侧：6.3 </w:t>
      </w:r>
      <w:r>
        <w:rPr>
          <w:rFonts w:ascii="宋体" w:hAnsi="宋体" w:eastAsia="宋体" w:cs="宋体"/>
          <w:color w:val="auto"/>
          <w:sz w:val="20"/>
          <w:szCs w:val="20"/>
          <w:highlight w:val="none"/>
        </w:rPr>
        <w:t>kV</w:t>
      </w:r>
    </w:p>
    <w:p w14:paraId="46FA875A">
      <w:pPr>
        <w:spacing w:before="164" w:line="223" w:lineRule="auto"/>
        <w:ind w:left="68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14) 高压启备变接线组别：</w:t>
      </w:r>
      <w:r>
        <w:rPr>
          <w:rFonts w:ascii="宋体" w:hAnsi="宋体" w:eastAsia="宋体" w:cs="宋体"/>
          <w:color w:val="auto"/>
          <w:sz w:val="20"/>
          <w:szCs w:val="20"/>
          <w:highlight w:val="none"/>
        </w:rPr>
        <w:t>YNyn</w:t>
      </w:r>
      <w:r>
        <w:rPr>
          <w:rFonts w:ascii="宋体" w:hAnsi="宋体" w:eastAsia="宋体" w:cs="宋体"/>
          <w:color w:val="auto"/>
          <w:spacing w:val="8"/>
          <w:sz w:val="20"/>
          <w:szCs w:val="20"/>
          <w:highlight w:val="none"/>
        </w:rPr>
        <w:t>0</w:t>
      </w:r>
      <w:r>
        <w:rPr>
          <w:rFonts w:ascii="宋体" w:hAnsi="宋体" w:eastAsia="宋体" w:cs="宋体"/>
          <w:color w:val="auto"/>
          <w:sz w:val="20"/>
          <w:szCs w:val="20"/>
          <w:highlight w:val="none"/>
        </w:rPr>
        <w:t>yn</w:t>
      </w:r>
      <w:r>
        <w:rPr>
          <w:rFonts w:ascii="宋体" w:hAnsi="宋体" w:eastAsia="宋体" w:cs="宋体"/>
          <w:color w:val="auto"/>
          <w:spacing w:val="8"/>
          <w:sz w:val="20"/>
          <w:szCs w:val="20"/>
          <w:highlight w:val="none"/>
        </w:rPr>
        <w:t>0+d</w:t>
      </w:r>
    </w:p>
    <w:p w14:paraId="5B8C8B9E">
      <w:pPr>
        <w:spacing w:before="165" w:line="228" w:lineRule="auto"/>
        <w:ind w:left="68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15) 高压启备变容量：</w:t>
      </w:r>
      <w:r>
        <w:rPr>
          <w:rFonts w:ascii="宋体" w:hAnsi="宋体" w:eastAsia="宋体" w:cs="宋体"/>
          <w:color w:val="auto"/>
          <w:spacing w:val="12"/>
          <w:sz w:val="20"/>
          <w:szCs w:val="20"/>
          <w:highlight w:val="none"/>
        </w:rPr>
        <w:t xml:space="preserve">  </w:t>
      </w:r>
      <w:r>
        <w:rPr>
          <w:rFonts w:ascii="宋体" w:hAnsi="宋体" w:eastAsia="宋体" w:cs="宋体"/>
          <w:color w:val="auto"/>
          <w:spacing w:val="5"/>
          <w:sz w:val="20"/>
          <w:szCs w:val="20"/>
          <w:highlight w:val="none"/>
        </w:rPr>
        <w:t>50</w:t>
      </w:r>
      <w:r>
        <w:rPr>
          <w:rFonts w:ascii="宋体" w:hAnsi="宋体" w:eastAsia="宋体" w:cs="宋体"/>
          <w:color w:val="auto"/>
          <w:sz w:val="20"/>
          <w:szCs w:val="20"/>
          <w:highlight w:val="none"/>
        </w:rPr>
        <w:t>MVA</w:t>
      </w:r>
    </w:p>
    <w:p w14:paraId="6F3D3F2C">
      <w:pPr>
        <w:spacing w:before="161" w:line="228" w:lineRule="auto"/>
        <w:ind w:left="68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 xml:space="preserve">16) 高压启备变接地方式：6.3 </w:t>
      </w:r>
      <w:r>
        <w:rPr>
          <w:rFonts w:ascii="宋体" w:hAnsi="宋体" w:eastAsia="宋体" w:cs="宋体"/>
          <w:color w:val="auto"/>
          <w:sz w:val="20"/>
          <w:szCs w:val="20"/>
          <w:highlight w:val="none"/>
        </w:rPr>
        <w:t>kV</w:t>
      </w:r>
      <w:r>
        <w:rPr>
          <w:rFonts w:ascii="宋体" w:hAnsi="宋体" w:eastAsia="宋体" w:cs="宋体"/>
          <w:color w:val="auto"/>
          <w:spacing w:val="-14"/>
          <w:sz w:val="20"/>
          <w:szCs w:val="20"/>
          <w:highlight w:val="none"/>
        </w:rPr>
        <w:t xml:space="preserve"> </w:t>
      </w:r>
      <w:r>
        <w:rPr>
          <w:rFonts w:ascii="宋体" w:hAnsi="宋体" w:eastAsia="宋体" w:cs="宋体"/>
          <w:color w:val="auto"/>
          <w:spacing w:val="6"/>
          <w:sz w:val="20"/>
          <w:szCs w:val="20"/>
          <w:highlight w:val="none"/>
        </w:rPr>
        <w:t>中性点接地电阻 6.07</w:t>
      </w:r>
      <w:r>
        <w:rPr>
          <w:rFonts w:ascii="宋体" w:hAnsi="宋体" w:eastAsia="宋体" w:cs="宋体"/>
          <w:color w:val="auto"/>
          <w:spacing w:val="54"/>
          <w:sz w:val="20"/>
          <w:szCs w:val="20"/>
          <w:highlight w:val="none"/>
        </w:rPr>
        <w:t xml:space="preserve"> </w:t>
      </w:r>
      <w:r>
        <w:rPr>
          <w:rFonts w:ascii="宋体" w:hAnsi="宋体" w:eastAsia="宋体" w:cs="宋体"/>
          <w:color w:val="auto"/>
          <w:spacing w:val="6"/>
          <w:sz w:val="20"/>
          <w:szCs w:val="20"/>
          <w:highlight w:val="none"/>
        </w:rPr>
        <w:t>Ω</w:t>
      </w:r>
    </w:p>
    <w:p w14:paraId="37E204F9">
      <w:pPr>
        <w:spacing w:before="161" w:line="228" w:lineRule="auto"/>
        <w:ind w:left="68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17) 最大短路电流：    500</w:t>
      </w:r>
      <w:r>
        <w:rPr>
          <w:rFonts w:ascii="宋体" w:hAnsi="宋体" w:eastAsia="宋体" w:cs="宋体"/>
          <w:color w:val="auto"/>
          <w:sz w:val="20"/>
          <w:szCs w:val="20"/>
          <w:highlight w:val="none"/>
        </w:rPr>
        <w:t>kV</w:t>
      </w:r>
      <w:r>
        <w:rPr>
          <w:rFonts w:ascii="宋体" w:hAnsi="宋体" w:eastAsia="宋体" w:cs="宋体"/>
          <w:color w:val="auto"/>
          <w:spacing w:val="-25"/>
          <w:sz w:val="20"/>
          <w:szCs w:val="20"/>
          <w:highlight w:val="none"/>
        </w:rPr>
        <w:t xml:space="preserve"> </w:t>
      </w:r>
      <w:r>
        <w:rPr>
          <w:rFonts w:ascii="宋体" w:hAnsi="宋体" w:eastAsia="宋体" w:cs="宋体"/>
          <w:color w:val="auto"/>
          <w:spacing w:val="5"/>
          <w:sz w:val="20"/>
          <w:szCs w:val="20"/>
          <w:highlight w:val="none"/>
        </w:rPr>
        <w:t>侧：40.5</w:t>
      </w:r>
      <w:r>
        <w:rPr>
          <w:rFonts w:ascii="宋体" w:hAnsi="宋体" w:eastAsia="宋体" w:cs="宋体"/>
          <w:color w:val="auto"/>
          <w:sz w:val="20"/>
          <w:szCs w:val="20"/>
          <w:highlight w:val="none"/>
        </w:rPr>
        <w:t>kA</w:t>
      </w:r>
    </w:p>
    <w:p w14:paraId="758F45A4">
      <w:pPr>
        <w:spacing w:before="162" w:line="372" w:lineRule="auto"/>
        <w:ind w:left="2967" w:right="2702" w:hanging="2"/>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发电机出口侧：</w:t>
      </w:r>
      <w:r>
        <w:rPr>
          <w:rFonts w:ascii="宋体" w:hAnsi="宋体" w:eastAsia="宋体" w:cs="宋体"/>
          <w:color w:val="auto"/>
          <w:spacing w:val="20"/>
          <w:sz w:val="20"/>
          <w:szCs w:val="20"/>
          <w:highlight w:val="none"/>
        </w:rPr>
        <w:t xml:space="preserve">  </w:t>
      </w:r>
      <w:r>
        <w:rPr>
          <w:rFonts w:ascii="宋体" w:hAnsi="宋体" w:eastAsia="宋体" w:cs="宋体"/>
          <w:color w:val="auto"/>
          <w:spacing w:val="5"/>
          <w:sz w:val="20"/>
          <w:szCs w:val="20"/>
          <w:highlight w:val="none"/>
        </w:rPr>
        <w:t>222.08</w:t>
      </w:r>
      <w:r>
        <w:rPr>
          <w:rFonts w:ascii="宋体" w:hAnsi="宋体" w:eastAsia="宋体" w:cs="宋体"/>
          <w:color w:val="auto"/>
          <w:sz w:val="20"/>
          <w:szCs w:val="20"/>
          <w:highlight w:val="none"/>
        </w:rPr>
        <w:t xml:space="preserve">kA  </w:t>
      </w:r>
      <w:r>
        <w:rPr>
          <w:rFonts w:ascii="宋体" w:hAnsi="宋体" w:eastAsia="宋体" w:cs="宋体"/>
          <w:color w:val="auto"/>
          <w:spacing w:val="7"/>
          <w:sz w:val="20"/>
          <w:szCs w:val="20"/>
          <w:highlight w:val="none"/>
        </w:rPr>
        <w:t>高压厂变低压侧</w:t>
      </w:r>
      <w:r>
        <w:rPr>
          <w:rFonts w:ascii="宋体" w:hAnsi="宋体" w:eastAsia="宋体" w:cs="宋体"/>
          <w:color w:val="auto"/>
          <w:spacing w:val="-43"/>
          <w:sz w:val="20"/>
          <w:szCs w:val="20"/>
          <w:highlight w:val="none"/>
        </w:rPr>
        <w:t xml:space="preserve"> </w:t>
      </w:r>
      <w:r>
        <w:rPr>
          <w:rFonts w:ascii="宋体" w:hAnsi="宋体" w:eastAsia="宋体" w:cs="宋体"/>
          <w:color w:val="auto"/>
          <w:spacing w:val="7"/>
          <w:sz w:val="20"/>
          <w:szCs w:val="20"/>
          <w:highlight w:val="none"/>
        </w:rPr>
        <w:t xml:space="preserve">A：22.17 </w:t>
      </w:r>
      <w:r>
        <w:rPr>
          <w:rFonts w:ascii="宋体" w:hAnsi="宋体" w:eastAsia="宋体" w:cs="宋体"/>
          <w:color w:val="auto"/>
          <w:sz w:val="20"/>
          <w:szCs w:val="20"/>
          <w:highlight w:val="none"/>
        </w:rPr>
        <w:t xml:space="preserve">kA </w:t>
      </w:r>
      <w:r>
        <w:rPr>
          <w:rFonts w:ascii="宋体" w:hAnsi="宋体" w:eastAsia="宋体" w:cs="宋体"/>
          <w:color w:val="auto"/>
          <w:spacing w:val="7"/>
          <w:sz w:val="20"/>
          <w:szCs w:val="20"/>
          <w:highlight w:val="none"/>
        </w:rPr>
        <w:t>高压厂变低压侧</w:t>
      </w:r>
      <w:r>
        <w:rPr>
          <w:rFonts w:ascii="宋体" w:hAnsi="宋体" w:eastAsia="宋体" w:cs="宋体"/>
          <w:color w:val="auto"/>
          <w:spacing w:val="-42"/>
          <w:sz w:val="20"/>
          <w:szCs w:val="20"/>
          <w:highlight w:val="none"/>
        </w:rPr>
        <w:t xml:space="preserve"> </w:t>
      </w:r>
      <w:r>
        <w:rPr>
          <w:rFonts w:ascii="宋体" w:hAnsi="宋体" w:eastAsia="宋体" w:cs="宋体"/>
          <w:color w:val="auto"/>
          <w:spacing w:val="7"/>
          <w:sz w:val="20"/>
          <w:szCs w:val="20"/>
          <w:highlight w:val="none"/>
        </w:rPr>
        <w:t>B：22.17</w:t>
      </w:r>
      <w:r>
        <w:rPr>
          <w:rFonts w:ascii="宋体" w:hAnsi="宋体" w:eastAsia="宋体" w:cs="宋体"/>
          <w:color w:val="auto"/>
          <w:sz w:val="20"/>
          <w:szCs w:val="20"/>
          <w:highlight w:val="none"/>
        </w:rPr>
        <w:t xml:space="preserve">kA  </w:t>
      </w:r>
      <w:r>
        <w:rPr>
          <w:rFonts w:ascii="宋体" w:hAnsi="宋体" w:eastAsia="宋体" w:cs="宋体"/>
          <w:color w:val="auto"/>
          <w:spacing w:val="7"/>
          <w:sz w:val="20"/>
          <w:szCs w:val="20"/>
          <w:highlight w:val="none"/>
        </w:rPr>
        <w:t>高压厂变低压侧</w:t>
      </w:r>
      <w:r>
        <w:rPr>
          <w:rFonts w:ascii="宋体" w:hAnsi="宋体" w:eastAsia="宋体" w:cs="宋体"/>
          <w:color w:val="auto"/>
          <w:spacing w:val="-41"/>
          <w:sz w:val="20"/>
          <w:szCs w:val="20"/>
          <w:highlight w:val="none"/>
        </w:rPr>
        <w:t xml:space="preserve"> </w:t>
      </w:r>
      <w:r>
        <w:rPr>
          <w:rFonts w:ascii="宋体" w:hAnsi="宋体" w:eastAsia="宋体" w:cs="宋体"/>
          <w:color w:val="auto"/>
          <w:spacing w:val="7"/>
          <w:sz w:val="20"/>
          <w:szCs w:val="20"/>
          <w:highlight w:val="none"/>
        </w:rPr>
        <w:t>C：22.17</w:t>
      </w:r>
      <w:r>
        <w:rPr>
          <w:rFonts w:ascii="宋体" w:hAnsi="宋体" w:eastAsia="宋体" w:cs="宋体"/>
          <w:color w:val="auto"/>
          <w:sz w:val="20"/>
          <w:szCs w:val="20"/>
          <w:highlight w:val="none"/>
        </w:rPr>
        <w:t xml:space="preserve">kA  </w:t>
      </w:r>
      <w:r>
        <w:rPr>
          <w:rFonts w:ascii="宋体" w:hAnsi="宋体" w:eastAsia="宋体" w:cs="宋体"/>
          <w:color w:val="auto"/>
          <w:spacing w:val="7"/>
          <w:sz w:val="20"/>
          <w:szCs w:val="20"/>
          <w:highlight w:val="none"/>
        </w:rPr>
        <w:t>高压备变低压侧</w:t>
      </w:r>
      <w:r>
        <w:rPr>
          <w:rFonts w:ascii="宋体" w:hAnsi="宋体" w:eastAsia="宋体" w:cs="宋体"/>
          <w:color w:val="auto"/>
          <w:spacing w:val="-43"/>
          <w:sz w:val="20"/>
          <w:szCs w:val="20"/>
          <w:highlight w:val="none"/>
        </w:rPr>
        <w:t xml:space="preserve"> </w:t>
      </w:r>
      <w:r>
        <w:rPr>
          <w:rFonts w:ascii="宋体" w:hAnsi="宋体" w:eastAsia="宋体" w:cs="宋体"/>
          <w:color w:val="auto"/>
          <w:spacing w:val="7"/>
          <w:sz w:val="20"/>
          <w:szCs w:val="20"/>
          <w:highlight w:val="none"/>
        </w:rPr>
        <w:t xml:space="preserve">A：22.17 </w:t>
      </w:r>
      <w:r>
        <w:rPr>
          <w:rFonts w:ascii="宋体" w:hAnsi="宋体" w:eastAsia="宋体" w:cs="宋体"/>
          <w:color w:val="auto"/>
          <w:sz w:val="20"/>
          <w:szCs w:val="20"/>
          <w:highlight w:val="none"/>
        </w:rPr>
        <w:t xml:space="preserve">kA </w:t>
      </w:r>
      <w:r>
        <w:rPr>
          <w:rFonts w:ascii="宋体" w:hAnsi="宋体" w:eastAsia="宋体" w:cs="宋体"/>
          <w:color w:val="auto"/>
          <w:spacing w:val="7"/>
          <w:sz w:val="20"/>
          <w:szCs w:val="20"/>
          <w:highlight w:val="none"/>
        </w:rPr>
        <w:t>高压备变低压侧</w:t>
      </w:r>
      <w:r>
        <w:rPr>
          <w:rFonts w:ascii="宋体" w:hAnsi="宋体" w:eastAsia="宋体" w:cs="宋体"/>
          <w:color w:val="auto"/>
          <w:spacing w:val="-43"/>
          <w:sz w:val="20"/>
          <w:szCs w:val="20"/>
          <w:highlight w:val="none"/>
        </w:rPr>
        <w:t xml:space="preserve"> </w:t>
      </w:r>
      <w:r>
        <w:rPr>
          <w:rFonts w:ascii="宋体" w:hAnsi="宋体" w:eastAsia="宋体" w:cs="宋体"/>
          <w:color w:val="auto"/>
          <w:spacing w:val="7"/>
          <w:sz w:val="20"/>
          <w:szCs w:val="20"/>
          <w:highlight w:val="none"/>
        </w:rPr>
        <w:t xml:space="preserve">B：22.17 </w:t>
      </w:r>
      <w:r>
        <w:rPr>
          <w:rFonts w:ascii="宋体" w:hAnsi="宋体" w:eastAsia="宋体" w:cs="宋体"/>
          <w:color w:val="auto"/>
          <w:sz w:val="20"/>
          <w:szCs w:val="20"/>
          <w:highlight w:val="none"/>
        </w:rPr>
        <w:t>kA</w:t>
      </w:r>
    </w:p>
    <w:p w14:paraId="10BC0CC4">
      <w:pPr>
        <w:spacing w:before="132" w:line="228" w:lineRule="auto"/>
        <w:ind w:left="57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设备安装形式：室内</w:t>
      </w:r>
    </w:p>
    <w:p w14:paraId="3A4DA6E6">
      <w:pPr>
        <w:spacing w:before="207" w:line="219" w:lineRule="auto"/>
        <w:ind w:left="28"/>
        <w:outlineLvl w:val="0"/>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3</w:t>
      </w:r>
      <w:r>
        <w:rPr>
          <w:rFonts w:ascii="宋体" w:hAnsi="宋体" w:eastAsia="宋体" w:cs="宋体"/>
          <w:color w:val="auto"/>
          <w:spacing w:val="38"/>
          <w:sz w:val="24"/>
          <w:szCs w:val="24"/>
          <w:highlight w:val="none"/>
        </w:rPr>
        <w:t xml:space="preserve">  </w:t>
      </w:r>
      <w:r>
        <w:rPr>
          <w:rFonts w:ascii="宋体" w:hAnsi="宋体" w:eastAsia="宋体" w:cs="宋体"/>
          <w:b/>
          <w:bCs/>
          <w:color w:val="auto"/>
          <w:spacing w:val="-6"/>
          <w:sz w:val="24"/>
          <w:szCs w:val="24"/>
          <w:highlight w:val="none"/>
        </w:rPr>
        <w:t>设计和运行条件</w:t>
      </w:r>
    </w:p>
    <w:p w14:paraId="27105446">
      <w:pPr>
        <w:spacing w:before="183" w:line="219" w:lineRule="auto"/>
        <w:ind w:left="28"/>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3.1</w:t>
      </w:r>
      <w:r>
        <w:rPr>
          <w:rFonts w:ascii="宋体" w:hAnsi="宋体" w:eastAsia="宋体" w:cs="宋体"/>
          <w:color w:val="auto"/>
          <w:spacing w:val="-49"/>
          <w:sz w:val="24"/>
          <w:szCs w:val="24"/>
          <w:highlight w:val="none"/>
        </w:rPr>
        <w:t xml:space="preserve"> </w:t>
      </w:r>
      <w:r>
        <w:rPr>
          <w:rFonts w:ascii="宋体" w:hAnsi="宋体" w:eastAsia="宋体" w:cs="宋体"/>
          <w:b/>
          <w:bCs/>
          <w:color w:val="auto"/>
          <w:spacing w:val="-5"/>
          <w:sz w:val="24"/>
          <w:szCs w:val="24"/>
          <w:highlight w:val="none"/>
        </w:rPr>
        <w:t>基本技术条件</w:t>
      </w:r>
    </w:p>
    <w:p w14:paraId="5D974160">
      <w:pPr>
        <w:spacing w:before="198" w:line="227" w:lineRule="auto"/>
        <w:ind w:left="44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型式：微机型保护装置。</w:t>
      </w:r>
    </w:p>
    <w:p w14:paraId="316DC7D8">
      <w:pPr>
        <w:spacing w:before="207" w:line="220" w:lineRule="auto"/>
        <w:ind w:left="28"/>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3.2</w:t>
      </w:r>
      <w:r>
        <w:rPr>
          <w:rFonts w:ascii="宋体" w:hAnsi="宋体" w:eastAsia="宋体" w:cs="宋体"/>
          <w:color w:val="auto"/>
          <w:spacing w:val="-49"/>
          <w:sz w:val="24"/>
          <w:szCs w:val="24"/>
          <w:highlight w:val="none"/>
        </w:rPr>
        <w:t xml:space="preserve"> </w:t>
      </w:r>
      <w:r>
        <w:rPr>
          <w:rFonts w:ascii="宋体" w:hAnsi="宋体" w:eastAsia="宋体" w:cs="宋体"/>
          <w:b/>
          <w:bCs/>
          <w:color w:val="auto"/>
          <w:spacing w:val="-6"/>
          <w:sz w:val="24"/>
          <w:szCs w:val="24"/>
          <w:highlight w:val="none"/>
        </w:rPr>
        <w:t>控制电源</w:t>
      </w:r>
    </w:p>
    <w:p w14:paraId="23ACB457">
      <w:pPr>
        <w:spacing w:before="197" w:line="229" w:lineRule="auto"/>
        <w:ind w:left="475"/>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交流电源</w:t>
      </w:r>
    </w:p>
    <w:p w14:paraId="655D3D9C">
      <w:pPr>
        <w:spacing w:before="220" w:line="228" w:lineRule="auto"/>
        <w:ind w:left="887"/>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  额定电压：220V ＋10</w:t>
      </w:r>
      <w:r>
        <w:rPr>
          <w:rFonts w:ascii="宋体" w:hAnsi="宋体" w:eastAsia="宋体" w:cs="宋体"/>
          <w:color w:val="auto"/>
          <w:spacing w:val="3"/>
          <w:sz w:val="20"/>
          <w:szCs w:val="20"/>
          <w:highlight w:val="none"/>
        </w:rPr>
        <w:t>％～－</w:t>
      </w:r>
      <w:r>
        <w:rPr>
          <w:rFonts w:ascii="宋体" w:hAnsi="宋体" w:eastAsia="宋体" w:cs="宋体"/>
          <w:color w:val="auto"/>
          <w:spacing w:val="10"/>
          <w:sz w:val="20"/>
          <w:szCs w:val="20"/>
          <w:highlight w:val="none"/>
        </w:rPr>
        <w:t>15%</w:t>
      </w:r>
    </w:p>
    <w:p w14:paraId="248C75FB">
      <w:pPr>
        <w:spacing w:before="123" w:line="228" w:lineRule="auto"/>
        <w:ind w:left="874"/>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  波形：正弦，波形畸变不大于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10"/>
          <w:sz w:val="20"/>
          <w:szCs w:val="20"/>
          <w:highlight w:val="none"/>
        </w:rPr>
        <w:t>5%:</w:t>
      </w:r>
    </w:p>
    <w:p w14:paraId="417F51FF">
      <w:pPr>
        <w:spacing w:before="160" w:line="228" w:lineRule="auto"/>
        <w:ind w:left="87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  频率：50</w:t>
      </w:r>
      <w:r>
        <w:rPr>
          <w:rFonts w:ascii="宋体" w:hAnsi="宋体" w:eastAsia="宋体" w:cs="宋体"/>
          <w:color w:val="auto"/>
          <w:sz w:val="20"/>
          <w:szCs w:val="20"/>
          <w:highlight w:val="none"/>
        </w:rPr>
        <w:t>Hz</w:t>
      </w:r>
      <w:r>
        <w:rPr>
          <w:rFonts w:ascii="宋体" w:hAnsi="宋体" w:eastAsia="宋体" w:cs="宋体"/>
          <w:color w:val="auto"/>
          <w:spacing w:val="6"/>
          <w:sz w:val="20"/>
          <w:szCs w:val="20"/>
          <w:highlight w:val="none"/>
        </w:rPr>
        <w:t>±0.5％。</w:t>
      </w:r>
    </w:p>
    <w:p w14:paraId="3547EF0C">
      <w:pPr>
        <w:spacing w:before="259" w:line="231" w:lineRule="auto"/>
        <w:ind w:left="518"/>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直流电源</w:t>
      </w:r>
    </w:p>
    <w:p w14:paraId="659A8453">
      <w:pPr>
        <w:spacing w:before="120" w:line="228" w:lineRule="auto"/>
        <w:ind w:left="887"/>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  额定电压：</w:t>
      </w:r>
      <w:r>
        <w:rPr>
          <w:rFonts w:ascii="宋体" w:hAnsi="宋体" w:eastAsia="宋体" w:cs="宋体"/>
          <w:color w:val="auto"/>
          <w:spacing w:val="10"/>
          <w:sz w:val="20"/>
          <w:szCs w:val="20"/>
          <w:highlight w:val="none"/>
          <w:u w:val="single" w:color="auto"/>
        </w:rPr>
        <w:t>110 V</w:t>
      </w:r>
      <w:r>
        <w:rPr>
          <w:rFonts w:ascii="宋体" w:hAnsi="宋体" w:eastAsia="宋体" w:cs="宋体"/>
          <w:color w:val="auto"/>
          <w:spacing w:val="10"/>
          <w:sz w:val="20"/>
          <w:szCs w:val="20"/>
          <w:highlight w:val="none"/>
        </w:rPr>
        <w:t xml:space="preserve"> ＋10</w:t>
      </w:r>
      <w:r>
        <w:rPr>
          <w:rFonts w:ascii="宋体" w:hAnsi="宋体" w:eastAsia="宋体" w:cs="宋体"/>
          <w:color w:val="auto"/>
          <w:spacing w:val="2"/>
          <w:sz w:val="20"/>
          <w:szCs w:val="20"/>
          <w:highlight w:val="none"/>
        </w:rPr>
        <w:t>％～－</w:t>
      </w:r>
      <w:r>
        <w:rPr>
          <w:rFonts w:ascii="宋体" w:hAnsi="宋体" w:eastAsia="宋体" w:cs="宋体"/>
          <w:color w:val="auto"/>
          <w:spacing w:val="10"/>
          <w:sz w:val="20"/>
          <w:szCs w:val="20"/>
          <w:highlight w:val="none"/>
        </w:rPr>
        <w:t>15%</w:t>
      </w:r>
    </w:p>
    <w:p w14:paraId="3B92FB63">
      <w:pPr>
        <w:spacing w:before="161" w:line="228" w:lineRule="auto"/>
        <w:ind w:left="87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2)  波纹系数：不大于</w:t>
      </w:r>
      <w:r>
        <w:rPr>
          <w:rFonts w:ascii="宋体" w:hAnsi="宋体" w:eastAsia="宋体" w:cs="宋体"/>
          <w:color w:val="auto"/>
          <w:spacing w:val="-33"/>
          <w:sz w:val="20"/>
          <w:szCs w:val="20"/>
          <w:highlight w:val="none"/>
        </w:rPr>
        <w:t xml:space="preserve"> </w:t>
      </w:r>
      <w:r>
        <w:rPr>
          <w:rFonts w:ascii="宋体" w:hAnsi="宋体" w:eastAsia="宋体" w:cs="宋体"/>
          <w:color w:val="auto"/>
          <w:spacing w:val="6"/>
          <w:sz w:val="20"/>
          <w:szCs w:val="20"/>
          <w:highlight w:val="none"/>
        </w:rPr>
        <w:t>5％。</w:t>
      </w:r>
    </w:p>
    <w:p w14:paraId="465E54A5">
      <w:pPr>
        <w:spacing w:before="245" w:line="219" w:lineRule="auto"/>
        <w:ind w:left="28"/>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3.3</w:t>
      </w:r>
      <w:r>
        <w:rPr>
          <w:rFonts w:ascii="宋体" w:hAnsi="宋体" w:eastAsia="宋体" w:cs="宋体"/>
          <w:color w:val="auto"/>
          <w:spacing w:val="-44"/>
          <w:sz w:val="24"/>
          <w:szCs w:val="24"/>
          <w:highlight w:val="none"/>
        </w:rPr>
        <w:t xml:space="preserve"> </w:t>
      </w:r>
      <w:r>
        <w:rPr>
          <w:rFonts w:ascii="宋体" w:hAnsi="宋体" w:eastAsia="宋体" w:cs="宋体"/>
          <w:b/>
          <w:bCs/>
          <w:color w:val="auto"/>
          <w:spacing w:val="-5"/>
          <w:sz w:val="24"/>
          <w:szCs w:val="24"/>
          <w:highlight w:val="none"/>
        </w:rPr>
        <w:t>主要设备技术参数</w:t>
      </w:r>
    </w:p>
    <w:p w14:paraId="6F4B7BAB">
      <w:pPr>
        <w:spacing w:before="102" w:line="228" w:lineRule="auto"/>
        <w:ind w:left="26"/>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3.3.1  额定数据</w:t>
      </w:r>
    </w:p>
    <w:p w14:paraId="1A7AB46C">
      <w:pPr>
        <w:spacing w:before="161" w:line="229" w:lineRule="auto"/>
        <w:ind w:left="683"/>
        <w:rPr>
          <w:rFonts w:ascii="宋体" w:hAnsi="宋体" w:eastAsia="宋体" w:cs="宋体"/>
          <w:color w:val="auto"/>
          <w:sz w:val="20"/>
          <w:szCs w:val="20"/>
          <w:highlight w:val="none"/>
        </w:rPr>
      </w:pPr>
      <w:r>
        <w:rPr>
          <w:rFonts w:ascii="宋体" w:hAnsi="宋体" w:eastAsia="宋体" w:cs="宋体"/>
          <w:color w:val="auto"/>
          <w:spacing w:val="-1"/>
          <w:sz w:val="20"/>
          <w:szCs w:val="20"/>
          <w:highlight w:val="none"/>
        </w:rPr>
        <w:t>1)</w:t>
      </w:r>
      <w:r>
        <w:rPr>
          <w:rFonts w:ascii="宋体" w:hAnsi="宋体" w:eastAsia="宋体" w:cs="宋体"/>
          <w:color w:val="auto"/>
          <w:spacing w:val="11"/>
          <w:sz w:val="20"/>
          <w:szCs w:val="20"/>
          <w:highlight w:val="none"/>
        </w:rPr>
        <w:t xml:space="preserve">  </w:t>
      </w:r>
      <w:r>
        <w:rPr>
          <w:rFonts w:ascii="宋体" w:hAnsi="宋体" w:eastAsia="宋体" w:cs="宋体"/>
          <w:color w:val="auto"/>
          <w:spacing w:val="-1"/>
          <w:sz w:val="20"/>
          <w:szCs w:val="20"/>
          <w:highlight w:val="none"/>
        </w:rPr>
        <w:t>CT</w:t>
      </w:r>
      <w:r>
        <w:rPr>
          <w:rFonts w:ascii="宋体" w:hAnsi="宋体" w:eastAsia="宋体" w:cs="宋体"/>
          <w:color w:val="auto"/>
          <w:spacing w:val="-41"/>
          <w:sz w:val="20"/>
          <w:szCs w:val="20"/>
          <w:highlight w:val="none"/>
        </w:rPr>
        <w:t xml:space="preserve"> </w:t>
      </w:r>
      <w:r>
        <w:rPr>
          <w:rFonts w:ascii="宋体" w:hAnsi="宋体" w:eastAsia="宋体" w:cs="宋体"/>
          <w:color w:val="auto"/>
          <w:spacing w:val="-1"/>
          <w:sz w:val="20"/>
          <w:szCs w:val="20"/>
          <w:highlight w:val="none"/>
        </w:rPr>
        <w:t>变比：</w:t>
      </w:r>
    </w:p>
    <w:p w14:paraId="7A03F4C6">
      <w:pPr>
        <w:spacing w:before="160" w:line="228" w:lineRule="auto"/>
        <w:ind w:left="86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升压站侧：4000/1A</w:t>
      </w:r>
    </w:p>
    <w:p w14:paraId="6DB5077E">
      <w:pPr>
        <w:spacing w:before="161" w:line="228" w:lineRule="auto"/>
        <w:ind w:left="86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主变压器高压侧：1250/1 A</w:t>
      </w:r>
    </w:p>
    <w:p w14:paraId="308952C7">
      <w:pPr>
        <w:spacing w:line="228"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3D2FA408">
      <w:pPr>
        <w:spacing w:before="41" w:line="227" w:lineRule="auto"/>
        <w:ind w:left="89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发电机侧：25000/5A</w:t>
      </w:r>
    </w:p>
    <w:p w14:paraId="1F8E2CD9">
      <w:pPr>
        <w:spacing w:before="162" w:line="364" w:lineRule="auto"/>
        <w:ind w:left="861" w:right="533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励磁变高压侧：300/5A</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励磁变低压侧：5000/5A</w:t>
      </w:r>
    </w:p>
    <w:p w14:paraId="3623526A">
      <w:pPr>
        <w:spacing w:before="28" w:line="367" w:lineRule="auto"/>
        <w:ind w:left="855" w:right="4017"/>
        <w:jc w:val="both"/>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A</w:t>
      </w:r>
      <w:r>
        <w:rPr>
          <w:rFonts w:ascii="宋体" w:hAnsi="宋体" w:eastAsia="宋体" w:cs="宋体"/>
          <w:color w:val="auto"/>
          <w:spacing w:val="-34"/>
          <w:sz w:val="20"/>
          <w:szCs w:val="20"/>
          <w:highlight w:val="none"/>
        </w:rPr>
        <w:t xml:space="preserve"> </w:t>
      </w:r>
      <w:r>
        <w:rPr>
          <w:rFonts w:ascii="宋体" w:hAnsi="宋体" w:eastAsia="宋体" w:cs="宋体"/>
          <w:color w:val="auto"/>
          <w:spacing w:val="6"/>
          <w:sz w:val="20"/>
          <w:szCs w:val="20"/>
          <w:highlight w:val="none"/>
        </w:rPr>
        <w:t>高厂变高压侧（主变差动</w:t>
      </w:r>
      <w:r>
        <w:rPr>
          <w:rFonts w:ascii="宋体" w:hAnsi="宋体" w:eastAsia="宋体" w:cs="宋体"/>
          <w:color w:val="auto"/>
          <w:spacing w:val="-33"/>
          <w:sz w:val="20"/>
          <w:szCs w:val="20"/>
          <w:highlight w:val="none"/>
        </w:rPr>
        <w:t>）：</w:t>
      </w:r>
      <w:r>
        <w:rPr>
          <w:rFonts w:ascii="宋体" w:hAnsi="宋体" w:eastAsia="宋体" w:cs="宋体"/>
          <w:color w:val="auto"/>
          <w:spacing w:val="6"/>
          <w:sz w:val="20"/>
          <w:szCs w:val="20"/>
          <w:highlight w:val="none"/>
        </w:rPr>
        <w:t>5000/5A</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A</w:t>
      </w:r>
      <w:r>
        <w:rPr>
          <w:rFonts w:ascii="宋体" w:hAnsi="宋体" w:eastAsia="宋体" w:cs="宋体"/>
          <w:color w:val="auto"/>
          <w:spacing w:val="-34"/>
          <w:sz w:val="20"/>
          <w:szCs w:val="20"/>
          <w:highlight w:val="none"/>
        </w:rPr>
        <w:t xml:space="preserve"> </w:t>
      </w:r>
      <w:r>
        <w:rPr>
          <w:rFonts w:ascii="宋体" w:hAnsi="宋体" w:eastAsia="宋体" w:cs="宋体"/>
          <w:color w:val="auto"/>
          <w:spacing w:val="6"/>
          <w:sz w:val="20"/>
          <w:szCs w:val="20"/>
          <w:highlight w:val="none"/>
        </w:rPr>
        <w:t>高厂变高压侧（厂变差动</w:t>
      </w:r>
      <w:r>
        <w:rPr>
          <w:rFonts w:ascii="宋体" w:hAnsi="宋体" w:eastAsia="宋体" w:cs="宋体"/>
          <w:color w:val="auto"/>
          <w:spacing w:val="-33"/>
          <w:sz w:val="20"/>
          <w:szCs w:val="20"/>
          <w:highlight w:val="none"/>
        </w:rPr>
        <w:t>）：</w:t>
      </w:r>
      <w:r>
        <w:rPr>
          <w:rFonts w:ascii="宋体" w:hAnsi="宋体" w:eastAsia="宋体" w:cs="宋体"/>
          <w:color w:val="auto"/>
          <w:spacing w:val="6"/>
          <w:sz w:val="20"/>
          <w:szCs w:val="20"/>
          <w:highlight w:val="none"/>
        </w:rPr>
        <w:t>2000/5A</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A</w:t>
      </w:r>
      <w:r>
        <w:rPr>
          <w:rFonts w:ascii="宋体" w:hAnsi="宋体" w:eastAsia="宋体" w:cs="宋体"/>
          <w:color w:val="auto"/>
          <w:spacing w:val="-36"/>
          <w:sz w:val="20"/>
          <w:szCs w:val="20"/>
          <w:highlight w:val="none"/>
        </w:rPr>
        <w:t xml:space="preserve"> </w:t>
      </w:r>
      <w:r>
        <w:rPr>
          <w:rFonts w:ascii="宋体" w:hAnsi="宋体" w:eastAsia="宋体" w:cs="宋体"/>
          <w:color w:val="auto"/>
          <w:spacing w:val="6"/>
          <w:sz w:val="20"/>
          <w:szCs w:val="20"/>
          <w:highlight w:val="none"/>
        </w:rPr>
        <w:t>厂变低压侧：4000/1A</w:t>
      </w:r>
    </w:p>
    <w:p w14:paraId="65D34EC5">
      <w:pPr>
        <w:spacing w:before="33" w:line="367" w:lineRule="auto"/>
        <w:ind w:left="857" w:right="4017"/>
        <w:jc w:val="both"/>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B</w:t>
      </w:r>
      <w:r>
        <w:rPr>
          <w:rFonts w:ascii="宋体" w:hAnsi="宋体" w:eastAsia="宋体" w:cs="宋体"/>
          <w:color w:val="auto"/>
          <w:spacing w:val="-34"/>
          <w:sz w:val="20"/>
          <w:szCs w:val="20"/>
          <w:highlight w:val="none"/>
        </w:rPr>
        <w:t xml:space="preserve"> </w:t>
      </w:r>
      <w:r>
        <w:rPr>
          <w:rFonts w:ascii="宋体" w:hAnsi="宋体" w:eastAsia="宋体" w:cs="宋体"/>
          <w:color w:val="auto"/>
          <w:spacing w:val="6"/>
          <w:sz w:val="20"/>
          <w:szCs w:val="20"/>
          <w:highlight w:val="none"/>
        </w:rPr>
        <w:t>高厂变高压侧（主变差动</w:t>
      </w:r>
      <w:r>
        <w:rPr>
          <w:rFonts w:ascii="宋体" w:hAnsi="宋体" w:eastAsia="宋体" w:cs="宋体"/>
          <w:color w:val="auto"/>
          <w:spacing w:val="-34"/>
          <w:sz w:val="20"/>
          <w:szCs w:val="20"/>
          <w:highlight w:val="none"/>
        </w:rPr>
        <w:t>）：</w:t>
      </w:r>
      <w:r>
        <w:rPr>
          <w:rFonts w:ascii="宋体" w:hAnsi="宋体" w:eastAsia="宋体" w:cs="宋体"/>
          <w:color w:val="auto"/>
          <w:spacing w:val="6"/>
          <w:sz w:val="20"/>
          <w:szCs w:val="20"/>
          <w:highlight w:val="none"/>
        </w:rPr>
        <w:t>5000/5A</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B</w:t>
      </w:r>
      <w:r>
        <w:rPr>
          <w:rFonts w:ascii="宋体" w:hAnsi="宋体" w:eastAsia="宋体" w:cs="宋体"/>
          <w:color w:val="auto"/>
          <w:spacing w:val="-34"/>
          <w:sz w:val="20"/>
          <w:szCs w:val="20"/>
          <w:highlight w:val="none"/>
        </w:rPr>
        <w:t xml:space="preserve"> </w:t>
      </w:r>
      <w:r>
        <w:rPr>
          <w:rFonts w:ascii="宋体" w:hAnsi="宋体" w:eastAsia="宋体" w:cs="宋体"/>
          <w:color w:val="auto"/>
          <w:spacing w:val="5"/>
          <w:sz w:val="20"/>
          <w:szCs w:val="20"/>
          <w:highlight w:val="none"/>
        </w:rPr>
        <w:t>高厂变高压侧（厂变差动</w:t>
      </w:r>
      <w:r>
        <w:rPr>
          <w:rFonts w:ascii="宋体" w:hAnsi="宋体" w:eastAsia="宋体" w:cs="宋体"/>
          <w:color w:val="auto"/>
          <w:spacing w:val="-48"/>
          <w:sz w:val="20"/>
          <w:szCs w:val="20"/>
          <w:highlight w:val="none"/>
        </w:rPr>
        <w:t>）：</w:t>
      </w:r>
      <w:r>
        <w:rPr>
          <w:rFonts w:ascii="宋体" w:hAnsi="宋体" w:eastAsia="宋体" w:cs="宋体"/>
          <w:color w:val="auto"/>
          <w:spacing w:val="-53"/>
          <w:sz w:val="20"/>
          <w:szCs w:val="20"/>
          <w:highlight w:val="none"/>
        </w:rPr>
        <w:t xml:space="preserve"> </w:t>
      </w:r>
      <w:r>
        <w:rPr>
          <w:rFonts w:ascii="宋体" w:hAnsi="宋体" w:eastAsia="宋体" w:cs="宋体"/>
          <w:color w:val="auto"/>
          <w:spacing w:val="5"/>
          <w:sz w:val="20"/>
          <w:szCs w:val="20"/>
          <w:highlight w:val="none"/>
        </w:rPr>
        <w:t>1250/5A</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B</w:t>
      </w:r>
      <w:r>
        <w:rPr>
          <w:rFonts w:ascii="宋体" w:hAnsi="宋体" w:eastAsia="宋体" w:cs="宋体"/>
          <w:color w:val="auto"/>
          <w:spacing w:val="-37"/>
          <w:sz w:val="20"/>
          <w:szCs w:val="20"/>
          <w:highlight w:val="none"/>
        </w:rPr>
        <w:t xml:space="preserve"> </w:t>
      </w:r>
      <w:r>
        <w:rPr>
          <w:rFonts w:ascii="宋体" w:hAnsi="宋体" w:eastAsia="宋体" w:cs="宋体"/>
          <w:color w:val="auto"/>
          <w:spacing w:val="6"/>
          <w:sz w:val="20"/>
          <w:szCs w:val="20"/>
          <w:highlight w:val="none"/>
        </w:rPr>
        <w:t>厂变低压侧：4000/1A</w:t>
      </w:r>
    </w:p>
    <w:p w14:paraId="3DE02BC9">
      <w:pPr>
        <w:spacing w:before="32" w:line="368" w:lineRule="auto"/>
        <w:ind w:left="855" w:right="5068"/>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A</w:t>
      </w:r>
      <w:r>
        <w:rPr>
          <w:rFonts w:ascii="宋体" w:hAnsi="宋体" w:eastAsia="宋体" w:cs="宋体"/>
          <w:color w:val="auto"/>
          <w:spacing w:val="-33"/>
          <w:sz w:val="20"/>
          <w:szCs w:val="20"/>
          <w:highlight w:val="none"/>
        </w:rPr>
        <w:t xml:space="preserve"> </w:t>
      </w:r>
      <w:r>
        <w:rPr>
          <w:rFonts w:ascii="宋体" w:hAnsi="宋体" w:eastAsia="宋体" w:cs="宋体"/>
          <w:color w:val="auto"/>
          <w:spacing w:val="4"/>
          <w:sz w:val="20"/>
          <w:szCs w:val="20"/>
          <w:highlight w:val="none"/>
        </w:rPr>
        <w:t>高厂变</w:t>
      </w:r>
      <w:r>
        <w:rPr>
          <w:rFonts w:ascii="宋体" w:hAnsi="宋体" w:eastAsia="宋体" w:cs="宋体"/>
          <w:color w:val="auto"/>
          <w:spacing w:val="-43"/>
          <w:sz w:val="20"/>
          <w:szCs w:val="20"/>
          <w:highlight w:val="none"/>
        </w:rPr>
        <w:t xml:space="preserve"> </w:t>
      </w:r>
      <w:r>
        <w:rPr>
          <w:rFonts w:ascii="宋体" w:hAnsi="宋体" w:eastAsia="宋体" w:cs="宋体"/>
          <w:color w:val="auto"/>
          <w:spacing w:val="4"/>
          <w:sz w:val="20"/>
          <w:szCs w:val="20"/>
          <w:highlight w:val="none"/>
        </w:rPr>
        <w:t>A</w:t>
      </w:r>
      <w:r>
        <w:rPr>
          <w:rFonts w:ascii="宋体" w:hAnsi="宋体" w:eastAsia="宋体" w:cs="宋体"/>
          <w:color w:val="auto"/>
          <w:spacing w:val="-21"/>
          <w:sz w:val="20"/>
          <w:szCs w:val="20"/>
          <w:highlight w:val="none"/>
        </w:rPr>
        <w:t xml:space="preserve"> </w:t>
      </w:r>
      <w:r>
        <w:rPr>
          <w:rFonts w:ascii="宋体" w:hAnsi="宋体" w:eastAsia="宋体" w:cs="宋体"/>
          <w:color w:val="auto"/>
          <w:spacing w:val="4"/>
          <w:sz w:val="20"/>
          <w:szCs w:val="20"/>
          <w:highlight w:val="none"/>
        </w:rPr>
        <w:t>中性点：300/5A</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A</w:t>
      </w:r>
      <w:r>
        <w:rPr>
          <w:rFonts w:ascii="宋体" w:hAnsi="宋体" w:eastAsia="宋体" w:cs="宋体"/>
          <w:color w:val="auto"/>
          <w:spacing w:val="-35"/>
          <w:sz w:val="20"/>
          <w:szCs w:val="20"/>
          <w:highlight w:val="none"/>
        </w:rPr>
        <w:t xml:space="preserve"> </w:t>
      </w:r>
      <w:r>
        <w:rPr>
          <w:rFonts w:ascii="宋体" w:hAnsi="宋体" w:eastAsia="宋体" w:cs="宋体"/>
          <w:color w:val="auto"/>
          <w:spacing w:val="4"/>
          <w:sz w:val="20"/>
          <w:szCs w:val="20"/>
          <w:highlight w:val="none"/>
        </w:rPr>
        <w:t>高厂变</w:t>
      </w:r>
      <w:r>
        <w:rPr>
          <w:rFonts w:ascii="宋体" w:hAnsi="宋体" w:eastAsia="宋体" w:cs="宋体"/>
          <w:color w:val="auto"/>
          <w:spacing w:val="-41"/>
          <w:sz w:val="20"/>
          <w:szCs w:val="20"/>
          <w:highlight w:val="none"/>
        </w:rPr>
        <w:t xml:space="preserve"> </w:t>
      </w:r>
      <w:r>
        <w:rPr>
          <w:rFonts w:ascii="宋体" w:hAnsi="宋体" w:eastAsia="宋体" w:cs="宋体"/>
          <w:color w:val="auto"/>
          <w:spacing w:val="4"/>
          <w:sz w:val="20"/>
          <w:szCs w:val="20"/>
          <w:highlight w:val="none"/>
        </w:rPr>
        <w:t>B</w:t>
      </w:r>
      <w:r>
        <w:rPr>
          <w:rFonts w:ascii="宋体" w:hAnsi="宋体" w:eastAsia="宋体" w:cs="宋体"/>
          <w:color w:val="auto"/>
          <w:spacing w:val="-21"/>
          <w:sz w:val="20"/>
          <w:szCs w:val="20"/>
          <w:highlight w:val="none"/>
        </w:rPr>
        <w:t xml:space="preserve"> </w:t>
      </w:r>
      <w:r>
        <w:rPr>
          <w:rFonts w:ascii="宋体" w:hAnsi="宋体" w:eastAsia="宋体" w:cs="宋体"/>
          <w:color w:val="auto"/>
          <w:spacing w:val="4"/>
          <w:sz w:val="20"/>
          <w:szCs w:val="20"/>
          <w:highlight w:val="none"/>
        </w:rPr>
        <w:t>中性点：300/5A</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B</w:t>
      </w:r>
      <w:r>
        <w:rPr>
          <w:rFonts w:ascii="宋体" w:hAnsi="宋体" w:eastAsia="宋体" w:cs="宋体"/>
          <w:color w:val="auto"/>
          <w:spacing w:val="-30"/>
          <w:sz w:val="20"/>
          <w:szCs w:val="20"/>
          <w:highlight w:val="none"/>
        </w:rPr>
        <w:t xml:space="preserve"> </w:t>
      </w:r>
      <w:r>
        <w:rPr>
          <w:rFonts w:ascii="宋体" w:hAnsi="宋体" w:eastAsia="宋体" w:cs="宋体"/>
          <w:color w:val="auto"/>
          <w:spacing w:val="6"/>
          <w:sz w:val="20"/>
          <w:szCs w:val="20"/>
          <w:highlight w:val="none"/>
        </w:rPr>
        <w:t>高厂变中性点：300/5A</w:t>
      </w:r>
    </w:p>
    <w:p w14:paraId="2709FCA2">
      <w:pPr>
        <w:spacing w:before="30" w:line="362" w:lineRule="auto"/>
        <w:ind w:left="867" w:right="4910"/>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高压启备变高压侧：1000/5A</w:t>
      </w:r>
      <w:r>
        <w:rPr>
          <w:rFonts w:ascii="宋体" w:hAnsi="宋体" w:eastAsia="宋体" w:cs="宋体"/>
          <w:color w:val="auto"/>
          <w:spacing w:val="13"/>
          <w:sz w:val="20"/>
          <w:szCs w:val="20"/>
          <w:highlight w:val="none"/>
        </w:rPr>
        <w:t xml:space="preserve"> </w:t>
      </w:r>
      <w:r>
        <w:rPr>
          <w:rFonts w:ascii="宋体" w:hAnsi="宋体" w:eastAsia="宋体" w:cs="宋体"/>
          <w:color w:val="auto"/>
          <w:spacing w:val="6"/>
          <w:sz w:val="20"/>
          <w:szCs w:val="20"/>
          <w:highlight w:val="none"/>
        </w:rPr>
        <w:t>高压启备变低压侧：4000/1A</w:t>
      </w:r>
    </w:p>
    <w:p w14:paraId="66296DF7">
      <w:pPr>
        <w:spacing w:before="32" w:line="228" w:lineRule="auto"/>
        <w:ind w:left="86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高压启备变高压侧中性点：100/1A</w:t>
      </w:r>
    </w:p>
    <w:p w14:paraId="4A07A7D1">
      <w:pPr>
        <w:spacing w:before="161" w:line="228" w:lineRule="auto"/>
        <w:ind w:left="867"/>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高压启备变低压侧</w:t>
      </w:r>
      <w:r>
        <w:rPr>
          <w:rFonts w:ascii="宋体" w:hAnsi="宋体" w:eastAsia="宋体" w:cs="宋体"/>
          <w:color w:val="auto"/>
          <w:spacing w:val="-31"/>
          <w:sz w:val="20"/>
          <w:szCs w:val="20"/>
          <w:highlight w:val="none"/>
        </w:rPr>
        <w:t xml:space="preserve"> </w:t>
      </w:r>
      <w:r>
        <w:rPr>
          <w:rFonts w:ascii="宋体" w:hAnsi="宋体" w:eastAsia="宋体" w:cs="宋体"/>
          <w:color w:val="auto"/>
          <w:spacing w:val="5"/>
          <w:sz w:val="20"/>
          <w:szCs w:val="20"/>
          <w:highlight w:val="none"/>
        </w:rPr>
        <w:t>A</w:t>
      </w:r>
      <w:r>
        <w:rPr>
          <w:rFonts w:ascii="宋体" w:hAnsi="宋体" w:eastAsia="宋体" w:cs="宋体"/>
          <w:color w:val="auto"/>
          <w:spacing w:val="-20"/>
          <w:sz w:val="20"/>
          <w:szCs w:val="20"/>
          <w:highlight w:val="none"/>
        </w:rPr>
        <w:t xml:space="preserve"> </w:t>
      </w:r>
      <w:r>
        <w:rPr>
          <w:rFonts w:ascii="宋体" w:hAnsi="宋体" w:eastAsia="宋体" w:cs="宋体"/>
          <w:color w:val="auto"/>
          <w:spacing w:val="5"/>
          <w:sz w:val="20"/>
          <w:szCs w:val="20"/>
          <w:highlight w:val="none"/>
        </w:rPr>
        <w:t>中性点：300/1A</w:t>
      </w:r>
    </w:p>
    <w:p w14:paraId="3126D049">
      <w:pPr>
        <w:spacing w:before="163" w:line="193" w:lineRule="auto"/>
        <w:ind w:left="867"/>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高压启备变低压侧</w:t>
      </w:r>
      <w:r>
        <w:rPr>
          <w:rFonts w:ascii="宋体" w:hAnsi="宋体" w:eastAsia="宋体" w:cs="宋体"/>
          <w:color w:val="auto"/>
          <w:spacing w:val="-31"/>
          <w:sz w:val="20"/>
          <w:szCs w:val="20"/>
          <w:highlight w:val="none"/>
        </w:rPr>
        <w:t xml:space="preserve"> </w:t>
      </w:r>
      <w:r>
        <w:rPr>
          <w:rFonts w:ascii="宋体" w:hAnsi="宋体" w:eastAsia="宋体" w:cs="宋体"/>
          <w:color w:val="auto"/>
          <w:spacing w:val="5"/>
          <w:sz w:val="20"/>
          <w:szCs w:val="20"/>
          <w:highlight w:val="none"/>
        </w:rPr>
        <w:t>B</w:t>
      </w:r>
      <w:r>
        <w:rPr>
          <w:rFonts w:ascii="宋体" w:hAnsi="宋体" w:eastAsia="宋体" w:cs="宋体"/>
          <w:color w:val="auto"/>
          <w:spacing w:val="-20"/>
          <w:sz w:val="20"/>
          <w:szCs w:val="20"/>
          <w:highlight w:val="none"/>
        </w:rPr>
        <w:t xml:space="preserve"> </w:t>
      </w:r>
      <w:r>
        <w:rPr>
          <w:rFonts w:ascii="宋体" w:hAnsi="宋体" w:eastAsia="宋体" w:cs="宋体"/>
          <w:color w:val="auto"/>
          <w:spacing w:val="5"/>
          <w:sz w:val="20"/>
          <w:szCs w:val="20"/>
          <w:highlight w:val="none"/>
        </w:rPr>
        <w:t>中</w:t>
      </w:r>
      <w:r>
        <w:rPr>
          <w:rFonts w:ascii="宋体" w:hAnsi="宋体" w:eastAsia="宋体" w:cs="宋体"/>
          <w:color w:val="auto"/>
          <w:spacing w:val="5"/>
          <w:sz w:val="20"/>
          <w:szCs w:val="20"/>
          <w:highlight w:val="none"/>
          <w:u w:val="single" w:color="auto"/>
        </w:rPr>
        <w:t>性</w:t>
      </w:r>
      <w:r>
        <w:rPr>
          <w:rFonts w:ascii="宋体" w:hAnsi="宋体" w:eastAsia="宋体" w:cs="宋体"/>
          <w:color w:val="auto"/>
          <w:spacing w:val="5"/>
          <w:sz w:val="20"/>
          <w:szCs w:val="20"/>
          <w:highlight w:val="none"/>
        </w:rPr>
        <w:t>点：300/1A</w:t>
      </w:r>
    </w:p>
    <w:p w14:paraId="03BC0F0E">
      <w:pPr>
        <w:spacing w:before="213" w:line="303" w:lineRule="exact"/>
        <w:ind w:left="670"/>
        <w:rPr>
          <w:rFonts w:ascii="宋体" w:hAnsi="宋体" w:eastAsia="宋体" w:cs="宋体"/>
          <w:color w:val="auto"/>
          <w:sz w:val="20"/>
          <w:szCs w:val="20"/>
          <w:highlight w:val="none"/>
        </w:rPr>
      </w:pPr>
      <w:r>
        <w:rPr>
          <w:rFonts w:ascii="宋体" w:hAnsi="宋体" w:eastAsia="宋体" w:cs="宋体"/>
          <w:color w:val="auto"/>
          <w:spacing w:val="5"/>
          <w:position w:val="-2"/>
          <w:sz w:val="20"/>
          <w:szCs w:val="20"/>
          <w:highlight w:val="none"/>
        </w:rPr>
        <w:t xml:space="preserve">2)  </w:t>
      </w:r>
      <w:r>
        <w:rPr>
          <w:rFonts w:ascii="宋体" w:hAnsi="宋体" w:eastAsia="宋体" w:cs="宋体"/>
          <w:color w:val="auto"/>
          <w:position w:val="-2"/>
          <w:sz w:val="20"/>
          <w:szCs w:val="20"/>
          <w:highlight w:val="none"/>
        </w:rPr>
        <w:t>PT</w:t>
      </w:r>
      <w:r>
        <w:rPr>
          <w:rFonts w:ascii="宋体" w:hAnsi="宋体" w:eastAsia="宋体" w:cs="宋体"/>
          <w:color w:val="auto"/>
          <w:spacing w:val="-30"/>
          <w:position w:val="-2"/>
          <w:sz w:val="20"/>
          <w:szCs w:val="20"/>
          <w:highlight w:val="none"/>
        </w:rPr>
        <w:t xml:space="preserve"> </w:t>
      </w:r>
      <w:r>
        <w:rPr>
          <w:rFonts w:ascii="宋体" w:hAnsi="宋体" w:eastAsia="宋体" w:cs="宋体"/>
          <w:color w:val="auto"/>
          <w:spacing w:val="5"/>
          <w:position w:val="-2"/>
          <w:sz w:val="20"/>
          <w:szCs w:val="20"/>
          <w:highlight w:val="none"/>
        </w:rPr>
        <w:t>二次电压：100/</w:t>
      </w:r>
      <w:r>
        <w:rPr>
          <w:rFonts w:ascii="宋体" w:hAnsi="宋体" w:eastAsia="宋体" w:cs="宋体"/>
          <w:color w:val="auto"/>
          <w:spacing w:val="-61"/>
          <w:position w:val="-2"/>
          <w:sz w:val="20"/>
          <w:szCs w:val="20"/>
          <w:highlight w:val="none"/>
        </w:rPr>
        <w:t xml:space="preserve"> </w:t>
      </w:r>
      <w:r>
        <w:rPr>
          <w:rFonts w:ascii="宋体" w:hAnsi="宋体" w:eastAsia="宋体" w:cs="宋体"/>
          <w:strike/>
          <w:color w:val="auto"/>
          <w:spacing w:val="-75"/>
          <w:position w:val="-2"/>
          <w:sz w:val="20"/>
          <w:szCs w:val="20"/>
          <w:highlight w:val="none"/>
        </w:rPr>
        <w:t xml:space="preserve"> </w:t>
      </w:r>
      <w:r>
        <w:rPr>
          <w:color w:val="auto"/>
          <w:position w:val="-4"/>
          <w:sz w:val="20"/>
          <w:szCs w:val="20"/>
          <w:highlight w:val="none"/>
        </w:rPr>
        <w:drawing>
          <wp:inline distT="0" distB="0" distL="0" distR="0">
            <wp:extent cx="78105" cy="16319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78181" cy="163511"/>
                    </a:xfrm>
                    <a:prstGeom prst="rect">
                      <a:avLst/>
                    </a:prstGeom>
                  </pic:spPr>
                </pic:pic>
              </a:graphicData>
            </a:graphic>
          </wp:inline>
        </w:drawing>
      </w:r>
      <w:r>
        <w:rPr>
          <w:rFonts w:ascii="Times New Roman" w:hAnsi="Times New Roman" w:eastAsia="Times New Roman" w:cs="Times New Roman"/>
          <w:color w:val="auto"/>
          <w:spacing w:val="5"/>
          <w:position w:val="-2"/>
          <w:sz w:val="23"/>
          <w:szCs w:val="23"/>
          <w:highlight w:val="none"/>
        </w:rPr>
        <w:t xml:space="preserve">3 </w:t>
      </w:r>
      <w:r>
        <w:rPr>
          <w:rFonts w:ascii="宋体" w:hAnsi="宋体" w:eastAsia="宋体" w:cs="宋体"/>
          <w:color w:val="auto"/>
          <w:spacing w:val="5"/>
          <w:position w:val="-2"/>
          <w:sz w:val="20"/>
          <w:szCs w:val="20"/>
          <w:highlight w:val="none"/>
        </w:rPr>
        <w:t>V；100/3V</w:t>
      </w:r>
    </w:p>
    <w:p w14:paraId="2F5F368C">
      <w:pPr>
        <w:spacing w:before="177" w:line="228" w:lineRule="auto"/>
        <w:ind w:left="672"/>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  频率：50</w:t>
      </w:r>
      <w:r>
        <w:rPr>
          <w:rFonts w:ascii="宋体" w:hAnsi="宋体" w:eastAsia="宋体" w:cs="宋体"/>
          <w:color w:val="auto"/>
          <w:sz w:val="20"/>
          <w:szCs w:val="20"/>
          <w:highlight w:val="none"/>
        </w:rPr>
        <w:t>Hz</w:t>
      </w:r>
    </w:p>
    <w:p w14:paraId="4BF469AA">
      <w:pPr>
        <w:spacing w:before="248" w:line="220" w:lineRule="auto"/>
        <w:ind w:left="28"/>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3.4</w:t>
      </w:r>
      <w:r>
        <w:rPr>
          <w:rFonts w:ascii="宋体" w:hAnsi="宋体" w:eastAsia="宋体" w:cs="宋体"/>
          <w:color w:val="auto"/>
          <w:spacing w:val="-51"/>
          <w:sz w:val="24"/>
          <w:szCs w:val="24"/>
          <w:highlight w:val="none"/>
        </w:rPr>
        <w:t xml:space="preserve"> </w:t>
      </w:r>
      <w:r>
        <w:rPr>
          <w:rFonts w:ascii="宋体" w:hAnsi="宋体" w:eastAsia="宋体" w:cs="宋体"/>
          <w:b/>
          <w:bCs/>
          <w:color w:val="auto"/>
          <w:spacing w:val="-4"/>
          <w:sz w:val="24"/>
          <w:szCs w:val="24"/>
          <w:highlight w:val="none"/>
        </w:rPr>
        <w:t>整套装置的主要功能</w:t>
      </w:r>
    </w:p>
    <w:p w14:paraId="2146D951">
      <w:pPr>
        <w:spacing w:before="98" w:line="227"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3.4.1</w:t>
      </w:r>
      <w:r>
        <w:rPr>
          <w:rFonts w:ascii="宋体" w:hAnsi="宋体" w:eastAsia="宋体" w:cs="宋体"/>
          <w:color w:val="auto"/>
          <w:spacing w:val="5"/>
          <w:sz w:val="20"/>
          <w:szCs w:val="20"/>
          <w:highlight w:val="none"/>
        </w:rPr>
        <w:t xml:space="preserve">  </w:t>
      </w:r>
      <w:r>
        <w:rPr>
          <w:rFonts w:ascii="宋体" w:hAnsi="宋体" w:eastAsia="宋体" w:cs="宋体"/>
          <w:color w:val="auto"/>
          <w:spacing w:val="6"/>
          <w:sz w:val="20"/>
          <w:szCs w:val="20"/>
          <w:highlight w:val="none"/>
        </w:rPr>
        <w:t>微机保护的额定输入</w:t>
      </w:r>
    </w:p>
    <w:p w14:paraId="7EEB1F95">
      <w:pPr>
        <w:spacing w:before="260" w:line="228" w:lineRule="auto"/>
        <w:ind w:left="71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额定交流电流：5A、1A</w:t>
      </w:r>
    </w:p>
    <w:p w14:paraId="0AEF4083">
      <w:pPr>
        <w:spacing w:before="222" w:line="417" w:lineRule="auto"/>
        <w:ind w:left="711" w:right="276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额定交流电压：100V（相间电压</w:t>
      </w:r>
      <w:r>
        <w:rPr>
          <w:rFonts w:ascii="宋体" w:hAnsi="宋体" w:eastAsia="宋体" w:cs="宋体"/>
          <w:color w:val="auto"/>
          <w:spacing w:val="-25"/>
          <w:sz w:val="20"/>
          <w:szCs w:val="20"/>
          <w:highlight w:val="none"/>
        </w:rPr>
        <w:t>），</w:t>
      </w:r>
      <w:r>
        <w:rPr>
          <w:rFonts w:ascii="宋体" w:hAnsi="宋体" w:eastAsia="宋体" w:cs="宋体"/>
          <w:color w:val="auto"/>
          <w:spacing w:val="6"/>
          <w:sz w:val="20"/>
          <w:szCs w:val="20"/>
          <w:highlight w:val="none"/>
        </w:rPr>
        <w:t>100V（零序电压）</w:t>
      </w:r>
      <w:r>
        <w:rPr>
          <w:rFonts w:ascii="宋体" w:hAnsi="宋体" w:eastAsia="宋体" w:cs="宋体"/>
          <w:color w:val="auto"/>
          <w:spacing w:val="1"/>
          <w:sz w:val="20"/>
          <w:szCs w:val="20"/>
          <w:highlight w:val="none"/>
        </w:rPr>
        <w:t xml:space="preserve"> </w:t>
      </w:r>
      <w:r>
        <w:rPr>
          <w:rFonts w:ascii="宋体" w:hAnsi="宋体" w:eastAsia="宋体" w:cs="宋体"/>
          <w:color w:val="auto"/>
          <w:spacing w:val="9"/>
          <w:sz w:val="20"/>
          <w:szCs w:val="20"/>
          <w:highlight w:val="none"/>
        </w:rPr>
        <w:t>额定交流频率：50</w:t>
      </w:r>
      <w:r>
        <w:rPr>
          <w:rFonts w:ascii="宋体" w:hAnsi="宋体" w:eastAsia="宋体" w:cs="宋体"/>
          <w:color w:val="auto"/>
          <w:sz w:val="20"/>
          <w:szCs w:val="20"/>
          <w:highlight w:val="none"/>
        </w:rPr>
        <w:t>Hz</w:t>
      </w:r>
    </w:p>
    <w:p w14:paraId="0AF22383">
      <w:pPr>
        <w:spacing w:before="32" w:line="228" w:lineRule="auto"/>
        <w:ind w:left="71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直流电源电压：93.5-121V，电源波纹系数不大于</w:t>
      </w:r>
      <w:r>
        <w:rPr>
          <w:rFonts w:ascii="宋体" w:hAnsi="宋体" w:eastAsia="宋体" w:cs="宋体"/>
          <w:color w:val="auto"/>
          <w:spacing w:val="-30"/>
          <w:sz w:val="20"/>
          <w:szCs w:val="20"/>
          <w:highlight w:val="none"/>
        </w:rPr>
        <w:t xml:space="preserve"> </w:t>
      </w:r>
      <w:r>
        <w:rPr>
          <w:rFonts w:ascii="宋体" w:hAnsi="宋体" w:eastAsia="宋体" w:cs="宋体"/>
          <w:color w:val="auto"/>
          <w:spacing w:val="7"/>
          <w:sz w:val="20"/>
          <w:szCs w:val="20"/>
          <w:highlight w:val="none"/>
        </w:rPr>
        <w:t>5%</w:t>
      </w:r>
    </w:p>
    <w:p w14:paraId="11CB8F1B">
      <w:pPr>
        <w:spacing w:before="123"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3.4.2</w:t>
      </w:r>
      <w:r>
        <w:rPr>
          <w:rFonts w:ascii="宋体" w:hAnsi="宋体" w:eastAsia="宋体" w:cs="宋体"/>
          <w:color w:val="auto"/>
          <w:spacing w:val="7"/>
          <w:sz w:val="20"/>
          <w:szCs w:val="20"/>
          <w:highlight w:val="none"/>
        </w:rPr>
        <w:t xml:space="preserve">  </w:t>
      </w:r>
      <w:r>
        <w:rPr>
          <w:rFonts w:ascii="宋体" w:hAnsi="宋体" w:eastAsia="宋体" w:cs="宋体"/>
          <w:color w:val="auto"/>
          <w:spacing w:val="8"/>
          <w:sz w:val="20"/>
          <w:szCs w:val="20"/>
          <w:highlight w:val="none"/>
        </w:rPr>
        <w:t>微机保护的过载能力:</w:t>
      </w:r>
    </w:p>
    <w:p w14:paraId="3A39E63F">
      <w:pPr>
        <w:spacing w:before="260" w:line="228" w:lineRule="auto"/>
        <w:ind w:left="71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交流电流回路：2</w:t>
      </w:r>
      <w:r>
        <w:rPr>
          <w:rFonts w:ascii="宋体" w:hAnsi="宋体" w:eastAsia="宋体" w:cs="宋体"/>
          <w:color w:val="auto"/>
          <w:spacing w:val="-33"/>
          <w:sz w:val="20"/>
          <w:szCs w:val="20"/>
          <w:highlight w:val="none"/>
        </w:rPr>
        <w:t xml:space="preserve"> </w:t>
      </w:r>
      <w:r>
        <w:rPr>
          <w:rFonts w:ascii="宋体" w:hAnsi="宋体" w:eastAsia="宋体" w:cs="宋体"/>
          <w:color w:val="auto"/>
          <w:spacing w:val="8"/>
          <w:sz w:val="20"/>
          <w:szCs w:val="20"/>
          <w:highlight w:val="none"/>
        </w:rPr>
        <w:t>倍额定电流，连续工作</w:t>
      </w:r>
    </w:p>
    <w:p w14:paraId="2C77C830">
      <w:pPr>
        <w:spacing w:before="221" w:line="228" w:lineRule="auto"/>
        <w:ind w:left="2137"/>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10</w:t>
      </w:r>
      <w:r>
        <w:rPr>
          <w:rFonts w:ascii="宋体" w:hAnsi="宋体" w:eastAsia="宋体" w:cs="宋体"/>
          <w:color w:val="auto"/>
          <w:spacing w:val="-41"/>
          <w:sz w:val="20"/>
          <w:szCs w:val="20"/>
          <w:highlight w:val="none"/>
        </w:rPr>
        <w:t xml:space="preserve"> </w:t>
      </w:r>
      <w:r>
        <w:rPr>
          <w:rFonts w:ascii="宋体" w:hAnsi="宋体" w:eastAsia="宋体" w:cs="宋体"/>
          <w:color w:val="auto"/>
          <w:spacing w:val="6"/>
          <w:sz w:val="20"/>
          <w:szCs w:val="20"/>
          <w:highlight w:val="none"/>
        </w:rPr>
        <w:t>倍额定电流，工作≥10s</w:t>
      </w:r>
    </w:p>
    <w:p w14:paraId="74ACF457">
      <w:pPr>
        <w:spacing w:before="220" w:line="387" w:lineRule="auto"/>
        <w:ind w:left="715" w:right="3912" w:firstLine="140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40</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倍额定电流，工作≥1s</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交流电压回路：1.2</w:t>
      </w:r>
      <w:r>
        <w:rPr>
          <w:rFonts w:ascii="宋体" w:hAnsi="宋体" w:eastAsia="宋体" w:cs="宋体"/>
          <w:color w:val="auto"/>
          <w:spacing w:val="-39"/>
          <w:sz w:val="20"/>
          <w:szCs w:val="20"/>
          <w:highlight w:val="none"/>
        </w:rPr>
        <w:t xml:space="preserve"> </w:t>
      </w:r>
      <w:r>
        <w:rPr>
          <w:rFonts w:ascii="宋体" w:hAnsi="宋体" w:eastAsia="宋体" w:cs="宋体"/>
          <w:color w:val="auto"/>
          <w:spacing w:val="8"/>
          <w:sz w:val="20"/>
          <w:szCs w:val="20"/>
          <w:highlight w:val="none"/>
        </w:rPr>
        <w:t>倍额定电压连续工作</w:t>
      </w:r>
    </w:p>
    <w:p w14:paraId="0F7ED1F1">
      <w:pPr>
        <w:spacing w:before="1" w:line="364" w:lineRule="auto"/>
        <w:ind w:left="27" w:hanging="1"/>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3.4.3   装置应具有独立性、完整性和成套性。被</w:t>
      </w:r>
      <w:r>
        <w:rPr>
          <w:rFonts w:ascii="宋体" w:hAnsi="宋体" w:eastAsia="宋体" w:cs="宋体"/>
          <w:color w:val="auto"/>
          <w:spacing w:val="3"/>
          <w:sz w:val="20"/>
          <w:szCs w:val="20"/>
          <w:highlight w:val="none"/>
        </w:rPr>
        <w:t>保护设备包括发电机、励磁变、主变压器、</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高压厂变、高压启备变（500</w:t>
      </w:r>
      <w:r>
        <w:rPr>
          <w:rFonts w:ascii="宋体" w:hAnsi="宋体" w:eastAsia="宋体" w:cs="宋体"/>
          <w:color w:val="auto"/>
          <w:sz w:val="20"/>
          <w:szCs w:val="20"/>
          <w:highlight w:val="none"/>
        </w:rPr>
        <w:t>kV</w:t>
      </w:r>
      <w:r>
        <w:rPr>
          <w:rFonts w:ascii="宋体" w:hAnsi="宋体" w:eastAsia="宋体" w:cs="宋体"/>
          <w:color w:val="auto"/>
          <w:spacing w:val="-18"/>
          <w:sz w:val="20"/>
          <w:szCs w:val="20"/>
          <w:highlight w:val="none"/>
        </w:rPr>
        <w:t xml:space="preserve"> </w:t>
      </w:r>
      <w:r>
        <w:rPr>
          <w:rFonts w:ascii="宋体" w:hAnsi="宋体" w:eastAsia="宋体" w:cs="宋体"/>
          <w:color w:val="auto"/>
          <w:spacing w:val="4"/>
          <w:sz w:val="20"/>
          <w:szCs w:val="20"/>
          <w:highlight w:val="none"/>
        </w:rPr>
        <w:t>电压等级及以上）等，保护装置按上述元件双重化独立配置，</w:t>
      </w:r>
    </w:p>
    <w:p w14:paraId="1A80AAC7">
      <w:pPr>
        <w:spacing w:line="364" w:lineRule="auto"/>
        <w:rPr>
          <w:rFonts w:ascii="宋体" w:hAnsi="宋体" w:eastAsia="宋体" w:cs="宋体"/>
          <w:color w:val="auto"/>
          <w:sz w:val="20"/>
          <w:szCs w:val="20"/>
          <w:highlight w:val="none"/>
        </w:rPr>
        <w:sectPr>
          <w:pgSz w:w="11906" w:h="16839"/>
          <w:pgMar w:top="1428" w:right="1731" w:bottom="0" w:left="1785" w:header="0" w:footer="0" w:gutter="0"/>
          <w:pgBorders>
            <w:top w:val="none" w:sz="0" w:space="0"/>
            <w:left w:val="none" w:sz="0" w:space="0"/>
            <w:bottom w:val="none" w:sz="0" w:space="0"/>
            <w:right w:val="none" w:sz="0" w:space="0"/>
          </w:pgBorders>
          <w:cols w:space="720" w:num="1"/>
        </w:sectPr>
      </w:pPr>
    </w:p>
    <w:p w14:paraId="5DC4BF25">
      <w:pPr>
        <w:spacing w:before="40" w:line="362" w:lineRule="auto"/>
        <w:ind w:left="31" w:right="70" w:hanging="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非电量保护单套配置。在成套装置内应具有被保护设备所必需的保护功能。投标人应在投标</w:t>
      </w:r>
      <w:r>
        <w:rPr>
          <w:rFonts w:ascii="宋体" w:hAnsi="宋体" w:eastAsia="宋体" w:cs="宋体"/>
          <w:color w:val="auto"/>
          <w:spacing w:val="11"/>
          <w:sz w:val="20"/>
          <w:szCs w:val="20"/>
          <w:highlight w:val="none"/>
        </w:rPr>
        <w:t xml:space="preserve"> </w:t>
      </w:r>
      <w:r>
        <w:rPr>
          <w:rFonts w:ascii="宋体" w:hAnsi="宋体" w:eastAsia="宋体" w:cs="宋体"/>
          <w:color w:val="auto"/>
          <w:spacing w:val="8"/>
          <w:sz w:val="20"/>
          <w:szCs w:val="20"/>
          <w:highlight w:val="none"/>
        </w:rPr>
        <w:t>时提供保护原理及实现方式的具体说明。</w:t>
      </w:r>
    </w:p>
    <w:p w14:paraId="5741C2FE">
      <w:pPr>
        <w:spacing w:before="35" w:line="302" w:lineRule="auto"/>
        <w:ind w:left="21" w:right="70"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3.4.4   各种保护装置的动作特性应不受交流输入</w:t>
      </w:r>
      <w:r>
        <w:rPr>
          <w:rFonts w:ascii="宋体" w:hAnsi="宋体" w:eastAsia="宋体" w:cs="宋体"/>
          <w:color w:val="auto"/>
          <w:spacing w:val="6"/>
          <w:sz w:val="20"/>
          <w:szCs w:val="20"/>
          <w:highlight w:val="none"/>
        </w:rPr>
        <w:t>量的频率变化影响，特别在机组起动时的</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低频状态下。</w:t>
      </w:r>
    </w:p>
    <w:p w14:paraId="67B68F25">
      <w:pPr>
        <w:spacing w:before="161" w:line="302" w:lineRule="auto"/>
        <w:ind w:left="27" w:right="70" w:hanging="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3.4.5   各种保护装置测量元件设定</w:t>
      </w:r>
      <w:r>
        <w:rPr>
          <w:rFonts w:ascii="宋体" w:hAnsi="宋体" w:eastAsia="宋体" w:cs="宋体"/>
          <w:color w:val="auto"/>
          <w:spacing w:val="6"/>
          <w:sz w:val="20"/>
          <w:szCs w:val="20"/>
          <w:highlight w:val="none"/>
        </w:rPr>
        <w:t>值与实际动作值的误差应小于±3%，时间元件的误差应</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小于±3%。各种保护装置的</w:t>
      </w:r>
      <w:r>
        <w:rPr>
          <w:rFonts w:ascii="宋体" w:hAnsi="宋体" w:eastAsia="宋体" w:cs="宋体"/>
          <w:color w:val="auto"/>
          <w:sz w:val="20"/>
          <w:szCs w:val="20"/>
          <w:highlight w:val="none"/>
        </w:rPr>
        <w:t>CPU</w:t>
      </w:r>
      <w:r>
        <w:rPr>
          <w:rFonts w:ascii="宋体" w:hAnsi="宋体" w:eastAsia="宋体" w:cs="宋体"/>
          <w:color w:val="auto"/>
          <w:spacing w:val="-21"/>
          <w:sz w:val="20"/>
          <w:szCs w:val="20"/>
          <w:highlight w:val="none"/>
        </w:rPr>
        <w:t xml:space="preserve"> </w:t>
      </w:r>
      <w:r>
        <w:rPr>
          <w:rFonts w:ascii="宋体" w:hAnsi="宋体" w:eastAsia="宋体" w:cs="宋体"/>
          <w:color w:val="auto"/>
          <w:spacing w:val="9"/>
          <w:sz w:val="20"/>
          <w:szCs w:val="20"/>
          <w:highlight w:val="none"/>
        </w:rPr>
        <w:t>负荷率应小于</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30%。</w:t>
      </w:r>
    </w:p>
    <w:p w14:paraId="7190824C">
      <w:pPr>
        <w:spacing w:before="164" w:line="302" w:lineRule="auto"/>
        <w:ind w:left="22" w:right="69" w:firstLine="4"/>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3.4.6   装置的强电开入回路应与装置保护电源隔离；开入回路的启动电压值</w:t>
      </w:r>
      <w:r>
        <w:rPr>
          <w:rFonts w:ascii="宋体" w:hAnsi="宋体" w:eastAsia="宋体" w:cs="宋体"/>
          <w:color w:val="auto"/>
          <w:spacing w:val="11"/>
          <w:sz w:val="20"/>
          <w:szCs w:val="20"/>
          <w:highlight w:val="none"/>
        </w:rPr>
        <w:t>不大于</w:t>
      </w:r>
      <w:r>
        <w:rPr>
          <w:rFonts w:ascii="宋体" w:hAnsi="宋体" w:eastAsia="宋体" w:cs="宋体"/>
          <w:color w:val="auto"/>
          <w:spacing w:val="-31"/>
          <w:sz w:val="20"/>
          <w:szCs w:val="20"/>
          <w:highlight w:val="none"/>
        </w:rPr>
        <w:t xml:space="preserve"> </w:t>
      </w:r>
      <w:r>
        <w:rPr>
          <w:rFonts w:ascii="宋体" w:hAnsi="宋体" w:eastAsia="宋体" w:cs="宋体"/>
          <w:color w:val="auto"/>
          <w:spacing w:val="11"/>
          <w:sz w:val="20"/>
          <w:szCs w:val="20"/>
          <w:highlight w:val="none"/>
        </w:rPr>
        <w:t>0.7</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倍额定电压值，且不小于</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40"/>
          <w:sz w:val="20"/>
          <w:szCs w:val="20"/>
          <w:highlight w:val="none"/>
        </w:rPr>
        <w:t xml:space="preserve"> </w:t>
      </w:r>
      <w:r>
        <w:rPr>
          <w:rFonts w:ascii="宋体" w:hAnsi="宋体" w:eastAsia="宋体" w:cs="宋体"/>
          <w:color w:val="auto"/>
          <w:spacing w:val="7"/>
          <w:sz w:val="20"/>
          <w:szCs w:val="20"/>
          <w:highlight w:val="none"/>
        </w:rPr>
        <w:t>倍额定电压值，动作速度不小于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7"/>
          <w:sz w:val="20"/>
          <w:szCs w:val="20"/>
          <w:highlight w:val="none"/>
        </w:rPr>
        <w:t>。</w:t>
      </w:r>
    </w:p>
    <w:p w14:paraId="4D780306">
      <w:pPr>
        <w:spacing w:before="161" w:line="302" w:lineRule="auto"/>
        <w:ind w:left="23" w:right="68" w:firstLine="2"/>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3.4.7   所有涉及直接跳闸的回路应采用启</w:t>
      </w:r>
      <w:r>
        <w:rPr>
          <w:rFonts w:ascii="宋体" w:hAnsi="宋体" w:eastAsia="宋体" w:cs="宋体"/>
          <w:color w:val="auto"/>
          <w:spacing w:val="10"/>
          <w:sz w:val="20"/>
          <w:szCs w:val="20"/>
          <w:highlight w:val="none"/>
        </w:rPr>
        <w:t>动电压值不大于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0.7</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倍额定电压值，且不小于</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倍额定电压值的中间继电器，并要求启动功率不低于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5W。</w:t>
      </w:r>
    </w:p>
    <w:p w14:paraId="14502E76">
      <w:pPr>
        <w:spacing w:before="163"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3.4.8   各种保护装置应具备宽广的整定范围，当直流电源消失时整定值不能丢失。</w:t>
      </w:r>
    </w:p>
    <w:p w14:paraId="5849FAD5">
      <w:pPr>
        <w:spacing w:before="163" w:line="301" w:lineRule="auto"/>
        <w:ind w:left="21" w:right="28"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3.4.9   宜采用电流、</w:t>
      </w:r>
      <w:r>
        <w:rPr>
          <w:rFonts w:ascii="宋体" w:hAnsi="宋体" w:eastAsia="宋体" w:cs="宋体"/>
          <w:color w:val="auto"/>
          <w:spacing w:val="-59"/>
          <w:sz w:val="20"/>
          <w:szCs w:val="20"/>
          <w:highlight w:val="none"/>
        </w:rPr>
        <w:t xml:space="preserve"> </w:t>
      </w:r>
      <w:r>
        <w:rPr>
          <w:rFonts w:ascii="宋体" w:hAnsi="宋体" w:eastAsia="宋体" w:cs="宋体"/>
          <w:color w:val="auto"/>
          <w:spacing w:val="7"/>
          <w:sz w:val="20"/>
          <w:szCs w:val="20"/>
          <w:highlight w:val="none"/>
        </w:rPr>
        <w:t>电压电气量判别机组运行状态的</w:t>
      </w:r>
      <w:r>
        <w:rPr>
          <w:rFonts w:ascii="宋体" w:hAnsi="宋体" w:eastAsia="宋体" w:cs="宋体"/>
          <w:color w:val="auto"/>
          <w:spacing w:val="6"/>
          <w:sz w:val="20"/>
          <w:szCs w:val="20"/>
          <w:highlight w:val="none"/>
        </w:rPr>
        <w:t>变化，若采用外部输入接点判别时，</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输入接点异常时应能发出告警信号。</w:t>
      </w:r>
    </w:p>
    <w:p w14:paraId="6D2BD706">
      <w:pPr>
        <w:spacing w:before="162" w:line="303" w:lineRule="auto"/>
        <w:ind w:left="25" w:right="7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3.4.10  保护装置应具备事件记录及故障录波等功</w:t>
      </w:r>
      <w:r>
        <w:rPr>
          <w:rFonts w:ascii="宋体" w:hAnsi="宋体" w:eastAsia="宋体" w:cs="宋体"/>
          <w:color w:val="auto"/>
          <w:spacing w:val="6"/>
          <w:sz w:val="20"/>
          <w:szCs w:val="20"/>
          <w:highlight w:val="none"/>
        </w:rPr>
        <w:t>能，当直流电源消失时，所记录的信息量</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不应丢失。</w:t>
      </w:r>
    </w:p>
    <w:p w14:paraId="7F7AB7F0">
      <w:pPr>
        <w:spacing w:before="160" w:line="228" w:lineRule="auto"/>
        <w:jc w:val="right"/>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3.4.11 事件记录的分辨率应不大于</w:t>
      </w:r>
      <w:r>
        <w:rPr>
          <w:rFonts w:ascii="宋体" w:hAnsi="宋体" w:eastAsia="宋体" w:cs="宋体"/>
          <w:color w:val="auto"/>
          <w:spacing w:val="-31"/>
          <w:sz w:val="20"/>
          <w:szCs w:val="20"/>
          <w:highlight w:val="none"/>
        </w:rPr>
        <w:t xml:space="preserve"> </w:t>
      </w:r>
      <w:r>
        <w:rPr>
          <w:rFonts w:ascii="宋体" w:hAnsi="宋体" w:eastAsia="宋体" w:cs="宋体"/>
          <w:color w:val="auto"/>
          <w:spacing w:val="4"/>
          <w:sz w:val="20"/>
          <w:szCs w:val="20"/>
          <w:highlight w:val="none"/>
        </w:rPr>
        <w:t>1</w:t>
      </w:r>
      <w:r>
        <w:rPr>
          <w:rFonts w:ascii="宋体" w:hAnsi="宋体" w:eastAsia="宋体" w:cs="宋体"/>
          <w:color w:val="auto"/>
          <w:sz w:val="20"/>
          <w:szCs w:val="20"/>
          <w:highlight w:val="none"/>
        </w:rPr>
        <w:t>ms</w:t>
      </w:r>
      <w:r>
        <w:rPr>
          <w:rFonts w:ascii="宋体" w:hAnsi="宋体" w:eastAsia="宋体" w:cs="宋体"/>
          <w:color w:val="auto"/>
          <w:spacing w:val="4"/>
          <w:sz w:val="20"/>
          <w:szCs w:val="20"/>
          <w:highlight w:val="none"/>
        </w:rPr>
        <w:t>，故障录波每个录波的最大持续时间不小</w:t>
      </w:r>
      <w:r>
        <w:rPr>
          <w:rFonts w:ascii="宋体" w:hAnsi="宋体" w:eastAsia="宋体" w:cs="宋体"/>
          <w:color w:val="auto"/>
          <w:spacing w:val="3"/>
          <w:sz w:val="20"/>
          <w:szCs w:val="20"/>
          <w:highlight w:val="none"/>
        </w:rPr>
        <w:t>于</w:t>
      </w:r>
      <w:r>
        <w:rPr>
          <w:rFonts w:ascii="宋体" w:hAnsi="宋体" w:eastAsia="宋体" w:cs="宋体"/>
          <w:color w:val="auto"/>
          <w:spacing w:val="-31"/>
          <w:sz w:val="20"/>
          <w:szCs w:val="20"/>
          <w:highlight w:val="none"/>
        </w:rPr>
        <w:t xml:space="preserve"> </w:t>
      </w:r>
      <w:r>
        <w:rPr>
          <w:rFonts w:ascii="宋体" w:hAnsi="宋体" w:eastAsia="宋体" w:cs="宋体"/>
          <w:color w:val="auto"/>
          <w:spacing w:val="3"/>
          <w:sz w:val="20"/>
          <w:szCs w:val="20"/>
          <w:highlight w:val="none"/>
        </w:rPr>
        <w:t>10</w:t>
      </w:r>
      <w:r>
        <w:rPr>
          <w:rFonts w:ascii="宋体" w:hAnsi="宋体" w:eastAsia="宋体" w:cs="宋体"/>
          <w:color w:val="auto"/>
          <w:spacing w:val="-47"/>
          <w:sz w:val="20"/>
          <w:szCs w:val="20"/>
          <w:highlight w:val="none"/>
        </w:rPr>
        <w:t xml:space="preserve"> </w:t>
      </w:r>
      <w:r>
        <w:rPr>
          <w:rFonts w:ascii="宋体" w:hAnsi="宋体" w:eastAsia="宋体" w:cs="宋体"/>
          <w:color w:val="auto"/>
          <w:spacing w:val="3"/>
          <w:sz w:val="20"/>
          <w:szCs w:val="20"/>
          <w:highlight w:val="none"/>
        </w:rPr>
        <w:t>周波。</w:t>
      </w:r>
    </w:p>
    <w:p w14:paraId="29C5ED04">
      <w:pPr>
        <w:spacing w:before="162" w:line="340" w:lineRule="auto"/>
        <w:ind w:left="17" w:right="67" w:firstLine="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3.4.12  采样回路应采用A/D</w:t>
      </w:r>
      <w:r>
        <w:rPr>
          <w:rFonts w:ascii="宋体" w:hAnsi="宋体" w:eastAsia="宋体" w:cs="宋体"/>
          <w:color w:val="auto"/>
          <w:spacing w:val="-37"/>
          <w:sz w:val="20"/>
          <w:szCs w:val="20"/>
          <w:highlight w:val="none"/>
        </w:rPr>
        <w:t xml:space="preserve"> </w:t>
      </w:r>
      <w:r>
        <w:rPr>
          <w:rFonts w:ascii="宋体" w:hAnsi="宋体" w:eastAsia="宋体" w:cs="宋体"/>
          <w:color w:val="auto"/>
          <w:spacing w:val="8"/>
          <w:sz w:val="20"/>
          <w:szCs w:val="20"/>
          <w:highlight w:val="none"/>
        </w:rPr>
        <w:t>冗余结构（公用一个电压或电流源</w:t>
      </w:r>
      <w:r>
        <w:rPr>
          <w:rFonts w:ascii="宋体" w:hAnsi="宋体" w:eastAsia="宋体" w:cs="宋体"/>
          <w:color w:val="auto"/>
          <w:spacing w:val="-49"/>
          <w:sz w:val="20"/>
          <w:szCs w:val="20"/>
          <w:highlight w:val="none"/>
        </w:rPr>
        <w:t>），</w:t>
      </w:r>
      <w:r>
        <w:rPr>
          <w:rFonts w:ascii="宋体" w:hAnsi="宋体" w:eastAsia="宋体" w:cs="宋体"/>
          <w:color w:val="auto"/>
          <w:spacing w:val="8"/>
          <w:sz w:val="20"/>
          <w:szCs w:val="20"/>
          <w:highlight w:val="none"/>
        </w:rPr>
        <w:t>采样频率不应低</w:t>
      </w:r>
      <w:r>
        <w:rPr>
          <w:rFonts w:ascii="宋体" w:hAnsi="宋体" w:eastAsia="宋体" w:cs="宋体"/>
          <w:color w:val="auto"/>
          <w:spacing w:val="7"/>
          <w:sz w:val="20"/>
          <w:szCs w:val="20"/>
          <w:highlight w:val="none"/>
        </w:rPr>
        <w:t>于</w:t>
      </w:r>
      <w:r>
        <w:rPr>
          <w:rFonts w:ascii="宋体" w:hAnsi="宋体" w:eastAsia="宋体" w:cs="宋体"/>
          <w:color w:val="auto"/>
          <w:spacing w:val="-26"/>
          <w:sz w:val="20"/>
          <w:szCs w:val="20"/>
          <w:highlight w:val="none"/>
        </w:rPr>
        <w:t xml:space="preserve"> </w:t>
      </w:r>
      <w:r>
        <w:rPr>
          <w:rFonts w:ascii="宋体" w:hAnsi="宋体" w:eastAsia="宋体" w:cs="宋体"/>
          <w:color w:val="auto"/>
          <w:spacing w:val="7"/>
          <w:sz w:val="20"/>
          <w:szCs w:val="20"/>
          <w:highlight w:val="none"/>
        </w:rPr>
        <w:t>1000</w:t>
      </w:r>
      <w:r>
        <w:rPr>
          <w:rFonts w:ascii="宋体" w:hAnsi="宋体" w:eastAsia="宋体" w:cs="宋体"/>
          <w:color w:val="auto"/>
          <w:sz w:val="20"/>
          <w:szCs w:val="20"/>
          <w:highlight w:val="none"/>
        </w:rPr>
        <w:t xml:space="preserve"> Hz</w:t>
      </w:r>
      <w:r>
        <w:rPr>
          <w:rFonts w:ascii="宋体" w:hAnsi="宋体" w:eastAsia="宋体" w:cs="宋体"/>
          <w:color w:val="auto"/>
          <w:spacing w:val="9"/>
          <w:sz w:val="20"/>
          <w:szCs w:val="20"/>
          <w:highlight w:val="none"/>
        </w:rPr>
        <w:t>。保护装置的每个电流采样回路应能满足</w:t>
      </w:r>
      <w:r>
        <w:rPr>
          <w:rFonts w:ascii="宋体" w:hAnsi="宋体" w:eastAsia="宋体" w:cs="宋体"/>
          <w:color w:val="auto"/>
          <w:spacing w:val="-18"/>
          <w:sz w:val="20"/>
          <w:szCs w:val="20"/>
          <w:highlight w:val="none"/>
        </w:rPr>
        <w:t xml:space="preserve"> </w:t>
      </w:r>
      <w:r>
        <w:rPr>
          <w:rFonts w:ascii="宋体" w:hAnsi="宋体" w:eastAsia="宋体" w:cs="宋体"/>
          <w:color w:val="auto"/>
          <w:spacing w:val="9"/>
          <w:sz w:val="20"/>
          <w:szCs w:val="20"/>
          <w:highlight w:val="none"/>
        </w:rPr>
        <w:t>0.1</w:t>
      </w:r>
      <w:r>
        <w:rPr>
          <w:rFonts w:ascii="宋体" w:hAnsi="宋体" w:eastAsia="宋体" w:cs="宋体"/>
          <w:color w:val="auto"/>
          <w:sz w:val="20"/>
          <w:szCs w:val="20"/>
          <w:highlight w:val="none"/>
        </w:rPr>
        <w:t>IN</w:t>
      </w:r>
      <w:r>
        <w:rPr>
          <w:rFonts w:ascii="宋体" w:hAnsi="宋体" w:eastAsia="宋体" w:cs="宋体"/>
          <w:color w:val="auto"/>
          <w:spacing w:val="-15"/>
          <w:sz w:val="20"/>
          <w:szCs w:val="20"/>
          <w:highlight w:val="none"/>
        </w:rPr>
        <w:t xml:space="preserve"> </w:t>
      </w:r>
      <w:r>
        <w:rPr>
          <w:rFonts w:ascii="宋体" w:hAnsi="宋体" w:eastAsia="宋体" w:cs="宋体"/>
          <w:color w:val="auto"/>
          <w:spacing w:val="9"/>
          <w:sz w:val="20"/>
          <w:szCs w:val="20"/>
          <w:highlight w:val="none"/>
        </w:rPr>
        <w:t>以下使用要求，在（0.05～30）</w:t>
      </w:r>
      <w:r>
        <w:rPr>
          <w:rFonts w:ascii="宋体" w:hAnsi="宋体" w:eastAsia="宋体" w:cs="宋体"/>
          <w:color w:val="auto"/>
          <w:sz w:val="20"/>
          <w:szCs w:val="20"/>
          <w:highlight w:val="none"/>
        </w:rPr>
        <w:t>IN</w:t>
      </w:r>
      <w:r>
        <w:rPr>
          <w:rFonts w:ascii="宋体" w:hAnsi="宋体" w:eastAsia="宋体" w:cs="宋体"/>
          <w:color w:val="auto"/>
          <w:spacing w:val="-28"/>
          <w:sz w:val="20"/>
          <w:szCs w:val="20"/>
          <w:highlight w:val="none"/>
        </w:rPr>
        <w:t xml:space="preserve"> </w:t>
      </w:r>
      <w:r>
        <w:rPr>
          <w:rFonts w:ascii="宋体" w:hAnsi="宋体" w:eastAsia="宋体" w:cs="宋体"/>
          <w:color w:val="auto"/>
          <w:spacing w:val="9"/>
          <w:sz w:val="20"/>
          <w:szCs w:val="20"/>
          <w:highlight w:val="none"/>
        </w:rPr>
        <w:t>时相</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对误差不大于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5%或绝对误差不大于</w:t>
      </w:r>
      <w:r>
        <w:rPr>
          <w:rFonts w:ascii="宋体" w:hAnsi="宋体" w:eastAsia="宋体" w:cs="宋体"/>
          <w:color w:val="auto"/>
          <w:spacing w:val="-37"/>
          <w:sz w:val="20"/>
          <w:szCs w:val="20"/>
          <w:highlight w:val="none"/>
        </w:rPr>
        <w:t xml:space="preserve"> </w:t>
      </w:r>
      <w:r>
        <w:rPr>
          <w:rFonts w:ascii="宋体" w:hAnsi="宋体" w:eastAsia="宋体" w:cs="宋体"/>
          <w:color w:val="auto"/>
          <w:spacing w:val="11"/>
          <w:sz w:val="20"/>
          <w:szCs w:val="20"/>
          <w:highlight w:val="none"/>
        </w:rPr>
        <w:t>2%</w:t>
      </w:r>
      <w:r>
        <w:rPr>
          <w:rFonts w:ascii="宋体" w:hAnsi="宋体" w:eastAsia="宋体" w:cs="宋体"/>
          <w:color w:val="auto"/>
          <w:sz w:val="20"/>
          <w:szCs w:val="20"/>
          <w:highlight w:val="none"/>
        </w:rPr>
        <w:t>IN</w:t>
      </w:r>
      <w:r>
        <w:rPr>
          <w:rFonts w:ascii="宋体" w:hAnsi="宋体" w:eastAsia="宋体" w:cs="宋体"/>
          <w:color w:val="auto"/>
          <w:spacing w:val="11"/>
          <w:sz w:val="20"/>
          <w:szCs w:val="20"/>
          <w:highlight w:val="none"/>
        </w:rPr>
        <w:t>。启动和故障判别功能宜由不同</w:t>
      </w:r>
      <w:r>
        <w:rPr>
          <w:rFonts w:ascii="宋体" w:hAnsi="宋体" w:eastAsia="宋体" w:cs="宋体"/>
          <w:color w:val="auto"/>
          <w:spacing w:val="10"/>
          <w:sz w:val="20"/>
          <w:szCs w:val="20"/>
          <w:highlight w:val="none"/>
        </w:rPr>
        <w:t>的</w:t>
      </w:r>
      <w:r>
        <w:rPr>
          <w:rFonts w:ascii="宋体" w:hAnsi="宋体" w:eastAsia="宋体" w:cs="宋体"/>
          <w:color w:val="auto"/>
          <w:sz w:val="20"/>
          <w:szCs w:val="20"/>
          <w:highlight w:val="none"/>
        </w:rPr>
        <w:t>CPU</w:t>
      </w:r>
      <w:r>
        <w:rPr>
          <w:rFonts w:ascii="宋体" w:hAnsi="宋体" w:eastAsia="宋体" w:cs="宋体"/>
          <w:color w:val="auto"/>
          <w:spacing w:val="-38"/>
          <w:sz w:val="20"/>
          <w:szCs w:val="20"/>
          <w:highlight w:val="none"/>
        </w:rPr>
        <w:t xml:space="preserve"> </w:t>
      </w:r>
      <w:r>
        <w:rPr>
          <w:rFonts w:ascii="宋体" w:hAnsi="宋体" w:eastAsia="宋体" w:cs="宋体"/>
          <w:color w:val="auto"/>
          <w:spacing w:val="10"/>
          <w:sz w:val="20"/>
          <w:szCs w:val="20"/>
          <w:highlight w:val="none"/>
        </w:rPr>
        <w:t>完成，保护</w:t>
      </w:r>
      <w:r>
        <w:rPr>
          <w:rFonts w:ascii="宋体" w:hAnsi="宋体" w:eastAsia="宋体" w:cs="宋体"/>
          <w:color w:val="auto"/>
          <w:sz w:val="20"/>
          <w:szCs w:val="20"/>
          <w:highlight w:val="none"/>
        </w:rPr>
        <w:t xml:space="preserve"> </w:t>
      </w:r>
      <w:r>
        <w:rPr>
          <w:rFonts w:ascii="宋体" w:hAnsi="宋体" w:eastAsia="宋体" w:cs="宋体"/>
          <w:color w:val="auto"/>
          <w:spacing w:val="15"/>
          <w:sz w:val="20"/>
          <w:szCs w:val="20"/>
          <w:highlight w:val="none"/>
        </w:rPr>
        <w:t>出口宜由不同</w:t>
      </w:r>
      <w:r>
        <w:rPr>
          <w:rFonts w:ascii="宋体" w:hAnsi="宋体" w:eastAsia="宋体" w:cs="宋体"/>
          <w:color w:val="auto"/>
          <w:sz w:val="20"/>
          <w:szCs w:val="20"/>
          <w:highlight w:val="none"/>
        </w:rPr>
        <w:t>CPU</w:t>
      </w:r>
      <w:r>
        <w:rPr>
          <w:rFonts w:ascii="宋体" w:hAnsi="宋体" w:eastAsia="宋体" w:cs="宋体"/>
          <w:color w:val="auto"/>
          <w:spacing w:val="-42"/>
          <w:sz w:val="20"/>
          <w:szCs w:val="20"/>
          <w:highlight w:val="none"/>
        </w:rPr>
        <w:t xml:space="preserve"> </w:t>
      </w:r>
      <w:r>
        <w:rPr>
          <w:rFonts w:ascii="宋体" w:hAnsi="宋体" w:eastAsia="宋体" w:cs="宋体"/>
          <w:color w:val="auto"/>
          <w:spacing w:val="15"/>
          <w:sz w:val="20"/>
          <w:szCs w:val="20"/>
          <w:highlight w:val="none"/>
        </w:rPr>
        <w:t>控制。</w:t>
      </w:r>
    </w:p>
    <w:p w14:paraId="5361D21F">
      <w:pPr>
        <w:spacing w:before="163" w:line="302" w:lineRule="auto"/>
        <w:ind w:left="23" w:right="70" w:firstLine="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3.4.13  保护装置应具有同步时钟对时功能，具有</w:t>
      </w:r>
      <w:r>
        <w:rPr>
          <w:rFonts w:ascii="宋体" w:hAnsi="宋体" w:eastAsia="宋体" w:cs="宋体"/>
          <w:color w:val="auto"/>
          <w:spacing w:val="6"/>
          <w:sz w:val="20"/>
          <w:szCs w:val="20"/>
          <w:highlight w:val="none"/>
        </w:rPr>
        <w:t>硬对时和软对时接口，可采用接收同步时</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钟发出</w:t>
      </w:r>
      <w:r>
        <w:rPr>
          <w:rFonts w:ascii="宋体" w:hAnsi="宋体" w:eastAsia="宋体" w:cs="宋体"/>
          <w:color w:val="auto"/>
          <w:spacing w:val="-27"/>
          <w:sz w:val="20"/>
          <w:szCs w:val="20"/>
          <w:highlight w:val="none"/>
        </w:rPr>
        <w:t xml:space="preserve"> </w:t>
      </w:r>
      <w:r>
        <w:rPr>
          <w:rFonts w:ascii="宋体" w:hAnsi="宋体" w:eastAsia="宋体" w:cs="宋体"/>
          <w:color w:val="auto"/>
          <w:sz w:val="20"/>
          <w:szCs w:val="20"/>
          <w:highlight w:val="none"/>
        </w:rPr>
        <w:t>IRIG</w:t>
      </w:r>
      <w:r>
        <w:rPr>
          <w:rFonts w:ascii="宋体" w:hAnsi="宋体" w:eastAsia="宋体" w:cs="宋体"/>
          <w:color w:val="auto"/>
          <w:spacing w:val="9"/>
          <w:sz w:val="20"/>
          <w:szCs w:val="20"/>
          <w:highlight w:val="none"/>
        </w:rPr>
        <w:t>-B（</w:t>
      </w:r>
      <w:r>
        <w:rPr>
          <w:rFonts w:ascii="宋体" w:hAnsi="宋体" w:eastAsia="宋体" w:cs="宋体"/>
          <w:color w:val="auto"/>
          <w:sz w:val="20"/>
          <w:szCs w:val="20"/>
          <w:highlight w:val="none"/>
        </w:rPr>
        <w:t>DC</w:t>
      </w:r>
      <w:r>
        <w:rPr>
          <w:rFonts w:ascii="宋体" w:hAnsi="宋体" w:eastAsia="宋体" w:cs="宋体"/>
          <w:color w:val="auto"/>
          <w:spacing w:val="9"/>
          <w:sz w:val="20"/>
          <w:szCs w:val="20"/>
          <w:highlight w:val="none"/>
        </w:rPr>
        <w:t>）作为对时信号源，对时误差</w:t>
      </w:r>
      <w:r>
        <w:rPr>
          <w:rFonts w:ascii="宋体" w:hAnsi="宋体" w:eastAsia="宋体" w:cs="宋体"/>
          <w:color w:val="auto"/>
          <w:spacing w:val="8"/>
          <w:sz w:val="20"/>
          <w:szCs w:val="20"/>
          <w:highlight w:val="none"/>
        </w:rPr>
        <w:t xml:space="preserve">&lt;1 </w:t>
      </w:r>
      <w:r>
        <w:rPr>
          <w:rFonts w:ascii="宋体" w:hAnsi="宋体" w:eastAsia="宋体" w:cs="宋体"/>
          <w:color w:val="auto"/>
          <w:sz w:val="20"/>
          <w:szCs w:val="20"/>
          <w:highlight w:val="none"/>
        </w:rPr>
        <w:t>ms</w:t>
      </w:r>
      <w:r>
        <w:rPr>
          <w:rFonts w:ascii="宋体" w:hAnsi="宋体" w:eastAsia="宋体" w:cs="宋体"/>
          <w:color w:val="auto"/>
          <w:spacing w:val="8"/>
          <w:sz w:val="20"/>
          <w:szCs w:val="20"/>
          <w:highlight w:val="none"/>
        </w:rPr>
        <w:t>。</w:t>
      </w:r>
    </w:p>
    <w:p w14:paraId="580F4E24">
      <w:pPr>
        <w:spacing w:before="161" w:line="302" w:lineRule="auto"/>
        <w:ind w:left="20" w:right="68"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3.4.14  保护装置中的各类保护，应设有方便的投退功能</w:t>
      </w:r>
      <w:r>
        <w:rPr>
          <w:rFonts w:ascii="宋体" w:hAnsi="宋体" w:eastAsia="宋体" w:cs="宋体"/>
          <w:color w:val="auto"/>
          <w:spacing w:val="6"/>
          <w:sz w:val="20"/>
          <w:szCs w:val="20"/>
          <w:highlight w:val="none"/>
        </w:rPr>
        <w:t>，并能在装置面板上显示，保护设</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置跳闸出口压板。</w:t>
      </w:r>
    </w:p>
    <w:p w14:paraId="1625536F">
      <w:pPr>
        <w:spacing w:before="163" w:line="347" w:lineRule="auto"/>
        <w:ind w:left="25" w:right="6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3.4.15  保护装置应具备在线连续监视和自检功能，装置</w:t>
      </w:r>
      <w:r>
        <w:rPr>
          <w:rFonts w:ascii="宋体" w:hAnsi="宋体" w:eastAsia="宋体" w:cs="宋体"/>
          <w:color w:val="auto"/>
          <w:spacing w:val="6"/>
          <w:sz w:val="20"/>
          <w:szCs w:val="20"/>
          <w:highlight w:val="none"/>
        </w:rPr>
        <w:t>故障时，应发出相应的信号，且不</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能造成保护误动作，包括保护硬件损坏、功能失效和二次回路异常运行状态的自动检测。除</w:t>
      </w:r>
      <w:r>
        <w:rPr>
          <w:rFonts w:ascii="宋体" w:hAnsi="宋体" w:eastAsia="宋体" w:cs="宋体"/>
          <w:color w:val="auto"/>
          <w:spacing w:val="14"/>
          <w:sz w:val="20"/>
          <w:szCs w:val="20"/>
          <w:highlight w:val="none"/>
        </w:rPr>
        <w:t xml:space="preserve"> </w:t>
      </w:r>
      <w:r>
        <w:rPr>
          <w:rFonts w:ascii="宋体" w:hAnsi="宋体" w:eastAsia="宋体" w:cs="宋体"/>
          <w:color w:val="auto"/>
          <w:spacing w:val="7"/>
          <w:sz w:val="20"/>
          <w:szCs w:val="20"/>
          <w:highlight w:val="none"/>
        </w:rPr>
        <w:t>出口继电器外，装置内的任一元件损坏时，装置不应误动作跳闸，自动检测回路应能发出告</w:t>
      </w:r>
      <w:r>
        <w:rPr>
          <w:rFonts w:ascii="宋体" w:hAnsi="宋体" w:eastAsia="宋体" w:cs="宋体"/>
          <w:color w:val="auto"/>
          <w:spacing w:val="14"/>
          <w:sz w:val="20"/>
          <w:szCs w:val="20"/>
          <w:highlight w:val="none"/>
        </w:rPr>
        <w:t xml:space="preserve"> </w:t>
      </w:r>
      <w:r>
        <w:rPr>
          <w:rFonts w:ascii="宋体" w:hAnsi="宋体" w:eastAsia="宋体" w:cs="宋体"/>
          <w:color w:val="auto"/>
          <w:spacing w:val="7"/>
          <w:sz w:val="20"/>
          <w:szCs w:val="20"/>
          <w:highlight w:val="none"/>
        </w:rPr>
        <w:t>警或装置异常信号，并给出有关信息指明损坏元件的所在部位，在最不利情况下应能将故障</w:t>
      </w:r>
      <w:r>
        <w:rPr>
          <w:rFonts w:ascii="宋体" w:hAnsi="宋体" w:eastAsia="宋体" w:cs="宋体"/>
          <w:color w:val="auto"/>
          <w:spacing w:val="11"/>
          <w:sz w:val="20"/>
          <w:szCs w:val="20"/>
          <w:highlight w:val="none"/>
        </w:rPr>
        <w:t xml:space="preserve"> </w:t>
      </w:r>
      <w:r>
        <w:rPr>
          <w:rFonts w:ascii="宋体" w:hAnsi="宋体" w:eastAsia="宋体" w:cs="宋体"/>
          <w:color w:val="auto"/>
          <w:sz w:val="20"/>
          <w:szCs w:val="20"/>
          <w:highlight w:val="none"/>
        </w:rPr>
        <w:t>定位至模块（插件）。</w:t>
      </w:r>
    </w:p>
    <w:p w14:paraId="22B5BFCE">
      <w:pPr>
        <w:spacing w:before="161"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3.4.16 保护装置各保护软件在任何情况下都不得相互影响。</w:t>
      </w:r>
    </w:p>
    <w:p w14:paraId="426E8E74">
      <w:pPr>
        <w:spacing w:before="163" w:line="340" w:lineRule="auto"/>
        <w:ind w:left="22" w:right="68" w:firstLine="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3.4.17  发变组保护、启备变保护各设置一面保护</w:t>
      </w:r>
      <w:r>
        <w:rPr>
          <w:rFonts w:ascii="宋体" w:hAnsi="宋体" w:eastAsia="宋体" w:cs="宋体"/>
          <w:color w:val="auto"/>
          <w:spacing w:val="6"/>
          <w:sz w:val="20"/>
          <w:szCs w:val="20"/>
          <w:highlight w:val="none"/>
        </w:rPr>
        <w:t>管理机屏，负责发变组保护或启备变保护</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的各套保护装置的通讯接口的组合，传输保护装置的各种信息以及进行远方诊断和整定。保</w:t>
      </w:r>
      <w:r>
        <w:rPr>
          <w:rFonts w:ascii="宋体" w:hAnsi="宋体" w:eastAsia="宋体" w:cs="宋体"/>
          <w:color w:val="auto"/>
          <w:spacing w:val="15"/>
          <w:sz w:val="20"/>
          <w:szCs w:val="20"/>
          <w:highlight w:val="none"/>
        </w:rPr>
        <w:t xml:space="preserve"> </w:t>
      </w:r>
      <w:r>
        <w:rPr>
          <w:rFonts w:ascii="宋体" w:hAnsi="宋体" w:eastAsia="宋体" w:cs="宋体"/>
          <w:color w:val="auto"/>
          <w:spacing w:val="8"/>
          <w:sz w:val="20"/>
          <w:szCs w:val="20"/>
          <w:highlight w:val="none"/>
        </w:rPr>
        <w:t>护管理机采用工控机，大于等于</w:t>
      </w:r>
      <w:r>
        <w:rPr>
          <w:rFonts w:ascii="宋体" w:hAnsi="宋体" w:eastAsia="宋体" w:cs="宋体"/>
          <w:color w:val="auto"/>
          <w:spacing w:val="-38"/>
          <w:sz w:val="20"/>
          <w:szCs w:val="20"/>
          <w:highlight w:val="none"/>
        </w:rPr>
        <w:t xml:space="preserve"> </w:t>
      </w:r>
      <w:r>
        <w:rPr>
          <w:rFonts w:ascii="宋体" w:hAnsi="宋体" w:eastAsia="宋体" w:cs="宋体"/>
          <w:color w:val="auto"/>
          <w:spacing w:val="8"/>
          <w:sz w:val="20"/>
          <w:szCs w:val="20"/>
          <w:highlight w:val="none"/>
        </w:rPr>
        <w:t>4</w:t>
      </w:r>
      <w:r>
        <w:rPr>
          <w:rFonts w:ascii="宋体" w:hAnsi="宋体" w:eastAsia="宋体" w:cs="宋体"/>
          <w:color w:val="auto"/>
          <w:spacing w:val="-33"/>
          <w:sz w:val="20"/>
          <w:szCs w:val="20"/>
          <w:highlight w:val="none"/>
        </w:rPr>
        <w:t xml:space="preserve"> </w:t>
      </w:r>
      <w:r>
        <w:rPr>
          <w:rFonts w:ascii="宋体" w:hAnsi="宋体" w:eastAsia="宋体" w:cs="宋体"/>
          <w:color w:val="auto"/>
          <w:spacing w:val="8"/>
          <w:sz w:val="20"/>
          <w:szCs w:val="20"/>
          <w:highlight w:val="none"/>
        </w:rPr>
        <w:t>核</w:t>
      </w:r>
      <w:r>
        <w:rPr>
          <w:rFonts w:ascii="宋体" w:hAnsi="宋体" w:eastAsia="宋体" w:cs="宋体"/>
          <w:color w:val="auto"/>
          <w:spacing w:val="-38"/>
          <w:sz w:val="20"/>
          <w:szCs w:val="20"/>
          <w:highlight w:val="none"/>
        </w:rPr>
        <w:t xml:space="preserve"> </w:t>
      </w:r>
      <w:r>
        <w:rPr>
          <w:rFonts w:ascii="宋体" w:hAnsi="宋体" w:eastAsia="宋体" w:cs="宋体"/>
          <w:color w:val="auto"/>
          <w:sz w:val="20"/>
          <w:szCs w:val="20"/>
          <w:highlight w:val="none"/>
        </w:rPr>
        <w:t>CPU</w:t>
      </w:r>
      <w:r>
        <w:rPr>
          <w:rFonts w:ascii="宋体" w:hAnsi="宋体" w:eastAsia="宋体" w:cs="宋体"/>
          <w:color w:val="auto"/>
          <w:spacing w:val="8"/>
          <w:sz w:val="20"/>
          <w:szCs w:val="20"/>
          <w:highlight w:val="none"/>
        </w:rPr>
        <w:t>，主频</w:t>
      </w:r>
      <w:r>
        <w:rPr>
          <w:rFonts w:ascii="宋体" w:hAnsi="宋体" w:eastAsia="宋体" w:cs="宋体"/>
          <w:color w:val="auto"/>
          <w:spacing w:val="-34"/>
          <w:sz w:val="20"/>
          <w:szCs w:val="20"/>
          <w:highlight w:val="none"/>
        </w:rPr>
        <w:t xml:space="preserve"> </w:t>
      </w:r>
      <w:r>
        <w:rPr>
          <w:rFonts w:ascii="宋体" w:hAnsi="宋体" w:eastAsia="宋体" w:cs="宋体"/>
          <w:color w:val="auto"/>
          <w:spacing w:val="8"/>
          <w:sz w:val="20"/>
          <w:szCs w:val="20"/>
          <w:highlight w:val="none"/>
        </w:rPr>
        <w:t>2.7</w:t>
      </w:r>
      <w:r>
        <w:rPr>
          <w:rFonts w:ascii="宋体" w:hAnsi="宋体" w:eastAsia="宋体" w:cs="宋体"/>
          <w:color w:val="auto"/>
          <w:sz w:val="20"/>
          <w:szCs w:val="20"/>
          <w:highlight w:val="none"/>
        </w:rPr>
        <w:t>GHz</w:t>
      </w:r>
      <w:r>
        <w:rPr>
          <w:rFonts w:ascii="宋体" w:hAnsi="宋体" w:eastAsia="宋体" w:cs="宋体"/>
          <w:color w:val="auto"/>
          <w:spacing w:val="-39"/>
          <w:sz w:val="20"/>
          <w:szCs w:val="20"/>
          <w:highlight w:val="none"/>
        </w:rPr>
        <w:t xml:space="preserve"> </w:t>
      </w:r>
      <w:r>
        <w:rPr>
          <w:rFonts w:ascii="宋体" w:hAnsi="宋体" w:eastAsia="宋体" w:cs="宋体"/>
          <w:color w:val="auto"/>
          <w:spacing w:val="8"/>
          <w:sz w:val="20"/>
          <w:szCs w:val="20"/>
          <w:highlight w:val="none"/>
        </w:rPr>
        <w:t>及以上，16G 内存，1T</w:t>
      </w:r>
      <w:r>
        <w:rPr>
          <w:rFonts w:ascii="宋体" w:hAnsi="宋体" w:eastAsia="宋体" w:cs="宋体"/>
          <w:color w:val="auto"/>
          <w:spacing w:val="-38"/>
          <w:sz w:val="20"/>
          <w:szCs w:val="20"/>
          <w:highlight w:val="none"/>
        </w:rPr>
        <w:t xml:space="preserve"> </w:t>
      </w:r>
      <w:r>
        <w:rPr>
          <w:rFonts w:ascii="宋体" w:hAnsi="宋体" w:eastAsia="宋体" w:cs="宋体"/>
          <w:color w:val="auto"/>
          <w:spacing w:val="8"/>
          <w:sz w:val="20"/>
          <w:szCs w:val="20"/>
          <w:highlight w:val="none"/>
        </w:rPr>
        <w:t>硬盘</w:t>
      </w:r>
      <w:r>
        <w:rPr>
          <w:rFonts w:ascii="宋体" w:hAnsi="宋体" w:eastAsia="宋体" w:cs="宋体"/>
          <w:color w:val="auto"/>
          <w:spacing w:val="7"/>
          <w:sz w:val="20"/>
          <w:szCs w:val="20"/>
          <w:highlight w:val="none"/>
        </w:rPr>
        <w:t>配套提</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供后台监控软件，操作系统采用国产安全操作系统，并在该屏上配打印机。屏内设以太网交</w:t>
      </w:r>
    </w:p>
    <w:p w14:paraId="0B6BCC8E">
      <w:pPr>
        <w:spacing w:line="340" w:lineRule="auto"/>
        <w:rPr>
          <w:rFonts w:ascii="宋体" w:hAnsi="宋体" w:eastAsia="宋体" w:cs="宋体"/>
          <w:color w:val="auto"/>
          <w:sz w:val="20"/>
          <w:szCs w:val="20"/>
          <w:highlight w:val="none"/>
        </w:rPr>
        <w:sectPr>
          <w:pgSz w:w="11906" w:h="16839"/>
          <w:pgMar w:top="1428" w:right="1731" w:bottom="0" w:left="1785" w:header="0" w:footer="0" w:gutter="0"/>
          <w:pgBorders>
            <w:top w:val="none" w:sz="0" w:space="0"/>
            <w:left w:val="none" w:sz="0" w:space="0"/>
            <w:bottom w:val="none" w:sz="0" w:space="0"/>
            <w:right w:val="none" w:sz="0" w:space="0"/>
          </w:pgBorders>
          <w:cols w:space="720" w:num="1"/>
        </w:sectPr>
      </w:pPr>
    </w:p>
    <w:p w14:paraId="4135A007">
      <w:pPr>
        <w:spacing w:before="41" w:line="227" w:lineRule="auto"/>
        <w:ind w:left="2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换机，保护管理机与保护装置采用以太网通讯。</w:t>
      </w:r>
    </w:p>
    <w:p w14:paraId="49DE2265">
      <w:pPr>
        <w:spacing w:before="161" w:line="303" w:lineRule="auto"/>
        <w:ind w:left="25" w:right="1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3.4.18  所有保护装置在谐波、直流分量、励磁</w:t>
      </w:r>
      <w:r>
        <w:rPr>
          <w:rFonts w:ascii="宋体" w:hAnsi="宋体" w:eastAsia="宋体" w:cs="宋体"/>
          <w:color w:val="auto"/>
          <w:spacing w:val="7"/>
          <w:sz w:val="20"/>
          <w:szCs w:val="20"/>
          <w:highlight w:val="none"/>
        </w:rPr>
        <w:t>涌流及穿越性短路电流稳态和瞬态影响下，</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不应误动作。交、直流输入回路不应外接抗干扰元件来满足有关电磁兼容标准的要求。</w:t>
      </w:r>
    </w:p>
    <w:p w14:paraId="5EAD29E0">
      <w:pPr>
        <w:spacing w:before="162" w:line="327" w:lineRule="auto"/>
        <w:ind w:left="21" w:right="54"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3.4.19  在雷电过电压、一次回路操作、配电装置故障及</w:t>
      </w:r>
      <w:r>
        <w:rPr>
          <w:rFonts w:ascii="宋体" w:hAnsi="宋体" w:eastAsia="宋体" w:cs="宋体"/>
          <w:color w:val="auto"/>
          <w:spacing w:val="6"/>
          <w:sz w:val="20"/>
          <w:szCs w:val="20"/>
          <w:highlight w:val="none"/>
        </w:rPr>
        <w:t>其它强干扰作用下，或在二次回路</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操作干扰下，在拉合直流电源、插件熔丝发生重复击穿火花时，所有保护装置（包括测量元</w:t>
      </w:r>
      <w:r>
        <w:rPr>
          <w:rFonts w:ascii="宋体" w:hAnsi="宋体" w:eastAsia="宋体" w:cs="宋体"/>
          <w:color w:val="auto"/>
          <w:spacing w:val="18"/>
          <w:sz w:val="20"/>
          <w:szCs w:val="20"/>
          <w:highlight w:val="none"/>
        </w:rPr>
        <w:t xml:space="preserve"> </w:t>
      </w:r>
      <w:r>
        <w:rPr>
          <w:rFonts w:ascii="宋体" w:hAnsi="宋体" w:eastAsia="宋体" w:cs="宋体"/>
          <w:color w:val="auto"/>
          <w:spacing w:val="8"/>
          <w:sz w:val="20"/>
          <w:szCs w:val="20"/>
          <w:highlight w:val="none"/>
        </w:rPr>
        <w:t>件）均不应发生误动或拒动。</w:t>
      </w:r>
    </w:p>
    <w:p w14:paraId="398B2EDF">
      <w:pPr>
        <w:spacing w:before="164" w:line="355" w:lineRule="auto"/>
        <w:ind w:left="17" w:firstLine="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3.4.20  保护屏的直流电源经过直流空气开关接入</w:t>
      </w:r>
      <w:r>
        <w:rPr>
          <w:rFonts w:ascii="宋体" w:hAnsi="宋体" w:eastAsia="宋体" w:cs="宋体"/>
          <w:color w:val="auto"/>
          <w:spacing w:val="6"/>
          <w:sz w:val="20"/>
          <w:szCs w:val="20"/>
          <w:highlight w:val="none"/>
        </w:rPr>
        <w:t>，各保护装置的逻辑回路应由独立的逆变</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器供电。拉、合装置直流电源或直流电压缓慢下降</w:t>
      </w:r>
      <w:r>
        <w:rPr>
          <w:rFonts w:ascii="宋体" w:hAnsi="宋体" w:eastAsia="宋体" w:cs="宋体"/>
          <w:color w:val="auto"/>
          <w:spacing w:val="7"/>
          <w:sz w:val="20"/>
          <w:szCs w:val="20"/>
          <w:highlight w:val="none"/>
        </w:rPr>
        <w:t>及上升时，装置不应误动作。在直流电源</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恢复(包括缓慢恢复)至额定电压的80%时直</w:t>
      </w:r>
      <w:r>
        <w:rPr>
          <w:rFonts w:ascii="宋体" w:hAnsi="宋体" w:eastAsia="宋体" w:cs="宋体"/>
          <w:color w:val="auto"/>
          <w:spacing w:val="9"/>
          <w:sz w:val="20"/>
          <w:szCs w:val="20"/>
          <w:highlight w:val="none"/>
        </w:rPr>
        <w:t>流逆变电源应能自动恢复。直流电源回路应有监</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视。当直流电源失去时，应发出相应信号，且不能</w:t>
      </w:r>
      <w:r>
        <w:rPr>
          <w:rFonts w:ascii="宋体" w:hAnsi="宋体" w:eastAsia="宋体" w:cs="宋体"/>
          <w:color w:val="auto"/>
          <w:spacing w:val="7"/>
          <w:sz w:val="20"/>
          <w:szCs w:val="20"/>
          <w:highlight w:val="none"/>
        </w:rPr>
        <w:t>造成保护装置误动作。直流空气开关采用</w:t>
      </w:r>
      <w:r>
        <w:rPr>
          <w:rFonts w:ascii="宋体" w:hAnsi="宋体" w:eastAsia="宋体" w:cs="宋体"/>
          <w:color w:val="auto"/>
          <w:sz w:val="20"/>
          <w:szCs w:val="20"/>
          <w:highlight w:val="none"/>
        </w:rPr>
        <w:t xml:space="preserve"> </w:t>
      </w:r>
      <w:r>
        <w:rPr>
          <w:rFonts w:ascii="宋体" w:hAnsi="宋体" w:eastAsia="宋体" w:cs="宋体"/>
          <w:color w:val="auto"/>
          <w:spacing w:val="-3"/>
          <w:sz w:val="20"/>
          <w:szCs w:val="20"/>
          <w:highlight w:val="none"/>
        </w:rPr>
        <w:t>B</w:t>
      </w:r>
      <w:r>
        <w:rPr>
          <w:rFonts w:ascii="宋体" w:hAnsi="宋体" w:eastAsia="宋体" w:cs="宋体"/>
          <w:color w:val="auto"/>
          <w:spacing w:val="-40"/>
          <w:sz w:val="20"/>
          <w:szCs w:val="20"/>
          <w:highlight w:val="none"/>
        </w:rPr>
        <w:t xml:space="preserve"> </w:t>
      </w:r>
      <w:r>
        <w:rPr>
          <w:rFonts w:ascii="宋体" w:hAnsi="宋体" w:eastAsia="宋体" w:cs="宋体"/>
          <w:color w:val="auto"/>
          <w:spacing w:val="-3"/>
          <w:sz w:val="20"/>
          <w:szCs w:val="20"/>
          <w:highlight w:val="none"/>
        </w:rPr>
        <w:t>特性直流专用型空开，空开品牌选用</w:t>
      </w:r>
      <w:r>
        <w:rPr>
          <w:rFonts w:ascii="宋体" w:hAnsi="宋体" w:eastAsia="宋体" w:cs="宋体"/>
          <w:color w:val="auto"/>
          <w:spacing w:val="-46"/>
          <w:sz w:val="20"/>
          <w:szCs w:val="20"/>
          <w:highlight w:val="none"/>
        </w:rPr>
        <w:t xml:space="preserve"> </w:t>
      </w:r>
      <w:r>
        <w:rPr>
          <w:rFonts w:ascii="宋体" w:hAnsi="宋体" w:eastAsia="宋体" w:cs="宋体"/>
          <w:color w:val="auto"/>
          <w:spacing w:val="-3"/>
          <w:sz w:val="20"/>
          <w:szCs w:val="20"/>
          <w:highlight w:val="none"/>
        </w:rPr>
        <w:t>ABB、西门子、施耐德或相</w:t>
      </w:r>
      <w:r>
        <w:rPr>
          <w:rFonts w:ascii="宋体" w:hAnsi="宋体" w:eastAsia="宋体" w:cs="宋体"/>
          <w:color w:val="auto"/>
          <w:spacing w:val="-4"/>
          <w:sz w:val="20"/>
          <w:szCs w:val="20"/>
          <w:highlight w:val="none"/>
        </w:rPr>
        <w:t>当于，直流开断能力：DC110V，</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10</w:t>
      </w:r>
      <w:r>
        <w:rPr>
          <w:rFonts w:ascii="宋体" w:hAnsi="宋体" w:eastAsia="宋体" w:cs="宋体"/>
          <w:color w:val="auto"/>
          <w:sz w:val="20"/>
          <w:szCs w:val="20"/>
          <w:highlight w:val="none"/>
        </w:rPr>
        <w:t>kA</w:t>
      </w:r>
      <w:r>
        <w:rPr>
          <w:rFonts w:ascii="宋体" w:hAnsi="宋体" w:eastAsia="宋体" w:cs="宋体"/>
          <w:color w:val="auto"/>
          <w:spacing w:val="5"/>
          <w:sz w:val="20"/>
          <w:szCs w:val="20"/>
          <w:highlight w:val="none"/>
        </w:rPr>
        <w:t>。</w:t>
      </w:r>
    </w:p>
    <w:p w14:paraId="66D9212B">
      <w:pPr>
        <w:spacing w:before="143" w:line="326" w:lineRule="auto"/>
        <w:ind w:left="22" w:right="14" w:firstLine="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3.4.21  保护屏的交流电压经过交流空气开关接入</w:t>
      </w:r>
      <w:r>
        <w:rPr>
          <w:rFonts w:ascii="宋体" w:hAnsi="宋体" w:eastAsia="宋体" w:cs="宋体"/>
          <w:color w:val="auto"/>
          <w:spacing w:val="6"/>
          <w:sz w:val="20"/>
          <w:szCs w:val="20"/>
          <w:highlight w:val="none"/>
        </w:rPr>
        <w:t>，当电压互感器二次回路一相、两相或三</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相同时断线、失压时，接于该组电压互感器的保护装置应闭锁该装置中可能误动作的保护，</w:t>
      </w:r>
      <w:r>
        <w:rPr>
          <w:rFonts w:ascii="宋体" w:hAnsi="宋体" w:eastAsia="宋体" w:cs="宋体"/>
          <w:color w:val="auto"/>
          <w:spacing w:val="17"/>
          <w:sz w:val="20"/>
          <w:szCs w:val="20"/>
          <w:highlight w:val="none"/>
        </w:rPr>
        <w:t xml:space="preserve"> </w:t>
      </w:r>
      <w:r>
        <w:rPr>
          <w:rFonts w:ascii="宋体" w:hAnsi="宋体" w:eastAsia="宋体" w:cs="宋体"/>
          <w:color w:val="auto"/>
          <w:spacing w:val="5"/>
          <w:sz w:val="20"/>
          <w:szCs w:val="20"/>
          <w:highlight w:val="none"/>
        </w:rPr>
        <w:t>并发出“</w:t>
      </w:r>
      <w:r>
        <w:rPr>
          <w:rFonts w:ascii="宋体" w:hAnsi="宋体" w:eastAsia="宋体" w:cs="宋体"/>
          <w:color w:val="auto"/>
          <w:spacing w:val="-65"/>
          <w:sz w:val="20"/>
          <w:szCs w:val="20"/>
          <w:highlight w:val="none"/>
        </w:rPr>
        <w:t xml:space="preserve"> </w:t>
      </w:r>
      <w:r>
        <w:rPr>
          <w:rFonts w:ascii="宋体" w:hAnsi="宋体" w:eastAsia="宋体" w:cs="宋体"/>
          <w:color w:val="auto"/>
          <w:spacing w:val="5"/>
          <w:sz w:val="20"/>
          <w:szCs w:val="20"/>
          <w:highlight w:val="none"/>
        </w:rPr>
        <w:t>电压互感器断线</w:t>
      </w:r>
      <w:r>
        <w:rPr>
          <w:rFonts w:ascii="宋体" w:hAnsi="宋体" w:eastAsia="宋体" w:cs="宋体"/>
          <w:color w:val="auto"/>
          <w:spacing w:val="-72"/>
          <w:sz w:val="20"/>
          <w:szCs w:val="20"/>
          <w:highlight w:val="none"/>
        </w:rPr>
        <w:t xml:space="preserve"> </w:t>
      </w:r>
      <w:r>
        <w:rPr>
          <w:rFonts w:ascii="宋体" w:hAnsi="宋体" w:eastAsia="宋体" w:cs="宋体"/>
          <w:color w:val="auto"/>
          <w:spacing w:val="5"/>
          <w:sz w:val="20"/>
          <w:szCs w:val="20"/>
          <w:highlight w:val="none"/>
        </w:rPr>
        <w:t>”告警信号。</w:t>
      </w:r>
    </w:p>
    <w:p w14:paraId="5986FD8E">
      <w:pPr>
        <w:spacing w:before="162" w:line="328" w:lineRule="auto"/>
        <w:ind w:left="22" w:right="54" w:firstLine="4"/>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3.4.22  发电机的励磁方式为机端静态励磁，后备保护应能满足以下情况发生时的正确动</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作：在机端及其邻近区域发生短路故障时，由于机端电压下降，引起励磁电压下降，进而导</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致短路电流衰减时。</w:t>
      </w:r>
    </w:p>
    <w:p w14:paraId="47FF44E6">
      <w:pPr>
        <w:spacing w:before="158" w:line="356" w:lineRule="auto"/>
        <w:ind w:left="22" w:right="52" w:firstLine="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3.4.23  各种保护装置的出口继电器采用操作继电</w:t>
      </w:r>
      <w:r>
        <w:rPr>
          <w:rFonts w:ascii="宋体" w:hAnsi="宋体" w:eastAsia="宋体" w:cs="宋体"/>
          <w:color w:val="auto"/>
          <w:spacing w:val="6"/>
          <w:sz w:val="20"/>
          <w:szCs w:val="20"/>
          <w:highlight w:val="none"/>
        </w:rPr>
        <w:t>器箱。双重化保护的出口继电器也应独立</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装设。保护动作后在继电器上有明显的信号指示并可由运行人员手动复归。出口继电器的输</w:t>
      </w:r>
      <w:r>
        <w:rPr>
          <w:rFonts w:ascii="宋体" w:hAnsi="宋体" w:eastAsia="宋体" w:cs="宋体"/>
          <w:color w:val="auto"/>
          <w:spacing w:val="14"/>
          <w:sz w:val="20"/>
          <w:szCs w:val="20"/>
          <w:highlight w:val="none"/>
        </w:rPr>
        <w:t xml:space="preserve"> </w:t>
      </w:r>
      <w:r>
        <w:rPr>
          <w:rFonts w:ascii="宋体" w:hAnsi="宋体" w:eastAsia="宋体" w:cs="宋体"/>
          <w:color w:val="auto"/>
          <w:spacing w:val="9"/>
          <w:sz w:val="20"/>
          <w:szCs w:val="20"/>
          <w:highlight w:val="none"/>
        </w:rPr>
        <w:t>出接点应满足逻辑图要求并留有四付备用接点。出口继电器的输出</w:t>
      </w:r>
      <w:r>
        <w:rPr>
          <w:rFonts w:ascii="宋体" w:hAnsi="宋体" w:eastAsia="宋体" w:cs="宋体"/>
          <w:color w:val="auto"/>
          <w:spacing w:val="8"/>
          <w:sz w:val="20"/>
          <w:szCs w:val="20"/>
          <w:highlight w:val="none"/>
        </w:rPr>
        <w:t>接点容量：在</w:t>
      </w:r>
      <w:r>
        <w:rPr>
          <w:rFonts w:ascii="宋体" w:hAnsi="宋体" w:eastAsia="宋体" w:cs="宋体"/>
          <w:color w:val="auto"/>
          <w:spacing w:val="-48"/>
          <w:sz w:val="20"/>
          <w:szCs w:val="20"/>
          <w:highlight w:val="none"/>
        </w:rPr>
        <w:t xml:space="preserve"> </w:t>
      </w:r>
      <w:r>
        <w:rPr>
          <w:rFonts w:ascii="宋体" w:hAnsi="宋体" w:eastAsia="宋体" w:cs="宋体"/>
          <w:color w:val="auto"/>
          <w:spacing w:val="-76"/>
          <w:sz w:val="20"/>
          <w:szCs w:val="20"/>
          <w:highlight w:val="none"/>
          <w:u w:val="single" w:color="auto"/>
        </w:rPr>
        <w:t xml:space="preserve"> </w:t>
      </w:r>
      <w:r>
        <w:rPr>
          <w:rFonts w:ascii="宋体" w:hAnsi="宋体" w:eastAsia="宋体" w:cs="宋体"/>
          <w:color w:val="auto"/>
          <w:spacing w:val="8"/>
          <w:sz w:val="20"/>
          <w:szCs w:val="20"/>
          <w:highlight w:val="none"/>
          <w:u w:val="single" w:color="auto"/>
        </w:rPr>
        <w:t>110V</w:t>
      </w:r>
      <w:r>
        <w:rPr>
          <w:rFonts w:ascii="宋体" w:hAnsi="宋体" w:eastAsia="宋体" w:cs="宋体"/>
          <w:color w:val="auto"/>
          <w:spacing w:val="-36"/>
          <w:sz w:val="20"/>
          <w:szCs w:val="20"/>
          <w:highlight w:val="none"/>
          <w:u w:val="single" w:color="auto"/>
        </w:rPr>
        <w:t xml:space="preserve"> </w:t>
      </w:r>
      <w:r>
        <w:rPr>
          <w:rFonts w:ascii="宋体" w:hAnsi="宋体" w:eastAsia="宋体" w:cs="宋体"/>
          <w:color w:val="auto"/>
          <w:spacing w:val="8"/>
          <w:sz w:val="20"/>
          <w:szCs w:val="20"/>
          <w:highlight w:val="none"/>
        </w:rPr>
        <w:t>直流</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电压下的长期允许通过电流不小于</w:t>
      </w:r>
      <w:r>
        <w:rPr>
          <w:rFonts w:ascii="宋体" w:hAnsi="宋体" w:eastAsia="宋体" w:cs="宋体"/>
          <w:color w:val="auto"/>
          <w:spacing w:val="-19"/>
          <w:sz w:val="20"/>
          <w:szCs w:val="20"/>
          <w:highlight w:val="none"/>
        </w:rPr>
        <w:t xml:space="preserve"> </w:t>
      </w:r>
      <w:r>
        <w:rPr>
          <w:rFonts w:ascii="宋体" w:hAnsi="宋体" w:eastAsia="宋体" w:cs="宋体"/>
          <w:color w:val="auto"/>
          <w:spacing w:val="8"/>
          <w:sz w:val="20"/>
          <w:szCs w:val="20"/>
          <w:highlight w:val="none"/>
        </w:rPr>
        <w:t>10A，30A</w:t>
      </w:r>
      <w:r>
        <w:rPr>
          <w:rFonts w:ascii="宋体" w:hAnsi="宋体" w:eastAsia="宋体" w:cs="宋体"/>
          <w:color w:val="auto"/>
          <w:spacing w:val="-34"/>
          <w:sz w:val="20"/>
          <w:szCs w:val="20"/>
          <w:highlight w:val="none"/>
        </w:rPr>
        <w:t xml:space="preserve"> </w:t>
      </w:r>
      <w:r>
        <w:rPr>
          <w:rFonts w:ascii="宋体" w:hAnsi="宋体" w:eastAsia="宋体" w:cs="宋体"/>
          <w:color w:val="auto"/>
          <w:spacing w:val="8"/>
          <w:sz w:val="20"/>
          <w:szCs w:val="20"/>
          <w:highlight w:val="none"/>
        </w:rPr>
        <w:t>不小于</w:t>
      </w:r>
      <w:r>
        <w:rPr>
          <w:rFonts w:ascii="宋体" w:hAnsi="宋体" w:eastAsia="宋体" w:cs="宋体"/>
          <w:color w:val="auto"/>
          <w:spacing w:val="-33"/>
          <w:sz w:val="20"/>
          <w:szCs w:val="20"/>
          <w:highlight w:val="none"/>
        </w:rPr>
        <w:t xml:space="preserve"> </w:t>
      </w:r>
      <w:r>
        <w:rPr>
          <w:rFonts w:ascii="宋体" w:hAnsi="宋体" w:eastAsia="宋体" w:cs="宋体"/>
          <w:color w:val="auto"/>
          <w:spacing w:val="8"/>
          <w:sz w:val="20"/>
          <w:szCs w:val="20"/>
          <w:highlight w:val="none"/>
        </w:rPr>
        <w:t>0.2</w:t>
      </w:r>
      <w:r>
        <w:rPr>
          <w:rFonts w:ascii="宋体" w:hAnsi="宋体" w:eastAsia="宋体" w:cs="宋体"/>
          <w:color w:val="auto"/>
          <w:spacing w:val="-36"/>
          <w:sz w:val="20"/>
          <w:szCs w:val="20"/>
          <w:highlight w:val="none"/>
        </w:rPr>
        <w:t xml:space="preserve"> </w:t>
      </w:r>
      <w:r>
        <w:rPr>
          <w:rFonts w:ascii="宋体" w:hAnsi="宋体" w:eastAsia="宋体" w:cs="宋体"/>
          <w:color w:val="auto"/>
          <w:spacing w:val="7"/>
          <w:sz w:val="20"/>
          <w:szCs w:val="20"/>
          <w:highlight w:val="none"/>
        </w:rPr>
        <w:t>秒。在直流电压</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110V 电感回路中</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（T&lt;40</w:t>
      </w:r>
      <w:r>
        <w:rPr>
          <w:rFonts w:ascii="宋体" w:hAnsi="宋体" w:eastAsia="宋体" w:cs="宋体"/>
          <w:color w:val="auto"/>
          <w:sz w:val="20"/>
          <w:szCs w:val="20"/>
          <w:highlight w:val="none"/>
        </w:rPr>
        <w:t>ms</w:t>
      </w:r>
      <w:r>
        <w:rPr>
          <w:rFonts w:ascii="宋体" w:hAnsi="宋体" w:eastAsia="宋体" w:cs="宋体"/>
          <w:color w:val="auto"/>
          <w:spacing w:val="6"/>
          <w:sz w:val="20"/>
          <w:szCs w:val="20"/>
          <w:highlight w:val="none"/>
        </w:rPr>
        <w:t>）中的断开容量不小于</w:t>
      </w:r>
      <w:r>
        <w:rPr>
          <w:rFonts w:ascii="宋体" w:hAnsi="宋体" w:eastAsia="宋体" w:cs="宋体"/>
          <w:color w:val="auto"/>
          <w:spacing w:val="-33"/>
          <w:sz w:val="20"/>
          <w:szCs w:val="20"/>
          <w:highlight w:val="none"/>
        </w:rPr>
        <w:t xml:space="preserve"> </w:t>
      </w:r>
      <w:r>
        <w:rPr>
          <w:rFonts w:ascii="宋体" w:hAnsi="宋体" w:eastAsia="宋体" w:cs="宋体"/>
          <w:color w:val="auto"/>
          <w:spacing w:val="6"/>
          <w:sz w:val="20"/>
          <w:szCs w:val="20"/>
          <w:highlight w:val="none"/>
        </w:rPr>
        <w:t>50W。继电器的动作时间不大于</w:t>
      </w:r>
      <w:r>
        <w:rPr>
          <w:rFonts w:ascii="宋体" w:hAnsi="宋体" w:eastAsia="宋体" w:cs="宋体"/>
          <w:color w:val="auto"/>
          <w:spacing w:val="-22"/>
          <w:sz w:val="20"/>
          <w:szCs w:val="20"/>
          <w:highlight w:val="none"/>
        </w:rPr>
        <w:t xml:space="preserve"> </w:t>
      </w:r>
      <w:r>
        <w:rPr>
          <w:rFonts w:ascii="宋体" w:hAnsi="宋体" w:eastAsia="宋体" w:cs="宋体"/>
          <w:color w:val="auto"/>
          <w:spacing w:val="6"/>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6"/>
          <w:sz w:val="20"/>
          <w:szCs w:val="20"/>
          <w:highlight w:val="none"/>
        </w:rPr>
        <w:t>。非电量保护应装设重</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动继电器，重动继电器启动功率应大于</w:t>
      </w:r>
      <w:r>
        <w:rPr>
          <w:rFonts w:ascii="宋体" w:hAnsi="宋体" w:eastAsia="宋体" w:cs="宋体"/>
          <w:color w:val="auto"/>
          <w:spacing w:val="-32"/>
          <w:sz w:val="20"/>
          <w:szCs w:val="20"/>
          <w:highlight w:val="none"/>
        </w:rPr>
        <w:t xml:space="preserve"> </w:t>
      </w:r>
      <w:r>
        <w:rPr>
          <w:rFonts w:ascii="宋体" w:hAnsi="宋体" w:eastAsia="宋体" w:cs="宋体"/>
          <w:color w:val="auto"/>
          <w:spacing w:val="9"/>
          <w:sz w:val="20"/>
          <w:szCs w:val="20"/>
          <w:highlight w:val="none"/>
        </w:rPr>
        <w:t>5W，</w:t>
      </w:r>
      <w:r>
        <w:rPr>
          <w:rFonts w:ascii="宋体" w:hAnsi="宋体" w:eastAsia="宋体" w:cs="宋体"/>
          <w:color w:val="auto"/>
          <w:spacing w:val="8"/>
          <w:sz w:val="20"/>
          <w:szCs w:val="20"/>
          <w:highlight w:val="none"/>
        </w:rPr>
        <w:t>启动电压应介于额定直流电压的</w:t>
      </w:r>
      <w:r>
        <w:rPr>
          <w:rFonts w:ascii="宋体" w:hAnsi="宋体" w:eastAsia="宋体" w:cs="宋体"/>
          <w:color w:val="auto"/>
          <w:spacing w:val="-35"/>
          <w:sz w:val="20"/>
          <w:szCs w:val="20"/>
          <w:highlight w:val="none"/>
        </w:rPr>
        <w:t xml:space="preserve"> </w:t>
      </w:r>
      <w:r>
        <w:rPr>
          <w:rFonts w:ascii="宋体" w:hAnsi="宋体" w:eastAsia="宋体" w:cs="宋体"/>
          <w:color w:val="auto"/>
          <w:spacing w:val="8"/>
          <w:sz w:val="20"/>
          <w:szCs w:val="20"/>
          <w:highlight w:val="none"/>
        </w:rPr>
        <w:t>55%～70%，动</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作时间应介于</w:t>
      </w:r>
      <w:r>
        <w:rPr>
          <w:rFonts w:ascii="宋体" w:hAnsi="宋体" w:eastAsia="宋体" w:cs="宋体"/>
          <w:color w:val="auto"/>
          <w:spacing w:val="-17"/>
          <w:sz w:val="20"/>
          <w:szCs w:val="20"/>
          <w:highlight w:val="none"/>
        </w:rPr>
        <w:t xml:space="preserve"> </w:t>
      </w:r>
      <w:r>
        <w:rPr>
          <w:rFonts w:ascii="宋体" w:hAnsi="宋体" w:eastAsia="宋体" w:cs="宋体"/>
          <w:color w:val="auto"/>
          <w:spacing w:val="5"/>
          <w:sz w:val="20"/>
          <w:szCs w:val="20"/>
          <w:highlight w:val="none"/>
        </w:rPr>
        <w:t xml:space="preserve">10～35 </w:t>
      </w:r>
      <w:r>
        <w:rPr>
          <w:rFonts w:ascii="宋体" w:hAnsi="宋体" w:eastAsia="宋体" w:cs="宋体"/>
          <w:color w:val="auto"/>
          <w:sz w:val="20"/>
          <w:szCs w:val="20"/>
          <w:highlight w:val="none"/>
        </w:rPr>
        <w:t>ms</w:t>
      </w:r>
      <w:r>
        <w:rPr>
          <w:rFonts w:ascii="宋体" w:hAnsi="宋体" w:eastAsia="宋体" w:cs="宋体"/>
          <w:color w:val="auto"/>
          <w:spacing w:val="5"/>
          <w:sz w:val="20"/>
          <w:szCs w:val="20"/>
          <w:highlight w:val="none"/>
        </w:rPr>
        <w:t>。</w:t>
      </w:r>
    </w:p>
    <w:p w14:paraId="5FDE68E4">
      <w:pPr>
        <w:spacing w:before="162"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3.4.24 起动断路器失灵保护的无源接点应为非闭锁型的快速</w:t>
      </w:r>
      <w:r>
        <w:rPr>
          <w:rFonts w:ascii="宋体" w:hAnsi="宋体" w:eastAsia="宋体" w:cs="宋体"/>
          <w:color w:val="auto"/>
          <w:spacing w:val="7"/>
          <w:sz w:val="20"/>
          <w:szCs w:val="20"/>
          <w:highlight w:val="none"/>
        </w:rPr>
        <w:t>返回接点。</w:t>
      </w:r>
    </w:p>
    <w:p w14:paraId="7D932B25">
      <w:pPr>
        <w:spacing w:before="165" w:line="339" w:lineRule="auto"/>
        <w:ind w:left="22" w:right="52" w:firstLine="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3.4.25  保护装置的信号接点在</w:t>
      </w:r>
      <w:r>
        <w:rPr>
          <w:rFonts w:ascii="宋体" w:hAnsi="宋体" w:eastAsia="宋体" w:cs="宋体"/>
          <w:color w:val="auto"/>
          <w:spacing w:val="-12"/>
          <w:sz w:val="20"/>
          <w:szCs w:val="20"/>
          <w:highlight w:val="none"/>
        </w:rPr>
        <w:t xml:space="preserve"> </w:t>
      </w:r>
      <w:r>
        <w:rPr>
          <w:rFonts w:ascii="宋体" w:hAnsi="宋体" w:eastAsia="宋体" w:cs="宋体"/>
          <w:color w:val="auto"/>
          <w:spacing w:val="6"/>
          <w:sz w:val="20"/>
          <w:szCs w:val="20"/>
          <w:highlight w:val="none"/>
        </w:rPr>
        <w:t>110V</w:t>
      </w:r>
      <w:r>
        <w:rPr>
          <w:rFonts w:ascii="宋体" w:hAnsi="宋体" w:eastAsia="宋体" w:cs="宋体"/>
          <w:color w:val="auto"/>
          <w:spacing w:val="-39"/>
          <w:sz w:val="20"/>
          <w:szCs w:val="20"/>
          <w:highlight w:val="none"/>
        </w:rPr>
        <w:t xml:space="preserve"> </w:t>
      </w:r>
      <w:r>
        <w:rPr>
          <w:rFonts w:ascii="宋体" w:hAnsi="宋体" w:eastAsia="宋体" w:cs="宋体"/>
          <w:color w:val="auto"/>
          <w:spacing w:val="6"/>
          <w:sz w:val="20"/>
          <w:szCs w:val="20"/>
          <w:highlight w:val="none"/>
        </w:rPr>
        <w:t>直流电压下的长期允许通过电流不小于</w:t>
      </w:r>
      <w:r>
        <w:rPr>
          <w:rFonts w:ascii="宋体" w:hAnsi="宋体" w:eastAsia="宋体" w:cs="宋体"/>
          <w:color w:val="auto"/>
          <w:spacing w:val="-32"/>
          <w:sz w:val="20"/>
          <w:szCs w:val="20"/>
          <w:highlight w:val="none"/>
        </w:rPr>
        <w:t xml:space="preserve"> </w:t>
      </w:r>
      <w:r>
        <w:rPr>
          <w:rFonts w:ascii="宋体" w:hAnsi="宋体" w:eastAsia="宋体" w:cs="宋体"/>
          <w:color w:val="auto"/>
          <w:spacing w:val="6"/>
          <w:sz w:val="20"/>
          <w:szCs w:val="20"/>
          <w:highlight w:val="none"/>
        </w:rPr>
        <w:t>5A。装置每套</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保护至少输出三副信号接点，其中一副启动故障录波器，一副送至</w:t>
      </w:r>
      <w:r>
        <w:rPr>
          <w:rFonts w:ascii="宋体" w:hAnsi="宋体" w:eastAsia="宋体" w:cs="宋体"/>
          <w:color w:val="auto"/>
          <w:spacing w:val="-43"/>
          <w:sz w:val="20"/>
          <w:szCs w:val="20"/>
          <w:highlight w:val="none"/>
        </w:rPr>
        <w:t xml:space="preserve"> </w:t>
      </w:r>
      <w:r>
        <w:rPr>
          <w:rFonts w:ascii="宋体" w:hAnsi="宋体" w:eastAsia="宋体" w:cs="宋体"/>
          <w:color w:val="auto"/>
          <w:sz w:val="20"/>
          <w:szCs w:val="20"/>
          <w:highlight w:val="none"/>
        </w:rPr>
        <w:t>DCS</w:t>
      </w:r>
      <w:r>
        <w:rPr>
          <w:rFonts w:ascii="宋体" w:hAnsi="宋体" w:eastAsia="宋体" w:cs="宋体"/>
          <w:color w:val="auto"/>
          <w:spacing w:val="9"/>
          <w:sz w:val="20"/>
          <w:szCs w:val="20"/>
          <w:highlight w:val="none"/>
        </w:rPr>
        <w:t>，一副将发电机、主</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变、高压厂变、启备变等主保护信号和瓦斯信号接点发至远动遥信。其中送至</w:t>
      </w:r>
      <w:r>
        <w:rPr>
          <w:rFonts w:ascii="宋体" w:hAnsi="宋体" w:eastAsia="宋体" w:cs="宋体"/>
          <w:color w:val="auto"/>
          <w:spacing w:val="-26"/>
          <w:sz w:val="20"/>
          <w:szCs w:val="20"/>
          <w:highlight w:val="none"/>
        </w:rPr>
        <w:t xml:space="preserve"> </w:t>
      </w:r>
      <w:r>
        <w:rPr>
          <w:rFonts w:ascii="宋体" w:hAnsi="宋体" w:eastAsia="宋体" w:cs="宋体"/>
          <w:color w:val="auto"/>
          <w:sz w:val="20"/>
          <w:szCs w:val="20"/>
          <w:highlight w:val="none"/>
        </w:rPr>
        <w:t>DCS</w:t>
      </w:r>
      <w:r>
        <w:rPr>
          <w:rFonts w:ascii="宋体" w:hAnsi="宋体" w:eastAsia="宋体" w:cs="宋体"/>
          <w:color w:val="auto"/>
          <w:spacing w:val="-41"/>
          <w:sz w:val="20"/>
          <w:szCs w:val="20"/>
          <w:highlight w:val="none"/>
        </w:rPr>
        <w:t xml:space="preserve"> </w:t>
      </w:r>
      <w:r>
        <w:rPr>
          <w:rFonts w:ascii="宋体" w:hAnsi="宋体" w:eastAsia="宋体" w:cs="宋体"/>
          <w:color w:val="auto"/>
          <w:spacing w:val="7"/>
          <w:sz w:val="20"/>
          <w:szCs w:val="20"/>
          <w:highlight w:val="none"/>
        </w:rPr>
        <w:t>节点需为</w:t>
      </w:r>
      <w:r>
        <w:rPr>
          <w:rFonts w:ascii="宋体" w:hAnsi="宋体" w:eastAsia="宋体" w:cs="宋体"/>
          <w:color w:val="auto"/>
          <w:spacing w:val="5"/>
          <w:sz w:val="20"/>
          <w:szCs w:val="20"/>
          <w:highlight w:val="none"/>
        </w:rPr>
        <w:t>保持节点。</w:t>
      </w:r>
    </w:p>
    <w:p w14:paraId="23DED60D">
      <w:pPr>
        <w:spacing w:before="165" w:line="302" w:lineRule="auto"/>
        <w:ind w:left="21" w:right="54" w:firstLine="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3.4.26   招标人不对保护装置外壳设置专用的接地网，其接地接于主接地网，主</w:t>
      </w:r>
      <w:r>
        <w:rPr>
          <w:rFonts w:ascii="宋体" w:hAnsi="宋体" w:eastAsia="宋体" w:cs="宋体"/>
          <w:color w:val="auto"/>
          <w:spacing w:val="8"/>
          <w:sz w:val="20"/>
          <w:szCs w:val="20"/>
          <w:highlight w:val="none"/>
        </w:rPr>
        <w:t>接地网的</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接地电阻不大于</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0.5</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欧。</w:t>
      </w:r>
    </w:p>
    <w:p w14:paraId="4397B56A">
      <w:pPr>
        <w:spacing w:before="42" w:line="371" w:lineRule="auto"/>
        <w:ind w:left="23" w:right="40" w:firstLine="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3.4.27   发变组保护装置设</w:t>
      </w:r>
      <w:r>
        <w:rPr>
          <w:rFonts w:hint="eastAsia" w:ascii="宋体" w:hAnsi="宋体" w:eastAsia="宋体" w:cs="宋体"/>
          <w:color w:val="auto"/>
          <w:spacing w:val="9"/>
          <w:sz w:val="20"/>
          <w:szCs w:val="20"/>
          <w:highlight w:val="none"/>
          <w:lang w:val="en-US" w:eastAsia="zh-CN"/>
        </w:rPr>
        <w:t>三</w:t>
      </w:r>
      <w:r>
        <w:rPr>
          <w:rFonts w:ascii="宋体" w:hAnsi="宋体" w:eastAsia="宋体" w:cs="宋体"/>
          <w:color w:val="auto"/>
          <w:spacing w:val="9"/>
          <w:sz w:val="20"/>
          <w:szCs w:val="20"/>
          <w:highlight w:val="none"/>
        </w:rPr>
        <w:t>面屏柜</w:t>
      </w:r>
      <w:r>
        <w:rPr>
          <w:rFonts w:hint="eastAsia" w:ascii="宋体" w:hAnsi="宋体" w:eastAsia="宋体" w:cs="宋体"/>
          <w:color w:val="auto"/>
          <w:spacing w:val="9"/>
          <w:sz w:val="20"/>
          <w:szCs w:val="20"/>
          <w:highlight w:val="none"/>
          <w:lang w:eastAsia="zh-CN"/>
        </w:rPr>
        <w:t>。</w:t>
      </w:r>
      <w:r>
        <w:rPr>
          <w:rFonts w:ascii="宋体" w:hAnsi="宋体" w:eastAsia="宋体" w:cs="宋体"/>
          <w:color w:val="auto"/>
          <w:spacing w:val="9"/>
          <w:sz w:val="20"/>
          <w:szCs w:val="20"/>
          <w:highlight w:val="none"/>
        </w:rPr>
        <w:t>发电机、主变压器、高压厂变、励磁</w:t>
      </w:r>
      <w:r>
        <w:rPr>
          <w:rFonts w:ascii="宋体" w:hAnsi="宋体" w:eastAsia="宋体" w:cs="宋体"/>
          <w:color w:val="auto"/>
          <w:spacing w:val="8"/>
          <w:sz w:val="20"/>
          <w:szCs w:val="20"/>
          <w:highlight w:val="none"/>
        </w:rPr>
        <w:t>变保护装置设</w:t>
      </w:r>
      <w:r>
        <w:rPr>
          <w:rFonts w:ascii="宋体" w:hAnsi="宋体" w:eastAsia="宋体" w:cs="宋体"/>
          <w:color w:val="auto"/>
          <w:sz w:val="20"/>
          <w:szCs w:val="20"/>
          <w:highlight w:val="none"/>
        </w:rPr>
        <w:t xml:space="preserve"> </w:t>
      </w:r>
      <w:r>
        <w:rPr>
          <w:rFonts w:hint="eastAsia" w:ascii="宋体" w:hAnsi="宋体" w:eastAsia="宋体" w:cs="宋体"/>
          <w:color w:val="auto"/>
          <w:spacing w:val="7"/>
          <w:sz w:val="20"/>
          <w:szCs w:val="20"/>
          <w:highlight w:val="none"/>
          <w:lang w:val="en-US" w:eastAsia="zh-CN"/>
        </w:rPr>
        <w:t>一</w:t>
      </w:r>
      <w:r>
        <w:rPr>
          <w:rFonts w:ascii="宋体" w:hAnsi="宋体" w:eastAsia="宋体" w:cs="宋体"/>
          <w:color w:val="auto"/>
          <w:spacing w:val="7"/>
          <w:sz w:val="20"/>
          <w:szCs w:val="20"/>
          <w:highlight w:val="none"/>
        </w:rPr>
        <w:t>面柜</w:t>
      </w:r>
      <w:r>
        <w:rPr>
          <w:rFonts w:hint="eastAsia" w:ascii="宋体" w:hAnsi="宋体" w:eastAsia="宋体" w:cs="宋体"/>
          <w:color w:val="auto"/>
          <w:spacing w:val="7"/>
          <w:sz w:val="20"/>
          <w:szCs w:val="20"/>
          <w:highlight w:val="none"/>
          <w:lang w:eastAsia="zh-CN"/>
        </w:rPr>
        <w:t>，</w:t>
      </w:r>
      <w:r>
        <w:rPr>
          <w:rFonts w:hint="eastAsia" w:ascii="宋体" w:hAnsi="宋体" w:eastAsia="宋体" w:cs="宋体"/>
          <w:color w:val="auto"/>
          <w:spacing w:val="7"/>
          <w:sz w:val="20"/>
          <w:szCs w:val="20"/>
          <w:highlight w:val="none"/>
          <w:lang w:val="en-US" w:eastAsia="zh-CN"/>
        </w:rPr>
        <w:t>即第一套电气量保护（包含</w:t>
      </w:r>
      <w:r>
        <w:rPr>
          <w:rFonts w:ascii="宋体" w:hAnsi="宋体" w:eastAsia="宋体" w:cs="宋体"/>
          <w:color w:val="auto"/>
          <w:spacing w:val="6"/>
          <w:sz w:val="20"/>
          <w:szCs w:val="20"/>
          <w:highlight w:val="none"/>
        </w:rPr>
        <w:t>完整的主保护和后</w:t>
      </w:r>
      <w:r>
        <w:rPr>
          <w:rFonts w:ascii="宋体" w:hAnsi="宋体" w:eastAsia="宋体" w:cs="宋体"/>
          <w:color w:val="auto"/>
          <w:spacing w:val="8"/>
          <w:sz w:val="20"/>
          <w:szCs w:val="20"/>
          <w:highlight w:val="none"/>
        </w:rPr>
        <w:t>备保护</w:t>
      </w:r>
      <w:r>
        <w:rPr>
          <w:rFonts w:hint="eastAsia" w:ascii="宋体" w:hAnsi="宋体" w:eastAsia="宋体" w:cs="宋体"/>
          <w:color w:val="auto"/>
          <w:spacing w:val="7"/>
          <w:sz w:val="20"/>
          <w:szCs w:val="20"/>
          <w:highlight w:val="none"/>
          <w:lang w:val="en-US" w:eastAsia="zh-CN"/>
        </w:rPr>
        <w:t>）</w:t>
      </w:r>
      <w:r>
        <w:rPr>
          <w:rFonts w:ascii="宋体" w:hAnsi="宋体" w:eastAsia="宋体" w:cs="宋体"/>
          <w:color w:val="auto"/>
          <w:spacing w:val="7"/>
          <w:sz w:val="20"/>
          <w:szCs w:val="20"/>
          <w:highlight w:val="none"/>
        </w:rPr>
        <w:t>及出口继电器操作箱设</w:t>
      </w:r>
      <w:r>
        <w:rPr>
          <w:rFonts w:ascii="宋体" w:hAnsi="宋体" w:eastAsia="宋体" w:cs="宋体"/>
          <w:color w:val="auto"/>
          <w:spacing w:val="6"/>
          <w:sz w:val="20"/>
          <w:szCs w:val="20"/>
          <w:highlight w:val="none"/>
        </w:rPr>
        <w:t>一面屏柜（</w:t>
      </w:r>
      <w:r>
        <w:rPr>
          <w:rFonts w:hint="eastAsia" w:ascii="宋体" w:hAnsi="宋体" w:eastAsia="宋体" w:cs="宋体"/>
          <w:color w:val="auto"/>
          <w:spacing w:val="6"/>
          <w:sz w:val="20"/>
          <w:szCs w:val="20"/>
          <w:highlight w:val="none"/>
          <w:lang w:val="en-US" w:eastAsia="zh-CN"/>
        </w:rPr>
        <w:t>备注：双套电气量</w:t>
      </w:r>
      <w:r>
        <w:rPr>
          <w:rFonts w:ascii="宋体" w:hAnsi="宋体" w:eastAsia="宋体" w:cs="宋体"/>
          <w:color w:val="auto"/>
          <w:spacing w:val="8"/>
          <w:sz w:val="20"/>
          <w:szCs w:val="20"/>
          <w:highlight w:val="none"/>
        </w:rPr>
        <w:t>保护为不同厂家国产品牌产品</w:t>
      </w:r>
      <w:r>
        <w:rPr>
          <w:rFonts w:ascii="宋体" w:hAnsi="宋体" w:eastAsia="宋体" w:cs="宋体"/>
          <w:color w:val="auto"/>
          <w:spacing w:val="-38"/>
          <w:sz w:val="20"/>
          <w:szCs w:val="20"/>
          <w:highlight w:val="none"/>
        </w:rPr>
        <w:t>），</w:t>
      </w:r>
      <w:r>
        <w:rPr>
          <w:rFonts w:ascii="宋体" w:hAnsi="宋体" w:eastAsia="宋体" w:cs="宋体"/>
          <w:color w:val="auto"/>
          <w:spacing w:val="8"/>
          <w:sz w:val="20"/>
          <w:szCs w:val="20"/>
          <w:highlight w:val="none"/>
        </w:rPr>
        <w:t>发变组非电量保护装置及出口继电器操作</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箱设一面屏柜，此外设一面保护管理机屏柜；高压启备变保护装置设</w:t>
      </w:r>
      <w:r>
        <w:rPr>
          <w:rFonts w:hint="eastAsia" w:ascii="宋体" w:hAnsi="宋体" w:eastAsia="宋体" w:cs="宋体"/>
          <w:color w:val="auto"/>
          <w:spacing w:val="8"/>
          <w:sz w:val="20"/>
          <w:szCs w:val="20"/>
          <w:highlight w:val="none"/>
          <w:lang w:val="en-US" w:eastAsia="zh-CN"/>
        </w:rPr>
        <w:t>三</w:t>
      </w:r>
      <w:r>
        <w:rPr>
          <w:rFonts w:ascii="宋体" w:hAnsi="宋体" w:eastAsia="宋体" w:cs="宋体"/>
          <w:color w:val="auto"/>
          <w:spacing w:val="8"/>
          <w:sz w:val="20"/>
          <w:szCs w:val="20"/>
          <w:highlight w:val="none"/>
        </w:rPr>
        <w:t>面屏柜，</w:t>
      </w:r>
      <w:r>
        <w:rPr>
          <w:rFonts w:hint="eastAsia" w:ascii="宋体" w:hAnsi="宋体" w:eastAsia="宋体" w:cs="宋体"/>
          <w:color w:val="auto"/>
          <w:spacing w:val="7"/>
          <w:sz w:val="20"/>
          <w:szCs w:val="20"/>
          <w:highlight w:val="none"/>
          <w:lang w:val="en-US" w:eastAsia="zh-CN"/>
        </w:rPr>
        <w:t>第一套电气量保护（包含</w:t>
      </w:r>
      <w:r>
        <w:rPr>
          <w:rFonts w:ascii="宋体" w:hAnsi="宋体" w:eastAsia="宋体" w:cs="宋体"/>
          <w:color w:val="auto"/>
          <w:spacing w:val="6"/>
          <w:sz w:val="20"/>
          <w:szCs w:val="20"/>
          <w:highlight w:val="none"/>
        </w:rPr>
        <w:t>完整的主保护和后</w:t>
      </w:r>
      <w:r>
        <w:rPr>
          <w:rFonts w:ascii="宋体" w:hAnsi="宋体" w:eastAsia="宋体" w:cs="宋体"/>
          <w:color w:val="auto"/>
          <w:spacing w:val="8"/>
          <w:sz w:val="20"/>
          <w:szCs w:val="20"/>
          <w:highlight w:val="none"/>
        </w:rPr>
        <w:t>备保护</w:t>
      </w:r>
      <w:r>
        <w:rPr>
          <w:rFonts w:hint="eastAsia" w:ascii="宋体" w:hAnsi="宋体" w:eastAsia="宋体" w:cs="宋体"/>
          <w:color w:val="auto"/>
          <w:spacing w:val="7"/>
          <w:sz w:val="20"/>
          <w:szCs w:val="20"/>
          <w:highlight w:val="none"/>
          <w:lang w:val="en-US" w:eastAsia="zh-CN"/>
        </w:rPr>
        <w:t>）</w:t>
      </w:r>
      <w:r>
        <w:rPr>
          <w:rFonts w:ascii="宋体" w:hAnsi="宋体" w:eastAsia="宋体" w:cs="宋体"/>
          <w:color w:val="auto"/>
          <w:spacing w:val="7"/>
          <w:sz w:val="20"/>
          <w:szCs w:val="20"/>
          <w:highlight w:val="none"/>
        </w:rPr>
        <w:t>及出口继电器操作箱设</w:t>
      </w:r>
      <w:r>
        <w:rPr>
          <w:rFonts w:ascii="宋体" w:hAnsi="宋体" w:eastAsia="宋体" w:cs="宋体"/>
          <w:color w:val="auto"/>
          <w:spacing w:val="6"/>
          <w:sz w:val="20"/>
          <w:szCs w:val="20"/>
          <w:highlight w:val="none"/>
        </w:rPr>
        <w:t>一面屏柜（</w:t>
      </w:r>
      <w:r>
        <w:rPr>
          <w:rFonts w:hint="eastAsia" w:ascii="宋体" w:hAnsi="宋体" w:eastAsia="宋体" w:cs="宋体"/>
          <w:color w:val="auto"/>
          <w:spacing w:val="6"/>
          <w:sz w:val="20"/>
          <w:szCs w:val="20"/>
          <w:highlight w:val="none"/>
          <w:lang w:val="en-US" w:eastAsia="zh-CN"/>
        </w:rPr>
        <w:t>备注：双套电气量</w:t>
      </w:r>
      <w:r>
        <w:rPr>
          <w:rFonts w:ascii="宋体" w:hAnsi="宋体" w:eastAsia="宋体" w:cs="宋体"/>
          <w:color w:val="auto"/>
          <w:spacing w:val="8"/>
          <w:sz w:val="20"/>
          <w:szCs w:val="20"/>
          <w:highlight w:val="none"/>
        </w:rPr>
        <w:t>保护为不同厂家国产品牌产品</w:t>
      </w:r>
      <w:r>
        <w:rPr>
          <w:rFonts w:ascii="宋体" w:hAnsi="宋体" w:eastAsia="宋体" w:cs="宋体"/>
          <w:color w:val="auto"/>
          <w:spacing w:val="-38"/>
          <w:sz w:val="20"/>
          <w:szCs w:val="20"/>
          <w:highlight w:val="none"/>
        </w:rPr>
        <w:t>）</w:t>
      </w:r>
      <w:r>
        <w:rPr>
          <w:rFonts w:ascii="宋体" w:hAnsi="宋体" w:eastAsia="宋体" w:cs="宋体"/>
          <w:color w:val="auto"/>
          <w:spacing w:val="-36"/>
          <w:sz w:val="20"/>
          <w:szCs w:val="20"/>
          <w:highlight w:val="none"/>
        </w:rPr>
        <w:t>，</w:t>
      </w:r>
      <w:r>
        <w:rPr>
          <w:rFonts w:ascii="宋体" w:hAnsi="宋体" w:eastAsia="宋体" w:cs="宋体"/>
          <w:color w:val="auto"/>
          <w:spacing w:val="10"/>
          <w:sz w:val="20"/>
          <w:szCs w:val="20"/>
          <w:highlight w:val="none"/>
        </w:rPr>
        <w:t>非电量保护、出口继电器操作箱</w:t>
      </w:r>
      <w:r>
        <w:rPr>
          <w:rFonts w:ascii="宋体" w:hAnsi="宋体" w:eastAsia="宋体" w:cs="宋体"/>
          <w:color w:val="auto"/>
          <w:spacing w:val="9"/>
          <w:sz w:val="20"/>
          <w:szCs w:val="20"/>
          <w:highlight w:val="none"/>
        </w:rPr>
        <w:t>及断路器操作箱一面屏柜，</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此外设一面保护管理机屏柜。</w:t>
      </w:r>
    </w:p>
    <w:p w14:paraId="1E972D14">
      <w:pPr>
        <w:spacing w:before="31" w:line="303" w:lineRule="auto"/>
        <w:ind w:left="22" w:right="40" w:firstLine="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3.4.28   至每个断路器的跳闸线圈的跳闸回路须有供回路投退的连接片，非电量</w:t>
      </w:r>
      <w:r>
        <w:rPr>
          <w:rFonts w:ascii="宋体" w:hAnsi="宋体" w:eastAsia="宋体" w:cs="宋体"/>
          <w:color w:val="auto"/>
          <w:spacing w:val="8"/>
          <w:sz w:val="20"/>
          <w:szCs w:val="20"/>
          <w:highlight w:val="none"/>
        </w:rPr>
        <w:t>保护须有</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供投退的连接片，连接片投退应不影响各保护的信号出口。</w:t>
      </w:r>
    </w:p>
    <w:p w14:paraId="2504538B">
      <w:pPr>
        <w:spacing w:before="162" w:line="227" w:lineRule="auto"/>
        <w:ind w:left="26"/>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3.4.29  每套保护装置的面板上至少应有下列</w:t>
      </w:r>
      <w:r>
        <w:rPr>
          <w:rFonts w:ascii="宋体" w:hAnsi="宋体" w:eastAsia="宋体" w:cs="宋体"/>
          <w:color w:val="auto"/>
          <w:sz w:val="20"/>
          <w:szCs w:val="20"/>
          <w:highlight w:val="none"/>
        </w:rPr>
        <w:t>LED</w:t>
      </w:r>
      <w:r>
        <w:rPr>
          <w:rFonts w:ascii="宋体" w:hAnsi="宋体" w:eastAsia="宋体" w:cs="宋体"/>
          <w:color w:val="auto"/>
          <w:spacing w:val="-38"/>
          <w:sz w:val="20"/>
          <w:szCs w:val="20"/>
          <w:highlight w:val="none"/>
        </w:rPr>
        <w:t xml:space="preserve"> </w:t>
      </w:r>
      <w:r>
        <w:rPr>
          <w:rFonts w:ascii="宋体" w:hAnsi="宋体" w:eastAsia="宋体" w:cs="宋体"/>
          <w:color w:val="auto"/>
          <w:spacing w:val="10"/>
          <w:sz w:val="20"/>
          <w:szCs w:val="20"/>
          <w:highlight w:val="none"/>
        </w:rPr>
        <w:t>指示灯：装置带电、</w:t>
      </w:r>
      <w:r>
        <w:rPr>
          <w:rFonts w:ascii="宋体" w:hAnsi="宋体" w:eastAsia="宋体" w:cs="宋体"/>
          <w:color w:val="auto"/>
          <w:spacing w:val="9"/>
          <w:sz w:val="20"/>
          <w:szCs w:val="20"/>
          <w:highlight w:val="none"/>
        </w:rPr>
        <w:t>各种保护动作。</w:t>
      </w:r>
    </w:p>
    <w:p w14:paraId="417059B8">
      <w:pPr>
        <w:spacing w:before="161" w:line="302" w:lineRule="auto"/>
        <w:ind w:left="21" w:right="40"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3.4.30  各种保护动作的</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LED</w:t>
      </w:r>
      <w:r>
        <w:rPr>
          <w:rFonts w:ascii="宋体" w:hAnsi="宋体" w:eastAsia="宋体" w:cs="宋体"/>
          <w:color w:val="auto"/>
          <w:spacing w:val="-38"/>
          <w:sz w:val="20"/>
          <w:szCs w:val="20"/>
          <w:highlight w:val="none"/>
        </w:rPr>
        <w:t xml:space="preserve"> </w:t>
      </w:r>
      <w:r>
        <w:rPr>
          <w:rFonts w:ascii="宋体" w:hAnsi="宋体" w:eastAsia="宋体" w:cs="宋体"/>
          <w:color w:val="auto"/>
          <w:spacing w:val="7"/>
          <w:sz w:val="20"/>
          <w:szCs w:val="20"/>
          <w:highlight w:val="none"/>
        </w:rPr>
        <w:t>指示灯可</w:t>
      </w:r>
      <w:r>
        <w:rPr>
          <w:rFonts w:ascii="宋体" w:hAnsi="宋体" w:eastAsia="宋体" w:cs="宋体"/>
          <w:color w:val="auto"/>
          <w:spacing w:val="6"/>
          <w:sz w:val="20"/>
          <w:szCs w:val="20"/>
          <w:highlight w:val="none"/>
        </w:rPr>
        <w:t>以用保护装置面板上的复归按钮复归，或由输入复归</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命令复归。</w:t>
      </w:r>
    </w:p>
    <w:p w14:paraId="2DED05D9">
      <w:pPr>
        <w:spacing w:before="164" w:line="227" w:lineRule="auto"/>
        <w:ind w:left="2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3.4.31  投标人应提供微机型保护</w:t>
      </w:r>
      <w:r>
        <w:rPr>
          <w:rFonts w:ascii="宋体" w:hAnsi="宋体" w:eastAsia="宋体" w:cs="宋体"/>
          <w:color w:val="auto"/>
          <w:spacing w:val="8"/>
          <w:sz w:val="20"/>
          <w:szCs w:val="20"/>
          <w:highlight w:val="none"/>
        </w:rPr>
        <w:t>装置调试、整定和维护等可安装的全套软件和工具。</w:t>
      </w:r>
    </w:p>
    <w:p w14:paraId="48780754">
      <w:pPr>
        <w:spacing w:before="163" w:line="299" w:lineRule="auto"/>
        <w:ind w:left="26" w:right="4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3.4.32  保护装置的温度特性：室内温度在-10℃~+50℃;</w:t>
      </w:r>
      <w:r>
        <w:rPr>
          <w:rFonts w:ascii="宋体" w:hAnsi="宋体" w:eastAsia="宋体" w:cs="宋体"/>
          <w:color w:val="auto"/>
          <w:spacing w:val="80"/>
          <w:sz w:val="20"/>
          <w:szCs w:val="20"/>
          <w:highlight w:val="none"/>
        </w:rPr>
        <w:t xml:space="preserve"> </w:t>
      </w:r>
      <w:r>
        <w:rPr>
          <w:rFonts w:ascii="宋体" w:hAnsi="宋体" w:eastAsia="宋体" w:cs="宋体"/>
          <w:color w:val="auto"/>
          <w:spacing w:val="9"/>
          <w:sz w:val="20"/>
          <w:szCs w:val="20"/>
          <w:highlight w:val="none"/>
        </w:rPr>
        <w:t>最大变化率</w:t>
      </w:r>
      <w:r>
        <w:rPr>
          <w:rFonts w:ascii="宋体" w:hAnsi="宋体" w:eastAsia="宋体" w:cs="宋体"/>
          <w:color w:val="auto"/>
          <w:spacing w:val="-22"/>
          <w:sz w:val="20"/>
          <w:szCs w:val="20"/>
          <w:highlight w:val="none"/>
        </w:rPr>
        <w:t xml:space="preserve"> </w:t>
      </w:r>
      <w:r>
        <w:rPr>
          <w:rFonts w:ascii="宋体" w:hAnsi="宋体" w:eastAsia="宋体" w:cs="宋体"/>
          <w:color w:val="auto"/>
          <w:spacing w:val="9"/>
          <w:sz w:val="20"/>
          <w:szCs w:val="20"/>
          <w:highlight w:val="none"/>
        </w:rPr>
        <w:t>10℃/h；相对湿度</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5%～95%；最大绝对湿度</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28g/m</w:t>
      </w:r>
      <w:r>
        <w:rPr>
          <w:rFonts w:ascii="宋体" w:hAnsi="宋体" w:eastAsia="宋体" w:cs="宋体"/>
          <w:color w:val="auto"/>
          <w:spacing w:val="7"/>
          <w:position w:val="10"/>
          <w:sz w:val="10"/>
          <w:szCs w:val="10"/>
          <w:highlight w:val="none"/>
        </w:rPr>
        <w:t>3</w:t>
      </w:r>
      <w:r>
        <w:rPr>
          <w:rFonts w:ascii="宋体" w:hAnsi="宋体" w:eastAsia="宋体" w:cs="宋体"/>
          <w:color w:val="auto"/>
          <w:spacing w:val="-22"/>
          <w:position w:val="10"/>
          <w:sz w:val="10"/>
          <w:szCs w:val="10"/>
          <w:highlight w:val="none"/>
        </w:rPr>
        <w:t xml:space="preserve"> </w:t>
      </w:r>
      <w:r>
        <w:rPr>
          <w:rFonts w:ascii="宋体" w:hAnsi="宋体" w:eastAsia="宋体" w:cs="宋体"/>
          <w:color w:val="auto"/>
          <w:spacing w:val="7"/>
          <w:sz w:val="20"/>
          <w:szCs w:val="20"/>
          <w:highlight w:val="none"/>
        </w:rPr>
        <w:t>。保护装置应能满足规范书所规定的精度，并能正常工作。</w:t>
      </w:r>
    </w:p>
    <w:p w14:paraId="3A406E4C">
      <w:pPr>
        <w:spacing w:before="252" w:line="219" w:lineRule="auto"/>
        <w:ind w:left="28"/>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3.5</w:t>
      </w:r>
      <w:r>
        <w:rPr>
          <w:rFonts w:ascii="宋体" w:hAnsi="宋体" w:eastAsia="宋体" w:cs="宋体"/>
          <w:color w:val="auto"/>
          <w:spacing w:val="-40"/>
          <w:sz w:val="24"/>
          <w:szCs w:val="24"/>
          <w:highlight w:val="none"/>
        </w:rPr>
        <w:t xml:space="preserve"> </w:t>
      </w:r>
      <w:r>
        <w:rPr>
          <w:rFonts w:ascii="宋体" w:hAnsi="宋体" w:eastAsia="宋体" w:cs="宋体"/>
          <w:b/>
          <w:bCs/>
          <w:color w:val="auto"/>
          <w:spacing w:val="-4"/>
          <w:sz w:val="24"/>
          <w:szCs w:val="24"/>
          <w:highlight w:val="none"/>
        </w:rPr>
        <w:t>各种保护功能的主要技术要求</w:t>
      </w:r>
    </w:p>
    <w:p w14:paraId="33CF5B92">
      <w:pPr>
        <w:spacing w:before="99"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3.5.1</w:t>
      </w:r>
      <w:r>
        <w:rPr>
          <w:rFonts w:ascii="宋体" w:hAnsi="宋体" w:eastAsia="宋体" w:cs="宋体"/>
          <w:color w:val="auto"/>
          <w:spacing w:val="3"/>
          <w:sz w:val="20"/>
          <w:szCs w:val="20"/>
          <w:highlight w:val="none"/>
        </w:rPr>
        <w:t xml:space="preserve">  </w:t>
      </w:r>
      <w:r>
        <w:rPr>
          <w:rFonts w:ascii="宋体" w:hAnsi="宋体" w:eastAsia="宋体" w:cs="宋体"/>
          <w:color w:val="auto"/>
          <w:spacing w:val="8"/>
          <w:sz w:val="20"/>
          <w:szCs w:val="20"/>
          <w:highlight w:val="none"/>
        </w:rPr>
        <w:t>发电机、励磁变、主变、高压厂变、高压启备变</w:t>
      </w:r>
    </w:p>
    <w:p w14:paraId="1A8A592D">
      <w:pPr>
        <w:spacing w:before="162" w:line="227" w:lineRule="auto"/>
        <w:ind w:left="50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微机型保护装置按双重化配置（非电气量除外）要做到：</w:t>
      </w:r>
    </w:p>
    <w:p w14:paraId="75A065CD">
      <w:pPr>
        <w:spacing w:before="162" w:line="328" w:lineRule="auto"/>
        <w:ind w:left="875"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w:t>
      </w:r>
      <w:r>
        <w:rPr>
          <w:rFonts w:ascii="宋体" w:hAnsi="宋体" w:eastAsia="宋体" w:cs="宋体"/>
          <w:color w:val="auto"/>
          <w:spacing w:val="9"/>
          <w:sz w:val="20"/>
          <w:szCs w:val="20"/>
          <w:highlight w:val="none"/>
        </w:rPr>
        <w:t xml:space="preserve">  </w:t>
      </w:r>
      <w:r>
        <w:rPr>
          <w:rFonts w:ascii="宋体" w:hAnsi="宋体" w:eastAsia="宋体" w:cs="宋体"/>
          <w:color w:val="auto"/>
          <w:spacing w:val="7"/>
          <w:sz w:val="20"/>
          <w:szCs w:val="20"/>
          <w:highlight w:val="none"/>
        </w:rPr>
        <w:t>两套微机型保护装置（包括出口跳闸回路）应完整、独立安装在各自的屏内，</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之间没有任何电气联系。当运行中的一套保护因异常需退</w:t>
      </w:r>
      <w:r>
        <w:rPr>
          <w:rFonts w:ascii="宋体" w:hAnsi="宋体" w:eastAsia="宋体" w:cs="宋体"/>
          <w:color w:val="auto"/>
          <w:spacing w:val="6"/>
          <w:sz w:val="20"/>
          <w:szCs w:val="20"/>
          <w:highlight w:val="none"/>
        </w:rPr>
        <w:t>出或检修时，应不影响另</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一套保护的正常运行。</w:t>
      </w:r>
    </w:p>
    <w:p w14:paraId="2601F021">
      <w:pPr>
        <w:spacing w:before="160" w:line="228" w:lineRule="auto"/>
        <w:ind w:left="87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w:t>
      </w:r>
      <w:r>
        <w:rPr>
          <w:rFonts w:ascii="宋体" w:hAnsi="宋体" w:eastAsia="宋体" w:cs="宋体"/>
          <w:color w:val="auto"/>
          <w:spacing w:val="5"/>
          <w:sz w:val="20"/>
          <w:szCs w:val="20"/>
          <w:highlight w:val="none"/>
        </w:rPr>
        <w:t xml:space="preserve">  </w:t>
      </w:r>
      <w:r>
        <w:rPr>
          <w:rFonts w:ascii="宋体" w:hAnsi="宋体" w:eastAsia="宋体" w:cs="宋体"/>
          <w:color w:val="auto"/>
          <w:spacing w:val="8"/>
          <w:sz w:val="20"/>
          <w:szCs w:val="20"/>
          <w:highlight w:val="none"/>
        </w:rPr>
        <w:t>每套保护装置均应配置完整的差动及后备保护。</w:t>
      </w:r>
    </w:p>
    <w:p w14:paraId="53D4F7E9">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w:t>
      </w:r>
      <w:r>
        <w:rPr>
          <w:rFonts w:ascii="宋体" w:hAnsi="宋体" w:eastAsia="宋体" w:cs="宋体"/>
          <w:color w:val="auto"/>
          <w:spacing w:val="5"/>
          <w:sz w:val="20"/>
          <w:szCs w:val="20"/>
          <w:highlight w:val="none"/>
        </w:rPr>
        <w:t xml:space="preserve">  </w:t>
      </w:r>
      <w:r>
        <w:rPr>
          <w:rFonts w:ascii="宋体" w:hAnsi="宋体" w:eastAsia="宋体" w:cs="宋体"/>
          <w:color w:val="auto"/>
          <w:spacing w:val="7"/>
          <w:sz w:val="20"/>
          <w:szCs w:val="20"/>
          <w:highlight w:val="none"/>
        </w:rPr>
        <w:t>保护装置应能设置不同定值区。</w:t>
      </w:r>
    </w:p>
    <w:p w14:paraId="12D2E602">
      <w:pPr>
        <w:spacing w:before="163" w:line="228" w:lineRule="auto"/>
        <w:ind w:left="87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w:t>
      </w:r>
      <w:r>
        <w:rPr>
          <w:rFonts w:ascii="宋体" w:hAnsi="宋体" w:eastAsia="宋体" w:cs="宋体"/>
          <w:color w:val="auto"/>
          <w:spacing w:val="12"/>
          <w:sz w:val="20"/>
          <w:szCs w:val="20"/>
          <w:highlight w:val="none"/>
        </w:rPr>
        <w:t xml:space="preserve">  </w:t>
      </w:r>
      <w:r>
        <w:rPr>
          <w:rFonts w:ascii="宋体" w:hAnsi="宋体" w:eastAsia="宋体" w:cs="宋体"/>
          <w:color w:val="auto"/>
          <w:spacing w:val="8"/>
          <w:sz w:val="20"/>
          <w:szCs w:val="20"/>
          <w:highlight w:val="none"/>
        </w:rPr>
        <w:t>保护装置的出口继电器应能灵活选择组合，满足工程要求。</w:t>
      </w:r>
    </w:p>
    <w:p w14:paraId="3653CCF8">
      <w:pPr>
        <w:spacing w:before="162"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"3.5.1.1" </w:instrText>
      </w:r>
      <w:r>
        <w:rPr>
          <w:color w:val="auto"/>
          <w:highlight w:val="none"/>
        </w:rPr>
        <w:fldChar w:fldCharType="separate"/>
      </w:r>
      <w:r>
        <w:rPr>
          <w:rFonts w:ascii="宋体" w:hAnsi="宋体" w:eastAsia="宋体" w:cs="宋体"/>
          <w:color w:val="auto"/>
          <w:spacing w:val="6"/>
          <w:sz w:val="20"/>
          <w:szCs w:val="20"/>
          <w:highlight w:val="none"/>
        </w:rPr>
        <w:t>3.5.1.1</w:t>
      </w:r>
      <w:r>
        <w:rPr>
          <w:rFonts w:ascii="宋体" w:hAnsi="宋体" w:eastAsia="宋体" w:cs="宋体"/>
          <w:color w:val="auto"/>
          <w:spacing w:val="6"/>
          <w:sz w:val="20"/>
          <w:szCs w:val="20"/>
          <w:highlight w:val="none"/>
        </w:rPr>
        <w:fldChar w:fldCharType="end"/>
      </w:r>
      <w:r>
        <w:rPr>
          <w:rFonts w:ascii="宋体" w:hAnsi="宋体" w:eastAsia="宋体" w:cs="宋体"/>
          <w:color w:val="auto"/>
          <w:spacing w:val="6"/>
          <w:sz w:val="20"/>
          <w:szCs w:val="20"/>
          <w:highlight w:val="none"/>
        </w:rPr>
        <w:t xml:space="preserve"> 微机型发电机保护装置</w:t>
      </w:r>
    </w:p>
    <w:p w14:paraId="7E1228CC">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发电机差动保护</w:t>
      </w:r>
    </w:p>
    <w:p w14:paraId="460C0872">
      <w:pPr>
        <w:spacing w:before="161" w:line="227" w:lineRule="auto"/>
        <w:ind w:left="92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保护发电机定子绕组及其引出线的相间短路故障。其主要功能和技术要求如下：</w:t>
      </w:r>
    </w:p>
    <w:p w14:paraId="3356D0BA">
      <w:pPr>
        <w:spacing w:before="162" w:line="302" w:lineRule="auto"/>
        <w:ind w:left="1280" w:right="42" w:hanging="40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  应具有防止区外故障误动的谐波制动和比率制动特性，防止发电机过激磁和强</w:t>
      </w:r>
      <w:r>
        <w:rPr>
          <w:rFonts w:ascii="宋体" w:hAnsi="宋体" w:eastAsia="宋体" w:cs="宋体"/>
          <w:color w:val="auto"/>
          <w:spacing w:val="11"/>
          <w:sz w:val="20"/>
          <w:szCs w:val="20"/>
          <w:highlight w:val="none"/>
        </w:rPr>
        <w:t xml:space="preserve"> </w:t>
      </w:r>
      <w:r>
        <w:rPr>
          <w:rFonts w:ascii="宋体" w:hAnsi="宋体" w:eastAsia="宋体" w:cs="宋体"/>
          <w:color w:val="auto"/>
          <w:spacing w:val="6"/>
          <w:sz w:val="20"/>
          <w:szCs w:val="20"/>
          <w:highlight w:val="none"/>
        </w:rPr>
        <w:t>励时误动；</w:t>
      </w:r>
    </w:p>
    <w:p w14:paraId="3D46110C">
      <w:pPr>
        <w:spacing w:before="164" w:line="302" w:lineRule="auto"/>
        <w:ind w:left="1281" w:right="40" w:hanging="41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  具有电流互感器（</w:t>
      </w:r>
      <w:r>
        <w:rPr>
          <w:rFonts w:ascii="宋体" w:hAnsi="宋体" w:eastAsia="宋体" w:cs="宋体"/>
          <w:color w:val="auto"/>
          <w:sz w:val="20"/>
          <w:szCs w:val="20"/>
          <w:highlight w:val="none"/>
        </w:rPr>
        <w:t>TA</w:t>
      </w:r>
      <w:r>
        <w:rPr>
          <w:rFonts w:ascii="宋体" w:hAnsi="宋体" w:eastAsia="宋体" w:cs="宋体"/>
          <w:color w:val="auto"/>
          <w:spacing w:val="7"/>
          <w:sz w:val="20"/>
          <w:szCs w:val="20"/>
          <w:highlight w:val="none"/>
        </w:rPr>
        <w:t>）断线判别功能，并能选择闭锁差流或报警，</w:t>
      </w:r>
      <w:r>
        <w:rPr>
          <w:rFonts w:ascii="宋体" w:hAnsi="宋体" w:eastAsia="宋体" w:cs="宋体"/>
          <w:color w:val="auto"/>
          <w:spacing w:val="6"/>
          <w:sz w:val="20"/>
          <w:szCs w:val="20"/>
          <w:highlight w:val="none"/>
        </w:rPr>
        <w:t>当电流大于</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额定电流的</w:t>
      </w:r>
      <w:r>
        <w:rPr>
          <w:rFonts w:ascii="宋体" w:hAnsi="宋体" w:eastAsia="宋体" w:cs="宋体"/>
          <w:color w:val="auto"/>
          <w:spacing w:val="-8"/>
          <w:sz w:val="20"/>
          <w:szCs w:val="20"/>
          <w:highlight w:val="none"/>
        </w:rPr>
        <w:t xml:space="preserve"> </w:t>
      </w:r>
      <w:r>
        <w:rPr>
          <w:rFonts w:ascii="宋体" w:hAnsi="宋体" w:eastAsia="宋体" w:cs="宋体"/>
          <w:color w:val="auto"/>
          <w:spacing w:val="5"/>
          <w:sz w:val="20"/>
          <w:szCs w:val="20"/>
          <w:highlight w:val="none"/>
        </w:rPr>
        <w:t>1.2~1.5</w:t>
      </w:r>
      <w:r>
        <w:rPr>
          <w:rFonts w:ascii="宋体" w:hAnsi="宋体" w:eastAsia="宋体" w:cs="宋体"/>
          <w:color w:val="auto"/>
          <w:spacing w:val="-40"/>
          <w:sz w:val="20"/>
          <w:szCs w:val="20"/>
          <w:highlight w:val="none"/>
        </w:rPr>
        <w:t xml:space="preserve"> </w:t>
      </w:r>
      <w:r>
        <w:rPr>
          <w:rFonts w:ascii="宋体" w:hAnsi="宋体" w:eastAsia="宋体" w:cs="宋体"/>
          <w:color w:val="auto"/>
          <w:spacing w:val="5"/>
          <w:sz w:val="20"/>
          <w:szCs w:val="20"/>
          <w:highlight w:val="none"/>
        </w:rPr>
        <w:t>倍可自动解除闭锁；</w:t>
      </w:r>
    </w:p>
    <w:p w14:paraId="4C140EBD">
      <w:pPr>
        <w:spacing w:before="161" w:line="228" w:lineRule="auto"/>
        <w:ind w:left="86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  在同一相上出现两点接地故障(一点区内、一点区外)时，可动作出口；</w:t>
      </w:r>
    </w:p>
    <w:p w14:paraId="529C22FD">
      <w:pPr>
        <w:spacing w:before="161" w:line="228" w:lineRule="auto"/>
        <w:ind w:left="87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4)  定值的准确度：5%或</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5"/>
          <w:sz w:val="20"/>
          <w:szCs w:val="20"/>
          <w:highlight w:val="none"/>
        </w:rPr>
        <w:t>；</w:t>
      </w:r>
    </w:p>
    <w:p w14:paraId="74368155">
      <w:pPr>
        <w:spacing w:before="164" w:line="228" w:lineRule="auto"/>
        <w:ind w:left="86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5)  动作时间(2</w:t>
      </w:r>
      <w:r>
        <w:rPr>
          <w:rFonts w:ascii="宋体" w:hAnsi="宋体" w:eastAsia="宋体" w:cs="宋体"/>
          <w:color w:val="auto"/>
          <w:spacing w:val="-27"/>
          <w:sz w:val="20"/>
          <w:szCs w:val="20"/>
          <w:highlight w:val="none"/>
        </w:rPr>
        <w:t xml:space="preserve"> </w:t>
      </w:r>
      <w:r>
        <w:rPr>
          <w:rFonts w:ascii="宋体" w:hAnsi="宋体" w:eastAsia="宋体" w:cs="宋体"/>
          <w:color w:val="auto"/>
          <w:spacing w:val="6"/>
          <w:sz w:val="20"/>
          <w:szCs w:val="20"/>
          <w:highlight w:val="none"/>
        </w:rPr>
        <w:t>倍整定电流时)不大于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6"/>
          <w:sz w:val="20"/>
          <w:szCs w:val="20"/>
          <w:highlight w:val="none"/>
        </w:rPr>
        <w:t>30</w:t>
      </w:r>
      <w:r>
        <w:rPr>
          <w:rFonts w:ascii="宋体" w:hAnsi="宋体" w:eastAsia="宋体" w:cs="宋体"/>
          <w:color w:val="auto"/>
          <w:sz w:val="20"/>
          <w:szCs w:val="20"/>
          <w:highlight w:val="none"/>
        </w:rPr>
        <w:t>ms</w:t>
      </w:r>
      <w:r>
        <w:rPr>
          <w:rFonts w:ascii="宋体" w:hAnsi="宋体" w:eastAsia="宋体" w:cs="宋体"/>
          <w:color w:val="auto"/>
          <w:spacing w:val="6"/>
          <w:sz w:val="20"/>
          <w:szCs w:val="20"/>
          <w:highlight w:val="none"/>
        </w:rPr>
        <w:t>；</w:t>
      </w:r>
    </w:p>
    <w:p w14:paraId="33474F6B">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9"/>
          <w:sz w:val="14"/>
          <w:szCs w:val="14"/>
          <w:highlight w:val="none"/>
        </w:rPr>
        <w:t xml:space="preserve"> </w:t>
      </w:r>
      <w:r>
        <w:rPr>
          <w:rFonts w:ascii="宋体" w:hAnsi="宋体" w:eastAsia="宋体" w:cs="宋体"/>
          <w:b/>
          <w:bCs/>
          <w:color w:val="auto"/>
          <w:spacing w:val="5"/>
          <w:sz w:val="20"/>
          <w:szCs w:val="20"/>
          <w:highlight w:val="none"/>
        </w:rPr>
        <w:t>发电机负序电流保护</w:t>
      </w:r>
    </w:p>
    <w:p w14:paraId="3970C36D">
      <w:pPr>
        <w:spacing w:before="159" w:line="228" w:lineRule="auto"/>
        <w:ind w:left="1290"/>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负序电流保护由定时限和反时限两部分特性构成</w:t>
      </w:r>
      <w:r>
        <w:rPr>
          <w:rFonts w:ascii="宋体" w:hAnsi="宋体" w:eastAsia="宋体" w:cs="宋体"/>
          <w:color w:val="auto"/>
          <w:spacing w:val="-48"/>
          <w:sz w:val="20"/>
          <w:szCs w:val="20"/>
          <w:highlight w:val="none"/>
        </w:rPr>
        <w:t xml:space="preserve"> </w:t>
      </w:r>
      <w:r>
        <w:rPr>
          <w:rFonts w:ascii="宋体" w:hAnsi="宋体" w:eastAsia="宋体" w:cs="宋体"/>
          <w:color w:val="auto"/>
          <w:spacing w:val="25"/>
          <w:sz w:val="20"/>
          <w:szCs w:val="20"/>
          <w:highlight w:val="none"/>
        </w:rPr>
        <w:t>。其主要功能和技术要</w:t>
      </w:r>
    </w:p>
    <w:p w14:paraId="0778F6B5">
      <w:pPr>
        <w:spacing w:line="228" w:lineRule="auto"/>
        <w:rPr>
          <w:rFonts w:ascii="宋体" w:hAnsi="宋体" w:eastAsia="宋体" w:cs="宋体"/>
          <w:color w:val="auto"/>
          <w:sz w:val="20"/>
          <w:szCs w:val="20"/>
          <w:highlight w:val="none"/>
        </w:rPr>
        <w:sectPr>
          <w:pgSz w:w="11906" w:h="16839"/>
          <w:pgMar w:top="1428" w:right="1759" w:bottom="0" w:left="1785" w:header="0" w:footer="0" w:gutter="0"/>
          <w:pgBorders>
            <w:top w:val="none" w:sz="0" w:space="0"/>
            <w:left w:val="none" w:sz="0" w:space="0"/>
            <w:bottom w:val="none" w:sz="0" w:space="0"/>
            <w:right w:val="none" w:sz="0" w:space="0"/>
          </w:pgBorders>
          <w:cols w:space="720" w:num="1"/>
        </w:sectPr>
      </w:pPr>
    </w:p>
    <w:p w14:paraId="251D5AE2">
      <w:pPr>
        <w:spacing w:before="42" w:line="228" w:lineRule="auto"/>
        <w:ind w:left="508"/>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求如下：</w:t>
      </w:r>
    </w:p>
    <w:p w14:paraId="2DF01708">
      <w:pPr>
        <w:spacing w:before="160" w:line="228" w:lineRule="auto"/>
        <w:ind w:left="88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w:t>
      </w:r>
      <w:r>
        <w:rPr>
          <w:rFonts w:ascii="宋体" w:hAnsi="宋体" w:eastAsia="宋体" w:cs="宋体"/>
          <w:color w:val="auto"/>
          <w:spacing w:val="-3"/>
          <w:sz w:val="20"/>
          <w:szCs w:val="20"/>
          <w:highlight w:val="none"/>
        </w:rPr>
        <w:t xml:space="preserve"> </w:t>
      </w:r>
      <w:r>
        <w:rPr>
          <w:rFonts w:ascii="宋体" w:hAnsi="宋体" w:eastAsia="宋体" w:cs="宋体"/>
          <w:color w:val="auto"/>
          <w:spacing w:val="6"/>
          <w:sz w:val="20"/>
          <w:szCs w:val="20"/>
          <w:highlight w:val="none"/>
        </w:rPr>
        <w:t>定时限部分应具有灵敏的报警单元；</w:t>
      </w:r>
    </w:p>
    <w:p w14:paraId="2C2482F1">
      <w:pPr>
        <w:spacing w:before="163" w:line="302" w:lineRule="auto"/>
        <w:ind w:left="897" w:right="42" w:hanging="21"/>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w:t>
      </w:r>
      <w:r>
        <w:rPr>
          <w:rFonts w:ascii="宋体" w:hAnsi="宋体" w:eastAsia="宋体" w:cs="宋体"/>
          <w:color w:val="auto"/>
          <w:spacing w:val="-20"/>
          <w:sz w:val="20"/>
          <w:szCs w:val="20"/>
          <w:highlight w:val="none"/>
        </w:rPr>
        <w:t xml:space="preserve"> </w:t>
      </w:r>
      <w:r>
        <w:rPr>
          <w:rFonts w:ascii="宋体" w:hAnsi="宋体" w:eastAsia="宋体" w:cs="宋体"/>
          <w:color w:val="auto"/>
          <w:spacing w:val="10"/>
          <w:sz w:val="20"/>
          <w:szCs w:val="20"/>
          <w:highlight w:val="none"/>
        </w:rPr>
        <w:t>反时限部分动作电流按照发电机承受负序电流的能力确定，保护应能反应负序</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电流变化时发电机转子的热积累过程；</w:t>
      </w:r>
    </w:p>
    <w:p w14:paraId="34CB4B6F">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w:t>
      </w:r>
      <w:r>
        <w:rPr>
          <w:rFonts w:ascii="宋体" w:hAnsi="宋体" w:eastAsia="宋体" w:cs="宋体"/>
          <w:color w:val="auto"/>
          <w:spacing w:val="-5"/>
          <w:sz w:val="20"/>
          <w:szCs w:val="20"/>
          <w:highlight w:val="none"/>
        </w:rPr>
        <w:t xml:space="preserve"> </w:t>
      </w:r>
      <w:r>
        <w:rPr>
          <w:rFonts w:ascii="宋体" w:hAnsi="宋体" w:eastAsia="宋体" w:cs="宋体"/>
          <w:color w:val="auto"/>
          <w:spacing w:val="6"/>
          <w:sz w:val="20"/>
          <w:szCs w:val="20"/>
          <w:highlight w:val="none"/>
        </w:rPr>
        <w:t>定时限段返回系数不小于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6"/>
          <w:sz w:val="20"/>
          <w:szCs w:val="20"/>
          <w:highlight w:val="none"/>
        </w:rPr>
        <w:t>0.9</w:t>
      </w:r>
      <w:r>
        <w:rPr>
          <w:rFonts w:ascii="宋体" w:hAnsi="宋体" w:eastAsia="宋体" w:cs="宋体"/>
          <w:color w:val="auto"/>
          <w:spacing w:val="-39"/>
          <w:sz w:val="20"/>
          <w:szCs w:val="20"/>
          <w:highlight w:val="none"/>
        </w:rPr>
        <w:t xml:space="preserve"> </w:t>
      </w:r>
      <w:r>
        <w:rPr>
          <w:rFonts w:ascii="宋体" w:hAnsi="宋体" w:eastAsia="宋体" w:cs="宋体"/>
          <w:color w:val="auto"/>
          <w:spacing w:val="6"/>
          <w:sz w:val="20"/>
          <w:szCs w:val="20"/>
          <w:highlight w:val="none"/>
        </w:rPr>
        <w:t>反时限特性的长延时应可整定到</w:t>
      </w:r>
      <w:r>
        <w:rPr>
          <w:rFonts w:ascii="宋体" w:hAnsi="宋体" w:eastAsia="宋体" w:cs="宋体"/>
          <w:color w:val="auto"/>
          <w:spacing w:val="-22"/>
          <w:sz w:val="20"/>
          <w:szCs w:val="20"/>
          <w:highlight w:val="none"/>
        </w:rPr>
        <w:t xml:space="preserve"> </w:t>
      </w:r>
      <w:r>
        <w:rPr>
          <w:rFonts w:ascii="宋体" w:hAnsi="宋体" w:eastAsia="宋体" w:cs="宋体"/>
          <w:color w:val="auto"/>
          <w:spacing w:val="6"/>
          <w:sz w:val="20"/>
          <w:szCs w:val="20"/>
          <w:highlight w:val="none"/>
        </w:rPr>
        <w:t>1000s；</w:t>
      </w:r>
    </w:p>
    <w:p w14:paraId="2AF4C76D">
      <w:pPr>
        <w:spacing w:before="161" w:line="228" w:lineRule="auto"/>
        <w:ind w:left="87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4)</w:t>
      </w:r>
      <w:r>
        <w:rPr>
          <w:rFonts w:ascii="宋体" w:hAnsi="宋体" w:eastAsia="宋体" w:cs="宋体"/>
          <w:color w:val="auto"/>
          <w:spacing w:val="-20"/>
          <w:sz w:val="20"/>
          <w:szCs w:val="20"/>
          <w:highlight w:val="none"/>
        </w:rPr>
        <w:t xml:space="preserve"> </w:t>
      </w:r>
      <w:r>
        <w:rPr>
          <w:rFonts w:ascii="宋体" w:hAnsi="宋体" w:eastAsia="宋体" w:cs="宋体"/>
          <w:color w:val="auto"/>
          <w:spacing w:val="9"/>
          <w:sz w:val="20"/>
          <w:szCs w:val="20"/>
          <w:highlight w:val="none"/>
        </w:rPr>
        <w:t>反时限整个特性应由信号段、反时限段、速</w:t>
      </w:r>
      <w:r>
        <w:rPr>
          <w:rFonts w:ascii="宋体" w:hAnsi="宋体" w:eastAsia="宋体" w:cs="宋体"/>
          <w:color w:val="auto"/>
          <w:spacing w:val="8"/>
          <w:sz w:val="20"/>
          <w:szCs w:val="20"/>
          <w:highlight w:val="none"/>
        </w:rPr>
        <w:t>断段等三部分组成；</w:t>
      </w:r>
    </w:p>
    <w:p w14:paraId="7B2EA474">
      <w:pPr>
        <w:spacing w:before="163" w:line="228" w:lineRule="auto"/>
        <w:ind w:left="878"/>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5)</w:t>
      </w:r>
      <w:r>
        <w:rPr>
          <w:rFonts w:ascii="宋体" w:hAnsi="宋体" w:eastAsia="宋体" w:cs="宋体"/>
          <w:color w:val="auto"/>
          <w:spacing w:val="-18"/>
          <w:sz w:val="20"/>
          <w:szCs w:val="20"/>
          <w:highlight w:val="none"/>
        </w:rPr>
        <w:t xml:space="preserve"> </w:t>
      </w:r>
      <w:r>
        <w:rPr>
          <w:rFonts w:ascii="宋体" w:hAnsi="宋体" w:eastAsia="宋体" w:cs="宋体"/>
          <w:color w:val="auto"/>
          <w:spacing w:val="5"/>
          <w:sz w:val="20"/>
          <w:szCs w:val="20"/>
          <w:highlight w:val="none"/>
        </w:rPr>
        <w:t>信号段、速断段时间整定值的准确度（</w:t>
      </w:r>
      <w:r>
        <w:rPr>
          <w:rFonts w:ascii="宋体" w:hAnsi="宋体" w:eastAsia="宋体" w:cs="宋体"/>
          <w:color w:val="auto"/>
          <w:spacing w:val="-44"/>
          <w:sz w:val="20"/>
          <w:szCs w:val="20"/>
          <w:highlight w:val="none"/>
        </w:rPr>
        <w:t xml:space="preserve"> </w:t>
      </w:r>
      <w:r>
        <w:rPr>
          <w:rFonts w:ascii="宋体" w:hAnsi="宋体" w:eastAsia="宋体" w:cs="宋体"/>
          <w:color w:val="auto"/>
          <w:spacing w:val="5"/>
          <w:sz w:val="20"/>
          <w:szCs w:val="20"/>
          <w:highlight w:val="none"/>
        </w:rPr>
        <w:t>1.5</w:t>
      </w:r>
      <w:r>
        <w:rPr>
          <w:rFonts w:ascii="宋体" w:hAnsi="宋体" w:eastAsia="宋体" w:cs="宋体"/>
          <w:color w:val="auto"/>
          <w:spacing w:val="-40"/>
          <w:sz w:val="20"/>
          <w:szCs w:val="20"/>
          <w:highlight w:val="none"/>
        </w:rPr>
        <w:t xml:space="preserve"> </w:t>
      </w:r>
      <w:r>
        <w:rPr>
          <w:rFonts w:ascii="宋体" w:hAnsi="宋体" w:eastAsia="宋体" w:cs="宋体"/>
          <w:color w:val="auto"/>
          <w:spacing w:val="5"/>
          <w:sz w:val="20"/>
          <w:szCs w:val="20"/>
          <w:highlight w:val="none"/>
        </w:rPr>
        <w:t>倍整定值时</w:t>
      </w:r>
      <w:r>
        <w:rPr>
          <w:rFonts w:ascii="宋体" w:hAnsi="宋体" w:eastAsia="宋体" w:cs="宋体"/>
          <w:color w:val="auto"/>
          <w:spacing w:val="-54"/>
          <w:w w:val="99"/>
          <w:sz w:val="20"/>
          <w:szCs w:val="20"/>
          <w:highlight w:val="none"/>
        </w:rPr>
        <w:t>）：</w:t>
      </w:r>
      <w:r>
        <w:rPr>
          <w:rFonts w:ascii="宋体" w:hAnsi="宋体" w:eastAsia="宋体" w:cs="宋体"/>
          <w:color w:val="auto"/>
          <w:spacing w:val="-51"/>
          <w:sz w:val="20"/>
          <w:szCs w:val="20"/>
          <w:highlight w:val="none"/>
        </w:rPr>
        <w:t xml:space="preserve"> </w:t>
      </w:r>
      <w:r>
        <w:rPr>
          <w:rFonts w:ascii="宋体" w:hAnsi="宋体" w:eastAsia="宋体" w:cs="宋体"/>
          <w:color w:val="auto"/>
          <w:spacing w:val="5"/>
          <w:sz w:val="20"/>
          <w:szCs w:val="20"/>
          <w:highlight w:val="none"/>
        </w:rPr>
        <w:t>1%或</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5"/>
          <w:sz w:val="20"/>
          <w:szCs w:val="20"/>
          <w:highlight w:val="none"/>
        </w:rPr>
        <w:t>。</w:t>
      </w:r>
    </w:p>
    <w:p w14:paraId="43B84E83">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发电机失磁保护</w:t>
      </w:r>
    </w:p>
    <w:p w14:paraId="5F046FAB">
      <w:pPr>
        <w:spacing w:before="160" w:line="362" w:lineRule="auto"/>
        <w:ind w:left="512" w:right="61" w:firstLine="456"/>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保护发电机在发生失磁或部分失磁时</w:t>
      </w:r>
      <w:r>
        <w:rPr>
          <w:rFonts w:ascii="宋体" w:hAnsi="宋体" w:eastAsia="宋体" w:cs="宋体"/>
          <w:color w:val="auto"/>
          <w:spacing w:val="-50"/>
          <w:sz w:val="20"/>
          <w:szCs w:val="20"/>
          <w:highlight w:val="none"/>
        </w:rPr>
        <w:t xml:space="preserve"> </w:t>
      </w:r>
      <w:r>
        <w:rPr>
          <w:rFonts w:ascii="宋体" w:hAnsi="宋体" w:eastAsia="宋体" w:cs="宋体"/>
          <w:color w:val="auto"/>
          <w:spacing w:val="26"/>
          <w:sz w:val="20"/>
          <w:szCs w:val="20"/>
          <w:highlight w:val="none"/>
        </w:rPr>
        <w:t>，</w:t>
      </w:r>
      <w:r>
        <w:rPr>
          <w:rFonts w:ascii="宋体" w:hAnsi="宋体" w:eastAsia="宋体" w:cs="宋体"/>
          <w:color w:val="auto"/>
          <w:spacing w:val="-53"/>
          <w:sz w:val="20"/>
          <w:szCs w:val="20"/>
          <w:highlight w:val="none"/>
        </w:rPr>
        <w:t xml:space="preserve"> </w:t>
      </w:r>
      <w:r>
        <w:rPr>
          <w:rFonts w:ascii="宋体" w:hAnsi="宋体" w:eastAsia="宋体" w:cs="宋体"/>
          <w:color w:val="auto"/>
          <w:spacing w:val="26"/>
          <w:sz w:val="20"/>
          <w:szCs w:val="20"/>
          <w:highlight w:val="none"/>
        </w:rPr>
        <w:t>防止危及发电机安全及电力系统稳</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定运行的保护装置</w:t>
      </w:r>
      <w:r>
        <w:rPr>
          <w:rFonts w:ascii="宋体" w:hAnsi="宋体" w:eastAsia="宋体" w:cs="宋体"/>
          <w:color w:val="auto"/>
          <w:spacing w:val="-34"/>
          <w:sz w:val="20"/>
          <w:szCs w:val="20"/>
          <w:highlight w:val="none"/>
        </w:rPr>
        <w:t xml:space="preserve"> </w:t>
      </w:r>
      <w:r>
        <w:rPr>
          <w:rFonts w:ascii="宋体" w:hAnsi="宋体" w:eastAsia="宋体" w:cs="宋体"/>
          <w:color w:val="auto"/>
          <w:spacing w:val="14"/>
          <w:sz w:val="20"/>
          <w:szCs w:val="20"/>
          <w:highlight w:val="none"/>
        </w:rPr>
        <w:t>。其主要功能和技术要求如下：</w:t>
      </w:r>
    </w:p>
    <w:p w14:paraId="5C1A6795">
      <w:pPr>
        <w:spacing w:before="34" w:line="302" w:lineRule="auto"/>
        <w:ind w:left="894" w:right="42" w:hanging="5"/>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w:t>
      </w:r>
      <w:r>
        <w:rPr>
          <w:rFonts w:ascii="宋体" w:hAnsi="宋体" w:eastAsia="宋体" w:cs="宋体"/>
          <w:color w:val="auto"/>
          <w:spacing w:val="-21"/>
          <w:sz w:val="20"/>
          <w:szCs w:val="20"/>
          <w:highlight w:val="none"/>
        </w:rPr>
        <w:t xml:space="preserve"> </w:t>
      </w:r>
      <w:r>
        <w:rPr>
          <w:rFonts w:ascii="宋体" w:hAnsi="宋体" w:eastAsia="宋体" w:cs="宋体"/>
          <w:color w:val="auto"/>
          <w:spacing w:val="10"/>
          <w:sz w:val="20"/>
          <w:szCs w:val="20"/>
          <w:highlight w:val="none"/>
        </w:rPr>
        <w:t>应能检测或预测机组的静稳边界，或检测机组的稳</w:t>
      </w:r>
      <w:r>
        <w:rPr>
          <w:rFonts w:ascii="宋体" w:hAnsi="宋体" w:eastAsia="宋体" w:cs="宋体"/>
          <w:color w:val="auto"/>
          <w:spacing w:val="9"/>
          <w:sz w:val="20"/>
          <w:szCs w:val="20"/>
          <w:highlight w:val="none"/>
        </w:rPr>
        <w:t>态异步边界；还应能检测不</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同负荷下各种全失磁和部分失磁；</w:t>
      </w:r>
    </w:p>
    <w:p w14:paraId="07390403">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2)</w:t>
      </w:r>
      <w:r>
        <w:rPr>
          <w:rFonts w:ascii="宋体" w:hAnsi="宋体" w:eastAsia="宋体" w:cs="宋体"/>
          <w:color w:val="auto"/>
          <w:spacing w:val="-14"/>
          <w:sz w:val="20"/>
          <w:szCs w:val="20"/>
          <w:highlight w:val="none"/>
        </w:rPr>
        <w:t xml:space="preserve"> </w:t>
      </w:r>
      <w:r>
        <w:rPr>
          <w:rFonts w:ascii="宋体" w:hAnsi="宋体" w:eastAsia="宋体" w:cs="宋体"/>
          <w:color w:val="auto"/>
          <w:spacing w:val="6"/>
          <w:sz w:val="20"/>
          <w:szCs w:val="20"/>
          <w:highlight w:val="none"/>
        </w:rPr>
        <w:t>应能检测系统侧电压；</w:t>
      </w:r>
    </w:p>
    <w:p w14:paraId="60A69521">
      <w:pPr>
        <w:spacing w:before="161" w:line="327" w:lineRule="auto"/>
        <w:ind w:left="874" w:right="42" w:firstLine="4"/>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3)</w:t>
      </w:r>
      <w:r>
        <w:rPr>
          <w:rFonts w:ascii="宋体" w:hAnsi="宋体" w:eastAsia="宋体" w:cs="宋体"/>
          <w:color w:val="auto"/>
          <w:spacing w:val="-22"/>
          <w:sz w:val="20"/>
          <w:szCs w:val="20"/>
          <w:highlight w:val="none"/>
        </w:rPr>
        <w:t xml:space="preserve"> </w:t>
      </w:r>
      <w:r>
        <w:rPr>
          <w:rFonts w:ascii="宋体" w:hAnsi="宋体" w:eastAsia="宋体" w:cs="宋体"/>
          <w:color w:val="auto"/>
          <w:spacing w:val="10"/>
          <w:sz w:val="20"/>
          <w:szCs w:val="20"/>
          <w:highlight w:val="none"/>
        </w:rPr>
        <w:t>应防止机组正常进相运行时和电力系统振荡时的误动；还应防止系统故障、故</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障切除过程中以及电压互感器断线时的误动，当电压互感器</w:t>
      </w:r>
      <w:r>
        <w:rPr>
          <w:rFonts w:ascii="宋体" w:hAnsi="宋体" w:eastAsia="宋体" w:cs="宋体"/>
          <w:color w:val="auto"/>
          <w:spacing w:val="6"/>
          <w:sz w:val="20"/>
          <w:szCs w:val="20"/>
          <w:highlight w:val="none"/>
        </w:rPr>
        <w:t>回路断线时应发出报警</w:t>
      </w:r>
      <w:r>
        <w:rPr>
          <w:rFonts w:ascii="宋体" w:hAnsi="宋体" w:eastAsia="宋体" w:cs="宋体"/>
          <w:color w:val="auto"/>
          <w:sz w:val="20"/>
          <w:szCs w:val="20"/>
          <w:highlight w:val="none"/>
        </w:rPr>
        <w:t xml:space="preserve"> </w:t>
      </w:r>
      <w:r>
        <w:rPr>
          <w:rFonts w:ascii="宋体" w:hAnsi="宋体" w:eastAsia="宋体" w:cs="宋体"/>
          <w:color w:val="auto"/>
          <w:spacing w:val="3"/>
          <w:sz w:val="20"/>
          <w:szCs w:val="20"/>
          <w:highlight w:val="none"/>
        </w:rPr>
        <w:t>信号；</w:t>
      </w:r>
    </w:p>
    <w:p w14:paraId="078CCE24">
      <w:pPr>
        <w:spacing w:before="164" w:line="228" w:lineRule="auto"/>
        <w:ind w:left="873"/>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4) 时间整定值的准确度（</w:t>
      </w:r>
      <w:r>
        <w:rPr>
          <w:rFonts w:ascii="宋体" w:hAnsi="宋体" w:eastAsia="宋体" w:cs="宋体"/>
          <w:color w:val="auto"/>
          <w:spacing w:val="-42"/>
          <w:sz w:val="20"/>
          <w:szCs w:val="20"/>
          <w:highlight w:val="none"/>
        </w:rPr>
        <w:t xml:space="preserve"> </w:t>
      </w:r>
      <w:r>
        <w:rPr>
          <w:rFonts w:ascii="宋体" w:hAnsi="宋体" w:eastAsia="宋体" w:cs="宋体"/>
          <w:color w:val="auto"/>
          <w:spacing w:val="3"/>
          <w:sz w:val="20"/>
          <w:szCs w:val="20"/>
          <w:highlight w:val="none"/>
        </w:rPr>
        <w:t>1.5</w:t>
      </w:r>
      <w:r>
        <w:rPr>
          <w:rFonts w:ascii="宋体" w:hAnsi="宋体" w:eastAsia="宋体" w:cs="宋体"/>
          <w:color w:val="auto"/>
          <w:spacing w:val="-40"/>
          <w:sz w:val="20"/>
          <w:szCs w:val="20"/>
          <w:highlight w:val="none"/>
        </w:rPr>
        <w:t xml:space="preserve"> </w:t>
      </w:r>
      <w:r>
        <w:rPr>
          <w:rFonts w:ascii="宋体" w:hAnsi="宋体" w:eastAsia="宋体" w:cs="宋体"/>
          <w:color w:val="auto"/>
          <w:spacing w:val="3"/>
          <w:sz w:val="20"/>
          <w:szCs w:val="20"/>
          <w:highlight w:val="none"/>
        </w:rPr>
        <w:t>倍整定值时</w:t>
      </w:r>
      <w:r>
        <w:rPr>
          <w:rFonts w:ascii="宋体" w:hAnsi="宋体" w:eastAsia="宋体" w:cs="宋体"/>
          <w:color w:val="auto"/>
          <w:spacing w:val="-54"/>
          <w:w w:val="99"/>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3"/>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3"/>
          <w:sz w:val="20"/>
          <w:szCs w:val="20"/>
          <w:highlight w:val="none"/>
        </w:rPr>
        <w:t>；</w:t>
      </w:r>
    </w:p>
    <w:p w14:paraId="7D13F511">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5) 阻抗和功率整定值的准确度：5%。其他整定值的准确度：2.5%。</w:t>
      </w:r>
    </w:p>
    <w:p w14:paraId="40C94D82">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发电机逆功率保护</w:t>
      </w:r>
    </w:p>
    <w:p w14:paraId="1B52EA54">
      <w:pPr>
        <w:spacing w:before="160" w:line="368" w:lineRule="auto"/>
        <w:ind w:left="451" w:right="42" w:firstLine="423"/>
        <w:jc w:val="both"/>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保护发电机在运行时因失去蒸汽而造成电动机运行方式，从</w:t>
      </w:r>
      <w:r>
        <w:rPr>
          <w:rFonts w:ascii="宋体" w:hAnsi="宋体" w:eastAsia="宋体" w:cs="宋体"/>
          <w:color w:val="auto"/>
          <w:spacing w:val="6"/>
          <w:sz w:val="20"/>
          <w:szCs w:val="20"/>
          <w:highlight w:val="none"/>
        </w:rPr>
        <w:t>而使汽轮机尾部叶片受</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损的保护装置。逆功率分为两个部分：一是作为保护装置程序跳闸的起动元件；另一个</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是作为逆功率保护元件。其主要功能和技术要求如下：</w:t>
      </w:r>
    </w:p>
    <w:p w14:paraId="49327981">
      <w:pPr>
        <w:spacing w:before="30" w:line="327" w:lineRule="auto"/>
        <w:ind w:left="875"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w:t>
      </w:r>
      <w:r>
        <w:rPr>
          <w:rFonts w:ascii="宋体" w:hAnsi="宋体" w:eastAsia="宋体" w:cs="宋体"/>
          <w:color w:val="auto"/>
          <w:spacing w:val="9"/>
          <w:sz w:val="20"/>
          <w:szCs w:val="20"/>
          <w:highlight w:val="none"/>
        </w:rPr>
        <w:t xml:space="preserve">  </w:t>
      </w:r>
      <w:r>
        <w:rPr>
          <w:rFonts w:ascii="宋体" w:hAnsi="宋体" w:eastAsia="宋体" w:cs="宋体"/>
          <w:color w:val="auto"/>
          <w:spacing w:val="7"/>
          <w:sz w:val="20"/>
          <w:szCs w:val="20"/>
          <w:highlight w:val="none"/>
        </w:rPr>
        <w:t>作为程序跳闸起动元件，在汽机主汽门关闭并且逆功率继电器动作的情况下，</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经较短延时起动跳闸；作为电动机运行方式保护元件，当发电机-变压器组在线运</w:t>
      </w:r>
      <w:r>
        <w:rPr>
          <w:rFonts w:ascii="宋体" w:hAnsi="宋体" w:eastAsia="宋体" w:cs="宋体"/>
          <w:color w:val="auto"/>
          <w:spacing w:val="17"/>
          <w:sz w:val="20"/>
          <w:szCs w:val="20"/>
          <w:highlight w:val="none"/>
        </w:rPr>
        <w:t xml:space="preserve"> </w:t>
      </w:r>
      <w:r>
        <w:rPr>
          <w:rFonts w:ascii="宋体" w:hAnsi="宋体" w:eastAsia="宋体" w:cs="宋体"/>
          <w:color w:val="auto"/>
          <w:spacing w:val="9"/>
          <w:sz w:val="20"/>
          <w:szCs w:val="20"/>
          <w:highlight w:val="none"/>
        </w:rPr>
        <w:t>行时，逆功率继电器动作但未得到主汽门关闭号时经较长的时限起动跳闸；</w:t>
      </w:r>
    </w:p>
    <w:p w14:paraId="606A6BAD">
      <w:pPr>
        <w:spacing w:before="162" w:line="228" w:lineRule="auto"/>
        <w:ind w:left="87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  有功测量原理应与无功大小无关；</w:t>
      </w:r>
    </w:p>
    <w:p w14:paraId="3EB57671">
      <w:pPr>
        <w:spacing w:before="163" w:line="227"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w:t>
      </w:r>
      <w:r>
        <w:rPr>
          <w:rFonts w:ascii="宋体" w:hAnsi="宋体" w:eastAsia="宋体" w:cs="宋体"/>
          <w:color w:val="auto"/>
          <w:spacing w:val="10"/>
          <w:sz w:val="20"/>
          <w:szCs w:val="20"/>
          <w:highlight w:val="none"/>
        </w:rPr>
        <w:t xml:space="preserve">  </w:t>
      </w:r>
      <w:r>
        <w:rPr>
          <w:rFonts w:ascii="宋体" w:hAnsi="宋体" w:eastAsia="宋体" w:cs="宋体"/>
          <w:color w:val="auto"/>
          <w:spacing w:val="8"/>
          <w:sz w:val="20"/>
          <w:szCs w:val="20"/>
          <w:highlight w:val="none"/>
        </w:rPr>
        <w:t>为提高测量精度，保护装置应引入测量级的电流互感器回路；</w:t>
      </w:r>
    </w:p>
    <w:p w14:paraId="66522DFA">
      <w:pPr>
        <w:spacing w:before="162" w:line="228" w:lineRule="auto"/>
        <w:ind w:left="87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  当电压互感器回路断线时应闭锁装置并发出报警信号；</w:t>
      </w:r>
    </w:p>
    <w:p w14:paraId="3E72BD8C">
      <w:pPr>
        <w:spacing w:before="161" w:line="225" w:lineRule="auto"/>
        <w:ind w:left="878"/>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5)</w:t>
      </w:r>
      <w:r>
        <w:rPr>
          <w:rFonts w:ascii="宋体" w:hAnsi="宋体" w:eastAsia="宋体" w:cs="宋体"/>
          <w:color w:val="auto"/>
          <w:spacing w:val="8"/>
          <w:sz w:val="20"/>
          <w:szCs w:val="20"/>
          <w:highlight w:val="none"/>
        </w:rPr>
        <w:t xml:space="preserve">  </w:t>
      </w:r>
      <w:r>
        <w:rPr>
          <w:rFonts w:ascii="宋体" w:hAnsi="宋体" w:eastAsia="宋体" w:cs="宋体"/>
          <w:color w:val="auto"/>
          <w:spacing w:val="6"/>
          <w:sz w:val="20"/>
          <w:szCs w:val="20"/>
          <w:highlight w:val="none"/>
        </w:rPr>
        <w:t>有功最小整定应不大于</w:t>
      </w:r>
      <w:r>
        <w:rPr>
          <w:rFonts w:ascii="宋体" w:hAnsi="宋体" w:eastAsia="宋体" w:cs="宋体"/>
          <w:color w:val="auto"/>
          <w:spacing w:val="-20"/>
          <w:sz w:val="20"/>
          <w:szCs w:val="20"/>
          <w:highlight w:val="none"/>
        </w:rPr>
        <w:t xml:space="preserve"> </w:t>
      </w:r>
      <w:r>
        <w:rPr>
          <w:rFonts w:ascii="宋体" w:hAnsi="宋体" w:eastAsia="宋体" w:cs="宋体"/>
          <w:color w:val="auto"/>
          <w:spacing w:val="6"/>
          <w:sz w:val="20"/>
          <w:szCs w:val="20"/>
          <w:highlight w:val="none"/>
        </w:rPr>
        <w:t>10W(二次的三相功率,额定电流为</w:t>
      </w:r>
      <w:r>
        <w:rPr>
          <w:rFonts w:ascii="宋体" w:hAnsi="宋体" w:eastAsia="宋体" w:cs="宋体"/>
          <w:color w:val="auto"/>
          <w:spacing w:val="-35"/>
          <w:sz w:val="20"/>
          <w:szCs w:val="20"/>
          <w:highlight w:val="none"/>
        </w:rPr>
        <w:t xml:space="preserve"> </w:t>
      </w:r>
      <w:r>
        <w:rPr>
          <w:rFonts w:ascii="宋体" w:hAnsi="宋体" w:eastAsia="宋体" w:cs="宋体"/>
          <w:color w:val="auto"/>
          <w:spacing w:val="6"/>
          <w:sz w:val="20"/>
          <w:szCs w:val="20"/>
          <w:highlight w:val="none"/>
        </w:rPr>
        <w:t>5A)；</w:t>
      </w:r>
    </w:p>
    <w:p w14:paraId="446C8CBB">
      <w:pPr>
        <w:spacing w:before="164" w:line="228" w:lineRule="auto"/>
        <w:ind w:left="875"/>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6)  返回系数不小于</w:t>
      </w:r>
      <w:r>
        <w:rPr>
          <w:rFonts w:ascii="宋体" w:hAnsi="宋体" w:eastAsia="宋体" w:cs="宋体"/>
          <w:color w:val="auto"/>
          <w:spacing w:val="-26"/>
          <w:sz w:val="20"/>
          <w:szCs w:val="20"/>
          <w:highlight w:val="none"/>
        </w:rPr>
        <w:t xml:space="preserve"> </w:t>
      </w:r>
      <w:r>
        <w:rPr>
          <w:rFonts w:ascii="宋体" w:hAnsi="宋体" w:eastAsia="宋体" w:cs="宋体"/>
          <w:color w:val="auto"/>
          <w:spacing w:val="4"/>
          <w:sz w:val="20"/>
          <w:szCs w:val="20"/>
          <w:highlight w:val="none"/>
        </w:rPr>
        <w:t>0.8；</w:t>
      </w:r>
    </w:p>
    <w:p w14:paraId="5E881052">
      <w:pPr>
        <w:spacing w:before="164" w:line="304" w:lineRule="auto"/>
        <w:ind w:left="889" w:right="92" w:hanging="10"/>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7)  时间整定值的准确度（1.5</w:t>
      </w:r>
      <w:r>
        <w:rPr>
          <w:rFonts w:ascii="宋体" w:hAnsi="宋体" w:eastAsia="宋体" w:cs="宋体"/>
          <w:color w:val="auto"/>
          <w:spacing w:val="-36"/>
          <w:sz w:val="20"/>
          <w:szCs w:val="20"/>
          <w:highlight w:val="none"/>
        </w:rPr>
        <w:t xml:space="preserve"> </w:t>
      </w:r>
      <w:r>
        <w:rPr>
          <w:rFonts w:ascii="宋体" w:hAnsi="宋体" w:eastAsia="宋体" w:cs="宋体"/>
          <w:color w:val="auto"/>
          <w:spacing w:val="6"/>
          <w:sz w:val="20"/>
          <w:szCs w:val="20"/>
          <w:highlight w:val="none"/>
        </w:rPr>
        <w:t>倍整定值时</w:t>
      </w:r>
      <w:r>
        <w:rPr>
          <w:rFonts w:ascii="宋体" w:hAnsi="宋体" w:eastAsia="宋体" w:cs="宋体"/>
          <w:color w:val="auto"/>
          <w:spacing w:val="-54"/>
          <w:w w:val="99"/>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6"/>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6"/>
          <w:sz w:val="20"/>
          <w:szCs w:val="20"/>
          <w:highlight w:val="none"/>
        </w:rPr>
        <w:t>。有功整定值</w:t>
      </w:r>
      <w:r>
        <w:rPr>
          <w:rFonts w:ascii="宋体" w:hAnsi="宋体" w:eastAsia="宋体" w:cs="宋体"/>
          <w:color w:val="auto"/>
          <w:spacing w:val="5"/>
          <w:sz w:val="20"/>
          <w:szCs w:val="20"/>
          <w:highlight w:val="none"/>
        </w:rPr>
        <w:t>的准确度：</w:t>
      </w:r>
      <w:r>
        <w:rPr>
          <w:rFonts w:ascii="宋体" w:hAnsi="宋体" w:eastAsia="宋体" w:cs="宋体"/>
          <w:color w:val="auto"/>
          <w:sz w:val="20"/>
          <w:szCs w:val="20"/>
          <w:highlight w:val="none"/>
        </w:rPr>
        <w:t xml:space="preserve"> </w:t>
      </w:r>
      <w:r>
        <w:rPr>
          <w:rFonts w:ascii="宋体" w:hAnsi="宋体" w:eastAsia="宋体" w:cs="宋体"/>
          <w:color w:val="auto"/>
          <w:spacing w:val="2"/>
          <w:sz w:val="20"/>
          <w:szCs w:val="20"/>
          <w:highlight w:val="none"/>
        </w:rPr>
        <w:t>10%或</w:t>
      </w:r>
      <w:r>
        <w:rPr>
          <w:rFonts w:ascii="宋体" w:hAnsi="宋体" w:eastAsia="宋体" w:cs="宋体"/>
          <w:color w:val="auto"/>
          <w:spacing w:val="-33"/>
          <w:sz w:val="20"/>
          <w:szCs w:val="20"/>
          <w:highlight w:val="none"/>
        </w:rPr>
        <w:t xml:space="preserve"> </w:t>
      </w:r>
      <w:r>
        <w:rPr>
          <w:rFonts w:ascii="宋体" w:hAnsi="宋体" w:eastAsia="宋体" w:cs="宋体"/>
          <w:color w:val="auto"/>
          <w:spacing w:val="2"/>
          <w:sz w:val="20"/>
          <w:szCs w:val="20"/>
          <w:highlight w:val="none"/>
        </w:rPr>
        <w:t>0.002</w:t>
      </w:r>
      <w:r>
        <w:rPr>
          <w:rFonts w:ascii="宋体" w:hAnsi="宋体" w:eastAsia="宋体" w:cs="宋体"/>
          <w:color w:val="auto"/>
          <w:sz w:val="20"/>
          <w:szCs w:val="20"/>
          <w:highlight w:val="none"/>
        </w:rPr>
        <w:t>PN</w:t>
      </w:r>
      <w:r>
        <w:rPr>
          <w:rFonts w:ascii="宋体" w:hAnsi="宋体" w:eastAsia="宋体" w:cs="宋体"/>
          <w:color w:val="auto"/>
          <w:spacing w:val="2"/>
          <w:sz w:val="20"/>
          <w:szCs w:val="20"/>
          <w:highlight w:val="none"/>
        </w:rPr>
        <w:t>。</w:t>
      </w:r>
    </w:p>
    <w:p w14:paraId="19F36866">
      <w:pPr>
        <w:spacing w:before="157"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发电机过负荷保护</w:t>
      </w:r>
    </w:p>
    <w:p w14:paraId="7DBEA557">
      <w:pPr>
        <w:spacing w:before="162" w:line="228" w:lineRule="auto"/>
        <w:ind w:left="98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过负荷保护由定时限和反时限两部分组成，定时限部分用于起动报警信号，反时</w:t>
      </w:r>
    </w:p>
    <w:p w14:paraId="4820F64C">
      <w:pPr>
        <w:spacing w:line="228" w:lineRule="auto"/>
        <w:rPr>
          <w:rFonts w:ascii="宋体" w:hAnsi="宋体" w:eastAsia="宋体" w:cs="宋体"/>
          <w:color w:val="auto"/>
          <w:sz w:val="20"/>
          <w:szCs w:val="20"/>
          <w:highlight w:val="none"/>
        </w:rPr>
        <w:sectPr>
          <w:pgSz w:w="11906" w:h="16839"/>
          <w:pgMar w:top="1428" w:right="1759" w:bottom="0" w:left="1785" w:header="0" w:footer="0" w:gutter="0"/>
          <w:pgBorders>
            <w:top w:val="none" w:sz="0" w:space="0"/>
            <w:left w:val="none" w:sz="0" w:space="0"/>
            <w:bottom w:val="none" w:sz="0" w:space="0"/>
            <w:right w:val="none" w:sz="0" w:space="0"/>
          </w:pgBorders>
          <w:cols w:space="720" w:num="1"/>
        </w:sectPr>
      </w:pPr>
    </w:p>
    <w:p w14:paraId="55D7EA46">
      <w:pPr>
        <w:spacing w:before="41" w:line="362" w:lineRule="auto"/>
        <w:ind w:left="452" w:right="15"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限部分应具有与发电机定子绕组的过载容量相匹配</w:t>
      </w:r>
      <w:r>
        <w:rPr>
          <w:rFonts w:ascii="宋体" w:hAnsi="宋体" w:eastAsia="宋体" w:cs="宋体"/>
          <w:color w:val="auto"/>
          <w:spacing w:val="6"/>
          <w:sz w:val="20"/>
          <w:szCs w:val="20"/>
          <w:highlight w:val="none"/>
        </w:rPr>
        <w:t>的特性，可以模拟定子绕组的热积累</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过程。其主要功能和技术要求如下：</w:t>
      </w:r>
    </w:p>
    <w:p w14:paraId="7EC3AFA1">
      <w:pPr>
        <w:spacing w:before="35" w:line="302" w:lineRule="auto"/>
        <w:ind w:left="1290" w:right="15" w:hanging="40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  定时限过电流保护至少分两段，反时限特性应能整定，以便于定子的过热特性</w:t>
      </w:r>
      <w:r>
        <w:rPr>
          <w:rFonts w:ascii="宋体" w:hAnsi="宋体" w:eastAsia="宋体" w:cs="宋体"/>
          <w:color w:val="auto"/>
          <w:spacing w:val="1"/>
          <w:sz w:val="20"/>
          <w:szCs w:val="20"/>
          <w:highlight w:val="none"/>
        </w:rPr>
        <w:t xml:space="preserve"> </w:t>
      </w:r>
      <w:r>
        <w:rPr>
          <w:rFonts w:ascii="宋体" w:hAnsi="宋体" w:eastAsia="宋体" w:cs="宋体"/>
          <w:color w:val="auto"/>
          <w:spacing w:val="6"/>
          <w:sz w:val="20"/>
          <w:szCs w:val="20"/>
          <w:highlight w:val="none"/>
        </w:rPr>
        <w:t>近似匹配；</w:t>
      </w:r>
    </w:p>
    <w:p w14:paraId="1782512F">
      <w:pPr>
        <w:spacing w:before="160" w:line="228" w:lineRule="auto"/>
        <w:ind w:left="87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2)  定时限过电流保护返回系数不小于</w:t>
      </w:r>
      <w:r>
        <w:rPr>
          <w:rFonts w:ascii="宋体" w:hAnsi="宋体" w:eastAsia="宋体" w:cs="宋体"/>
          <w:color w:val="auto"/>
          <w:spacing w:val="-22"/>
          <w:sz w:val="20"/>
          <w:szCs w:val="20"/>
          <w:highlight w:val="none"/>
        </w:rPr>
        <w:t xml:space="preserve"> </w:t>
      </w:r>
      <w:r>
        <w:rPr>
          <w:rFonts w:ascii="宋体" w:hAnsi="宋体" w:eastAsia="宋体" w:cs="宋体"/>
          <w:color w:val="auto"/>
          <w:spacing w:val="6"/>
          <w:sz w:val="20"/>
          <w:szCs w:val="20"/>
          <w:highlight w:val="none"/>
        </w:rPr>
        <w:t>0.9；</w:t>
      </w:r>
    </w:p>
    <w:p w14:paraId="59D7C6BA">
      <w:pPr>
        <w:spacing w:before="162" w:line="304" w:lineRule="auto"/>
        <w:ind w:left="1307" w:right="13" w:hanging="431"/>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  反时限特性应由长延时段、反时限段、速断段三部分组成。长延时应可整定到</w:t>
      </w:r>
      <w:r>
        <w:rPr>
          <w:rFonts w:ascii="宋体" w:hAnsi="宋体" w:eastAsia="宋体" w:cs="宋体"/>
          <w:color w:val="auto"/>
          <w:spacing w:val="15"/>
          <w:sz w:val="20"/>
          <w:szCs w:val="20"/>
          <w:highlight w:val="none"/>
        </w:rPr>
        <w:t xml:space="preserve"> </w:t>
      </w:r>
      <w:r>
        <w:rPr>
          <w:rFonts w:ascii="宋体" w:hAnsi="宋体" w:eastAsia="宋体" w:cs="宋体"/>
          <w:color w:val="auto"/>
          <w:sz w:val="20"/>
          <w:szCs w:val="20"/>
          <w:highlight w:val="none"/>
        </w:rPr>
        <w:t>1000s；</w:t>
      </w:r>
    </w:p>
    <w:p w14:paraId="5F114189">
      <w:pPr>
        <w:spacing w:before="158" w:line="228" w:lineRule="auto"/>
        <w:ind w:left="871"/>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4)  整定值的准确度：205%或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6"/>
          <w:sz w:val="20"/>
          <w:szCs w:val="20"/>
          <w:highlight w:val="none"/>
        </w:rPr>
        <w:t>；</w:t>
      </w:r>
    </w:p>
    <w:p w14:paraId="5FA32AC1">
      <w:pPr>
        <w:spacing w:before="160" w:line="228" w:lineRule="auto"/>
        <w:ind w:left="87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5)  长延时段、速断段时间整定值的准确度（</w:t>
      </w:r>
      <w:r>
        <w:rPr>
          <w:rFonts w:ascii="宋体" w:hAnsi="宋体" w:eastAsia="宋体" w:cs="宋体"/>
          <w:color w:val="auto"/>
          <w:spacing w:val="-43"/>
          <w:sz w:val="20"/>
          <w:szCs w:val="20"/>
          <w:highlight w:val="none"/>
        </w:rPr>
        <w:t xml:space="preserve"> </w:t>
      </w:r>
      <w:r>
        <w:rPr>
          <w:rFonts w:ascii="宋体" w:hAnsi="宋体" w:eastAsia="宋体" w:cs="宋体"/>
          <w:color w:val="auto"/>
          <w:spacing w:val="5"/>
          <w:sz w:val="20"/>
          <w:szCs w:val="20"/>
          <w:highlight w:val="none"/>
        </w:rPr>
        <w:t>1.5</w:t>
      </w:r>
      <w:r>
        <w:rPr>
          <w:rFonts w:ascii="宋体" w:hAnsi="宋体" w:eastAsia="宋体" w:cs="宋体"/>
          <w:color w:val="auto"/>
          <w:spacing w:val="-40"/>
          <w:sz w:val="20"/>
          <w:szCs w:val="20"/>
          <w:highlight w:val="none"/>
        </w:rPr>
        <w:t xml:space="preserve"> </w:t>
      </w:r>
      <w:r>
        <w:rPr>
          <w:rFonts w:ascii="宋体" w:hAnsi="宋体" w:eastAsia="宋体" w:cs="宋体"/>
          <w:color w:val="auto"/>
          <w:spacing w:val="5"/>
          <w:sz w:val="20"/>
          <w:szCs w:val="20"/>
          <w:highlight w:val="none"/>
        </w:rPr>
        <w:t>倍整定值时</w:t>
      </w:r>
      <w:r>
        <w:rPr>
          <w:rFonts w:ascii="宋体" w:hAnsi="宋体" w:eastAsia="宋体" w:cs="宋体"/>
          <w:color w:val="auto"/>
          <w:spacing w:val="-54"/>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5"/>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5"/>
          <w:sz w:val="20"/>
          <w:szCs w:val="20"/>
          <w:highlight w:val="none"/>
        </w:rPr>
        <w:t>。</w:t>
      </w:r>
    </w:p>
    <w:p w14:paraId="77C9EC82">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9"/>
          <w:sz w:val="14"/>
          <w:szCs w:val="14"/>
          <w:highlight w:val="none"/>
        </w:rPr>
        <w:t xml:space="preserve"> </w:t>
      </w:r>
      <w:r>
        <w:rPr>
          <w:rFonts w:ascii="宋体" w:hAnsi="宋体" w:eastAsia="宋体" w:cs="宋体"/>
          <w:b/>
          <w:bCs/>
          <w:color w:val="auto"/>
          <w:spacing w:val="5"/>
          <w:sz w:val="20"/>
          <w:szCs w:val="20"/>
          <w:highlight w:val="none"/>
        </w:rPr>
        <w:t>发电机定子接地保护</w:t>
      </w:r>
    </w:p>
    <w:p w14:paraId="3AA95709">
      <w:pPr>
        <w:spacing w:before="165" w:line="339" w:lineRule="auto"/>
        <w:ind w:left="453" w:right="12" w:firstLine="436"/>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1）基波零序电压加三次谐波定子接地保护。反映基波保护范围在发电机机</w:t>
      </w:r>
      <w:r>
        <w:rPr>
          <w:rFonts w:ascii="宋体" w:hAnsi="宋体" w:eastAsia="宋体" w:cs="宋体"/>
          <w:color w:val="auto"/>
          <w:spacing w:val="9"/>
          <w:sz w:val="20"/>
          <w:szCs w:val="20"/>
          <w:highlight w:val="none"/>
        </w:rPr>
        <w:t>端</w:t>
      </w:r>
      <w:r>
        <w:rPr>
          <w:rFonts w:ascii="宋体" w:hAnsi="宋体" w:eastAsia="宋体" w:cs="宋体"/>
          <w:color w:val="auto"/>
          <w:spacing w:val="-35"/>
          <w:sz w:val="20"/>
          <w:szCs w:val="20"/>
          <w:highlight w:val="none"/>
        </w:rPr>
        <w:t xml:space="preserve"> </w:t>
      </w:r>
      <w:r>
        <w:rPr>
          <w:rFonts w:ascii="宋体" w:hAnsi="宋体" w:eastAsia="宋体" w:cs="宋体"/>
          <w:color w:val="auto"/>
          <w:spacing w:val="9"/>
          <w:sz w:val="20"/>
          <w:szCs w:val="20"/>
          <w:highlight w:val="none"/>
        </w:rPr>
        <w:t>90%</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左右的零序过电压保护和通过比较发电机中性点与机端三次谐波电压保护，从而</w:t>
      </w:r>
      <w:r>
        <w:rPr>
          <w:rFonts w:ascii="宋体" w:hAnsi="宋体" w:eastAsia="宋体" w:cs="宋体"/>
          <w:color w:val="auto"/>
          <w:spacing w:val="6"/>
          <w:sz w:val="20"/>
          <w:szCs w:val="20"/>
          <w:highlight w:val="none"/>
        </w:rPr>
        <w:t>构成对</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定子绕组的</w:t>
      </w:r>
      <w:r>
        <w:rPr>
          <w:rFonts w:ascii="宋体" w:hAnsi="宋体" w:eastAsia="宋体" w:cs="宋体"/>
          <w:color w:val="auto"/>
          <w:spacing w:val="-24"/>
          <w:sz w:val="20"/>
          <w:szCs w:val="20"/>
          <w:highlight w:val="none"/>
        </w:rPr>
        <w:t xml:space="preserve"> </w:t>
      </w:r>
      <w:r>
        <w:rPr>
          <w:rFonts w:ascii="宋体" w:hAnsi="宋体" w:eastAsia="宋体" w:cs="宋体"/>
          <w:color w:val="auto"/>
          <w:spacing w:val="8"/>
          <w:sz w:val="20"/>
          <w:szCs w:val="20"/>
          <w:highlight w:val="none"/>
        </w:rPr>
        <w:t>100%保护。也可由其它保护方式实现</w:t>
      </w:r>
      <w:r>
        <w:rPr>
          <w:rFonts w:ascii="宋体" w:hAnsi="宋体" w:eastAsia="宋体" w:cs="宋体"/>
          <w:color w:val="auto"/>
          <w:spacing w:val="-21"/>
          <w:sz w:val="20"/>
          <w:szCs w:val="20"/>
          <w:highlight w:val="none"/>
        </w:rPr>
        <w:t xml:space="preserve"> </w:t>
      </w:r>
      <w:r>
        <w:rPr>
          <w:rFonts w:ascii="宋体" w:hAnsi="宋体" w:eastAsia="宋体" w:cs="宋体"/>
          <w:color w:val="auto"/>
          <w:spacing w:val="8"/>
          <w:sz w:val="20"/>
          <w:szCs w:val="20"/>
          <w:highlight w:val="none"/>
        </w:rPr>
        <w:t>1</w:t>
      </w:r>
      <w:r>
        <w:rPr>
          <w:rFonts w:ascii="宋体" w:hAnsi="宋体" w:eastAsia="宋体" w:cs="宋体"/>
          <w:color w:val="auto"/>
          <w:spacing w:val="7"/>
          <w:sz w:val="20"/>
          <w:szCs w:val="20"/>
          <w:highlight w:val="none"/>
        </w:rPr>
        <w:t>00%定子接地保护。其主要功能及技</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术要求：</w:t>
      </w:r>
    </w:p>
    <w:p w14:paraId="6C90C629">
      <w:pPr>
        <w:spacing w:before="161" w:line="228" w:lineRule="auto"/>
        <w:ind w:left="87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a)</w:t>
      </w:r>
      <w:r>
        <w:rPr>
          <w:rFonts w:ascii="宋体" w:hAnsi="宋体" w:eastAsia="宋体" w:cs="宋体"/>
          <w:color w:val="auto"/>
          <w:spacing w:val="8"/>
          <w:sz w:val="20"/>
          <w:szCs w:val="20"/>
          <w:highlight w:val="none"/>
        </w:rPr>
        <w:t xml:space="preserve">  </w:t>
      </w:r>
      <w:r>
        <w:rPr>
          <w:rFonts w:ascii="宋体" w:hAnsi="宋体" w:eastAsia="宋体" w:cs="宋体"/>
          <w:color w:val="auto"/>
          <w:spacing w:val="9"/>
          <w:sz w:val="20"/>
          <w:szCs w:val="20"/>
          <w:highlight w:val="none"/>
        </w:rPr>
        <w:t>保护范围应为定子绕组的</w:t>
      </w:r>
      <w:r>
        <w:rPr>
          <w:rFonts w:ascii="宋体" w:hAnsi="宋体" w:eastAsia="宋体" w:cs="宋体"/>
          <w:color w:val="auto"/>
          <w:spacing w:val="-23"/>
          <w:sz w:val="20"/>
          <w:szCs w:val="20"/>
          <w:highlight w:val="none"/>
        </w:rPr>
        <w:t xml:space="preserve"> </w:t>
      </w:r>
      <w:r>
        <w:rPr>
          <w:rFonts w:ascii="宋体" w:hAnsi="宋体" w:eastAsia="宋体" w:cs="宋体"/>
          <w:color w:val="auto"/>
          <w:spacing w:val="9"/>
          <w:sz w:val="20"/>
          <w:szCs w:val="20"/>
          <w:highlight w:val="none"/>
        </w:rPr>
        <w:t>100%;</w:t>
      </w:r>
    </w:p>
    <w:p w14:paraId="257F2D93">
      <w:pPr>
        <w:spacing w:before="161" w:line="227" w:lineRule="auto"/>
        <w:ind w:left="87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b)</w:t>
      </w:r>
      <w:r>
        <w:rPr>
          <w:rFonts w:ascii="宋体" w:hAnsi="宋体" w:eastAsia="宋体" w:cs="宋体"/>
          <w:color w:val="auto"/>
          <w:spacing w:val="9"/>
          <w:sz w:val="20"/>
          <w:szCs w:val="20"/>
          <w:highlight w:val="none"/>
        </w:rPr>
        <w:t xml:space="preserve">  </w:t>
      </w:r>
      <w:r>
        <w:rPr>
          <w:rFonts w:ascii="宋体" w:hAnsi="宋体" w:eastAsia="宋体" w:cs="宋体"/>
          <w:color w:val="auto"/>
          <w:spacing w:val="8"/>
          <w:sz w:val="20"/>
          <w:szCs w:val="20"/>
          <w:highlight w:val="none"/>
        </w:rPr>
        <w:t>三次谐波式应能通过参数监视功能提供整定依据；</w:t>
      </w:r>
    </w:p>
    <w:p w14:paraId="773607DB">
      <w:pPr>
        <w:spacing w:before="164" w:line="228" w:lineRule="auto"/>
        <w:ind w:left="878"/>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c)</w:t>
      </w:r>
      <w:r>
        <w:rPr>
          <w:rFonts w:ascii="宋体" w:hAnsi="宋体" w:eastAsia="宋体" w:cs="宋体"/>
          <w:color w:val="auto"/>
          <w:spacing w:val="11"/>
          <w:sz w:val="20"/>
          <w:szCs w:val="20"/>
          <w:highlight w:val="none"/>
        </w:rPr>
        <w:t xml:space="preserve">  </w:t>
      </w:r>
      <w:r>
        <w:rPr>
          <w:rFonts w:ascii="宋体" w:hAnsi="宋体" w:eastAsia="宋体" w:cs="宋体"/>
          <w:color w:val="auto"/>
          <w:spacing w:val="6"/>
          <w:sz w:val="20"/>
          <w:szCs w:val="20"/>
          <w:highlight w:val="none"/>
        </w:rPr>
        <w:t>基波零序电压保护返回系数不小于</w:t>
      </w:r>
      <w:r>
        <w:rPr>
          <w:rFonts w:ascii="宋体" w:hAnsi="宋体" w:eastAsia="宋体" w:cs="宋体"/>
          <w:color w:val="auto"/>
          <w:spacing w:val="-37"/>
          <w:sz w:val="20"/>
          <w:szCs w:val="20"/>
          <w:highlight w:val="none"/>
        </w:rPr>
        <w:t xml:space="preserve"> </w:t>
      </w:r>
      <w:r>
        <w:rPr>
          <w:rFonts w:ascii="宋体" w:hAnsi="宋体" w:eastAsia="宋体" w:cs="宋体"/>
          <w:color w:val="auto"/>
          <w:spacing w:val="6"/>
          <w:sz w:val="20"/>
          <w:szCs w:val="20"/>
          <w:highlight w:val="none"/>
        </w:rPr>
        <w:t>0.9；</w:t>
      </w:r>
    </w:p>
    <w:p w14:paraId="63B8FD10">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d)  主变高压侧单相接地保护时基波零序电压保护应不误动</w:t>
      </w:r>
      <w:r>
        <w:rPr>
          <w:rFonts w:ascii="宋体" w:hAnsi="宋体" w:eastAsia="宋体" w:cs="宋体"/>
          <w:color w:val="auto"/>
          <w:spacing w:val="-56"/>
          <w:sz w:val="20"/>
          <w:szCs w:val="20"/>
          <w:highlight w:val="none"/>
        </w:rPr>
        <w:t xml:space="preserve"> </w:t>
      </w:r>
      <w:r>
        <w:rPr>
          <w:rFonts w:ascii="宋体" w:hAnsi="宋体" w:eastAsia="宋体" w:cs="宋体"/>
          <w:color w:val="auto"/>
          <w:spacing w:val="8"/>
          <w:sz w:val="20"/>
          <w:szCs w:val="20"/>
          <w:highlight w:val="none"/>
        </w:rPr>
        <w:t>;</w:t>
      </w:r>
    </w:p>
    <w:p w14:paraId="686B24C0">
      <w:pPr>
        <w:spacing w:before="161" w:line="228" w:lineRule="auto"/>
        <w:ind w:left="852"/>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e)   时间整定值的准确度（</w:t>
      </w:r>
      <w:r>
        <w:rPr>
          <w:rFonts w:ascii="宋体" w:hAnsi="宋体" w:eastAsia="宋体" w:cs="宋体"/>
          <w:color w:val="auto"/>
          <w:spacing w:val="-43"/>
          <w:sz w:val="20"/>
          <w:szCs w:val="20"/>
          <w:highlight w:val="none"/>
        </w:rPr>
        <w:t xml:space="preserve"> </w:t>
      </w:r>
      <w:r>
        <w:rPr>
          <w:rFonts w:ascii="宋体" w:hAnsi="宋体" w:eastAsia="宋体" w:cs="宋体"/>
          <w:color w:val="auto"/>
          <w:spacing w:val="4"/>
          <w:sz w:val="20"/>
          <w:szCs w:val="20"/>
          <w:highlight w:val="none"/>
        </w:rPr>
        <w:t>1.5</w:t>
      </w:r>
      <w:r>
        <w:rPr>
          <w:rFonts w:ascii="宋体" w:hAnsi="宋体" w:eastAsia="宋体" w:cs="宋体"/>
          <w:color w:val="auto"/>
          <w:spacing w:val="-41"/>
          <w:sz w:val="20"/>
          <w:szCs w:val="20"/>
          <w:highlight w:val="none"/>
        </w:rPr>
        <w:t xml:space="preserve"> </w:t>
      </w:r>
      <w:r>
        <w:rPr>
          <w:rFonts w:ascii="宋体" w:hAnsi="宋体" w:eastAsia="宋体" w:cs="宋体"/>
          <w:color w:val="auto"/>
          <w:spacing w:val="4"/>
          <w:sz w:val="20"/>
          <w:szCs w:val="20"/>
          <w:highlight w:val="none"/>
        </w:rPr>
        <w:t>倍整定值时</w:t>
      </w:r>
      <w:r>
        <w:rPr>
          <w:rFonts w:ascii="宋体" w:hAnsi="宋体" w:eastAsia="宋体" w:cs="宋体"/>
          <w:color w:val="auto"/>
          <w:spacing w:val="-54"/>
          <w:sz w:val="20"/>
          <w:szCs w:val="20"/>
          <w:highlight w:val="none"/>
        </w:rPr>
        <w:t>）：</w:t>
      </w:r>
      <w:r>
        <w:rPr>
          <w:rFonts w:ascii="宋体" w:hAnsi="宋体" w:eastAsia="宋体" w:cs="宋体"/>
          <w:color w:val="auto"/>
          <w:spacing w:val="-52"/>
          <w:sz w:val="20"/>
          <w:szCs w:val="20"/>
          <w:highlight w:val="none"/>
        </w:rPr>
        <w:t xml:space="preserve"> </w:t>
      </w:r>
      <w:r>
        <w:rPr>
          <w:rFonts w:ascii="宋体" w:hAnsi="宋体" w:eastAsia="宋体" w:cs="宋体"/>
          <w:color w:val="auto"/>
          <w:spacing w:val="4"/>
          <w:sz w:val="20"/>
          <w:szCs w:val="20"/>
          <w:highlight w:val="none"/>
        </w:rPr>
        <w:t>1%或</w:t>
      </w:r>
      <w:r>
        <w:rPr>
          <w:rFonts w:ascii="宋体" w:hAnsi="宋体" w:eastAsia="宋体" w:cs="宋体"/>
          <w:color w:val="auto"/>
          <w:spacing w:val="-35"/>
          <w:sz w:val="20"/>
          <w:szCs w:val="20"/>
          <w:highlight w:val="none"/>
        </w:rPr>
        <w:t xml:space="preserve"> </w:t>
      </w:r>
      <w:r>
        <w:rPr>
          <w:rFonts w:ascii="宋体" w:hAnsi="宋体" w:eastAsia="宋体" w:cs="宋体"/>
          <w:color w:val="auto"/>
          <w:spacing w:val="4"/>
          <w:sz w:val="20"/>
          <w:szCs w:val="20"/>
          <w:highlight w:val="none"/>
        </w:rPr>
        <w:t>7</w:t>
      </w:r>
      <w:r>
        <w:rPr>
          <w:rFonts w:ascii="宋体" w:hAnsi="宋体" w:eastAsia="宋体" w:cs="宋体"/>
          <w:color w:val="auto"/>
          <w:spacing w:val="3"/>
          <w:sz w:val="20"/>
          <w:szCs w:val="20"/>
          <w:highlight w:val="none"/>
        </w:rPr>
        <w:t>0</w:t>
      </w:r>
      <w:r>
        <w:rPr>
          <w:rFonts w:ascii="宋体" w:hAnsi="宋体" w:eastAsia="宋体" w:cs="宋体"/>
          <w:color w:val="auto"/>
          <w:sz w:val="20"/>
          <w:szCs w:val="20"/>
          <w:highlight w:val="none"/>
        </w:rPr>
        <w:t>ms</w:t>
      </w:r>
      <w:r>
        <w:rPr>
          <w:rFonts w:ascii="宋体" w:hAnsi="宋体" w:eastAsia="宋体" w:cs="宋体"/>
          <w:color w:val="auto"/>
          <w:spacing w:val="3"/>
          <w:sz w:val="20"/>
          <w:szCs w:val="20"/>
          <w:highlight w:val="none"/>
        </w:rPr>
        <w:t>。</w:t>
      </w:r>
    </w:p>
    <w:p w14:paraId="0EEAA81F">
      <w:pPr>
        <w:spacing w:before="162" w:line="303" w:lineRule="auto"/>
        <w:ind w:left="451" w:right="16" w:firstLine="42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2）采用外加电源注入式定子接地保护。实现不受发电机运行工况影响的定子绝缘</w:t>
      </w:r>
      <w:r>
        <w:rPr>
          <w:rFonts w:ascii="宋体" w:hAnsi="宋体" w:eastAsia="宋体" w:cs="宋体"/>
          <w:color w:val="auto"/>
          <w:spacing w:val="16"/>
          <w:sz w:val="20"/>
          <w:szCs w:val="20"/>
          <w:highlight w:val="none"/>
        </w:rPr>
        <w:t xml:space="preserve"> </w:t>
      </w:r>
      <w:r>
        <w:rPr>
          <w:rFonts w:ascii="宋体" w:hAnsi="宋体" w:eastAsia="宋体" w:cs="宋体"/>
          <w:color w:val="auto"/>
          <w:spacing w:val="7"/>
          <w:sz w:val="20"/>
          <w:szCs w:val="20"/>
          <w:highlight w:val="none"/>
        </w:rPr>
        <w:t>检测，保护范围</w:t>
      </w:r>
      <w:r>
        <w:rPr>
          <w:rFonts w:ascii="宋体" w:hAnsi="宋体" w:eastAsia="宋体" w:cs="宋体"/>
          <w:color w:val="auto"/>
          <w:spacing w:val="-23"/>
          <w:sz w:val="20"/>
          <w:szCs w:val="20"/>
          <w:highlight w:val="none"/>
        </w:rPr>
        <w:t xml:space="preserve"> </w:t>
      </w:r>
      <w:r>
        <w:rPr>
          <w:rFonts w:ascii="宋体" w:hAnsi="宋体" w:eastAsia="宋体" w:cs="宋体"/>
          <w:color w:val="auto"/>
          <w:spacing w:val="7"/>
          <w:sz w:val="20"/>
          <w:szCs w:val="20"/>
          <w:highlight w:val="none"/>
        </w:rPr>
        <w:t>100</w:t>
      </w:r>
      <w:r>
        <w:rPr>
          <w:rFonts w:ascii="宋体" w:hAnsi="宋体" w:eastAsia="宋体" w:cs="宋体"/>
          <w:color w:val="auto"/>
          <w:spacing w:val="-6"/>
          <w:sz w:val="20"/>
          <w:szCs w:val="20"/>
          <w:highlight w:val="none"/>
        </w:rPr>
        <w:t>％</w:t>
      </w:r>
      <w:r>
        <w:rPr>
          <w:rFonts w:ascii="宋体" w:hAnsi="宋体" w:eastAsia="宋体" w:cs="宋体"/>
          <w:color w:val="auto"/>
          <w:spacing w:val="-48"/>
          <w:sz w:val="20"/>
          <w:szCs w:val="20"/>
          <w:highlight w:val="none"/>
        </w:rPr>
        <w:t xml:space="preserve"> </w:t>
      </w:r>
      <w:r>
        <w:rPr>
          <w:rFonts w:ascii="宋体" w:hAnsi="宋体" w:eastAsia="宋体" w:cs="宋体"/>
          <w:color w:val="auto"/>
          <w:spacing w:val="-6"/>
          <w:sz w:val="20"/>
          <w:szCs w:val="20"/>
          <w:highlight w:val="none"/>
        </w:rPr>
        <w:t>，</w:t>
      </w:r>
      <w:r>
        <w:rPr>
          <w:rFonts w:ascii="宋体" w:hAnsi="宋体" w:eastAsia="宋体" w:cs="宋体"/>
          <w:color w:val="auto"/>
          <w:spacing w:val="7"/>
          <w:sz w:val="20"/>
          <w:szCs w:val="20"/>
          <w:highlight w:val="none"/>
        </w:rPr>
        <w:t>保护应具有以下主要功能及技术要求：</w:t>
      </w:r>
    </w:p>
    <w:p w14:paraId="477F818F">
      <w:pPr>
        <w:spacing w:before="162" w:line="228" w:lineRule="auto"/>
        <w:ind w:left="875"/>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a)  能独立实现</w:t>
      </w:r>
      <w:r>
        <w:rPr>
          <w:rFonts w:ascii="宋体" w:hAnsi="宋体" w:eastAsia="宋体" w:cs="宋体"/>
          <w:color w:val="auto"/>
          <w:spacing w:val="-23"/>
          <w:sz w:val="20"/>
          <w:szCs w:val="20"/>
          <w:highlight w:val="none"/>
        </w:rPr>
        <w:t xml:space="preserve"> </w:t>
      </w:r>
      <w:r>
        <w:rPr>
          <w:rFonts w:ascii="宋体" w:hAnsi="宋体" w:eastAsia="宋体" w:cs="宋体"/>
          <w:color w:val="auto"/>
          <w:spacing w:val="5"/>
          <w:sz w:val="20"/>
          <w:szCs w:val="20"/>
          <w:highlight w:val="none"/>
        </w:rPr>
        <w:t>100%定子接地保护；</w:t>
      </w:r>
    </w:p>
    <w:p w14:paraId="7DFC9CBF">
      <w:pPr>
        <w:spacing w:before="160" w:line="227" w:lineRule="auto"/>
        <w:ind w:left="87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b)</w:t>
      </w:r>
      <w:r>
        <w:rPr>
          <w:rFonts w:ascii="宋体" w:hAnsi="宋体" w:eastAsia="宋体" w:cs="宋体"/>
          <w:color w:val="auto"/>
          <w:spacing w:val="3"/>
          <w:sz w:val="20"/>
          <w:szCs w:val="20"/>
          <w:highlight w:val="none"/>
        </w:rPr>
        <w:t xml:space="preserve">  </w:t>
      </w:r>
      <w:r>
        <w:rPr>
          <w:rFonts w:ascii="宋体" w:hAnsi="宋体" w:eastAsia="宋体" w:cs="宋体"/>
          <w:color w:val="auto"/>
          <w:spacing w:val="9"/>
          <w:sz w:val="20"/>
          <w:szCs w:val="20"/>
          <w:highlight w:val="none"/>
        </w:rPr>
        <w:t>注入源功率不应过大，注入电压不超过</w:t>
      </w:r>
      <w:r>
        <w:rPr>
          <w:rFonts w:ascii="宋体" w:hAnsi="宋体" w:eastAsia="宋体" w:cs="宋体"/>
          <w:color w:val="auto"/>
          <w:spacing w:val="-36"/>
          <w:sz w:val="20"/>
          <w:szCs w:val="20"/>
          <w:highlight w:val="none"/>
        </w:rPr>
        <w:t xml:space="preserve"> </w:t>
      </w:r>
      <w:r>
        <w:rPr>
          <w:rFonts w:ascii="宋体" w:hAnsi="宋体" w:eastAsia="宋体" w:cs="宋体"/>
          <w:color w:val="auto"/>
          <w:spacing w:val="9"/>
          <w:sz w:val="20"/>
          <w:szCs w:val="20"/>
          <w:highlight w:val="none"/>
        </w:rPr>
        <w:t>2%</w:t>
      </w:r>
      <w:r>
        <w:rPr>
          <w:rFonts w:ascii="宋体" w:hAnsi="宋体" w:eastAsia="宋体" w:cs="宋体"/>
          <w:color w:val="auto"/>
          <w:sz w:val="20"/>
          <w:szCs w:val="20"/>
          <w:highlight w:val="none"/>
        </w:rPr>
        <w:t>Un</w:t>
      </w:r>
      <w:r>
        <w:rPr>
          <w:rFonts w:ascii="宋体" w:hAnsi="宋体" w:eastAsia="宋体" w:cs="宋体"/>
          <w:color w:val="auto"/>
          <w:spacing w:val="9"/>
          <w:sz w:val="20"/>
          <w:szCs w:val="20"/>
          <w:highlight w:val="none"/>
        </w:rPr>
        <w:t>（发电机一次</w:t>
      </w:r>
      <w:r>
        <w:rPr>
          <w:rFonts w:ascii="宋体" w:hAnsi="宋体" w:eastAsia="宋体" w:cs="宋体"/>
          <w:color w:val="auto"/>
          <w:spacing w:val="8"/>
          <w:sz w:val="20"/>
          <w:szCs w:val="20"/>
          <w:highlight w:val="none"/>
        </w:rPr>
        <w:t>侧额定电压</w:t>
      </w:r>
      <w:r>
        <w:rPr>
          <w:rFonts w:ascii="宋体" w:hAnsi="宋体" w:eastAsia="宋体" w:cs="宋体"/>
          <w:color w:val="auto"/>
          <w:spacing w:val="-54"/>
          <w:sz w:val="20"/>
          <w:szCs w:val="20"/>
          <w:highlight w:val="none"/>
        </w:rPr>
        <w:t>）；</w:t>
      </w:r>
    </w:p>
    <w:p w14:paraId="3C645B86">
      <w:pPr>
        <w:spacing w:before="162" w:line="228"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c)</w:t>
      </w:r>
      <w:r>
        <w:rPr>
          <w:rFonts w:ascii="宋体" w:hAnsi="宋体" w:eastAsia="宋体" w:cs="宋体"/>
          <w:color w:val="auto"/>
          <w:spacing w:val="6"/>
          <w:sz w:val="20"/>
          <w:szCs w:val="20"/>
          <w:highlight w:val="none"/>
        </w:rPr>
        <w:t xml:space="preserve">  </w:t>
      </w:r>
      <w:r>
        <w:rPr>
          <w:rFonts w:ascii="宋体" w:hAnsi="宋体" w:eastAsia="宋体" w:cs="宋体"/>
          <w:color w:val="auto"/>
          <w:spacing w:val="8"/>
          <w:sz w:val="20"/>
          <w:szCs w:val="20"/>
          <w:highlight w:val="none"/>
        </w:rPr>
        <w:t>注入电源具有电压消失和故障或过载保护报警功能；</w:t>
      </w:r>
    </w:p>
    <w:p w14:paraId="01E0CBB1">
      <w:pPr>
        <w:spacing w:before="161" w:line="302" w:lineRule="auto"/>
        <w:ind w:left="873" w:right="15" w:firstLine="5"/>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d)  可靠反映的发电机中性点接地电阻值：汽轮发电机不低于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3"/>
          <w:sz w:val="20"/>
          <w:szCs w:val="20"/>
          <w:highlight w:val="none"/>
        </w:rPr>
        <w:t>10k</w:t>
      </w:r>
      <w:r>
        <w:rPr>
          <w:rFonts w:ascii="宋体" w:hAnsi="宋体" w:eastAsia="宋体" w:cs="宋体"/>
          <w:color w:val="auto"/>
          <w:spacing w:val="-51"/>
          <w:sz w:val="20"/>
          <w:szCs w:val="20"/>
          <w:highlight w:val="none"/>
        </w:rPr>
        <w:t xml:space="preserve"> </w:t>
      </w:r>
      <w:r>
        <w:rPr>
          <w:rFonts w:ascii="宋体" w:hAnsi="宋体" w:eastAsia="宋体" w:cs="宋体"/>
          <w:color w:val="auto"/>
          <w:spacing w:val="3"/>
          <w:sz w:val="20"/>
          <w:szCs w:val="20"/>
          <w:highlight w:val="none"/>
        </w:rPr>
        <w:t>Ω</w:t>
      </w:r>
      <w:r>
        <w:rPr>
          <w:rFonts w:ascii="宋体" w:hAnsi="宋体" w:eastAsia="宋体" w:cs="宋体"/>
          <w:color w:val="auto"/>
          <w:spacing w:val="-73"/>
          <w:sz w:val="20"/>
          <w:szCs w:val="20"/>
          <w:highlight w:val="none"/>
        </w:rPr>
        <w:t xml:space="preserve"> </w:t>
      </w:r>
      <w:r>
        <w:rPr>
          <w:rFonts w:ascii="宋体" w:hAnsi="宋体" w:eastAsia="宋体" w:cs="宋体"/>
          <w:color w:val="auto"/>
          <w:spacing w:val="3"/>
          <w:sz w:val="20"/>
          <w:szCs w:val="20"/>
          <w:highlight w:val="none"/>
        </w:rPr>
        <w:t>,</w:t>
      </w:r>
      <w:r>
        <w:rPr>
          <w:rFonts w:ascii="宋体" w:hAnsi="宋体" w:eastAsia="宋体" w:cs="宋体"/>
          <w:color w:val="auto"/>
          <w:spacing w:val="40"/>
          <w:sz w:val="20"/>
          <w:szCs w:val="20"/>
          <w:highlight w:val="none"/>
        </w:rPr>
        <w:t xml:space="preserve"> </w:t>
      </w:r>
      <w:r>
        <w:rPr>
          <w:rFonts w:ascii="宋体" w:hAnsi="宋体" w:eastAsia="宋体" w:cs="宋体"/>
          <w:color w:val="auto"/>
          <w:spacing w:val="3"/>
          <w:sz w:val="20"/>
          <w:szCs w:val="20"/>
          <w:highlight w:val="none"/>
        </w:rPr>
        <w:t>水轮机发电</w:t>
      </w:r>
      <w:r>
        <w:rPr>
          <w:rFonts w:ascii="宋体" w:hAnsi="宋体" w:eastAsia="宋体" w:cs="宋体"/>
          <w:color w:val="auto"/>
          <w:sz w:val="20"/>
          <w:szCs w:val="20"/>
          <w:highlight w:val="none"/>
        </w:rPr>
        <w:t xml:space="preserve"> </w:t>
      </w:r>
      <w:r>
        <w:rPr>
          <w:rFonts w:ascii="宋体" w:hAnsi="宋体" w:eastAsia="宋体" w:cs="宋体"/>
          <w:color w:val="auto"/>
          <w:spacing w:val="-3"/>
          <w:sz w:val="20"/>
          <w:szCs w:val="20"/>
          <w:highlight w:val="none"/>
        </w:rPr>
        <w:t>机不低于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3"/>
          <w:sz w:val="20"/>
          <w:szCs w:val="20"/>
          <w:highlight w:val="none"/>
        </w:rPr>
        <w:t>1k</w:t>
      </w:r>
      <w:r>
        <w:rPr>
          <w:rFonts w:ascii="宋体" w:hAnsi="宋体" w:eastAsia="宋体" w:cs="宋体"/>
          <w:color w:val="auto"/>
          <w:spacing w:val="-50"/>
          <w:sz w:val="20"/>
          <w:szCs w:val="20"/>
          <w:highlight w:val="none"/>
        </w:rPr>
        <w:t xml:space="preserve"> </w:t>
      </w:r>
      <w:r>
        <w:rPr>
          <w:rFonts w:ascii="宋体" w:hAnsi="宋体" w:eastAsia="宋体" w:cs="宋体"/>
          <w:color w:val="auto"/>
          <w:spacing w:val="-3"/>
          <w:sz w:val="20"/>
          <w:szCs w:val="20"/>
          <w:highlight w:val="none"/>
        </w:rPr>
        <w:t>Ω</w:t>
      </w:r>
      <w:r>
        <w:rPr>
          <w:rFonts w:ascii="宋体" w:hAnsi="宋体" w:eastAsia="宋体" w:cs="宋体"/>
          <w:color w:val="auto"/>
          <w:spacing w:val="-74"/>
          <w:sz w:val="20"/>
          <w:szCs w:val="20"/>
          <w:highlight w:val="none"/>
        </w:rPr>
        <w:t xml:space="preserve"> </w:t>
      </w:r>
      <w:r>
        <w:rPr>
          <w:rFonts w:ascii="宋体" w:hAnsi="宋体" w:eastAsia="宋体" w:cs="宋体"/>
          <w:color w:val="auto"/>
          <w:spacing w:val="-3"/>
          <w:sz w:val="20"/>
          <w:szCs w:val="20"/>
          <w:highlight w:val="none"/>
        </w:rPr>
        <w:t>;</w:t>
      </w:r>
    </w:p>
    <w:p w14:paraId="4D17F74A">
      <w:pPr>
        <w:spacing w:before="164" w:line="228" w:lineRule="auto"/>
        <w:ind w:left="879"/>
        <w:rPr>
          <w:rFonts w:ascii="宋体" w:hAnsi="宋体" w:eastAsia="宋体" w:cs="宋体"/>
          <w:color w:val="auto"/>
          <w:sz w:val="20"/>
          <w:szCs w:val="20"/>
          <w:highlight w:val="none"/>
        </w:rPr>
      </w:pPr>
      <w:r>
        <w:rPr>
          <w:rFonts w:ascii="宋体" w:hAnsi="宋体" w:eastAsia="宋体" w:cs="宋体"/>
          <w:color w:val="auto"/>
          <w:spacing w:val="2"/>
          <w:sz w:val="20"/>
          <w:szCs w:val="20"/>
          <w:highlight w:val="none"/>
        </w:rPr>
        <w:t>e)  5</w:t>
      </w:r>
      <w:r>
        <w:rPr>
          <w:rFonts w:ascii="宋体" w:hAnsi="宋体" w:eastAsia="宋体" w:cs="宋体"/>
          <w:color w:val="auto"/>
          <w:spacing w:val="-30"/>
          <w:sz w:val="20"/>
          <w:szCs w:val="20"/>
          <w:highlight w:val="none"/>
        </w:rPr>
        <w:t xml:space="preserve"> </w:t>
      </w:r>
      <w:r>
        <w:rPr>
          <w:rFonts w:ascii="宋体" w:hAnsi="宋体" w:eastAsia="宋体" w:cs="宋体"/>
          <w:color w:val="auto"/>
          <w:spacing w:val="2"/>
          <w:sz w:val="20"/>
          <w:szCs w:val="20"/>
          <w:highlight w:val="none"/>
        </w:rPr>
        <w:t>时间整定值的准确度（</w:t>
      </w:r>
      <w:r>
        <w:rPr>
          <w:rFonts w:ascii="宋体" w:hAnsi="宋体" w:eastAsia="宋体" w:cs="宋体"/>
          <w:color w:val="auto"/>
          <w:spacing w:val="-44"/>
          <w:sz w:val="20"/>
          <w:szCs w:val="20"/>
          <w:highlight w:val="none"/>
        </w:rPr>
        <w:t xml:space="preserve"> </w:t>
      </w:r>
      <w:r>
        <w:rPr>
          <w:rFonts w:ascii="宋体" w:hAnsi="宋体" w:eastAsia="宋体" w:cs="宋体"/>
          <w:color w:val="auto"/>
          <w:spacing w:val="2"/>
          <w:sz w:val="20"/>
          <w:szCs w:val="20"/>
          <w:highlight w:val="none"/>
        </w:rPr>
        <w:t>1.5</w:t>
      </w:r>
      <w:r>
        <w:rPr>
          <w:rFonts w:ascii="宋体" w:hAnsi="宋体" w:eastAsia="宋体" w:cs="宋体"/>
          <w:color w:val="auto"/>
          <w:spacing w:val="-38"/>
          <w:sz w:val="20"/>
          <w:szCs w:val="20"/>
          <w:highlight w:val="none"/>
        </w:rPr>
        <w:t xml:space="preserve"> </w:t>
      </w:r>
      <w:r>
        <w:rPr>
          <w:rFonts w:ascii="宋体" w:hAnsi="宋体" w:eastAsia="宋体" w:cs="宋体"/>
          <w:color w:val="auto"/>
          <w:spacing w:val="2"/>
          <w:sz w:val="20"/>
          <w:szCs w:val="20"/>
          <w:highlight w:val="none"/>
        </w:rPr>
        <w:t>倍整定值时</w:t>
      </w:r>
      <w:r>
        <w:rPr>
          <w:rFonts w:ascii="宋体" w:hAnsi="宋体" w:eastAsia="宋体" w:cs="宋体"/>
          <w:color w:val="auto"/>
          <w:spacing w:val="-46"/>
          <w:sz w:val="20"/>
          <w:szCs w:val="20"/>
          <w:highlight w:val="none"/>
        </w:rPr>
        <w:t>）：</w:t>
      </w:r>
      <w:r>
        <w:rPr>
          <w:rFonts w:ascii="宋体" w:hAnsi="宋体" w:eastAsia="宋体" w:cs="宋体"/>
          <w:color w:val="auto"/>
          <w:spacing w:val="-53"/>
          <w:sz w:val="20"/>
          <w:szCs w:val="20"/>
          <w:highlight w:val="none"/>
        </w:rPr>
        <w:t xml:space="preserve"> </w:t>
      </w:r>
      <w:r>
        <w:rPr>
          <w:rFonts w:ascii="宋体" w:hAnsi="宋体" w:eastAsia="宋体" w:cs="宋体"/>
          <w:color w:val="auto"/>
          <w:spacing w:val="2"/>
          <w:sz w:val="20"/>
          <w:szCs w:val="20"/>
          <w:highlight w:val="none"/>
        </w:rPr>
        <w:t>1%或</w:t>
      </w:r>
      <w:r>
        <w:rPr>
          <w:rFonts w:ascii="宋体" w:hAnsi="宋体" w:eastAsia="宋体" w:cs="宋体"/>
          <w:color w:val="auto"/>
          <w:spacing w:val="-24"/>
          <w:sz w:val="20"/>
          <w:szCs w:val="20"/>
          <w:highlight w:val="none"/>
        </w:rPr>
        <w:t xml:space="preserve"> </w:t>
      </w:r>
      <w:r>
        <w:rPr>
          <w:rFonts w:ascii="宋体" w:hAnsi="宋体" w:eastAsia="宋体" w:cs="宋体"/>
          <w:color w:val="auto"/>
          <w:spacing w:val="2"/>
          <w:sz w:val="20"/>
          <w:szCs w:val="20"/>
          <w:highlight w:val="none"/>
        </w:rPr>
        <w:t>120</w:t>
      </w:r>
      <w:r>
        <w:rPr>
          <w:rFonts w:ascii="宋体" w:hAnsi="宋体" w:eastAsia="宋体" w:cs="宋体"/>
          <w:color w:val="auto"/>
          <w:sz w:val="20"/>
          <w:szCs w:val="20"/>
          <w:highlight w:val="none"/>
        </w:rPr>
        <w:t>ms</w:t>
      </w:r>
      <w:r>
        <w:rPr>
          <w:rFonts w:ascii="宋体" w:hAnsi="宋体" w:eastAsia="宋体" w:cs="宋体"/>
          <w:color w:val="auto"/>
          <w:spacing w:val="2"/>
          <w:sz w:val="20"/>
          <w:szCs w:val="20"/>
          <w:highlight w:val="none"/>
        </w:rPr>
        <w:t>。</w:t>
      </w:r>
    </w:p>
    <w:p w14:paraId="154721B2">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3"/>
          <w:sz w:val="14"/>
          <w:szCs w:val="14"/>
          <w:highlight w:val="none"/>
        </w:rPr>
        <w:t>l</w:t>
      </w:r>
      <w:r>
        <w:rPr>
          <w:rFonts w:ascii="Wingdings" w:hAnsi="Wingdings" w:eastAsia="Wingdings" w:cs="Wingdings"/>
          <w:color w:val="auto"/>
          <w:spacing w:val="121"/>
          <w:sz w:val="14"/>
          <w:szCs w:val="14"/>
          <w:highlight w:val="none"/>
        </w:rPr>
        <w:t xml:space="preserve"> </w:t>
      </w:r>
      <w:r>
        <w:rPr>
          <w:rFonts w:ascii="宋体" w:hAnsi="宋体" w:eastAsia="宋体" w:cs="宋体"/>
          <w:b/>
          <w:bCs/>
          <w:color w:val="auto"/>
          <w:spacing w:val="3"/>
          <w:sz w:val="20"/>
          <w:szCs w:val="20"/>
          <w:highlight w:val="none"/>
        </w:rPr>
        <w:t>频率保护</w:t>
      </w:r>
    </w:p>
    <w:p w14:paraId="3387C4A6">
      <w:pPr>
        <w:spacing w:before="159" w:line="362" w:lineRule="auto"/>
        <w:ind w:left="460" w:right="16" w:firstLine="422"/>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保护汽轮机，为防止发电机在频率偏低或偏高时，使汽轮机的叶片及其拉筋发生</w:t>
      </w:r>
      <w:r>
        <w:rPr>
          <w:rFonts w:ascii="宋体" w:hAnsi="宋体" w:eastAsia="宋体" w:cs="宋体"/>
          <w:color w:val="auto"/>
          <w:spacing w:val="14"/>
          <w:sz w:val="20"/>
          <w:szCs w:val="20"/>
          <w:highlight w:val="none"/>
        </w:rPr>
        <w:t xml:space="preserve"> </w:t>
      </w:r>
      <w:r>
        <w:rPr>
          <w:rFonts w:ascii="宋体" w:hAnsi="宋体" w:eastAsia="宋体" w:cs="宋体"/>
          <w:color w:val="auto"/>
          <w:spacing w:val="8"/>
          <w:sz w:val="20"/>
          <w:szCs w:val="20"/>
          <w:highlight w:val="none"/>
        </w:rPr>
        <w:t>断裂故障的保护装置。其主要功能和技术要求如下：</w:t>
      </w:r>
    </w:p>
    <w:p w14:paraId="602A842A">
      <w:pPr>
        <w:spacing w:before="34" w:line="228" w:lineRule="auto"/>
        <w:ind w:left="88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该保护应能反应频率下降和持续低频运行的时间累计；</w:t>
      </w:r>
    </w:p>
    <w:p w14:paraId="0C617DD6">
      <w:pPr>
        <w:spacing w:before="162" w:line="302" w:lineRule="auto"/>
        <w:ind w:left="874" w:right="15" w:firstLine="2"/>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2)</w:t>
      </w:r>
      <w:r>
        <w:rPr>
          <w:rFonts w:ascii="宋体" w:hAnsi="宋体" w:eastAsia="宋体" w:cs="宋体"/>
          <w:color w:val="auto"/>
          <w:spacing w:val="12"/>
          <w:sz w:val="20"/>
          <w:szCs w:val="20"/>
          <w:highlight w:val="none"/>
        </w:rPr>
        <w:t xml:space="preserve">  </w:t>
      </w:r>
      <w:r>
        <w:rPr>
          <w:rFonts w:ascii="宋体" w:hAnsi="宋体" w:eastAsia="宋体" w:cs="宋体"/>
          <w:color w:val="auto"/>
          <w:spacing w:val="6"/>
          <w:sz w:val="20"/>
          <w:szCs w:val="20"/>
          <w:highlight w:val="none"/>
        </w:rPr>
        <w:t>应根据汽轮机的频率－时间特性，具有按频率分段时间累积功能，时间累积在</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装置断电时应能保持；</w:t>
      </w:r>
    </w:p>
    <w:p w14:paraId="119E017A">
      <w:pPr>
        <w:spacing w:before="163" w:line="227"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  在发电机停机过程和停机期间应自动闭锁频率异常保护；</w:t>
      </w:r>
    </w:p>
    <w:p w14:paraId="16BDE62E">
      <w:pPr>
        <w:spacing w:line="227"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52EC20A9">
      <w:pPr>
        <w:spacing w:before="41" w:line="227" w:lineRule="auto"/>
        <w:ind w:left="87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w:t>
      </w:r>
      <w:r>
        <w:rPr>
          <w:rFonts w:ascii="宋体" w:hAnsi="宋体" w:eastAsia="宋体" w:cs="宋体"/>
          <w:color w:val="auto"/>
          <w:spacing w:val="10"/>
          <w:sz w:val="20"/>
          <w:szCs w:val="20"/>
          <w:highlight w:val="none"/>
        </w:rPr>
        <w:t xml:space="preserve">  </w:t>
      </w:r>
      <w:r>
        <w:rPr>
          <w:rFonts w:ascii="宋体" w:hAnsi="宋体" w:eastAsia="宋体" w:cs="宋体"/>
          <w:color w:val="auto"/>
          <w:spacing w:val="8"/>
          <w:sz w:val="20"/>
          <w:szCs w:val="20"/>
          <w:highlight w:val="none"/>
        </w:rPr>
        <w:t>低频保护应在发电机－变压器组断路器合闸后投人运行；</w:t>
      </w:r>
    </w:p>
    <w:p w14:paraId="0AF36EA7">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5)  当电压互感器回路断线时应闭锁装置并发出报警信号；</w:t>
      </w:r>
    </w:p>
    <w:p w14:paraId="20FEE1D5">
      <w:pPr>
        <w:spacing w:before="164" w:line="302" w:lineRule="auto"/>
        <w:ind w:left="873" w:right="53" w:firstLine="2"/>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6)</w:t>
      </w:r>
      <w:r>
        <w:rPr>
          <w:rFonts w:ascii="宋体" w:hAnsi="宋体" w:eastAsia="宋体" w:cs="宋体"/>
          <w:color w:val="auto"/>
          <w:spacing w:val="9"/>
          <w:sz w:val="20"/>
          <w:szCs w:val="20"/>
          <w:highlight w:val="none"/>
        </w:rPr>
        <w:t xml:space="preserve">  </w:t>
      </w:r>
      <w:r>
        <w:rPr>
          <w:rFonts w:ascii="宋体" w:hAnsi="宋体" w:eastAsia="宋体" w:cs="宋体"/>
          <w:color w:val="auto"/>
          <w:spacing w:val="10"/>
          <w:sz w:val="20"/>
          <w:szCs w:val="20"/>
          <w:highlight w:val="none"/>
        </w:rPr>
        <w:t>频率测量范围为</w:t>
      </w:r>
      <w:r>
        <w:rPr>
          <w:rFonts w:ascii="宋体" w:hAnsi="宋体" w:eastAsia="宋体" w:cs="宋体"/>
          <w:color w:val="auto"/>
          <w:spacing w:val="-37"/>
          <w:sz w:val="20"/>
          <w:szCs w:val="20"/>
          <w:highlight w:val="none"/>
        </w:rPr>
        <w:t xml:space="preserve"> </w:t>
      </w:r>
      <w:r>
        <w:rPr>
          <w:rFonts w:ascii="宋体" w:hAnsi="宋体" w:eastAsia="宋体" w:cs="宋体"/>
          <w:color w:val="auto"/>
          <w:spacing w:val="10"/>
          <w:sz w:val="20"/>
          <w:szCs w:val="20"/>
          <w:highlight w:val="none"/>
        </w:rPr>
        <w:t>40</w:t>
      </w:r>
      <w:r>
        <w:rPr>
          <w:rFonts w:ascii="宋体" w:hAnsi="宋体" w:eastAsia="宋体" w:cs="宋体"/>
          <w:color w:val="auto"/>
          <w:sz w:val="20"/>
          <w:szCs w:val="20"/>
          <w:highlight w:val="none"/>
        </w:rPr>
        <w:t>Hz</w:t>
      </w:r>
      <w:r>
        <w:rPr>
          <w:rFonts w:ascii="宋体" w:hAnsi="宋体" w:eastAsia="宋体" w:cs="宋体"/>
          <w:color w:val="auto"/>
          <w:spacing w:val="10"/>
          <w:sz w:val="20"/>
          <w:szCs w:val="20"/>
          <w:highlight w:val="none"/>
        </w:rPr>
        <w:t>～65</w:t>
      </w:r>
      <w:r>
        <w:rPr>
          <w:rFonts w:ascii="宋体" w:hAnsi="宋体" w:eastAsia="宋体" w:cs="宋体"/>
          <w:color w:val="auto"/>
          <w:sz w:val="20"/>
          <w:szCs w:val="20"/>
          <w:highlight w:val="none"/>
        </w:rPr>
        <w:t>Hz</w:t>
      </w:r>
      <w:r>
        <w:rPr>
          <w:rFonts w:ascii="宋体" w:hAnsi="宋体" w:eastAsia="宋体" w:cs="宋体"/>
          <w:color w:val="auto"/>
          <w:spacing w:val="10"/>
          <w:sz w:val="20"/>
          <w:szCs w:val="20"/>
          <w:highlight w:val="none"/>
        </w:rPr>
        <w:t>；频率测量允许误差±0.05</w:t>
      </w:r>
      <w:r>
        <w:rPr>
          <w:rFonts w:ascii="宋体" w:hAnsi="宋体" w:eastAsia="宋体" w:cs="宋体"/>
          <w:color w:val="auto"/>
          <w:sz w:val="20"/>
          <w:szCs w:val="20"/>
          <w:highlight w:val="none"/>
        </w:rPr>
        <w:t>Hz</w:t>
      </w:r>
      <w:r>
        <w:rPr>
          <w:rFonts w:ascii="宋体" w:hAnsi="宋体" w:eastAsia="宋体" w:cs="宋体"/>
          <w:color w:val="auto"/>
          <w:spacing w:val="10"/>
          <w:sz w:val="20"/>
          <w:szCs w:val="20"/>
          <w:highlight w:val="none"/>
        </w:rPr>
        <w:t>；时间积累的准确</w:t>
      </w:r>
      <w:r>
        <w:rPr>
          <w:rFonts w:ascii="宋体" w:hAnsi="宋体" w:eastAsia="宋体" w:cs="宋体"/>
          <w:color w:val="auto"/>
          <w:sz w:val="20"/>
          <w:szCs w:val="20"/>
          <w:highlight w:val="none"/>
        </w:rPr>
        <w:t xml:space="preserve"> </w:t>
      </w:r>
      <w:r>
        <w:rPr>
          <w:rFonts w:ascii="宋体" w:hAnsi="宋体" w:eastAsia="宋体" w:cs="宋体"/>
          <w:color w:val="auto"/>
          <w:spacing w:val="2"/>
          <w:sz w:val="20"/>
          <w:szCs w:val="20"/>
          <w:highlight w:val="none"/>
        </w:rPr>
        <w:t>度</w:t>
      </w:r>
      <w:r>
        <w:rPr>
          <w:rFonts w:ascii="宋体" w:hAnsi="宋体" w:eastAsia="宋体" w:cs="宋体"/>
          <w:color w:val="auto"/>
          <w:spacing w:val="-37"/>
          <w:sz w:val="20"/>
          <w:szCs w:val="20"/>
          <w:highlight w:val="none"/>
        </w:rPr>
        <w:t xml:space="preserve"> </w:t>
      </w:r>
      <w:r>
        <w:rPr>
          <w:rFonts w:ascii="宋体" w:hAnsi="宋体" w:eastAsia="宋体" w:cs="宋体"/>
          <w:color w:val="auto"/>
          <w:spacing w:val="2"/>
          <w:sz w:val="20"/>
          <w:szCs w:val="20"/>
          <w:highlight w:val="none"/>
        </w:rPr>
        <w:t>20.5%。</w:t>
      </w:r>
    </w:p>
    <w:p w14:paraId="4C99CA05">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4"/>
          <w:sz w:val="14"/>
          <w:szCs w:val="14"/>
          <w:highlight w:val="none"/>
        </w:rPr>
        <w:t>l</w:t>
      </w:r>
      <w:r>
        <w:rPr>
          <w:rFonts w:ascii="Wingdings" w:hAnsi="Wingdings" w:eastAsia="Wingdings" w:cs="Wingdings"/>
          <w:color w:val="auto"/>
          <w:spacing w:val="118"/>
          <w:sz w:val="14"/>
          <w:szCs w:val="14"/>
          <w:highlight w:val="none"/>
        </w:rPr>
        <w:t xml:space="preserve"> </w:t>
      </w:r>
      <w:r>
        <w:rPr>
          <w:rFonts w:ascii="宋体" w:hAnsi="宋体" w:eastAsia="宋体" w:cs="宋体"/>
          <w:b/>
          <w:bCs/>
          <w:color w:val="auto"/>
          <w:spacing w:val="4"/>
          <w:sz w:val="20"/>
          <w:szCs w:val="20"/>
          <w:highlight w:val="none"/>
        </w:rPr>
        <w:t>过激磁保护</w:t>
      </w:r>
    </w:p>
    <w:p w14:paraId="2D7FC1A8">
      <w:pPr>
        <w:spacing w:before="158" w:line="368" w:lineRule="auto"/>
        <w:ind w:left="452" w:right="53" w:firstLine="429"/>
        <w:jc w:val="both"/>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过激磁保护保护发电机过激磁，即当电压升高和频率降低时工作磁通密度过高引</w:t>
      </w:r>
      <w:r>
        <w:rPr>
          <w:rFonts w:ascii="宋体" w:hAnsi="宋体" w:eastAsia="宋体" w:cs="宋体"/>
          <w:color w:val="auto"/>
          <w:spacing w:val="14"/>
          <w:sz w:val="20"/>
          <w:szCs w:val="20"/>
          <w:highlight w:val="none"/>
        </w:rPr>
        <w:t xml:space="preserve"> </w:t>
      </w:r>
      <w:r>
        <w:rPr>
          <w:rFonts w:ascii="宋体" w:hAnsi="宋体" w:eastAsia="宋体" w:cs="宋体"/>
          <w:color w:val="auto"/>
          <w:spacing w:val="7"/>
          <w:sz w:val="20"/>
          <w:szCs w:val="20"/>
          <w:highlight w:val="none"/>
        </w:rPr>
        <w:t>起绝缘过热老化的保护装置。保护装置定时限和反时限两种，定时限设低定值和高</w:t>
      </w:r>
      <w:r>
        <w:rPr>
          <w:rFonts w:ascii="宋体" w:hAnsi="宋体" w:eastAsia="宋体" w:cs="宋体"/>
          <w:color w:val="auto"/>
          <w:spacing w:val="6"/>
          <w:sz w:val="20"/>
          <w:szCs w:val="20"/>
          <w:highlight w:val="none"/>
        </w:rPr>
        <w:t>定值</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两段。 其主要功能和技术要求如下：</w:t>
      </w:r>
    </w:p>
    <w:p w14:paraId="07B097CC">
      <w:pPr>
        <w:spacing w:before="31" w:line="303" w:lineRule="auto"/>
        <w:ind w:left="874" w:right="53" w:firstLine="15"/>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  保护装置应设有定时限和反时限两个部分，以便同发电机的过激磁特性近似匹</w:t>
      </w:r>
      <w:r>
        <w:rPr>
          <w:rFonts w:ascii="宋体" w:hAnsi="宋体" w:eastAsia="宋体" w:cs="宋体"/>
          <w:color w:val="auto"/>
          <w:sz w:val="20"/>
          <w:szCs w:val="20"/>
          <w:highlight w:val="none"/>
        </w:rPr>
        <w:t xml:space="preserve"> 配；</w:t>
      </w:r>
    </w:p>
    <w:p w14:paraId="28717297">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w:t>
      </w:r>
      <w:r>
        <w:rPr>
          <w:rFonts w:ascii="宋体" w:hAnsi="宋体" w:eastAsia="宋体" w:cs="宋体"/>
          <w:color w:val="auto"/>
          <w:spacing w:val="5"/>
          <w:sz w:val="20"/>
          <w:szCs w:val="20"/>
          <w:highlight w:val="none"/>
        </w:rPr>
        <w:t xml:space="preserve">  </w:t>
      </w:r>
      <w:r>
        <w:rPr>
          <w:rFonts w:ascii="宋体" w:hAnsi="宋体" w:eastAsia="宋体" w:cs="宋体"/>
          <w:color w:val="auto"/>
          <w:spacing w:val="8"/>
          <w:sz w:val="20"/>
          <w:szCs w:val="20"/>
          <w:highlight w:val="none"/>
        </w:rPr>
        <w:t>在变压器出现励磁涌流时保护不应发生误动作；</w:t>
      </w:r>
    </w:p>
    <w:p w14:paraId="10FDDF39">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  当电压互感器回路断线时应闭锁装置并发出报警信号；</w:t>
      </w:r>
    </w:p>
    <w:p w14:paraId="14C7DF76">
      <w:pPr>
        <w:spacing w:before="161" w:line="228" w:lineRule="auto"/>
        <w:ind w:left="87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4)</w:t>
      </w:r>
      <w:r>
        <w:rPr>
          <w:rFonts w:ascii="宋体" w:hAnsi="宋体" w:eastAsia="宋体" w:cs="宋体"/>
          <w:color w:val="auto"/>
          <w:spacing w:val="10"/>
          <w:sz w:val="20"/>
          <w:szCs w:val="20"/>
          <w:highlight w:val="none"/>
        </w:rPr>
        <w:t xml:space="preserve">  </w:t>
      </w:r>
      <w:r>
        <w:rPr>
          <w:rFonts w:ascii="宋体" w:hAnsi="宋体" w:eastAsia="宋体" w:cs="宋体"/>
          <w:color w:val="auto"/>
          <w:spacing w:val="5"/>
          <w:sz w:val="20"/>
          <w:szCs w:val="20"/>
          <w:highlight w:val="none"/>
        </w:rPr>
        <w:t>过激磁返回系数不小于</w:t>
      </w:r>
      <w:r>
        <w:rPr>
          <w:rFonts w:ascii="宋体" w:hAnsi="宋体" w:eastAsia="宋体" w:cs="宋体"/>
          <w:color w:val="auto"/>
          <w:spacing w:val="-34"/>
          <w:sz w:val="20"/>
          <w:szCs w:val="20"/>
          <w:highlight w:val="none"/>
        </w:rPr>
        <w:t xml:space="preserve"> </w:t>
      </w:r>
      <w:r>
        <w:rPr>
          <w:rFonts w:ascii="宋体" w:hAnsi="宋体" w:eastAsia="宋体" w:cs="宋体"/>
          <w:color w:val="auto"/>
          <w:spacing w:val="5"/>
          <w:sz w:val="20"/>
          <w:szCs w:val="20"/>
          <w:highlight w:val="none"/>
        </w:rPr>
        <w:t>0.96；</w:t>
      </w:r>
    </w:p>
    <w:p w14:paraId="26942679">
      <w:pPr>
        <w:spacing w:before="163" w:line="302" w:lineRule="auto"/>
        <w:ind w:left="879" w:right="50" w:hanging="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5)  时间整定值的准确度（1.5</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倍整定值时</w:t>
      </w:r>
      <w:r>
        <w:rPr>
          <w:rFonts w:ascii="宋体" w:hAnsi="宋体" w:eastAsia="宋体" w:cs="宋体"/>
          <w:color w:val="auto"/>
          <w:spacing w:val="-53"/>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7"/>
          <w:sz w:val="20"/>
          <w:szCs w:val="20"/>
          <w:highlight w:val="none"/>
        </w:rPr>
        <w:t>1%或</w:t>
      </w:r>
      <w:r>
        <w:rPr>
          <w:rFonts w:ascii="宋体" w:hAnsi="宋体" w:eastAsia="宋体" w:cs="宋体"/>
          <w:color w:val="auto"/>
          <w:spacing w:val="-32"/>
          <w:sz w:val="20"/>
          <w:szCs w:val="20"/>
          <w:highlight w:val="none"/>
        </w:rPr>
        <w:t xml:space="preserve"> </w:t>
      </w:r>
      <w:r>
        <w:rPr>
          <w:rFonts w:ascii="宋体" w:hAnsi="宋体" w:eastAsia="宋体" w:cs="宋体"/>
          <w:color w:val="auto"/>
          <w:spacing w:val="7"/>
          <w:sz w:val="20"/>
          <w:szCs w:val="20"/>
          <w:highlight w:val="none"/>
        </w:rPr>
        <w:t>70</w:t>
      </w:r>
      <w:r>
        <w:rPr>
          <w:rFonts w:ascii="宋体" w:hAnsi="宋体" w:eastAsia="宋体" w:cs="宋体"/>
          <w:color w:val="auto"/>
          <w:sz w:val="20"/>
          <w:szCs w:val="20"/>
          <w:highlight w:val="none"/>
        </w:rPr>
        <w:t>ms</w:t>
      </w:r>
      <w:r>
        <w:rPr>
          <w:rFonts w:ascii="宋体" w:hAnsi="宋体" w:eastAsia="宋体" w:cs="宋体"/>
          <w:color w:val="auto"/>
          <w:spacing w:val="7"/>
          <w:sz w:val="20"/>
          <w:szCs w:val="20"/>
          <w:highlight w:val="none"/>
        </w:rPr>
        <w:t>。反时限长延时应可整定</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到</w:t>
      </w:r>
      <w:r>
        <w:rPr>
          <w:rFonts w:ascii="宋体" w:hAnsi="宋体" w:eastAsia="宋体" w:cs="宋体"/>
          <w:color w:val="auto"/>
          <w:spacing w:val="-22"/>
          <w:sz w:val="20"/>
          <w:szCs w:val="20"/>
          <w:highlight w:val="none"/>
        </w:rPr>
        <w:t xml:space="preserve"> </w:t>
      </w:r>
      <w:r>
        <w:rPr>
          <w:rFonts w:ascii="宋体" w:hAnsi="宋体" w:eastAsia="宋体" w:cs="宋体"/>
          <w:color w:val="auto"/>
          <w:spacing w:val="-1"/>
          <w:sz w:val="20"/>
          <w:szCs w:val="20"/>
          <w:highlight w:val="none"/>
        </w:rPr>
        <w:t>1000s。</w:t>
      </w:r>
    </w:p>
    <w:p w14:paraId="4D6C2405">
      <w:pPr>
        <w:spacing w:before="160"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发电机过电压保护</w:t>
      </w:r>
    </w:p>
    <w:p w14:paraId="5643CFF4">
      <w:pPr>
        <w:spacing w:before="162" w:line="362" w:lineRule="auto"/>
        <w:ind w:left="455" w:right="53" w:firstLine="40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保护发电机在起动或并网过程中发生电压升高而损坏发电机绝缘的事故。其主要功</w:t>
      </w:r>
      <w:r>
        <w:rPr>
          <w:rFonts w:ascii="宋体" w:hAnsi="宋体" w:eastAsia="宋体" w:cs="宋体"/>
          <w:color w:val="auto"/>
          <w:spacing w:val="2"/>
          <w:sz w:val="20"/>
          <w:szCs w:val="20"/>
          <w:highlight w:val="none"/>
        </w:rPr>
        <w:t xml:space="preserve"> </w:t>
      </w:r>
      <w:r>
        <w:rPr>
          <w:rFonts w:ascii="宋体" w:hAnsi="宋体" w:eastAsia="宋体" w:cs="宋体"/>
          <w:color w:val="auto"/>
          <w:spacing w:val="6"/>
          <w:sz w:val="20"/>
          <w:szCs w:val="20"/>
          <w:highlight w:val="none"/>
        </w:rPr>
        <w:t>能和技术要求如下：</w:t>
      </w:r>
    </w:p>
    <w:p w14:paraId="63A9D36C">
      <w:pPr>
        <w:spacing w:before="32" w:line="228" w:lineRule="auto"/>
        <w:ind w:left="88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w:t>
      </w:r>
      <w:r>
        <w:rPr>
          <w:rFonts w:ascii="宋体" w:hAnsi="宋体" w:eastAsia="宋体" w:cs="宋体"/>
          <w:color w:val="auto"/>
          <w:spacing w:val="3"/>
          <w:sz w:val="20"/>
          <w:szCs w:val="20"/>
          <w:highlight w:val="none"/>
        </w:rPr>
        <w:t xml:space="preserve">  </w:t>
      </w:r>
      <w:r>
        <w:rPr>
          <w:rFonts w:ascii="宋体" w:hAnsi="宋体" w:eastAsia="宋体" w:cs="宋体"/>
          <w:color w:val="auto"/>
          <w:spacing w:val="6"/>
          <w:sz w:val="20"/>
          <w:szCs w:val="20"/>
          <w:highlight w:val="none"/>
        </w:rPr>
        <w:t>整定值的准确度：2.5%或</w:t>
      </w:r>
      <w:r>
        <w:rPr>
          <w:rFonts w:ascii="宋体" w:hAnsi="宋体" w:eastAsia="宋体" w:cs="宋体"/>
          <w:color w:val="auto"/>
          <w:spacing w:val="-37"/>
          <w:sz w:val="20"/>
          <w:szCs w:val="20"/>
          <w:highlight w:val="none"/>
        </w:rPr>
        <w:t xml:space="preserve"> </w:t>
      </w:r>
      <w:r>
        <w:rPr>
          <w:rFonts w:ascii="宋体" w:hAnsi="宋体" w:eastAsia="宋体" w:cs="宋体"/>
          <w:color w:val="auto"/>
          <w:spacing w:val="6"/>
          <w:sz w:val="20"/>
          <w:szCs w:val="20"/>
          <w:highlight w:val="none"/>
        </w:rPr>
        <w:t>0.04</w:t>
      </w:r>
      <w:r>
        <w:rPr>
          <w:rFonts w:ascii="宋体" w:hAnsi="宋体" w:eastAsia="宋体" w:cs="宋体"/>
          <w:color w:val="auto"/>
          <w:sz w:val="20"/>
          <w:szCs w:val="20"/>
          <w:highlight w:val="none"/>
        </w:rPr>
        <w:t>Un</w:t>
      </w:r>
      <w:r>
        <w:rPr>
          <w:rFonts w:ascii="宋体" w:hAnsi="宋体" w:eastAsia="宋体" w:cs="宋体"/>
          <w:color w:val="auto"/>
          <w:spacing w:val="-37"/>
          <w:sz w:val="20"/>
          <w:szCs w:val="20"/>
          <w:highlight w:val="none"/>
        </w:rPr>
        <w:t xml:space="preserve"> </w:t>
      </w:r>
      <w:r>
        <w:rPr>
          <w:rFonts w:ascii="宋体" w:hAnsi="宋体" w:eastAsia="宋体" w:cs="宋体"/>
          <w:color w:val="auto"/>
          <w:spacing w:val="6"/>
          <w:sz w:val="20"/>
          <w:szCs w:val="20"/>
          <w:highlight w:val="none"/>
        </w:rPr>
        <w:t>返回系</w:t>
      </w:r>
      <w:r>
        <w:rPr>
          <w:rFonts w:ascii="宋体" w:hAnsi="宋体" w:eastAsia="宋体" w:cs="宋体"/>
          <w:color w:val="auto"/>
          <w:spacing w:val="5"/>
          <w:sz w:val="20"/>
          <w:szCs w:val="20"/>
          <w:highlight w:val="none"/>
        </w:rPr>
        <w:t>数不小于</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0.95；</w:t>
      </w:r>
    </w:p>
    <w:p w14:paraId="7DD1ED07">
      <w:pPr>
        <w:spacing w:before="161" w:line="228" w:lineRule="auto"/>
        <w:ind w:left="876"/>
        <w:rPr>
          <w:rFonts w:ascii="宋体" w:hAnsi="宋体" w:eastAsia="宋体" w:cs="宋体"/>
          <w:color w:val="auto"/>
          <w:sz w:val="20"/>
          <w:szCs w:val="20"/>
          <w:highlight w:val="none"/>
        </w:rPr>
      </w:pPr>
      <w:r>
        <w:rPr>
          <w:rFonts w:ascii="宋体" w:hAnsi="宋体" w:eastAsia="宋体" w:cs="宋体"/>
          <w:b/>
          <w:bCs/>
          <w:color w:val="auto"/>
          <w:spacing w:val="3"/>
          <w:sz w:val="20"/>
          <w:szCs w:val="20"/>
          <w:highlight w:val="none"/>
        </w:rPr>
        <w:t>2)</w:t>
      </w:r>
      <w:r>
        <w:rPr>
          <w:rFonts w:ascii="宋体" w:hAnsi="宋体" w:eastAsia="宋体" w:cs="宋体"/>
          <w:color w:val="auto"/>
          <w:spacing w:val="3"/>
          <w:sz w:val="20"/>
          <w:szCs w:val="20"/>
          <w:highlight w:val="none"/>
        </w:rPr>
        <w:t xml:space="preserve">  时间整定值的准确度（</w:t>
      </w:r>
      <w:r>
        <w:rPr>
          <w:rFonts w:ascii="宋体" w:hAnsi="宋体" w:eastAsia="宋体" w:cs="宋体"/>
          <w:color w:val="auto"/>
          <w:spacing w:val="-44"/>
          <w:sz w:val="20"/>
          <w:szCs w:val="20"/>
          <w:highlight w:val="none"/>
        </w:rPr>
        <w:t xml:space="preserve"> </w:t>
      </w:r>
      <w:r>
        <w:rPr>
          <w:rFonts w:ascii="宋体" w:hAnsi="宋体" w:eastAsia="宋体" w:cs="宋体"/>
          <w:color w:val="auto"/>
          <w:spacing w:val="3"/>
          <w:sz w:val="20"/>
          <w:szCs w:val="20"/>
          <w:highlight w:val="none"/>
        </w:rPr>
        <w:t>1.5</w:t>
      </w:r>
      <w:r>
        <w:rPr>
          <w:rFonts w:ascii="宋体" w:hAnsi="宋体" w:eastAsia="宋体" w:cs="宋体"/>
          <w:color w:val="auto"/>
          <w:spacing w:val="-40"/>
          <w:sz w:val="20"/>
          <w:szCs w:val="20"/>
          <w:highlight w:val="none"/>
        </w:rPr>
        <w:t xml:space="preserve"> </w:t>
      </w:r>
      <w:r>
        <w:rPr>
          <w:rFonts w:ascii="宋体" w:hAnsi="宋体" w:eastAsia="宋体" w:cs="宋体"/>
          <w:color w:val="auto"/>
          <w:spacing w:val="3"/>
          <w:sz w:val="20"/>
          <w:szCs w:val="20"/>
          <w:highlight w:val="none"/>
        </w:rPr>
        <w:t>倍整定值时</w:t>
      </w:r>
      <w:r>
        <w:rPr>
          <w:rFonts w:ascii="宋体" w:hAnsi="宋体" w:eastAsia="宋体" w:cs="宋体"/>
          <w:color w:val="auto"/>
          <w:spacing w:val="-48"/>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3"/>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3"/>
          <w:sz w:val="20"/>
          <w:szCs w:val="20"/>
          <w:highlight w:val="none"/>
        </w:rPr>
        <w:t>。</w:t>
      </w:r>
    </w:p>
    <w:p w14:paraId="0FC8F1FD">
      <w:pPr>
        <w:spacing w:before="164"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4"/>
          <w:sz w:val="14"/>
          <w:szCs w:val="14"/>
          <w:highlight w:val="none"/>
        </w:rPr>
        <w:t>l</w:t>
      </w:r>
      <w:r>
        <w:rPr>
          <w:rFonts w:ascii="Wingdings" w:hAnsi="Wingdings" w:eastAsia="Wingdings" w:cs="Wingdings"/>
          <w:color w:val="auto"/>
          <w:spacing w:val="124"/>
          <w:sz w:val="14"/>
          <w:szCs w:val="14"/>
          <w:highlight w:val="none"/>
        </w:rPr>
        <w:t xml:space="preserve"> </w:t>
      </w:r>
      <w:r>
        <w:rPr>
          <w:rFonts w:ascii="宋体" w:hAnsi="宋体" w:eastAsia="宋体" w:cs="宋体"/>
          <w:b/>
          <w:bCs/>
          <w:color w:val="auto"/>
          <w:spacing w:val="4"/>
          <w:sz w:val="20"/>
          <w:szCs w:val="20"/>
          <w:highlight w:val="none"/>
        </w:rPr>
        <w:t>突加电压保护</w:t>
      </w:r>
    </w:p>
    <w:p w14:paraId="4AEB16A5">
      <w:pPr>
        <w:spacing w:before="158" w:line="362" w:lineRule="auto"/>
        <w:ind w:left="447" w:right="53" w:firstLine="43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突加电压保护用于当汽轮发电机在盘车的情况下，</w:t>
      </w:r>
      <w:r>
        <w:rPr>
          <w:rFonts w:ascii="宋体" w:hAnsi="宋体" w:eastAsia="宋体" w:cs="宋体"/>
          <w:color w:val="auto"/>
          <w:spacing w:val="6"/>
          <w:sz w:val="20"/>
          <w:szCs w:val="20"/>
          <w:highlight w:val="none"/>
        </w:rPr>
        <w:t>发电机出口断路器意外合闸，突</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然加上电压，发电机投入运行后应能可靠退</w:t>
      </w:r>
      <w:r>
        <w:rPr>
          <w:rFonts w:ascii="宋体" w:hAnsi="宋体" w:eastAsia="宋体" w:cs="宋体"/>
          <w:color w:val="auto"/>
          <w:spacing w:val="8"/>
          <w:sz w:val="20"/>
          <w:szCs w:val="20"/>
          <w:highlight w:val="none"/>
        </w:rPr>
        <w:t>出。</w:t>
      </w:r>
    </w:p>
    <w:p w14:paraId="7BFC04CE">
      <w:pPr>
        <w:spacing w:before="32" w:line="228" w:lineRule="auto"/>
        <w:ind w:left="87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具有鉴别同期并网和误合闸的功能；</w:t>
      </w:r>
    </w:p>
    <w:p w14:paraId="49371255">
      <w:pPr>
        <w:spacing w:before="161" w:line="228" w:lineRule="auto"/>
        <w:ind w:left="87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  具有正常并网（解列）后自动退出（投入）运行的功能；</w:t>
      </w:r>
    </w:p>
    <w:p w14:paraId="460A49F2">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  整定值的准确度：5%。</w:t>
      </w:r>
    </w:p>
    <w:p w14:paraId="6D60CC67">
      <w:pPr>
        <w:spacing w:before="163"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发电机失步保护</w:t>
      </w:r>
    </w:p>
    <w:p w14:paraId="27B12B35">
      <w:pPr>
        <w:spacing w:before="159" w:line="362" w:lineRule="auto"/>
        <w:ind w:left="446" w:firstLine="4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保护发电机在发生失步时，造成机组受力和热的损伤及厂用电压</w:t>
      </w:r>
      <w:r>
        <w:rPr>
          <w:rFonts w:ascii="宋体" w:hAnsi="宋体" w:eastAsia="宋体" w:cs="宋体"/>
          <w:color w:val="auto"/>
          <w:spacing w:val="6"/>
          <w:sz w:val="20"/>
          <w:szCs w:val="20"/>
          <w:highlight w:val="none"/>
        </w:rPr>
        <w:t>急剧下降，使厂用</w:t>
      </w:r>
      <w:r>
        <w:rPr>
          <w:rFonts w:ascii="宋体" w:hAnsi="宋体" w:eastAsia="宋体" w:cs="宋体"/>
          <w:color w:val="auto"/>
          <w:sz w:val="20"/>
          <w:szCs w:val="20"/>
          <w:highlight w:val="none"/>
        </w:rPr>
        <w:t xml:space="preserve"> </w:t>
      </w:r>
      <w:r>
        <w:rPr>
          <w:rFonts w:ascii="宋体" w:hAnsi="宋体" w:eastAsia="宋体" w:cs="宋体"/>
          <w:color w:val="auto"/>
          <w:spacing w:val="3"/>
          <w:sz w:val="20"/>
          <w:szCs w:val="20"/>
          <w:highlight w:val="none"/>
        </w:rPr>
        <w:t>机械受到严重威胁，导致停机、停炉严重事故的保护装置。其主要功能和技术要求如下：</w:t>
      </w:r>
    </w:p>
    <w:p w14:paraId="573255E8">
      <w:pPr>
        <w:spacing w:before="33" w:line="228" w:lineRule="auto"/>
        <w:ind w:left="88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w:t>
      </w:r>
      <w:r>
        <w:rPr>
          <w:rFonts w:ascii="宋体" w:hAnsi="宋体" w:eastAsia="宋体" w:cs="宋体"/>
          <w:color w:val="auto"/>
          <w:spacing w:val="4"/>
          <w:sz w:val="20"/>
          <w:szCs w:val="20"/>
          <w:highlight w:val="none"/>
        </w:rPr>
        <w:t xml:space="preserve">  </w:t>
      </w:r>
      <w:r>
        <w:rPr>
          <w:rFonts w:ascii="宋体" w:hAnsi="宋体" w:eastAsia="宋体" w:cs="宋体"/>
          <w:color w:val="auto"/>
          <w:spacing w:val="6"/>
          <w:sz w:val="20"/>
          <w:szCs w:val="20"/>
          <w:highlight w:val="none"/>
        </w:rPr>
        <w:t>应能检测加速和减速失步；</w:t>
      </w:r>
    </w:p>
    <w:p w14:paraId="616F1D80">
      <w:pPr>
        <w:spacing w:before="163" w:line="227" w:lineRule="auto"/>
        <w:ind w:left="87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w:t>
      </w:r>
      <w:r>
        <w:rPr>
          <w:rFonts w:ascii="宋体" w:hAnsi="宋体" w:eastAsia="宋体" w:cs="宋体"/>
          <w:color w:val="auto"/>
          <w:spacing w:val="6"/>
          <w:sz w:val="20"/>
          <w:szCs w:val="20"/>
          <w:highlight w:val="none"/>
        </w:rPr>
        <w:t xml:space="preserve">  </w:t>
      </w:r>
      <w:r>
        <w:rPr>
          <w:rFonts w:ascii="宋体" w:hAnsi="宋体" w:eastAsia="宋体" w:cs="宋体"/>
          <w:color w:val="auto"/>
          <w:spacing w:val="8"/>
          <w:sz w:val="20"/>
          <w:szCs w:val="20"/>
          <w:highlight w:val="none"/>
        </w:rPr>
        <w:t>应能区分短路故障与失步、机组稳定振荡与失步；</w:t>
      </w:r>
    </w:p>
    <w:p w14:paraId="7282CE3E">
      <w:pPr>
        <w:spacing w:before="162" w:line="227" w:lineRule="auto"/>
        <w:ind w:left="87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w:t>
      </w:r>
      <w:r>
        <w:rPr>
          <w:rFonts w:ascii="宋体" w:hAnsi="宋体" w:eastAsia="宋体" w:cs="宋体"/>
          <w:color w:val="auto"/>
          <w:spacing w:val="9"/>
          <w:sz w:val="20"/>
          <w:szCs w:val="20"/>
          <w:highlight w:val="none"/>
        </w:rPr>
        <w:t xml:space="preserve">  </w:t>
      </w:r>
      <w:r>
        <w:rPr>
          <w:rFonts w:ascii="宋体" w:hAnsi="宋体" w:eastAsia="宋体" w:cs="宋体"/>
          <w:color w:val="auto"/>
          <w:spacing w:val="8"/>
          <w:sz w:val="20"/>
          <w:szCs w:val="20"/>
          <w:highlight w:val="none"/>
        </w:rPr>
        <w:t>应具有区分振荡中心在发电机变压器组内部或外部的功能；</w:t>
      </w:r>
    </w:p>
    <w:p w14:paraId="1225C7EC">
      <w:pPr>
        <w:spacing w:before="162" w:line="228" w:lineRule="auto"/>
        <w:ind w:left="87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4)</w:t>
      </w:r>
      <w:r>
        <w:rPr>
          <w:rFonts w:ascii="宋体" w:hAnsi="宋体" w:eastAsia="宋体" w:cs="宋体"/>
          <w:color w:val="auto"/>
          <w:spacing w:val="5"/>
          <w:sz w:val="20"/>
          <w:szCs w:val="20"/>
          <w:highlight w:val="none"/>
        </w:rPr>
        <w:t xml:space="preserve">  </w:t>
      </w:r>
      <w:r>
        <w:rPr>
          <w:rFonts w:ascii="宋体" w:hAnsi="宋体" w:eastAsia="宋体" w:cs="宋体"/>
          <w:color w:val="auto"/>
          <w:spacing w:val="6"/>
          <w:sz w:val="20"/>
          <w:szCs w:val="20"/>
          <w:highlight w:val="none"/>
        </w:rPr>
        <w:t>应能记录滑极次数；</w:t>
      </w:r>
    </w:p>
    <w:p w14:paraId="421BA78C">
      <w:pPr>
        <w:spacing w:before="164" w:line="228" w:lineRule="auto"/>
        <w:ind w:left="878"/>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5)</w:t>
      </w:r>
      <w:r>
        <w:rPr>
          <w:rFonts w:ascii="宋体" w:hAnsi="宋体" w:eastAsia="宋体" w:cs="宋体"/>
          <w:color w:val="auto"/>
          <w:spacing w:val="9"/>
          <w:sz w:val="20"/>
          <w:szCs w:val="20"/>
          <w:highlight w:val="none"/>
        </w:rPr>
        <w:t xml:space="preserve">  </w:t>
      </w:r>
      <w:r>
        <w:rPr>
          <w:rFonts w:ascii="宋体" w:hAnsi="宋体" w:eastAsia="宋体" w:cs="宋体"/>
          <w:color w:val="auto"/>
          <w:spacing w:val="12"/>
          <w:sz w:val="20"/>
          <w:szCs w:val="20"/>
          <w:highlight w:val="none"/>
        </w:rPr>
        <w:t>应具有选择失磁保护闭锁或解除失步保护以及当电流过大危及断路器安全跳</w:t>
      </w:r>
    </w:p>
    <w:p w14:paraId="219F602B">
      <w:pPr>
        <w:spacing w:line="228" w:lineRule="auto"/>
        <w:rPr>
          <w:rFonts w:ascii="宋体" w:hAnsi="宋体" w:eastAsia="宋体" w:cs="宋体"/>
          <w:color w:val="auto"/>
          <w:sz w:val="20"/>
          <w:szCs w:val="20"/>
          <w:highlight w:val="none"/>
        </w:rPr>
        <w:sectPr>
          <w:pgSz w:w="11906" w:h="16839"/>
          <w:pgMar w:top="1428" w:right="1748" w:bottom="0" w:left="1785" w:header="0" w:footer="0" w:gutter="0"/>
          <w:pgBorders>
            <w:top w:val="none" w:sz="0" w:space="0"/>
            <w:left w:val="none" w:sz="0" w:space="0"/>
            <w:bottom w:val="none" w:sz="0" w:space="0"/>
            <w:right w:val="none" w:sz="0" w:space="0"/>
          </w:pgBorders>
          <w:cols w:space="720" w:num="1"/>
        </w:sectPr>
      </w:pPr>
    </w:p>
    <w:p w14:paraId="3A01E959">
      <w:pPr>
        <w:spacing w:before="41" w:line="229" w:lineRule="auto"/>
        <w:ind w:left="89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闸时应闭锁出口的功能；</w:t>
      </w:r>
    </w:p>
    <w:p w14:paraId="239F0E3F">
      <w:pPr>
        <w:spacing w:before="257" w:line="228" w:lineRule="auto"/>
        <w:ind w:left="87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6)  阻抗和功率整定扥准确度：5%。其他整定值的准确度：2.5</w:t>
      </w:r>
      <w:r>
        <w:rPr>
          <w:rFonts w:ascii="宋体" w:hAnsi="宋体" w:eastAsia="宋体" w:cs="宋体"/>
          <w:color w:val="auto"/>
          <w:spacing w:val="7"/>
          <w:sz w:val="20"/>
          <w:szCs w:val="20"/>
          <w:highlight w:val="none"/>
        </w:rPr>
        <w:t>%。</w:t>
      </w:r>
    </w:p>
    <w:p w14:paraId="2DCE8AE4">
      <w:pPr>
        <w:spacing w:before="122"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21"/>
          <w:sz w:val="14"/>
          <w:szCs w:val="14"/>
          <w:highlight w:val="none"/>
        </w:rPr>
        <w:t>l</w:t>
      </w:r>
      <w:r>
        <w:rPr>
          <w:rFonts w:ascii="Wingdings" w:hAnsi="Wingdings" w:eastAsia="Wingdings" w:cs="Wingdings"/>
          <w:color w:val="auto"/>
          <w:spacing w:val="127"/>
          <w:sz w:val="14"/>
          <w:szCs w:val="14"/>
          <w:highlight w:val="none"/>
        </w:rPr>
        <w:t xml:space="preserve"> </w:t>
      </w:r>
      <w:r>
        <w:rPr>
          <w:rFonts w:ascii="宋体" w:hAnsi="宋体" w:eastAsia="宋体" w:cs="宋体"/>
          <w:b/>
          <w:bCs/>
          <w:color w:val="auto"/>
          <w:spacing w:val="21"/>
          <w:sz w:val="20"/>
          <w:szCs w:val="20"/>
          <w:highlight w:val="none"/>
        </w:rPr>
        <w:t>发电机定子匝间保护</w:t>
      </w:r>
    </w:p>
    <w:p w14:paraId="3835A71F">
      <w:pPr>
        <w:spacing w:before="162" w:line="228" w:lineRule="auto"/>
        <w:ind w:left="87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保护装置应具有以下主要功能及技术要求：</w:t>
      </w:r>
    </w:p>
    <w:p w14:paraId="7A8C9CBB">
      <w:pPr>
        <w:spacing w:before="161" w:line="228" w:lineRule="auto"/>
        <w:ind w:left="88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区外故障时不应误动，区内故障时应有足够的灵敏度；</w:t>
      </w:r>
    </w:p>
    <w:p w14:paraId="1B280417">
      <w:pPr>
        <w:spacing w:before="161" w:line="227" w:lineRule="auto"/>
        <w:ind w:left="87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w:t>
      </w:r>
      <w:r>
        <w:rPr>
          <w:rFonts w:ascii="宋体" w:hAnsi="宋体" w:eastAsia="宋体" w:cs="宋体"/>
          <w:color w:val="auto"/>
          <w:spacing w:val="10"/>
          <w:sz w:val="20"/>
          <w:szCs w:val="20"/>
          <w:highlight w:val="none"/>
        </w:rPr>
        <w:t xml:space="preserve">  </w:t>
      </w:r>
      <w:r>
        <w:rPr>
          <w:rFonts w:ascii="宋体" w:hAnsi="宋体" w:eastAsia="宋体" w:cs="宋体"/>
          <w:color w:val="auto"/>
          <w:spacing w:val="8"/>
          <w:sz w:val="20"/>
          <w:szCs w:val="20"/>
          <w:highlight w:val="none"/>
        </w:rPr>
        <w:t>保护装置采用电压型，发电机中性点侧有专用的电压互感器；</w:t>
      </w:r>
    </w:p>
    <w:p w14:paraId="18CDDEF3">
      <w:pPr>
        <w:spacing w:before="162" w:line="228" w:lineRule="auto"/>
        <w:ind w:left="87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w:t>
      </w:r>
      <w:r>
        <w:rPr>
          <w:rFonts w:ascii="宋体" w:hAnsi="宋体" w:eastAsia="宋体" w:cs="宋体"/>
          <w:color w:val="auto"/>
          <w:spacing w:val="6"/>
          <w:sz w:val="20"/>
          <w:szCs w:val="20"/>
          <w:highlight w:val="none"/>
        </w:rPr>
        <w:t xml:space="preserve">  </w:t>
      </w:r>
      <w:r>
        <w:rPr>
          <w:rFonts w:ascii="宋体" w:hAnsi="宋体" w:eastAsia="宋体" w:cs="宋体"/>
          <w:color w:val="auto"/>
          <w:spacing w:val="7"/>
          <w:sz w:val="20"/>
          <w:szCs w:val="20"/>
          <w:highlight w:val="none"/>
        </w:rPr>
        <w:t>保护装置带有负序功率方向闭锁；</w:t>
      </w:r>
    </w:p>
    <w:p w14:paraId="230C6E82">
      <w:pPr>
        <w:spacing w:before="164" w:line="302" w:lineRule="auto"/>
        <w:ind w:left="877" w:right="13" w:hanging="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4)  时间整定值的准确度（1.5</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倍整定值时</w:t>
      </w:r>
      <w:r>
        <w:rPr>
          <w:rFonts w:ascii="宋体" w:hAnsi="宋体" w:eastAsia="宋体" w:cs="宋体"/>
          <w:color w:val="auto"/>
          <w:spacing w:val="-41"/>
          <w:sz w:val="20"/>
          <w:szCs w:val="20"/>
          <w:highlight w:val="none"/>
        </w:rPr>
        <w:t>）：</w:t>
      </w:r>
      <w:r>
        <w:rPr>
          <w:rFonts w:ascii="宋体" w:hAnsi="宋体" w:eastAsia="宋体" w:cs="宋体"/>
          <w:color w:val="auto"/>
          <w:spacing w:val="6"/>
          <w:sz w:val="20"/>
          <w:szCs w:val="20"/>
          <w:highlight w:val="none"/>
        </w:rPr>
        <w:t>1%或</w:t>
      </w:r>
      <w:r>
        <w:rPr>
          <w:rFonts w:ascii="宋体" w:hAnsi="宋体" w:eastAsia="宋体" w:cs="宋体"/>
          <w:color w:val="auto"/>
          <w:spacing w:val="-32"/>
          <w:sz w:val="20"/>
          <w:szCs w:val="20"/>
          <w:highlight w:val="none"/>
        </w:rPr>
        <w:t xml:space="preserve"> </w:t>
      </w:r>
      <w:r>
        <w:rPr>
          <w:rFonts w:ascii="宋体" w:hAnsi="宋体" w:eastAsia="宋体" w:cs="宋体"/>
          <w:color w:val="auto"/>
          <w:spacing w:val="6"/>
          <w:sz w:val="20"/>
          <w:szCs w:val="20"/>
          <w:highlight w:val="none"/>
        </w:rPr>
        <w:t>70</w:t>
      </w:r>
      <w:r>
        <w:rPr>
          <w:rFonts w:ascii="宋体" w:hAnsi="宋体" w:eastAsia="宋体" w:cs="宋体"/>
          <w:color w:val="auto"/>
          <w:sz w:val="20"/>
          <w:szCs w:val="20"/>
          <w:highlight w:val="none"/>
        </w:rPr>
        <w:t>ms</w:t>
      </w:r>
      <w:r>
        <w:rPr>
          <w:rFonts w:ascii="宋体" w:hAnsi="宋体" w:eastAsia="宋体" w:cs="宋体"/>
          <w:color w:val="auto"/>
          <w:spacing w:val="-24"/>
          <w:sz w:val="20"/>
          <w:szCs w:val="20"/>
          <w:highlight w:val="none"/>
        </w:rPr>
        <w:t xml:space="preserve"> </w:t>
      </w:r>
      <w:r>
        <w:rPr>
          <w:rFonts w:ascii="宋体" w:hAnsi="宋体" w:eastAsia="宋体" w:cs="宋体"/>
          <w:color w:val="auto"/>
          <w:spacing w:val="6"/>
          <w:sz w:val="20"/>
          <w:szCs w:val="20"/>
          <w:highlight w:val="none"/>
        </w:rPr>
        <w:t>当电压互感</w:t>
      </w:r>
      <w:r>
        <w:rPr>
          <w:rFonts w:ascii="宋体" w:hAnsi="宋体" w:eastAsia="宋体" w:cs="宋体"/>
          <w:color w:val="auto"/>
          <w:spacing w:val="5"/>
          <w:sz w:val="20"/>
          <w:szCs w:val="20"/>
          <w:highlight w:val="none"/>
        </w:rPr>
        <w:t>器断线时装置</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不应误动并应发出断线信号；</w:t>
      </w:r>
    </w:p>
    <w:p w14:paraId="50FFABDA">
      <w:pPr>
        <w:spacing w:before="161" w:line="228" w:lineRule="auto"/>
        <w:ind w:left="878"/>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5)  整定值的准确度：5%或</w:t>
      </w:r>
      <w:r>
        <w:rPr>
          <w:rFonts w:ascii="宋体" w:hAnsi="宋体" w:eastAsia="宋体" w:cs="宋体"/>
          <w:color w:val="auto"/>
          <w:spacing w:val="-34"/>
          <w:sz w:val="20"/>
          <w:szCs w:val="20"/>
          <w:highlight w:val="none"/>
        </w:rPr>
        <w:t xml:space="preserve"> </w:t>
      </w:r>
      <w:r>
        <w:rPr>
          <w:rFonts w:ascii="宋体" w:hAnsi="宋体" w:eastAsia="宋体" w:cs="宋体"/>
          <w:color w:val="auto"/>
          <w:spacing w:val="5"/>
          <w:sz w:val="20"/>
          <w:szCs w:val="20"/>
          <w:highlight w:val="none"/>
        </w:rPr>
        <w:t>0.1V。</w:t>
      </w:r>
    </w:p>
    <w:p w14:paraId="7033507E">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21"/>
          <w:sz w:val="14"/>
          <w:szCs w:val="14"/>
          <w:highlight w:val="none"/>
        </w:rPr>
        <w:t>l</w:t>
      </w:r>
      <w:r>
        <w:rPr>
          <w:rFonts w:ascii="Wingdings" w:hAnsi="Wingdings" w:eastAsia="Wingdings" w:cs="Wingdings"/>
          <w:color w:val="auto"/>
          <w:spacing w:val="127"/>
          <w:sz w:val="14"/>
          <w:szCs w:val="14"/>
          <w:highlight w:val="none"/>
        </w:rPr>
        <w:t xml:space="preserve"> </w:t>
      </w:r>
      <w:r>
        <w:rPr>
          <w:rFonts w:ascii="宋体" w:hAnsi="宋体" w:eastAsia="宋体" w:cs="宋体"/>
          <w:b/>
          <w:bCs/>
          <w:color w:val="auto"/>
          <w:spacing w:val="21"/>
          <w:sz w:val="20"/>
          <w:szCs w:val="20"/>
          <w:highlight w:val="none"/>
        </w:rPr>
        <w:t>发电机转子接地保护</w:t>
      </w:r>
    </w:p>
    <w:p w14:paraId="72B676B6">
      <w:pPr>
        <w:spacing w:before="163" w:line="362" w:lineRule="auto"/>
        <w:ind w:left="591" w:right="16" w:firstLine="283"/>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发电机转子一点接地保护采用乒乓原理。第一时</w:t>
      </w:r>
      <w:r>
        <w:rPr>
          <w:rFonts w:ascii="宋体" w:hAnsi="宋体" w:eastAsia="宋体" w:cs="宋体"/>
          <w:color w:val="auto"/>
          <w:spacing w:val="12"/>
          <w:sz w:val="20"/>
          <w:szCs w:val="20"/>
          <w:highlight w:val="none"/>
        </w:rPr>
        <w:t>限动作于信号，第二时限动作于</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非电量保护跳闸方式</w:t>
      </w:r>
      <w:r>
        <w:rPr>
          <w:rFonts w:ascii="宋体" w:hAnsi="宋体" w:eastAsia="宋体" w:cs="宋体"/>
          <w:color w:val="auto"/>
          <w:spacing w:val="-50"/>
          <w:sz w:val="20"/>
          <w:szCs w:val="20"/>
          <w:highlight w:val="none"/>
        </w:rPr>
        <w:t xml:space="preserve"> </w:t>
      </w:r>
      <w:r>
        <w:rPr>
          <w:rFonts w:ascii="宋体" w:hAnsi="宋体" w:eastAsia="宋体" w:cs="宋体"/>
          <w:color w:val="auto"/>
          <w:spacing w:val="11"/>
          <w:sz w:val="20"/>
          <w:szCs w:val="20"/>
          <w:highlight w:val="none"/>
        </w:rPr>
        <w:t>。保护装置应具有以下主要功能及技</w:t>
      </w:r>
      <w:r>
        <w:rPr>
          <w:rFonts w:ascii="宋体" w:hAnsi="宋体" w:eastAsia="宋体" w:cs="宋体"/>
          <w:color w:val="auto"/>
          <w:spacing w:val="10"/>
          <w:sz w:val="20"/>
          <w:szCs w:val="20"/>
          <w:highlight w:val="none"/>
        </w:rPr>
        <w:t>术要求：</w:t>
      </w:r>
    </w:p>
    <w:p w14:paraId="048A14E0">
      <w:pPr>
        <w:spacing w:before="31" w:line="302" w:lineRule="auto"/>
        <w:ind w:left="1227" w:right="15" w:hanging="34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w:t>
      </w:r>
      <w:r>
        <w:rPr>
          <w:rFonts w:ascii="宋体" w:hAnsi="宋体" w:eastAsia="宋体" w:cs="宋体"/>
          <w:color w:val="auto"/>
          <w:spacing w:val="-36"/>
          <w:sz w:val="20"/>
          <w:szCs w:val="20"/>
          <w:highlight w:val="none"/>
        </w:rPr>
        <w:t xml:space="preserve"> </w:t>
      </w:r>
      <w:r>
        <w:rPr>
          <w:rFonts w:ascii="宋体" w:hAnsi="宋体" w:eastAsia="宋体" w:cs="宋体"/>
          <w:color w:val="auto"/>
          <w:spacing w:val="8"/>
          <w:sz w:val="20"/>
          <w:szCs w:val="20"/>
          <w:highlight w:val="none"/>
        </w:rPr>
        <w:t>应能适用于各种非旋转励磁方式的发电机励</w:t>
      </w:r>
      <w:r>
        <w:rPr>
          <w:rFonts w:ascii="宋体" w:hAnsi="宋体" w:eastAsia="宋体" w:cs="宋体"/>
          <w:color w:val="auto"/>
          <w:spacing w:val="7"/>
          <w:sz w:val="20"/>
          <w:szCs w:val="20"/>
          <w:highlight w:val="none"/>
        </w:rPr>
        <w:t>磁回路，不受转子回路对地分布电</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容及其他附加电容的影响；</w:t>
      </w:r>
    </w:p>
    <w:p w14:paraId="5D4B09B4">
      <w:pPr>
        <w:spacing w:before="162" w:line="228" w:lineRule="auto"/>
        <w:ind w:left="86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w:t>
      </w:r>
      <w:r>
        <w:rPr>
          <w:rFonts w:ascii="宋体" w:hAnsi="宋体" w:eastAsia="宋体" w:cs="宋体"/>
          <w:color w:val="auto"/>
          <w:spacing w:val="-33"/>
          <w:sz w:val="20"/>
          <w:szCs w:val="20"/>
          <w:highlight w:val="none"/>
        </w:rPr>
        <w:t xml:space="preserve"> </w:t>
      </w:r>
      <w:r>
        <w:rPr>
          <w:rFonts w:ascii="宋体" w:hAnsi="宋体" w:eastAsia="宋体" w:cs="宋体"/>
          <w:color w:val="auto"/>
          <w:spacing w:val="7"/>
          <w:sz w:val="20"/>
          <w:szCs w:val="20"/>
          <w:highlight w:val="none"/>
        </w:rPr>
        <w:t>应满足无励磁状态下的测量要求；</w:t>
      </w:r>
    </w:p>
    <w:p w14:paraId="11C5C41D">
      <w:pPr>
        <w:spacing w:before="161" w:line="302" w:lineRule="auto"/>
        <w:ind w:left="1228" w:right="15" w:hanging="36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w:t>
      </w:r>
      <w:r>
        <w:rPr>
          <w:rFonts w:ascii="宋体" w:hAnsi="宋体" w:eastAsia="宋体" w:cs="宋体"/>
          <w:color w:val="auto"/>
          <w:spacing w:val="-37"/>
          <w:sz w:val="20"/>
          <w:szCs w:val="20"/>
          <w:highlight w:val="none"/>
        </w:rPr>
        <w:t xml:space="preserve"> </w:t>
      </w:r>
      <w:r>
        <w:rPr>
          <w:rFonts w:ascii="宋体" w:hAnsi="宋体" w:eastAsia="宋体" w:cs="宋体"/>
          <w:color w:val="auto"/>
          <w:spacing w:val="8"/>
          <w:sz w:val="20"/>
          <w:szCs w:val="20"/>
          <w:highlight w:val="none"/>
        </w:rPr>
        <w:t>在同一整定值下，转子绕组不同地点发生一点接地时，其动作值误差为</w:t>
      </w:r>
      <w:r>
        <w:rPr>
          <w:rFonts w:ascii="宋体" w:hAnsi="宋体" w:eastAsia="宋体" w:cs="宋体"/>
          <w:color w:val="auto"/>
          <w:spacing w:val="7"/>
          <w:sz w:val="20"/>
          <w:szCs w:val="20"/>
          <w:highlight w:val="none"/>
        </w:rPr>
        <w:t>：当整</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定值为</w:t>
      </w:r>
      <w:r>
        <w:rPr>
          <w:rFonts w:ascii="宋体" w:hAnsi="宋体" w:eastAsia="宋体" w:cs="宋体"/>
          <w:color w:val="auto"/>
          <w:spacing w:val="-9"/>
          <w:sz w:val="20"/>
          <w:szCs w:val="20"/>
          <w:highlight w:val="none"/>
        </w:rPr>
        <w:t xml:space="preserve"> </w:t>
      </w:r>
      <w:r>
        <w:rPr>
          <w:rFonts w:ascii="宋体" w:hAnsi="宋体" w:eastAsia="宋体" w:cs="宋体"/>
          <w:color w:val="auto"/>
          <w:spacing w:val="1"/>
          <w:sz w:val="20"/>
          <w:szCs w:val="20"/>
          <w:highlight w:val="none"/>
        </w:rPr>
        <w:t>1k</w:t>
      </w:r>
      <w:r>
        <w:rPr>
          <w:rFonts w:ascii="宋体" w:hAnsi="宋体" w:eastAsia="宋体" w:cs="宋体"/>
          <w:color w:val="auto"/>
          <w:spacing w:val="-51"/>
          <w:sz w:val="20"/>
          <w:szCs w:val="20"/>
          <w:highlight w:val="none"/>
        </w:rPr>
        <w:t xml:space="preserve"> </w:t>
      </w:r>
      <w:r>
        <w:rPr>
          <w:rFonts w:ascii="宋体" w:hAnsi="宋体" w:eastAsia="宋体" w:cs="宋体"/>
          <w:color w:val="auto"/>
          <w:spacing w:val="1"/>
          <w:sz w:val="20"/>
          <w:szCs w:val="20"/>
          <w:highlight w:val="none"/>
        </w:rPr>
        <w:t>Ω~5 kΩ时允差±0.5 k</w:t>
      </w:r>
      <w:r>
        <w:rPr>
          <w:rFonts w:ascii="宋体" w:hAnsi="宋体" w:eastAsia="宋体" w:cs="宋体"/>
          <w:color w:val="auto"/>
          <w:spacing w:val="-49"/>
          <w:sz w:val="20"/>
          <w:szCs w:val="20"/>
          <w:highlight w:val="none"/>
        </w:rPr>
        <w:t xml:space="preserve"> </w:t>
      </w:r>
      <w:r>
        <w:rPr>
          <w:rFonts w:ascii="宋体" w:hAnsi="宋体" w:eastAsia="宋体" w:cs="宋体"/>
          <w:color w:val="auto"/>
          <w:spacing w:val="1"/>
          <w:sz w:val="20"/>
          <w:szCs w:val="20"/>
          <w:highlight w:val="none"/>
        </w:rPr>
        <w:t>Ω</w:t>
      </w:r>
      <w:r>
        <w:rPr>
          <w:rFonts w:ascii="宋体" w:hAnsi="宋体" w:eastAsia="宋体" w:cs="宋体"/>
          <w:color w:val="auto"/>
          <w:spacing w:val="-73"/>
          <w:sz w:val="20"/>
          <w:szCs w:val="20"/>
          <w:highlight w:val="none"/>
        </w:rPr>
        <w:t xml:space="preserve"> </w:t>
      </w:r>
      <w:r>
        <w:rPr>
          <w:rFonts w:ascii="宋体" w:hAnsi="宋体" w:eastAsia="宋体" w:cs="宋体"/>
          <w:color w:val="auto"/>
          <w:spacing w:val="1"/>
          <w:sz w:val="20"/>
          <w:szCs w:val="20"/>
          <w:highlight w:val="none"/>
        </w:rPr>
        <w:t>,</w:t>
      </w:r>
      <w:r>
        <w:rPr>
          <w:rFonts w:ascii="宋体" w:hAnsi="宋体" w:eastAsia="宋体" w:cs="宋体"/>
          <w:color w:val="auto"/>
          <w:spacing w:val="72"/>
          <w:sz w:val="20"/>
          <w:szCs w:val="20"/>
          <w:highlight w:val="none"/>
        </w:rPr>
        <w:t xml:space="preserve"> </w:t>
      </w:r>
      <w:r>
        <w:rPr>
          <w:rFonts w:ascii="宋体" w:hAnsi="宋体" w:eastAsia="宋体" w:cs="宋体"/>
          <w:color w:val="auto"/>
          <w:spacing w:val="1"/>
          <w:sz w:val="20"/>
          <w:szCs w:val="20"/>
          <w:highlight w:val="none"/>
        </w:rPr>
        <w:t>当整定值大于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
          <w:sz w:val="20"/>
          <w:szCs w:val="20"/>
          <w:highlight w:val="none"/>
        </w:rPr>
        <w:t>5 kΩ时允差±10%；</w:t>
      </w:r>
    </w:p>
    <w:p w14:paraId="7E168E94">
      <w:pPr>
        <w:spacing w:before="164" w:line="228" w:lineRule="auto"/>
        <w:ind w:left="863"/>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4）</w:t>
      </w:r>
      <w:r>
        <w:rPr>
          <w:rFonts w:ascii="宋体" w:hAnsi="宋体" w:eastAsia="宋体" w:cs="宋体"/>
          <w:color w:val="auto"/>
          <w:spacing w:val="-27"/>
          <w:sz w:val="20"/>
          <w:szCs w:val="20"/>
          <w:highlight w:val="none"/>
        </w:rPr>
        <w:t xml:space="preserve"> </w:t>
      </w:r>
      <w:r>
        <w:rPr>
          <w:rFonts w:ascii="宋体" w:hAnsi="宋体" w:eastAsia="宋体" w:cs="宋体"/>
          <w:color w:val="auto"/>
          <w:spacing w:val="3"/>
          <w:sz w:val="20"/>
          <w:szCs w:val="20"/>
          <w:highlight w:val="none"/>
        </w:rPr>
        <w:t>返回系数不大于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3"/>
          <w:sz w:val="20"/>
          <w:szCs w:val="20"/>
          <w:highlight w:val="none"/>
        </w:rPr>
        <w:t>1.3。</w:t>
      </w:r>
    </w:p>
    <w:p w14:paraId="4FFBF4D8">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发电机起停机保护</w:t>
      </w:r>
    </w:p>
    <w:p w14:paraId="1D15DE7A">
      <w:pPr>
        <w:spacing w:before="160" w:line="370" w:lineRule="auto"/>
        <w:ind w:left="587" w:right="35" w:firstLine="284"/>
        <w:jc w:val="both"/>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保护由反映相间短路的过电流保护和反映接地的零序电压保护构成</w:t>
      </w:r>
      <w:r>
        <w:rPr>
          <w:rFonts w:ascii="宋体" w:hAnsi="宋体" w:eastAsia="宋体" w:cs="宋体"/>
          <w:color w:val="auto"/>
          <w:spacing w:val="-33"/>
          <w:sz w:val="20"/>
          <w:szCs w:val="20"/>
          <w:highlight w:val="none"/>
        </w:rPr>
        <w:t xml:space="preserve"> </w:t>
      </w:r>
      <w:r>
        <w:rPr>
          <w:rFonts w:ascii="宋体" w:hAnsi="宋体" w:eastAsia="宋体" w:cs="宋体"/>
          <w:color w:val="auto"/>
          <w:spacing w:val="26"/>
          <w:sz w:val="20"/>
          <w:szCs w:val="20"/>
          <w:highlight w:val="none"/>
        </w:rPr>
        <w:t>。发-变</w:t>
      </w:r>
      <w:r>
        <w:rPr>
          <w:rFonts w:ascii="宋体" w:hAnsi="宋体" w:eastAsia="宋体" w:cs="宋体"/>
          <w:color w:val="auto"/>
          <w:sz w:val="20"/>
          <w:szCs w:val="20"/>
          <w:highlight w:val="none"/>
        </w:rPr>
        <w:t xml:space="preserve"> </w:t>
      </w:r>
      <w:r>
        <w:rPr>
          <w:rFonts w:ascii="宋体" w:hAnsi="宋体" w:eastAsia="宋体" w:cs="宋体"/>
          <w:color w:val="auto"/>
          <w:spacing w:val="25"/>
          <w:sz w:val="20"/>
          <w:szCs w:val="20"/>
          <w:highlight w:val="none"/>
        </w:rPr>
        <w:t>组断路器合闸后</w:t>
      </w:r>
      <w:r>
        <w:rPr>
          <w:rFonts w:ascii="宋体" w:hAnsi="宋体" w:eastAsia="宋体" w:cs="宋体"/>
          <w:color w:val="auto"/>
          <w:spacing w:val="-40"/>
          <w:sz w:val="20"/>
          <w:szCs w:val="20"/>
          <w:highlight w:val="none"/>
        </w:rPr>
        <w:t xml:space="preserve"> </w:t>
      </w:r>
      <w:r>
        <w:rPr>
          <w:rFonts w:ascii="宋体" w:hAnsi="宋体" w:eastAsia="宋体" w:cs="宋体"/>
          <w:color w:val="auto"/>
          <w:spacing w:val="25"/>
          <w:sz w:val="20"/>
          <w:szCs w:val="20"/>
          <w:highlight w:val="none"/>
        </w:rPr>
        <w:t>，该保护退出。若保护装置的动作特性及保护灵敏度不受交流</w:t>
      </w:r>
      <w:r>
        <w:rPr>
          <w:rFonts w:ascii="宋体" w:hAnsi="宋体" w:eastAsia="宋体" w:cs="宋体"/>
          <w:color w:val="auto"/>
          <w:sz w:val="20"/>
          <w:szCs w:val="20"/>
          <w:highlight w:val="none"/>
        </w:rPr>
        <w:t xml:space="preserve"> </w:t>
      </w:r>
      <w:r>
        <w:rPr>
          <w:rFonts w:ascii="宋体" w:hAnsi="宋体" w:eastAsia="宋体" w:cs="宋体"/>
          <w:color w:val="auto"/>
          <w:spacing w:val="24"/>
          <w:sz w:val="20"/>
          <w:szCs w:val="20"/>
          <w:highlight w:val="none"/>
        </w:rPr>
        <w:t>输入量的频率变化影响</w:t>
      </w:r>
      <w:r>
        <w:rPr>
          <w:rFonts w:ascii="宋体" w:hAnsi="宋体" w:eastAsia="宋体" w:cs="宋体"/>
          <w:color w:val="auto"/>
          <w:spacing w:val="-53"/>
          <w:sz w:val="20"/>
          <w:szCs w:val="20"/>
          <w:highlight w:val="none"/>
        </w:rPr>
        <w:t xml:space="preserve"> </w:t>
      </w:r>
      <w:r>
        <w:rPr>
          <w:rFonts w:ascii="宋体" w:hAnsi="宋体" w:eastAsia="宋体" w:cs="宋体"/>
          <w:color w:val="auto"/>
          <w:spacing w:val="24"/>
          <w:sz w:val="20"/>
          <w:szCs w:val="20"/>
          <w:highlight w:val="none"/>
        </w:rPr>
        <w:t>，特别是在机组起动时的低频状态下</w:t>
      </w:r>
      <w:r>
        <w:rPr>
          <w:rFonts w:ascii="宋体" w:hAnsi="宋体" w:eastAsia="宋体" w:cs="宋体"/>
          <w:color w:val="auto"/>
          <w:spacing w:val="-53"/>
          <w:sz w:val="20"/>
          <w:szCs w:val="20"/>
          <w:highlight w:val="none"/>
        </w:rPr>
        <w:t xml:space="preserve"> </w:t>
      </w:r>
      <w:r>
        <w:rPr>
          <w:rFonts w:ascii="宋体" w:hAnsi="宋体" w:eastAsia="宋体" w:cs="宋体"/>
          <w:color w:val="auto"/>
          <w:spacing w:val="24"/>
          <w:sz w:val="20"/>
          <w:szCs w:val="20"/>
          <w:highlight w:val="none"/>
        </w:rPr>
        <w:t>，则也可不设起停</w:t>
      </w:r>
      <w:r>
        <w:rPr>
          <w:rFonts w:ascii="宋体" w:hAnsi="宋体" w:eastAsia="宋体" w:cs="宋体"/>
          <w:color w:val="auto"/>
          <w:sz w:val="20"/>
          <w:szCs w:val="20"/>
          <w:highlight w:val="none"/>
        </w:rPr>
        <w:t xml:space="preserve"> </w:t>
      </w:r>
      <w:r>
        <w:rPr>
          <w:rFonts w:ascii="宋体" w:hAnsi="宋体" w:eastAsia="宋体" w:cs="宋体"/>
          <w:color w:val="auto"/>
          <w:spacing w:val="23"/>
          <w:sz w:val="20"/>
          <w:szCs w:val="20"/>
          <w:highlight w:val="none"/>
        </w:rPr>
        <w:t>机保护</w:t>
      </w:r>
      <w:r>
        <w:rPr>
          <w:rFonts w:ascii="宋体" w:hAnsi="宋体" w:eastAsia="宋体" w:cs="宋体"/>
          <w:color w:val="auto"/>
          <w:spacing w:val="-42"/>
          <w:sz w:val="20"/>
          <w:szCs w:val="20"/>
          <w:highlight w:val="none"/>
        </w:rPr>
        <w:t xml:space="preserve"> </w:t>
      </w:r>
      <w:r>
        <w:rPr>
          <w:rFonts w:ascii="宋体" w:hAnsi="宋体" w:eastAsia="宋体" w:cs="宋体"/>
          <w:color w:val="auto"/>
          <w:spacing w:val="23"/>
          <w:sz w:val="20"/>
          <w:szCs w:val="20"/>
          <w:highlight w:val="none"/>
        </w:rPr>
        <w:t>。其主要功能及技术要求如下：</w:t>
      </w:r>
    </w:p>
    <w:p w14:paraId="6C524414">
      <w:pPr>
        <w:spacing w:before="31" w:line="227" w:lineRule="auto"/>
        <w:ind w:left="88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w:t>
      </w:r>
      <w:r>
        <w:rPr>
          <w:rFonts w:ascii="宋体" w:hAnsi="宋体" w:eastAsia="宋体" w:cs="宋体"/>
          <w:color w:val="auto"/>
          <w:spacing w:val="70"/>
          <w:sz w:val="20"/>
          <w:szCs w:val="20"/>
          <w:highlight w:val="none"/>
        </w:rPr>
        <w:t xml:space="preserve"> </w:t>
      </w:r>
      <w:r>
        <w:rPr>
          <w:rFonts w:ascii="宋体" w:hAnsi="宋体" w:eastAsia="宋体" w:cs="宋体"/>
          <w:color w:val="auto"/>
          <w:spacing w:val="7"/>
          <w:sz w:val="20"/>
          <w:szCs w:val="20"/>
          <w:highlight w:val="none"/>
        </w:rPr>
        <w:t>发电机无励磁状态下定子绝缘降低检测功能；</w:t>
      </w:r>
    </w:p>
    <w:p w14:paraId="70991FCF">
      <w:pPr>
        <w:spacing w:before="162" w:line="228" w:lineRule="auto"/>
        <w:ind w:left="87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w:t>
      </w:r>
      <w:r>
        <w:rPr>
          <w:rFonts w:ascii="宋体" w:hAnsi="宋体" w:eastAsia="宋体" w:cs="宋体"/>
          <w:color w:val="auto"/>
          <w:spacing w:val="61"/>
          <w:sz w:val="20"/>
          <w:szCs w:val="20"/>
          <w:highlight w:val="none"/>
        </w:rPr>
        <w:t xml:space="preserve"> </w:t>
      </w:r>
      <w:r>
        <w:rPr>
          <w:rFonts w:ascii="宋体" w:hAnsi="宋体" w:eastAsia="宋体" w:cs="宋体"/>
          <w:color w:val="auto"/>
          <w:spacing w:val="7"/>
          <w:sz w:val="20"/>
          <w:szCs w:val="20"/>
          <w:highlight w:val="none"/>
        </w:rPr>
        <w:t>装置测量原理应与频率无关；</w:t>
      </w:r>
    </w:p>
    <w:p w14:paraId="4EE95B22">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w:t>
      </w:r>
      <w:r>
        <w:rPr>
          <w:rFonts w:ascii="宋体" w:hAnsi="宋体" w:eastAsia="宋体" w:cs="宋体"/>
          <w:color w:val="auto"/>
          <w:spacing w:val="68"/>
          <w:sz w:val="20"/>
          <w:szCs w:val="20"/>
          <w:highlight w:val="none"/>
        </w:rPr>
        <w:t xml:space="preserve"> </w:t>
      </w:r>
      <w:r>
        <w:rPr>
          <w:rFonts w:ascii="宋体" w:hAnsi="宋体" w:eastAsia="宋体" w:cs="宋体"/>
          <w:color w:val="auto"/>
          <w:spacing w:val="3"/>
          <w:sz w:val="20"/>
          <w:szCs w:val="20"/>
          <w:highlight w:val="none"/>
        </w:rPr>
        <w:t>时间整定值的准确度（</w:t>
      </w:r>
      <w:r>
        <w:rPr>
          <w:rFonts w:ascii="宋体" w:hAnsi="宋体" w:eastAsia="宋体" w:cs="宋体"/>
          <w:color w:val="auto"/>
          <w:spacing w:val="-44"/>
          <w:sz w:val="20"/>
          <w:szCs w:val="20"/>
          <w:highlight w:val="none"/>
        </w:rPr>
        <w:t xml:space="preserve"> </w:t>
      </w:r>
      <w:r>
        <w:rPr>
          <w:rFonts w:ascii="宋体" w:hAnsi="宋体" w:eastAsia="宋体" w:cs="宋体"/>
          <w:color w:val="auto"/>
          <w:spacing w:val="3"/>
          <w:sz w:val="20"/>
          <w:szCs w:val="20"/>
          <w:highlight w:val="none"/>
        </w:rPr>
        <w:t>1.5</w:t>
      </w:r>
      <w:r>
        <w:rPr>
          <w:rFonts w:ascii="宋体" w:hAnsi="宋体" w:eastAsia="宋体" w:cs="宋体"/>
          <w:color w:val="auto"/>
          <w:spacing w:val="-41"/>
          <w:sz w:val="20"/>
          <w:szCs w:val="20"/>
          <w:highlight w:val="none"/>
        </w:rPr>
        <w:t xml:space="preserve"> </w:t>
      </w:r>
      <w:r>
        <w:rPr>
          <w:rFonts w:ascii="宋体" w:hAnsi="宋体" w:eastAsia="宋体" w:cs="宋体"/>
          <w:color w:val="auto"/>
          <w:spacing w:val="3"/>
          <w:sz w:val="20"/>
          <w:szCs w:val="20"/>
          <w:highlight w:val="none"/>
        </w:rPr>
        <w:t>倍整定值时</w:t>
      </w:r>
      <w:r>
        <w:rPr>
          <w:rFonts w:ascii="宋体" w:hAnsi="宋体" w:eastAsia="宋体" w:cs="宋体"/>
          <w:color w:val="auto"/>
          <w:spacing w:val="-49"/>
          <w:sz w:val="20"/>
          <w:szCs w:val="20"/>
          <w:highlight w:val="none"/>
        </w:rPr>
        <w:t>）：</w:t>
      </w:r>
      <w:r>
        <w:rPr>
          <w:rFonts w:ascii="宋体" w:hAnsi="宋体" w:eastAsia="宋体" w:cs="宋体"/>
          <w:color w:val="auto"/>
          <w:spacing w:val="-52"/>
          <w:sz w:val="20"/>
          <w:szCs w:val="20"/>
          <w:highlight w:val="none"/>
        </w:rPr>
        <w:t xml:space="preserve"> </w:t>
      </w:r>
      <w:r>
        <w:rPr>
          <w:rFonts w:ascii="宋体" w:hAnsi="宋体" w:eastAsia="宋体" w:cs="宋体"/>
          <w:color w:val="auto"/>
          <w:spacing w:val="3"/>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3"/>
          <w:sz w:val="20"/>
          <w:szCs w:val="20"/>
          <w:highlight w:val="none"/>
        </w:rPr>
        <w:t>；</w:t>
      </w:r>
    </w:p>
    <w:p w14:paraId="03D0C312">
      <w:pPr>
        <w:spacing w:before="163" w:line="228" w:lineRule="auto"/>
        <w:ind w:left="87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w:t>
      </w:r>
      <w:r>
        <w:rPr>
          <w:rFonts w:ascii="宋体" w:hAnsi="宋体" w:eastAsia="宋体" w:cs="宋体"/>
          <w:color w:val="auto"/>
          <w:spacing w:val="62"/>
          <w:sz w:val="20"/>
          <w:szCs w:val="20"/>
          <w:highlight w:val="none"/>
        </w:rPr>
        <w:t xml:space="preserve"> </w:t>
      </w:r>
      <w:r>
        <w:rPr>
          <w:rFonts w:ascii="宋体" w:hAnsi="宋体" w:eastAsia="宋体" w:cs="宋体"/>
          <w:color w:val="auto"/>
          <w:spacing w:val="7"/>
          <w:sz w:val="20"/>
          <w:szCs w:val="20"/>
          <w:highlight w:val="none"/>
        </w:rPr>
        <w:t>工作频率范围：10</w:t>
      </w:r>
      <w:r>
        <w:rPr>
          <w:rFonts w:ascii="宋体" w:hAnsi="宋体" w:eastAsia="宋体" w:cs="宋体"/>
          <w:color w:val="auto"/>
          <w:sz w:val="20"/>
          <w:szCs w:val="20"/>
          <w:highlight w:val="none"/>
        </w:rPr>
        <w:t>Hz</w:t>
      </w:r>
      <w:r>
        <w:rPr>
          <w:rFonts w:ascii="宋体" w:hAnsi="宋体" w:eastAsia="宋体" w:cs="宋体"/>
          <w:color w:val="auto"/>
          <w:spacing w:val="7"/>
          <w:sz w:val="20"/>
          <w:szCs w:val="20"/>
          <w:highlight w:val="none"/>
        </w:rPr>
        <w:t>~55</w:t>
      </w:r>
      <w:r>
        <w:rPr>
          <w:rFonts w:ascii="宋体" w:hAnsi="宋体" w:eastAsia="宋体" w:cs="宋体"/>
          <w:color w:val="auto"/>
          <w:sz w:val="20"/>
          <w:szCs w:val="20"/>
          <w:highlight w:val="none"/>
        </w:rPr>
        <w:t>Hz</w:t>
      </w:r>
      <w:r>
        <w:rPr>
          <w:rFonts w:ascii="宋体" w:hAnsi="宋体" w:eastAsia="宋体" w:cs="宋体"/>
          <w:color w:val="auto"/>
          <w:spacing w:val="7"/>
          <w:sz w:val="20"/>
          <w:szCs w:val="20"/>
          <w:highlight w:val="none"/>
        </w:rPr>
        <w:t>；</w:t>
      </w:r>
    </w:p>
    <w:p w14:paraId="40DA8CFA">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5)</w:t>
      </w:r>
      <w:r>
        <w:rPr>
          <w:rFonts w:ascii="宋体" w:hAnsi="宋体" w:eastAsia="宋体" w:cs="宋体"/>
          <w:color w:val="auto"/>
          <w:spacing w:val="68"/>
          <w:sz w:val="20"/>
          <w:szCs w:val="20"/>
          <w:highlight w:val="none"/>
        </w:rPr>
        <w:t xml:space="preserve"> </w:t>
      </w:r>
      <w:r>
        <w:rPr>
          <w:rFonts w:ascii="宋体" w:hAnsi="宋体" w:eastAsia="宋体" w:cs="宋体"/>
          <w:color w:val="auto"/>
          <w:spacing w:val="5"/>
          <w:sz w:val="20"/>
          <w:szCs w:val="20"/>
          <w:highlight w:val="none"/>
        </w:rPr>
        <w:t>整定值的准确度：5%或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0.1V。</w:t>
      </w:r>
    </w:p>
    <w:p w14:paraId="3BD65F14">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1"/>
          <w:sz w:val="14"/>
          <w:szCs w:val="14"/>
          <w:highlight w:val="none"/>
        </w:rPr>
        <w:t>l</w:t>
      </w:r>
      <w:r>
        <w:rPr>
          <w:rFonts w:ascii="Wingdings" w:hAnsi="Wingdings" w:eastAsia="Wingdings" w:cs="Wingdings"/>
          <w:color w:val="auto"/>
          <w:spacing w:val="131"/>
          <w:sz w:val="14"/>
          <w:szCs w:val="14"/>
          <w:highlight w:val="none"/>
        </w:rPr>
        <w:t xml:space="preserve"> </w:t>
      </w:r>
      <w:r>
        <w:rPr>
          <w:rFonts w:ascii="宋体" w:hAnsi="宋体" w:eastAsia="宋体" w:cs="宋体"/>
          <w:b/>
          <w:bCs/>
          <w:color w:val="auto"/>
          <w:spacing w:val="1"/>
          <w:sz w:val="20"/>
          <w:szCs w:val="20"/>
          <w:highlight w:val="none"/>
        </w:rPr>
        <w:t>阻抗保护</w:t>
      </w:r>
    </w:p>
    <w:p w14:paraId="555CB4B9">
      <w:pPr>
        <w:spacing w:before="159" w:line="364" w:lineRule="auto"/>
        <w:ind w:left="591" w:right="35" w:firstLine="293"/>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阻抗保护作为发电机和主变的后备保护</w:t>
      </w:r>
      <w:r>
        <w:rPr>
          <w:rFonts w:ascii="宋体" w:hAnsi="宋体" w:eastAsia="宋体" w:cs="宋体"/>
          <w:color w:val="auto"/>
          <w:spacing w:val="-56"/>
          <w:sz w:val="20"/>
          <w:szCs w:val="20"/>
          <w:highlight w:val="none"/>
        </w:rPr>
        <w:t xml:space="preserve"> </w:t>
      </w:r>
      <w:r>
        <w:rPr>
          <w:rFonts w:ascii="宋体" w:hAnsi="宋体" w:eastAsia="宋体" w:cs="宋体"/>
          <w:color w:val="auto"/>
          <w:spacing w:val="26"/>
          <w:sz w:val="20"/>
          <w:szCs w:val="20"/>
          <w:highlight w:val="none"/>
        </w:rPr>
        <w:t>，保护取接于发电机引</w:t>
      </w:r>
      <w:r>
        <w:rPr>
          <w:rFonts w:ascii="宋体" w:hAnsi="宋体" w:eastAsia="宋体" w:cs="宋体"/>
          <w:color w:val="auto"/>
          <w:spacing w:val="25"/>
          <w:sz w:val="20"/>
          <w:szCs w:val="20"/>
          <w:highlight w:val="none"/>
        </w:rPr>
        <w:t>线侧点</w:t>
      </w:r>
      <w:r>
        <w:rPr>
          <w:rFonts w:ascii="宋体" w:hAnsi="宋体" w:eastAsia="宋体" w:cs="宋体"/>
          <w:color w:val="auto"/>
          <w:spacing w:val="-14"/>
          <w:sz w:val="20"/>
          <w:szCs w:val="20"/>
          <w:highlight w:val="none"/>
        </w:rPr>
        <w:t xml:space="preserve"> </w:t>
      </w:r>
      <w:r>
        <w:rPr>
          <w:rFonts w:ascii="宋体" w:hAnsi="宋体" w:eastAsia="宋体" w:cs="宋体"/>
          <w:color w:val="auto"/>
          <w:sz w:val="20"/>
          <w:szCs w:val="20"/>
          <w:highlight w:val="none"/>
        </w:rPr>
        <w:t>CT</w:t>
      </w:r>
      <w:r>
        <w:rPr>
          <w:rFonts w:ascii="宋体" w:hAnsi="宋体" w:eastAsia="宋体" w:cs="宋体"/>
          <w:color w:val="auto"/>
          <w:spacing w:val="-20"/>
          <w:sz w:val="20"/>
          <w:szCs w:val="20"/>
          <w:highlight w:val="none"/>
        </w:rPr>
        <w:t xml:space="preserve"> </w:t>
      </w:r>
      <w:r>
        <w:rPr>
          <w:rFonts w:ascii="宋体" w:hAnsi="宋体" w:eastAsia="宋体" w:cs="宋体"/>
          <w:color w:val="auto"/>
          <w:spacing w:val="25"/>
          <w:sz w:val="20"/>
          <w:szCs w:val="20"/>
          <w:highlight w:val="none"/>
        </w:rPr>
        <w:t>及</w:t>
      </w:r>
      <w:r>
        <w:rPr>
          <w:rFonts w:ascii="宋体" w:hAnsi="宋体" w:eastAsia="宋体" w:cs="宋体"/>
          <w:color w:val="auto"/>
          <w:sz w:val="20"/>
          <w:szCs w:val="20"/>
          <w:highlight w:val="none"/>
        </w:rPr>
        <w:t xml:space="preserve"> </w:t>
      </w:r>
      <w:r>
        <w:rPr>
          <w:rFonts w:ascii="宋体" w:hAnsi="宋体" w:eastAsia="宋体" w:cs="宋体"/>
          <w:color w:val="auto"/>
          <w:spacing w:val="24"/>
          <w:sz w:val="20"/>
          <w:szCs w:val="20"/>
          <w:highlight w:val="none"/>
        </w:rPr>
        <w:t>发电机出口</w:t>
      </w:r>
      <w:r>
        <w:rPr>
          <w:rFonts w:ascii="宋体" w:hAnsi="宋体" w:eastAsia="宋体" w:cs="宋体"/>
          <w:color w:val="auto"/>
          <w:spacing w:val="-7"/>
          <w:sz w:val="20"/>
          <w:szCs w:val="20"/>
          <w:highlight w:val="none"/>
        </w:rPr>
        <w:t xml:space="preserve"> </w:t>
      </w:r>
      <w:r>
        <w:rPr>
          <w:rFonts w:ascii="宋体" w:hAnsi="宋体" w:eastAsia="宋体" w:cs="宋体"/>
          <w:color w:val="auto"/>
          <w:sz w:val="20"/>
          <w:szCs w:val="20"/>
          <w:highlight w:val="none"/>
        </w:rPr>
        <w:t>PT</w:t>
      </w:r>
      <w:r>
        <w:rPr>
          <w:rFonts w:ascii="宋体" w:hAnsi="宋体" w:eastAsia="宋体" w:cs="宋体"/>
          <w:color w:val="auto"/>
          <w:spacing w:val="-55"/>
          <w:sz w:val="20"/>
          <w:szCs w:val="20"/>
          <w:highlight w:val="none"/>
        </w:rPr>
        <w:t xml:space="preserve"> </w:t>
      </w:r>
      <w:r>
        <w:rPr>
          <w:rFonts w:ascii="宋体" w:hAnsi="宋体" w:eastAsia="宋体" w:cs="宋体"/>
          <w:color w:val="auto"/>
          <w:spacing w:val="24"/>
          <w:sz w:val="20"/>
          <w:szCs w:val="20"/>
          <w:highlight w:val="none"/>
        </w:rPr>
        <w:t>。其主要功能及技术要求如下：</w:t>
      </w:r>
    </w:p>
    <w:p w14:paraId="6351DB92">
      <w:pPr>
        <w:spacing w:before="30" w:line="228" w:lineRule="auto"/>
        <w:ind w:left="88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w:t>
      </w:r>
      <w:r>
        <w:rPr>
          <w:rFonts w:ascii="宋体" w:hAnsi="宋体" w:eastAsia="宋体" w:cs="宋体"/>
          <w:color w:val="auto"/>
          <w:spacing w:val="60"/>
          <w:sz w:val="20"/>
          <w:szCs w:val="20"/>
          <w:highlight w:val="none"/>
        </w:rPr>
        <w:t xml:space="preserve"> </w:t>
      </w:r>
      <w:r>
        <w:rPr>
          <w:rFonts w:ascii="宋体" w:hAnsi="宋体" w:eastAsia="宋体" w:cs="宋体"/>
          <w:color w:val="auto"/>
          <w:spacing w:val="8"/>
          <w:sz w:val="20"/>
          <w:szCs w:val="20"/>
          <w:highlight w:val="none"/>
        </w:rPr>
        <w:t>在电压互感器（</w:t>
      </w:r>
      <w:r>
        <w:rPr>
          <w:rFonts w:ascii="宋体" w:hAnsi="宋体" w:eastAsia="宋体" w:cs="宋体"/>
          <w:color w:val="auto"/>
          <w:sz w:val="20"/>
          <w:szCs w:val="20"/>
          <w:highlight w:val="none"/>
        </w:rPr>
        <w:t>TV</w:t>
      </w:r>
      <w:r>
        <w:rPr>
          <w:rFonts w:ascii="宋体" w:hAnsi="宋体" w:eastAsia="宋体" w:cs="宋体"/>
          <w:color w:val="auto"/>
          <w:spacing w:val="8"/>
          <w:sz w:val="20"/>
          <w:szCs w:val="20"/>
          <w:highlight w:val="none"/>
        </w:rPr>
        <w:t>）断线和电压切换时不应误动；</w:t>
      </w:r>
    </w:p>
    <w:p w14:paraId="3E8F4295">
      <w:pPr>
        <w:spacing w:before="162" w:line="228" w:lineRule="auto"/>
        <w:ind w:left="87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w:t>
      </w:r>
      <w:r>
        <w:rPr>
          <w:rFonts w:ascii="宋体" w:hAnsi="宋体" w:eastAsia="宋体" w:cs="宋体"/>
          <w:color w:val="auto"/>
          <w:spacing w:val="67"/>
          <w:sz w:val="20"/>
          <w:szCs w:val="20"/>
          <w:highlight w:val="none"/>
        </w:rPr>
        <w:t xml:space="preserve"> </w:t>
      </w:r>
      <w:r>
        <w:rPr>
          <w:rFonts w:ascii="宋体" w:hAnsi="宋体" w:eastAsia="宋体" w:cs="宋体"/>
          <w:color w:val="auto"/>
          <w:spacing w:val="7"/>
          <w:sz w:val="20"/>
          <w:szCs w:val="20"/>
          <w:highlight w:val="none"/>
        </w:rPr>
        <w:t>具有电流或电流突变量启动功能；</w:t>
      </w:r>
    </w:p>
    <w:p w14:paraId="63EFBC44">
      <w:pPr>
        <w:spacing w:line="228"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6865876D">
      <w:pPr>
        <w:spacing w:before="41" w:line="228" w:lineRule="auto"/>
        <w:ind w:left="87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w:t>
      </w:r>
      <w:r>
        <w:rPr>
          <w:rFonts w:ascii="宋体" w:hAnsi="宋体" w:eastAsia="宋体" w:cs="宋体"/>
          <w:color w:val="auto"/>
          <w:spacing w:val="77"/>
          <w:sz w:val="20"/>
          <w:szCs w:val="20"/>
          <w:highlight w:val="none"/>
        </w:rPr>
        <w:t xml:space="preserve"> </w:t>
      </w:r>
      <w:r>
        <w:rPr>
          <w:rFonts w:ascii="宋体" w:hAnsi="宋体" w:eastAsia="宋体" w:cs="宋体"/>
          <w:color w:val="auto"/>
          <w:spacing w:val="7"/>
          <w:sz w:val="20"/>
          <w:szCs w:val="20"/>
          <w:highlight w:val="none"/>
        </w:rPr>
        <w:t>具有偏移特征，正反向阻抗均可分别整定；</w:t>
      </w:r>
    </w:p>
    <w:p w14:paraId="17F4AEAB">
      <w:pPr>
        <w:spacing w:before="161" w:line="228" w:lineRule="auto"/>
        <w:ind w:left="871"/>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4)</w:t>
      </w:r>
      <w:r>
        <w:rPr>
          <w:rFonts w:ascii="宋体" w:hAnsi="宋体" w:eastAsia="宋体" w:cs="宋体"/>
          <w:color w:val="auto"/>
          <w:spacing w:val="60"/>
          <w:sz w:val="20"/>
          <w:szCs w:val="20"/>
          <w:highlight w:val="none"/>
        </w:rPr>
        <w:t xml:space="preserve"> </w:t>
      </w:r>
      <w:r>
        <w:rPr>
          <w:rFonts w:ascii="宋体" w:hAnsi="宋体" w:eastAsia="宋体" w:cs="宋体"/>
          <w:color w:val="auto"/>
          <w:spacing w:val="4"/>
          <w:sz w:val="20"/>
          <w:szCs w:val="20"/>
          <w:highlight w:val="none"/>
        </w:rPr>
        <w:t>返回系数不大于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4"/>
          <w:sz w:val="20"/>
          <w:szCs w:val="20"/>
          <w:highlight w:val="none"/>
        </w:rPr>
        <w:t>1.1；</w:t>
      </w:r>
    </w:p>
    <w:p w14:paraId="15B5412C">
      <w:pPr>
        <w:spacing w:before="163" w:line="228" w:lineRule="auto"/>
        <w:ind w:left="87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5)</w:t>
      </w:r>
      <w:r>
        <w:rPr>
          <w:rFonts w:ascii="宋体" w:hAnsi="宋体" w:eastAsia="宋体" w:cs="宋体"/>
          <w:color w:val="auto"/>
          <w:spacing w:val="68"/>
          <w:sz w:val="20"/>
          <w:szCs w:val="20"/>
          <w:highlight w:val="none"/>
        </w:rPr>
        <w:t xml:space="preserve"> </w:t>
      </w:r>
      <w:r>
        <w:rPr>
          <w:rFonts w:ascii="宋体" w:hAnsi="宋体" w:eastAsia="宋体" w:cs="宋体"/>
          <w:color w:val="auto"/>
          <w:spacing w:val="5"/>
          <w:sz w:val="20"/>
          <w:szCs w:val="20"/>
          <w:highlight w:val="none"/>
        </w:rPr>
        <w:t>时间整定的准确度（0.8</w:t>
      </w:r>
      <w:r>
        <w:rPr>
          <w:rFonts w:ascii="宋体" w:hAnsi="宋体" w:eastAsia="宋体" w:cs="宋体"/>
          <w:color w:val="auto"/>
          <w:spacing w:val="-41"/>
          <w:sz w:val="20"/>
          <w:szCs w:val="20"/>
          <w:highlight w:val="none"/>
        </w:rPr>
        <w:t xml:space="preserve"> </w:t>
      </w:r>
      <w:r>
        <w:rPr>
          <w:rFonts w:ascii="宋体" w:hAnsi="宋体" w:eastAsia="宋体" w:cs="宋体"/>
          <w:color w:val="auto"/>
          <w:spacing w:val="5"/>
          <w:sz w:val="20"/>
          <w:szCs w:val="20"/>
          <w:highlight w:val="none"/>
        </w:rPr>
        <w:t>倍整定值</w:t>
      </w:r>
      <w:r>
        <w:rPr>
          <w:rFonts w:ascii="宋体" w:hAnsi="宋体" w:eastAsia="宋体" w:cs="宋体"/>
          <w:color w:val="auto"/>
          <w:spacing w:val="-52"/>
          <w:sz w:val="20"/>
          <w:szCs w:val="20"/>
          <w:highlight w:val="none"/>
        </w:rPr>
        <w:t xml:space="preserve">）： </w:t>
      </w:r>
      <w:r>
        <w:rPr>
          <w:rFonts w:ascii="宋体" w:hAnsi="宋体" w:eastAsia="宋体" w:cs="宋体"/>
          <w:color w:val="auto"/>
          <w:spacing w:val="5"/>
          <w:sz w:val="20"/>
          <w:szCs w:val="20"/>
          <w:highlight w:val="none"/>
        </w:rPr>
        <w:t>1%或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5"/>
          <w:sz w:val="20"/>
          <w:szCs w:val="20"/>
          <w:highlight w:val="none"/>
        </w:rPr>
        <w:t>；</w:t>
      </w:r>
    </w:p>
    <w:p w14:paraId="3CF47B64">
      <w:pPr>
        <w:spacing w:before="161" w:line="227" w:lineRule="auto"/>
        <w:ind w:left="87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6)</w:t>
      </w:r>
      <w:r>
        <w:rPr>
          <w:rFonts w:ascii="宋体" w:hAnsi="宋体" w:eastAsia="宋体" w:cs="宋体"/>
          <w:color w:val="auto"/>
          <w:spacing w:val="45"/>
          <w:sz w:val="20"/>
          <w:szCs w:val="20"/>
          <w:highlight w:val="none"/>
        </w:rPr>
        <w:t xml:space="preserve"> </w:t>
      </w:r>
      <w:r>
        <w:rPr>
          <w:rFonts w:ascii="宋体" w:hAnsi="宋体" w:eastAsia="宋体" w:cs="宋体"/>
          <w:color w:val="auto"/>
          <w:spacing w:val="6"/>
          <w:sz w:val="20"/>
          <w:szCs w:val="20"/>
          <w:highlight w:val="none"/>
        </w:rPr>
        <w:t>精确工作电流不大于</w:t>
      </w:r>
      <w:r>
        <w:rPr>
          <w:rFonts w:ascii="宋体" w:hAnsi="宋体" w:eastAsia="宋体" w:cs="宋体"/>
          <w:color w:val="auto"/>
          <w:spacing w:val="-37"/>
          <w:sz w:val="20"/>
          <w:szCs w:val="20"/>
          <w:highlight w:val="none"/>
        </w:rPr>
        <w:t xml:space="preserve"> </w:t>
      </w:r>
      <w:r>
        <w:rPr>
          <w:rFonts w:ascii="宋体" w:hAnsi="宋体" w:eastAsia="宋体" w:cs="宋体"/>
          <w:color w:val="auto"/>
          <w:spacing w:val="6"/>
          <w:sz w:val="20"/>
          <w:szCs w:val="20"/>
          <w:highlight w:val="none"/>
        </w:rPr>
        <w:t>0.1</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倍额定电流。</w:t>
      </w:r>
    </w:p>
    <w:p w14:paraId="6E135CBD">
      <w:pPr>
        <w:spacing w:before="16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22"/>
          <w:sz w:val="14"/>
          <w:szCs w:val="14"/>
          <w:highlight w:val="none"/>
        </w:rPr>
        <w:t xml:space="preserve"> </w:t>
      </w:r>
      <w:r>
        <w:rPr>
          <w:rFonts w:ascii="宋体" w:hAnsi="宋体" w:eastAsia="宋体" w:cs="宋体"/>
          <w:b/>
          <w:bCs/>
          <w:color w:val="auto"/>
          <w:spacing w:val="6"/>
          <w:sz w:val="20"/>
          <w:szCs w:val="20"/>
          <w:highlight w:val="none"/>
        </w:rPr>
        <w:t>复合电压闭锁过电流保护</w:t>
      </w:r>
    </w:p>
    <w:p w14:paraId="3D13430A">
      <w:pPr>
        <w:spacing w:before="158" w:line="364" w:lineRule="auto"/>
        <w:ind w:left="587" w:right="80" w:firstLine="378"/>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负序</w:t>
      </w:r>
      <w:r>
        <w:rPr>
          <w:rFonts w:ascii="宋体" w:hAnsi="宋体" w:eastAsia="宋体" w:cs="宋体"/>
          <w:color w:val="auto"/>
          <w:spacing w:val="-41"/>
          <w:sz w:val="20"/>
          <w:szCs w:val="20"/>
          <w:highlight w:val="none"/>
        </w:rPr>
        <w:t xml:space="preserve"> </w:t>
      </w:r>
      <w:r>
        <w:rPr>
          <w:rFonts w:ascii="宋体" w:hAnsi="宋体" w:eastAsia="宋体" w:cs="宋体"/>
          <w:color w:val="auto"/>
          <w:spacing w:val="16"/>
          <w:sz w:val="20"/>
          <w:szCs w:val="20"/>
          <w:highlight w:val="none"/>
        </w:rPr>
        <w:t>电压和正序</w:t>
      </w:r>
      <w:r>
        <w:rPr>
          <w:rFonts w:ascii="宋体" w:hAnsi="宋体" w:eastAsia="宋体" w:cs="宋体"/>
          <w:color w:val="auto"/>
          <w:spacing w:val="-46"/>
          <w:sz w:val="20"/>
          <w:szCs w:val="20"/>
          <w:highlight w:val="none"/>
        </w:rPr>
        <w:t xml:space="preserve"> </w:t>
      </w:r>
      <w:r>
        <w:rPr>
          <w:rFonts w:ascii="宋体" w:hAnsi="宋体" w:eastAsia="宋体" w:cs="宋体"/>
          <w:color w:val="auto"/>
          <w:spacing w:val="16"/>
          <w:sz w:val="20"/>
          <w:szCs w:val="20"/>
          <w:highlight w:val="none"/>
        </w:rPr>
        <w:t>电压</w:t>
      </w:r>
      <w:r>
        <w:rPr>
          <w:rFonts w:ascii="宋体" w:hAnsi="宋体" w:eastAsia="宋体" w:cs="宋体"/>
          <w:color w:val="auto"/>
          <w:spacing w:val="-50"/>
          <w:sz w:val="20"/>
          <w:szCs w:val="20"/>
          <w:highlight w:val="none"/>
        </w:rPr>
        <w:t xml:space="preserve"> </w:t>
      </w:r>
      <w:r>
        <w:rPr>
          <w:rFonts w:ascii="宋体" w:hAnsi="宋体" w:eastAsia="宋体" w:cs="宋体"/>
          <w:color w:val="auto"/>
          <w:spacing w:val="16"/>
          <w:sz w:val="20"/>
          <w:szCs w:val="20"/>
          <w:highlight w:val="none"/>
        </w:rPr>
        <w:t>闭锁的过流保护装置</w:t>
      </w:r>
      <w:r>
        <w:rPr>
          <w:rFonts w:ascii="宋体" w:hAnsi="宋体" w:eastAsia="宋体" w:cs="宋体"/>
          <w:color w:val="auto"/>
          <w:spacing w:val="-54"/>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38"/>
          <w:sz w:val="20"/>
          <w:szCs w:val="20"/>
          <w:highlight w:val="none"/>
        </w:rPr>
        <w:t xml:space="preserve"> </w:t>
      </w:r>
      <w:r>
        <w:rPr>
          <w:rFonts w:ascii="宋体" w:hAnsi="宋体" w:eastAsia="宋体" w:cs="宋体"/>
          <w:color w:val="auto"/>
          <w:spacing w:val="16"/>
          <w:sz w:val="20"/>
          <w:szCs w:val="20"/>
          <w:highlight w:val="none"/>
        </w:rPr>
        <w:t>由定时</w:t>
      </w:r>
      <w:r>
        <w:rPr>
          <w:rFonts w:ascii="宋体" w:hAnsi="宋体" w:eastAsia="宋体" w:cs="宋体"/>
          <w:color w:val="auto"/>
          <w:spacing w:val="-56"/>
          <w:sz w:val="20"/>
          <w:szCs w:val="20"/>
          <w:highlight w:val="none"/>
        </w:rPr>
        <w:t xml:space="preserve"> </w:t>
      </w:r>
      <w:r>
        <w:rPr>
          <w:rFonts w:ascii="宋体" w:hAnsi="宋体" w:eastAsia="宋体" w:cs="宋体"/>
          <w:color w:val="auto"/>
          <w:spacing w:val="16"/>
          <w:sz w:val="20"/>
          <w:szCs w:val="20"/>
          <w:highlight w:val="none"/>
        </w:rPr>
        <w:t>限特性构成</w:t>
      </w:r>
      <w:r>
        <w:rPr>
          <w:rFonts w:ascii="宋体" w:hAnsi="宋体" w:eastAsia="宋体" w:cs="宋体"/>
          <w:color w:val="auto"/>
          <w:spacing w:val="-50"/>
          <w:sz w:val="20"/>
          <w:szCs w:val="20"/>
          <w:highlight w:val="none"/>
        </w:rPr>
        <w:t xml:space="preserve"> </w:t>
      </w:r>
      <w:r>
        <w:rPr>
          <w:rFonts w:ascii="宋体" w:hAnsi="宋体" w:eastAsia="宋体" w:cs="宋体"/>
          <w:color w:val="auto"/>
          <w:spacing w:val="16"/>
          <w:sz w:val="20"/>
          <w:szCs w:val="20"/>
          <w:highlight w:val="none"/>
        </w:rPr>
        <w:t>。作为发</w:t>
      </w:r>
      <w:r>
        <w:rPr>
          <w:rFonts w:ascii="宋体" w:hAnsi="宋体" w:eastAsia="宋体" w:cs="宋体"/>
          <w:color w:val="auto"/>
          <w:spacing w:val="-46"/>
          <w:sz w:val="20"/>
          <w:szCs w:val="20"/>
          <w:highlight w:val="none"/>
        </w:rPr>
        <w:t xml:space="preserve"> </w:t>
      </w:r>
      <w:r>
        <w:rPr>
          <w:rFonts w:ascii="宋体" w:hAnsi="宋体" w:eastAsia="宋体" w:cs="宋体"/>
          <w:color w:val="auto"/>
          <w:spacing w:val="16"/>
          <w:sz w:val="20"/>
          <w:szCs w:val="20"/>
          <w:highlight w:val="none"/>
        </w:rPr>
        <w:t>电</w:t>
      </w:r>
      <w:r>
        <w:rPr>
          <w:rFonts w:ascii="宋体" w:hAnsi="宋体" w:eastAsia="宋体" w:cs="宋体"/>
          <w:color w:val="auto"/>
          <w:sz w:val="20"/>
          <w:szCs w:val="20"/>
          <w:highlight w:val="none"/>
        </w:rPr>
        <w:t xml:space="preserve"> </w:t>
      </w:r>
      <w:r>
        <w:rPr>
          <w:rFonts w:ascii="宋体" w:hAnsi="宋体" w:eastAsia="宋体" w:cs="宋体"/>
          <w:color w:val="auto"/>
          <w:spacing w:val="23"/>
          <w:sz w:val="20"/>
          <w:szCs w:val="20"/>
          <w:highlight w:val="none"/>
        </w:rPr>
        <w:t>机和主变相</w:t>
      </w:r>
      <w:r>
        <w:rPr>
          <w:rFonts w:ascii="宋体" w:hAnsi="宋体" w:eastAsia="宋体" w:cs="宋体"/>
          <w:color w:val="auto"/>
          <w:spacing w:val="-53"/>
          <w:sz w:val="20"/>
          <w:szCs w:val="20"/>
          <w:highlight w:val="none"/>
        </w:rPr>
        <w:t xml:space="preserve"> </w:t>
      </w:r>
      <w:r>
        <w:rPr>
          <w:rFonts w:ascii="宋体" w:hAnsi="宋体" w:eastAsia="宋体" w:cs="宋体"/>
          <w:color w:val="auto"/>
          <w:spacing w:val="23"/>
          <w:sz w:val="20"/>
          <w:szCs w:val="20"/>
          <w:highlight w:val="none"/>
        </w:rPr>
        <w:t>间短路故障</w:t>
      </w:r>
      <w:r>
        <w:rPr>
          <w:rFonts w:ascii="宋体" w:hAnsi="宋体" w:eastAsia="宋体" w:cs="宋体"/>
          <w:color w:val="auto"/>
          <w:spacing w:val="-53"/>
          <w:sz w:val="20"/>
          <w:szCs w:val="20"/>
          <w:highlight w:val="none"/>
        </w:rPr>
        <w:t xml:space="preserve"> </w:t>
      </w:r>
      <w:r>
        <w:rPr>
          <w:rFonts w:ascii="宋体" w:hAnsi="宋体" w:eastAsia="宋体" w:cs="宋体"/>
          <w:color w:val="auto"/>
          <w:spacing w:val="23"/>
          <w:sz w:val="20"/>
          <w:szCs w:val="20"/>
          <w:highlight w:val="none"/>
        </w:rPr>
        <w:t>的后备保护</w:t>
      </w:r>
      <w:r>
        <w:rPr>
          <w:rFonts w:ascii="宋体" w:hAnsi="宋体" w:eastAsia="宋体" w:cs="宋体"/>
          <w:color w:val="auto"/>
          <w:spacing w:val="-52"/>
          <w:sz w:val="20"/>
          <w:szCs w:val="20"/>
          <w:highlight w:val="none"/>
        </w:rPr>
        <w:t xml:space="preserve"> </w:t>
      </w:r>
      <w:r>
        <w:rPr>
          <w:rFonts w:ascii="宋体" w:hAnsi="宋体" w:eastAsia="宋体" w:cs="宋体"/>
          <w:color w:val="auto"/>
          <w:spacing w:val="23"/>
          <w:sz w:val="20"/>
          <w:szCs w:val="20"/>
          <w:highlight w:val="none"/>
        </w:rPr>
        <w:t>。其主要功能及技术要求如下：</w:t>
      </w:r>
    </w:p>
    <w:p w14:paraId="0C2E1800">
      <w:pPr>
        <w:spacing w:before="30" w:line="227" w:lineRule="auto"/>
        <w:ind w:right="27"/>
        <w:jc w:val="right"/>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w:t>
      </w:r>
      <w:r>
        <w:rPr>
          <w:rFonts w:ascii="宋体" w:hAnsi="宋体" w:eastAsia="宋体" w:cs="宋体"/>
          <w:color w:val="auto"/>
          <w:spacing w:val="93"/>
          <w:sz w:val="20"/>
          <w:szCs w:val="20"/>
          <w:highlight w:val="none"/>
        </w:rPr>
        <w:t xml:space="preserve"> </w:t>
      </w:r>
      <w:r>
        <w:rPr>
          <w:rFonts w:ascii="宋体" w:hAnsi="宋体" w:eastAsia="宋体" w:cs="宋体"/>
          <w:color w:val="auto"/>
          <w:spacing w:val="8"/>
          <w:sz w:val="20"/>
          <w:szCs w:val="20"/>
          <w:highlight w:val="none"/>
        </w:rPr>
        <w:t>自并励（无串联变压器）发电机宜采用</w:t>
      </w:r>
      <w:r>
        <w:rPr>
          <w:rFonts w:ascii="宋体" w:hAnsi="宋体" w:eastAsia="宋体" w:cs="宋体"/>
          <w:color w:val="auto"/>
          <w:spacing w:val="7"/>
          <w:sz w:val="20"/>
          <w:szCs w:val="20"/>
          <w:highlight w:val="none"/>
        </w:rPr>
        <w:t>带电流记忆（保持）的低压过流保护；</w:t>
      </w:r>
    </w:p>
    <w:p w14:paraId="2688CC45">
      <w:pPr>
        <w:spacing w:before="161" w:line="228" w:lineRule="auto"/>
        <w:ind w:left="874"/>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2)</w:t>
      </w:r>
      <w:r>
        <w:rPr>
          <w:rFonts w:ascii="宋体" w:hAnsi="宋体" w:eastAsia="宋体" w:cs="宋体"/>
          <w:color w:val="auto"/>
          <w:spacing w:val="59"/>
          <w:sz w:val="20"/>
          <w:szCs w:val="20"/>
          <w:highlight w:val="none"/>
        </w:rPr>
        <w:t xml:space="preserve"> </w:t>
      </w:r>
      <w:r>
        <w:rPr>
          <w:rFonts w:ascii="宋体" w:hAnsi="宋体" w:eastAsia="宋体" w:cs="宋体"/>
          <w:color w:val="auto"/>
          <w:spacing w:val="6"/>
          <w:sz w:val="20"/>
          <w:szCs w:val="20"/>
          <w:highlight w:val="none"/>
        </w:rPr>
        <w:t>返回系数：</w:t>
      </w:r>
      <w:r>
        <w:rPr>
          <w:rFonts w:ascii="宋体" w:hAnsi="宋体" w:eastAsia="宋体" w:cs="宋体"/>
          <w:color w:val="auto"/>
          <w:spacing w:val="-56"/>
          <w:sz w:val="20"/>
          <w:szCs w:val="20"/>
          <w:highlight w:val="none"/>
        </w:rPr>
        <w:t xml:space="preserve"> </w:t>
      </w:r>
      <w:r>
        <w:rPr>
          <w:rFonts w:ascii="宋体" w:hAnsi="宋体" w:eastAsia="宋体" w:cs="宋体"/>
          <w:color w:val="auto"/>
          <w:spacing w:val="6"/>
          <w:sz w:val="20"/>
          <w:szCs w:val="20"/>
          <w:highlight w:val="none"/>
        </w:rPr>
        <w:t>电流元件、负序电压不小于</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0.9，低电压元</w:t>
      </w:r>
      <w:r>
        <w:rPr>
          <w:rFonts w:ascii="宋体" w:hAnsi="宋体" w:eastAsia="宋体" w:cs="宋体"/>
          <w:color w:val="auto"/>
          <w:spacing w:val="5"/>
          <w:sz w:val="20"/>
          <w:szCs w:val="20"/>
          <w:highlight w:val="none"/>
        </w:rPr>
        <w:t>件不大于</w:t>
      </w:r>
      <w:r>
        <w:rPr>
          <w:rFonts w:ascii="宋体" w:hAnsi="宋体" w:eastAsia="宋体" w:cs="宋体"/>
          <w:color w:val="auto"/>
          <w:spacing w:val="-23"/>
          <w:sz w:val="20"/>
          <w:szCs w:val="20"/>
          <w:highlight w:val="none"/>
        </w:rPr>
        <w:t xml:space="preserve"> </w:t>
      </w:r>
      <w:r>
        <w:rPr>
          <w:rFonts w:ascii="宋体" w:hAnsi="宋体" w:eastAsia="宋体" w:cs="宋体"/>
          <w:color w:val="auto"/>
          <w:spacing w:val="5"/>
          <w:sz w:val="20"/>
          <w:szCs w:val="20"/>
          <w:highlight w:val="none"/>
        </w:rPr>
        <w:t>1.1；</w:t>
      </w:r>
    </w:p>
    <w:p w14:paraId="4C660D53">
      <w:pPr>
        <w:spacing w:before="161" w:line="228" w:lineRule="auto"/>
        <w:ind w:left="87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w:t>
      </w:r>
      <w:r>
        <w:rPr>
          <w:rFonts w:ascii="宋体" w:hAnsi="宋体" w:eastAsia="宋体" w:cs="宋体"/>
          <w:color w:val="auto"/>
          <w:spacing w:val="83"/>
          <w:sz w:val="20"/>
          <w:szCs w:val="20"/>
          <w:highlight w:val="none"/>
        </w:rPr>
        <w:t xml:space="preserve"> </w:t>
      </w:r>
      <w:r>
        <w:rPr>
          <w:rFonts w:ascii="宋体" w:hAnsi="宋体" w:eastAsia="宋体" w:cs="宋体"/>
          <w:color w:val="auto"/>
          <w:spacing w:val="7"/>
          <w:sz w:val="20"/>
          <w:szCs w:val="20"/>
          <w:highlight w:val="none"/>
        </w:rPr>
        <w:t>电流、负序电压整定值、电压整定值的准确度：2.5%或</w:t>
      </w:r>
      <w:r>
        <w:rPr>
          <w:rFonts w:ascii="宋体" w:hAnsi="宋体" w:eastAsia="宋体" w:cs="宋体"/>
          <w:color w:val="auto"/>
          <w:spacing w:val="-38"/>
          <w:sz w:val="20"/>
          <w:szCs w:val="20"/>
          <w:highlight w:val="none"/>
        </w:rPr>
        <w:t xml:space="preserve"> </w:t>
      </w:r>
      <w:r>
        <w:rPr>
          <w:rFonts w:ascii="宋体" w:hAnsi="宋体" w:eastAsia="宋体" w:cs="宋体"/>
          <w:color w:val="auto"/>
          <w:spacing w:val="7"/>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7"/>
          <w:sz w:val="20"/>
          <w:szCs w:val="20"/>
          <w:highlight w:val="none"/>
        </w:rPr>
        <w:t>、0.0</w:t>
      </w:r>
      <w:r>
        <w:rPr>
          <w:rFonts w:ascii="宋体" w:hAnsi="宋体" w:eastAsia="宋体" w:cs="宋体"/>
          <w:color w:val="auto"/>
          <w:spacing w:val="6"/>
          <w:sz w:val="20"/>
          <w:szCs w:val="20"/>
          <w:highlight w:val="none"/>
        </w:rPr>
        <w:t>1</w:t>
      </w:r>
      <w:r>
        <w:rPr>
          <w:rFonts w:ascii="宋体" w:hAnsi="宋体" w:eastAsia="宋体" w:cs="宋体"/>
          <w:color w:val="auto"/>
          <w:sz w:val="20"/>
          <w:szCs w:val="20"/>
          <w:highlight w:val="none"/>
        </w:rPr>
        <w:t>Un</w:t>
      </w:r>
      <w:r>
        <w:rPr>
          <w:rFonts w:ascii="宋体" w:hAnsi="宋体" w:eastAsia="宋体" w:cs="宋体"/>
          <w:color w:val="auto"/>
          <w:spacing w:val="6"/>
          <w:sz w:val="20"/>
          <w:szCs w:val="20"/>
          <w:highlight w:val="none"/>
        </w:rPr>
        <w:t>；</w:t>
      </w:r>
    </w:p>
    <w:p w14:paraId="0616BA07">
      <w:pPr>
        <w:spacing w:before="164" w:line="304" w:lineRule="auto"/>
        <w:ind w:left="1247" w:right="5" w:hanging="376"/>
        <w:rPr>
          <w:rFonts w:ascii="宋体" w:hAnsi="宋体" w:eastAsia="宋体" w:cs="宋体"/>
          <w:color w:val="auto"/>
          <w:sz w:val="20"/>
          <w:szCs w:val="20"/>
          <w:highlight w:val="none"/>
        </w:rPr>
      </w:pPr>
      <w:r>
        <w:rPr>
          <w:rFonts w:ascii="宋体" w:hAnsi="宋体" w:eastAsia="宋体" w:cs="宋体"/>
          <w:color w:val="auto"/>
          <w:sz w:val="20"/>
          <w:szCs w:val="20"/>
          <w:highlight w:val="none"/>
        </w:rPr>
        <w:t>4)</w:t>
      </w:r>
      <w:r>
        <w:rPr>
          <w:rFonts w:ascii="宋体" w:hAnsi="宋体" w:eastAsia="宋体" w:cs="宋体"/>
          <w:color w:val="auto"/>
          <w:spacing w:val="70"/>
          <w:sz w:val="20"/>
          <w:szCs w:val="20"/>
          <w:highlight w:val="none"/>
        </w:rPr>
        <w:t xml:space="preserve"> </w:t>
      </w:r>
      <w:r>
        <w:rPr>
          <w:rFonts w:ascii="宋体" w:hAnsi="宋体" w:eastAsia="宋体" w:cs="宋体"/>
          <w:color w:val="auto"/>
          <w:sz w:val="20"/>
          <w:szCs w:val="20"/>
          <w:highlight w:val="none"/>
        </w:rPr>
        <w:t>时间整定值的准确度（电流、负序电压</w:t>
      </w:r>
      <w:r>
        <w:rPr>
          <w:rFonts w:ascii="宋体" w:hAnsi="宋体" w:eastAsia="宋体" w:cs="宋体"/>
          <w:color w:val="auto"/>
          <w:spacing w:val="-23"/>
          <w:sz w:val="20"/>
          <w:szCs w:val="20"/>
          <w:highlight w:val="none"/>
        </w:rPr>
        <w:t xml:space="preserve"> </w:t>
      </w:r>
      <w:r>
        <w:rPr>
          <w:rFonts w:ascii="宋体" w:hAnsi="宋体" w:eastAsia="宋体" w:cs="宋体"/>
          <w:color w:val="auto"/>
          <w:sz w:val="20"/>
          <w:szCs w:val="20"/>
          <w:highlight w:val="none"/>
        </w:rPr>
        <w:t>1.5</w:t>
      </w:r>
      <w:r>
        <w:rPr>
          <w:rFonts w:ascii="宋体" w:hAnsi="宋体" w:eastAsia="宋体" w:cs="宋体"/>
          <w:color w:val="auto"/>
          <w:spacing w:val="-38"/>
          <w:sz w:val="20"/>
          <w:szCs w:val="20"/>
          <w:highlight w:val="none"/>
        </w:rPr>
        <w:t xml:space="preserve"> </w:t>
      </w:r>
      <w:r>
        <w:rPr>
          <w:rFonts w:ascii="宋体" w:hAnsi="宋体" w:eastAsia="宋体" w:cs="宋体"/>
          <w:color w:val="auto"/>
          <w:sz w:val="20"/>
          <w:szCs w:val="20"/>
          <w:highlight w:val="none"/>
        </w:rPr>
        <w:t>倍整定值、低电压</w:t>
      </w:r>
      <w:r>
        <w:rPr>
          <w:rFonts w:ascii="宋体" w:hAnsi="宋体" w:eastAsia="宋体" w:cs="宋体"/>
          <w:color w:val="auto"/>
          <w:spacing w:val="-38"/>
          <w:sz w:val="20"/>
          <w:szCs w:val="20"/>
          <w:highlight w:val="none"/>
        </w:rPr>
        <w:t xml:space="preserve"> </w:t>
      </w:r>
      <w:r>
        <w:rPr>
          <w:rFonts w:ascii="宋体" w:hAnsi="宋体" w:eastAsia="宋体" w:cs="宋体"/>
          <w:color w:val="auto"/>
          <w:sz w:val="20"/>
          <w:szCs w:val="20"/>
          <w:highlight w:val="none"/>
        </w:rPr>
        <w:t>0.8</w:t>
      </w:r>
      <w:r>
        <w:rPr>
          <w:rFonts w:ascii="宋体" w:hAnsi="宋体" w:eastAsia="宋体" w:cs="宋体"/>
          <w:color w:val="auto"/>
          <w:spacing w:val="-38"/>
          <w:sz w:val="20"/>
          <w:szCs w:val="20"/>
          <w:highlight w:val="none"/>
        </w:rPr>
        <w:t xml:space="preserve"> </w:t>
      </w:r>
      <w:r>
        <w:rPr>
          <w:rFonts w:ascii="宋体" w:hAnsi="宋体" w:eastAsia="宋体" w:cs="宋体"/>
          <w:color w:val="auto"/>
          <w:sz w:val="20"/>
          <w:szCs w:val="20"/>
          <w:highlight w:val="none"/>
        </w:rPr>
        <w:t>倍整定值时</w:t>
      </w:r>
      <w:r>
        <w:rPr>
          <w:rFonts w:ascii="宋体" w:hAnsi="宋体" w:eastAsia="宋体" w:cs="宋体"/>
          <w:color w:val="auto"/>
          <w:spacing w:val="-50"/>
          <w:w w:val="92"/>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1%或</w:t>
      </w:r>
      <w:r>
        <w:rPr>
          <w:rFonts w:ascii="宋体" w:hAnsi="宋体" w:eastAsia="宋体" w:cs="宋体"/>
          <w:color w:val="auto"/>
          <w:spacing w:val="-37"/>
          <w:sz w:val="20"/>
          <w:szCs w:val="20"/>
          <w:highlight w:val="none"/>
        </w:rPr>
        <w:t xml:space="preserve"> </w:t>
      </w:r>
      <w:r>
        <w:rPr>
          <w:rFonts w:ascii="宋体" w:hAnsi="宋体" w:eastAsia="宋体" w:cs="宋体"/>
          <w:color w:val="auto"/>
          <w:spacing w:val="1"/>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
          <w:sz w:val="20"/>
          <w:szCs w:val="20"/>
          <w:highlight w:val="none"/>
        </w:rPr>
        <w:t>。</w:t>
      </w:r>
    </w:p>
    <w:p w14:paraId="5C22822A">
      <w:pPr>
        <w:spacing w:before="157"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4"/>
          <w:sz w:val="14"/>
          <w:szCs w:val="14"/>
          <w:highlight w:val="none"/>
        </w:rPr>
        <w:t>l</w:t>
      </w:r>
      <w:r>
        <w:rPr>
          <w:rFonts w:ascii="Wingdings" w:hAnsi="Wingdings" w:eastAsia="Wingdings" w:cs="Wingdings"/>
          <w:color w:val="auto"/>
          <w:spacing w:val="119"/>
          <w:sz w:val="14"/>
          <w:szCs w:val="14"/>
          <w:highlight w:val="none"/>
        </w:rPr>
        <w:t xml:space="preserve"> </w:t>
      </w:r>
      <w:r>
        <w:rPr>
          <w:rFonts w:ascii="宋体" w:hAnsi="宋体" w:eastAsia="宋体" w:cs="宋体"/>
          <w:b/>
          <w:bCs/>
          <w:color w:val="auto"/>
          <w:spacing w:val="4"/>
          <w:sz w:val="20"/>
          <w:szCs w:val="20"/>
          <w:highlight w:val="none"/>
        </w:rPr>
        <w:t>误上电保护</w:t>
      </w:r>
    </w:p>
    <w:p w14:paraId="7A5EAEF9">
      <w:pPr>
        <w:spacing w:before="159" w:line="362" w:lineRule="auto"/>
        <w:ind w:left="591" w:right="80" w:firstLine="283"/>
        <w:rPr>
          <w:rFonts w:ascii="宋体" w:hAnsi="宋体" w:eastAsia="宋体" w:cs="宋体"/>
          <w:color w:val="auto"/>
          <w:sz w:val="20"/>
          <w:szCs w:val="20"/>
          <w:highlight w:val="none"/>
        </w:rPr>
      </w:pPr>
      <w:r>
        <w:rPr>
          <w:rFonts w:ascii="宋体" w:hAnsi="宋体" w:eastAsia="宋体" w:cs="宋体"/>
          <w:color w:val="auto"/>
          <w:spacing w:val="27"/>
          <w:sz w:val="20"/>
          <w:szCs w:val="20"/>
          <w:highlight w:val="none"/>
        </w:rPr>
        <w:t>发电机停机状态</w:t>
      </w:r>
      <w:r>
        <w:rPr>
          <w:rFonts w:ascii="宋体" w:hAnsi="宋体" w:eastAsia="宋体" w:cs="宋体"/>
          <w:color w:val="auto"/>
          <w:spacing w:val="-35"/>
          <w:sz w:val="20"/>
          <w:szCs w:val="20"/>
          <w:highlight w:val="none"/>
        </w:rPr>
        <w:t xml:space="preserve"> </w:t>
      </w:r>
      <w:r>
        <w:rPr>
          <w:rFonts w:ascii="宋体" w:hAnsi="宋体" w:eastAsia="宋体" w:cs="宋体"/>
          <w:color w:val="auto"/>
          <w:spacing w:val="27"/>
          <w:sz w:val="20"/>
          <w:szCs w:val="20"/>
          <w:highlight w:val="none"/>
        </w:rPr>
        <w:t>、盘车及并网前机组启动过程中误合闸时的保护</w:t>
      </w:r>
      <w:r>
        <w:rPr>
          <w:rFonts w:ascii="宋体" w:hAnsi="宋体" w:eastAsia="宋体" w:cs="宋体"/>
          <w:color w:val="auto"/>
          <w:spacing w:val="-48"/>
          <w:sz w:val="20"/>
          <w:szCs w:val="20"/>
          <w:highlight w:val="none"/>
        </w:rPr>
        <w:t xml:space="preserve"> </w:t>
      </w:r>
      <w:r>
        <w:rPr>
          <w:rFonts w:ascii="宋体" w:hAnsi="宋体" w:eastAsia="宋体" w:cs="宋体"/>
          <w:color w:val="auto"/>
          <w:spacing w:val="27"/>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27"/>
          <w:sz w:val="20"/>
          <w:szCs w:val="20"/>
          <w:highlight w:val="none"/>
        </w:rPr>
        <w:t>其主要</w:t>
      </w:r>
      <w:r>
        <w:rPr>
          <w:rFonts w:ascii="宋体" w:hAnsi="宋体" w:eastAsia="宋体" w:cs="宋体"/>
          <w:color w:val="auto"/>
          <w:sz w:val="20"/>
          <w:szCs w:val="20"/>
          <w:highlight w:val="none"/>
        </w:rPr>
        <w:t xml:space="preserve"> </w:t>
      </w:r>
      <w:r>
        <w:rPr>
          <w:rFonts w:ascii="宋体" w:hAnsi="宋体" w:eastAsia="宋体" w:cs="宋体"/>
          <w:color w:val="auto"/>
          <w:spacing w:val="23"/>
          <w:sz w:val="20"/>
          <w:szCs w:val="20"/>
          <w:highlight w:val="none"/>
        </w:rPr>
        <w:t>功能及技术要求如下：</w:t>
      </w:r>
    </w:p>
    <w:p w14:paraId="09BF65B3">
      <w:pPr>
        <w:spacing w:before="31" w:line="228" w:lineRule="auto"/>
        <w:ind w:left="817"/>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1）</w:t>
      </w:r>
      <w:r>
        <w:rPr>
          <w:rFonts w:ascii="宋体" w:hAnsi="宋体" w:eastAsia="宋体" w:cs="宋体"/>
          <w:color w:val="auto"/>
          <w:spacing w:val="-24"/>
          <w:sz w:val="20"/>
          <w:szCs w:val="20"/>
          <w:highlight w:val="none"/>
        </w:rPr>
        <w:t xml:space="preserve"> </w:t>
      </w:r>
      <w:r>
        <w:rPr>
          <w:rFonts w:ascii="宋体" w:hAnsi="宋体" w:eastAsia="宋体" w:cs="宋体"/>
          <w:color w:val="auto"/>
          <w:spacing w:val="11"/>
          <w:sz w:val="20"/>
          <w:szCs w:val="20"/>
          <w:highlight w:val="none"/>
        </w:rPr>
        <w:t>具有鉴别</w:t>
      </w:r>
      <w:r>
        <w:rPr>
          <w:rFonts w:ascii="宋体" w:hAnsi="宋体" w:eastAsia="宋体" w:cs="宋体"/>
          <w:color w:val="auto"/>
          <w:spacing w:val="-50"/>
          <w:sz w:val="20"/>
          <w:szCs w:val="20"/>
          <w:highlight w:val="none"/>
        </w:rPr>
        <w:t xml:space="preserve"> </w:t>
      </w:r>
      <w:r>
        <w:rPr>
          <w:rFonts w:ascii="宋体" w:hAnsi="宋体" w:eastAsia="宋体" w:cs="宋体"/>
          <w:color w:val="auto"/>
          <w:spacing w:val="11"/>
          <w:sz w:val="20"/>
          <w:szCs w:val="20"/>
          <w:highlight w:val="none"/>
        </w:rPr>
        <w:t>同期并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1"/>
          <w:sz w:val="20"/>
          <w:szCs w:val="20"/>
          <w:highlight w:val="none"/>
        </w:rPr>
        <w:t>网和误合</w:t>
      </w:r>
      <w:r>
        <w:rPr>
          <w:rFonts w:ascii="宋体" w:hAnsi="宋体" w:eastAsia="宋体" w:cs="宋体"/>
          <w:color w:val="auto"/>
          <w:spacing w:val="-52"/>
          <w:sz w:val="20"/>
          <w:szCs w:val="20"/>
          <w:highlight w:val="none"/>
        </w:rPr>
        <w:t xml:space="preserve"> </w:t>
      </w:r>
      <w:r>
        <w:rPr>
          <w:rFonts w:ascii="宋体" w:hAnsi="宋体" w:eastAsia="宋体" w:cs="宋体"/>
          <w:color w:val="auto"/>
          <w:spacing w:val="11"/>
          <w:sz w:val="20"/>
          <w:szCs w:val="20"/>
          <w:highlight w:val="none"/>
        </w:rPr>
        <w:t>闸</w:t>
      </w:r>
      <w:r>
        <w:rPr>
          <w:rFonts w:ascii="宋体" w:hAnsi="宋体" w:eastAsia="宋体" w:cs="宋体"/>
          <w:color w:val="auto"/>
          <w:spacing w:val="-53"/>
          <w:sz w:val="20"/>
          <w:szCs w:val="20"/>
          <w:highlight w:val="none"/>
        </w:rPr>
        <w:t xml:space="preserve"> </w:t>
      </w:r>
      <w:r>
        <w:rPr>
          <w:rFonts w:ascii="宋体" w:hAnsi="宋体" w:eastAsia="宋体" w:cs="宋体"/>
          <w:color w:val="auto"/>
          <w:spacing w:val="11"/>
          <w:sz w:val="20"/>
          <w:szCs w:val="20"/>
          <w:highlight w:val="none"/>
        </w:rPr>
        <w:t>的功能；</w:t>
      </w:r>
    </w:p>
    <w:p w14:paraId="470D7348">
      <w:pPr>
        <w:spacing w:before="164" w:line="228" w:lineRule="auto"/>
        <w:ind w:left="804"/>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2）</w:t>
      </w:r>
      <w:r>
        <w:rPr>
          <w:rFonts w:ascii="宋体" w:hAnsi="宋体" w:eastAsia="宋体" w:cs="宋体"/>
          <w:color w:val="auto"/>
          <w:spacing w:val="-27"/>
          <w:sz w:val="20"/>
          <w:szCs w:val="20"/>
          <w:highlight w:val="none"/>
        </w:rPr>
        <w:t xml:space="preserve"> </w:t>
      </w:r>
      <w:r>
        <w:rPr>
          <w:rFonts w:ascii="宋体" w:hAnsi="宋体" w:eastAsia="宋体" w:cs="宋体"/>
          <w:color w:val="auto"/>
          <w:spacing w:val="15"/>
          <w:sz w:val="20"/>
          <w:szCs w:val="20"/>
          <w:highlight w:val="none"/>
        </w:rPr>
        <w:t>具有正常并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5"/>
          <w:sz w:val="20"/>
          <w:szCs w:val="20"/>
          <w:highlight w:val="none"/>
        </w:rPr>
        <w:t>网（解列）</w:t>
      </w:r>
      <w:r>
        <w:rPr>
          <w:rFonts w:ascii="宋体" w:hAnsi="宋体" w:eastAsia="宋体" w:cs="宋体"/>
          <w:color w:val="auto"/>
          <w:spacing w:val="-41"/>
          <w:sz w:val="20"/>
          <w:szCs w:val="20"/>
          <w:highlight w:val="none"/>
        </w:rPr>
        <w:t xml:space="preserve"> </w:t>
      </w:r>
      <w:r>
        <w:rPr>
          <w:rFonts w:ascii="宋体" w:hAnsi="宋体" w:eastAsia="宋体" w:cs="宋体"/>
          <w:color w:val="auto"/>
          <w:spacing w:val="15"/>
          <w:sz w:val="20"/>
          <w:szCs w:val="20"/>
          <w:highlight w:val="none"/>
        </w:rPr>
        <w:t>后</w:t>
      </w:r>
      <w:r>
        <w:rPr>
          <w:rFonts w:ascii="宋体" w:hAnsi="宋体" w:eastAsia="宋体" w:cs="宋体"/>
          <w:color w:val="auto"/>
          <w:spacing w:val="-36"/>
          <w:sz w:val="20"/>
          <w:szCs w:val="20"/>
          <w:highlight w:val="none"/>
        </w:rPr>
        <w:t xml:space="preserve"> </w:t>
      </w:r>
      <w:r>
        <w:rPr>
          <w:rFonts w:ascii="宋体" w:hAnsi="宋体" w:eastAsia="宋体" w:cs="宋体"/>
          <w:color w:val="auto"/>
          <w:spacing w:val="15"/>
          <w:sz w:val="20"/>
          <w:szCs w:val="20"/>
          <w:highlight w:val="none"/>
        </w:rPr>
        <w:t>自动退</w:t>
      </w:r>
      <w:r>
        <w:rPr>
          <w:rFonts w:ascii="宋体" w:hAnsi="宋体" w:eastAsia="宋体" w:cs="宋体"/>
          <w:color w:val="auto"/>
          <w:spacing w:val="-52"/>
          <w:sz w:val="20"/>
          <w:szCs w:val="20"/>
          <w:highlight w:val="none"/>
        </w:rPr>
        <w:t xml:space="preserve"> </w:t>
      </w:r>
      <w:r>
        <w:rPr>
          <w:rFonts w:ascii="宋体" w:hAnsi="宋体" w:eastAsia="宋体" w:cs="宋体"/>
          <w:color w:val="auto"/>
          <w:spacing w:val="15"/>
          <w:sz w:val="20"/>
          <w:szCs w:val="20"/>
          <w:highlight w:val="none"/>
        </w:rPr>
        <w:t>出（投入</w:t>
      </w:r>
      <w:r>
        <w:rPr>
          <w:rFonts w:ascii="宋体" w:hAnsi="宋体" w:eastAsia="宋体" w:cs="宋体"/>
          <w:color w:val="auto"/>
          <w:spacing w:val="-49"/>
          <w:sz w:val="20"/>
          <w:szCs w:val="20"/>
          <w:highlight w:val="none"/>
        </w:rPr>
        <w:t xml:space="preserve"> </w:t>
      </w:r>
      <w:r>
        <w:rPr>
          <w:rFonts w:ascii="宋体" w:hAnsi="宋体" w:eastAsia="宋体" w:cs="宋体"/>
          <w:color w:val="auto"/>
          <w:spacing w:val="15"/>
          <w:sz w:val="20"/>
          <w:szCs w:val="20"/>
          <w:highlight w:val="none"/>
        </w:rPr>
        <w:t>）运行的功能；</w:t>
      </w:r>
    </w:p>
    <w:p w14:paraId="212BB53D">
      <w:pPr>
        <w:spacing w:before="161" w:line="228" w:lineRule="auto"/>
        <w:ind w:left="806"/>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3）</w:t>
      </w:r>
      <w:r>
        <w:rPr>
          <w:rFonts w:ascii="宋体" w:hAnsi="宋体" w:eastAsia="宋体" w:cs="宋体"/>
          <w:color w:val="auto"/>
          <w:spacing w:val="-31"/>
          <w:sz w:val="20"/>
          <w:szCs w:val="20"/>
          <w:highlight w:val="none"/>
        </w:rPr>
        <w:t xml:space="preserve"> </w:t>
      </w:r>
      <w:r>
        <w:rPr>
          <w:rFonts w:ascii="宋体" w:hAnsi="宋体" w:eastAsia="宋体" w:cs="宋体"/>
          <w:color w:val="auto"/>
          <w:spacing w:val="13"/>
          <w:sz w:val="20"/>
          <w:szCs w:val="20"/>
          <w:highlight w:val="none"/>
        </w:rPr>
        <w:t>整定值的准确度：</w:t>
      </w:r>
      <w:r>
        <w:rPr>
          <w:rFonts w:ascii="宋体" w:hAnsi="宋体" w:eastAsia="宋体" w:cs="宋体"/>
          <w:color w:val="auto"/>
          <w:spacing w:val="-36"/>
          <w:sz w:val="20"/>
          <w:szCs w:val="20"/>
          <w:highlight w:val="none"/>
        </w:rPr>
        <w:t xml:space="preserve"> </w:t>
      </w:r>
      <w:r>
        <w:rPr>
          <w:rFonts w:ascii="宋体" w:hAnsi="宋体" w:eastAsia="宋体" w:cs="宋体"/>
          <w:color w:val="auto"/>
          <w:spacing w:val="13"/>
          <w:sz w:val="20"/>
          <w:szCs w:val="20"/>
          <w:highlight w:val="none"/>
        </w:rPr>
        <w:t>5%；</w:t>
      </w:r>
    </w:p>
    <w:p w14:paraId="17BBF796">
      <w:pPr>
        <w:spacing w:before="161" w:line="228" w:lineRule="auto"/>
        <w:ind w:left="801"/>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4）</w:t>
      </w:r>
      <w:r>
        <w:rPr>
          <w:rFonts w:ascii="宋体" w:hAnsi="宋体" w:eastAsia="宋体" w:cs="宋体"/>
          <w:color w:val="auto"/>
          <w:spacing w:val="-24"/>
          <w:sz w:val="20"/>
          <w:szCs w:val="20"/>
          <w:highlight w:val="none"/>
        </w:rPr>
        <w:t xml:space="preserve"> </w:t>
      </w:r>
      <w:r>
        <w:rPr>
          <w:rFonts w:ascii="宋体" w:hAnsi="宋体" w:eastAsia="宋体" w:cs="宋体"/>
          <w:color w:val="auto"/>
          <w:spacing w:val="13"/>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3"/>
          <w:sz w:val="20"/>
          <w:szCs w:val="20"/>
          <w:highlight w:val="none"/>
        </w:rPr>
        <w:t>1.5</w:t>
      </w:r>
      <w:r>
        <w:rPr>
          <w:rFonts w:ascii="宋体" w:hAnsi="宋体" w:eastAsia="宋体" w:cs="宋体"/>
          <w:color w:val="auto"/>
          <w:spacing w:val="-18"/>
          <w:sz w:val="20"/>
          <w:szCs w:val="20"/>
          <w:highlight w:val="none"/>
        </w:rPr>
        <w:t xml:space="preserve"> </w:t>
      </w:r>
      <w:r>
        <w:rPr>
          <w:rFonts w:ascii="宋体" w:hAnsi="宋体" w:eastAsia="宋体" w:cs="宋体"/>
          <w:color w:val="auto"/>
          <w:spacing w:val="13"/>
          <w:sz w:val="20"/>
          <w:szCs w:val="20"/>
          <w:highlight w:val="none"/>
        </w:rPr>
        <w:t>倍整定值时</w:t>
      </w:r>
      <w:r>
        <w:rPr>
          <w:rFonts w:ascii="宋体" w:hAnsi="宋体" w:eastAsia="宋体" w:cs="宋体"/>
          <w:color w:val="auto"/>
          <w:spacing w:val="-53"/>
          <w:w w:val="98"/>
          <w:sz w:val="20"/>
          <w:szCs w:val="20"/>
          <w:highlight w:val="none"/>
        </w:rPr>
        <w:t>）：</w:t>
      </w:r>
      <w:r>
        <w:rPr>
          <w:rFonts w:ascii="宋体" w:hAnsi="宋体" w:eastAsia="宋体" w:cs="宋体"/>
          <w:color w:val="auto"/>
          <w:spacing w:val="-22"/>
          <w:sz w:val="20"/>
          <w:szCs w:val="20"/>
          <w:highlight w:val="none"/>
        </w:rPr>
        <w:t xml:space="preserve"> </w:t>
      </w:r>
      <w:r>
        <w:rPr>
          <w:rFonts w:ascii="宋体" w:hAnsi="宋体" w:eastAsia="宋体" w:cs="宋体"/>
          <w:color w:val="auto"/>
          <w:spacing w:val="13"/>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4</w:t>
      </w:r>
      <w:r>
        <w:rPr>
          <w:rFonts w:ascii="宋体" w:hAnsi="宋体" w:eastAsia="宋体" w:cs="宋体"/>
          <w:color w:val="auto"/>
          <w:spacing w:val="12"/>
          <w:sz w:val="20"/>
          <w:szCs w:val="20"/>
          <w:highlight w:val="none"/>
        </w:rPr>
        <w:t>0</w:t>
      </w:r>
      <w:r>
        <w:rPr>
          <w:rFonts w:ascii="宋体" w:hAnsi="宋体" w:eastAsia="宋体" w:cs="宋体"/>
          <w:color w:val="auto"/>
          <w:sz w:val="20"/>
          <w:szCs w:val="20"/>
          <w:highlight w:val="none"/>
        </w:rPr>
        <w:t>ms</w:t>
      </w:r>
      <w:r>
        <w:rPr>
          <w:rFonts w:ascii="宋体" w:hAnsi="宋体" w:eastAsia="宋体" w:cs="宋体"/>
          <w:color w:val="auto"/>
          <w:spacing w:val="12"/>
          <w:sz w:val="20"/>
          <w:szCs w:val="20"/>
          <w:highlight w:val="none"/>
        </w:rPr>
        <w:t>。</w:t>
      </w:r>
    </w:p>
    <w:p w14:paraId="6F2C0BFC">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3"/>
          <w:sz w:val="14"/>
          <w:szCs w:val="14"/>
          <w:highlight w:val="none"/>
        </w:rPr>
        <w:t>l</w:t>
      </w:r>
      <w:r>
        <w:rPr>
          <w:rFonts w:ascii="Wingdings" w:hAnsi="Wingdings" w:eastAsia="Wingdings" w:cs="Wingdings"/>
          <w:color w:val="auto"/>
          <w:spacing w:val="124"/>
          <w:sz w:val="14"/>
          <w:szCs w:val="14"/>
          <w:highlight w:val="none"/>
        </w:rPr>
        <w:t xml:space="preserve"> </w:t>
      </w:r>
      <w:r>
        <w:rPr>
          <w:rFonts w:ascii="宋体" w:hAnsi="宋体" w:eastAsia="宋体" w:cs="宋体"/>
          <w:b/>
          <w:bCs/>
          <w:color w:val="auto"/>
          <w:spacing w:val="3"/>
          <w:sz w:val="20"/>
          <w:szCs w:val="20"/>
          <w:highlight w:val="none"/>
        </w:rPr>
        <w:t>非电量保护</w:t>
      </w:r>
    </w:p>
    <w:p w14:paraId="63E55350">
      <w:pPr>
        <w:spacing w:before="161" w:line="367" w:lineRule="auto"/>
        <w:ind w:left="588" w:right="77" w:firstLine="285"/>
        <w:jc w:val="both"/>
        <w:rPr>
          <w:rFonts w:ascii="宋体" w:hAnsi="宋体" w:eastAsia="宋体" w:cs="宋体"/>
          <w:color w:val="auto"/>
          <w:sz w:val="20"/>
          <w:szCs w:val="20"/>
          <w:highlight w:val="none"/>
        </w:rPr>
      </w:pPr>
      <w:r>
        <w:rPr>
          <w:rFonts w:ascii="宋体" w:hAnsi="宋体" w:eastAsia="宋体" w:cs="宋体"/>
          <w:color w:val="auto"/>
          <w:spacing w:val="21"/>
          <w:sz w:val="20"/>
          <w:szCs w:val="20"/>
          <w:highlight w:val="none"/>
        </w:rPr>
        <w:t>各种非</w:t>
      </w:r>
      <w:r>
        <w:rPr>
          <w:rFonts w:ascii="宋体" w:hAnsi="宋体" w:eastAsia="宋体" w:cs="宋体"/>
          <w:color w:val="auto"/>
          <w:spacing w:val="-28"/>
          <w:sz w:val="20"/>
          <w:szCs w:val="20"/>
          <w:highlight w:val="none"/>
        </w:rPr>
        <w:t xml:space="preserve"> </w:t>
      </w:r>
      <w:r>
        <w:rPr>
          <w:rFonts w:ascii="宋体" w:hAnsi="宋体" w:eastAsia="宋体" w:cs="宋体"/>
          <w:color w:val="auto"/>
          <w:spacing w:val="21"/>
          <w:sz w:val="20"/>
          <w:szCs w:val="20"/>
          <w:highlight w:val="none"/>
        </w:rPr>
        <w:t>电量保护应具有投退压板</w:t>
      </w:r>
      <w:r>
        <w:rPr>
          <w:rFonts w:ascii="宋体" w:hAnsi="宋体" w:eastAsia="宋体" w:cs="宋体"/>
          <w:color w:val="auto"/>
          <w:spacing w:val="-46"/>
          <w:sz w:val="20"/>
          <w:szCs w:val="20"/>
          <w:highlight w:val="none"/>
        </w:rPr>
        <w:t xml:space="preserve"> </w:t>
      </w:r>
      <w:r>
        <w:rPr>
          <w:rFonts w:ascii="宋体" w:hAnsi="宋体" w:eastAsia="宋体" w:cs="宋体"/>
          <w:color w:val="auto"/>
          <w:spacing w:val="21"/>
          <w:sz w:val="20"/>
          <w:szCs w:val="20"/>
          <w:highlight w:val="none"/>
        </w:rPr>
        <w:t>。</w:t>
      </w:r>
      <w:r>
        <w:rPr>
          <w:rFonts w:ascii="宋体" w:hAnsi="宋体" w:eastAsia="宋体" w:cs="宋体"/>
          <w:color w:val="auto"/>
          <w:spacing w:val="-58"/>
          <w:sz w:val="20"/>
          <w:szCs w:val="20"/>
          <w:highlight w:val="none"/>
        </w:rPr>
        <w:t xml:space="preserve"> </w:t>
      </w:r>
      <w:r>
        <w:rPr>
          <w:rFonts w:ascii="宋体" w:hAnsi="宋体" w:eastAsia="宋体" w:cs="宋体"/>
          <w:color w:val="auto"/>
          <w:spacing w:val="21"/>
          <w:sz w:val="20"/>
          <w:szCs w:val="20"/>
          <w:highlight w:val="none"/>
        </w:rPr>
        <w:t>发</w:t>
      </w:r>
      <w:r>
        <w:rPr>
          <w:rFonts w:ascii="宋体" w:hAnsi="宋体" w:eastAsia="宋体" w:cs="宋体"/>
          <w:color w:val="auto"/>
          <w:spacing w:val="-44"/>
          <w:sz w:val="20"/>
          <w:szCs w:val="20"/>
          <w:highlight w:val="none"/>
        </w:rPr>
        <w:t xml:space="preserve"> </w:t>
      </w:r>
      <w:r>
        <w:rPr>
          <w:rFonts w:ascii="宋体" w:hAnsi="宋体" w:eastAsia="宋体" w:cs="宋体"/>
          <w:color w:val="auto"/>
          <w:spacing w:val="21"/>
          <w:sz w:val="20"/>
          <w:szCs w:val="20"/>
          <w:highlight w:val="none"/>
        </w:rPr>
        <w:t>电机非</w:t>
      </w:r>
      <w:r>
        <w:rPr>
          <w:rFonts w:ascii="宋体" w:hAnsi="宋体" w:eastAsia="宋体" w:cs="宋体"/>
          <w:color w:val="auto"/>
          <w:spacing w:val="-44"/>
          <w:sz w:val="20"/>
          <w:szCs w:val="20"/>
          <w:highlight w:val="none"/>
        </w:rPr>
        <w:t xml:space="preserve"> </w:t>
      </w:r>
      <w:r>
        <w:rPr>
          <w:rFonts w:ascii="宋体" w:hAnsi="宋体" w:eastAsia="宋体" w:cs="宋体"/>
          <w:color w:val="auto"/>
          <w:spacing w:val="21"/>
          <w:sz w:val="20"/>
          <w:szCs w:val="20"/>
          <w:highlight w:val="none"/>
        </w:rPr>
        <w:t>电量保护包括</w:t>
      </w:r>
      <w:r>
        <w:rPr>
          <w:rFonts w:ascii="宋体" w:hAnsi="宋体" w:eastAsia="宋体" w:cs="宋体"/>
          <w:color w:val="auto"/>
          <w:spacing w:val="-16"/>
          <w:sz w:val="20"/>
          <w:szCs w:val="20"/>
          <w:highlight w:val="none"/>
        </w:rPr>
        <w:t xml:space="preserve"> </w:t>
      </w:r>
      <w:r>
        <w:rPr>
          <w:rFonts w:ascii="宋体" w:hAnsi="宋体" w:eastAsia="宋体" w:cs="宋体"/>
          <w:color w:val="auto"/>
          <w:sz w:val="20"/>
          <w:szCs w:val="20"/>
          <w:highlight w:val="none"/>
        </w:rPr>
        <w:t>AVR</w:t>
      </w:r>
      <w:r>
        <w:rPr>
          <w:rFonts w:ascii="宋体" w:hAnsi="宋体" w:eastAsia="宋体" w:cs="宋体"/>
          <w:color w:val="auto"/>
          <w:spacing w:val="-11"/>
          <w:sz w:val="20"/>
          <w:szCs w:val="20"/>
          <w:highlight w:val="none"/>
        </w:rPr>
        <w:t xml:space="preserve"> </w:t>
      </w:r>
      <w:r>
        <w:rPr>
          <w:rFonts w:ascii="宋体" w:hAnsi="宋体" w:eastAsia="宋体" w:cs="宋体"/>
          <w:color w:val="auto"/>
          <w:spacing w:val="21"/>
          <w:sz w:val="20"/>
          <w:szCs w:val="20"/>
          <w:highlight w:val="none"/>
        </w:rPr>
        <w:t>故</w:t>
      </w:r>
      <w:r>
        <w:rPr>
          <w:rFonts w:ascii="宋体" w:hAnsi="宋体" w:eastAsia="宋体" w:cs="宋体"/>
          <w:color w:val="auto"/>
          <w:spacing w:val="-57"/>
          <w:sz w:val="20"/>
          <w:szCs w:val="20"/>
          <w:highlight w:val="none"/>
        </w:rPr>
        <w:t xml:space="preserve"> </w:t>
      </w:r>
      <w:r>
        <w:rPr>
          <w:rFonts w:ascii="宋体" w:hAnsi="宋体" w:eastAsia="宋体" w:cs="宋体"/>
          <w:color w:val="auto"/>
          <w:spacing w:val="21"/>
          <w:sz w:val="20"/>
          <w:szCs w:val="20"/>
          <w:highlight w:val="none"/>
        </w:rPr>
        <w:t>障或者励</w:t>
      </w:r>
      <w:r>
        <w:rPr>
          <w:rFonts w:ascii="宋体" w:hAnsi="宋体" w:eastAsia="宋体" w:cs="宋体"/>
          <w:color w:val="auto"/>
          <w:sz w:val="20"/>
          <w:szCs w:val="20"/>
          <w:highlight w:val="none"/>
        </w:rPr>
        <w:t xml:space="preserve"> </w:t>
      </w:r>
      <w:r>
        <w:rPr>
          <w:rFonts w:ascii="宋体" w:hAnsi="宋体" w:eastAsia="宋体" w:cs="宋体"/>
          <w:color w:val="auto"/>
          <w:spacing w:val="20"/>
          <w:sz w:val="20"/>
          <w:szCs w:val="20"/>
          <w:highlight w:val="none"/>
        </w:rPr>
        <w:t>磁系统保护动作</w:t>
      </w:r>
      <w:r>
        <w:rPr>
          <w:rFonts w:ascii="宋体" w:hAnsi="宋体" w:eastAsia="宋体" w:cs="宋体"/>
          <w:color w:val="auto"/>
          <w:spacing w:val="-56"/>
          <w:sz w:val="20"/>
          <w:szCs w:val="20"/>
          <w:highlight w:val="none"/>
        </w:rPr>
        <w:t xml:space="preserve"> </w:t>
      </w:r>
      <w:r>
        <w:rPr>
          <w:rFonts w:ascii="宋体" w:hAnsi="宋体" w:eastAsia="宋体" w:cs="宋体"/>
          <w:color w:val="auto"/>
          <w:spacing w:val="20"/>
          <w:sz w:val="20"/>
          <w:szCs w:val="20"/>
          <w:highlight w:val="none"/>
        </w:rPr>
        <w:t>、主汽</w:t>
      </w:r>
      <w:r>
        <w:rPr>
          <w:rFonts w:ascii="宋体" w:hAnsi="宋体" w:eastAsia="宋体" w:cs="宋体"/>
          <w:color w:val="auto"/>
          <w:spacing w:val="-47"/>
          <w:sz w:val="20"/>
          <w:szCs w:val="20"/>
          <w:highlight w:val="none"/>
        </w:rPr>
        <w:t xml:space="preserve"> </w:t>
      </w:r>
      <w:r>
        <w:rPr>
          <w:rFonts w:ascii="宋体" w:hAnsi="宋体" w:eastAsia="宋体" w:cs="宋体"/>
          <w:color w:val="auto"/>
          <w:spacing w:val="20"/>
          <w:sz w:val="20"/>
          <w:szCs w:val="20"/>
          <w:highlight w:val="none"/>
        </w:rPr>
        <w:t>门关闭</w:t>
      </w:r>
      <w:r>
        <w:rPr>
          <w:rFonts w:ascii="宋体" w:hAnsi="宋体" w:eastAsia="宋体" w:cs="宋体"/>
          <w:color w:val="auto"/>
          <w:spacing w:val="-56"/>
          <w:sz w:val="20"/>
          <w:szCs w:val="20"/>
          <w:highlight w:val="none"/>
        </w:rPr>
        <w:t xml:space="preserve"> </w:t>
      </w:r>
      <w:r>
        <w:rPr>
          <w:rFonts w:ascii="宋体" w:hAnsi="宋体" w:eastAsia="宋体" w:cs="宋体"/>
          <w:color w:val="auto"/>
          <w:spacing w:val="20"/>
          <w:sz w:val="20"/>
          <w:szCs w:val="20"/>
          <w:highlight w:val="none"/>
        </w:rPr>
        <w:t>、发</w:t>
      </w:r>
      <w:r>
        <w:rPr>
          <w:rFonts w:ascii="宋体" w:hAnsi="宋体" w:eastAsia="宋体" w:cs="宋体"/>
          <w:color w:val="auto"/>
          <w:spacing w:val="-46"/>
          <w:sz w:val="20"/>
          <w:szCs w:val="20"/>
          <w:highlight w:val="none"/>
        </w:rPr>
        <w:t xml:space="preserve"> </w:t>
      </w:r>
      <w:r>
        <w:rPr>
          <w:rFonts w:ascii="宋体" w:hAnsi="宋体" w:eastAsia="宋体" w:cs="宋体"/>
          <w:color w:val="auto"/>
          <w:spacing w:val="20"/>
          <w:sz w:val="20"/>
          <w:szCs w:val="20"/>
          <w:highlight w:val="none"/>
        </w:rPr>
        <w:t>电机断水</w:t>
      </w:r>
      <w:r>
        <w:rPr>
          <w:rFonts w:ascii="宋体" w:hAnsi="宋体" w:eastAsia="宋体" w:cs="宋体"/>
          <w:color w:val="auto"/>
          <w:spacing w:val="19"/>
          <w:sz w:val="20"/>
          <w:szCs w:val="20"/>
          <w:highlight w:val="none"/>
        </w:rPr>
        <w:t>保护和控制屏手动紧急跳</w:t>
      </w:r>
      <w:r>
        <w:rPr>
          <w:rFonts w:ascii="宋体" w:hAnsi="宋体" w:eastAsia="宋体" w:cs="宋体"/>
          <w:color w:val="auto"/>
          <w:spacing w:val="-51"/>
          <w:sz w:val="20"/>
          <w:szCs w:val="20"/>
          <w:highlight w:val="none"/>
        </w:rPr>
        <w:t xml:space="preserve"> </w:t>
      </w:r>
      <w:r>
        <w:rPr>
          <w:rFonts w:ascii="宋体" w:hAnsi="宋体" w:eastAsia="宋体" w:cs="宋体"/>
          <w:color w:val="auto"/>
          <w:spacing w:val="19"/>
          <w:sz w:val="20"/>
          <w:szCs w:val="20"/>
          <w:highlight w:val="none"/>
        </w:rPr>
        <w:t>闸按钮动</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等</w:t>
      </w:r>
      <w:r>
        <w:rPr>
          <w:rFonts w:ascii="宋体" w:hAnsi="宋体" w:eastAsia="宋体" w:cs="宋体"/>
          <w:color w:val="auto"/>
          <w:spacing w:val="-45"/>
          <w:sz w:val="20"/>
          <w:szCs w:val="20"/>
          <w:highlight w:val="none"/>
        </w:rPr>
        <w:t xml:space="preserve"> </w:t>
      </w:r>
      <w:r>
        <w:rPr>
          <w:rFonts w:ascii="宋体" w:hAnsi="宋体" w:eastAsia="宋体" w:cs="宋体"/>
          <w:color w:val="auto"/>
          <w:spacing w:val="12"/>
          <w:sz w:val="20"/>
          <w:szCs w:val="20"/>
          <w:highlight w:val="none"/>
        </w:rPr>
        <w:t>，</w:t>
      </w:r>
      <w:r>
        <w:rPr>
          <w:rFonts w:ascii="宋体" w:hAnsi="宋体" w:eastAsia="宋体" w:cs="宋体"/>
          <w:color w:val="auto"/>
          <w:spacing w:val="-58"/>
          <w:sz w:val="20"/>
          <w:szCs w:val="20"/>
          <w:highlight w:val="none"/>
        </w:rPr>
        <w:t xml:space="preserve"> </w:t>
      </w:r>
      <w:r>
        <w:rPr>
          <w:rFonts w:ascii="宋体" w:hAnsi="宋体" w:eastAsia="宋体" w:cs="宋体"/>
          <w:color w:val="auto"/>
          <w:spacing w:val="12"/>
          <w:sz w:val="20"/>
          <w:szCs w:val="20"/>
          <w:highlight w:val="none"/>
        </w:rPr>
        <w:t>并预</w:t>
      </w:r>
      <w:r>
        <w:rPr>
          <w:rFonts w:ascii="宋体" w:hAnsi="宋体" w:eastAsia="宋体" w:cs="宋体"/>
          <w:color w:val="auto"/>
          <w:spacing w:val="-55"/>
          <w:sz w:val="20"/>
          <w:szCs w:val="20"/>
          <w:highlight w:val="none"/>
        </w:rPr>
        <w:t xml:space="preserve"> </w:t>
      </w:r>
      <w:r>
        <w:rPr>
          <w:rFonts w:ascii="宋体" w:hAnsi="宋体" w:eastAsia="宋体" w:cs="宋体"/>
          <w:color w:val="auto"/>
          <w:spacing w:val="12"/>
          <w:sz w:val="20"/>
          <w:szCs w:val="20"/>
          <w:highlight w:val="none"/>
        </w:rPr>
        <w:t>留备用重动继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2"/>
          <w:sz w:val="20"/>
          <w:szCs w:val="20"/>
          <w:highlight w:val="none"/>
        </w:rPr>
        <w:t>电器。</w:t>
      </w:r>
    </w:p>
    <w:p w14:paraId="310A0900">
      <w:pPr>
        <w:spacing w:before="30" w:line="328" w:lineRule="auto"/>
        <w:ind w:left="1164" w:right="77" w:hanging="347"/>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1）</w:t>
      </w:r>
      <w:r>
        <w:rPr>
          <w:rFonts w:ascii="宋体" w:hAnsi="宋体" w:eastAsia="宋体" w:cs="宋体"/>
          <w:color w:val="auto"/>
          <w:spacing w:val="-37"/>
          <w:sz w:val="20"/>
          <w:szCs w:val="20"/>
          <w:highlight w:val="none"/>
        </w:rPr>
        <w:t xml:space="preserve"> </w:t>
      </w:r>
      <w:r>
        <w:rPr>
          <w:rFonts w:ascii="宋体" w:hAnsi="宋体" w:eastAsia="宋体" w:cs="宋体"/>
          <w:color w:val="auto"/>
          <w:spacing w:val="26"/>
          <w:sz w:val="20"/>
          <w:szCs w:val="20"/>
          <w:highlight w:val="none"/>
        </w:rPr>
        <w:t>装置的强电开入回路应与装置保护电源隔离；</w:t>
      </w:r>
      <w:r>
        <w:rPr>
          <w:rFonts w:ascii="宋体" w:hAnsi="宋体" w:eastAsia="宋体" w:cs="宋体"/>
          <w:color w:val="auto"/>
          <w:spacing w:val="-36"/>
          <w:sz w:val="20"/>
          <w:szCs w:val="20"/>
          <w:highlight w:val="none"/>
        </w:rPr>
        <w:t xml:space="preserve"> </w:t>
      </w:r>
      <w:r>
        <w:rPr>
          <w:rFonts w:ascii="宋体" w:hAnsi="宋体" w:eastAsia="宋体" w:cs="宋体"/>
          <w:color w:val="auto"/>
          <w:spacing w:val="26"/>
          <w:sz w:val="20"/>
          <w:szCs w:val="20"/>
          <w:highlight w:val="none"/>
        </w:rPr>
        <w:t>开入回路的启</w:t>
      </w:r>
      <w:r>
        <w:rPr>
          <w:rFonts w:ascii="宋体" w:hAnsi="宋体" w:eastAsia="宋体" w:cs="宋体"/>
          <w:color w:val="auto"/>
          <w:spacing w:val="25"/>
          <w:sz w:val="20"/>
          <w:szCs w:val="20"/>
          <w:highlight w:val="none"/>
        </w:rPr>
        <w:t>动电压值不</w:t>
      </w:r>
      <w:r>
        <w:rPr>
          <w:rFonts w:ascii="宋体" w:hAnsi="宋体" w:eastAsia="宋体" w:cs="宋体"/>
          <w:color w:val="auto"/>
          <w:sz w:val="20"/>
          <w:szCs w:val="20"/>
          <w:highlight w:val="none"/>
        </w:rPr>
        <w:t xml:space="preserve"> </w:t>
      </w:r>
      <w:r>
        <w:rPr>
          <w:rFonts w:ascii="宋体" w:hAnsi="宋体" w:eastAsia="宋体" w:cs="宋体"/>
          <w:color w:val="auto"/>
          <w:spacing w:val="15"/>
          <w:sz w:val="20"/>
          <w:szCs w:val="20"/>
          <w:highlight w:val="none"/>
        </w:rPr>
        <w:t>大于</w:t>
      </w:r>
      <w:r>
        <w:rPr>
          <w:rFonts w:ascii="宋体" w:hAnsi="宋体" w:eastAsia="宋体" w:cs="宋体"/>
          <w:color w:val="auto"/>
          <w:spacing w:val="-14"/>
          <w:sz w:val="20"/>
          <w:szCs w:val="20"/>
          <w:highlight w:val="none"/>
        </w:rPr>
        <w:t xml:space="preserve"> </w:t>
      </w:r>
      <w:r>
        <w:rPr>
          <w:rFonts w:ascii="宋体" w:hAnsi="宋体" w:eastAsia="宋体" w:cs="宋体"/>
          <w:color w:val="auto"/>
          <w:spacing w:val="15"/>
          <w:sz w:val="20"/>
          <w:szCs w:val="20"/>
          <w:highlight w:val="none"/>
        </w:rPr>
        <w:t>0.7</w:t>
      </w:r>
      <w:r>
        <w:rPr>
          <w:rFonts w:ascii="宋体" w:hAnsi="宋体" w:eastAsia="宋体" w:cs="宋体"/>
          <w:color w:val="auto"/>
          <w:spacing w:val="-18"/>
          <w:sz w:val="20"/>
          <w:szCs w:val="20"/>
          <w:highlight w:val="none"/>
        </w:rPr>
        <w:t xml:space="preserve"> </w:t>
      </w:r>
      <w:r>
        <w:rPr>
          <w:rFonts w:ascii="宋体" w:hAnsi="宋体" w:eastAsia="宋体" w:cs="宋体"/>
          <w:color w:val="auto"/>
          <w:spacing w:val="15"/>
          <w:sz w:val="20"/>
          <w:szCs w:val="20"/>
          <w:highlight w:val="none"/>
        </w:rPr>
        <w:t>倍额定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15"/>
          <w:sz w:val="20"/>
          <w:szCs w:val="20"/>
          <w:highlight w:val="none"/>
        </w:rPr>
        <w:t>电压值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5"/>
          <w:sz w:val="20"/>
          <w:szCs w:val="20"/>
          <w:highlight w:val="none"/>
        </w:rPr>
        <w:t>，且不小于</w:t>
      </w:r>
      <w:r>
        <w:rPr>
          <w:rFonts w:ascii="宋体" w:hAnsi="宋体" w:eastAsia="宋体" w:cs="宋体"/>
          <w:color w:val="auto"/>
          <w:spacing w:val="-13"/>
          <w:sz w:val="20"/>
          <w:szCs w:val="20"/>
          <w:highlight w:val="none"/>
        </w:rPr>
        <w:t xml:space="preserve"> </w:t>
      </w:r>
      <w:r>
        <w:rPr>
          <w:rFonts w:ascii="宋体" w:hAnsi="宋体" w:eastAsia="宋体" w:cs="宋体"/>
          <w:color w:val="auto"/>
          <w:spacing w:val="15"/>
          <w:sz w:val="20"/>
          <w:szCs w:val="20"/>
          <w:highlight w:val="none"/>
        </w:rPr>
        <w:t>0.5</w:t>
      </w:r>
      <w:r>
        <w:rPr>
          <w:rFonts w:ascii="宋体" w:hAnsi="宋体" w:eastAsia="宋体" w:cs="宋体"/>
          <w:color w:val="auto"/>
          <w:spacing w:val="14"/>
          <w:sz w:val="20"/>
          <w:szCs w:val="20"/>
          <w:highlight w:val="none"/>
        </w:rPr>
        <w:t>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4"/>
          <w:sz w:val="20"/>
          <w:szCs w:val="20"/>
          <w:highlight w:val="none"/>
        </w:rPr>
        <w:t>倍额定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14"/>
          <w:sz w:val="20"/>
          <w:szCs w:val="20"/>
          <w:highlight w:val="none"/>
        </w:rPr>
        <w:t>电压值</w:t>
      </w:r>
      <w:r>
        <w:rPr>
          <w:rFonts w:ascii="宋体" w:hAnsi="宋体" w:eastAsia="宋体" w:cs="宋体"/>
          <w:color w:val="auto"/>
          <w:spacing w:val="-50"/>
          <w:sz w:val="20"/>
          <w:szCs w:val="20"/>
          <w:highlight w:val="none"/>
        </w:rPr>
        <w:t xml:space="preserve"> </w:t>
      </w:r>
      <w:r>
        <w:rPr>
          <w:rFonts w:ascii="宋体" w:hAnsi="宋体" w:eastAsia="宋体" w:cs="宋体"/>
          <w:color w:val="auto"/>
          <w:spacing w:val="14"/>
          <w:sz w:val="20"/>
          <w:szCs w:val="20"/>
          <w:highlight w:val="none"/>
        </w:rPr>
        <w:t>。动作速度不小于</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11"/>
          <w:sz w:val="20"/>
          <w:szCs w:val="20"/>
          <w:highlight w:val="none"/>
        </w:rPr>
        <w:t>；</w:t>
      </w:r>
    </w:p>
    <w:p w14:paraId="4171BD7F">
      <w:pPr>
        <w:spacing w:before="162" w:line="302" w:lineRule="auto"/>
        <w:ind w:left="1161" w:hanging="357"/>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2）</w:t>
      </w:r>
      <w:r>
        <w:rPr>
          <w:rFonts w:ascii="宋体" w:hAnsi="宋体" w:eastAsia="宋体" w:cs="宋体"/>
          <w:color w:val="auto"/>
          <w:spacing w:val="-37"/>
          <w:sz w:val="20"/>
          <w:szCs w:val="20"/>
          <w:highlight w:val="none"/>
        </w:rPr>
        <w:t xml:space="preserve"> </w:t>
      </w:r>
      <w:r>
        <w:rPr>
          <w:rFonts w:ascii="宋体" w:hAnsi="宋体" w:eastAsia="宋体" w:cs="宋体"/>
          <w:color w:val="auto"/>
          <w:spacing w:val="17"/>
          <w:sz w:val="20"/>
          <w:szCs w:val="20"/>
          <w:highlight w:val="none"/>
        </w:rPr>
        <w:t>所有涉及直接跳</w:t>
      </w:r>
      <w:r>
        <w:rPr>
          <w:rFonts w:ascii="宋体" w:hAnsi="宋体" w:eastAsia="宋体" w:cs="宋体"/>
          <w:color w:val="auto"/>
          <w:spacing w:val="-49"/>
          <w:sz w:val="20"/>
          <w:szCs w:val="20"/>
          <w:highlight w:val="none"/>
        </w:rPr>
        <w:t xml:space="preserve"> </w:t>
      </w:r>
      <w:r>
        <w:rPr>
          <w:rFonts w:ascii="宋体" w:hAnsi="宋体" w:eastAsia="宋体" w:cs="宋体"/>
          <w:color w:val="auto"/>
          <w:spacing w:val="17"/>
          <w:sz w:val="20"/>
          <w:szCs w:val="20"/>
          <w:highlight w:val="none"/>
        </w:rPr>
        <w:t>闸</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的</w:t>
      </w:r>
      <w:r>
        <w:rPr>
          <w:rFonts w:ascii="宋体" w:hAnsi="宋体" w:eastAsia="宋体" w:cs="宋体"/>
          <w:color w:val="auto"/>
          <w:spacing w:val="-50"/>
          <w:sz w:val="20"/>
          <w:szCs w:val="20"/>
          <w:highlight w:val="none"/>
        </w:rPr>
        <w:t xml:space="preserve"> </w:t>
      </w:r>
      <w:r>
        <w:rPr>
          <w:rFonts w:ascii="宋体" w:hAnsi="宋体" w:eastAsia="宋体" w:cs="宋体"/>
          <w:color w:val="auto"/>
          <w:spacing w:val="17"/>
          <w:sz w:val="20"/>
          <w:szCs w:val="20"/>
          <w:highlight w:val="none"/>
        </w:rPr>
        <w:t>回路应采用启动</w:t>
      </w:r>
      <w:r>
        <w:rPr>
          <w:rFonts w:ascii="宋体" w:hAnsi="宋体" w:eastAsia="宋体" w:cs="宋体"/>
          <w:color w:val="auto"/>
          <w:spacing w:val="-44"/>
          <w:sz w:val="20"/>
          <w:szCs w:val="20"/>
          <w:highlight w:val="none"/>
        </w:rPr>
        <w:t xml:space="preserve"> </w:t>
      </w:r>
      <w:r>
        <w:rPr>
          <w:rFonts w:ascii="宋体" w:hAnsi="宋体" w:eastAsia="宋体" w:cs="宋体"/>
          <w:color w:val="auto"/>
          <w:spacing w:val="17"/>
          <w:sz w:val="20"/>
          <w:szCs w:val="20"/>
          <w:highlight w:val="none"/>
        </w:rPr>
        <w:t>电压值不大于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7"/>
          <w:sz w:val="20"/>
          <w:szCs w:val="20"/>
          <w:highlight w:val="none"/>
        </w:rPr>
        <w:t>0.7</w:t>
      </w:r>
      <w:r>
        <w:rPr>
          <w:rFonts w:ascii="宋体" w:hAnsi="宋体" w:eastAsia="宋体" w:cs="宋体"/>
          <w:color w:val="auto"/>
          <w:spacing w:val="-19"/>
          <w:sz w:val="20"/>
          <w:szCs w:val="20"/>
          <w:highlight w:val="none"/>
        </w:rPr>
        <w:t xml:space="preserve"> </w:t>
      </w:r>
      <w:r>
        <w:rPr>
          <w:rFonts w:ascii="宋体" w:hAnsi="宋体" w:eastAsia="宋体" w:cs="宋体"/>
          <w:color w:val="auto"/>
          <w:spacing w:val="16"/>
          <w:sz w:val="20"/>
          <w:szCs w:val="20"/>
          <w:highlight w:val="none"/>
        </w:rPr>
        <w:t>倍额定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16"/>
          <w:sz w:val="20"/>
          <w:szCs w:val="20"/>
          <w:highlight w:val="none"/>
        </w:rPr>
        <w:t>电压值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且不小于</w:t>
      </w:r>
      <w:r>
        <w:rPr>
          <w:rFonts w:ascii="宋体" w:hAnsi="宋体" w:eastAsia="宋体" w:cs="宋体"/>
          <w:color w:val="auto"/>
          <w:spacing w:val="2"/>
          <w:sz w:val="20"/>
          <w:szCs w:val="20"/>
          <w:highlight w:val="none"/>
        </w:rPr>
        <w:t xml:space="preserve"> </w:t>
      </w:r>
      <w:r>
        <w:rPr>
          <w:rFonts w:ascii="宋体" w:hAnsi="宋体" w:eastAsia="宋体" w:cs="宋体"/>
          <w:color w:val="auto"/>
          <w:spacing w:val="14"/>
          <w:sz w:val="20"/>
          <w:szCs w:val="20"/>
          <w:highlight w:val="none"/>
        </w:rPr>
        <w:t>0.55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4"/>
          <w:sz w:val="20"/>
          <w:szCs w:val="20"/>
          <w:highlight w:val="none"/>
        </w:rPr>
        <w:t>倍额定电压值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4"/>
          <w:sz w:val="20"/>
          <w:szCs w:val="20"/>
          <w:highlight w:val="none"/>
        </w:rPr>
        <w:t>的</w:t>
      </w:r>
      <w:r>
        <w:rPr>
          <w:rFonts w:ascii="宋体" w:hAnsi="宋体" w:eastAsia="宋体" w:cs="宋体"/>
          <w:color w:val="auto"/>
          <w:spacing w:val="-51"/>
          <w:sz w:val="20"/>
          <w:szCs w:val="20"/>
          <w:highlight w:val="none"/>
        </w:rPr>
        <w:t xml:space="preserve"> </w:t>
      </w:r>
      <w:r>
        <w:rPr>
          <w:rFonts w:ascii="宋体" w:hAnsi="宋体" w:eastAsia="宋体" w:cs="宋体"/>
          <w:color w:val="auto"/>
          <w:spacing w:val="14"/>
          <w:sz w:val="20"/>
          <w:szCs w:val="20"/>
          <w:highlight w:val="none"/>
        </w:rPr>
        <w:t>中</w:t>
      </w:r>
      <w:r>
        <w:rPr>
          <w:rFonts w:ascii="宋体" w:hAnsi="宋体" w:eastAsia="宋体" w:cs="宋体"/>
          <w:color w:val="auto"/>
          <w:spacing w:val="-54"/>
          <w:sz w:val="20"/>
          <w:szCs w:val="20"/>
          <w:highlight w:val="none"/>
        </w:rPr>
        <w:t xml:space="preserve"> </w:t>
      </w:r>
      <w:r>
        <w:rPr>
          <w:rFonts w:ascii="宋体" w:hAnsi="宋体" w:eastAsia="宋体" w:cs="宋体"/>
          <w:color w:val="auto"/>
          <w:spacing w:val="14"/>
          <w:sz w:val="20"/>
          <w:szCs w:val="20"/>
          <w:highlight w:val="none"/>
        </w:rPr>
        <w:t>间继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4"/>
          <w:sz w:val="20"/>
          <w:szCs w:val="20"/>
          <w:highlight w:val="none"/>
        </w:rPr>
        <w:t>电器</w:t>
      </w:r>
      <w:r>
        <w:rPr>
          <w:rFonts w:ascii="宋体" w:hAnsi="宋体" w:eastAsia="宋体" w:cs="宋体"/>
          <w:color w:val="auto"/>
          <w:spacing w:val="-53"/>
          <w:sz w:val="20"/>
          <w:szCs w:val="20"/>
          <w:highlight w:val="none"/>
        </w:rPr>
        <w:t xml:space="preserve"> </w:t>
      </w:r>
      <w:r>
        <w:rPr>
          <w:rFonts w:ascii="宋体" w:hAnsi="宋体" w:eastAsia="宋体" w:cs="宋体"/>
          <w:color w:val="auto"/>
          <w:spacing w:val="14"/>
          <w:sz w:val="20"/>
          <w:szCs w:val="20"/>
          <w:highlight w:val="none"/>
        </w:rPr>
        <w:t>，并要求启动功率不低于 5W。</w:t>
      </w:r>
    </w:p>
    <w:p w14:paraId="6AC0EA3D">
      <w:pPr>
        <w:spacing w:before="162" w:line="362" w:lineRule="auto"/>
        <w:ind w:left="451" w:right="52" w:firstLine="391"/>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以上在微机型发</w:t>
      </w:r>
      <w:r>
        <w:rPr>
          <w:rFonts w:ascii="宋体" w:hAnsi="宋体" w:eastAsia="宋体" w:cs="宋体"/>
          <w:color w:val="auto"/>
          <w:spacing w:val="-33"/>
          <w:sz w:val="20"/>
          <w:szCs w:val="20"/>
          <w:highlight w:val="none"/>
        </w:rPr>
        <w:t xml:space="preserve"> </w:t>
      </w:r>
      <w:r>
        <w:rPr>
          <w:rFonts w:ascii="宋体" w:hAnsi="宋体" w:eastAsia="宋体" w:cs="宋体"/>
          <w:color w:val="auto"/>
          <w:spacing w:val="19"/>
          <w:sz w:val="20"/>
          <w:szCs w:val="20"/>
          <w:highlight w:val="none"/>
        </w:rPr>
        <w:t>电机保护装置</w:t>
      </w:r>
      <w:r>
        <w:rPr>
          <w:rFonts w:ascii="宋体" w:hAnsi="宋体" w:eastAsia="宋体" w:cs="宋体"/>
          <w:color w:val="auto"/>
          <w:spacing w:val="-51"/>
          <w:sz w:val="20"/>
          <w:szCs w:val="20"/>
          <w:highlight w:val="none"/>
        </w:rPr>
        <w:t xml:space="preserve"> </w:t>
      </w:r>
      <w:r>
        <w:rPr>
          <w:rFonts w:ascii="宋体" w:hAnsi="宋体" w:eastAsia="宋体" w:cs="宋体"/>
          <w:color w:val="auto"/>
          <w:spacing w:val="19"/>
          <w:sz w:val="20"/>
          <w:szCs w:val="20"/>
          <w:highlight w:val="none"/>
        </w:rPr>
        <w:t>中配置</w:t>
      </w:r>
      <w:r>
        <w:rPr>
          <w:rFonts w:ascii="宋体" w:hAnsi="宋体" w:eastAsia="宋体" w:cs="宋体"/>
          <w:color w:val="auto"/>
          <w:spacing w:val="-53"/>
          <w:sz w:val="20"/>
          <w:szCs w:val="20"/>
          <w:highlight w:val="none"/>
        </w:rPr>
        <w:t xml:space="preserve"> </w:t>
      </w:r>
      <w:r>
        <w:rPr>
          <w:rFonts w:ascii="宋体" w:hAnsi="宋体" w:eastAsia="宋体" w:cs="宋体"/>
          <w:color w:val="auto"/>
          <w:spacing w:val="19"/>
          <w:sz w:val="20"/>
          <w:szCs w:val="20"/>
          <w:highlight w:val="none"/>
        </w:rPr>
        <w:t>的各类保护</w:t>
      </w:r>
      <w:r>
        <w:rPr>
          <w:rFonts w:ascii="宋体" w:hAnsi="宋体" w:eastAsia="宋体" w:cs="宋体"/>
          <w:color w:val="auto"/>
          <w:spacing w:val="-56"/>
          <w:sz w:val="20"/>
          <w:szCs w:val="20"/>
          <w:highlight w:val="none"/>
        </w:rPr>
        <w:t xml:space="preserve"> </w:t>
      </w:r>
      <w:r>
        <w:rPr>
          <w:rFonts w:ascii="宋体" w:hAnsi="宋体" w:eastAsia="宋体" w:cs="宋体"/>
          <w:color w:val="auto"/>
          <w:spacing w:val="19"/>
          <w:sz w:val="20"/>
          <w:szCs w:val="20"/>
          <w:highlight w:val="none"/>
        </w:rPr>
        <w:t>，如果在该装置</w:t>
      </w:r>
      <w:r>
        <w:rPr>
          <w:rFonts w:ascii="宋体" w:hAnsi="宋体" w:eastAsia="宋体" w:cs="宋体"/>
          <w:color w:val="auto"/>
          <w:spacing w:val="-51"/>
          <w:sz w:val="20"/>
          <w:szCs w:val="20"/>
          <w:highlight w:val="none"/>
        </w:rPr>
        <w:t xml:space="preserve"> </w:t>
      </w:r>
      <w:r>
        <w:rPr>
          <w:rFonts w:ascii="宋体" w:hAnsi="宋体" w:eastAsia="宋体" w:cs="宋体"/>
          <w:color w:val="auto"/>
          <w:spacing w:val="19"/>
          <w:sz w:val="20"/>
          <w:szCs w:val="20"/>
          <w:highlight w:val="none"/>
        </w:rPr>
        <w:t>中不具备，</w:t>
      </w:r>
      <w:r>
        <w:rPr>
          <w:rFonts w:ascii="宋体" w:hAnsi="宋体" w:eastAsia="宋体" w:cs="宋体"/>
          <w:color w:val="auto"/>
          <w:sz w:val="20"/>
          <w:szCs w:val="20"/>
          <w:highlight w:val="none"/>
        </w:rPr>
        <w:t xml:space="preserve"> </w:t>
      </w:r>
      <w:r>
        <w:rPr>
          <w:rFonts w:ascii="宋体" w:hAnsi="宋体" w:eastAsia="宋体" w:cs="宋体"/>
          <w:color w:val="auto"/>
          <w:spacing w:val="13"/>
          <w:sz w:val="20"/>
          <w:szCs w:val="20"/>
          <w:highlight w:val="none"/>
        </w:rPr>
        <w:t>则</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需另加。</w:t>
      </w:r>
    </w:p>
    <w:p w14:paraId="1E1612D7">
      <w:pPr>
        <w:spacing w:before="34"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"3.5.1.2" </w:instrText>
      </w:r>
      <w:r>
        <w:rPr>
          <w:color w:val="auto"/>
          <w:highlight w:val="none"/>
        </w:rPr>
        <w:fldChar w:fldCharType="separate"/>
      </w:r>
      <w:r>
        <w:rPr>
          <w:rFonts w:ascii="宋体" w:hAnsi="宋体" w:eastAsia="宋体" w:cs="宋体"/>
          <w:color w:val="auto"/>
          <w:spacing w:val="6"/>
          <w:sz w:val="20"/>
          <w:szCs w:val="20"/>
          <w:highlight w:val="none"/>
        </w:rPr>
        <w:t>3.5.1.2</w:t>
      </w:r>
      <w:r>
        <w:rPr>
          <w:rFonts w:ascii="宋体" w:hAnsi="宋体" w:eastAsia="宋体" w:cs="宋体"/>
          <w:color w:val="auto"/>
          <w:spacing w:val="6"/>
          <w:sz w:val="20"/>
          <w:szCs w:val="20"/>
          <w:highlight w:val="none"/>
        </w:rPr>
        <w:fldChar w:fldCharType="end"/>
      </w:r>
      <w:r>
        <w:rPr>
          <w:rFonts w:ascii="宋体" w:hAnsi="宋体" w:eastAsia="宋体" w:cs="宋体"/>
          <w:color w:val="auto"/>
          <w:spacing w:val="6"/>
          <w:sz w:val="20"/>
          <w:szCs w:val="20"/>
          <w:highlight w:val="none"/>
        </w:rPr>
        <w:t xml:space="preserve"> 微机型励磁变保护</w:t>
      </w:r>
    </w:p>
    <w:p w14:paraId="6BC5D36C">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励磁变差动保护</w:t>
      </w:r>
    </w:p>
    <w:p w14:paraId="080766E5">
      <w:pPr>
        <w:spacing w:before="159" w:line="228" w:lineRule="auto"/>
        <w:ind w:left="647"/>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其主要功能及技术要求如下：</w:t>
      </w:r>
    </w:p>
    <w:p w14:paraId="4CC5B3AE">
      <w:pPr>
        <w:spacing w:before="164" w:line="228" w:lineRule="auto"/>
        <w:ind w:left="817"/>
        <w:rPr>
          <w:rFonts w:ascii="宋体" w:hAnsi="宋体" w:eastAsia="宋体" w:cs="宋体"/>
          <w:color w:val="auto"/>
          <w:sz w:val="20"/>
          <w:szCs w:val="20"/>
          <w:highlight w:val="none"/>
        </w:rPr>
      </w:pPr>
      <w:r>
        <w:rPr>
          <w:rFonts w:ascii="宋体" w:hAnsi="宋体" w:eastAsia="宋体" w:cs="宋体"/>
          <w:color w:val="auto"/>
          <w:spacing w:val="20"/>
          <w:sz w:val="20"/>
          <w:szCs w:val="20"/>
          <w:highlight w:val="none"/>
        </w:rPr>
        <w:t>1)</w:t>
      </w:r>
      <w:r>
        <w:rPr>
          <w:rFonts w:ascii="宋体" w:hAnsi="宋体" w:eastAsia="宋体" w:cs="宋体"/>
          <w:color w:val="auto"/>
          <w:spacing w:val="71"/>
          <w:sz w:val="20"/>
          <w:szCs w:val="20"/>
          <w:highlight w:val="none"/>
        </w:rPr>
        <w:t xml:space="preserve"> </w:t>
      </w:r>
      <w:r>
        <w:rPr>
          <w:rFonts w:ascii="宋体" w:hAnsi="宋体" w:eastAsia="宋体" w:cs="宋体"/>
          <w:color w:val="auto"/>
          <w:spacing w:val="20"/>
          <w:sz w:val="20"/>
          <w:szCs w:val="20"/>
          <w:highlight w:val="none"/>
        </w:rPr>
        <w:t>差动保护应具有</w:t>
      </w:r>
      <w:r>
        <w:rPr>
          <w:rFonts w:ascii="宋体" w:hAnsi="宋体" w:eastAsia="宋体" w:cs="宋体"/>
          <w:color w:val="auto"/>
          <w:spacing w:val="-57"/>
          <w:sz w:val="20"/>
          <w:szCs w:val="20"/>
          <w:highlight w:val="none"/>
        </w:rPr>
        <w:t xml:space="preserve"> </w:t>
      </w:r>
      <w:r>
        <w:rPr>
          <w:rFonts w:ascii="宋体" w:hAnsi="宋体" w:eastAsia="宋体" w:cs="宋体"/>
          <w:color w:val="auto"/>
          <w:spacing w:val="20"/>
          <w:sz w:val="20"/>
          <w:szCs w:val="20"/>
          <w:highlight w:val="none"/>
        </w:rPr>
        <w:t>防止区外故</w:t>
      </w:r>
      <w:r>
        <w:rPr>
          <w:rFonts w:ascii="宋体" w:hAnsi="宋体" w:eastAsia="宋体" w:cs="宋体"/>
          <w:color w:val="auto"/>
          <w:spacing w:val="-60"/>
          <w:sz w:val="20"/>
          <w:szCs w:val="20"/>
          <w:highlight w:val="none"/>
        </w:rPr>
        <w:t xml:space="preserve"> </w:t>
      </w:r>
      <w:r>
        <w:rPr>
          <w:rFonts w:ascii="宋体" w:hAnsi="宋体" w:eastAsia="宋体" w:cs="宋体"/>
          <w:color w:val="auto"/>
          <w:spacing w:val="20"/>
          <w:sz w:val="20"/>
          <w:szCs w:val="20"/>
          <w:highlight w:val="none"/>
        </w:rPr>
        <w:t>障误动的制动特性；</w:t>
      </w:r>
    </w:p>
    <w:p w14:paraId="53E5A83C">
      <w:pPr>
        <w:spacing w:line="228" w:lineRule="auto"/>
        <w:rPr>
          <w:rFonts w:ascii="宋体" w:hAnsi="宋体" w:eastAsia="宋体" w:cs="宋体"/>
          <w:color w:val="auto"/>
          <w:sz w:val="20"/>
          <w:szCs w:val="20"/>
          <w:highlight w:val="none"/>
        </w:rPr>
        <w:sectPr>
          <w:pgSz w:w="11906" w:h="16839"/>
          <w:pgMar w:top="1428" w:right="1740" w:bottom="0" w:left="1785" w:header="0" w:footer="0" w:gutter="0"/>
          <w:pgBorders>
            <w:top w:val="none" w:sz="0" w:space="0"/>
            <w:left w:val="none" w:sz="0" w:space="0"/>
            <w:bottom w:val="none" w:sz="0" w:space="0"/>
            <w:right w:val="none" w:sz="0" w:space="0"/>
          </w:pgBorders>
          <w:cols w:space="720" w:num="1"/>
        </w:sectPr>
      </w:pPr>
    </w:p>
    <w:p w14:paraId="64E38F04">
      <w:pPr>
        <w:spacing w:before="42" w:line="228" w:lineRule="auto"/>
        <w:ind w:left="804"/>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2)</w:t>
      </w:r>
      <w:r>
        <w:rPr>
          <w:rFonts w:ascii="宋体" w:hAnsi="宋体" w:eastAsia="宋体" w:cs="宋体"/>
          <w:color w:val="auto"/>
          <w:spacing w:val="58"/>
          <w:sz w:val="20"/>
          <w:szCs w:val="20"/>
          <w:highlight w:val="none"/>
        </w:rPr>
        <w:t xml:space="preserve"> </w:t>
      </w:r>
      <w:r>
        <w:rPr>
          <w:rFonts w:ascii="宋体" w:hAnsi="宋体" w:eastAsia="宋体" w:cs="宋体"/>
          <w:color w:val="auto"/>
          <w:spacing w:val="19"/>
          <w:sz w:val="20"/>
          <w:szCs w:val="20"/>
          <w:highlight w:val="none"/>
        </w:rPr>
        <w:t>具有</w:t>
      </w:r>
      <w:r>
        <w:rPr>
          <w:rFonts w:ascii="宋体" w:hAnsi="宋体" w:eastAsia="宋体" w:cs="宋体"/>
          <w:color w:val="auto"/>
          <w:spacing w:val="-57"/>
          <w:sz w:val="20"/>
          <w:szCs w:val="20"/>
          <w:highlight w:val="none"/>
        </w:rPr>
        <w:t xml:space="preserve"> </w:t>
      </w:r>
      <w:r>
        <w:rPr>
          <w:rFonts w:ascii="宋体" w:hAnsi="宋体" w:eastAsia="宋体" w:cs="宋体"/>
          <w:color w:val="auto"/>
          <w:spacing w:val="19"/>
          <w:sz w:val="20"/>
          <w:szCs w:val="20"/>
          <w:highlight w:val="none"/>
        </w:rPr>
        <w:t>防止</w:t>
      </w:r>
      <w:r>
        <w:rPr>
          <w:rFonts w:ascii="宋体" w:hAnsi="宋体" w:eastAsia="宋体" w:cs="宋体"/>
          <w:color w:val="auto"/>
          <w:spacing w:val="-46"/>
          <w:sz w:val="20"/>
          <w:szCs w:val="20"/>
          <w:highlight w:val="none"/>
        </w:rPr>
        <w:t xml:space="preserve"> </w:t>
      </w:r>
      <w:r>
        <w:rPr>
          <w:rFonts w:ascii="宋体" w:hAnsi="宋体" w:eastAsia="宋体" w:cs="宋体"/>
          <w:color w:val="auto"/>
          <w:spacing w:val="19"/>
          <w:sz w:val="20"/>
          <w:szCs w:val="20"/>
          <w:highlight w:val="none"/>
        </w:rPr>
        <w:t>电流互感器暂态保护过程中误动</w:t>
      </w:r>
      <w:r>
        <w:rPr>
          <w:rFonts w:ascii="宋体" w:hAnsi="宋体" w:eastAsia="宋体" w:cs="宋体"/>
          <w:color w:val="auto"/>
          <w:spacing w:val="-54"/>
          <w:sz w:val="20"/>
          <w:szCs w:val="20"/>
          <w:highlight w:val="none"/>
        </w:rPr>
        <w:t xml:space="preserve"> </w:t>
      </w:r>
      <w:r>
        <w:rPr>
          <w:rFonts w:ascii="宋体" w:hAnsi="宋体" w:eastAsia="宋体" w:cs="宋体"/>
          <w:color w:val="auto"/>
          <w:spacing w:val="19"/>
          <w:sz w:val="20"/>
          <w:szCs w:val="20"/>
          <w:highlight w:val="none"/>
        </w:rPr>
        <w:t>的措施；</w:t>
      </w:r>
    </w:p>
    <w:p w14:paraId="6B09EA3F">
      <w:pPr>
        <w:spacing w:before="161" w:line="303" w:lineRule="auto"/>
        <w:ind w:left="1164" w:right="35" w:hanging="358"/>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3)</w:t>
      </w:r>
      <w:r>
        <w:rPr>
          <w:rFonts w:ascii="宋体" w:hAnsi="宋体" w:eastAsia="宋体" w:cs="宋体"/>
          <w:color w:val="auto"/>
          <w:spacing w:val="55"/>
          <w:sz w:val="20"/>
          <w:szCs w:val="20"/>
          <w:highlight w:val="none"/>
        </w:rPr>
        <w:t xml:space="preserve"> </w:t>
      </w:r>
      <w:r>
        <w:rPr>
          <w:rFonts w:ascii="宋体" w:hAnsi="宋体" w:eastAsia="宋体" w:cs="宋体"/>
          <w:color w:val="auto"/>
          <w:spacing w:val="14"/>
          <w:sz w:val="20"/>
          <w:szCs w:val="20"/>
          <w:highlight w:val="none"/>
        </w:rPr>
        <w:t>可</w:t>
      </w:r>
      <w:r>
        <w:rPr>
          <w:rFonts w:ascii="宋体" w:hAnsi="宋体" w:eastAsia="宋体" w:cs="宋体"/>
          <w:color w:val="auto"/>
          <w:spacing w:val="-47"/>
          <w:sz w:val="20"/>
          <w:szCs w:val="20"/>
          <w:highlight w:val="none"/>
        </w:rPr>
        <w:t xml:space="preserve"> </w:t>
      </w:r>
      <w:r>
        <w:rPr>
          <w:rFonts w:ascii="宋体" w:hAnsi="宋体" w:eastAsia="宋体" w:cs="宋体"/>
          <w:color w:val="auto"/>
          <w:spacing w:val="14"/>
          <w:sz w:val="20"/>
          <w:szCs w:val="20"/>
          <w:highlight w:val="none"/>
        </w:rPr>
        <w:t>以具有</w:t>
      </w:r>
      <w:r>
        <w:rPr>
          <w:rFonts w:ascii="宋体" w:hAnsi="宋体" w:eastAsia="宋体" w:cs="宋体"/>
          <w:color w:val="auto"/>
          <w:spacing w:val="-46"/>
          <w:sz w:val="20"/>
          <w:szCs w:val="20"/>
          <w:highlight w:val="none"/>
        </w:rPr>
        <w:t xml:space="preserve"> </w:t>
      </w:r>
      <w:r>
        <w:rPr>
          <w:rFonts w:ascii="宋体" w:hAnsi="宋体" w:eastAsia="宋体" w:cs="宋体"/>
          <w:color w:val="auto"/>
          <w:spacing w:val="14"/>
          <w:sz w:val="20"/>
          <w:szCs w:val="20"/>
          <w:highlight w:val="none"/>
        </w:rPr>
        <w:t>电流互感器断线判别功</w:t>
      </w:r>
      <w:r>
        <w:rPr>
          <w:rFonts w:ascii="宋体" w:hAnsi="宋体" w:eastAsia="宋体" w:cs="宋体"/>
          <w:color w:val="auto"/>
          <w:spacing w:val="-60"/>
          <w:sz w:val="20"/>
          <w:szCs w:val="20"/>
          <w:highlight w:val="none"/>
        </w:rPr>
        <w:t xml:space="preserve"> </w:t>
      </w:r>
      <w:r>
        <w:rPr>
          <w:rFonts w:ascii="宋体" w:hAnsi="宋体" w:eastAsia="宋体" w:cs="宋体"/>
          <w:color w:val="auto"/>
          <w:spacing w:val="14"/>
          <w:sz w:val="20"/>
          <w:szCs w:val="20"/>
          <w:highlight w:val="none"/>
        </w:rPr>
        <w:t>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4"/>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14"/>
          <w:sz w:val="20"/>
          <w:szCs w:val="20"/>
          <w:highlight w:val="none"/>
        </w:rPr>
        <w:t>并</w:t>
      </w:r>
      <w:r>
        <w:rPr>
          <w:rFonts w:ascii="宋体" w:hAnsi="宋体" w:eastAsia="宋体" w:cs="宋体"/>
          <w:color w:val="auto"/>
          <w:spacing w:val="-60"/>
          <w:sz w:val="20"/>
          <w:szCs w:val="20"/>
          <w:highlight w:val="none"/>
        </w:rPr>
        <w:t xml:space="preserve"> </w:t>
      </w:r>
      <w:r>
        <w:rPr>
          <w:rFonts w:ascii="宋体" w:hAnsi="宋体" w:eastAsia="宋体" w:cs="宋体"/>
          <w:color w:val="auto"/>
          <w:spacing w:val="14"/>
          <w:sz w:val="20"/>
          <w:szCs w:val="20"/>
          <w:highlight w:val="none"/>
        </w:rPr>
        <w:t>能选择</w:t>
      </w:r>
      <w:r>
        <w:rPr>
          <w:rFonts w:ascii="宋体" w:hAnsi="宋体" w:eastAsia="宋体" w:cs="宋体"/>
          <w:color w:val="auto"/>
          <w:spacing w:val="-47"/>
          <w:sz w:val="20"/>
          <w:szCs w:val="20"/>
          <w:highlight w:val="none"/>
        </w:rPr>
        <w:t xml:space="preserve"> </w:t>
      </w:r>
      <w:r>
        <w:rPr>
          <w:rFonts w:ascii="宋体" w:hAnsi="宋体" w:eastAsia="宋体" w:cs="宋体"/>
          <w:color w:val="auto"/>
          <w:spacing w:val="14"/>
          <w:sz w:val="20"/>
          <w:szCs w:val="20"/>
          <w:highlight w:val="none"/>
        </w:rPr>
        <w:t>闭锁差动或</w:t>
      </w:r>
      <w:r>
        <w:rPr>
          <w:rFonts w:ascii="宋体" w:hAnsi="宋体" w:eastAsia="宋体" w:cs="宋体"/>
          <w:color w:val="auto"/>
          <w:spacing w:val="13"/>
          <w:sz w:val="20"/>
          <w:szCs w:val="20"/>
          <w:highlight w:val="none"/>
        </w:rPr>
        <w:t>报警</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13"/>
          <w:sz w:val="20"/>
          <w:szCs w:val="20"/>
          <w:highlight w:val="none"/>
        </w:rPr>
        <w:t>当</w:t>
      </w:r>
      <w:r>
        <w:rPr>
          <w:rFonts w:ascii="宋体" w:hAnsi="宋体" w:eastAsia="宋体" w:cs="宋体"/>
          <w:color w:val="auto"/>
          <w:spacing w:val="-44"/>
          <w:sz w:val="20"/>
          <w:szCs w:val="20"/>
          <w:highlight w:val="none"/>
        </w:rPr>
        <w:t xml:space="preserve"> </w:t>
      </w:r>
      <w:r>
        <w:rPr>
          <w:rFonts w:ascii="宋体" w:hAnsi="宋体" w:eastAsia="宋体" w:cs="宋体"/>
          <w:color w:val="auto"/>
          <w:spacing w:val="13"/>
          <w:sz w:val="20"/>
          <w:szCs w:val="20"/>
          <w:highlight w:val="none"/>
        </w:rPr>
        <w:t>电流</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大于额定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12"/>
          <w:sz w:val="20"/>
          <w:szCs w:val="20"/>
          <w:highlight w:val="none"/>
        </w:rPr>
        <w:t>电流</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的 1.2~1.5</w:t>
      </w:r>
      <w:r>
        <w:rPr>
          <w:rFonts w:ascii="宋体" w:hAnsi="宋体" w:eastAsia="宋体" w:cs="宋体"/>
          <w:color w:val="auto"/>
          <w:spacing w:val="-21"/>
          <w:sz w:val="20"/>
          <w:szCs w:val="20"/>
          <w:highlight w:val="none"/>
        </w:rPr>
        <w:t xml:space="preserve"> </w:t>
      </w:r>
      <w:r>
        <w:rPr>
          <w:rFonts w:ascii="宋体" w:hAnsi="宋体" w:eastAsia="宋体" w:cs="宋体"/>
          <w:color w:val="auto"/>
          <w:spacing w:val="12"/>
          <w:sz w:val="20"/>
          <w:szCs w:val="20"/>
          <w:highlight w:val="none"/>
        </w:rPr>
        <w:t>倍是可自动解</w:t>
      </w:r>
      <w:r>
        <w:rPr>
          <w:rFonts w:ascii="宋体" w:hAnsi="宋体" w:eastAsia="宋体" w:cs="宋体"/>
          <w:color w:val="auto"/>
          <w:spacing w:val="-58"/>
          <w:sz w:val="20"/>
          <w:szCs w:val="20"/>
          <w:highlight w:val="none"/>
        </w:rPr>
        <w:t xml:space="preserve"> </w:t>
      </w:r>
      <w:r>
        <w:rPr>
          <w:rFonts w:ascii="宋体" w:hAnsi="宋体" w:eastAsia="宋体" w:cs="宋体"/>
          <w:color w:val="auto"/>
          <w:spacing w:val="11"/>
          <w:sz w:val="20"/>
          <w:szCs w:val="20"/>
          <w:highlight w:val="none"/>
        </w:rPr>
        <w:t>除</w:t>
      </w:r>
      <w:r>
        <w:rPr>
          <w:rFonts w:ascii="宋体" w:hAnsi="宋体" w:eastAsia="宋体" w:cs="宋体"/>
          <w:color w:val="auto"/>
          <w:spacing w:val="-50"/>
          <w:sz w:val="20"/>
          <w:szCs w:val="20"/>
          <w:highlight w:val="none"/>
        </w:rPr>
        <w:t xml:space="preserve"> </w:t>
      </w:r>
      <w:r>
        <w:rPr>
          <w:rFonts w:ascii="宋体" w:hAnsi="宋体" w:eastAsia="宋体" w:cs="宋体"/>
          <w:color w:val="auto"/>
          <w:spacing w:val="11"/>
          <w:sz w:val="20"/>
          <w:szCs w:val="20"/>
          <w:highlight w:val="none"/>
        </w:rPr>
        <w:t>闭锁；</w:t>
      </w:r>
    </w:p>
    <w:p w14:paraId="584667DA">
      <w:pPr>
        <w:spacing w:before="161" w:line="303" w:lineRule="auto"/>
        <w:ind w:left="1161" w:right="35" w:hanging="360"/>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4)</w:t>
      </w:r>
      <w:r>
        <w:rPr>
          <w:rFonts w:ascii="宋体" w:hAnsi="宋体" w:eastAsia="宋体" w:cs="宋体"/>
          <w:color w:val="auto"/>
          <w:spacing w:val="59"/>
          <w:sz w:val="20"/>
          <w:szCs w:val="20"/>
          <w:highlight w:val="none"/>
        </w:rPr>
        <w:t xml:space="preserve"> </w:t>
      </w:r>
      <w:r>
        <w:rPr>
          <w:rFonts w:ascii="宋体" w:hAnsi="宋体" w:eastAsia="宋体" w:cs="宋体"/>
          <w:color w:val="auto"/>
          <w:spacing w:val="18"/>
          <w:sz w:val="20"/>
          <w:szCs w:val="20"/>
          <w:highlight w:val="none"/>
        </w:rPr>
        <w:t>具有</w:t>
      </w:r>
      <w:r>
        <w:rPr>
          <w:rFonts w:ascii="宋体" w:hAnsi="宋体" w:eastAsia="宋体" w:cs="宋体"/>
          <w:color w:val="auto"/>
          <w:spacing w:val="-50"/>
          <w:sz w:val="20"/>
          <w:szCs w:val="20"/>
          <w:highlight w:val="none"/>
        </w:rPr>
        <w:t xml:space="preserve"> </w:t>
      </w:r>
      <w:r>
        <w:rPr>
          <w:rFonts w:ascii="宋体" w:hAnsi="宋体" w:eastAsia="宋体" w:cs="宋体"/>
          <w:color w:val="auto"/>
          <w:spacing w:val="18"/>
          <w:sz w:val="20"/>
          <w:szCs w:val="20"/>
          <w:highlight w:val="none"/>
        </w:rPr>
        <w:t>防止励磁</w:t>
      </w:r>
      <w:r>
        <w:rPr>
          <w:rFonts w:ascii="宋体" w:hAnsi="宋体" w:eastAsia="宋体" w:cs="宋体"/>
          <w:color w:val="auto"/>
          <w:spacing w:val="-36"/>
          <w:sz w:val="20"/>
          <w:szCs w:val="20"/>
          <w:highlight w:val="none"/>
        </w:rPr>
        <w:t xml:space="preserve"> </w:t>
      </w:r>
      <w:r>
        <w:rPr>
          <w:rFonts w:ascii="宋体" w:hAnsi="宋体" w:eastAsia="宋体" w:cs="宋体"/>
          <w:color w:val="auto"/>
          <w:spacing w:val="18"/>
          <w:sz w:val="20"/>
          <w:szCs w:val="20"/>
          <w:highlight w:val="none"/>
        </w:rPr>
        <w:t>电流谐波</w:t>
      </w:r>
      <w:r>
        <w:rPr>
          <w:rFonts w:ascii="宋体" w:hAnsi="宋体" w:eastAsia="宋体" w:cs="宋体"/>
          <w:color w:val="auto"/>
          <w:spacing w:val="-58"/>
          <w:sz w:val="20"/>
          <w:szCs w:val="20"/>
          <w:highlight w:val="none"/>
        </w:rPr>
        <w:t xml:space="preserve"> </w:t>
      </w:r>
      <w:r>
        <w:rPr>
          <w:rFonts w:ascii="宋体" w:hAnsi="宋体" w:eastAsia="宋体" w:cs="宋体"/>
          <w:color w:val="auto"/>
          <w:spacing w:val="18"/>
          <w:sz w:val="20"/>
          <w:szCs w:val="20"/>
          <w:highlight w:val="none"/>
        </w:rPr>
        <w:t>分量</w:t>
      </w:r>
      <w:r>
        <w:rPr>
          <w:rFonts w:ascii="宋体" w:hAnsi="宋体" w:eastAsia="宋体" w:cs="宋体"/>
          <w:color w:val="auto"/>
          <w:spacing w:val="-59"/>
          <w:sz w:val="20"/>
          <w:szCs w:val="20"/>
          <w:highlight w:val="none"/>
        </w:rPr>
        <w:t xml:space="preserve"> </w:t>
      </w:r>
      <w:r>
        <w:rPr>
          <w:rFonts w:ascii="宋体" w:hAnsi="宋体" w:eastAsia="宋体" w:cs="宋体"/>
          <w:color w:val="auto"/>
          <w:spacing w:val="18"/>
          <w:sz w:val="20"/>
          <w:szCs w:val="20"/>
          <w:highlight w:val="none"/>
        </w:rPr>
        <w:t>大</w:t>
      </w:r>
      <w:r>
        <w:rPr>
          <w:rFonts w:ascii="宋体" w:hAnsi="宋体" w:eastAsia="宋体" w:cs="宋体"/>
          <w:color w:val="auto"/>
          <w:spacing w:val="-45"/>
          <w:sz w:val="20"/>
          <w:szCs w:val="20"/>
          <w:highlight w:val="none"/>
        </w:rPr>
        <w:t xml:space="preserve"> </w:t>
      </w:r>
      <w:r>
        <w:rPr>
          <w:rFonts w:ascii="宋体" w:hAnsi="宋体" w:eastAsia="宋体" w:cs="宋体"/>
          <w:color w:val="auto"/>
          <w:spacing w:val="18"/>
          <w:sz w:val="20"/>
          <w:szCs w:val="20"/>
          <w:highlight w:val="none"/>
        </w:rPr>
        <w:t>引起</w:t>
      </w:r>
      <w:r>
        <w:rPr>
          <w:rFonts w:ascii="宋体" w:hAnsi="宋体" w:eastAsia="宋体" w:cs="宋体"/>
          <w:color w:val="auto"/>
          <w:spacing w:val="-44"/>
          <w:sz w:val="20"/>
          <w:szCs w:val="20"/>
          <w:highlight w:val="none"/>
        </w:rPr>
        <w:t xml:space="preserve"> </w:t>
      </w:r>
      <w:r>
        <w:rPr>
          <w:rFonts w:ascii="宋体" w:hAnsi="宋体" w:eastAsia="宋体" w:cs="宋体"/>
          <w:color w:val="auto"/>
          <w:spacing w:val="18"/>
          <w:sz w:val="20"/>
          <w:szCs w:val="20"/>
          <w:highlight w:val="none"/>
        </w:rPr>
        <w:t>的</w:t>
      </w:r>
      <w:r>
        <w:rPr>
          <w:rFonts w:ascii="宋体" w:hAnsi="宋体" w:eastAsia="宋体" w:cs="宋体"/>
          <w:color w:val="auto"/>
          <w:spacing w:val="-57"/>
          <w:sz w:val="20"/>
          <w:szCs w:val="20"/>
          <w:highlight w:val="none"/>
        </w:rPr>
        <w:t xml:space="preserve"> </w:t>
      </w:r>
      <w:r>
        <w:rPr>
          <w:rFonts w:ascii="宋体" w:hAnsi="宋体" w:eastAsia="宋体" w:cs="宋体"/>
          <w:color w:val="auto"/>
          <w:spacing w:val="18"/>
          <w:sz w:val="20"/>
          <w:szCs w:val="20"/>
          <w:highlight w:val="none"/>
        </w:rPr>
        <w:t>暂态</w:t>
      </w:r>
      <w:r>
        <w:rPr>
          <w:rFonts w:ascii="宋体" w:hAnsi="宋体" w:eastAsia="宋体" w:cs="宋体"/>
          <w:color w:val="auto"/>
          <w:spacing w:val="-57"/>
          <w:sz w:val="20"/>
          <w:szCs w:val="20"/>
          <w:highlight w:val="none"/>
        </w:rPr>
        <w:t xml:space="preserve"> </w:t>
      </w:r>
      <w:r>
        <w:rPr>
          <w:rFonts w:ascii="宋体" w:hAnsi="宋体" w:eastAsia="宋体" w:cs="宋体"/>
          <w:color w:val="auto"/>
          <w:spacing w:val="18"/>
          <w:sz w:val="20"/>
          <w:szCs w:val="20"/>
          <w:highlight w:val="none"/>
        </w:rPr>
        <w:t>不平衡</w:t>
      </w:r>
      <w:r>
        <w:rPr>
          <w:rFonts w:ascii="宋体" w:hAnsi="宋体" w:eastAsia="宋体" w:cs="宋体"/>
          <w:color w:val="auto"/>
          <w:spacing w:val="-37"/>
          <w:sz w:val="20"/>
          <w:szCs w:val="20"/>
          <w:highlight w:val="none"/>
        </w:rPr>
        <w:t xml:space="preserve"> </w:t>
      </w:r>
      <w:r>
        <w:rPr>
          <w:rFonts w:ascii="宋体" w:hAnsi="宋体" w:eastAsia="宋体" w:cs="宋体"/>
          <w:color w:val="auto"/>
          <w:spacing w:val="18"/>
          <w:sz w:val="20"/>
          <w:szCs w:val="20"/>
          <w:highlight w:val="none"/>
        </w:rPr>
        <w:t>电流对保护影</w:t>
      </w:r>
      <w:r>
        <w:rPr>
          <w:rFonts w:ascii="宋体" w:hAnsi="宋体" w:eastAsia="宋体" w:cs="宋体"/>
          <w:color w:val="auto"/>
          <w:spacing w:val="-50"/>
          <w:sz w:val="20"/>
          <w:szCs w:val="20"/>
          <w:highlight w:val="none"/>
        </w:rPr>
        <w:t xml:space="preserve"> </w:t>
      </w:r>
      <w:r>
        <w:rPr>
          <w:rFonts w:ascii="宋体" w:hAnsi="宋体" w:eastAsia="宋体" w:cs="宋体"/>
          <w:color w:val="auto"/>
          <w:spacing w:val="18"/>
          <w:sz w:val="20"/>
          <w:szCs w:val="20"/>
          <w:highlight w:val="none"/>
        </w:rPr>
        <w:t>响</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的措</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施；</w:t>
      </w:r>
    </w:p>
    <w:p w14:paraId="60C7ED26">
      <w:pPr>
        <w:spacing w:before="159" w:line="226" w:lineRule="auto"/>
        <w:ind w:left="806"/>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5)</w:t>
      </w:r>
      <w:r>
        <w:rPr>
          <w:rFonts w:ascii="宋体" w:hAnsi="宋体" w:eastAsia="宋体" w:cs="宋体"/>
          <w:color w:val="auto"/>
          <w:spacing w:val="70"/>
          <w:sz w:val="20"/>
          <w:szCs w:val="20"/>
          <w:highlight w:val="none"/>
        </w:rPr>
        <w:t xml:space="preserve"> </w:t>
      </w:r>
      <w:r>
        <w:rPr>
          <w:rFonts w:ascii="宋体" w:hAnsi="宋体" w:eastAsia="宋体" w:cs="宋体"/>
          <w:color w:val="auto"/>
          <w:spacing w:val="17"/>
          <w:sz w:val="20"/>
          <w:szCs w:val="20"/>
          <w:highlight w:val="none"/>
        </w:rPr>
        <w:t>具有差流告警功能</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，发信；</w:t>
      </w:r>
    </w:p>
    <w:p w14:paraId="4EAC1419">
      <w:pPr>
        <w:spacing w:before="164" w:line="228" w:lineRule="auto"/>
        <w:ind w:left="803"/>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6)</w:t>
      </w:r>
      <w:r>
        <w:rPr>
          <w:rFonts w:ascii="宋体" w:hAnsi="宋体" w:eastAsia="宋体" w:cs="宋体"/>
          <w:color w:val="auto"/>
          <w:spacing w:val="58"/>
          <w:sz w:val="20"/>
          <w:szCs w:val="20"/>
          <w:highlight w:val="none"/>
        </w:rPr>
        <w:t xml:space="preserve"> </w:t>
      </w:r>
      <w:r>
        <w:rPr>
          <w:rFonts w:ascii="宋体" w:hAnsi="宋体" w:eastAsia="宋体" w:cs="宋体"/>
          <w:color w:val="auto"/>
          <w:spacing w:val="15"/>
          <w:sz w:val="20"/>
          <w:szCs w:val="20"/>
          <w:highlight w:val="none"/>
        </w:rPr>
        <w:t>整定值的准确度：</w:t>
      </w:r>
      <w:r>
        <w:rPr>
          <w:rFonts w:ascii="宋体" w:hAnsi="宋体" w:eastAsia="宋体" w:cs="宋体"/>
          <w:color w:val="auto"/>
          <w:spacing w:val="-36"/>
          <w:sz w:val="20"/>
          <w:szCs w:val="20"/>
          <w:highlight w:val="none"/>
        </w:rPr>
        <w:t xml:space="preserve"> </w:t>
      </w:r>
      <w:r>
        <w:rPr>
          <w:rFonts w:ascii="宋体" w:hAnsi="宋体" w:eastAsia="宋体" w:cs="宋体"/>
          <w:color w:val="auto"/>
          <w:spacing w:val="15"/>
          <w:sz w:val="20"/>
          <w:szCs w:val="20"/>
          <w:highlight w:val="none"/>
        </w:rPr>
        <w:t>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5"/>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5"/>
          <w:sz w:val="20"/>
          <w:szCs w:val="20"/>
          <w:highlight w:val="none"/>
        </w:rPr>
        <w:t>；</w:t>
      </w:r>
    </w:p>
    <w:p w14:paraId="1321E24D">
      <w:pPr>
        <w:spacing w:before="162" w:line="228" w:lineRule="auto"/>
        <w:ind w:left="807"/>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7)</w:t>
      </w:r>
      <w:r>
        <w:rPr>
          <w:rFonts w:ascii="宋体" w:hAnsi="宋体" w:eastAsia="宋体" w:cs="宋体"/>
          <w:color w:val="auto"/>
          <w:spacing w:val="71"/>
          <w:sz w:val="20"/>
          <w:szCs w:val="20"/>
          <w:highlight w:val="none"/>
        </w:rPr>
        <w:t xml:space="preserve"> </w:t>
      </w:r>
      <w:r>
        <w:rPr>
          <w:rFonts w:ascii="宋体" w:hAnsi="宋体" w:eastAsia="宋体" w:cs="宋体"/>
          <w:color w:val="auto"/>
          <w:spacing w:val="14"/>
          <w:sz w:val="20"/>
          <w:szCs w:val="20"/>
          <w:highlight w:val="none"/>
        </w:rPr>
        <w:t>动作时间（</w:t>
      </w:r>
      <w:r>
        <w:rPr>
          <w:rFonts w:ascii="宋体" w:hAnsi="宋体" w:eastAsia="宋体" w:cs="宋体"/>
          <w:color w:val="auto"/>
          <w:spacing w:val="-37"/>
          <w:sz w:val="20"/>
          <w:szCs w:val="20"/>
          <w:highlight w:val="none"/>
        </w:rPr>
        <w:t xml:space="preserve"> </w:t>
      </w:r>
      <w:r>
        <w:rPr>
          <w:rFonts w:ascii="宋体" w:hAnsi="宋体" w:eastAsia="宋体" w:cs="宋体"/>
          <w:color w:val="auto"/>
          <w:spacing w:val="14"/>
          <w:sz w:val="20"/>
          <w:szCs w:val="20"/>
          <w:highlight w:val="none"/>
        </w:rPr>
        <w:t>2</w:t>
      </w:r>
      <w:r>
        <w:rPr>
          <w:rFonts w:ascii="宋体" w:hAnsi="宋体" w:eastAsia="宋体" w:cs="宋体"/>
          <w:color w:val="auto"/>
          <w:spacing w:val="-24"/>
          <w:sz w:val="20"/>
          <w:szCs w:val="20"/>
          <w:highlight w:val="none"/>
        </w:rPr>
        <w:t xml:space="preserve"> </w:t>
      </w:r>
      <w:r>
        <w:rPr>
          <w:rFonts w:ascii="宋体" w:hAnsi="宋体" w:eastAsia="宋体" w:cs="宋体"/>
          <w:color w:val="auto"/>
          <w:spacing w:val="14"/>
          <w:sz w:val="20"/>
          <w:szCs w:val="20"/>
          <w:highlight w:val="none"/>
        </w:rPr>
        <w:t>倍整定电流时</w:t>
      </w:r>
      <w:r>
        <w:rPr>
          <w:rFonts w:ascii="宋体" w:hAnsi="宋体" w:eastAsia="宋体" w:cs="宋体"/>
          <w:color w:val="auto"/>
          <w:spacing w:val="-48"/>
          <w:sz w:val="20"/>
          <w:szCs w:val="20"/>
          <w:highlight w:val="none"/>
        </w:rPr>
        <w:t xml:space="preserve"> </w:t>
      </w:r>
      <w:r>
        <w:rPr>
          <w:rFonts w:ascii="宋体" w:hAnsi="宋体" w:eastAsia="宋体" w:cs="宋体"/>
          <w:color w:val="auto"/>
          <w:spacing w:val="14"/>
          <w:sz w:val="20"/>
          <w:szCs w:val="20"/>
          <w:highlight w:val="none"/>
        </w:rPr>
        <w:t>）不大于 70</w:t>
      </w:r>
      <w:r>
        <w:rPr>
          <w:rFonts w:ascii="宋体" w:hAnsi="宋体" w:eastAsia="宋体" w:cs="宋体"/>
          <w:color w:val="auto"/>
          <w:sz w:val="20"/>
          <w:szCs w:val="20"/>
          <w:highlight w:val="none"/>
        </w:rPr>
        <w:t>ms</w:t>
      </w:r>
      <w:r>
        <w:rPr>
          <w:rFonts w:ascii="宋体" w:hAnsi="宋体" w:eastAsia="宋体" w:cs="宋体"/>
          <w:color w:val="auto"/>
          <w:spacing w:val="14"/>
          <w:sz w:val="20"/>
          <w:szCs w:val="20"/>
          <w:highlight w:val="none"/>
        </w:rPr>
        <w:t>。</w:t>
      </w:r>
    </w:p>
    <w:p w14:paraId="4FF2507D">
      <w:pPr>
        <w:spacing w:before="160"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励磁变速断保护</w:t>
      </w:r>
    </w:p>
    <w:p w14:paraId="728C1922">
      <w:pPr>
        <w:spacing w:before="159" w:line="228" w:lineRule="auto"/>
        <w:ind w:left="647"/>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其主要功能及技术要求如下：</w:t>
      </w:r>
    </w:p>
    <w:p w14:paraId="458D3FB4">
      <w:pPr>
        <w:spacing w:before="163" w:line="228" w:lineRule="auto"/>
        <w:ind w:left="956"/>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1)</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电流整定值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39"/>
          <w:sz w:val="20"/>
          <w:szCs w:val="20"/>
          <w:highlight w:val="none"/>
        </w:rPr>
        <w:t xml:space="preserve"> </w:t>
      </w:r>
      <w:r>
        <w:rPr>
          <w:rFonts w:ascii="宋体" w:hAnsi="宋体" w:eastAsia="宋体" w:cs="宋体"/>
          <w:color w:val="auto"/>
          <w:spacing w:val="13"/>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3"/>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3"/>
          <w:sz w:val="20"/>
          <w:szCs w:val="20"/>
          <w:highlight w:val="none"/>
        </w:rPr>
        <w:t>；</w:t>
      </w:r>
    </w:p>
    <w:p w14:paraId="112D143A">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2)</w:t>
      </w:r>
      <w:r>
        <w:rPr>
          <w:rFonts w:ascii="宋体" w:hAnsi="宋体" w:eastAsia="宋体" w:cs="宋体"/>
          <w:color w:val="auto"/>
          <w:spacing w:val="44"/>
          <w:sz w:val="20"/>
          <w:szCs w:val="20"/>
          <w:highlight w:val="none"/>
        </w:rPr>
        <w:t xml:space="preserve"> </w:t>
      </w:r>
      <w:r>
        <w:rPr>
          <w:rFonts w:ascii="宋体" w:hAnsi="宋体" w:eastAsia="宋体" w:cs="宋体"/>
          <w:color w:val="auto"/>
          <w:spacing w:val="12"/>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间整定值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的准确度（</w:t>
      </w:r>
      <w:r>
        <w:rPr>
          <w:rFonts w:ascii="宋体" w:hAnsi="宋体" w:eastAsia="宋体" w:cs="宋体"/>
          <w:color w:val="auto"/>
          <w:spacing w:val="-15"/>
          <w:sz w:val="20"/>
          <w:szCs w:val="20"/>
          <w:highlight w:val="none"/>
        </w:rPr>
        <w:t xml:space="preserve"> </w:t>
      </w:r>
      <w:r>
        <w:rPr>
          <w:rFonts w:ascii="宋体" w:hAnsi="宋体" w:eastAsia="宋体" w:cs="宋体"/>
          <w:color w:val="auto"/>
          <w:spacing w:val="12"/>
          <w:sz w:val="20"/>
          <w:szCs w:val="20"/>
          <w:highlight w:val="none"/>
        </w:rPr>
        <w:t>电流 2</w:t>
      </w:r>
      <w:r>
        <w:rPr>
          <w:rFonts w:ascii="宋体" w:hAnsi="宋体" w:eastAsia="宋体" w:cs="宋体"/>
          <w:color w:val="auto"/>
          <w:spacing w:val="-24"/>
          <w:sz w:val="20"/>
          <w:szCs w:val="20"/>
          <w:highlight w:val="none"/>
        </w:rPr>
        <w:t xml:space="preserve"> </w:t>
      </w:r>
      <w:r>
        <w:rPr>
          <w:rFonts w:ascii="宋体" w:hAnsi="宋体" w:eastAsia="宋体" w:cs="宋体"/>
          <w:color w:val="auto"/>
          <w:spacing w:val="12"/>
          <w:sz w:val="20"/>
          <w:szCs w:val="20"/>
          <w:highlight w:val="none"/>
        </w:rPr>
        <w:t>倍整定值</w:t>
      </w:r>
      <w:r>
        <w:rPr>
          <w:rFonts w:ascii="宋体" w:hAnsi="宋体" w:eastAsia="宋体" w:cs="宋体"/>
          <w:color w:val="auto"/>
          <w:spacing w:val="-50"/>
          <w:sz w:val="20"/>
          <w:szCs w:val="20"/>
          <w:highlight w:val="none"/>
        </w:rPr>
        <w:t>）：</w:t>
      </w:r>
      <w:r>
        <w:rPr>
          <w:rFonts w:ascii="宋体" w:hAnsi="宋体" w:eastAsia="宋体" w:cs="宋体"/>
          <w:color w:val="auto"/>
          <w:spacing w:val="-33"/>
          <w:sz w:val="20"/>
          <w:szCs w:val="20"/>
          <w:highlight w:val="none"/>
        </w:rPr>
        <w:t xml:space="preserve"> </w:t>
      </w:r>
      <w:r>
        <w:rPr>
          <w:rFonts w:ascii="宋体" w:hAnsi="宋体" w:eastAsia="宋体" w:cs="宋体"/>
          <w:color w:val="auto"/>
          <w:spacing w:val="12"/>
          <w:sz w:val="20"/>
          <w:szCs w:val="20"/>
          <w:highlight w:val="none"/>
        </w:rPr>
        <w:t>不大于 30</w:t>
      </w:r>
      <w:r>
        <w:rPr>
          <w:rFonts w:ascii="宋体" w:hAnsi="宋体" w:eastAsia="宋体" w:cs="宋体"/>
          <w:color w:val="auto"/>
          <w:sz w:val="20"/>
          <w:szCs w:val="20"/>
          <w:highlight w:val="none"/>
        </w:rPr>
        <w:t>ms</w:t>
      </w:r>
    </w:p>
    <w:p w14:paraId="6DE733B8">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0"/>
          <w:sz w:val="14"/>
          <w:szCs w:val="14"/>
          <w:highlight w:val="none"/>
        </w:rPr>
        <w:t xml:space="preserve"> </w:t>
      </w:r>
      <w:r>
        <w:rPr>
          <w:rFonts w:ascii="宋体" w:hAnsi="宋体" w:eastAsia="宋体" w:cs="宋体"/>
          <w:b/>
          <w:bCs/>
          <w:color w:val="auto"/>
          <w:spacing w:val="5"/>
          <w:sz w:val="20"/>
          <w:szCs w:val="20"/>
          <w:highlight w:val="none"/>
        </w:rPr>
        <w:t>励磁变过流保护</w:t>
      </w:r>
    </w:p>
    <w:p w14:paraId="35689E53">
      <w:pPr>
        <w:spacing w:before="159" w:line="228" w:lineRule="auto"/>
        <w:ind w:left="647"/>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其主要功能及技术要求如下：</w:t>
      </w:r>
    </w:p>
    <w:p w14:paraId="5E2C3AB2">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1)</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电流整定值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39"/>
          <w:sz w:val="20"/>
          <w:szCs w:val="20"/>
          <w:highlight w:val="none"/>
        </w:rPr>
        <w:t xml:space="preserve"> </w:t>
      </w:r>
      <w:r>
        <w:rPr>
          <w:rFonts w:ascii="宋体" w:hAnsi="宋体" w:eastAsia="宋体" w:cs="宋体"/>
          <w:color w:val="auto"/>
          <w:spacing w:val="13"/>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3"/>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3"/>
          <w:sz w:val="20"/>
          <w:szCs w:val="20"/>
          <w:highlight w:val="none"/>
        </w:rPr>
        <w:t>；</w:t>
      </w:r>
    </w:p>
    <w:p w14:paraId="363F7F85">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2)</w:t>
      </w:r>
      <w:r>
        <w:rPr>
          <w:rFonts w:ascii="宋体" w:hAnsi="宋体" w:eastAsia="宋体" w:cs="宋体"/>
          <w:color w:val="auto"/>
          <w:spacing w:val="49"/>
          <w:sz w:val="20"/>
          <w:szCs w:val="20"/>
          <w:highlight w:val="none"/>
        </w:rPr>
        <w:t xml:space="preserve"> </w:t>
      </w:r>
      <w:r>
        <w:rPr>
          <w:rFonts w:ascii="宋体" w:hAnsi="宋体" w:eastAsia="宋体" w:cs="宋体"/>
          <w:color w:val="auto"/>
          <w:spacing w:val="11"/>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1"/>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1"/>
          <w:sz w:val="20"/>
          <w:szCs w:val="20"/>
          <w:highlight w:val="none"/>
        </w:rPr>
        <w:t>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11"/>
          <w:sz w:val="20"/>
          <w:szCs w:val="20"/>
          <w:highlight w:val="none"/>
        </w:rPr>
        <w:t>电流 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1"/>
          <w:sz w:val="20"/>
          <w:szCs w:val="20"/>
          <w:highlight w:val="none"/>
        </w:rPr>
        <w:t>倍整定值</w:t>
      </w:r>
      <w:r>
        <w:rPr>
          <w:rFonts w:ascii="宋体" w:hAnsi="宋体" w:eastAsia="宋体" w:cs="宋体"/>
          <w:color w:val="auto"/>
          <w:spacing w:val="-51"/>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1"/>
          <w:sz w:val="20"/>
          <w:szCs w:val="20"/>
          <w:highlight w:val="none"/>
        </w:rPr>
        <w:t>1%或</w:t>
      </w:r>
      <w:r>
        <w:rPr>
          <w:rFonts w:ascii="宋体" w:hAnsi="宋体" w:eastAsia="宋体" w:cs="宋体"/>
          <w:color w:val="auto"/>
          <w:spacing w:val="-16"/>
          <w:sz w:val="20"/>
          <w:szCs w:val="20"/>
          <w:highlight w:val="none"/>
        </w:rPr>
        <w:t xml:space="preserve"> </w:t>
      </w:r>
      <w:r>
        <w:rPr>
          <w:rFonts w:ascii="宋体" w:hAnsi="宋体" w:eastAsia="宋体" w:cs="宋体"/>
          <w:color w:val="auto"/>
          <w:spacing w:val="11"/>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1"/>
          <w:sz w:val="20"/>
          <w:szCs w:val="20"/>
          <w:highlight w:val="none"/>
        </w:rPr>
        <w:t>。</w:t>
      </w:r>
    </w:p>
    <w:p w14:paraId="37ECA03D">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19"/>
          <w:sz w:val="14"/>
          <w:szCs w:val="14"/>
          <w:highlight w:val="none"/>
        </w:rPr>
        <w:t xml:space="preserve"> </w:t>
      </w:r>
      <w:r>
        <w:rPr>
          <w:rFonts w:ascii="宋体" w:hAnsi="宋体" w:eastAsia="宋体" w:cs="宋体"/>
          <w:b/>
          <w:bCs/>
          <w:color w:val="auto"/>
          <w:spacing w:val="6"/>
          <w:sz w:val="20"/>
          <w:szCs w:val="20"/>
          <w:highlight w:val="none"/>
        </w:rPr>
        <w:t>励磁系统过负荷保护</w:t>
      </w:r>
    </w:p>
    <w:p w14:paraId="1E9A16C4">
      <w:pPr>
        <w:spacing w:before="159" w:line="228" w:lineRule="auto"/>
        <w:ind w:left="647"/>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其主要功能及技术要求如下：</w:t>
      </w:r>
    </w:p>
    <w:p w14:paraId="432498A6">
      <w:pPr>
        <w:spacing w:before="162" w:line="228" w:lineRule="auto"/>
        <w:ind w:left="956"/>
        <w:rPr>
          <w:rFonts w:ascii="宋体" w:hAnsi="宋体" w:eastAsia="宋体" w:cs="宋体"/>
          <w:color w:val="auto"/>
          <w:sz w:val="20"/>
          <w:szCs w:val="20"/>
          <w:highlight w:val="none"/>
        </w:rPr>
      </w:pPr>
      <w:r>
        <w:rPr>
          <w:rFonts w:ascii="宋体" w:hAnsi="宋体" w:eastAsia="宋体" w:cs="宋体"/>
          <w:color w:val="auto"/>
          <w:spacing w:val="20"/>
          <w:sz w:val="20"/>
          <w:szCs w:val="20"/>
          <w:highlight w:val="none"/>
        </w:rPr>
        <w:t>1) 具有可选</w:t>
      </w:r>
      <w:r>
        <w:rPr>
          <w:rFonts w:ascii="宋体" w:hAnsi="宋体" w:eastAsia="宋体" w:cs="宋体"/>
          <w:color w:val="auto"/>
          <w:spacing w:val="-45"/>
          <w:sz w:val="20"/>
          <w:szCs w:val="20"/>
          <w:highlight w:val="none"/>
        </w:rPr>
        <w:t xml:space="preserve"> </w:t>
      </w:r>
      <w:r>
        <w:rPr>
          <w:rFonts w:ascii="宋体" w:hAnsi="宋体" w:eastAsia="宋体" w:cs="宋体"/>
          <w:color w:val="auto"/>
          <w:spacing w:val="20"/>
          <w:sz w:val="20"/>
          <w:szCs w:val="20"/>
          <w:highlight w:val="none"/>
        </w:rPr>
        <w:t>的直流或交流测量功能；</w:t>
      </w:r>
    </w:p>
    <w:p w14:paraId="7ADD548C">
      <w:pPr>
        <w:spacing w:before="161" w:line="304" w:lineRule="auto"/>
        <w:ind w:left="1371" w:right="35" w:hanging="428"/>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2)</w:t>
      </w:r>
      <w:r>
        <w:rPr>
          <w:rFonts w:ascii="宋体" w:hAnsi="宋体" w:eastAsia="宋体" w:cs="宋体"/>
          <w:color w:val="auto"/>
          <w:spacing w:val="39"/>
          <w:sz w:val="20"/>
          <w:szCs w:val="20"/>
          <w:highlight w:val="none"/>
        </w:rPr>
        <w:t xml:space="preserve"> </w:t>
      </w:r>
      <w:r>
        <w:rPr>
          <w:rFonts w:ascii="宋体" w:hAnsi="宋体" w:eastAsia="宋体" w:cs="宋体"/>
          <w:color w:val="auto"/>
          <w:spacing w:val="18"/>
          <w:sz w:val="20"/>
          <w:szCs w:val="20"/>
          <w:highlight w:val="none"/>
        </w:rPr>
        <w:t>定时</w:t>
      </w:r>
      <w:r>
        <w:rPr>
          <w:rFonts w:ascii="宋体" w:hAnsi="宋体" w:eastAsia="宋体" w:cs="宋体"/>
          <w:color w:val="auto"/>
          <w:spacing w:val="-55"/>
          <w:sz w:val="20"/>
          <w:szCs w:val="20"/>
          <w:highlight w:val="none"/>
        </w:rPr>
        <w:t xml:space="preserve"> </w:t>
      </w:r>
      <w:r>
        <w:rPr>
          <w:rFonts w:ascii="宋体" w:hAnsi="宋体" w:eastAsia="宋体" w:cs="宋体"/>
          <w:color w:val="auto"/>
          <w:spacing w:val="18"/>
          <w:sz w:val="20"/>
          <w:szCs w:val="20"/>
          <w:highlight w:val="none"/>
        </w:rPr>
        <w:t>限至少分两段</w:t>
      </w:r>
      <w:r>
        <w:rPr>
          <w:rFonts w:ascii="宋体" w:hAnsi="宋体" w:eastAsia="宋体" w:cs="宋体"/>
          <w:color w:val="auto"/>
          <w:spacing w:val="-54"/>
          <w:sz w:val="20"/>
          <w:szCs w:val="20"/>
          <w:highlight w:val="none"/>
        </w:rPr>
        <w:t xml:space="preserve"> </w:t>
      </w:r>
      <w:r>
        <w:rPr>
          <w:rFonts w:ascii="宋体" w:hAnsi="宋体" w:eastAsia="宋体" w:cs="宋体"/>
          <w:color w:val="auto"/>
          <w:spacing w:val="18"/>
          <w:sz w:val="20"/>
          <w:szCs w:val="20"/>
          <w:highlight w:val="none"/>
        </w:rPr>
        <w:t>，反时</w:t>
      </w:r>
      <w:r>
        <w:rPr>
          <w:rFonts w:ascii="宋体" w:hAnsi="宋体" w:eastAsia="宋体" w:cs="宋体"/>
          <w:color w:val="auto"/>
          <w:spacing w:val="-55"/>
          <w:sz w:val="20"/>
          <w:szCs w:val="20"/>
          <w:highlight w:val="none"/>
        </w:rPr>
        <w:t xml:space="preserve"> </w:t>
      </w:r>
      <w:r>
        <w:rPr>
          <w:rFonts w:ascii="宋体" w:hAnsi="宋体" w:eastAsia="宋体" w:cs="宋体"/>
          <w:color w:val="auto"/>
          <w:spacing w:val="18"/>
          <w:sz w:val="20"/>
          <w:szCs w:val="20"/>
          <w:highlight w:val="none"/>
        </w:rPr>
        <w:t>限特性应能整定</w:t>
      </w:r>
      <w:r>
        <w:rPr>
          <w:rFonts w:ascii="宋体" w:hAnsi="宋体" w:eastAsia="宋体" w:cs="宋体"/>
          <w:color w:val="auto"/>
          <w:spacing w:val="-56"/>
          <w:sz w:val="20"/>
          <w:szCs w:val="20"/>
          <w:highlight w:val="none"/>
        </w:rPr>
        <w:t xml:space="preserve"> </w:t>
      </w:r>
      <w:r>
        <w:rPr>
          <w:rFonts w:ascii="宋体" w:hAnsi="宋体" w:eastAsia="宋体" w:cs="宋体"/>
          <w:color w:val="auto"/>
          <w:spacing w:val="18"/>
          <w:sz w:val="20"/>
          <w:szCs w:val="20"/>
          <w:highlight w:val="none"/>
        </w:rPr>
        <w:t>，以便于励磁绕</w:t>
      </w:r>
      <w:r>
        <w:rPr>
          <w:rFonts w:ascii="宋体" w:hAnsi="宋体" w:eastAsia="宋体" w:cs="宋体"/>
          <w:color w:val="auto"/>
          <w:spacing w:val="17"/>
          <w:sz w:val="20"/>
          <w:szCs w:val="20"/>
          <w:highlight w:val="none"/>
        </w:rPr>
        <w:t>组</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的过热特性</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匹配；</w:t>
      </w:r>
    </w:p>
    <w:p w14:paraId="1507CAC8">
      <w:pPr>
        <w:spacing w:before="160" w:line="302" w:lineRule="auto"/>
        <w:ind w:left="1359" w:right="43" w:hanging="414"/>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3)</w:t>
      </w:r>
      <w:r>
        <w:rPr>
          <w:rFonts w:ascii="宋体" w:hAnsi="宋体" w:eastAsia="宋体" w:cs="宋体"/>
          <w:color w:val="auto"/>
          <w:spacing w:val="39"/>
          <w:sz w:val="20"/>
          <w:szCs w:val="20"/>
          <w:highlight w:val="none"/>
        </w:rPr>
        <w:t xml:space="preserve"> </w:t>
      </w:r>
      <w:r>
        <w:rPr>
          <w:rFonts w:ascii="宋体" w:hAnsi="宋体" w:eastAsia="宋体" w:cs="宋体"/>
          <w:color w:val="auto"/>
          <w:spacing w:val="17"/>
          <w:sz w:val="20"/>
          <w:szCs w:val="20"/>
          <w:highlight w:val="none"/>
        </w:rPr>
        <w:t>定时</w:t>
      </w:r>
      <w:r>
        <w:rPr>
          <w:rFonts w:ascii="宋体" w:hAnsi="宋体" w:eastAsia="宋体" w:cs="宋体"/>
          <w:color w:val="auto"/>
          <w:spacing w:val="-55"/>
          <w:sz w:val="20"/>
          <w:szCs w:val="20"/>
          <w:highlight w:val="none"/>
        </w:rPr>
        <w:t xml:space="preserve"> </w:t>
      </w:r>
      <w:r>
        <w:rPr>
          <w:rFonts w:ascii="宋体" w:hAnsi="宋体" w:eastAsia="宋体" w:cs="宋体"/>
          <w:color w:val="auto"/>
          <w:spacing w:val="17"/>
          <w:sz w:val="20"/>
          <w:szCs w:val="20"/>
          <w:highlight w:val="none"/>
        </w:rPr>
        <w:t>限段返</w:t>
      </w:r>
      <w:r>
        <w:rPr>
          <w:rFonts w:ascii="宋体" w:hAnsi="宋体" w:eastAsia="宋体" w:cs="宋体"/>
          <w:color w:val="auto"/>
          <w:spacing w:val="-50"/>
          <w:sz w:val="20"/>
          <w:szCs w:val="20"/>
          <w:highlight w:val="none"/>
        </w:rPr>
        <w:t xml:space="preserve"> </w:t>
      </w:r>
      <w:r>
        <w:rPr>
          <w:rFonts w:ascii="宋体" w:hAnsi="宋体" w:eastAsia="宋体" w:cs="宋体"/>
          <w:color w:val="auto"/>
          <w:spacing w:val="17"/>
          <w:sz w:val="20"/>
          <w:szCs w:val="20"/>
          <w:highlight w:val="none"/>
        </w:rPr>
        <w:t>回系数不小于</w:t>
      </w:r>
      <w:r>
        <w:rPr>
          <w:rFonts w:ascii="宋体" w:hAnsi="宋体" w:eastAsia="宋体" w:cs="宋体"/>
          <w:color w:val="auto"/>
          <w:spacing w:val="-12"/>
          <w:sz w:val="20"/>
          <w:szCs w:val="20"/>
          <w:highlight w:val="none"/>
        </w:rPr>
        <w:t xml:space="preserve"> </w:t>
      </w:r>
      <w:r>
        <w:rPr>
          <w:rFonts w:ascii="宋体" w:hAnsi="宋体" w:eastAsia="宋体" w:cs="宋体"/>
          <w:color w:val="auto"/>
          <w:spacing w:val="17"/>
          <w:sz w:val="20"/>
          <w:szCs w:val="20"/>
          <w:highlight w:val="none"/>
        </w:rPr>
        <w:t>0.9</w:t>
      </w:r>
      <w:r>
        <w:rPr>
          <w:rFonts w:ascii="宋体" w:hAnsi="宋体" w:eastAsia="宋体" w:cs="宋体"/>
          <w:color w:val="auto"/>
          <w:spacing w:val="-55"/>
          <w:sz w:val="20"/>
          <w:szCs w:val="20"/>
          <w:highlight w:val="none"/>
        </w:rPr>
        <w:t xml:space="preserve"> </w:t>
      </w:r>
      <w:r>
        <w:rPr>
          <w:rFonts w:ascii="宋体" w:hAnsi="宋体" w:eastAsia="宋体" w:cs="宋体"/>
          <w:color w:val="auto"/>
          <w:spacing w:val="17"/>
          <w:sz w:val="20"/>
          <w:szCs w:val="20"/>
          <w:highlight w:val="none"/>
        </w:rPr>
        <w:t>。反时限特性应</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由长延时段</w:t>
      </w:r>
      <w:r>
        <w:rPr>
          <w:rFonts w:ascii="宋体" w:hAnsi="宋体" w:eastAsia="宋体" w:cs="宋体"/>
          <w:color w:val="auto"/>
          <w:spacing w:val="-55"/>
          <w:sz w:val="20"/>
          <w:szCs w:val="20"/>
          <w:highlight w:val="none"/>
        </w:rPr>
        <w:t xml:space="preserve"> </w:t>
      </w:r>
      <w:r>
        <w:rPr>
          <w:rFonts w:ascii="宋体" w:hAnsi="宋体" w:eastAsia="宋体" w:cs="宋体"/>
          <w:color w:val="auto"/>
          <w:spacing w:val="17"/>
          <w:sz w:val="20"/>
          <w:szCs w:val="20"/>
          <w:highlight w:val="none"/>
        </w:rPr>
        <w:t>、反时限段、</w:t>
      </w:r>
      <w:r>
        <w:rPr>
          <w:rFonts w:ascii="宋体" w:hAnsi="宋体" w:eastAsia="宋体" w:cs="宋体"/>
          <w:color w:val="auto"/>
          <w:sz w:val="20"/>
          <w:szCs w:val="20"/>
          <w:highlight w:val="none"/>
        </w:rPr>
        <w:t xml:space="preserve"> </w:t>
      </w:r>
      <w:r>
        <w:rPr>
          <w:rFonts w:ascii="宋体" w:hAnsi="宋体" w:eastAsia="宋体" w:cs="宋体"/>
          <w:color w:val="auto"/>
          <w:spacing w:val="19"/>
          <w:sz w:val="20"/>
          <w:szCs w:val="20"/>
          <w:highlight w:val="none"/>
        </w:rPr>
        <w:t>速断段三部分组成</w:t>
      </w:r>
      <w:r>
        <w:rPr>
          <w:rFonts w:ascii="宋体" w:hAnsi="宋体" w:eastAsia="宋体" w:cs="宋体"/>
          <w:color w:val="auto"/>
          <w:spacing w:val="-37"/>
          <w:sz w:val="20"/>
          <w:szCs w:val="20"/>
          <w:highlight w:val="none"/>
        </w:rPr>
        <w:t xml:space="preserve"> </w:t>
      </w:r>
      <w:r>
        <w:rPr>
          <w:rFonts w:ascii="宋体" w:hAnsi="宋体" w:eastAsia="宋体" w:cs="宋体"/>
          <w:color w:val="auto"/>
          <w:spacing w:val="19"/>
          <w:sz w:val="20"/>
          <w:szCs w:val="20"/>
          <w:highlight w:val="none"/>
        </w:rPr>
        <w:t>。长延时应可整定到 1000s；</w:t>
      </w:r>
    </w:p>
    <w:p w14:paraId="000F53D7">
      <w:pPr>
        <w:spacing w:before="161" w:line="228" w:lineRule="auto"/>
        <w:ind w:left="940"/>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4) 整定值的准确度：</w:t>
      </w:r>
      <w:r>
        <w:rPr>
          <w:rFonts w:ascii="宋体" w:hAnsi="宋体" w:eastAsia="宋体" w:cs="宋体"/>
          <w:color w:val="auto"/>
          <w:spacing w:val="-36"/>
          <w:sz w:val="20"/>
          <w:szCs w:val="20"/>
          <w:highlight w:val="none"/>
        </w:rPr>
        <w:t xml:space="preserve"> </w:t>
      </w:r>
      <w:r>
        <w:rPr>
          <w:rFonts w:ascii="宋体" w:hAnsi="宋体" w:eastAsia="宋体" w:cs="宋体"/>
          <w:color w:val="auto"/>
          <w:spacing w:val="15"/>
          <w:sz w:val="20"/>
          <w:szCs w:val="20"/>
          <w:highlight w:val="none"/>
        </w:rPr>
        <w:t>2.5%或 5</w:t>
      </w:r>
      <w:r>
        <w:rPr>
          <w:rFonts w:ascii="宋体" w:hAnsi="宋体" w:eastAsia="宋体" w:cs="宋体"/>
          <w:color w:val="auto"/>
          <w:sz w:val="20"/>
          <w:szCs w:val="20"/>
          <w:highlight w:val="none"/>
        </w:rPr>
        <w:t>mV</w:t>
      </w:r>
      <w:r>
        <w:rPr>
          <w:rFonts w:ascii="宋体" w:hAnsi="宋体" w:eastAsia="宋体" w:cs="宋体"/>
          <w:color w:val="auto"/>
          <w:spacing w:val="15"/>
          <w:sz w:val="20"/>
          <w:szCs w:val="20"/>
          <w:highlight w:val="none"/>
        </w:rPr>
        <w:t>；</w:t>
      </w:r>
    </w:p>
    <w:p w14:paraId="1F66E765">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5) 长延时段</w:t>
      </w:r>
      <w:r>
        <w:rPr>
          <w:rFonts w:ascii="宋体" w:hAnsi="宋体" w:eastAsia="宋体" w:cs="宋体"/>
          <w:color w:val="auto"/>
          <w:spacing w:val="-53"/>
          <w:sz w:val="20"/>
          <w:szCs w:val="20"/>
          <w:highlight w:val="none"/>
        </w:rPr>
        <w:t xml:space="preserve"> </w:t>
      </w:r>
      <w:r>
        <w:rPr>
          <w:rFonts w:ascii="宋体" w:hAnsi="宋体" w:eastAsia="宋体" w:cs="宋体"/>
          <w:color w:val="auto"/>
          <w:spacing w:val="18"/>
          <w:sz w:val="20"/>
          <w:szCs w:val="20"/>
          <w:highlight w:val="none"/>
        </w:rPr>
        <w:t>、速断段时间整定值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8"/>
          <w:sz w:val="20"/>
          <w:szCs w:val="20"/>
          <w:highlight w:val="none"/>
        </w:rPr>
        <w:t>的准确</w:t>
      </w:r>
      <w:r>
        <w:rPr>
          <w:rFonts w:ascii="宋体" w:hAnsi="宋体" w:eastAsia="宋体" w:cs="宋体"/>
          <w:color w:val="auto"/>
          <w:spacing w:val="17"/>
          <w:sz w:val="20"/>
          <w:szCs w:val="20"/>
          <w:highlight w:val="none"/>
        </w:rPr>
        <w:t>度（</w:t>
      </w:r>
      <w:r>
        <w:rPr>
          <w:rFonts w:ascii="宋体" w:hAnsi="宋体" w:eastAsia="宋体" w:cs="宋体"/>
          <w:color w:val="auto"/>
          <w:spacing w:val="-24"/>
          <w:sz w:val="20"/>
          <w:szCs w:val="20"/>
          <w:highlight w:val="none"/>
        </w:rPr>
        <w:t xml:space="preserve"> </w:t>
      </w:r>
      <w:r>
        <w:rPr>
          <w:rFonts w:ascii="宋体" w:hAnsi="宋体" w:eastAsia="宋体" w:cs="宋体"/>
          <w:color w:val="auto"/>
          <w:spacing w:val="17"/>
          <w:sz w:val="20"/>
          <w:szCs w:val="20"/>
          <w:highlight w:val="none"/>
        </w:rPr>
        <w:t>1.5</w:t>
      </w:r>
      <w:r>
        <w:rPr>
          <w:rFonts w:ascii="宋体" w:hAnsi="宋体" w:eastAsia="宋体" w:cs="宋体"/>
          <w:color w:val="auto"/>
          <w:spacing w:val="-22"/>
          <w:sz w:val="20"/>
          <w:szCs w:val="20"/>
          <w:highlight w:val="none"/>
        </w:rPr>
        <w:t xml:space="preserve"> </w:t>
      </w:r>
      <w:r>
        <w:rPr>
          <w:rFonts w:ascii="宋体" w:hAnsi="宋体" w:eastAsia="宋体" w:cs="宋体"/>
          <w:color w:val="auto"/>
          <w:spacing w:val="17"/>
          <w:sz w:val="20"/>
          <w:szCs w:val="20"/>
          <w:highlight w:val="none"/>
        </w:rPr>
        <w:t>倍整定值</w:t>
      </w:r>
      <w:r>
        <w:rPr>
          <w:rFonts w:ascii="宋体" w:hAnsi="宋体" w:eastAsia="宋体" w:cs="宋体"/>
          <w:color w:val="auto"/>
          <w:spacing w:val="-53"/>
          <w:w w:val="98"/>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7"/>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7"/>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7"/>
          <w:sz w:val="20"/>
          <w:szCs w:val="20"/>
          <w:highlight w:val="none"/>
        </w:rPr>
        <w:t>。</w:t>
      </w:r>
    </w:p>
    <w:p w14:paraId="75929458">
      <w:pPr>
        <w:spacing w:before="161" w:line="229" w:lineRule="auto"/>
        <w:ind w:left="593"/>
        <w:rPr>
          <w:rFonts w:ascii="宋体" w:hAnsi="宋体" w:eastAsia="宋体" w:cs="宋体"/>
          <w:color w:val="auto"/>
          <w:sz w:val="20"/>
          <w:szCs w:val="20"/>
          <w:highlight w:val="none"/>
        </w:rPr>
      </w:pPr>
      <w:r>
        <w:rPr>
          <w:rFonts w:ascii="Wingdings" w:hAnsi="Wingdings" w:eastAsia="Wingdings" w:cs="Wingdings"/>
          <w:color w:val="auto"/>
          <w:spacing w:val="19"/>
          <w:sz w:val="14"/>
          <w:szCs w:val="14"/>
          <w:highlight w:val="none"/>
        </w:rPr>
        <w:t>l</w:t>
      </w:r>
      <w:r>
        <w:rPr>
          <w:rFonts w:ascii="Wingdings" w:hAnsi="Wingdings" w:eastAsia="Wingdings" w:cs="Wingdings"/>
          <w:color w:val="auto"/>
          <w:spacing w:val="121"/>
          <w:sz w:val="14"/>
          <w:szCs w:val="14"/>
          <w:highlight w:val="none"/>
        </w:rPr>
        <w:t xml:space="preserve"> </w:t>
      </w:r>
      <w:r>
        <w:rPr>
          <w:rFonts w:ascii="宋体" w:hAnsi="宋体" w:eastAsia="宋体" w:cs="宋体"/>
          <w:b/>
          <w:bCs/>
          <w:color w:val="auto"/>
          <w:spacing w:val="19"/>
          <w:sz w:val="20"/>
          <w:szCs w:val="20"/>
          <w:highlight w:val="none"/>
        </w:rPr>
        <w:t>励磁变本体保护（非</w:t>
      </w:r>
      <w:r>
        <w:rPr>
          <w:rFonts w:ascii="宋体" w:hAnsi="宋体" w:eastAsia="宋体" w:cs="宋体"/>
          <w:color w:val="auto"/>
          <w:spacing w:val="-43"/>
          <w:sz w:val="20"/>
          <w:szCs w:val="20"/>
          <w:highlight w:val="none"/>
        </w:rPr>
        <w:t xml:space="preserve"> </w:t>
      </w:r>
      <w:r>
        <w:rPr>
          <w:rFonts w:ascii="宋体" w:hAnsi="宋体" w:eastAsia="宋体" w:cs="宋体"/>
          <w:b/>
          <w:bCs/>
          <w:color w:val="auto"/>
          <w:spacing w:val="19"/>
          <w:sz w:val="20"/>
          <w:szCs w:val="20"/>
          <w:highlight w:val="none"/>
        </w:rPr>
        <w:t>电量保护）</w:t>
      </w:r>
    </w:p>
    <w:p w14:paraId="3C3C64CB">
      <w:pPr>
        <w:spacing w:before="162" w:line="362" w:lineRule="auto"/>
        <w:ind w:left="502" w:right="35" w:firstLine="348"/>
        <w:rPr>
          <w:rFonts w:ascii="宋体" w:hAnsi="宋体" w:eastAsia="宋体" w:cs="宋体"/>
          <w:color w:val="auto"/>
          <w:sz w:val="20"/>
          <w:szCs w:val="20"/>
          <w:highlight w:val="none"/>
        </w:rPr>
      </w:pPr>
      <w:r>
        <w:rPr>
          <w:rFonts w:ascii="宋体" w:hAnsi="宋体" w:eastAsia="宋体" w:cs="宋体"/>
          <w:color w:val="auto"/>
          <w:spacing w:val="24"/>
          <w:sz w:val="20"/>
          <w:szCs w:val="20"/>
          <w:highlight w:val="none"/>
        </w:rPr>
        <w:t>各种非</w:t>
      </w:r>
      <w:r>
        <w:rPr>
          <w:rFonts w:ascii="宋体" w:hAnsi="宋体" w:eastAsia="宋体" w:cs="宋体"/>
          <w:color w:val="auto"/>
          <w:spacing w:val="-45"/>
          <w:sz w:val="20"/>
          <w:szCs w:val="20"/>
          <w:highlight w:val="none"/>
        </w:rPr>
        <w:t xml:space="preserve"> </w:t>
      </w:r>
      <w:r>
        <w:rPr>
          <w:rFonts w:ascii="宋体" w:hAnsi="宋体" w:eastAsia="宋体" w:cs="宋体"/>
          <w:color w:val="auto"/>
          <w:spacing w:val="24"/>
          <w:sz w:val="20"/>
          <w:szCs w:val="20"/>
          <w:highlight w:val="none"/>
        </w:rPr>
        <w:t>电量保护应具有投退压板。励磁变本体保护包括励磁变温度高、励磁</w:t>
      </w:r>
      <w:r>
        <w:rPr>
          <w:rFonts w:ascii="宋体" w:hAnsi="宋体" w:eastAsia="宋体" w:cs="宋体"/>
          <w:color w:val="auto"/>
          <w:sz w:val="20"/>
          <w:szCs w:val="20"/>
          <w:highlight w:val="none"/>
        </w:rPr>
        <w:t xml:space="preserve"> </w:t>
      </w:r>
      <w:r>
        <w:rPr>
          <w:rFonts w:ascii="宋体" w:hAnsi="宋体" w:eastAsia="宋体" w:cs="宋体"/>
          <w:color w:val="auto"/>
          <w:spacing w:val="16"/>
          <w:sz w:val="20"/>
          <w:szCs w:val="20"/>
          <w:highlight w:val="none"/>
        </w:rPr>
        <w:t>变温度高-高</w:t>
      </w:r>
      <w:r>
        <w:rPr>
          <w:rFonts w:ascii="宋体" w:hAnsi="宋体" w:eastAsia="宋体" w:cs="宋体"/>
          <w:color w:val="auto"/>
          <w:spacing w:val="-42"/>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并预</w:t>
      </w:r>
      <w:r>
        <w:rPr>
          <w:rFonts w:ascii="宋体" w:hAnsi="宋体" w:eastAsia="宋体" w:cs="宋体"/>
          <w:color w:val="auto"/>
          <w:spacing w:val="-55"/>
          <w:sz w:val="20"/>
          <w:szCs w:val="20"/>
          <w:highlight w:val="none"/>
        </w:rPr>
        <w:t xml:space="preserve"> </w:t>
      </w:r>
      <w:r>
        <w:rPr>
          <w:rFonts w:ascii="宋体" w:hAnsi="宋体" w:eastAsia="宋体" w:cs="宋体"/>
          <w:color w:val="auto"/>
          <w:spacing w:val="16"/>
          <w:sz w:val="20"/>
          <w:szCs w:val="20"/>
          <w:highlight w:val="none"/>
        </w:rPr>
        <w:t>留备用重动继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6"/>
          <w:sz w:val="20"/>
          <w:szCs w:val="20"/>
          <w:highlight w:val="none"/>
        </w:rPr>
        <w:t>电器。</w:t>
      </w:r>
    </w:p>
    <w:p w14:paraId="1229F3B7">
      <w:pPr>
        <w:spacing w:before="32"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"3.5.1.3" </w:instrText>
      </w:r>
      <w:r>
        <w:rPr>
          <w:color w:val="auto"/>
          <w:highlight w:val="none"/>
        </w:rPr>
        <w:fldChar w:fldCharType="separate"/>
      </w:r>
      <w:r>
        <w:rPr>
          <w:rFonts w:ascii="宋体" w:hAnsi="宋体" w:eastAsia="宋体" w:cs="宋体"/>
          <w:color w:val="auto"/>
          <w:spacing w:val="7"/>
          <w:sz w:val="20"/>
          <w:szCs w:val="20"/>
          <w:highlight w:val="none"/>
        </w:rPr>
        <w:t>3.5.1.3</w:t>
      </w:r>
      <w:r>
        <w:rPr>
          <w:rFonts w:ascii="宋体" w:hAnsi="宋体" w:eastAsia="宋体" w:cs="宋体"/>
          <w:color w:val="auto"/>
          <w:spacing w:val="7"/>
          <w:sz w:val="20"/>
          <w:szCs w:val="20"/>
          <w:highlight w:val="none"/>
        </w:rPr>
        <w:fldChar w:fldCharType="end"/>
      </w:r>
      <w:r>
        <w:rPr>
          <w:rFonts w:ascii="宋体" w:hAnsi="宋体" w:eastAsia="宋体" w:cs="宋体"/>
          <w:color w:val="auto"/>
          <w:spacing w:val="7"/>
          <w:sz w:val="20"/>
          <w:szCs w:val="20"/>
          <w:highlight w:val="none"/>
        </w:rPr>
        <w:t xml:space="preserve"> 微机型主变压器保护装置</w:t>
      </w:r>
    </w:p>
    <w:p w14:paraId="3E0EF57A">
      <w:pPr>
        <w:spacing w:before="16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主变压器差动保护</w:t>
      </w:r>
    </w:p>
    <w:p w14:paraId="07E6B231">
      <w:pPr>
        <w:spacing w:before="161" w:line="228" w:lineRule="auto"/>
        <w:ind w:left="817"/>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保护主变压器绕组及其引出线的相间短路故障。</w:t>
      </w:r>
      <w:r>
        <w:rPr>
          <w:rFonts w:ascii="宋体" w:hAnsi="宋体" w:eastAsia="宋体" w:cs="宋体"/>
          <w:color w:val="auto"/>
          <w:spacing w:val="17"/>
          <w:sz w:val="20"/>
          <w:szCs w:val="20"/>
          <w:highlight w:val="none"/>
        </w:rPr>
        <w:t>其主要功能及技术要求如下：</w:t>
      </w:r>
    </w:p>
    <w:p w14:paraId="3166E4EB">
      <w:pPr>
        <w:spacing w:before="162" w:line="302" w:lineRule="auto"/>
        <w:ind w:left="1360" w:right="35" w:hanging="404"/>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1) 应具有防止</w:t>
      </w:r>
      <w:r>
        <w:rPr>
          <w:rFonts w:ascii="宋体" w:hAnsi="宋体" w:eastAsia="宋体" w:cs="宋体"/>
          <w:color w:val="auto"/>
          <w:spacing w:val="-45"/>
          <w:sz w:val="20"/>
          <w:szCs w:val="20"/>
          <w:highlight w:val="none"/>
        </w:rPr>
        <w:t xml:space="preserve"> </w:t>
      </w:r>
      <w:r>
        <w:rPr>
          <w:rFonts w:ascii="宋体" w:hAnsi="宋体" w:eastAsia="宋体" w:cs="宋体"/>
          <w:color w:val="auto"/>
          <w:spacing w:val="19"/>
          <w:sz w:val="20"/>
          <w:szCs w:val="20"/>
          <w:highlight w:val="none"/>
        </w:rPr>
        <w:t>区外故</w:t>
      </w:r>
      <w:r>
        <w:rPr>
          <w:rFonts w:ascii="宋体" w:hAnsi="宋体" w:eastAsia="宋体" w:cs="宋体"/>
          <w:color w:val="auto"/>
          <w:spacing w:val="-59"/>
          <w:sz w:val="20"/>
          <w:szCs w:val="20"/>
          <w:highlight w:val="none"/>
        </w:rPr>
        <w:t xml:space="preserve"> </w:t>
      </w:r>
      <w:r>
        <w:rPr>
          <w:rFonts w:ascii="宋体" w:hAnsi="宋体" w:eastAsia="宋体" w:cs="宋体"/>
          <w:color w:val="auto"/>
          <w:spacing w:val="19"/>
          <w:sz w:val="20"/>
          <w:szCs w:val="20"/>
          <w:highlight w:val="none"/>
        </w:rPr>
        <w:t>障误动</w:t>
      </w:r>
      <w:r>
        <w:rPr>
          <w:rFonts w:ascii="宋体" w:hAnsi="宋体" w:eastAsia="宋体" w:cs="宋体"/>
          <w:color w:val="auto"/>
          <w:spacing w:val="-54"/>
          <w:sz w:val="20"/>
          <w:szCs w:val="20"/>
          <w:highlight w:val="none"/>
        </w:rPr>
        <w:t xml:space="preserve"> </w:t>
      </w:r>
      <w:r>
        <w:rPr>
          <w:rFonts w:ascii="宋体" w:hAnsi="宋体" w:eastAsia="宋体" w:cs="宋体"/>
          <w:color w:val="auto"/>
          <w:spacing w:val="19"/>
          <w:sz w:val="20"/>
          <w:szCs w:val="20"/>
          <w:highlight w:val="none"/>
        </w:rPr>
        <w:t>的谐波制动和</w:t>
      </w:r>
      <w:r>
        <w:rPr>
          <w:rFonts w:ascii="宋体" w:hAnsi="宋体" w:eastAsia="宋体" w:cs="宋体"/>
          <w:color w:val="auto"/>
          <w:spacing w:val="-47"/>
          <w:sz w:val="20"/>
          <w:szCs w:val="20"/>
          <w:highlight w:val="none"/>
        </w:rPr>
        <w:t xml:space="preserve"> </w:t>
      </w:r>
      <w:r>
        <w:rPr>
          <w:rFonts w:ascii="宋体" w:hAnsi="宋体" w:eastAsia="宋体" w:cs="宋体"/>
          <w:color w:val="auto"/>
          <w:spacing w:val="19"/>
          <w:sz w:val="20"/>
          <w:szCs w:val="20"/>
          <w:highlight w:val="none"/>
        </w:rPr>
        <w:t>比率制动特性，防止变压器过激</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磁时误动；</w:t>
      </w:r>
    </w:p>
    <w:p w14:paraId="12C3D26E">
      <w:pPr>
        <w:spacing w:before="163" w:line="228" w:lineRule="auto"/>
        <w:ind w:right="11"/>
        <w:jc w:val="right"/>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2)</w:t>
      </w:r>
      <w:r>
        <w:rPr>
          <w:rFonts w:ascii="宋体" w:hAnsi="宋体" w:eastAsia="宋体" w:cs="宋体"/>
          <w:color w:val="auto"/>
          <w:spacing w:val="41"/>
          <w:sz w:val="20"/>
          <w:szCs w:val="20"/>
          <w:highlight w:val="none"/>
        </w:rPr>
        <w:t xml:space="preserve"> </w:t>
      </w:r>
      <w:r>
        <w:rPr>
          <w:rFonts w:ascii="宋体" w:hAnsi="宋体" w:eastAsia="宋体" w:cs="宋体"/>
          <w:color w:val="auto"/>
          <w:spacing w:val="17"/>
          <w:sz w:val="20"/>
          <w:szCs w:val="20"/>
          <w:highlight w:val="none"/>
        </w:rPr>
        <w:t>具有</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电流互感器（</w:t>
      </w:r>
      <w:r>
        <w:rPr>
          <w:rFonts w:ascii="宋体" w:hAnsi="宋体" w:eastAsia="宋体" w:cs="宋体"/>
          <w:color w:val="auto"/>
          <w:sz w:val="20"/>
          <w:szCs w:val="20"/>
          <w:highlight w:val="none"/>
        </w:rPr>
        <w:t>TA</w:t>
      </w:r>
      <w:r>
        <w:rPr>
          <w:rFonts w:ascii="宋体" w:hAnsi="宋体" w:eastAsia="宋体" w:cs="宋体"/>
          <w:color w:val="auto"/>
          <w:spacing w:val="17"/>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17"/>
          <w:sz w:val="20"/>
          <w:szCs w:val="20"/>
          <w:highlight w:val="none"/>
        </w:rPr>
        <w:t>断线判别功能</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，并能选择</w:t>
      </w:r>
      <w:r>
        <w:rPr>
          <w:rFonts w:ascii="宋体" w:hAnsi="宋体" w:eastAsia="宋体" w:cs="宋体"/>
          <w:color w:val="auto"/>
          <w:spacing w:val="-50"/>
          <w:sz w:val="20"/>
          <w:szCs w:val="20"/>
          <w:highlight w:val="none"/>
        </w:rPr>
        <w:t xml:space="preserve"> </w:t>
      </w:r>
      <w:r>
        <w:rPr>
          <w:rFonts w:ascii="宋体" w:hAnsi="宋体" w:eastAsia="宋体" w:cs="宋体"/>
          <w:color w:val="auto"/>
          <w:spacing w:val="17"/>
          <w:sz w:val="20"/>
          <w:szCs w:val="20"/>
          <w:highlight w:val="none"/>
        </w:rPr>
        <w:t>闭锁差流或报警</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，当</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w:t>
      </w:r>
    </w:p>
    <w:p w14:paraId="7CF2025F">
      <w:pPr>
        <w:spacing w:line="228"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2192A4CD">
      <w:pPr>
        <w:spacing w:before="41" w:line="228" w:lineRule="auto"/>
        <w:ind w:left="1362"/>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流大于额定电流的 1.2~1.5</w:t>
      </w:r>
      <w:r>
        <w:rPr>
          <w:rFonts w:ascii="宋体" w:hAnsi="宋体" w:eastAsia="宋体" w:cs="宋体"/>
          <w:color w:val="auto"/>
          <w:spacing w:val="-6"/>
          <w:sz w:val="20"/>
          <w:szCs w:val="20"/>
          <w:highlight w:val="none"/>
        </w:rPr>
        <w:t xml:space="preserve"> </w:t>
      </w:r>
      <w:r>
        <w:rPr>
          <w:rFonts w:ascii="宋体" w:hAnsi="宋体" w:eastAsia="宋体" w:cs="宋体"/>
          <w:color w:val="auto"/>
          <w:spacing w:val="19"/>
          <w:sz w:val="20"/>
          <w:szCs w:val="20"/>
          <w:highlight w:val="none"/>
        </w:rPr>
        <w:t>倍可自动解除闭锁；</w:t>
      </w:r>
    </w:p>
    <w:p w14:paraId="2FE34871">
      <w:pPr>
        <w:spacing w:before="161" w:line="225" w:lineRule="auto"/>
        <w:ind w:right="33"/>
        <w:jc w:val="right"/>
        <w:rPr>
          <w:rFonts w:ascii="宋体" w:hAnsi="宋体" w:eastAsia="宋体" w:cs="宋体"/>
          <w:color w:val="auto"/>
          <w:sz w:val="20"/>
          <w:szCs w:val="20"/>
          <w:highlight w:val="none"/>
        </w:rPr>
      </w:pPr>
      <w:r>
        <w:rPr>
          <w:rFonts w:ascii="宋体" w:hAnsi="宋体" w:eastAsia="宋体" w:cs="宋体"/>
          <w:color w:val="auto"/>
          <w:spacing w:val="23"/>
          <w:sz w:val="20"/>
          <w:szCs w:val="20"/>
          <w:highlight w:val="none"/>
        </w:rPr>
        <w:t>3) 应具有高整定值,无制动功能的电流速断</w:t>
      </w:r>
      <w:r>
        <w:rPr>
          <w:rFonts w:ascii="宋体" w:hAnsi="宋体" w:eastAsia="宋体" w:cs="宋体"/>
          <w:color w:val="auto"/>
          <w:spacing w:val="-40"/>
          <w:sz w:val="20"/>
          <w:szCs w:val="20"/>
          <w:highlight w:val="none"/>
        </w:rPr>
        <w:t xml:space="preserve"> </w:t>
      </w:r>
      <w:r>
        <w:rPr>
          <w:rFonts w:ascii="宋体" w:hAnsi="宋体" w:eastAsia="宋体" w:cs="宋体"/>
          <w:color w:val="auto"/>
          <w:spacing w:val="23"/>
          <w:sz w:val="20"/>
          <w:szCs w:val="20"/>
          <w:highlight w:val="none"/>
        </w:rPr>
        <w:t>，动作电流整定范围</w:t>
      </w:r>
      <w:r>
        <w:rPr>
          <w:rFonts w:ascii="宋体" w:hAnsi="宋体" w:eastAsia="宋体" w:cs="宋体"/>
          <w:color w:val="auto"/>
          <w:spacing w:val="-11"/>
          <w:sz w:val="20"/>
          <w:szCs w:val="20"/>
          <w:highlight w:val="none"/>
        </w:rPr>
        <w:t xml:space="preserve"> </w:t>
      </w:r>
      <w:r>
        <w:rPr>
          <w:rFonts w:ascii="宋体" w:hAnsi="宋体" w:eastAsia="宋体" w:cs="宋体"/>
          <w:color w:val="auto"/>
          <w:spacing w:val="23"/>
          <w:sz w:val="20"/>
          <w:szCs w:val="20"/>
          <w:highlight w:val="none"/>
        </w:rPr>
        <w:t>5-25</w:t>
      </w:r>
      <w:r>
        <w:rPr>
          <w:rFonts w:ascii="宋体" w:hAnsi="宋体" w:eastAsia="宋体" w:cs="宋体"/>
          <w:color w:val="auto"/>
          <w:sz w:val="20"/>
          <w:szCs w:val="20"/>
          <w:highlight w:val="none"/>
        </w:rPr>
        <w:t>In</w:t>
      </w:r>
      <w:r>
        <w:rPr>
          <w:rFonts w:ascii="宋体" w:hAnsi="宋体" w:eastAsia="宋体" w:cs="宋体"/>
          <w:color w:val="auto"/>
          <w:spacing w:val="23"/>
          <w:sz w:val="20"/>
          <w:szCs w:val="20"/>
          <w:highlight w:val="none"/>
        </w:rPr>
        <w:t>；</w:t>
      </w:r>
    </w:p>
    <w:p w14:paraId="0894876E">
      <w:pPr>
        <w:spacing w:before="167" w:line="302" w:lineRule="auto"/>
        <w:ind w:left="1361" w:right="35" w:hanging="421"/>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4) 应有防止励磁涌流引起误动的功能；具有防止电流互感器（</w:t>
      </w:r>
      <w:r>
        <w:rPr>
          <w:rFonts w:ascii="宋体" w:hAnsi="宋体" w:eastAsia="宋体" w:cs="宋体"/>
          <w:color w:val="auto"/>
          <w:sz w:val="20"/>
          <w:szCs w:val="20"/>
          <w:highlight w:val="none"/>
        </w:rPr>
        <w:t>TA</w:t>
      </w:r>
      <w:r>
        <w:rPr>
          <w:rFonts w:ascii="宋体" w:hAnsi="宋体" w:eastAsia="宋体" w:cs="宋体"/>
          <w:color w:val="auto"/>
          <w:spacing w:val="26"/>
          <w:sz w:val="20"/>
          <w:szCs w:val="20"/>
          <w:highlight w:val="none"/>
        </w:rPr>
        <w:t>）暂态饱</w:t>
      </w:r>
      <w:r>
        <w:rPr>
          <w:rFonts w:ascii="宋体" w:hAnsi="宋体" w:eastAsia="宋体" w:cs="宋体"/>
          <w:color w:val="auto"/>
          <w:sz w:val="20"/>
          <w:szCs w:val="20"/>
          <w:highlight w:val="none"/>
        </w:rPr>
        <w:t xml:space="preserve"> </w:t>
      </w:r>
      <w:r>
        <w:rPr>
          <w:rFonts w:ascii="宋体" w:hAnsi="宋体" w:eastAsia="宋体" w:cs="宋体"/>
          <w:color w:val="auto"/>
          <w:spacing w:val="24"/>
          <w:sz w:val="20"/>
          <w:szCs w:val="20"/>
          <w:highlight w:val="none"/>
        </w:rPr>
        <w:t>和过程中误动的措施；</w:t>
      </w:r>
    </w:p>
    <w:p w14:paraId="789271E9">
      <w:pPr>
        <w:spacing w:before="160" w:line="302" w:lineRule="auto"/>
        <w:ind w:left="1359" w:right="35" w:hanging="414"/>
        <w:rPr>
          <w:rFonts w:ascii="宋体" w:hAnsi="宋体" w:eastAsia="宋体" w:cs="宋体"/>
          <w:color w:val="auto"/>
          <w:sz w:val="20"/>
          <w:szCs w:val="20"/>
          <w:highlight w:val="none"/>
        </w:rPr>
      </w:pPr>
      <w:r>
        <w:rPr>
          <w:rFonts w:ascii="宋体" w:hAnsi="宋体" w:eastAsia="宋体" w:cs="宋体"/>
          <w:color w:val="auto"/>
          <w:spacing w:val="24"/>
          <w:sz w:val="20"/>
          <w:szCs w:val="20"/>
          <w:highlight w:val="none"/>
        </w:rPr>
        <w:t>5)</w:t>
      </w:r>
      <w:r>
        <w:rPr>
          <w:rFonts w:ascii="宋体" w:hAnsi="宋体" w:eastAsia="宋体" w:cs="宋体"/>
          <w:color w:val="auto"/>
          <w:spacing w:val="60"/>
          <w:sz w:val="20"/>
          <w:szCs w:val="20"/>
          <w:highlight w:val="none"/>
        </w:rPr>
        <w:t xml:space="preserve"> </w:t>
      </w:r>
      <w:r>
        <w:rPr>
          <w:rFonts w:ascii="宋体" w:hAnsi="宋体" w:eastAsia="宋体" w:cs="宋体"/>
          <w:color w:val="auto"/>
          <w:spacing w:val="24"/>
          <w:sz w:val="20"/>
          <w:szCs w:val="20"/>
          <w:highlight w:val="none"/>
        </w:rPr>
        <w:t>由于各侧电流互感器的变比可能不同，应有平衡差动保护各侧电流的措</w:t>
      </w:r>
      <w:r>
        <w:rPr>
          <w:rFonts w:ascii="宋体" w:hAnsi="宋体" w:eastAsia="宋体" w:cs="宋体"/>
          <w:color w:val="auto"/>
          <w:sz w:val="20"/>
          <w:szCs w:val="20"/>
          <w:highlight w:val="none"/>
        </w:rPr>
        <w:t xml:space="preserve"> </w:t>
      </w:r>
      <w:r>
        <w:rPr>
          <w:rFonts w:ascii="宋体" w:hAnsi="宋体" w:eastAsia="宋体" w:cs="宋体"/>
          <w:color w:val="auto"/>
          <w:spacing w:val="19"/>
          <w:sz w:val="20"/>
          <w:szCs w:val="20"/>
          <w:highlight w:val="none"/>
        </w:rPr>
        <w:t>施</w:t>
      </w:r>
      <w:r>
        <w:rPr>
          <w:rFonts w:ascii="宋体" w:hAnsi="宋体" w:eastAsia="宋体" w:cs="宋体"/>
          <w:color w:val="auto"/>
          <w:spacing w:val="-54"/>
          <w:sz w:val="20"/>
          <w:szCs w:val="20"/>
          <w:highlight w:val="none"/>
        </w:rPr>
        <w:t xml:space="preserve"> </w:t>
      </w:r>
      <w:r>
        <w:rPr>
          <w:rFonts w:ascii="宋体" w:hAnsi="宋体" w:eastAsia="宋体" w:cs="宋体"/>
          <w:color w:val="auto"/>
          <w:spacing w:val="19"/>
          <w:sz w:val="20"/>
          <w:szCs w:val="20"/>
          <w:highlight w:val="none"/>
        </w:rPr>
        <w:t>，</w:t>
      </w:r>
      <w:r>
        <w:rPr>
          <w:rFonts w:ascii="宋体" w:hAnsi="宋体" w:eastAsia="宋体" w:cs="宋体"/>
          <w:color w:val="auto"/>
          <w:spacing w:val="-56"/>
          <w:sz w:val="20"/>
          <w:szCs w:val="20"/>
          <w:highlight w:val="none"/>
        </w:rPr>
        <w:t xml:space="preserve"> </w:t>
      </w:r>
      <w:r>
        <w:rPr>
          <w:rFonts w:ascii="宋体" w:hAnsi="宋体" w:eastAsia="宋体" w:cs="宋体"/>
          <w:color w:val="auto"/>
          <w:spacing w:val="19"/>
          <w:sz w:val="20"/>
          <w:szCs w:val="20"/>
          <w:highlight w:val="none"/>
        </w:rPr>
        <w:t>能满足两侧电流互感器有 16</w:t>
      </w:r>
      <w:r>
        <w:rPr>
          <w:rFonts w:ascii="宋体" w:hAnsi="宋体" w:eastAsia="宋体" w:cs="宋体"/>
          <w:color w:val="auto"/>
          <w:spacing w:val="-18"/>
          <w:sz w:val="20"/>
          <w:szCs w:val="20"/>
          <w:highlight w:val="none"/>
        </w:rPr>
        <w:t xml:space="preserve"> </w:t>
      </w:r>
      <w:r>
        <w:rPr>
          <w:rFonts w:ascii="宋体" w:hAnsi="宋体" w:eastAsia="宋体" w:cs="宋体"/>
          <w:color w:val="auto"/>
          <w:spacing w:val="19"/>
          <w:sz w:val="20"/>
          <w:szCs w:val="20"/>
          <w:highlight w:val="none"/>
        </w:rPr>
        <w:t>倍差别的调节范围；</w:t>
      </w:r>
    </w:p>
    <w:p w14:paraId="338058E4">
      <w:pPr>
        <w:spacing w:before="164" w:line="226" w:lineRule="auto"/>
        <w:ind w:left="943"/>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6)</w:t>
      </w:r>
      <w:r>
        <w:rPr>
          <w:rFonts w:ascii="宋体" w:hAnsi="宋体" w:eastAsia="宋体" w:cs="宋体"/>
          <w:color w:val="auto"/>
          <w:spacing w:val="39"/>
          <w:sz w:val="20"/>
          <w:szCs w:val="20"/>
          <w:highlight w:val="none"/>
        </w:rPr>
        <w:t xml:space="preserve"> </w:t>
      </w:r>
      <w:r>
        <w:rPr>
          <w:rFonts w:ascii="宋体" w:hAnsi="宋体" w:eastAsia="宋体" w:cs="宋体"/>
          <w:color w:val="auto"/>
          <w:spacing w:val="18"/>
          <w:sz w:val="20"/>
          <w:szCs w:val="20"/>
          <w:highlight w:val="none"/>
        </w:rPr>
        <w:t>具有差流告警功能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8"/>
          <w:sz w:val="20"/>
          <w:szCs w:val="20"/>
          <w:highlight w:val="none"/>
        </w:rPr>
        <w:t>，发信；</w:t>
      </w:r>
    </w:p>
    <w:p w14:paraId="17D872E6">
      <w:pPr>
        <w:spacing w:before="162" w:line="228" w:lineRule="auto"/>
        <w:ind w:left="946"/>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7) 变压器差动保护应具有穿越故障制动输入口；</w:t>
      </w:r>
    </w:p>
    <w:p w14:paraId="774D873A">
      <w:pPr>
        <w:spacing w:before="161" w:line="228" w:lineRule="auto"/>
        <w:ind w:left="942"/>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8) 整定值的准确度：</w:t>
      </w:r>
      <w:r>
        <w:rPr>
          <w:rFonts w:ascii="宋体" w:hAnsi="宋体" w:eastAsia="宋体" w:cs="宋体"/>
          <w:color w:val="auto"/>
          <w:spacing w:val="-30"/>
          <w:sz w:val="20"/>
          <w:szCs w:val="20"/>
          <w:highlight w:val="none"/>
        </w:rPr>
        <w:t xml:space="preserve"> </w:t>
      </w:r>
      <w:r>
        <w:rPr>
          <w:rFonts w:ascii="宋体" w:hAnsi="宋体" w:eastAsia="宋体" w:cs="宋体"/>
          <w:color w:val="auto"/>
          <w:spacing w:val="16"/>
          <w:sz w:val="20"/>
          <w:szCs w:val="20"/>
          <w:highlight w:val="none"/>
        </w:rPr>
        <w:t>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38F5B55A">
      <w:pPr>
        <w:spacing w:before="162" w:line="228" w:lineRule="auto"/>
        <w:ind w:left="942"/>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9) 动作时间</w:t>
      </w:r>
      <w:r>
        <w:rPr>
          <w:rFonts w:ascii="宋体" w:hAnsi="宋体" w:eastAsia="宋体" w:cs="宋体"/>
          <w:color w:val="auto"/>
          <w:spacing w:val="-20"/>
          <w:sz w:val="20"/>
          <w:szCs w:val="20"/>
          <w:highlight w:val="none"/>
        </w:rPr>
        <w:t xml:space="preserve"> </w:t>
      </w:r>
      <w:r>
        <w:rPr>
          <w:rFonts w:ascii="宋体" w:hAnsi="宋体" w:eastAsia="宋体" w:cs="宋体"/>
          <w:color w:val="auto"/>
          <w:spacing w:val="17"/>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7"/>
          <w:sz w:val="20"/>
          <w:szCs w:val="20"/>
          <w:highlight w:val="none"/>
        </w:rPr>
        <w:t>倍整定电流时)不大于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7"/>
          <w:sz w:val="20"/>
          <w:szCs w:val="20"/>
          <w:highlight w:val="none"/>
        </w:rPr>
        <w:t>35</w:t>
      </w:r>
      <w:r>
        <w:rPr>
          <w:rFonts w:ascii="宋体" w:hAnsi="宋体" w:eastAsia="宋体" w:cs="宋体"/>
          <w:color w:val="auto"/>
          <w:sz w:val="20"/>
          <w:szCs w:val="20"/>
          <w:highlight w:val="none"/>
        </w:rPr>
        <w:t>ms</w:t>
      </w:r>
      <w:r>
        <w:rPr>
          <w:rFonts w:ascii="宋体" w:hAnsi="宋体" w:eastAsia="宋体" w:cs="宋体"/>
          <w:color w:val="auto"/>
          <w:spacing w:val="17"/>
          <w:sz w:val="20"/>
          <w:szCs w:val="20"/>
          <w:highlight w:val="none"/>
        </w:rPr>
        <w:t>。</w:t>
      </w:r>
    </w:p>
    <w:p w14:paraId="2F3169C7">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20"/>
          <w:sz w:val="14"/>
          <w:szCs w:val="14"/>
          <w:highlight w:val="none"/>
        </w:rPr>
        <w:t>l</w:t>
      </w:r>
      <w:r>
        <w:rPr>
          <w:rFonts w:ascii="Wingdings" w:hAnsi="Wingdings" w:eastAsia="Wingdings" w:cs="Wingdings"/>
          <w:color w:val="auto"/>
          <w:spacing w:val="126"/>
          <w:sz w:val="14"/>
          <w:szCs w:val="14"/>
          <w:highlight w:val="none"/>
        </w:rPr>
        <w:t xml:space="preserve"> </w:t>
      </w:r>
      <w:r>
        <w:rPr>
          <w:rFonts w:ascii="宋体" w:hAnsi="宋体" w:eastAsia="宋体" w:cs="宋体"/>
          <w:b/>
          <w:bCs/>
          <w:color w:val="auto"/>
          <w:spacing w:val="20"/>
          <w:sz w:val="20"/>
          <w:szCs w:val="20"/>
          <w:highlight w:val="none"/>
        </w:rPr>
        <w:t>主变复合电压闭锁过流保护</w:t>
      </w:r>
    </w:p>
    <w:p w14:paraId="75AEA22C">
      <w:pPr>
        <w:spacing w:before="159" w:line="362" w:lineRule="auto"/>
        <w:ind w:left="504" w:right="35" w:firstLine="367"/>
        <w:rPr>
          <w:rFonts w:ascii="宋体" w:hAnsi="宋体" w:eastAsia="宋体" w:cs="宋体"/>
          <w:color w:val="auto"/>
          <w:sz w:val="20"/>
          <w:szCs w:val="20"/>
          <w:highlight w:val="none"/>
        </w:rPr>
      </w:pPr>
      <w:r>
        <w:rPr>
          <w:rFonts w:ascii="宋体" w:hAnsi="宋体" w:eastAsia="宋体" w:cs="宋体"/>
          <w:color w:val="auto"/>
          <w:spacing w:val="23"/>
          <w:sz w:val="20"/>
          <w:szCs w:val="20"/>
          <w:highlight w:val="none"/>
        </w:rPr>
        <w:t>电压闭锁信号取自主变高压侧和低压侧</w:t>
      </w:r>
      <w:r>
        <w:rPr>
          <w:rFonts w:ascii="宋体" w:hAnsi="宋体" w:eastAsia="宋体" w:cs="宋体"/>
          <w:color w:val="auto"/>
          <w:spacing w:val="-9"/>
          <w:sz w:val="20"/>
          <w:szCs w:val="20"/>
          <w:highlight w:val="none"/>
        </w:rPr>
        <w:t xml:space="preserve"> </w:t>
      </w:r>
      <w:r>
        <w:rPr>
          <w:rFonts w:ascii="宋体" w:hAnsi="宋体" w:eastAsia="宋体" w:cs="宋体"/>
          <w:color w:val="auto"/>
          <w:sz w:val="20"/>
          <w:szCs w:val="20"/>
          <w:highlight w:val="none"/>
        </w:rPr>
        <w:t>PT</w:t>
      </w:r>
      <w:r>
        <w:rPr>
          <w:rFonts w:ascii="宋体" w:hAnsi="宋体" w:eastAsia="宋体" w:cs="宋体"/>
          <w:color w:val="auto"/>
          <w:spacing w:val="23"/>
          <w:sz w:val="20"/>
          <w:szCs w:val="20"/>
          <w:highlight w:val="none"/>
        </w:rPr>
        <w:t xml:space="preserve"> 电压回路</w:t>
      </w:r>
      <w:r>
        <w:rPr>
          <w:rFonts w:ascii="宋体" w:hAnsi="宋体" w:eastAsia="宋体" w:cs="宋体"/>
          <w:color w:val="auto"/>
          <w:spacing w:val="-50"/>
          <w:sz w:val="20"/>
          <w:szCs w:val="20"/>
          <w:highlight w:val="none"/>
        </w:rPr>
        <w:t xml:space="preserve"> </w:t>
      </w:r>
      <w:r>
        <w:rPr>
          <w:rFonts w:ascii="宋体" w:hAnsi="宋体" w:eastAsia="宋体" w:cs="宋体"/>
          <w:color w:val="auto"/>
          <w:spacing w:val="23"/>
          <w:sz w:val="20"/>
          <w:szCs w:val="20"/>
          <w:highlight w:val="none"/>
        </w:rPr>
        <w:t>。</w:t>
      </w:r>
      <w:r>
        <w:rPr>
          <w:rFonts w:ascii="宋体" w:hAnsi="宋体" w:eastAsia="宋体" w:cs="宋体"/>
          <w:color w:val="auto"/>
          <w:spacing w:val="-52"/>
          <w:sz w:val="20"/>
          <w:szCs w:val="20"/>
          <w:highlight w:val="none"/>
        </w:rPr>
        <w:t xml:space="preserve"> </w:t>
      </w:r>
      <w:r>
        <w:rPr>
          <w:rFonts w:ascii="宋体" w:hAnsi="宋体" w:eastAsia="宋体" w:cs="宋体"/>
          <w:color w:val="auto"/>
          <w:spacing w:val="23"/>
          <w:sz w:val="20"/>
          <w:szCs w:val="20"/>
          <w:highlight w:val="none"/>
        </w:rPr>
        <w:t>当电压互感器回路断</w:t>
      </w:r>
      <w:r>
        <w:rPr>
          <w:rFonts w:ascii="宋体" w:hAnsi="宋体" w:eastAsia="宋体" w:cs="宋体"/>
          <w:color w:val="auto"/>
          <w:sz w:val="20"/>
          <w:szCs w:val="20"/>
          <w:highlight w:val="none"/>
        </w:rPr>
        <w:t xml:space="preserve"> </w:t>
      </w:r>
      <w:r>
        <w:rPr>
          <w:rFonts w:ascii="宋体" w:hAnsi="宋体" w:eastAsia="宋体" w:cs="宋体"/>
          <w:color w:val="auto"/>
          <w:spacing w:val="26"/>
          <w:sz w:val="20"/>
          <w:szCs w:val="20"/>
          <w:highlight w:val="none"/>
        </w:rPr>
        <w:t>线时应闭锁装置并发出报警信号</w:t>
      </w:r>
      <w:r>
        <w:rPr>
          <w:rFonts w:ascii="宋体" w:hAnsi="宋体" w:eastAsia="宋体" w:cs="宋体"/>
          <w:color w:val="auto"/>
          <w:spacing w:val="-50"/>
          <w:sz w:val="20"/>
          <w:szCs w:val="20"/>
          <w:highlight w:val="none"/>
        </w:rPr>
        <w:t xml:space="preserve"> </w:t>
      </w:r>
      <w:r>
        <w:rPr>
          <w:rFonts w:ascii="宋体" w:hAnsi="宋体" w:eastAsia="宋体" w:cs="宋体"/>
          <w:color w:val="auto"/>
          <w:spacing w:val="26"/>
          <w:sz w:val="20"/>
          <w:szCs w:val="20"/>
          <w:highlight w:val="none"/>
        </w:rPr>
        <w:t>。其主要功能及技术要求如下：</w:t>
      </w:r>
    </w:p>
    <w:p w14:paraId="1FD38E18">
      <w:pPr>
        <w:spacing w:before="31" w:line="228" w:lineRule="auto"/>
        <w:ind w:left="956"/>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1) 返回系数：</w:t>
      </w:r>
      <w:r>
        <w:rPr>
          <w:rFonts w:ascii="宋体" w:hAnsi="宋体" w:eastAsia="宋体" w:cs="宋体"/>
          <w:color w:val="auto"/>
          <w:spacing w:val="-16"/>
          <w:sz w:val="20"/>
          <w:szCs w:val="20"/>
          <w:highlight w:val="none"/>
        </w:rPr>
        <w:t xml:space="preserve"> </w:t>
      </w:r>
      <w:r>
        <w:rPr>
          <w:rFonts w:ascii="宋体" w:hAnsi="宋体" w:eastAsia="宋体" w:cs="宋体"/>
          <w:color w:val="auto"/>
          <w:spacing w:val="16"/>
          <w:sz w:val="20"/>
          <w:szCs w:val="20"/>
          <w:highlight w:val="none"/>
        </w:rPr>
        <w:t>电流</w:t>
      </w:r>
      <w:r>
        <w:rPr>
          <w:rFonts w:ascii="宋体" w:hAnsi="宋体" w:eastAsia="宋体" w:cs="宋体"/>
          <w:color w:val="auto"/>
          <w:spacing w:val="-55"/>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6"/>
          <w:sz w:val="20"/>
          <w:szCs w:val="20"/>
          <w:highlight w:val="none"/>
        </w:rPr>
        <w:t>负序电压元件不小于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0.9</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，低电压元</w:t>
      </w:r>
      <w:r>
        <w:rPr>
          <w:rFonts w:ascii="宋体" w:hAnsi="宋体" w:eastAsia="宋体" w:cs="宋体"/>
          <w:color w:val="auto"/>
          <w:spacing w:val="15"/>
          <w:sz w:val="20"/>
          <w:szCs w:val="20"/>
          <w:highlight w:val="none"/>
        </w:rPr>
        <w:t>件不大于 1.1；</w:t>
      </w:r>
    </w:p>
    <w:p w14:paraId="6A167D86">
      <w:pPr>
        <w:spacing w:before="162" w:line="302" w:lineRule="auto"/>
        <w:ind w:left="1361" w:right="126" w:hanging="418"/>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电流整定值</w:t>
      </w:r>
      <w:r>
        <w:rPr>
          <w:rFonts w:ascii="宋体" w:hAnsi="宋体" w:eastAsia="宋体" w:cs="宋体"/>
          <w:color w:val="auto"/>
          <w:spacing w:val="-56"/>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40"/>
          <w:sz w:val="20"/>
          <w:szCs w:val="20"/>
          <w:highlight w:val="none"/>
        </w:rPr>
        <w:t xml:space="preserve"> </w:t>
      </w:r>
      <w:r>
        <w:rPr>
          <w:rFonts w:ascii="宋体" w:hAnsi="宋体" w:eastAsia="宋体" w:cs="宋体"/>
          <w:color w:val="auto"/>
          <w:spacing w:val="16"/>
          <w:sz w:val="20"/>
          <w:szCs w:val="20"/>
          <w:highlight w:val="none"/>
        </w:rPr>
        <w:t>电压整定值的准确度：</w:t>
      </w:r>
      <w:r>
        <w:rPr>
          <w:rFonts w:ascii="宋体" w:hAnsi="宋体" w:eastAsia="宋体" w:cs="宋体"/>
          <w:color w:val="auto"/>
          <w:spacing w:val="-40"/>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w:t>
      </w:r>
      <w:r>
        <w:rPr>
          <w:rFonts w:ascii="宋体" w:hAnsi="宋体" w:eastAsia="宋体" w:cs="宋体"/>
          <w:color w:val="auto"/>
          <w:spacing w:val="15"/>
          <w:sz w:val="20"/>
          <w:szCs w:val="20"/>
          <w:highlight w:val="none"/>
        </w:rPr>
        <w:t>02</w:t>
      </w:r>
      <w:r>
        <w:rPr>
          <w:rFonts w:ascii="宋体" w:hAnsi="宋体" w:eastAsia="宋体" w:cs="宋体"/>
          <w:color w:val="auto"/>
          <w:sz w:val="20"/>
          <w:szCs w:val="20"/>
          <w:highlight w:val="none"/>
        </w:rPr>
        <w:t>In</w:t>
      </w:r>
      <w:r>
        <w:rPr>
          <w:rFonts w:ascii="宋体" w:hAnsi="宋体" w:eastAsia="宋体" w:cs="宋体"/>
          <w:color w:val="auto"/>
          <w:spacing w:val="15"/>
          <w:sz w:val="20"/>
          <w:szCs w:val="20"/>
          <w:highlight w:val="none"/>
        </w:rPr>
        <w:t>、0.01</w:t>
      </w:r>
      <w:r>
        <w:rPr>
          <w:rFonts w:ascii="宋体" w:hAnsi="宋体" w:eastAsia="宋体" w:cs="宋体"/>
          <w:color w:val="auto"/>
          <w:sz w:val="20"/>
          <w:szCs w:val="20"/>
          <w:highlight w:val="none"/>
        </w:rPr>
        <w:t>Un</w:t>
      </w:r>
      <w:r>
        <w:rPr>
          <w:rFonts w:ascii="宋体" w:hAnsi="宋体" w:eastAsia="宋体" w:cs="宋体"/>
          <w:color w:val="auto"/>
          <w:spacing w:val="-58"/>
          <w:sz w:val="20"/>
          <w:szCs w:val="20"/>
          <w:highlight w:val="none"/>
        </w:rPr>
        <w:t xml:space="preserve"> </w:t>
      </w:r>
      <w:r>
        <w:rPr>
          <w:rFonts w:ascii="宋体" w:hAnsi="宋体" w:eastAsia="宋体" w:cs="宋体"/>
          <w:color w:val="auto"/>
          <w:spacing w:val="15"/>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5"/>
          <w:sz w:val="20"/>
          <w:szCs w:val="20"/>
          <w:highlight w:val="none"/>
        </w:rPr>
        <w:t>负序电</w:t>
      </w:r>
      <w:r>
        <w:rPr>
          <w:rFonts w:ascii="宋体" w:hAnsi="宋体" w:eastAsia="宋体" w:cs="宋体"/>
          <w:color w:val="auto"/>
          <w:sz w:val="20"/>
          <w:szCs w:val="20"/>
          <w:highlight w:val="none"/>
        </w:rPr>
        <w:t xml:space="preserve"> </w:t>
      </w:r>
      <w:r>
        <w:rPr>
          <w:rFonts w:ascii="宋体" w:hAnsi="宋体" w:eastAsia="宋体" w:cs="宋体"/>
          <w:color w:val="auto"/>
          <w:spacing w:val="16"/>
          <w:sz w:val="20"/>
          <w:szCs w:val="20"/>
          <w:highlight w:val="none"/>
        </w:rPr>
        <w:t>压整定值的准确度：</w:t>
      </w:r>
      <w:r>
        <w:rPr>
          <w:rFonts w:ascii="宋体" w:hAnsi="宋体" w:eastAsia="宋体" w:cs="宋体"/>
          <w:color w:val="auto"/>
          <w:spacing w:val="-36"/>
          <w:sz w:val="20"/>
          <w:szCs w:val="20"/>
          <w:highlight w:val="none"/>
        </w:rPr>
        <w:t xml:space="preserve"> </w:t>
      </w:r>
      <w:r>
        <w:rPr>
          <w:rFonts w:ascii="宋体" w:hAnsi="宋体" w:eastAsia="宋体" w:cs="宋体"/>
          <w:color w:val="auto"/>
          <w:spacing w:val="16"/>
          <w:sz w:val="20"/>
          <w:szCs w:val="20"/>
          <w:highlight w:val="none"/>
        </w:rPr>
        <w:t>5%或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6"/>
          <w:sz w:val="20"/>
          <w:szCs w:val="20"/>
          <w:highlight w:val="none"/>
        </w:rPr>
        <w:t>0.1V；</w:t>
      </w:r>
    </w:p>
    <w:p w14:paraId="3E8EF334">
      <w:pPr>
        <w:spacing w:before="164" w:line="302" w:lineRule="auto"/>
        <w:ind w:left="1365" w:right="35" w:hanging="420"/>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4"/>
          <w:sz w:val="20"/>
          <w:szCs w:val="20"/>
          <w:highlight w:val="none"/>
        </w:rPr>
        <w:t>时间整定值的准确度（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14"/>
          <w:sz w:val="20"/>
          <w:szCs w:val="20"/>
          <w:highlight w:val="none"/>
        </w:rPr>
        <w:t>电流</w:t>
      </w:r>
      <w:r>
        <w:rPr>
          <w:rFonts w:ascii="宋体" w:hAnsi="宋体" w:eastAsia="宋体" w:cs="宋体"/>
          <w:color w:val="auto"/>
          <w:spacing w:val="-58"/>
          <w:sz w:val="20"/>
          <w:szCs w:val="20"/>
          <w:highlight w:val="none"/>
        </w:rPr>
        <w:t xml:space="preserve"> </w:t>
      </w:r>
      <w:r>
        <w:rPr>
          <w:rFonts w:ascii="宋体" w:hAnsi="宋体" w:eastAsia="宋体" w:cs="宋体"/>
          <w:color w:val="auto"/>
          <w:spacing w:val="14"/>
          <w:sz w:val="20"/>
          <w:szCs w:val="20"/>
          <w:highlight w:val="none"/>
        </w:rPr>
        <w:t>、负序电压 1</w:t>
      </w:r>
      <w:r>
        <w:rPr>
          <w:rFonts w:ascii="宋体" w:hAnsi="宋体" w:eastAsia="宋体" w:cs="宋体"/>
          <w:color w:val="auto"/>
          <w:spacing w:val="13"/>
          <w:sz w:val="20"/>
          <w:szCs w:val="20"/>
          <w:highlight w:val="none"/>
        </w:rPr>
        <w:t>.5</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倍整定值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、低电压</w:t>
      </w:r>
      <w:r>
        <w:rPr>
          <w:rFonts w:ascii="宋体" w:hAnsi="宋体" w:eastAsia="宋体" w:cs="宋体"/>
          <w:color w:val="auto"/>
          <w:spacing w:val="-13"/>
          <w:sz w:val="20"/>
          <w:szCs w:val="20"/>
          <w:highlight w:val="none"/>
        </w:rPr>
        <w:t xml:space="preserve"> </w:t>
      </w:r>
      <w:r>
        <w:rPr>
          <w:rFonts w:ascii="宋体" w:hAnsi="宋体" w:eastAsia="宋体" w:cs="宋体"/>
          <w:color w:val="auto"/>
          <w:spacing w:val="13"/>
          <w:sz w:val="20"/>
          <w:szCs w:val="20"/>
          <w:highlight w:val="none"/>
        </w:rPr>
        <w:t>0.8</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定值时</w:t>
      </w:r>
      <w:r>
        <w:rPr>
          <w:rFonts w:ascii="宋体" w:hAnsi="宋体" w:eastAsia="宋体" w:cs="宋体"/>
          <w:color w:val="auto"/>
          <w:spacing w:val="-27"/>
          <w:sz w:val="20"/>
          <w:szCs w:val="20"/>
          <w:highlight w:val="none"/>
        </w:rPr>
        <w:t>）：</w:t>
      </w:r>
      <w:r>
        <w:rPr>
          <w:rFonts w:ascii="宋体" w:hAnsi="宋体" w:eastAsia="宋体" w:cs="宋体"/>
          <w:color w:val="auto"/>
          <w:spacing w:val="-48"/>
          <w:sz w:val="20"/>
          <w:szCs w:val="20"/>
          <w:highlight w:val="none"/>
        </w:rPr>
        <w:t xml:space="preserve"> </w:t>
      </w:r>
      <w:r>
        <w:rPr>
          <w:rFonts w:ascii="宋体" w:hAnsi="宋体" w:eastAsia="宋体" w:cs="宋体"/>
          <w:color w:val="auto"/>
          <w:spacing w:val="11"/>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1"/>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1"/>
          <w:sz w:val="20"/>
          <w:szCs w:val="20"/>
          <w:highlight w:val="none"/>
        </w:rPr>
        <w:t>。</w:t>
      </w:r>
    </w:p>
    <w:p w14:paraId="59E79243">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21"/>
          <w:sz w:val="14"/>
          <w:szCs w:val="14"/>
          <w:highlight w:val="none"/>
        </w:rPr>
        <w:t>l</w:t>
      </w:r>
      <w:r>
        <w:rPr>
          <w:rFonts w:ascii="Wingdings" w:hAnsi="Wingdings" w:eastAsia="Wingdings" w:cs="Wingdings"/>
          <w:color w:val="auto"/>
          <w:spacing w:val="127"/>
          <w:sz w:val="14"/>
          <w:szCs w:val="14"/>
          <w:highlight w:val="none"/>
        </w:rPr>
        <w:t xml:space="preserve"> </w:t>
      </w:r>
      <w:r>
        <w:rPr>
          <w:rFonts w:ascii="宋体" w:hAnsi="宋体" w:eastAsia="宋体" w:cs="宋体"/>
          <w:b/>
          <w:bCs/>
          <w:color w:val="auto"/>
          <w:spacing w:val="21"/>
          <w:sz w:val="20"/>
          <w:szCs w:val="20"/>
          <w:highlight w:val="none"/>
        </w:rPr>
        <w:t>主变高压侧接地保护</w:t>
      </w:r>
    </w:p>
    <w:p w14:paraId="391124BA">
      <w:pPr>
        <w:spacing w:before="160" w:line="364" w:lineRule="auto"/>
        <w:ind w:left="502" w:right="35" w:firstLine="347"/>
        <w:rPr>
          <w:rFonts w:ascii="宋体" w:hAnsi="宋体" w:eastAsia="宋体" w:cs="宋体"/>
          <w:color w:val="auto"/>
          <w:sz w:val="20"/>
          <w:szCs w:val="20"/>
          <w:highlight w:val="none"/>
        </w:rPr>
      </w:pPr>
      <w:r>
        <w:rPr>
          <w:rFonts w:ascii="宋体" w:hAnsi="宋体" w:eastAsia="宋体" w:cs="宋体"/>
          <w:color w:val="auto"/>
          <w:spacing w:val="22"/>
          <w:sz w:val="20"/>
          <w:szCs w:val="20"/>
          <w:highlight w:val="none"/>
        </w:rPr>
        <w:t>主变压器高压绕组单相接地故障保护</w:t>
      </w:r>
      <w:r>
        <w:rPr>
          <w:rFonts w:ascii="宋体" w:hAnsi="宋体" w:eastAsia="宋体" w:cs="宋体"/>
          <w:color w:val="auto"/>
          <w:spacing w:val="-55"/>
          <w:sz w:val="20"/>
          <w:szCs w:val="20"/>
          <w:highlight w:val="none"/>
        </w:rPr>
        <w:t xml:space="preserve"> </w:t>
      </w:r>
      <w:r>
        <w:rPr>
          <w:rFonts w:ascii="宋体" w:hAnsi="宋体" w:eastAsia="宋体" w:cs="宋体"/>
          <w:color w:val="auto"/>
          <w:spacing w:val="22"/>
          <w:sz w:val="20"/>
          <w:szCs w:val="20"/>
          <w:highlight w:val="none"/>
        </w:rPr>
        <w:t>，作为变压器</w:t>
      </w:r>
      <w:r>
        <w:rPr>
          <w:rFonts w:ascii="宋体" w:hAnsi="宋体" w:eastAsia="宋体" w:cs="宋体"/>
          <w:color w:val="auto"/>
          <w:spacing w:val="21"/>
          <w:sz w:val="20"/>
          <w:szCs w:val="20"/>
          <w:highlight w:val="none"/>
        </w:rPr>
        <w:t>绕组</w:t>
      </w:r>
      <w:r>
        <w:rPr>
          <w:rFonts w:ascii="宋体" w:hAnsi="宋体" w:eastAsia="宋体" w:cs="宋体"/>
          <w:color w:val="auto"/>
          <w:spacing w:val="-56"/>
          <w:sz w:val="20"/>
          <w:szCs w:val="20"/>
          <w:highlight w:val="none"/>
        </w:rPr>
        <w:t xml:space="preserve"> </w:t>
      </w:r>
      <w:r>
        <w:rPr>
          <w:rFonts w:ascii="宋体" w:hAnsi="宋体" w:eastAsia="宋体" w:cs="宋体"/>
          <w:color w:val="auto"/>
          <w:spacing w:val="21"/>
          <w:sz w:val="20"/>
          <w:szCs w:val="20"/>
          <w:highlight w:val="none"/>
        </w:rPr>
        <w:t>、引线</w:t>
      </w:r>
      <w:r>
        <w:rPr>
          <w:rFonts w:ascii="宋体" w:hAnsi="宋体" w:eastAsia="宋体" w:cs="宋体"/>
          <w:color w:val="auto"/>
          <w:spacing w:val="-56"/>
          <w:sz w:val="20"/>
          <w:szCs w:val="20"/>
          <w:highlight w:val="none"/>
        </w:rPr>
        <w:t xml:space="preserve"> </w:t>
      </w:r>
      <w:r>
        <w:rPr>
          <w:rFonts w:ascii="宋体" w:hAnsi="宋体" w:eastAsia="宋体" w:cs="宋体"/>
          <w:color w:val="auto"/>
          <w:spacing w:val="21"/>
          <w:sz w:val="20"/>
          <w:szCs w:val="20"/>
          <w:highlight w:val="none"/>
        </w:rPr>
        <w:t>、相邻元件接</w:t>
      </w:r>
      <w:r>
        <w:rPr>
          <w:rFonts w:ascii="宋体" w:hAnsi="宋体" w:eastAsia="宋体" w:cs="宋体"/>
          <w:color w:val="auto"/>
          <w:sz w:val="20"/>
          <w:szCs w:val="20"/>
          <w:highlight w:val="none"/>
        </w:rPr>
        <w:t xml:space="preserve"> </w:t>
      </w:r>
      <w:r>
        <w:rPr>
          <w:rFonts w:ascii="宋体" w:hAnsi="宋体" w:eastAsia="宋体" w:cs="宋体"/>
          <w:color w:val="auto"/>
          <w:spacing w:val="24"/>
          <w:sz w:val="20"/>
          <w:szCs w:val="20"/>
          <w:highlight w:val="none"/>
        </w:rPr>
        <w:t>地故障的后备</w:t>
      </w:r>
      <w:r>
        <w:rPr>
          <w:rFonts w:ascii="宋体" w:hAnsi="宋体" w:eastAsia="宋体" w:cs="宋体"/>
          <w:color w:val="auto"/>
          <w:spacing w:val="-53"/>
          <w:sz w:val="20"/>
          <w:szCs w:val="20"/>
          <w:highlight w:val="none"/>
        </w:rPr>
        <w:t xml:space="preserve"> </w:t>
      </w:r>
      <w:r>
        <w:rPr>
          <w:rFonts w:ascii="宋体" w:hAnsi="宋体" w:eastAsia="宋体" w:cs="宋体"/>
          <w:color w:val="auto"/>
          <w:spacing w:val="24"/>
          <w:sz w:val="20"/>
          <w:szCs w:val="20"/>
          <w:highlight w:val="none"/>
        </w:rPr>
        <w:t>，保护设二段</w:t>
      </w:r>
      <w:r>
        <w:rPr>
          <w:rFonts w:ascii="宋体" w:hAnsi="宋体" w:eastAsia="宋体" w:cs="宋体"/>
          <w:color w:val="auto"/>
          <w:spacing w:val="-50"/>
          <w:sz w:val="20"/>
          <w:szCs w:val="20"/>
          <w:highlight w:val="none"/>
        </w:rPr>
        <w:t xml:space="preserve"> </w:t>
      </w:r>
      <w:r>
        <w:rPr>
          <w:rFonts w:ascii="宋体" w:hAnsi="宋体" w:eastAsia="宋体" w:cs="宋体"/>
          <w:color w:val="auto"/>
          <w:spacing w:val="24"/>
          <w:sz w:val="20"/>
          <w:szCs w:val="20"/>
          <w:highlight w:val="none"/>
        </w:rPr>
        <w:t>。其主要功能及技术要求如</w:t>
      </w:r>
      <w:r>
        <w:rPr>
          <w:rFonts w:ascii="宋体" w:hAnsi="宋体" w:eastAsia="宋体" w:cs="宋体"/>
          <w:color w:val="auto"/>
          <w:spacing w:val="23"/>
          <w:sz w:val="20"/>
          <w:szCs w:val="20"/>
          <w:highlight w:val="none"/>
        </w:rPr>
        <w:t>下：</w:t>
      </w:r>
    </w:p>
    <w:p w14:paraId="463E0055">
      <w:pPr>
        <w:spacing w:before="29" w:line="228" w:lineRule="auto"/>
        <w:ind w:left="956"/>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1)</w:t>
      </w:r>
      <w:r>
        <w:rPr>
          <w:rFonts w:ascii="宋体" w:hAnsi="宋体" w:eastAsia="宋体" w:cs="宋体"/>
          <w:color w:val="auto"/>
          <w:spacing w:val="43"/>
          <w:sz w:val="20"/>
          <w:szCs w:val="20"/>
          <w:highlight w:val="none"/>
        </w:rPr>
        <w:t xml:space="preserve"> </w:t>
      </w:r>
      <w:r>
        <w:rPr>
          <w:rFonts w:ascii="宋体" w:hAnsi="宋体" w:eastAsia="宋体" w:cs="宋体"/>
          <w:color w:val="auto"/>
          <w:spacing w:val="14"/>
          <w:sz w:val="20"/>
          <w:szCs w:val="20"/>
          <w:highlight w:val="none"/>
        </w:rPr>
        <w:t>返回系数不低于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0.9；</w:t>
      </w:r>
    </w:p>
    <w:p w14:paraId="5DDE7A76">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43A513F0">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5"/>
          <w:sz w:val="20"/>
          <w:szCs w:val="20"/>
          <w:highlight w:val="none"/>
        </w:rPr>
        <w:t>时间整定的准确度（</w:t>
      </w:r>
      <w:r>
        <w:rPr>
          <w:rFonts w:ascii="宋体" w:hAnsi="宋体" w:eastAsia="宋体" w:cs="宋体"/>
          <w:color w:val="auto"/>
          <w:spacing w:val="-27"/>
          <w:sz w:val="20"/>
          <w:szCs w:val="20"/>
          <w:highlight w:val="none"/>
        </w:rPr>
        <w:t xml:space="preserve"> </w:t>
      </w:r>
      <w:r>
        <w:rPr>
          <w:rFonts w:ascii="宋体" w:hAnsi="宋体" w:eastAsia="宋体" w:cs="宋体"/>
          <w:color w:val="auto"/>
          <w:spacing w:val="15"/>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倍整定值时</w:t>
      </w:r>
      <w:r>
        <w:rPr>
          <w:rFonts w:ascii="宋体" w:hAnsi="宋体" w:eastAsia="宋体" w:cs="宋体"/>
          <w:color w:val="auto"/>
          <w:spacing w:val="-40"/>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5"/>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5"/>
          <w:sz w:val="20"/>
          <w:szCs w:val="20"/>
          <w:highlight w:val="none"/>
        </w:rPr>
        <w:t>。</w:t>
      </w:r>
    </w:p>
    <w:p w14:paraId="3F64FFAA">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17"/>
          <w:sz w:val="14"/>
          <w:szCs w:val="14"/>
          <w:highlight w:val="none"/>
        </w:rPr>
        <w:t>l</w:t>
      </w:r>
      <w:r>
        <w:rPr>
          <w:rFonts w:ascii="Wingdings" w:hAnsi="Wingdings" w:eastAsia="Wingdings" w:cs="Wingdings"/>
          <w:color w:val="auto"/>
          <w:spacing w:val="122"/>
          <w:sz w:val="14"/>
          <w:szCs w:val="14"/>
          <w:highlight w:val="none"/>
        </w:rPr>
        <w:t xml:space="preserve"> </w:t>
      </w:r>
      <w:r>
        <w:rPr>
          <w:rFonts w:ascii="宋体" w:hAnsi="宋体" w:eastAsia="宋体" w:cs="宋体"/>
          <w:b/>
          <w:bCs/>
          <w:color w:val="auto"/>
          <w:spacing w:val="17"/>
          <w:sz w:val="20"/>
          <w:szCs w:val="20"/>
          <w:highlight w:val="none"/>
        </w:rPr>
        <w:t>过激磁保护</w:t>
      </w:r>
    </w:p>
    <w:p w14:paraId="73BA97DC">
      <w:pPr>
        <w:spacing w:before="159" w:line="368" w:lineRule="auto"/>
        <w:ind w:left="503" w:right="35" w:firstLine="345"/>
        <w:jc w:val="both"/>
        <w:rPr>
          <w:rFonts w:ascii="宋体" w:hAnsi="宋体" w:eastAsia="宋体" w:cs="宋体"/>
          <w:color w:val="auto"/>
          <w:sz w:val="20"/>
          <w:szCs w:val="20"/>
          <w:highlight w:val="none"/>
        </w:rPr>
      </w:pPr>
      <w:r>
        <w:rPr>
          <w:rFonts w:ascii="宋体" w:hAnsi="宋体" w:eastAsia="宋体" w:cs="宋体"/>
          <w:color w:val="auto"/>
          <w:spacing w:val="26"/>
          <w:sz w:val="20"/>
          <w:szCs w:val="20"/>
          <w:highlight w:val="none"/>
        </w:rPr>
        <w:t>过激磁保护变压器过激磁，即当电压升高和频率降低时</w:t>
      </w:r>
      <w:r>
        <w:rPr>
          <w:rFonts w:ascii="宋体" w:hAnsi="宋体" w:eastAsia="宋体" w:cs="宋体"/>
          <w:color w:val="auto"/>
          <w:spacing w:val="25"/>
          <w:sz w:val="20"/>
          <w:szCs w:val="20"/>
          <w:highlight w:val="none"/>
        </w:rPr>
        <w:t>工作磁通密度过高引</w:t>
      </w:r>
      <w:r>
        <w:rPr>
          <w:rFonts w:ascii="宋体" w:hAnsi="宋体" w:eastAsia="宋体" w:cs="宋体"/>
          <w:color w:val="auto"/>
          <w:sz w:val="20"/>
          <w:szCs w:val="20"/>
          <w:highlight w:val="none"/>
        </w:rPr>
        <w:t xml:space="preserve"> </w:t>
      </w:r>
      <w:r>
        <w:rPr>
          <w:rFonts w:ascii="宋体" w:hAnsi="宋体" w:eastAsia="宋体" w:cs="宋体"/>
          <w:color w:val="auto"/>
          <w:spacing w:val="25"/>
          <w:sz w:val="20"/>
          <w:szCs w:val="20"/>
          <w:highlight w:val="none"/>
        </w:rPr>
        <w:t>起绝缘过热老化的保护装置</w:t>
      </w:r>
      <w:r>
        <w:rPr>
          <w:rFonts w:ascii="宋体" w:hAnsi="宋体" w:eastAsia="宋体" w:cs="宋体"/>
          <w:color w:val="auto"/>
          <w:spacing w:val="-44"/>
          <w:sz w:val="20"/>
          <w:szCs w:val="20"/>
          <w:highlight w:val="none"/>
        </w:rPr>
        <w:t xml:space="preserve"> </w:t>
      </w:r>
      <w:r>
        <w:rPr>
          <w:rFonts w:ascii="宋体" w:hAnsi="宋体" w:eastAsia="宋体" w:cs="宋体"/>
          <w:color w:val="auto"/>
          <w:spacing w:val="25"/>
          <w:sz w:val="20"/>
          <w:szCs w:val="20"/>
          <w:highlight w:val="none"/>
        </w:rPr>
        <w:t>。保护装置定时限和反时限两种</w:t>
      </w:r>
      <w:r>
        <w:rPr>
          <w:rFonts w:ascii="宋体" w:hAnsi="宋体" w:eastAsia="宋体" w:cs="宋体"/>
          <w:color w:val="auto"/>
          <w:spacing w:val="-53"/>
          <w:sz w:val="20"/>
          <w:szCs w:val="20"/>
          <w:highlight w:val="none"/>
        </w:rPr>
        <w:t xml:space="preserve"> </w:t>
      </w:r>
      <w:r>
        <w:rPr>
          <w:rFonts w:ascii="宋体" w:hAnsi="宋体" w:eastAsia="宋体" w:cs="宋体"/>
          <w:color w:val="auto"/>
          <w:spacing w:val="25"/>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25"/>
          <w:sz w:val="20"/>
          <w:szCs w:val="20"/>
          <w:highlight w:val="none"/>
        </w:rPr>
        <w:t>定时限设低定值</w:t>
      </w:r>
      <w:r>
        <w:rPr>
          <w:rFonts w:ascii="宋体" w:hAnsi="宋体" w:eastAsia="宋体" w:cs="宋体"/>
          <w:color w:val="auto"/>
          <w:sz w:val="20"/>
          <w:szCs w:val="20"/>
          <w:highlight w:val="none"/>
        </w:rPr>
        <w:t xml:space="preserve"> </w:t>
      </w:r>
      <w:r>
        <w:rPr>
          <w:rFonts w:ascii="宋体" w:hAnsi="宋体" w:eastAsia="宋体" w:cs="宋体"/>
          <w:color w:val="auto"/>
          <w:spacing w:val="22"/>
          <w:sz w:val="20"/>
          <w:szCs w:val="20"/>
          <w:highlight w:val="none"/>
        </w:rPr>
        <w:t>和高定值两段</w:t>
      </w:r>
      <w:r>
        <w:rPr>
          <w:rFonts w:ascii="宋体" w:hAnsi="宋体" w:eastAsia="宋体" w:cs="宋体"/>
          <w:color w:val="auto"/>
          <w:spacing w:val="-38"/>
          <w:sz w:val="20"/>
          <w:szCs w:val="20"/>
          <w:highlight w:val="none"/>
        </w:rPr>
        <w:t xml:space="preserve"> </w:t>
      </w:r>
      <w:r>
        <w:rPr>
          <w:rFonts w:ascii="宋体" w:hAnsi="宋体" w:eastAsia="宋体" w:cs="宋体"/>
          <w:color w:val="auto"/>
          <w:spacing w:val="22"/>
          <w:sz w:val="20"/>
          <w:szCs w:val="20"/>
          <w:highlight w:val="none"/>
        </w:rPr>
        <w:t>。</w:t>
      </w:r>
      <w:r>
        <w:rPr>
          <w:rFonts w:ascii="宋体" w:hAnsi="宋体" w:eastAsia="宋体" w:cs="宋体"/>
          <w:color w:val="auto"/>
          <w:spacing w:val="61"/>
          <w:sz w:val="20"/>
          <w:szCs w:val="20"/>
          <w:highlight w:val="none"/>
        </w:rPr>
        <w:t xml:space="preserve"> </w:t>
      </w:r>
      <w:r>
        <w:rPr>
          <w:rFonts w:ascii="宋体" w:hAnsi="宋体" w:eastAsia="宋体" w:cs="宋体"/>
          <w:color w:val="auto"/>
          <w:spacing w:val="22"/>
          <w:sz w:val="20"/>
          <w:szCs w:val="20"/>
          <w:highlight w:val="none"/>
        </w:rPr>
        <w:t>其主要功能和技术要求如下：</w:t>
      </w:r>
    </w:p>
    <w:p w14:paraId="79FDC4E8">
      <w:pPr>
        <w:spacing w:before="31" w:line="302" w:lineRule="auto"/>
        <w:ind w:left="1359" w:right="35" w:hanging="403"/>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1) 保护装置应设有定时限和反时限两个部分，以便同</w:t>
      </w:r>
      <w:r>
        <w:rPr>
          <w:rFonts w:ascii="宋体" w:hAnsi="宋体" w:eastAsia="宋体" w:cs="宋体"/>
          <w:color w:val="auto"/>
          <w:spacing w:val="24"/>
          <w:sz w:val="20"/>
          <w:szCs w:val="20"/>
          <w:highlight w:val="none"/>
        </w:rPr>
        <w:t>变压器的过激磁特性</w:t>
      </w:r>
      <w:r>
        <w:rPr>
          <w:rFonts w:ascii="宋体" w:hAnsi="宋体" w:eastAsia="宋体" w:cs="宋体"/>
          <w:color w:val="auto"/>
          <w:sz w:val="20"/>
          <w:szCs w:val="20"/>
          <w:highlight w:val="none"/>
        </w:rPr>
        <w:t xml:space="preserve"> </w:t>
      </w:r>
      <w:r>
        <w:rPr>
          <w:rFonts w:ascii="宋体" w:hAnsi="宋体" w:eastAsia="宋体" w:cs="宋体"/>
          <w:color w:val="auto"/>
          <w:spacing w:val="18"/>
          <w:sz w:val="20"/>
          <w:szCs w:val="20"/>
          <w:highlight w:val="none"/>
        </w:rPr>
        <w:t>近似匹配；</w:t>
      </w:r>
    </w:p>
    <w:p w14:paraId="3C4913BC">
      <w:pPr>
        <w:spacing w:before="163" w:line="228" w:lineRule="auto"/>
        <w:ind w:left="943"/>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2) 在变压器出现励磁涌流时保护不应发生误动作；</w:t>
      </w:r>
    </w:p>
    <w:p w14:paraId="5BA6F2ED">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3)</w:t>
      </w:r>
      <w:r>
        <w:rPr>
          <w:rFonts w:ascii="宋体" w:hAnsi="宋体" w:eastAsia="宋体" w:cs="宋体"/>
          <w:color w:val="auto"/>
          <w:spacing w:val="47"/>
          <w:sz w:val="20"/>
          <w:szCs w:val="20"/>
          <w:highlight w:val="none"/>
        </w:rPr>
        <w:t xml:space="preserve"> </w:t>
      </w:r>
      <w:r>
        <w:rPr>
          <w:rFonts w:ascii="宋体" w:hAnsi="宋体" w:eastAsia="宋体" w:cs="宋体"/>
          <w:color w:val="auto"/>
          <w:spacing w:val="25"/>
          <w:sz w:val="20"/>
          <w:szCs w:val="20"/>
          <w:highlight w:val="none"/>
        </w:rPr>
        <w:t>当电压互感器回路断线时应闭锁装置并发出报警信</w:t>
      </w:r>
      <w:r>
        <w:rPr>
          <w:rFonts w:ascii="宋体" w:hAnsi="宋体" w:eastAsia="宋体" w:cs="宋体"/>
          <w:color w:val="auto"/>
          <w:spacing w:val="24"/>
          <w:sz w:val="20"/>
          <w:szCs w:val="20"/>
          <w:highlight w:val="none"/>
        </w:rPr>
        <w:t>号；</w:t>
      </w:r>
    </w:p>
    <w:p w14:paraId="2DC6EEF7">
      <w:pPr>
        <w:spacing w:before="161" w:line="228" w:lineRule="auto"/>
        <w:ind w:left="940"/>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4) 装置适用频率范围</w:t>
      </w:r>
      <w:r>
        <w:rPr>
          <w:rFonts w:ascii="宋体" w:hAnsi="宋体" w:eastAsia="宋体" w:cs="宋体"/>
          <w:color w:val="auto"/>
          <w:spacing w:val="5"/>
          <w:sz w:val="20"/>
          <w:szCs w:val="20"/>
          <w:highlight w:val="none"/>
        </w:rPr>
        <w:t xml:space="preserve"> </w:t>
      </w:r>
      <w:r>
        <w:rPr>
          <w:rFonts w:ascii="宋体" w:hAnsi="宋体" w:eastAsia="宋体" w:cs="宋体"/>
          <w:color w:val="auto"/>
          <w:spacing w:val="17"/>
          <w:sz w:val="20"/>
          <w:szCs w:val="20"/>
          <w:highlight w:val="none"/>
        </w:rPr>
        <w:t>25</w:t>
      </w:r>
      <w:r>
        <w:rPr>
          <w:rFonts w:ascii="宋体" w:hAnsi="宋体" w:eastAsia="宋体" w:cs="宋体"/>
          <w:color w:val="auto"/>
          <w:sz w:val="20"/>
          <w:szCs w:val="20"/>
          <w:highlight w:val="none"/>
        </w:rPr>
        <w:t>Hz</w:t>
      </w:r>
      <w:r>
        <w:rPr>
          <w:rFonts w:ascii="宋体" w:hAnsi="宋体" w:eastAsia="宋体" w:cs="宋体"/>
          <w:color w:val="auto"/>
          <w:spacing w:val="17"/>
          <w:sz w:val="20"/>
          <w:szCs w:val="20"/>
          <w:highlight w:val="none"/>
        </w:rPr>
        <w:t>～65</w:t>
      </w:r>
      <w:r>
        <w:rPr>
          <w:rFonts w:ascii="宋体" w:hAnsi="宋体" w:eastAsia="宋体" w:cs="宋体"/>
          <w:color w:val="auto"/>
          <w:sz w:val="20"/>
          <w:szCs w:val="20"/>
          <w:highlight w:val="none"/>
        </w:rPr>
        <w:t>Hz</w:t>
      </w:r>
      <w:r>
        <w:rPr>
          <w:rFonts w:ascii="宋体" w:hAnsi="宋体" w:eastAsia="宋体" w:cs="宋体"/>
          <w:color w:val="auto"/>
          <w:spacing w:val="17"/>
          <w:sz w:val="20"/>
          <w:szCs w:val="20"/>
          <w:highlight w:val="none"/>
        </w:rPr>
        <w:t>；</w:t>
      </w:r>
      <w:r>
        <w:rPr>
          <w:rFonts w:ascii="宋体" w:hAnsi="宋体" w:eastAsia="宋体" w:cs="宋体"/>
          <w:color w:val="auto"/>
          <w:spacing w:val="-22"/>
          <w:sz w:val="20"/>
          <w:szCs w:val="20"/>
          <w:highlight w:val="none"/>
        </w:rPr>
        <w:t xml:space="preserve"> </w:t>
      </w:r>
      <w:r>
        <w:rPr>
          <w:rFonts w:ascii="宋体" w:hAnsi="宋体" w:eastAsia="宋体" w:cs="宋体"/>
          <w:color w:val="auto"/>
          <w:spacing w:val="17"/>
          <w:sz w:val="20"/>
          <w:szCs w:val="20"/>
          <w:highlight w:val="none"/>
        </w:rPr>
        <w:t>电压整定范围：</w:t>
      </w:r>
      <w:r>
        <w:rPr>
          <w:rFonts w:ascii="宋体" w:hAnsi="宋体" w:eastAsia="宋体" w:cs="宋体"/>
          <w:color w:val="auto"/>
          <w:spacing w:val="-27"/>
          <w:sz w:val="20"/>
          <w:szCs w:val="20"/>
          <w:highlight w:val="none"/>
        </w:rPr>
        <w:t xml:space="preserve"> </w:t>
      </w:r>
      <w:r>
        <w:rPr>
          <w:rFonts w:ascii="宋体" w:hAnsi="宋体" w:eastAsia="宋体" w:cs="宋体"/>
          <w:color w:val="auto"/>
          <w:spacing w:val="17"/>
          <w:sz w:val="20"/>
          <w:szCs w:val="20"/>
          <w:highlight w:val="none"/>
        </w:rPr>
        <w:t>1.0～</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7"/>
          <w:sz w:val="20"/>
          <w:szCs w:val="20"/>
          <w:highlight w:val="none"/>
        </w:rPr>
        <w:t>额定电压；</w:t>
      </w:r>
    </w:p>
    <w:p w14:paraId="5B4317DB">
      <w:pPr>
        <w:spacing w:before="163" w:line="228" w:lineRule="auto"/>
        <w:ind w:left="945"/>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5) 过激磁返回系数不小于</w:t>
      </w:r>
      <w:r>
        <w:rPr>
          <w:rFonts w:ascii="宋体" w:hAnsi="宋体" w:eastAsia="宋体" w:cs="宋体"/>
          <w:color w:val="auto"/>
          <w:spacing w:val="5"/>
          <w:sz w:val="20"/>
          <w:szCs w:val="20"/>
          <w:highlight w:val="none"/>
        </w:rPr>
        <w:t xml:space="preserve"> </w:t>
      </w:r>
      <w:r>
        <w:rPr>
          <w:rFonts w:ascii="宋体" w:hAnsi="宋体" w:eastAsia="宋体" w:cs="宋体"/>
          <w:color w:val="auto"/>
          <w:spacing w:val="18"/>
          <w:sz w:val="20"/>
          <w:szCs w:val="20"/>
          <w:highlight w:val="none"/>
        </w:rPr>
        <w:t>0.96；</w:t>
      </w:r>
    </w:p>
    <w:p w14:paraId="0CD6857F">
      <w:pPr>
        <w:spacing w:line="228"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72C36534">
      <w:pPr>
        <w:spacing w:before="41" w:line="228" w:lineRule="auto"/>
        <w:ind w:left="94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6)</w:t>
      </w:r>
      <w:r>
        <w:rPr>
          <w:rFonts w:ascii="宋体" w:hAnsi="宋体" w:eastAsia="宋体" w:cs="宋体"/>
          <w:color w:val="auto"/>
          <w:spacing w:val="45"/>
          <w:sz w:val="20"/>
          <w:szCs w:val="20"/>
          <w:highlight w:val="none"/>
        </w:rPr>
        <w:t xml:space="preserve"> </w:t>
      </w:r>
      <w:r>
        <w:rPr>
          <w:rFonts w:ascii="宋体" w:hAnsi="宋体" w:eastAsia="宋体" w:cs="宋体"/>
          <w:color w:val="auto"/>
          <w:spacing w:val="12"/>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2"/>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2"/>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2"/>
          <w:sz w:val="20"/>
          <w:szCs w:val="20"/>
          <w:highlight w:val="none"/>
        </w:rPr>
        <w:t>倍整定值时</w:t>
      </w:r>
      <w:r>
        <w:rPr>
          <w:rFonts w:ascii="宋体" w:hAnsi="宋体" w:eastAsia="宋体" w:cs="宋体"/>
          <w:color w:val="auto"/>
          <w:spacing w:val="-53"/>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2"/>
          <w:sz w:val="20"/>
          <w:szCs w:val="20"/>
          <w:highlight w:val="none"/>
        </w:rPr>
        <w:t>1%或 70</w:t>
      </w:r>
      <w:r>
        <w:rPr>
          <w:rFonts w:ascii="宋体" w:hAnsi="宋体" w:eastAsia="宋体" w:cs="宋体"/>
          <w:color w:val="auto"/>
          <w:sz w:val="20"/>
          <w:szCs w:val="20"/>
          <w:highlight w:val="none"/>
        </w:rPr>
        <w:t>ms</w:t>
      </w:r>
      <w:r>
        <w:rPr>
          <w:rFonts w:ascii="宋体" w:hAnsi="宋体" w:eastAsia="宋体" w:cs="宋体"/>
          <w:color w:val="auto"/>
          <w:spacing w:val="12"/>
          <w:sz w:val="20"/>
          <w:szCs w:val="20"/>
          <w:highlight w:val="none"/>
        </w:rPr>
        <w:t>；</w:t>
      </w:r>
    </w:p>
    <w:p w14:paraId="22C860EE">
      <w:pPr>
        <w:spacing w:before="161" w:line="228" w:lineRule="auto"/>
        <w:ind w:left="946"/>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7) 反时</w:t>
      </w:r>
      <w:r>
        <w:rPr>
          <w:rFonts w:ascii="宋体" w:hAnsi="宋体" w:eastAsia="宋体" w:cs="宋体"/>
          <w:color w:val="auto"/>
          <w:spacing w:val="-41"/>
          <w:sz w:val="20"/>
          <w:szCs w:val="20"/>
          <w:highlight w:val="none"/>
        </w:rPr>
        <w:t xml:space="preserve"> </w:t>
      </w:r>
      <w:r>
        <w:rPr>
          <w:rFonts w:ascii="宋体" w:hAnsi="宋体" w:eastAsia="宋体" w:cs="宋体"/>
          <w:color w:val="auto"/>
          <w:spacing w:val="15"/>
          <w:sz w:val="20"/>
          <w:szCs w:val="20"/>
          <w:highlight w:val="none"/>
        </w:rPr>
        <w:t>限长延时应可整定到 1000s。</w:t>
      </w:r>
    </w:p>
    <w:p w14:paraId="1134E264">
      <w:pPr>
        <w:spacing w:before="16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21"/>
          <w:sz w:val="14"/>
          <w:szCs w:val="14"/>
          <w:highlight w:val="none"/>
        </w:rPr>
        <w:t>l</w:t>
      </w:r>
      <w:r>
        <w:rPr>
          <w:rFonts w:ascii="Wingdings" w:hAnsi="Wingdings" w:eastAsia="Wingdings" w:cs="Wingdings"/>
          <w:color w:val="auto"/>
          <w:spacing w:val="127"/>
          <w:sz w:val="14"/>
          <w:szCs w:val="14"/>
          <w:highlight w:val="none"/>
        </w:rPr>
        <w:t xml:space="preserve"> </w:t>
      </w:r>
      <w:r>
        <w:rPr>
          <w:rFonts w:ascii="宋体" w:hAnsi="宋体" w:eastAsia="宋体" w:cs="宋体"/>
          <w:b/>
          <w:bCs/>
          <w:color w:val="auto"/>
          <w:spacing w:val="21"/>
          <w:sz w:val="20"/>
          <w:szCs w:val="20"/>
          <w:highlight w:val="none"/>
        </w:rPr>
        <w:t>主变低压侧接地保护</w:t>
      </w:r>
    </w:p>
    <w:p w14:paraId="7A7CB255">
      <w:pPr>
        <w:spacing w:before="159" w:line="362" w:lineRule="auto"/>
        <w:ind w:left="502" w:right="35" w:firstLine="347"/>
        <w:rPr>
          <w:rFonts w:ascii="宋体" w:hAnsi="宋体" w:eastAsia="宋体" w:cs="宋体"/>
          <w:color w:val="auto"/>
          <w:sz w:val="20"/>
          <w:szCs w:val="20"/>
          <w:highlight w:val="none"/>
        </w:rPr>
      </w:pPr>
      <w:r>
        <w:rPr>
          <w:rFonts w:ascii="宋体" w:hAnsi="宋体" w:eastAsia="宋体" w:cs="宋体"/>
          <w:color w:val="auto"/>
          <w:spacing w:val="20"/>
          <w:sz w:val="20"/>
          <w:szCs w:val="20"/>
          <w:highlight w:val="none"/>
        </w:rPr>
        <w:t>主变压器低压绕组单相接地故</w:t>
      </w:r>
      <w:r>
        <w:rPr>
          <w:rFonts w:ascii="宋体" w:hAnsi="宋体" w:eastAsia="宋体" w:cs="宋体"/>
          <w:color w:val="auto"/>
          <w:spacing w:val="-45"/>
          <w:sz w:val="20"/>
          <w:szCs w:val="20"/>
          <w:highlight w:val="none"/>
        </w:rPr>
        <w:t xml:space="preserve"> </w:t>
      </w:r>
      <w:r>
        <w:rPr>
          <w:rFonts w:ascii="宋体" w:hAnsi="宋体" w:eastAsia="宋体" w:cs="宋体"/>
          <w:color w:val="auto"/>
          <w:spacing w:val="20"/>
          <w:sz w:val="20"/>
          <w:szCs w:val="20"/>
          <w:highlight w:val="none"/>
        </w:rPr>
        <w:t>障保护</w:t>
      </w:r>
      <w:r>
        <w:rPr>
          <w:rFonts w:ascii="宋体" w:hAnsi="宋体" w:eastAsia="宋体" w:cs="宋体"/>
          <w:color w:val="auto"/>
          <w:spacing w:val="-55"/>
          <w:sz w:val="20"/>
          <w:szCs w:val="20"/>
          <w:highlight w:val="none"/>
        </w:rPr>
        <w:t xml:space="preserve"> </w:t>
      </w:r>
      <w:r>
        <w:rPr>
          <w:rFonts w:ascii="宋体" w:hAnsi="宋体" w:eastAsia="宋体" w:cs="宋体"/>
          <w:color w:val="auto"/>
          <w:spacing w:val="20"/>
          <w:sz w:val="20"/>
          <w:szCs w:val="20"/>
          <w:highlight w:val="none"/>
        </w:rPr>
        <w:t>，作为变压器绕组</w:t>
      </w:r>
      <w:r>
        <w:rPr>
          <w:rFonts w:ascii="宋体" w:hAnsi="宋体" w:eastAsia="宋体" w:cs="宋体"/>
          <w:color w:val="auto"/>
          <w:spacing w:val="-56"/>
          <w:sz w:val="20"/>
          <w:szCs w:val="20"/>
          <w:highlight w:val="none"/>
        </w:rPr>
        <w:t xml:space="preserve"> </w:t>
      </w:r>
      <w:r>
        <w:rPr>
          <w:rFonts w:ascii="宋体" w:hAnsi="宋体" w:eastAsia="宋体" w:cs="宋体"/>
          <w:color w:val="auto"/>
          <w:spacing w:val="20"/>
          <w:sz w:val="20"/>
          <w:szCs w:val="20"/>
          <w:highlight w:val="none"/>
        </w:rPr>
        <w:t>、引线</w:t>
      </w:r>
      <w:r>
        <w:rPr>
          <w:rFonts w:ascii="宋体" w:hAnsi="宋体" w:eastAsia="宋体" w:cs="宋体"/>
          <w:color w:val="auto"/>
          <w:spacing w:val="-56"/>
          <w:sz w:val="20"/>
          <w:szCs w:val="20"/>
          <w:highlight w:val="none"/>
        </w:rPr>
        <w:t xml:space="preserve"> </w:t>
      </w:r>
      <w:r>
        <w:rPr>
          <w:rFonts w:ascii="宋体" w:hAnsi="宋体" w:eastAsia="宋体" w:cs="宋体"/>
          <w:color w:val="auto"/>
          <w:spacing w:val="20"/>
          <w:sz w:val="20"/>
          <w:szCs w:val="20"/>
          <w:highlight w:val="none"/>
        </w:rPr>
        <w:t>、相邻元件接</w:t>
      </w:r>
      <w:r>
        <w:rPr>
          <w:rFonts w:ascii="宋体" w:hAnsi="宋体" w:eastAsia="宋体" w:cs="宋体"/>
          <w:color w:val="auto"/>
          <w:sz w:val="20"/>
          <w:szCs w:val="20"/>
          <w:highlight w:val="none"/>
        </w:rPr>
        <w:t xml:space="preserve"> </w:t>
      </w:r>
      <w:r>
        <w:rPr>
          <w:rFonts w:ascii="宋体" w:hAnsi="宋体" w:eastAsia="宋体" w:cs="宋体"/>
          <w:color w:val="auto"/>
          <w:spacing w:val="21"/>
          <w:sz w:val="20"/>
          <w:szCs w:val="20"/>
          <w:highlight w:val="none"/>
        </w:rPr>
        <w:t>地故</w:t>
      </w:r>
      <w:r>
        <w:rPr>
          <w:rFonts w:ascii="宋体" w:hAnsi="宋体" w:eastAsia="宋体" w:cs="宋体"/>
          <w:color w:val="auto"/>
          <w:spacing w:val="-49"/>
          <w:sz w:val="20"/>
          <w:szCs w:val="20"/>
          <w:highlight w:val="none"/>
        </w:rPr>
        <w:t xml:space="preserve"> </w:t>
      </w:r>
      <w:r>
        <w:rPr>
          <w:rFonts w:ascii="宋体" w:hAnsi="宋体" w:eastAsia="宋体" w:cs="宋体"/>
          <w:color w:val="auto"/>
          <w:spacing w:val="21"/>
          <w:sz w:val="20"/>
          <w:szCs w:val="20"/>
          <w:highlight w:val="none"/>
        </w:rPr>
        <w:t>障的后备</w:t>
      </w:r>
      <w:r>
        <w:rPr>
          <w:rFonts w:ascii="宋体" w:hAnsi="宋体" w:eastAsia="宋体" w:cs="宋体"/>
          <w:color w:val="auto"/>
          <w:spacing w:val="-54"/>
          <w:sz w:val="20"/>
          <w:szCs w:val="20"/>
          <w:highlight w:val="none"/>
        </w:rPr>
        <w:t xml:space="preserve"> </w:t>
      </w:r>
      <w:r>
        <w:rPr>
          <w:rFonts w:ascii="宋体" w:hAnsi="宋体" w:eastAsia="宋体" w:cs="宋体"/>
          <w:color w:val="auto"/>
          <w:spacing w:val="21"/>
          <w:sz w:val="20"/>
          <w:szCs w:val="20"/>
          <w:highlight w:val="none"/>
        </w:rPr>
        <w:t>，保护动作于信号。</w:t>
      </w:r>
    </w:p>
    <w:p w14:paraId="0DEC083C">
      <w:pPr>
        <w:spacing w:before="3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19"/>
          <w:sz w:val="14"/>
          <w:szCs w:val="14"/>
          <w:highlight w:val="none"/>
        </w:rPr>
        <w:t>l</w:t>
      </w:r>
      <w:r>
        <w:rPr>
          <w:rFonts w:ascii="Wingdings" w:hAnsi="Wingdings" w:eastAsia="Wingdings" w:cs="Wingdings"/>
          <w:color w:val="auto"/>
          <w:spacing w:val="119"/>
          <w:sz w:val="14"/>
          <w:szCs w:val="14"/>
          <w:highlight w:val="none"/>
        </w:rPr>
        <w:t xml:space="preserve"> </w:t>
      </w:r>
      <w:r>
        <w:rPr>
          <w:rFonts w:ascii="宋体" w:hAnsi="宋体" w:eastAsia="宋体" w:cs="宋体"/>
          <w:b/>
          <w:bCs/>
          <w:color w:val="auto"/>
          <w:spacing w:val="19"/>
          <w:sz w:val="20"/>
          <w:szCs w:val="20"/>
          <w:highlight w:val="none"/>
        </w:rPr>
        <w:t>主变过流保护</w:t>
      </w:r>
    </w:p>
    <w:p w14:paraId="6C7AAA8A">
      <w:pPr>
        <w:spacing w:before="160" w:line="228" w:lineRule="auto"/>
        <w:ind w:left="818"/>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主变压器过流保护，动作后起动主变通风回路</w:t>
      </w:r>
      <w:r>
        <w:rPr>
          <w:rFonts w:ascii="宋体" w:hAnsi="宋体" w:eastAsia="宋体" w:cs="宋体"/>
          <w:color w:val="auto"/>
          <w:spacing w:val="17"/>
          <w:sz w:val="20"/>
          <w:szCs w:val="20"/>
          <w:highlight w:val="none"/>
        </w:rPr>
        <w:t>。其主要功能和技术要求如下：</w:t>
      </w:r>
    </w:p>
    <w:p w14:paraId="47A87969">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w:t>
      </w:r>
      <w:r>
        <w:rPr>
          <w:rFonts w:ascii="宋体" w:hAnsi="宋体" w:eastAsia="宋体" w:cs="宋体"/>
          <w:color w:val="auto"/>
          <w:spacing w:val="38"/>
          <w:sz w:val="20"/>
          <w:szCs w:val="20"/>
          <w:highlight w:val="none"/>
        </w:rPr>
        <w:t xml:space="preserve"> </w:t>
      </w:r>
      <w:r>
        <w:rPr>
          <w:rFonts w:ascii="宋体" w:hAnsi="宋体" w:eastAsia="宋体" w:cs="宋体"/>
          <w:color w:val="auto"/>
          <w:spacing w:val="9"/>
          <w:sz w:val="20"/>
          <w:szCs w:val="20"/>
          <w:highlight w:val="none"/>
        </w:rPr>
        <w:t>返</w:t>
      </w:r>
      <w:r>
        <w:rPr>
          <w:rFonts w:ascii="宋体" w:hAnsi="宋体" w:eastAsia="宋体" w:cs="宋体"/>
          <w:color w:val="auto"/>
          <w:spacing w:val="-50"/>
          <w:sz w:val="20"/>
          <w:szCs w:val="20"/>
          <w:highlight w:val="none"/>
        </w:rPr>
        <w:t xml:space="preserve"> </w:t>
      </w:r>
      <w:r>
        <w:rPr>
          <w:rFonts w:ascii="宋体" w:hAnsi="宋体" w:eastAsia="宋体" w:cs="宋体"/>
          <w:color w:val="auto"/>
          <w:spacing w:val="9"/>
          <w:sz w:val="20"/>
          <w:szCs w:val="20"/>
          <w:highlight w:val="none"/>
        </w:rPr>
        <w:t>回系数不小于 0.9；</w:t>
      </w:r>
    </w:p>
    <w:p w14:paraId="5523A420">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24E1AA14">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3"/>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3"/>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倍整定值时</w:t>
      </w:r>
      <w:r>
        <w:rPr>
          <w:rFonts w:ascii="宋体" w:hAnsi="宋体" w:eastAsia="宋体" w:cs="宋体"/>
          <w:color w:val="auto"/>
          <w:spacing w:val="-54"/>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3"/>
          <w:sz w:val="20"/>
          <w:szCs w:val="20"/>
          <w:highlight w:val="none"/>
        </w:rPr>
        <w:t>。</w:t>
      </w:r>
    </w:p>
    <w:p w14:paraId="6656904F">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20"/>
          <w:sz w:val="14"/>
          <w:szCs w:val="14"/>
          <w:highlight w:val="none"/>
        </w:rPr>
        <w:t>l</w:t>
      </w:r>
      <w:r>
        <w:rPr>
          <w:rFonts w:ascii="Wingdings" w:hAnsi="Wingdings" w:eastAsia="Wingdings" w:cs="Wingdings"/>
          <w:color w:val="auto"/>
          <w:spacing w:val="131"/>
          <w:sz w:val="14"/>
          <w:szCs w:val="14"/>
          <w:highlight w:val="none"/>
        </w:rPr>
        <w:t xml:space="preserve"> </w:t>
      </w:r>
      <w:r>
        <w:rPr>
          <w:rFonts w:ascii="宋体" w:hAnsi="宋体" w:eastAsia="宋体" w:cs="宋体"/>
          <w:b/>
          <w:bCs/>
          <w:color w:val="auto"/>
          <w:spacing w:val="20"/>
          <w:sz w:val="20"/>
          <w:szCs w:val="20"/>
          <w:highlight w:val="none"/>
        </w:rPr>
        <w:t>断路器非全相保护</w:t>
      </w:r>
    </w:p>
    <w:p w14:paraId="74165D1B">
      <w:pPr>
        <w:spacing w:before="160" w:line="362" w:lineRule="auto"/>
        <w:ind w:left="520" w:right="15" w:firstLine="30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当发生非全相合闸或跳</w:t>
      </w:r>
      <w:r>
        <w:rPr>
          <w:rFonts w:ascii="宋体" w:hAnsi="宋体" w:eastAsia="宋体" w:cs="宋体"/>
          <w:color w:val="auto"/>
          <w:spacing w:val="-52"/>
          <w:sz w:val="20"/>
          <w:szCs w:val="20"/>
          <w:highlight w:val="none"/>
        </w:rPr>
        <w:t xml:space="preserve"> </w:t>
      </w:r>
      <w:r>
        <w:rPr>
          <w:rFonts w:ascii="宋体" w:hAnsi="宋体" w:eastAsia="宋体" w:cs="宋体"/>
          <w:color w:val="auto"/>
          <w:spacing w:val="7"/>
          <w:sz w:val="20"/>
          <w:szCs w:val="20"/>
          <w:highlight w:val="none"/>
        </w:rPr>
        <w:t>闸时，由于造成三相负荷不平</w:t>
      </w:r>
      <w:r>
        <w:rPr>
          <w:rFonts w:ascii="宋体" w:hAnsi="宋体" w:eastAsia="宋体" w:cs="宋体"/>
          <w:color w:val="auto"/>
          <w:spacing w:val="6"/>
          <w:sz w:val="20"/>
          <w:szCs w:val="20"/>
          <w:highlight w:val="none"/>
        </w:rPr>
        <w:t>衡，负序电流在转子表面感应</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出涡流，保护转子不致发热损坏的保护装置。其主要功能和</w:t>
      </w:r>
      <w:r>
        <w:rPr>
          <w:rFonts w:ascii="宋体" w:hAnsi="宋体" w:eastAsia="宋体" w:cs="宋体"/>
          <w:color w:val="auto"/>
          <w:spacing w:val="8"/>
          <w:sz w:val="20"/>
          <w:szCs w:val="20"/>
          <w:highlight w:val="none"/>
        </w:rPr>
        <w:t>技术要求如下：</w:t>
      </w:r>
    </w:p>
    <w:p w14:paraId="1435DEAC">
      <w:pPr>
        <w:spacing w:before="31" w:line="228" w:lineRule="auto"/>
        <w:ind w:left="956"/>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1) 保护</w:t>
      </w:r>
      <w:r>
        <w:rPr>
          <w:rFonts w:ascii="宋体" w:hAnsi="宋体" w:eastAsia="宋体" w:cs="宋体"/>
          <w:color w:val="auto"/>
          <w:spacing w:val="-45"/>
          <w:sz w:val="20"/>
          <w:szCs w:val="20"/>
          <w:highlight w:val="none"/>
        </w:rPr>
        <w:t xml:space="preserve"> </w:t>
      </w:r>
      <w:r>
        <w:rPr>
          <w:rFonts w:ascii="宋体" w:hAnsi="宋体" w:eastAsia="宋体" w:cs="宋体"/>
          <w:color w:val="auto"/>
          <w:spacing w:val="19"/>
          <w:sz w:val="20"/>
          <w:szCs w:val="20"/>
          <w:highlight w:val="none"/>
        </w:rPr>
        <w:t>由断路器反应非全相运行</w:t>
      </w:r>
      <w:r>
        <w:rPr>
          <w:rFonts w:ascii="宋体" w:hAnsi="宋体" w:eastAsia="宋体" w:cs="宋体"/>
          <w:color w:val="auto"/>
          <w:spacing w:val="-53"/>
          <w:sz w:val="20"/>
          <w:szCs w:val="20"/>
          <w:highlight w:val="none"/>
        </w:rPr>
        <w:t xml:space="preserve"> </w:t>
      </w:r>
      <w:r>
        <w:rPr>
          <w:rFonts w:ascii="宋体" w:hAnsi="宋体" w:eastAsia="宋体" w:cs="宋体"/>
          <w:color w:val="auto"/>
          <w:spacing w:val="19"/>
          <w:sz w:val="20"/>
          <w:szCs w:val="20"/>
          <w:highlight w:val="none"/>
        </w:rPr>
        <w:t>的辅助触</w:t>
      </w:r>
      <w:r>
        <w:rPr>
          <w:rFonts w:ascii="宋体" w:hAnsi="宋体" w:eastAsia="宋体" w:cs="宋体"/>
          <w:color w:val="auto"/>
          <w:spacing w:val="-60"/>
          <w:sz w:val="20"/>
          <w:szCs w:val="20"/>
          <w:highlight w:val="none"/>
        </w:rPr>
        <w:t xml:space="preserve"> </w:t>
      </w:r>
      <w:r>
        <w:rPr>
          <w:rFonts w:ascii="宋体" w:hAnsi="宋体" w:eastAsia="宋体" w:cs="宋体"/>
          <w:color w:val="auto"/>
          <w:spacing w:val="19"/>
          <w:sz w:val="20"/>
          <w:szCs w:val="20"/>
          <w:highlight w:val="none"/>
        </w:rPr>
        <w:t>点</w:t>
      </w:r>
      <w:r>
        <w:rPr>
          <w:rFonts w:ascii="宋体" w:hAnsi="宋体" w:eastAsia="宋体" w:cs="宋体"/>
          <w:color w:val="auto"/>
          <w:spacing w:val="18"/>
          <w:sz w:val="20"/>
          <w:szCs w:val="20"/>
          <w:highlight w:val="none"/>
        </w:rPr>
        <w:t>启动；</w:t>
      </w:r>
    </w:p>
    <w:p w14:paraId="5480F7CF">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1679DC1A">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3)</w:t>
      </w:r>
      <w:r>
        <w:rPr>
          <w:rFonts w:ascii="宋体" w:hAnsi="宋体" w:eastAsia="宋体" w:cs="宋体"/>
          <w:color w:val="auto"/>
          <w:spacing w:val="42"/>
          <w:sz w:val="20"/>
          <w:szCs w:val="20"/>
          <w:highlight w:val="none"/>
        </w:rPr>
        <w:t xml:space="preserve"> </w:t>
      </w:r>
      <w:r>
        <w:rPr>
          <w:rFonts w:ascii="宋体" w:hAnsi="宋体" w:eastAsia="宋体" w:cs="宋体"/>
          <w:color w:val="auto"/>
          <w:spacing w:val="17"/>
          <w:sz w:val="20"/>
          <w:szCs w:val="20"/>
          <w:highlight w:val="none"/>
        </w:rPr>
        <w:t>装置返回系数不小于</w:t>
      </w:r>
      <w:r>
        <w:rPr>
          <w:rFonts w:ascii="宋体" w:hAnsi="宋体" w:eastAsia="宋体" w:cs="宋体"/>
          <w:color w:val="auto"/>
          <w:spacing w:val="-14"/>
          <w:sz w:val="20"/>
          <w:szCs w:val="20"/>
          <w:highlight w:val="none"/>
        </w:rPr>
        <w:t xml:space="preserve"> </w:t>
      </w:r>
      <w:r>
        <w:rPr>
          <w:rFonts w:ascii="宋体" w:hAnsi="宋体" w:eastAsia="宋体" w:cs="宋体"/>
          <w:color w:val="auto"/>
          <w:spacing w:val="17"/>
          <w:sz w:val="20"/>
          <w:szCs w:val="20"/>
          <w:highlight w:val="none"/>
        </w:rPr>
        <w:t>0.9；</w:t>
      </w:r>
    </w:p>
    <w:p w14:paraId="2CF4DFB6">
      <w:pPr>
        <w:spacing w:before="163" w:line="228" w:lineRule="auto"/>
        <w:ind w:left="940"/>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4)</w:t>
      </w:r>
      <w:r>
        <w:rPr>
          <w:rFonts w:ascii="宋体" w:hAnsi="宋体" w:eastAsia="宋体" w:cs="宋体"/>
          <w:color w:val="auto"/>
          <w:spacing w:val="45"/>
          <w:sz w:val="20"/>
          <w:szCs w:val="20"/>
          <w:highlight w:val="none"/>
        </w:rPr>
        <w:t xml:space="preserve"> </w:t>
      </w:r>
      <w:r>
        <w:rPr>
          <w:rFonts w:ascii="宋体" w:hAnsi="宋体" w:eastAsia="宋体" w:cs="宋体"/>
          <w:color w:val="auto"/>
          <w:spacing w:val="13"/>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3"/>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倍整定值时</w:t>
      </w:r>
      <w:r>
        <w:rPr>
          <w:rFonts w:ascii="宋体" w:hAnsi="宋体" w:eastAsia="宋体" w:cs="宋体"/>
          <w:color w:val="auto"/>
          <w:spacing w:val="-52"/>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3"/>
          <w:sz w:val="20"/>
          <w:szCs w:val="20"/>
          <w:highlight w:val="none"/>
        </w:rPr>
        <w:t>。</w:t>
      </w:r>
    </w:p>
    <w:p w14:paraId="19722FDF">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13"/>
          <w:sz w:val="14"/>
          <w:szCs w:val="14"/>
          <w:highlight w:val="none"/>
        </w:rPr>
        <w:t>l</w:t>
      </w:r>
      <w:r>
        <w:rPr>
          <w:rFonts w:ascii="Wingdings" w:hAnsi="Wingdings" w:eastAsia="Wingdings" w:cs="Wingdings"/>
          <w:color w:val="auto"/>
          <w:spacing w:val="126"/>
          <w:sz w:val="14"/>
          <w:szCs w:val="14"/>
          <w:highlight w:val="none"/>
        </w:rPr>
        <w:t xml:space="preserve"> </w:t>
      </w:r>
      <w:r>
        <w:rPr>
          <w:rFonts w:ascii="宋体" w:hAnsi="宋体" w:eastAsia="宋体" w:cs="宋体"/>
          <w:b/>
          <w:bCs/>
          <w:color w:val="auto"/>
          <w:spacing w:val="13"/>
          <w:sz w:val="20"/>
          <w:szCs w:val="20"/>
          <w:highlight w:val="none"/>
        </w:rPr>
        <w:t>断路器</w:t>
      </w:r>
      <w:r>
        <w:rPr>
          <w:rFonts w:ascii="宋体" w:hAnsi="宋体" w:eastAsia="宋体" w:cs="宋体"/>
          <w:color w:val="auto"/>
          <w:spacing w:val="-49"/>
          <w:sz w:val="20"/>
          <w:szCs w:val="20"/>
          <w:highlight w:val="none"/>
        </w:rPr>
        <w:t xml:space="preserve"> </w:t>
      </w:r>
      <w:r>
        <w:rPr>
          <w:rFonts w:ascii="宋体" w:hAnsi="宋体" w:eastAsia="宋体" w:cs="宋体"/>
          <w:b/>
          <w:bCs/>
          <w:color w:val="auto"/>
          <w:spacing w:val="13"/>
          <w:sz w:val="20"/>
          <w:szCs w:val="20"/>
          <w:highlight w:val="none"/>
        </w:rPr>
        <w:t>闪络保护</w:t>
      </w:r>
    </w:p>
    <w:p w14:paraId="6C189610">
      <w:pPr>
        <w:spacing w:before="159" w:line="228" w:lineRule="auto"/>
        <w:ind w:left="81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其主要功能和技术要求如下：</w:t>
      </w:r>
    </w:p>
    <w:p w14:paraId="64E62EED">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1) 整定值的准确度：</w:t>
      </w:r>
      <w:r>
        <w:rPr>
          <w:rFonts w:ascii="宋体" w:hAnsi="宋体" w:eastAsia="宋体" w:cs="宋体"/>
          <w:color w:val="auto"/>
          <w:spacing w:val="-26"/>
          <w:sz w:val="20"/>
          <w:szCs w:val="20"/>
          <w:highlight w:val="none"/>
        </w:rPr>
        <w:t xml:space="preserve"> </w:t>
      </w:r>
      <w:r>
        <w:rPr>
          <w:rFonts w:ascii="宋体" w:hAnsi="宋体" w:eastAsia="宋体" w:cs="宋体"/>
          <w:color w:val="auto"/>
          <w:spacing w:val="15"/>
          <w:sz w:val="20"/>
          <w:szCs w:val="20"/>
          <w:highlight w:val="none"/>
        </w:rPr>
        <w:t>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5"/>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5"/>
          <w:sz w:val="20"/>
          <w:szCs w:val="20"/>
          <w:highlight w:val="none"/>
        </w:rPr>
        <w:t>；</w:t>
      </w:r>
    </w:p>
    <w:p w14:paraId="1897137C">
      <w:pPr>
        <w:spacing w:before="164" w:line="228" w:lineRule="auto"/>
        <w:ind w:left="943"/>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2)</w:t>
      </w:r>
      <w:r>
        <w:rPr>
          <w:rFonts w:ascii="宋体" w:hAnsi="宋体" w:eastAsia="宋体" w:cs="宋体"/>
          <w:color w:val="auto"/>
          <w:spacing w:val="44"/>
          <w:sz w:val="20"/>
          <w:szCs w:val="20"/>
          <w:highlight w:val="none"/>
        </w:rPr>
        <w:t xml:space="preserve"> </w:t>
      </w:r>
      <w:r>
        <w:rPr>
          <w:rFonts w:ascii="宋体" w:hAnsi="宋体" w:eastAsia="宋体" w:cs="宋体"/>
          <w:color w:val="auto"/>
          <w:spacing w:val="12"/>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2"/>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2"/>
          <w:sz w:val="20"/>
          <w:szCs w:val="20"/>
          <w:highlight w:val="none"/>
        </w:rPr>
        <w:t>1.5</w:t>
      </w:r>
      <w:r>
        <w:rPr>
          <w:rFonts w:ascii="宋体" w:hAnsi="宋体" w:eastAsia="宋体" w:cs="宋体"/>
          <w:color w:val="auto"/>
          <w:spacing w:val="-18"/>
          <w:sz w:val="20"/>
          <w:szCs w:val="20"/>
          <w:highlight w:val="none"/>
        </w:rPr>
        <w:t xml:space="preserve"> </w:t>
      </w:r>
      <w:r>
        <w:rPr>
          <w:rFonts w:ascii="宋体" w:hAnsi="宋体" w:eastAsia="宋体" w:cs="宋体"/>
          <w:color w:val="auto"/>
          <w:spacing w:val="12"/>
          <w:sz w:val="20"/>
          <w:szCs w:val="20"/>
          <w:highlight w:val="none"/>
        </w:rPr>
        <w:t>倍整定值时</w:t>
      </w:r>
      <w:r>
        <w:rPr>
          <w:rFonts w:ascii="宋体" w:hAnsi="宋体" w:eastAsia="宋体" w:cs="宋体"/>
          <w:color w:val="auto"/>
          <w:spacing w:val="-26"/>
          <w:sz w:val="20"/>
          <w:szCs w:val="20"/>
          <w:highlight w:val="none"/>
        </w:rPr>
        <w:t>：）</w:t>
      </w:r>
      <w:r>
        <w:rPr>
          <w:rFonts w:ascii="宋体" w:hAnsi="宋体" w:eastAsia="宋体" w:cs="宋体"/>
          <w:color w:val="auto"/>
          <w:spacing w:val="-50"/>
          <w:sz w:val="20"/>
          <w:szCs w:val="20"/>
          <w:highlight w:val="none"/>
        </w:rPr>
        <w:t xml:space="preserve"> </w:t>
      </w:r>
      <w:r>
        <w:rPr>
          <w:rFonts w:ascii="宋体" w:hAnsi="宋体" w:eastAsia="宋体" w:cs="宋体"/>
          <w:color w:val="auto"/>
          <w:spacing w:val="12"/>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2"/>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2"/>
          <w:sz w:val="20"/>
          <w:szCs w:val="20"/>
          <w:highlight w:val="none"/>
        </w:rPr>
        <w:t>。</w:t>
      </w:r>
    </w:p>
    <w:p w14:paraId="1A3B30D5">
      <w:pPr>
        <w:spacing w:before="161"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"3.5.1.4" </w:instrText>
      </w:r>
      <w:r>
        <w:rPr>
          <w:color w:val="auto"/>
          <w:highlight w:val="none"/>
        </w:rPr>
        <w:fldChar w:fldCharType="separate"/>
      </w:r>
      <w:r>
        <w:rPr>
          <w:rFonts w:ascii="宋体" w:hAnsi="宋体" w:eastAsia="宋体" w:cs="宋体"/>
          <w:color w:val="auto"/>
          <w:spacing w:val="8"/>
          <w:sz w:val="20"/>
          <w:szCs w:val="20"/>
          <w:highlight w:val="none"/>
        </w:rPr>
        <w:t>3.5.1.4</w:t>
      </w:r>
      <w:r>
        <w:rPr>
          <w:rFonts w:ascii="宋体" w:hAnsi="宋体" w:eastAsia="宋体" w:cs="宋体"/>
          <w:color w:val="auto"/>
          <w:spacing w:val="8"/>
          <w:sz w:val="20"/>
          <w:szCs w:val="20"/>
          <w:highlight w:val="none"/>
        </w:rPr>
        <w:fldChar w:fldCharType="end"/>
      </w:r>
      <w:r>
        <w:rPr>
          <w:rFonts w:ascii="宋体" w:hAnsi="宋体" w:eastAsia="宋体" w:cs="宋体"/>
          <w:color w:val="auto"/>
          <w:spacing w:val="8"/>
          <w:sz w:val="20"/>
          <w:szCs w:val="20"/>
          <w:highlight w:val="none"/>
        </w:rPr>
        <w:t xml:space="preserve"> 主变压器本体保护（非电量保护，</w:t>
      </w:r>
      <w:r>
        <w:rPr>
          <w:rFonts w:hint="eastAsia" w:ascii="宋体" w:hAnsi="宋体" w:eastAsia="宋体" w:cs="宋体"/>
          <w:color w:val="auto"/>
          <w:spacing w:val="8"/>
          <w:sz w:val="20"/>
          <w:szCs w:val="20"/>
          <w:highlight w:val="none"/>
          <w:lang w:val="en-US" w:eastAsia="zh-CN"/>
        </w:rPr>
        <w:t>应</w:t>
      </w:r>
      <w:r>
        <w:rPr>
          <w:rFonts w:ascii="宋体" w:hAnsi="宋体" w:eastAsia="宋体" w:cs="宋体"/>
          <w:color w:val="auto"/>
          <w:spacing w:val="8"/>
          <w:sz w:val="20"/>
          <w:szCs w:val="20"/>
          <w:highlight w:val="none"/>
        </w:rPr>
        <w:t>采用微机</w:t>
      </w:r>
      <w:r>
        <w:rPr>
          <w:rFonts w:ascii="宋体" w:hAnsi="宋体" w:eastAsia="宋体" w:cs="宋体"/>
          <w:color w:val="auto"/>
          <w:spacing w:val="7"/>
          <w:sz w:val="20"/>
          <w:szCs w:val="20"/>
          <w:highlight w:val="none"/>
        </w:rPr>
        <w:t>型装置）</w:t>
      </w:r>
    </w:p>
    <w:p w14:paraId="555D93FE">
      <w:pPr>
        <w:spacing w:before="161" w:line="367" w:lineRule="auto"/>
        <w:ind w:left="446" w:right="13" w:firstLine="428"/>
        <w:jc w:val="both"/>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各种非电量保护应具有投退压板。变压器本体保护包括主变重瓦斯</w:t>
      </w:r>
      <w:r>
        <w:rPr>
          <w:rFonts w:ascii="宋体" w:hAnsi="宋体" w:eastAsia="宋体" w:cs="宋体"/>
          <w:color w:val="auto"/>
          <w:spacing w:val="6"/>
          <w:sz w:val="20"/>
          <w:szCs w:val="20"/>
          <w:highlight w:val="none"/>
        </w:rPr>
        <w:t>、轻瓦斯、压力</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释放、油位高低、油温过高、冷却系统故障、冷却器失电等（不限于此</w:t>
      </w:r>
      <w:r>
        <w:rPr>
          <w:rFonts w:ascii="宋体" w:hAnsi="宋体" w:eastAsia="宋体" w:cs="宋体"/>
          <w:color w:val="auto"/>
          <w:spacing w:val="-41"/>
          <w:sz w:val="20"/>
          <w:szCs w:val="20"/>
          <w:highlight w:val="none"/>
        </w:rPr>
        <w:t>），</w:t>
      </w:r>
      <w:r>
        <w:rPr>
          <w:rFonts w:ascii="宋体" w:hAnsi="宋体" w:eastAsia="宋体" w:cs="宋体"/>
          <w:color w:val="auto"/>
          <w:spacing w:val="8"/>
          <w:sz w:val="20"/>
          <w:szCs w:val="20"/>
          <w:highlight w:val="none"/>
        </w:rPr>
        <w:t>并预</w:t>
      </w:r>
      <w:r>
        <w:rPr>
          <w:rFonts w:ascii="宋体" w:hAnsi="宋体" w:eastAsia="宋体" w:cs="宋体"/>
          <w:color w:val="auto"/>
          <w:spacing w:val="-55"/>
          <w:sz w:val="20"/>
          <w:szCs w:val="20"/>
          <w:highlight w:val="none"/>
        </w:rPr>
        <w:t xml:space="preserve"> </w:t>
      </w:r>
      <w:r>
        <w:rPr>
          <w:rFonts w:ascii="宋体" w:hAnsi="宋体" w:eastAsia="宋体" w:cs="宋体"/>
          <w:color w:val="auto"/>
          <w:spacing w:val="8"/>
          <w:sz w:val="20"/>
          <w:szCs w:val="20"/>
          <w:highlight w:val="none"/>
        </w:rPr>
        <w:t>留备用</w:t>
      </w:r>
      <w:r>
        <w:rPr>
          <w:rFonts w:ascii="宋体" w:hAnsi="宋体" w:eastAsia="宋体" w:cs="宋体"/>
          <w:color w:val="auto"/>
          <w:sz w:val="20"/>
          <w:szCs w:val="20"/>
          <w:highlight w:val="none"/>
        </w:rPr>
        <w:t xml:space="preserve"> </w:t>
      </w:r>
      <w:r>
        <w:rPr>
          <w:rFonts w:ascii="宋体" w:hAnsi="宋体" w:eastAsia="宋体" w:cs="宋体"/>
          <w:color w:val="auto"/>
          <w:spacing w:val="12"/>
          <w:sz w:val="20"/>
          <w:szCs w:val="20"/>
          <w:highlight w:val="none"/>
        </w:rPr>
        <w:t>重动继电器</w:t>
      </w:r>
      <w:r>
        <w:rPr>
          <w:rFonts w:ascii="宋体" w:hAnsi="宋体" w:eastAsia="宋体" w:cs="宋体"/>
          <w:color w:val="auto"/>
          <w:spacing w:val="-39"/>
          <w:sz w:val="20"/>
          <w:szCs w:val="20"/>
          <w:highlight w:val="none"/>
        </w:rPr>
        <w:t xml:space="preserve"> </w:t>
      </w:r>
      <w:r>
        <w:rPr>
          <w:rFonts w:ascii="宋体" w:hAnsi="宋体" w:eastAsia="宋体" w:cs="宋体"/>
          <w:color w:val="auto"/>
          <w:spacing w:val="12"/>
          <w:sz w:val="20"/>
          <w:szCs w:val="20"/>
          <w:highlight w:val="none"/>
        </w:rPr>
        <w:t>。其主要功能和技术要求如下：</w:t>
      </w:r>
    </w:p>
    <w:p w14:paraId="39515DD3">
      <w:pPr>
        <w:spacing w:before="33" w:line="303" w:lineRule="auto"/>
        <w:ind w:left="1008" w:right="14" w:hanging="404"/>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1)</w:t>
      </w:r>
      <w:r>
        <w:rPr>
          <w:rFonts w:ascii="宋体" w:hAnsi="宋体" w:eastAsia="宋体" w:cs="宋体"/>
          <w:color w:val="auto"/>
          <w:spacing w:val="-12"/>
          <w:sz w:val="20"/>
          <w:szCs w:val="20"/>
          <w:highlight w:val="none"/>
        </w:rPr>
        <w:t xml:space="preserve"> </w:t>
      </w:r>
      <w:r>
        <w:rPr>
          <w:rFonts w:ascii="宋体" w:hAnsi="宋体" w:eastAsia="宋体" w:cs="宋体"/>
          <w:color w:val="auto"/>
          <w:spacing w:val="12"/>
          <w:sz w:val="20"/>
          <w:szCs w:val="20"/>
          <w:highlight w:val="none"/>
        </w:rPr>
        <w:t>装置的强电开入回路应与装置保护电源隔离；开入回路的启动电压值不大于</w:t>
      </w:r>
      <w:r>
        <w:rPr>
          <w:rFonts w:ascii="宋体" w:hAnsi="宋体" w:eastAsia="宋体" w:cs="宋体"/>
          <w:color w:val="auto"/>
          <w:spacing w:val="-30"/>
          <w:sz w:val="20"/>
          <w:szCs w:val="20"/>
          <w:highlight w:val="none"/>
        </w:rPr>
        <w:t xml:space="preserve"> </w:t>
      </w:r>
      <w:r>
        <w:rPr>
          <w:rFonts w:ascii="宋体" w:hAnsi="宋体" w:eastAsia="宋体" w:cs="宋体"/>
          <w:color w:val="auto"/>
          <w:spacing w:val="12"/>
          <w:sz w:val="20"/>
          <w:szCs w:val="20"/>
          <w:highlight w:val="none"/>
        </w:rPr>
        <w:t>0.7</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倍额定电压值，且不小于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40"/>
          <w:sz w:val="20"/>
          <w:szCs w:val="20"/>
          <w:highlight w:val="none"/>
        </w:rPr>
        <w:t xml:space="preserve"> </w:t>
      </w:r>
      <w:r>
        <w:rPr>
          <w:rFonts w:ascii="宋体" w:hAnsi="宋体" w:eastAsia="宋体" w:cs="宋体"/>
          <w:color w:val="auto"/>
          <w:spacing w:val="7"/>
          <w:sz w:val="20"/>
          <w:szCs w:val="20"/>
          <w:highlight w:val="none"/>
        </w:rPr>
        <w:t>倍额定电压值。动作速度不小于</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7"/>
          <w:sz w:val="20"/>
          <w:szCs w:val="20"/>
          <w:highlight w:val="none"/>
        </w:rPr>
        <w:t>；</w:t>
      </w:r>
    </w:p>
    <w:p w14:paraId="344C6B97">
      <w:pPr>
        <w:spacing w:before="161" w:line="302" w:lineRule="auto"/>
        <w:ind w:left="1010" w:right="13" w:hanging="419"/>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1"/>
          <w:sz w:val="20"/>
          <w:szCs w:val="20"/>
          <w:highlight w:val="none"/>
        </w:rPr>
        <w:t>所有涉及直接跳闸的回路应采用启动电压值不大于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0.7</w:t>
      </w:r>
      <w:r>
        <w:rPr>
          <w:rFonts w:ascii="宋体" w:hAnsi="宋体" w:eastAsia="宋体" w:cs="宋体"/>
          <w:color w:val="auto"/>
          <w:spacing w:val="-36"/>
          <w:sz w:val="20"/>
          <w:szCs w:val="20"/>
          <w:highlight w:val="none"/>
        </w:rPr>
        <w:t xml:space="preserve"> </w:t>
      </w:r>
      <w:r>
        <w:rPr>
          <w:rFonts w:ascii="宋体" w:hAnsi="宋体" w:eastAsia="宋体" w:cs="宋体"/>
          <w:color w:val="auto"/>
          <w:spacing w:val="11"/>
          <w:sz w:val="20"/>
          <w:szCs w:val="20"/>
          <w:highlight w:val="none"/>
        </w:rPr>
        <w:t>倍额定电压值，且不小于</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倍额定电压值的中间继电器，并要求启动功率不低于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5W。</w:t>
      </w:r>
    </w:p>
    <w:p w14:paraId="3EB9C934">
      <w:pPr>
        <w:spacing w:before="162"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"3.5.1.5" </w:instrText>
      </w:r>
      <w:r>
        <w:rPr>
          <w:color w:val="auto"/>
          <w:highlight w:val="none"/>
        </w:rPr>
        <w:fldChar w:fldCharType="separate"/>
      </w:r>
      <w:r>
        <w:rPr>
          <w:rFonts w:ascii="宋体" w:hAnsi="宋体" w:eastAsia="宋体" w:cs="宋体"/>
          <w:color w:val="auto"/>
          <w:spacing w:val="7"/>
          <w:sz w:val="20"/>
          <w:szCs w:val="20"/>
          <w:highlight w:val="none"/>
        </w:rPr>
        <w:t>3.5.1.5</w:t>
      </w:r>
      <w:r>
        <w:rPr>
          <w:rFonts w:ascii="宋体" w:hAnsi="宋体" w:eastAsia="宋体" w:cs="宋体"/>
          <w:color w:val="auto"/>
          <w:spacing w:val="7"/>
          <w:sz w:val="20"/>
          <w:szCs w:val="20"/>
          <w:highlight w:val="none"/>
        </w:rPr>
        <w:fldChar w:fldCharType="end"/>
      </w:r>
      <w:r>
        <w:rPr>
          <w:rFonts w:ascii="宋体" w:hAnsi="宋体" w:eastAsia="宋体" w:cs="宋体"/>
          <w:color w:val="auto"/>
          <w:spacing w:val="7"/>
          <w:sz w:val="20"/>
          <w:szCs w:val="20"/>
          <w:highlight w:val="none"/>
        </w:rPr>
        <w:t xml:space="preserve"> 微机型高压厂变保护装置</w:t>
      </w:r>
    </w:p>
    <w:p w14:paraId="6622D541">
      <w:pPr>
        <w:spacing w:before="164"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高压厂变差动保护</w:t>
      </w:r>
    </w:p>
    <w:p w14:paraId="47E0ECD6">
      <w:pPr>
        <w:spacing w:before="159" w:line="228" w:lineRule="auto"/>
        <w:ind w:left="81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保护高压厂变绕组及其引出线的相间短路故障。其主要功能和技术要求如下：</w:t>
      </w:r>
    </w:p>
    <w:p w14:paraId="6CE1C6DA">
      <w:pPr>
        <w:spacing w:before="160" w:line="365" w:lineRule="auto"/>
        <w:ind w:left="1363" w:right="35" w:hanging="407"/>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1) 应具有防止</w:t>
      </w:r>
      <w:r>
        <w:rPr>
          <w:rFonts w:ascii="宋体" w:hAnsi="宋体" w:eastAsia="宋体" w:cs="宋体"/>
          <w:color w:val="auto"/>
          <w:spacing w:val="-45"/>
          <w:sz w:val="20"/>
          <w:szCs w:val="20"/>
          <w:highlight w:val="none"/>
        </w:rPr>
        <w:t xml:space="preserve"> </w:t>
      </w:r>
      <w:r>
        <w:rPr>
          <w:rFonts w:ascii="宋体" w:hAnsi="宋体" w:eastAsia="宋体" w:cs="宋体"/>
          <w:color w:val="auto"/>
          <w:spacing w:val="19"/>
          <w:sz w:val="20"/>
          <w:szCs w:val="20"/>
          <w:highlight w:val="none"/>
        </w:rPr>
        <w:t>区外故</w:t>
      </w:r>
      <w:r>
        <w:rPr>
          <w:rFonts w:ascii="宋体" w:hAnsi="宋体" w:eastAsia="宋体" w:cs="宋体"/>
          <w:color w:val="auto"/>
          <w:spacing w:val="-59"/>
          <w:sz w:val="20"/>
          <w:szCs w:val="20"/>
          <w:highlight w:val="none"/>
        </w:rPr>
        <w:t xml:space="preserve"> </w:t>
      </w:r>
      <w:r>
        <w:rPr>
          <w:rFonts w:ascii="宋体" w:hAnsi="宋体" w:eastAsia="宋体" w:cs="宋体"/>
          <w:color w:val="auto"/>
          <w:spacing w:val="19"/>
          <w:sz w:val="20"/>
          <w:szCs w:val="20"/>
          <w:highlight w:val="none"/>
        </w:rPr>
        <w:t>障误动</w:t>
      </w:r>
      <w:r>
        <w:rPr>
          <w:rFonts w:ascii="宋体" w:hAnsi="宋体" w:eastAsia="宋体" w:cs="宋体"/>
          <w:color w:val="auto"/>
          <w:spacing w:val="-54"/>
          <w:sz w:val="20"/>
          <w:szCs w:val="20"/>
          <w:highlight w:val="none"/>
        </w:rPr>
        <w:t xml:space="preserve"> </w:t>
      </w:r>
      <w:r>
        <w:rPr>
          <w:rFonts w:ascii="宋体" w:hAnsi="宋体" w:eastAsia="宋体" w:cs="宋体"/>
          <w:color w:val="auto"/>
          <w:spacing w:val="19"/>
          <w:sz w:val="20"/>
          <w:szCs w:val="20"/>
          <w:highlight w:val="none"/>
        </w:rPr>
        <w:t>的谐波制动和</w:t>
      </w:r>
      <w:r>
        <w:rPr>
          <w:rFonts w:ascii="宋体" w:hAnsi="宋体" w:eastAsia="宋体" w:cs="宋体"/>
          <w:color w:val="auto"/>
          <w:spacing w:val="-47"/>
          <w:sz w:val="20"/>
          <w:szCs w:val="20"/>
          <w:highlight w:val="none"/>
        </w:rPr>
        <w:t xml:space="preserve"> </w:t>
      </w:r>
      <w:r>
        <w:rPr>
          <w:rFonts w:ascii="宋体" w:hAnsi="宋体" w:eastAsia="宋体" w:cs="宋体"/>
          <w:color w:val="auto"/>
          <w:spacing w:val="19"/>
          <w:sz w:val="20"/>
          <w:szCs w:val="20"/>
          <w:highlight w:val="none"/>
        </w:rPr>
        <w:t>比率制动特性，变压器过激磁时</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误动；</w:t>
      </w:r>
    </w:p>
    <w:p w14:paraId="103242F0">
      <w:pPr>
        <w:spacing w:line="365"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46FE6900">
      <w:pPr>
        <w:spacing w:before="42" w:line="302" w:lineRule="auto"/>
        <w:ind w:left="1361" w:right="35" w:hanging="418"/>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w:t>
      </w:r>
      <w:r>
        <w:rPr>
          <w:rFonts w:ascii="宋体" w:hAnsi="宋体" w:eastAsia="宋体" w:cs="宋体"/>
          <w:color w:val="auto"/>
          <w:spacing w:val="50"/>
          <w:sz w:val="20"/>
          <w:szCs w:val="20"/>
          <w:highlight w:val="none"/>
        </w:rPr>
        <w:t xml:space="preserve"> </w:t>
      </w:r>
      <w:r>
        <w:rPr>
          <w:rFonts w:ascii="宋体" w:hAnsi="宋体" w:eastAsia="宋体" w:cs="宋体"/>
          <w:color w:val="auto"/>
          <w:spacing w:val="16"/>
          <w:sz w:val="20"/>
          <w:szCs w:val="20"/>
          <w:highlight w:val="none"/>
        </w:rPr>
        <w:t>具有</w:t>
      </w:r>
      <w:r>
        <w:rPr>
          <w:rFonts w:ascii="宋体" w:hAnsi="宋体" w:eastAsia="宋体" w:cs="宋体"/>
          <w:color w:val="auto"/>
          <w:spacing w:val="-47"/>
          <w:sz w:val="20"/>
          <w:szCs w:val="20"/>
          <w:highlight w:val="none"/>
        </w:rPr>
        <w:t xml:space="preserve"> </w:t>
      </w:r>
      <w:r>
        <w:rPr>
          <w:rFonts w:ascii="宋体" w:hAnsi="宋体" w:eastAsia="宋体" w:cs="宋体"/>
          <w:color w:val="auto"/>
          <w:spacing w:val="16"/>
          <w:sz w:val="20"/>
          <w:szCs w:val="20"/>
          <w:highlight w:val="none"/>
        </w:rPr>
        <w:t>电流互感器（</w:t>
      </w:r>
      <w:r>
        <w:rPr>
          <w:rFonts w:ascii="宋体" w:hAnsi="宋体" w:eastAsia="宋体" w:cs="宋体"/>
          <w:color w:val="auto"/>
          <w:sz w:val="20"/>
          <w:szCs w:val="20"/>
          <w:highlight w:val="none"/>
        </w:rPr>
        <w:t>TA</w:t>
      </w:r>
      <w:r>
        <w:rPr>
          <w:rFonts w:ascii="宋体" w:hAnsi="宋体" w:eastAsia="宋体" w:cs="宋体"/>
          <w:color w:val="auto"/>
          <w:spacing w:val="16"/>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断线判别功能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6"/>
          <w:sz w:val="20"/>
          <w:szCs w:val="20"/>
          <w:highlight w:val="none"/>
        </w:rPr>
        <w:t>，并能选择</w:t>
      </w:r>
      <w:r>
        <w:rPr>
          <w:rFonts w:ascii="宋体" w:hAnsi="宋体" w:eastAsia="宋体" w:cs="宋体"/>
          <w:color w:val="auto"/>
          <w:spacing w:val="-50"/>
          <w:sz w:val="20"/>
          <w:szCs w:val="20"/>
          <w:highlight w:val="none"/>
        </w:rPr>
        <w:t xml:space="preserve"> </w:t>
      </w:r>
      <w:r>
        <w:rPr>
          <w:rFonts w:ascii="宋体" w:hAnsi="宋体" w:eastAsia="宋体" w:cs="宋体"/>
          <w:color w:val="auto"/>
          <w:spacing w:val="16"/>
          <w:sz w:val="20"/>
          <w:szCs w:val="20"/>
          <w:highlight w:val="none"/>
        </w:rPr>
        <w:t>闭锁差动或报警</w:t>
      </w:r>
      <w:r>
        <w:rPr>
          <w:rFonts w:ascii="宋体" w:hAnsi="宋体" w:eastAsia="宋体" w:cs="宋体"/>
          <w:color w:val="auto"/>
          <w:spacing w:val="-53"/>
          <w:sz w:val="20"/>
          <w:szCs w:val="20"/>
          <w:highlight w:val="none"/>
        </w:rPr>
        <w:t xml:space="preserve"> </w:t>
      </w:r>
      <w:r>
        <w:rPr>
          <w:rFonts w:ascii="宋体" w:hAnsi="宋体" w:eastAsia="宋体" w:cs="宋体"/>
          <w:color w:val="auto"/>
          <w:spacing w:val="16"/>
          <w:sz w:val="20"/>
          <w:szCs w:val="20"/>
          <w:highlight w:val="none"/>
        </w:rPr>
        <w:t>，当</w:t>
      </w:r>
      <w:r>
        <w:rPr>
          <w:rFonts w:ascii="宋体" w:hAnsi="宋体" w:eastAsia="宋体" w:cs="宋体"/>
          <w:color w:val="auto"/>
          <w:spacing w:val="-46"/>
          <w:sz w:val="20"/>
          <w:szCs w:val="20"/>
          <w:highlight w:val="none"/>
        </w:rPr>
        <w:t xml:space="preserve"> </w:t>
      </w:r>
      <w:r>
        <w:rPr>
          <w:rFonts w:ascii="宋体" w:hAnsi="宋体" w:eastAsia="宋体" w:cs="宋体"/>
          <w:color w:val="auto"/>
          <w:spacing w:val="16"/>
          <w:sz w:val="20"/>
          <w:szCs w:val="20"/>
          <w:highlight w:val="none"/>
        </w:rPr>
        <w:t>电</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流大于额定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14"/>
          <w:sz w:val="20"/>
          <w:szCs w:val="20"/>
          <w:highlight w:val="none"/>
        </w:rPr>
        <w:t>电流 1.2~1.5</w:t>
      </w:r>
      <w:r>
        <w:rPr>
          <w:rFonts w:ascii="宋体" w:hAnsi="宋体" w:eastAsia="宋体" w:cs="宋体"/>
          <w:color w:val="auto"/>
          <w:spacing w:val="-21"/>
          <w:sz w:val="20"/>
          <w:szCs w:val="20"/>
          <w:highlight w:val="none"/>
        </w:rPr>
        <w:t xml:space="preserve"> </w:t>
      </w:r>
      <w:r>
        <w:rPr>
          <w:rFonts w:ascii="宋体" w:hAnsi="宋体" w:eastAsia="宋体" w:cs="宋体"/>
          <w:color w:val="auto"/>
          <w:spacing w:val="14"/>
          <w:sz w:val="20"/>
          <w:szCs w:val="20"/>
          <w:highlight w:val="none"/>
        </w:rPr>
        <w:t>倍时可自</w:t>
      </w:r>
      <w:r>
        <w:rPr>
          <w:rFonts w:ascii="宋体" w:hAnsi="宋体" w:eastAsia="宋体" w:cs="宋体"/>
          <w:color w:val="auto"/>
          <w:spacing w:val="13"/>
          <w:sz w:val="20"/>
          <w:szCs w:val="20"/>
          <w:highlight w:val="none"/>
        </w:rPr>
        <w:t>动解</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除</w:t>
      </w:r>
      <w:r>
        <w:rPr>
          <w:rFonts w:ascii="宋体" w:hAnsi="宋体" w:eastAsia="宋体" w:cs="宋体"/>
          <w:color w:val="auto"/>
          <w:spacing w:val="-50"/>
          <w:sz w:val="20"/>
          <w:szCs w:val="20"/>
          <w:highlight w:val="none"/>
        </w:rPr>
        <w:t xml:space="preserve"> </w:t>
      </w:r>
      <w:r>
        <w:rPr>
          <w:rFonts w:ascii="宋体" w:hAnsi="宋体" w:eastAsia="宋体" w:cs="宋体"/>
          <w:color w:val="auto"/>
          <w:spacing w:val="13"/>
          <w:sz w:val="20"/>
          <w:szCs w:val="20"/>
          <w:highlight w:val="none"/>
        </w:rPr>
        <w:t>闭锁；</w:t>
      </w:r>
    </w:p>
    <w:p w14:paraId="49451805">
      <w:pPr>
        <w:spacing w:before="163" w:line="228" w:lineRule="auto"/>
        <w:jc w:val="right"/>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在</w:t>
      </w:r>
      <w:r>
        <w:rPr>
          <w:rFonts w:ascii="宋体" w:hAnsi="宋体" w:eastAsia="宋体" w:cs="宋体"/>
          <w:color w:val="auto"/>
          <w:spacing w:val="-50"/>
          <w:sz w:val="20"/>
          <w:szCs w:val="20"/>
          <w:highlight w:val="none"/>
        </w:rPr>
        <w:t xml:space="preserve"> </w:t>
      </w:r>
      <w:r>
        <w:rPr>
          <w:rFonts w:ascii="宋体" w:hAnsi="宋体" w:eastAsia="宋体" w:cs="宋体"/>
          <w:color w:val="auto"/>
          <w:spacing w:val="9"/>
          <w:sz w:val="20"/>
          <w:szCs w:val="20"/>
          <w:highlight w:val="none"/>
        </w:rPr>
        <w:t>同一相上</w:t>
      </w:r>
      <w:r>
        <w:rPr>
          <w:rFonts w:ascii="宋体" w:hAnsi="宋体" w:eastAsia="宋体" w:cs="宋体"/>
          <w:color w:val="auto"/>
          <w:spacing w:val="-52"/>
          <w:sz w:val="20"/>
          <w:szCs w:val="20"/>
          <w:highlight w:val="none"/>
        </w:rPr>
        <w:t xml:space="preserve"> </w:t>
      </w:r>
      <w:r>
        <w:rPr>
          <w:rFonts w:ascii="宋体" w:hAnsi="宋体" w:eastAsia="宋体" w:cs="宋体"/>
          <w:color w:val="auto"/>
          <w:spacing w:val="9"/>
          <w:sz w:val="20"/>
          <w:szCs w:val="20"/>
          <w:highlight w:val="none"/>
        </w:rPr>
        <w:t>出现两</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点接地故</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障</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(一</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w:t>
      </w:r>
      <w:r>
        <w:rPr>
          <w:rFonts w:ascii="宋体" w:hAnsi="宋体" w:eastAsia="宋体" w:cs="宋体"/>
          <w:color w:val="auto"/>
          <w:spacing w:val="-55"/>
          <w:sz w:val="20"/>
          <w:szCs w:val="20"/>
          <w:highlight w:val="none"/>
        </w:rPr>
        <w:t xml:space="preserve"> </w:t>
      </w:r>
      <w:r>
        <w:rPr>
          <w:rFonts w:ascii="宋体" w:hAnsi="宋体" w:eastAsia="宋体" w:cs="宋体"/>
          <w:color w:val="auto"/>
          <w:spacing w:val="9"/>
          <w:sz w:val="20"/>
          <w:szCs w:val="20"/>
          <w:highlight w:val="none"/>
        </w:rPr>
        <w:t>区内</w:t>
      </w:r>
      <w:r>
        <w:rPr>
          <w:rFonts w:ascii="宋体" w:hAnsi="宋体" w:eastAsia="宋体" w:cs="宋体"/>
          <w:color w:val="auto"/>
          <w:spacing w:val="-56"/>
          <w:sz w:val="20"/>
          <w:szCs w:val="20"/>
          <w:highlight w:val="none"/>
        </w:rPr>
        <w:t xml:space="preserve"> </w:t>
      </w:r>
      <w:r>
        <w:rPr>
          <w:rFonts w:ascii="宋体" w:hAnsi="宋体" w:eastAsia="宋体" w:cs="宋体"/>
          <w:color w:val="auto"/>
          <w:spacing w:val="9"/>
          <w:sz w:val="20"/>
          <w:szCs w:val="20"/>
          <w:highlight w:val="none"/>
        </w:rPr>
        <w:t>、一</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w:t>
      </w:r>
      <w:r>
        <w:rPr>
          <w:rFonts w:ascii="宋体" w:hAnsi="宋体" w:eastAsia="宋体" w:cs="宋体"/>
          <w:color w:val="auto"/>
          <w:spacing w:val="-55"/>
          <w:sz w:val="20"/>
          <w:szCs w:val="20"/>
          <w:highlight w:val="none"/>
        </w:rPr>
        <w:t xml:space="preserve"> </w:t>
      </w:r>
      <w:r>
        <w:rPr>
          <w:rFonts w:ascii="宋体" w:hAnsi="宋体" w:eastAsia="宋体" w:cs="宋体"/>
          <w:color w:val="auto"/>
          <w:spacing w:val="9"/>
          <w:sz w:val="20"/>
          <w:szCs w:val="20"/>
          <w:highlight w:val="none"/>
        </w:rPr>
        <w:t>区</w:t>
      </w:r>
      <w:r>
        <w:rPr>
          <w:rFonts w:ascii="宋体" w:hAnsi="宋体" w:eastAsia="宋体" w:cs="宋体"/>
          <w:color w:val="auto"/>
          <w:spacing w:val="8"/>
          <w:sz w:val="20"/>
          <w:szCs w:val="20"/>
          <w:highlight w:val="none"/>
        </w:rPr>
        <w:t>外)时</w:t>
      </w:r>
      <w:r>
        <w:rPr>
          <w:rFonts w:ascii="宋体" w:hAnsi="宋体" w:eastAsia="宋体" w:cs="宋体"/>
          <w:color w:val="auto"/>
          <w:spacing w:val="-53"/>
          <w:sz w:val="20"/>
          <w:szCs w:val="20"/>
          <w:highlight w:val="none"/>
        </w:rPr>
        <w:t xml:space="preserve"> </w:t>
      </w:r>
      <w:r>
        <w:rPr>
          <w:rFonts w:ascii="宋体" w:hAnsi="宋体" w:eastAsia="宋体" w:cs="宋体"/>
          <w:color w:val="auto"/>
          <w:spacing w:val="8"/>
          <w:sz w:val="20"/>
          <w:szCs w:val="20"/>
          <w:highlight w:val="none"/>
        </w:rPr>
        <w:t>，可动作</w:t>
      </w:r>
      <w:r>
        <w:rPr>
          <w:rFonts w:ascii="宋体" w:hAnsi="宋体" w:eastAsia="宋体" w:cs="宋体"/>
          <w:color w:val="auto"/>
          <w:spacing w:val="-52"/>
          <w:sz w:val="20"/>
          <w:szCs w:val="20"/>
          <w:highlight w:val="none"/>
        </w:rPr>
        <w:t xml:space="preserve"> </w:t>
      </w:r>
      <w:r>
        <w:rPr>
          <w:rFonts w:ascii="宋体" w:hAnsi="宋体" w:eastAsia="宋体" w:cs="宋体"/>
          <w:color w:val="auto"/>
          <w:spacing w:val="8"/>
          <w:sz w:val="20"/>
          <w:szCs w:val="20"/>
          <w:highlight w:val="none"/>
        </w:rPr>
        <w:t>出口；</w:t>
      </w:r>
    </w:p>
    <w:p w14:paraId="5EBD9745">
      <w:pPr>
        <w:spacing w:before="161" w:line="225" w:lineRule="auto"/>
        <w:ind w:right="33"/>
        <w:jc w:val="right"/>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4) 应具有高整定值,无制动功能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8"/>
          <w:sz w:val="20"/>
          <w:szCs w:val="20"/>
          <w:highlight w:val="none"/>
        </w:rPr>
        <w:t>的</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电流速断</w:t>
      </w:r>
      <w:r>
        <w:rPr>
          <w:rFonts w:ascii="宋体" w:hAnsi="宋体" w:eastAsia="宋体" w:cs="宋体"/>
          <w:color w:val="auto"/>
          <w:spacing w:val="-54"/>
          <w:sz w:val="20"/>
          <w:szCs w:val="20"/>
          <w:highlight w:val="none"/>
        </w:rPr>
        <w:t xml:space="preserve"> </w:t>
      </w:r>
      <w:r>
        <w:rPr>
          <w:rFonts w:ascii="宋体" w:hAnsi="宋体" w:eastAsia="宋体" w:cs="宋体"/>
          <w:color w:val="auto"/>
          <w:spacing w:val="18"/>
          <w:sz w:val="20"/>
          <w:szCs w:val="20"/>
          <w:highlight w:val="none"/>
        </w:rPr>
        <w:t>，动作</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w:t>
      </w:r>
      <w:r>
        <w:rPr>
          <w:rFonts w:ascii="宋体" w:hAnsi="宋体" w:eastAsia="宋体" w:cs="宋体"/>
          <w:color w:val="auto"/>
          <w:spacing w:val="17"/>
          <w:sz w:val="20"/>
          <w:szCs w:val="20"/>
          <w:highlight w:val="none"/>
        </w:rPr>
        <w:t>流整定范</w:t>
      </w:r>
      <w:r>
        <w:rPr>
          <w:rFonts w:ascii="宋体" w:hAnsi="宋体" w:eastAsia="宋体" w:cs="宋体"/>
          <w:color w:val="auto"/>
          <w:spacing w:val="-51"/>
          <w:sz w:val="20"/>
          <w:szCs w:val="20"/>
          <w:highlight w:val="none"/>
        </w:rPr>
        <w:t xml:space="preserve"> </w:t>
      </w:r>
      <w:r>
        <w:rPr>
          <w:rFonts w:ascii="宋体" w:hAnsi="宋体" w:eastAsia="宋体" w:cs="宋体"/>
          <w:color w:val="auto"/>
          <w:spacing w:val="17"/>
          <w:sz w:val="20"/>
          <w:szCs w:val="20"/>
          <w:highlight w:val="none"/>
        </w:rPr>
        <w:t>围</w:t>
      </w:r>
      <w:r>
        <w:rPr>
          <w:rFonts w:ascii="宋体" w:hAnsi="宋体" w:eastAsia="宋体" w:cs="宋体"/>
          <w:color w:val="auto"/>
          <w:spacing w:val="-11"/>
          <w:sz w:val="20"/>
          <w:szCs w:val="20"/>
          <w:highlight w:val="none"/>
        </w:rPr>
        <w:t xml:space="preserve"> </w:t>
      </w:r>
      <w:r>
        <w:rPr>
          <w:rFonts w:ascii="宋体" w:hAnsi="宋体" w:eastAsia="宋体" w:cs="宋体"/>
          <w:color w:val="auto"/>
          <w:spacing w:val="17"/>
          <w:sz w:val="20"/>
          <w:szCs w:val="20"/>
          <w:highlight w:val="none"/>
        </w:rPr>
        <w:t>5-25</w:t>
      </w:r>
      <w:r>
        <w:rPr>
          <w:rFonts w:ascii="宋体" w:hAnsi="宋体" w:eastAsia="宋体" w:cs="宋体"/>
          <w:color w:val="auto"/>
          <w:sz w:val="20"/>
          <w:szCs w:val="20"/>
          <w:highlight w:val="none"/>
        </w:rPr>
        <w:t>In</w:t>
      </w:r>
      <w:r>
        <w:rPr>
          <w:rFonts w:ascii="宋体" w:hAnsi="宋体" w:eastAsia="宋体" w:cs="宋体"/>
          <w:color w:val="auto"/>
          <w:spacing w:val="17"/>
          <w:sz w:val="20"/>
          <w:szCs w:val="20"/>
          <w:highlight w:val="none"/>
        </w:rPr>
        <w:t>；</w:t>
      </w:r>
    </w:p>
    <w:p w14:paraId="5DACCF92">
      <w:pPr>
        <w:spacing w:before="164" w:line="302" w:lineRule="auto"/>
        <w:ind w:left="1359" w:right="35" w:hanging="414"/>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5)</w:t>
      </w:r>
      <w:r>
        <w:rPr>
          <w:rFonts w:ascii="宋体" w:hAnsi="宋体" w:eastAsia="宋体" w:cs="宋体"/>
          <w:color w:val="auto"/>
          <w:spacing w:val="59"/>
          <w:sz w:val="20"/>
          <w:szCs w:val="20"/>
          <w:highlight w:val="none"/>
        </w:rPr>
        <w:t xml:space="preserve"> </w:t>
      </w:r>
      <w:r>
        <w:rPr>
          <w:rFonts w:ascii="宋体" w:hAnsi="宋体" w:eastAsia="宋体" w:cs="宋体"/>
          <w:color w:val="auto"/>
          <w:spacing w:val="18"/>
          <w:sz w:val="20"/>
          <w:szCs w:val="20"/>
          <w:highlight w:val="none"/>
        </w:rPr>
        <w:t>由于各侧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电流互感器的变</w:t>
      </w:r>
      <w:r>
        <w:rPr>
          <w:rFonts w:ascii="宋体" w:hAnsi="宋体" w:eastAsia="宋体" w:cs="宋体"/>
          <w:color w:val="auto"/>
          <w:spacing w:val="-48"/>
          <w:sz w:val="20"/>
          <w:szCs w:val="20"/>
          <w:highlight w:val="none"/>
        </w:rPr>
        <w:t xml:space="preserve"> </w:t>
      </w:r>
      <w:r>
        <w:rPr>
          <w:rFonts w:ascii="宋体" w:hAnsi="宋体" w:eastAsia="宋体" w:cs="宋体"/>
          <w:color w:val="auto"/>
          <w:spacing w:val="18"/>
          <w:sz w:val="20"/>
          <w:szCs w:val="20"/>
          <w:highlight w:val="none"/>
        </w:rPr>
        <w:t>比可能不同，应有平衡差动</w:t>
      </w:r>
      <w:r>
        <w:rPr>
          <w:rFonts w:ascii="宋体" w:hAnsi="宋体" w:eastAsia="宋体" w:cs="宋体"/>
          <w:color w:val="auto"/>
          <w:spacing w:val="17"/>
          <w:sz w:val="20"/>
          <w:szCs w:val="20"/>
          <w:highlight w:val="none"/>
        </w:rPr>
        <w:t>保护各侧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电流</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的措</w:t>
      </w:r>
      <w:r>
        <w:rPr>
          <w:rFonts w:ascii="宋体" w:hAnsi="宋体" w:eastAsia="宋体" w:cs="宋体"/>
          <w:color w:val="auto"/>
          <w:sz w:val="20"/>
          <w:szCs w:val="20"/>
          <w:highlight w:val="none"/>
        </w:rPr>
        <w:t xml:space="preserve"> </w:t>
      </w:r>
      <w:r>
        <w:rPr>
          <w:rFonts w:ascii="宋体" w:hAnsi="宋体" w:eastAsia="宋体" w:cs="宋体"/>
          <w:color w:val="auto"/>
          <w:spacing w:val="15"/>
          <w:sz w:val="20"/>
          <w:szCs w:val="20"/>
          <w:highlight w:val="none"/>
        </w:rPr>
        <w:t>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5"/>
          <w:sz w:val="20"/>
          <w:szCs w:val="20"/>
          <w:highlight w:val="none"/>
        </w:rPr>
        <w:t>，</w:t>
      </w:r>
      <w:r>
        <w:rPr>
          <w:rFonts w:ascii="宋体" w:hAnsi="宋体" w:eastAsia="宋体" w:cs="宋体"/>
          <w:color w:val="auto"/>
          <w:spacing w:val="-56"/>
          <w:sz w:val="20"/>
          <w:szCs w:val="20"/>
          <w:highlight w:val="none"/>
        </w:rPr>
        <w:t xml:space="preserve"> </w:t>
      </w:r>
      <w:r>
        <w:rPr>
          <w:rFonts w:ascii="宋体" w:hAnsi="宋体" w:eastAsia="宋体" w:cs="宋体"/>
          <w:color w:val="auto"/>
          <w:spacing w:val="15"/>
          <w:sz w:val="20"/>
          <w:szCs w:val="20"/>
          <w:highlight w:val="none"/>
        </w:rPr>
        <w:t>能满足两侧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5"/>
          <w:sz w:val="20"/>
          <w:szCs w:val="20"/>
          <w:highlight w:val="none"/>
        </w:rPr>
        <w:t>电流互感器有 16</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倍差别的调节</w:t>
      </w:r>
      <w:r>
        <w:rPr>
          <w:rFonts w:ascii="宋体" w:hAnsi="宋体" w:eastAsia="宋体" w:cs="宋体"/>
          <w:color w:val="auto"/>
          <w:spacing w:val="14"/>
          <w:sz w:val="20"/>
          <w:szCs w:val="20"/>
          <w:highlight w:val="none"/>
        </w:rPr>
        <w:t>范</w:t>
      </w:r>
      <w:r>
        <w:rPr>
          <w:rFonts w:ascii="宋体" w:hAnsi="宋体" w:eastAsia="宋体" w:cs="宋体"/>
          <w:color w:val="auto"/>
          <w:spacing w:val="-51"/>
          <w:sz w:val="20"/>
          <w:szCs w:val="20"/>
          <w:highlight w:val="none"/>
        </w:rPr>
        <w:t xml:space="preserve"> </w:t>
      </w:r>
      <w:r>
        <w:rPr>
          <w:rFonts w:ascii="宋体" w:hAnsi="宋体" w:eastAsia="宋体" w:cs="宋体"/>
          <w:color w:val="auto"/>
          <w:spacing w:val="14"/>
          <w:sz w:val="20"/>
          <w:szCs w:val="20"/>
          <w:highlight w:val="none"/>
        </w:rPr>
        <w:t>围；</w:t>
      </w:r>
    </w:p>
    <w:p w14:paraId="1235136E">
      <w:pPr>
        <w:spacing w:before="164" w:line="302" w:lineRule="auto"/>
        <w:ind w:left="1362" w:right="35" w:hanging="419"/>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6) 对于变压器</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的差动保护应有</w:t>
      </w:r>
      <w:r>
        <w:rPr>
          <w:rFonts w:ascii="宋体" w:hAnsi="宋体" w:eastAsia="宋体" w:cs="宋体"/>
          <w:color w:val="auto"/>
          <w:spacing w:val="-58"/>
          <w:sz w:val="20"/>
          <w:szCs w:val="20"/>
          <w:highlight w:val="none"/>
        </w:rPr>
        <w:t xml:space="preserve"> </w:t>
      </w:r>
      <w:r>
        <w:rPr>
          <w:rFonts w:ascii="宋体" w:hAnsi="宋体" w:eastAsia="宋体" w:cs="宋体"/>
          <w:color w:val="auto"/>
          <w:spacing w:val="17"/>
          <w:sz w:val="20"/>
          <w:szCs w:val="20"/>
          <w:highlight w:val="none"/>
        </w:rPr>
        <w:t>防止励磁涌流</w:t>
      </w:r>
      <w:r>
        <w:rPr>
          <w:rFonts w:ascii="宋体" w:hAnsi="宋体" w:eastAsia="宋体" w:cs="宋体"/>
          <w:color w:val="auto"/>
          <w:spacing w:val="-55"/>
          <w:sz w:val="20"/>
          <w:szCs w:val="20"/>
          <w:highlight w:val="none"/>
        </w:rPr>
        <w:t xml:space="preserve"> </w:t>
      </w:r>
      <w:r>
        <w:rPr>
          <w:rFonts w:ascii="宋体" w:hAnsi="宋体" w:eastAsia="宋体" w:cs="宋体"/>
          <w:color w:val="auto"/>
          <w:spacing w:val="17"/>
          <w:sz w:val="20"/>
          <w:szCs w:val="20"/>
          <w:highlight w:val="none"/>
        </w:rPr>
        <w:t>引起误动</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的功能；具有</w:t>
      </w:r>
      <w:r>
        <w:rPr>
          <w:rFonts w:ascii="宋体" w:hAnsi="宋体" w:eastAsia="宋体" w:cs="宋体"/>
          <w:color w:val="auto"/>
          <w:spacing w:val="-58"/>
          <w:sz w:val="20"/>
          <w:szCs w:val="20"/>
          <w:highlight w:val="none"/>
        </w:rPr>
        <w:t xml:space="preserve"> </w:t>
      </w:r>
      <w:r>
        <w:rPr>
          <w:rFonts w:ascii="宋体" w:hAnsi="宋体" w:eastAsia="宋体" w:cs="宋体"/>
          <w:color w:val="auto"/>
          <w:spacing w:val="17"/>
          <w:sz w:val="20"/>
          <w:szCs w:val="20"/>
          <w:highlight w:val="none"/>
        </w:rPr>
        <w:t>防止</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w:t>
      </w:r>
      <w:r>
        <w:rPr>
          <w:rFonts w:ascii="宋体" w:hAnsi="宋体" w:eastAsia="宋体" w:cs="宋体"/>
          <w:color w:val="auto"/>
          <w:sz w:val="20"/>
          <w:szCs w:val="20"/>
          <w:highlight w:val="none"/>
        </w:rPr>
        <w:t xml:space="preserve"> </w:t>
      </w:r>
      <w:r>
        <w:rPr>
          <w:rFonts w:ascii="宋体" w:hAnsi="宋体" w:eastAsia="宋体" w:cs="宋体"/>
          <w:color w:val="auto"/>
          <w:spacing w:val="20"/>
          <w:sz w:val="20"/>
          <w:szCs w:val="20"/>
          <w:highlight w:val="none"/>
        </w:rPr>
        <w:t>流互感器（</w:t>
      </w:r>
      <w:r>
        <w:rPr>
          <w:rFonts w:ascii="宋体" w:hAnsi="宋体" w:eastAsia="宋体" w:cs="宋体"/>
          <w:color w:val="auto"/>
          <w:sz w:val="20"/>
          <w:szCs w:val="20"/>
          <w:highlight w:val="none"/>
        </w:rPr>
        <w:t>TA</w:t>
      </w:r>
      <w:r>
        <w:rPr>
          <w:rFonts w:ascii="宋体" w:hAnsi="宋体" w:eastAsia="宋体" w:cs="宋体"/>
          <w:color w:val="auto"/>
          <w:spacing w:val="20"/>
          <w:sz w:val="20"/>
          <w:szCs w:val="20"/>
          <w:highlight w:val="none"/>
        </w:rPr>
        <w:t>）</w:t>
      </w:r>
      <w:r>
        <w:rPr>
          <w:rFonts w:ascii="宋体" w:hAnsi="宋体" w:eastAsia="宋体" w:cs="宋体"/>
          <w:color w:val="auto"/>
          <w:spacing w:val="-37"/>
          <w:sz w:val="20"/>
          <w:szCs w:val="20"/>
          <w:highlight w:val="none"/>
        </w:rPr>
        <w:t xml:space="preserve"> </w:t>
      </w:r>
      <w:r>
        <w:rPr>
          <w:rFonts w:ascii="宋体" w:hAnsi="宋体" w:eastAsia="宋体" w:cs="宋体"/>
          <w:color w:val="auto"/>
          <w:spacing w:val="20"/>
          <w:sz w:val="20"/>
          <w:szCs w:val="20"/>
          <w:highlight w:val="none"/>
        </w:rPr>
        <w:t>暂态饱和过程</w:t>
      </w:r>
      <w:r>
        <w:rPr>
          <w:rFonts w:ascii="宋体" w:hAnsi="宋体" w:eastAsia="宋体" w:cs="宋体"/>
          <w:color w:val="auto"/>
          <w:spacing w:val="-51"/>
          <w:sz w:val="20"/>
          <w:szCs w:val="20"/>
          <w:highlight w:val="none"/>
        </w:rPr>
        <w:t xml:space="preserve"> </w:t>
      </w:r>
      <w:r>
        <w:rPr>
          <w:rFonts w:ascii="宋体" w:hAnsi="宋体" w:eastAsia="宋体" w:cs="宋体"/>
          <w:color w:val="auto"/>
          <w:spacing w:val="20"/>
          <w:sz w:val="20"/>
          <w:szCs w:val="20"/>
          <w:highlight w:val="none"/>
        </w:rPr>
        <w:t>中误动</w:t>
      </w:r>
      <w:r>
        <w:rPr>
          <w:rFonts w:ascii="宋体" w:hAnsi="宋体" w:eastAsia="宋体" w:cs="宋体"/>
          <w:color w:val="auto"/>
          <w:spacing w:val="-54"/>
          <w:sz w:val="20"/>
          <w:szCs w:val="20"/>
          <w:highlight w:val="none"/>
        </w:rPr>
        <w:t xml:space="preserve"> </w:t>
      </w:r>
      <w:r>
        <w:rPr>
          <w:rFonts w:ascii="宋体" w:hAnsi="宋体" w:eastAsia="宋体" w:cs="宋体"/>
          <w:color w:val="auto"/>
          <w:spacing w:val="20"/>
          <w:sz w:val="20"/>
          <w:szCs w:val="20"/>
          <w:highlight w:val="none"/>
        </w:rPr>
        <w:t>的措施；</w:t>
      </w:r>
    </w:p>
    <w:p w14:paraId="690C28E1">
      <w:pPr>
        <w:spacing w:before="161" w:line="226" w:lineRule="auto"/>
        <w:ind w:left="946"/>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7)</w:t>
      </w:r>
      <w:r>
        <w:rPr>
          <w:rFonts w:ascii="宋体" w:hAnsi="宋体" w:eastAsia="宋体" w:cs="宋体"/>
          <w:color w:val="auto"/>
          <w:spacing w:val="50"/>
          <w:sz w:val="20"/>
          <w:szCs w:val="20"/>
          <w:highlight w:val="none"/>
        </w:rPr>
        <w:t xml:space="preserve"> </w:t>
      </w:r>
      <w:r>
        <w:rPr>
          <w:rFonts w:ascii="宋体" w:hAnsi="宋体" w:eastAsia="宋体" w:cs="宋体"/>
          <w:color w:val="auto"/>
          <w:spacing w:val="17"/>
          <w:sz w:val="20"/>
          <w:szCs w:val="20"/>
          <w:highlight w:val="none"/>
        </w:rPr>
        <w:t>具有差流告警功能</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，发信；</w:t>
      </w:r>
    </w:p>
    <w:p w14:paraId="646F219D">
      <w:pPr>
        <w:spacing w:before="162" w:line="228" w:lineRule="auto"/>
        <w:ind w:left="942"/>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8) 整定值的准确度：</w:t>
      </w:r>
      <w:r>
        <w:rPr>
          <w:rFonts w:ascii="宋体" w:hAnsi="宋体" w:eastAsia="宋体" w:cs="宋体"/>
          <w:color w:val="auto"/>
          <w:spacing w:val="-30"/>
          <w:sz w:val="20"/>
          <w:szCs w:val="20"/>
          <w:highlight w:val="none"/>
        </w:rPr>
        <w:t xml:space="preserve"> </w:t>
      </w:r>
      <w:r>
        <w:rPr>
          <w:rFonts w:ascii="宋体" w:hAnsi="宋体" w:eastAsia="宋体" w:cs="宋体"/>
          <w:color w:val="auto"/>
          <w:spacing w:val="16"/>
          <w:sz w:val="20"/>
          <w:szCs w:val="20"/>
          <w:highlight w:val="none"/>
        </w:rPr>
        <w:t>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1CFE03D6">
      <w:pPr>
        <w:spacing w:before="164" w:line="228" w:lineRule="auto"/>
        <w:ind w:left="942"/>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9)</w:t>
      </w:r>
      <w:r>
        <w:rPr>
          <w:rFonts w:ascii="宋体" w:hAnsi="宋体" w:eastAsia="宋体" w:cs="宋体"/>
          <w:color w:val="auto"/>
          <w:spacing w:val="57"/>
          <w:sz w:val="20"/>
          <w:szCs w:val="20"/>
          <w:highlight w:val="none"/>
        </w:rPr>
        <w:t xml:space="preserve"> </w:t>
      </w:r>
      <w:r>
        <w:rPr>
          <w:rFonts w:ascii="宋体" w:hAnsi="宋体" w:eastAsia="宋体" w:cs="宋体"/>
          <w:color w:val="auto"/>
          <w:spacing w:val="16"/>
          <w:sz w:val="20"/>
          <w:szCs w:val="20"/>
          <w:highlight w:val="none"/>
        </w:rPr>
        <w:t>动作时间</w:t>
      </w:r>
      <w:r>
        <w:rPr>
          <w:rFonts w:ascii="宋体" w:hAnsi="宋体" w:eastAsia="宋体" w:cs="宋体"/>
          <w:color w:val="auto"/>
          <w:spacing w:val="-34"/>
          <w:sz w:val="20"/>
          <w:szCs w:val="20"/>
          <w:highlight w:val="none"/>
        </w:rPr>
        <w:t xml:space="preserve"> </w:t>
      </w:r>
      <w:r>
        <w:rPr>
          <w:rFonts w:ascii="宋体" w:hAnsi="宋体" w:eastAsia="宋体" w:cs="宋体"/>
          <w:color w:val="auto"/>
          <w:spacing w:val="16"/>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6"/>
          <w:sz w:val="20"/>
          <w:szCs w:val="20"/>
          <w:highlight w:val="none"/>
        </w:rPr>
        <w:t>倍整定电流时)不大于</w:t>
      </w:r>
      <w:r>
        <w:rPr>
          <w:rFonts w:ascii="宋体" w:hAnsi="宋体" w:eastAsia="宋体" w:cs="宋体"/>
          <w:color w:val="auto"/>
          <w:spacing w:val="-16"/>
          <w:sz w:val="20"/>
          <w:szCs w:val="20"/>
          <w:highlight w:val="none"/>
        </w:rPr>
        <w:t xml:space="preserve"> </w:t>
      </w:r>
      <w:r>
        <w:rPr>
          <w:rFonts w:ascii="宋体" w:hAnsi="宋体" w:eastAsia="宋体" w:cs="宋体"/>
          <w:color w:val="auto"/>
          <w:spacing w:val="16"/>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6"/>
          <w:sz w:val="20"/>
          <w:szCs w:val="20"/>
          <w:highlight w:val="none"/>
        </w:rPr>
        <w:t>。</w:t>
      </w:r>
    </w:p>
    <w:p w14:paraId="7B571AFC">
      <w:pPr>
        <w:spacing w:before="160"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高压厂变速断保护</w:t>
      </w:r>
    </w:p>
    <w:p w14:paraId="341ADF77">
      <w:pPr>
        <w:spacing w:before="159" w:line="228" w:lineRule="auto"/>
        <w:ind w:left="81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其主要功能和技术要求如下：</w:t>
      </w:r>
    </w:p>
    <w:p w14:paraId="57785D1A">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1)</w:t>
      </w:r>
      <w:r>
        <w:rPr>
          <w:rFonts w:ascii="宋体" w:hAnsi="宋体" w:eastAsia="宋体" w:cs="宋体"/>
          <w:color w:val="auto"/>
          <w:spacing w:val="71"/>
          <w:sz w:val="20"/>
          <w:szCs w:val="20"/>
          <w:highlight w:val="none"/>
        </w:rPr>
        <w:t xml:space="preserve"> </w:t>
      </w:r>
      <w:r>
        <w:rPr>
          <w:rFonts w:ascii="宋体" w:hAnsi="宋体" w:eastAsia="宋体" w:cs="宋体"/>
          <w:color w:val="auto"/>
          <w:spacing w:val="13"/>
          <w:sz w:val="20"/>
          <w:szCs w:val="20"/>
          <w:highlight w:val="none"/>
        </w:rPr>
        <w:t>电流整定值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39"/>
          <w:sz w:val="20"/>
          <w:szCs w:val="20"/>
          <w:highlight w:val="none"/>
        </w:rPr>
        <w:t xml:space="preserve"> </w:t>
      </w:r>
      <w:r>
        <w:rPr>
          <w:rFonts w:ascii="宋体" w:hAnsi="宋体" w:eastAsia="宋体" w:cs="宋体"/>
          <w:color w:val="auto"/>
          <w:spacing w:val="13"/>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3"/>
          <w:sz w:val="20"/>
          <w:szCs w:val="20"/>
          <w:highlight w:val="none"/>
        </w:rPr>
        <w:t>0.02</w:t>
      </w:r>
      <w:r>
        <w:rPr>
          <w:rFonts w:ascii="宋体" w:hAnsi="宋体" w:eastAsia="宋体" w:cs="宋体"/>
          <w:color w:val="auto"/>
          <w:sz w:val="20"/>
          <w:szCs w:val="20"/>
          <w:highlight w:val="none"/>
        </w:rPr>
        <w:t>In</w:t>
      </w:r>
    </w:p>
    <w:p w14:paraId="609482B6">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w:t>
      </w:r>
      <w:r>
        <w:rPr>
          <w:rFonts w:ascii="宋体" w:hAnsi="宋体" w:eastAsia="宋体" w:cs="宋体"/>
          <w:color w:val="auto"/>
          <w:spacing w:val="45"/>
          <w:sz w:val="20"/>
          <w:szCs w:val="20"/>
          <w:highlight w:val="none"/>
        </w:rPr>
        <w:t xml:space="preserve"> </w:t>
      </w:r>
      <w:r>
        <w:rPr>
          <w:rFonts w:ascii="宋体" w:hAnsi="宋体" w:eastAsia="宋体" w:cs="宋体"/>
          <w:color w:val="auto"/>
          <w:spacing w:val="10"/>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0"/>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0"/>
          <w:sz w:val="20"/>
          <w:szCs w:val="20"/>
          <w:highlight w:val="none"/>
        </w:rPr>
        <w:t>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10"/>
          <w:sz w:val="20"/>
          <w:szCs w:val="20"/>
          <w:highlight w:val="none"/>
        </w:rPr>
        <w:t>电流 2</w:t>
      </w:r>
      <w:r>
        <w:rPr>
          <w:rFonts w:ascii="宋体" w:hAnsi="宋体" w:eastAsia="宋体" w:cs="宋体"/>
          <w:color w:val="auto"/>
          <w:spacing w:val="-23"/>
          <w:sz w:val="20"/>
          <w:szCs w:val="20"/>
          <w:highlight w:val="none"/>
        </w:rPr>
        <w:t xml:space="preserve"> </w:t>
      </w:r>
      <w:r>
        <w:rPr>
          <w:rFonts w:ascii="宋体" w:hAnsi="宋体" w:eastAsia="宋体" w:cs="宋体"/>
          <w:color w:val="auto"/>
          <w:spacing w:val="10"/>
          <w:sz w:val="20"/>
          <w:szCs w:val="20"/>
          <w:highlight w:val="none"/>
        </w:rPr>
        <w:t>倍整定值</w:t>
      </w:r>
      <w:r>
        <w:rPr>
          <w:rFonts w:ascii="宋体" w:hAnsi="宋体" w:eastAsia="宋体" w:cs="宋体"/>
          <w:color w:val="auto"/>
          <w:spacing w:val="-51"/>
          <w:sz w:val="20"/>
          <w:szCs w:val="20"/>
          <w:highlight w:val="none"/>
        </w:rPr>
        <w:t>）：</w:t>
      </w:r>
      <w:r>
        <w:rPr>
          <w:rFonts w:ascii="宋体" w:hAnsi="宋体" w:eastAsia="宋体" w:cs="宋体"/>
          <w:color w:val="auto"/>
          <w:spacing w:val="-22"/>
          <w:sz w:val="20"/>
          <w:szCs w:val="20"/>
          <w:highlight w:val="none"/>
        </w:rPr>
        <w:t xml:space="preserve"> </w:t>
      </w:r>
      <w:r>
        <w:rPr>
          <w:rFonts w:ascii="宋体" w:hAnsi="宋体" w:eastAsia="宋体" w:cs="宋体"/>
          <w:color w:val="auto"/>
          <w:spacing w:val="10"/>
          <w:sz w:val="20"/>
          <w:szCs w:val="20"/>
          <w:highlight w:val="none"/>
        </w:rPr>
        <w:t>1%或 30</w:t>
      </w:r>
      <w:r>
        <w:rPr>
          <w:rFonts w:ascii="宋体" w:hAnsi="宋体" w:eastAsia="宋体" w:cs="宋体"/>
          <w:color w:val="auto"/>
          <w:sz w:val="20"/>
          <w:szCs w:val="20"/>
          <w:highlight w:val="none"/>
        </w:rPr>
        <w:t>ms</w:t>
      </w:r>
      <w:r>
        <w:rPr>
          <w:rFonts w:ascii="宋体" w:hAnsi="宋体" w:eastAsia="宋体" w:cs="宋体"/>
          <w:color w:val="auto"/>
          <w:spacing w:val="10"/>
          <w:sz w:val="20"/>
          <w:szCs w:val="20"/>
          <w:highlight w:val="none"/>
        </w:rPr>
        <w:t>。</w:t>
      </w:r>
    </w:p>
    <w:p w14:paraId="752E0690">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32"/>
          <w:sz w:val="14"/>
          <w:szCs w:val="14"/>
          <w:highlight w:val="none"/>
        </w:rPr>
        <w:t xml:space="preserve"> </w:t>
      </w:r>
      <w:r>
        <w:rPr>
          <w:rFonts w:ascii="宋体" w:hAnsi="宋体" w:eastAsia="宋体" w:cs="宋体"/>
          <w:b/>
          <w:bCs/>
          <w:color w:val="auto"/>
          <w:spacing w:val="6"/>
          <w:sz w:val="20"/>
          <w:szCs w:val="20"/>
          <w:highlight w:val="none"/>
        </w:rPr>
        <w:t>高压厂变复合电压闭锁过流保护</w:t>
      </w:r>
    </w:p>
    <w:p w14:paraId="05E1C724">
      <w:pPr>
        <w:spacing w:before="163" w:line="369" w:lineRule="auto"/>
        <w:ind w:left="503" w:right="13" w:firstLine="318"/>
        <w:jc w:val="both"/>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复合电压闭锁信号取自</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36"/>
          <w:sz w:val="20"/>
          <w:szCs w:val="20"/>
          <w:highlight w:val="none"/>
        </w:rPr>
        <w:t xml:space="preserve"> </w:t>
      </w:r>
      <w:r>
        <w:rPr>
          <w:rFonts w:ascii="宋体" w:hAnsi="宋体" w:eastAsia="宋体" w:cs="宋体"/>
          <w:color w:val="auto"/>
          <w:spacing w:val="10"/>
          <w:sz w:val="20"/>
          <w:szCs w:val="20"/>
          <w:highlight w:val="none"/>
        </w:rPr>
        <w:t>工作进线侧</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PT</w:t>
      </w:r>
      <w:r>
        <w:rPr>
          <w:rFonts w:ascii="宋体" w:hAnsi="宋体" w:eastAsia="宋体" w:cs="宋体"/>
          <w:color w:val="auto"/>
          <w:spacing w:val="-13"/>
          <w:sz w:val="20"/>
          <w:szCs w:val="20"/>
          <w:highlight w:val="none"/>
        </w:rPr>
        <w:t xml:space="preserve"> </w:t>
      </w:r>
      <w:r>
        <w:rPr>
          <w:rFonts w:ascii="宋体" w:hAnsi="宋体" w:eastAsia="宋体" w:cs="宋体"/>
          <w:color w:val="auto"/>
          <w:spacing w:val="10"/>
          <w:sz w:val="20"/>
          <w:szCs w:val="20"/>
          <w:highlight w:val="none"/>
        </w:rPr>
        <w:t>电压回路。当电压</w:t>
      </w:r>
      <w:r>
        <w:rPr>
          <w:rFonts w:ascii="宋体" w:hAnsi="宋体" w:eastAsia="宋体" w:cs="宋体"/>
          <w:color w:val="auto"/>
          <w:spacing w:val="9"/>
          <w:sz w:val="20"/>
          <w:szCs w:val="20"/>
          <w:highlight w:val="none"/>
        </w:rPr>
        <w:t>互感器回路断线时应</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闭锁装置并发出报警信号。高压厂变过流保护短</w:t>
      </w:r>
      <w:r>
        <w:rPr>
          <w:rFonts w:ascii="宋体" w:hAnsi="宋体" w:eastAsia="宋体" w:cs="宋体"/>
          <w:color w:val="auto"/>
          <w:spacing w:val="10"/>
          <w:sz w:val="20"/>
          <w:szCs w:val="20"/>
          <w:highlight w:val="none"/>
        </w:rPr>
        <w:t>延时段动作后不起动故障段</w:t>
      </w:r>
      <w:r>
        <w:rPr>
          <w:rFonts w:ascii="宋体" w:hAnsi="宋体" w:eastAsia="宋体" w:cs="宋体"/>
          <w:color w:val="auto"/>
          <w:spacing w:val="-33"/>
          <w:sz w:val="20"/>
          <w:szCs w:val="20"/>
          <w:highlight w:val="none"/>
        </w:rPr>
        <w:t xml:space="preserve"> </w:t>
      </w:r>
      <w:r>
        <w:rPr>
          <w:rFonts w:ascii="宋体" w:hAnsi="宋体" w:eastAsia="宋体" w:cs="宋体"/>
          <w:color w:val="auto"/>
          <w:spacing w:val="10"/>
          <w:sz w:val="20"/>
          <w:szCs w:val="20"/>
          <w:highlight w:val="none"/>
          <w:u w:val="single" w:color="auto"/>
        </w:rPr>
        <w:t>6</w:t>
      </w:r>
      <w:r>
        <w:rPr>
          <w:rFonts w:ascii="宋体" w:hAnsi="宋体" w:eastAsia="宋体" w:cs="宋体"/>
          <w:color w:val="auto"/>
          <w:sz w:val="20"/>
          <w:szCs w:val="20"/>
          <w:highlight w:val="none"/>
          <w:u w:val="single" w:color="auto"/>
        </w:rPr>
        <w:t>kV</w:t>
      </w:r>
      <w:r>
        <w:rPr>
          <w:rFonts w:ascii="宋体" w:hAnsi="宋体" w:eastAsia="宋体" w:cs="宋体"/>
          <w:color w:val="auto"/>
          <w:spacing w:val="-35"/>
          <w:sz w:val="20"/>
          <w:szCs w:val="20"/>
          <w:highlight w:val="none"/>
          <w:u w:val="single" w:color="auto"/>
        </w:rPr>
        <w:t xml:space="preserve"> </w:t>
      </w:r>
      <w:r>
        <w:rPr>
          <w:rFonts w:ascii="宋体" w:hAnsi="宋体" w:eastAsia="宋体" w:cs="宋体"/>
          <w:color w:val="auto"/>
          <w:spacing w:val="10"/>
          <w:sz w:val="20"/>
          <w:szCs w:val="20"/>
          <w:highlight w:val="none"/>
        </w:rPr>
        <w:t>厂用</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电源快速切换，但起动非故障段厂用电源快速切换，故要求各厂用段起动/闭锁快切回</w:t>
      </w:r>
      <w:r>
        <w:rPr>
          <w:rFonts w:ascii="宋体" w:hAnsi="宋体" w:eastAsia="宋体" w:cs="宋体"/>
          <w:color w:val="auto"/>
          <w:spacing w:val="9"/>
          <w:sz w:val="20"/>
          <w:szCs w:val="20"/>
          <w:highlight w:val="none"/>
        </w:rPr>
        <w:t xml:space="preserve"> </w:t>
      </w:r>
      <w:r>
        <w:rPr>
          <w:rFonts w:ascii="宋体" w:hAnsi="宋体" w:eastAsia="宋体" w:cs="宋体"/>
          <w:color w:val="auto"/>
          <w:spacing w:val="8"/>
          <w:sz w:val="20"/>
          <w:szCs w:val="20"/>
          <w:highlight w:val="none"/>
        </w:rPr>
        <w:t>路可单独整定。其主要功能和技术要求如下：</w:t>
      </w:r>
    </w:p>
    <w:p w14:paraId="2119FF60">
      <w:pPr>
        <w:spacing w:before="34" w:line="228" w:lineRule="auto"/>
        <w:ind w:left="956"/>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w:t>
      </w:r>
      <w:r>
        <w:rPr>
          <w:rFonts w:ascii="宋体" w:hAnsi="宋体" w:eastAsia="宋体" w:cs="宋体"/>
          <w:color w:val="auto"/>
          <w:spacing w:val="44"/>
          <w:sz w:val="20"/>
          <w:szCs w:val="20"/>
          <w:highlight w:val="none"/>
        </w:rPr>
        <w:t xml:space="preserve"> </w:t>
      </w:r>
      <w:r>
        <w:rPr>
          <w:rFonts w:ascii="宋体" w:hAnsi="宋体" w:eastAsia="宋体" w:cs="宋体"/>
          <w:color w:val="auto"/>
          <w:spacing w:val="10"/>
          <w:sz w:val="20"/>
          <w:szCs w:val="20"/>
          <w:highlight w:val="none"/>
        </w:rPr>
        <w:t>返</w:t>
      </w:r>
      <w:r>
        <w:rPr>
          <w:rFonts w:ascii="宋体" w:hAnsi="宋体" w:eastAsia="宋体" w:cs="宋体"/>
          <w:color w:val="auto"/>
          <w:spacing w:val="-50"/>
          <w:sz w:val="20"/>
          <w:szCs w:val="20"/>
          <w:highlight w:val="none"/>
        </w:rPr>
        <w:t xml:space="preserve"> </w:t>
      </w:r>
      <w:r>
        <w:rPr>
          <w:rFonts w:ascii="宋体" w:hAnsi="宋体" w:eastAsia="宋体" w:cs="宋体"/>
          <w:color w:val="auto"/>
          <w:spacing w:val="10"/>
          <w:sz w:val="20"/>
          <w:szCs w:val="20"/>
          <w:highlight w:val="none"/>
        </w:rPr>
        <w:t>回系数：</w:t>
      </w:r>
      <w:r>
        <w:rPr>
          <w:rFonts w:ascii="宋体" w:hAnsi="宋体" w:eastAsia="宋体" w:cs="宋体"/>
          <w:color w:val="auto"/>
          <w:spacing w:val="-16"/>
          <w:sz w:val="20"/>
          <w:szCs w:val="20"/>
          <w:highlight w:val="none"/>
        </w:rPr>
        <w:t xml:space="preserve"> </w:t>
      </w:r>
      <w:r>
        <w:rPr>
          <w:rFonts w:ascii="宋体" w:hAnsi="宋体" w:eastAsia="宋体" w:cs="宋体"/>
          <w:color w:val="auto"/>
          <w:spacing w:val="10"/>
          <w:sz w:val="20"/>
          <w:szCs w:val="20"/>
          <w:highlight w:val="none"/>
        </w:rPr>
        <w:t>电流</w:t>
      </w:r>
      <w:r>
        <w:rPr>
          <w:rFonts w:ascii="宋体" w:hAnsi="宋体" w:eastAsia="宋体" w:cs="宋体"/>
          <w:color w:val="auto"/>
          <w:spacing w:val="-55"/>
          <w:sz w:val="20"/>
          <w:szCs w:val="20"/>
          <w:highlight w:val="none"/>
        </w:rPr>
        <w:t xml:space="preserve"> </w:t>
      </w:r>
      <w:r>
        <w:rPr>
          <w:rFonts w:ascii="宋体" w:hAnsi="宋体" w:eastAsia="宋体" w:cs="宋体"/>
          <w:color w:val="auto"/>
          <w:spacing w:val="10"/>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0"/>
          <w:sz w:val="20"/>
          <w:szCs w:val="20"/>
          <w:highlight w:val="none"/>
        </w:rPr>
        <w:t>负序</w:t>
      </w:r>
      <w:r>
        <w:rPr>
          <w:rFonts w:ascii="宋体" w:hAnsi="宋体" w:eastAsia="宋体" w:cs="宋体"/>
          <w:color w:val="auto"/>
          <w:spacing w:val="-46"/>
          <w:sz w:val="20"/>
          <w:szCs w:val="20"/>
          <w:highlight w:val="none"/>
        </w:rPr>
        <w:t xml:space="preserve"> </w:t>
      </w:r>
      <w:r>
        <w:rPr>
          <w:rFonts w:ascii="宋体" w:hAnsi="宋体" w:eastAsia="宋体" w:cs="宋体"/>
          <w:color w:val="auto"/>
          <w:spacing w:val="10"/>
          <w:sz w:val="20"/>
          <w:szCs w:val="20"/>
          <w:highlight w:val="none"/>
        </w:rPr>
        <w:t>电压元件不小于 0.9</w:t>
      </w:r>
      <w:r>
        <w:rPr>
          <w:rFonts w:ascii="宋体" w:hAnsi="宋体" w:eastAsia="宋体" w:cs="宋体"/>
          <w:color w:val="auto"/>
          <w:spacing w:val="-59"/>
          <w:sz w:val="20"/>
          <w:szCs w:val="20"/>
          <w:highlight w:val="none"/>
        </w:rPr>
        <w:t xml:space="preserve"> </w:t>
      </w:r>
      <w:r>
        <w:rPr>
          <w:rFonts w:ascii="宋体" w:hAnsi="宋体" w:eastAsia="宋体" w:cs="宋体"/>
          <w:color w:val="auto"/>
          <w:spacing w:val="10"/>
          <w:sz w:val="20"/>
          <w:szCs w:val="20"/>
          <w:highlight w:val="none"/>
        </w:rPr>
        <w:t>，低</w:t>
      </w:r>
      <w:r>
        <w:rPr>
          <w:rFonts w:ascii="宋体" w:hAnsi="宋体" w:eastAsia="宋体" w:cs="宋体"/>
          <w:color w:val="auto"/>
          <w:spacing w:val="-46"/>
          <w:sz w:val="20"/>
          <w:szCs w:val="20"/>
          <w:highlight w:val="none"/>
        </w:rPr>
        <w:t xml:space="preserve"> </w:t>
      </w:r>
      <w:r>
        <w:rPr>
          <w:rFonts w:ascii="宋体" w:hAnsi="宋体" w:eastAsia="宋体" w:cs="宋体"/>
          <w:color w:val="auto"/>
          <w:spacing w:val="10"/>
          <w:sz w:val="20"/>
          <w:szCs w:val="20"/>
          <w:highlight w:val="none"/>
        </w:rPr>
        <w:t>电压元件不大于 1.1；</w:t>
      </w:r>
    </w:p>
    <w:p w14:paraId="4DE2E4B8">
      <w:pPr>
        <w:spacing w:before="162" w:line="302" w:lineRule="auto"/>
        <w:ind w:left="1361" w:right="126" w:hanging="418"/>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2)</w:t>
      </w:r>
      <w:r>
        <w:rPr>
          <w:rFonts w:ascii="宋体" w:hAnsi="宋体" w:eastAsia="宋体" w:cs="宋体"/>
          <w:color w:val="auto"/>
          <w:spacing w:val="73"/>
          <w:sz w:val="20"/>
          <w:szCs w:val="20"/>
          <w:highlight w:val="none"/>
        </w:rPr>
        <w:t xml:space="preserve"> </w:t>
      </w:r>
      <w:r>
        <w:rPr>
          <w:rFonts w:ascii="宋体" w:hAnsi="宋体" w:eastAsia="宋体" w:cs="宋体"/>
          <w:color w:val="auto"/>
          <w:spacing w:val="14"/>
          <w:sz w:val="20"/>
          <w:szCs w:val="20"/>
          <w:highlight w:val="none"/>
        </w:rPr>
        <w:t>电流整定值</w:t>
      </w:r>
      <w:r>
        <w:rPr>
          <w:rFonts w:ascii="宋体" w:hAnsi="宋体" w:eastAsia="宋体" w:cs="宋体"/>
          <w:color w:val="auto"/>
          <w:spacing w:val="-56"/>
          <w:sz w:val="20"/>
          <w:szCs w:val="20"/>
          <w:highlight w:val="none"/>
        </w:rPr>
        <w:t xml:space="preserve"> </w:t>
      </w:r>
      <w:r>
        <w:rPr>
          <w:rFonts w:ascii="宋体" w:hAnsi="宋体" w:eastAsia="宋体" w:cs="宋体"/>
          <w:color w:val="auto"/>
          <w:spacing w:val="14"/>
          <w:sz w:val="20"/>
          <w:szCs w:val="20"/>
          <w:highlight w:val="none"/>
        </w:rPr>
        <w:t>、</w:t>
      </w:r>
      <w:r>
        <w:rPr>
          <w:rFonts w:ascii="宋体" w:hAnsi="宋体" w:eastAsia="宋体" w:cs="宋体"/>
          <w:color w:val="auto"/>
          <w:spacing w:val="-40"/>
          <w:sz w:val="20"/>
          <w:szCs w:val="20"/>
          <w:highlight w:val="none"/>
        </w:rPr>
        <w:t xml:space="preserve"> </w:t>
      </w:r>
      <w:r>
        <w:rPr>
          <w:rFonts w:ascii="宋体" w:hAnsi="宋体" w:eastAsia="宋体" w:cs="宋体"/>
          <w:color w:val="auto"/>
          <w:spacing w:val="14"/>
          <w:sz w:val="20"/>
          <w:szCs w:val="20"/>
          <w:highlight w:val="none"/>
        </w:rPr>
        <w:t>电压整定值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4"/>
          <w:sz w:val="20"/>
          <w:szCs w:val="20"/>
          <w:highlight w:val="none"/>
        </w:rPr>
        <w:t>的准确度：</w:t>
      </w:r>
      <w:r>
        <w:rPr>
          <w:rFonts w:ascii="宋体" w:hAnsi="宋体" w:eastAsia="宋体" w:cs="宋体"/>
          <w:color w:val="auto"/>
          <w:spacing w:val="-40"/>
          <w:sz w:val="20"/>
          <w:szCs w:val="20"/>
          <w:highlight w:val="none"/>
        </w:rPr>
        <w:t xml:space="preserve"> </w:t>
      </w:r>
      <w:r>
        <w:rPr>
          <w:rFonts w:ascii="宋体" w:hAnsi="宋体" w:eastAsia="宋体" w:cs="宋体"/>
          <w:color w:val="auto"/>
          <w:spacing w:val="14"/>
          <w:sz w:val="20"/>
          <w:szCs w:val="20"/>
          <w:highlight w:val="none"/>
        </w:rPr>
        <w:t>2.5%或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4"/>
          <w:sz w:val="20"/>
          <w:szCs w:val="20"/>
          <w:highlight w:val="none"/>
        </w:rPr>
        <w:t>、0.01</w:t>
      </w:r>
      <w:r>
        <w:rPr>
          <w:rFonts w:ascii="宋体" w:hAnsi="宋体" w:eastAsia="宋体" w:cs="宋体"/>
          <w:color w:val="auto"/>
          <w:sz w:val="20"/>
          <w:szCs w:val="20"/>
          <w:highlight w:val="none"/>
        </w:rPr>
        <w:t>Un</w:t>
      </w:r>
      <w:r>
        <w:rPr>
          <w:rFonts w:ascii="宋体" w:hAnsi="宋体" w:eastAsia="宋体" w:cs="宋体"/>
          <w:color w:val="auto"/>
          <w:spacing w:val="-58"/>
          <w:sz w:val="20"/>
          <w:szCs w:val="20"/>
          <w:highlight w:val="none"/>
        </w:rPr>
        <w:t xml:space="preserve"> </w:t>
      </w:r>
      <w:r>
        <w:rPr>
          <w:rFonts w:ascii="宋体" w:hAnsi="宋体" w:eastAsia="宋体" w:cs="宋体"/>
          <w:color w:val="auto"/>
          <w:spacing w:val="14"/>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4"/>
          <w:sz w:val="20"/>
          <w:szCs w:val="20"/>
          <w:highlight w:val="none"/>
        </w:rPr>
        <w:t>负序电</w:t>
      </w:r>
      <w:r>
        <w:rPr>
          <w:rFonts w:ascii="宋体" w:hAnsi="宋体" w:eastAsia="宋体" w:cs="宋体"/>
          <w:color w:val="auto"/>
          <w:sz w:val="20"/>
          <w:szCs w:val="20"/>
          <w:highlight w:val="none"/>
        </w:rPr>
        <w:t xml:space="preserve"> </w:t>
      </w:r>
      <w:r>
        <w:rPr>
          <w:rFonts w:ascii="宋体" w:hAnsi="宋体" w:eastAsia="宋体" w:cs="宋体"/>
          <w:color w:val="auto"/>
          <w:spacing w:val="13"/>
          <w:sz w:val="20"/>
          <w:szCs w:val="20"/>
          <w:highlight w:val="none"/>
        </w:rPr>
        <w:t>压整定值</w:t>
      </w:r>
      <w:r>
        <w:rPr>
          <w:rFonts w:ascii="宋体" w:hAnsi="宋体" w:eastAsia="宋体" w:cs="宋体"/>
          <w:color w:val="auto"/>
          <w:spacing w:val="-50"/>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35"/>
          <w:sz w:val="20"/>
          <w:szCs w:val="20"/>
          <w:highlight w:val="none"/>
        </w:rPr>
        <w:t xml:space="preserve"> </w:t>
      </w:r>
      <w:r>
        <w:rPr>
          <w:rFonts w:ascii="宋体" w:hAnsi="宋体" w:eastAsia="宋体" w:cs="宋体"/>
          <w:color w:val="auto"/>
          <w:spacing w:val="13"/>
          <w:sz w:val="20"/>
          <w:szCs w:val="20"/>
          <w:highlight w:val="none"/>
        </w:rPr>
        <w:t>5%或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0.1V；</w:t>
      </w:r>
    </w:p>
    <w:p w14:paraId="7E1192A0">
      <w:pPr>
        <w:spacing w:before="161" w:line="302" w:lineRule="auto"/>
        <w:ind w:left="1365" w:right="35" w:hanging="42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8"/>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8"/>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8"/>
          <w:sz w:val="20"/>
          <w:szCs w:val="20"/>
          <w:highlight w:val="none"/>
        </w:rPr>
        <w:t>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8"/>
          <w:sz w:val="20"/>
          <w:szCs w:val="20"/>
          <w:highlight w:val="none"/>
        </w:rPr>
        <w:t>电流</w:t>
      </w:r>
      <w:r>
        <w:rPr>
          <w:rFonts w:ascii="宋体" w:hAnsi="宋体" w:eastAsia="宋体" w:cs="宋体"/>
          <w:color w:val="auto"/>
          <w:spacing w:val="-58"/>
          <w:sz w:val="20"/>
          <w:szCs w:val="20"/>
          <w:highlight w:val="none"/>
        </w:rPr>
        <w:t xml:space="preserve"> </w:t>
      </w:r>
      <w:r>
        <w:rPr>
          <w:rFonts w:ascii="宋体" w:hAnsi="宋体" w:eastAsia="宋体" w:cs="宋体"/>
          <w:color w:val="auto"/>
          <w:spacing w:val="8"/>
          <w:sz w:val="20"/>
          <w:szCs w:val="20"/>
          <w:highlight w:val="none"/>
        </w:rPr>
        <w:t>、负序</w:t>
      </w:r>
      <w:r>
        <w:rPr>
          <w:rFonts w:ascii="宋体" w:hAnsi="宋体" w:eastAsia="宋体" w:cs="宋体"/>
          <w:color w:val="auto"/>
          <w:spacing w:val="-46"/>
          <w:sz w:val="20"/>
          <w:szCs w:val="20"/>
          <w:highlight w:val="none"/>
        </w:rPr>
        <w:t xml:space="preserve"> </w:t>
      </w:r>
      <w:r>
        <w:rPr>
          <w:rFonts w:ascii="宋体" w:hAnsi="宋体" w:eastAsia="宋体" w:cs="宋体"/>
          <w:color w:val="auto"/>
          <w:spacing w:val="8"/>
          <w:sz w:val="20"/>
          <w:szCs w:val="20"/>
          <w:highlight w:val="none"/>
        </w:rPr>
        <w:t>电压 1.5</w:t>
      </w:r>
      <w:r>
        <w:rPr>
          <w:rFonts w:ascii="宋体" w:hAnsi="宋体" w:eastAsia="宋体" w:cs="宋体"/>
          <w:color w:val="auto"/>
          <w:spacing w:val="-21"/>
          <w:sz w:val="20"/>
          <w:szCs w:val="20"/>
          <w:highlight w:val="none"/>
        </w:rPr>
        <w:t xml:space="preserve"> </w:t>
      </w:r>
      <w:r>
        <w:rPr>
          <w:rFonts w:ascii="宋体" w:hAnsi="宋体" w:eastAsia="宋体" w:cs="宋体"/>
          <w:color w:val="auto"/>
          <w:spacing w:val="8"/>
          <w:sz w:val="20"/>
          <w:szCs w:val="20"/>
          <w:highlight w:val="none"/>
        </w:rPr>
        <w:t>倍整定值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8"/>
          <w:sz w:val="20"/>
          <w:szCs w:val="20"/>
          <w:highlight w:val="none"/>
        </w:rPr>
        <w:t>、低</w:t>
      </w:r>
      <w:r>
        <w:rPr>
          <w:rFonts w:ascii="宋体" w:hAnsi="宋体" w:eastAsia="宋体" w:cs="宋体"/>
          <w:color w:val="auto"/>
          <w:spacing w:val="-46"/>
          <w:sz w:val="20"/>
          <w:szCs w:val="20"/>
          <w:highlight w:val="none"/>
        </w:rPr>
        <w:t xml:space="preserve"> </w:t>
      </w:r>
      <w:r>
        <w:rPr>
          <w:rFonts w:ascii="宋体" w:hAnsi="宋体" w:eastAsia="宋体" w:cs="宋体"/>
          <w:color w:val="auto"/>
          <w:spacing w:val="8"/>
          <w:sz w:val="20"/>
          <w:szCs w:val="20"/>
          <w:highlight w:val="none"/>
        </w:rPr>
        <w:t>电压</w:t>
      </w:r>
      <w:r>
        <w:rPr>
          <w:rFonts w:ascii="宋体" w:hAnsi="宋体" w:eastAsia="宋体" w:cs="宋体"/>
          <w:color w:val="auto"/>
          <w:spacing w:val="-13"/>
          <w:sz w:val="20"/>
          <w:szCs w:val="20"/>
          <w:highlight w:val="none"/>
        </w:rPr>
        <w:t xml:space="preserve"> </w:t>
      </w:r>
      <w:r>
        <w:rPr>
          <w:rFonts w:ascii="宋体" w:hAnsi="宋体" w:eastAsia="宋体" w:cs="宋体"/>
          <w:color w:val="auto"/>
          <w:spacing w:val="8"/>
          <w:sz w:val="20"/>
          <w:szCs w:val="20"/>
          <w:highlight w:val="none"/>
        </w:rPr>
        <w:t>0.8</w:t>
      </w:r>
      <w:r>
        <w:rPr>
          <w:rFonts w:ascii="宋体" w:hAnsi="宋体" w:eastAsia="宋体" w:cs="宋体"/>
          <w:color w:val="auto"/>
          <w:spacing w:val="-19"/>
          <w:sz w:val="20"/>
          <w:szCs w:val="20"/>
          <w:highlight w:val="none"/>
        </w:rPr>
        <w:t xml:space="preserve"> </w:t>
      </w:r>
      <w:r>
        <w:rPr>
          <w:rFonts w:ascii="宋体" w:hAnsi="宋体" w:eastAsia="宋体" w:cs="宋体"/>
          <w:color w:val="auto"/>
          <w:spacing w:val="8"/>
          <w:sz w:val="20"/>
          <w:szCs w:val="20"/>
          <w:highlight w:val="none"/>
        </w:rPr>
        <w:t>倍整</w:t>
      </w:r>
      <w:r>
        <w:rPr>
          <w:rFonts w:ascii="宋体" w:hAnsi="宋体" w:eastAsia="宋体" w:cs="宋体"/>
          <w:color w:val="auto"/>
          <w:sz w:val="20"/>
          <w:szCs w:val="20"/>
          <w:highlight w:val="none"/>
        </w:rPr>
        <w:t xml:space="preserve"> </w:t>
      </w:r>
      <w:r>
        <w:rPr>
          <w:rFonts w:ascii="宋体" w:hAnsi="宋体" w:eastAsia="宋体" w:cs="宋体"/>
          <w:color w:val="auto"/>
          <w:spacing w:val="14"/>
          <w:sz w:val="20"/>
          <w:szCs w:val="20"/>
          <w:highlight w:val="none"/>
        </w:rPr>
        <w:t>定值时</w:t>
      </w:r>
      <w:r>
        <w:rPr>
          <w:rFonts w:ascii="宋体" w:hAnsi="宋体" w:eastAsia="宋体" w:cs="宋体"/>
          <w:color w:val="auto"/>
          <w:spacing w:val="-40"/>
          <w:sz w:val="20"/>
          <w:szCs w:val="20"/>
          <w:highlight w:val="none"/>
        </w:rPr>
        <w:t>）：</w:t>
      </w:r>
      <w:r>
        <w:rPr>
          <w:rFonts w:ascii="宋体" w:hAnsi="宋体" w:eastAsia="宋体" w:cs="宋体"/>
          <w:color w:val="auto"/>
          <w:spacing w:val="-49"/>
          <w:sz w:val="20"/>
          <w:szCs w:val="20"/>
          <w:highlight w:val="none"/>
        </w:rPr>
        <w:t xml:space="preserve"> </w:t>
      </w:r>
      <w:r>
        <w:rPr>
          <w:rFonts w:ascii="宋体" w:hAnsi="宋体" w:eastAsia="宋体" w:cs="宋体"/>
          <w:color w:val="auto"/>
          <w:spacing w:val="14"/>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4"/>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4"/>
          <w:sz w:val="20"/>
          <w:szCs w:val="20"/>
          <w:highlight w:val="none"/>
        </w:rPr>
        <w:t>。</w:t>
      </w:r>
    </w:p>
    <w:p w14:paraId="2E4E638E">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6"/>
          <w:sz w:val="20"/>
          <w:szCs w:val="20"/>
          <w:highlight w:val="none"/>
        </w:rPr>
        <w:t>高压厂变中性点过流保护</w:t>
      </w:r>
    </w:p>
    <w:p w14:paraId="1136734B">
      <w:pPr>
        <w:spacing w:before="162" w:line="362" w:lineRule="auto"/>
        <w:ind w:left="503" w:right="15" w:firstLine="31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高压厂变中性点的接地故障电流为</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600A（一次侧</w:t>
      </w:r>
      <w:r>
        <w:rPr>
          <w:rFonts w:ascii="宋体" w:hAnsi="宋体" w:eastAsia="宋体" w:cs="宋体"/>
          <w:color w:val="auto"/>
          <w:spacing w:val="-49"/>
          <w:w w:val="93"/>
          <w:sz w:val="20"/>
          <w:szCs w:val="20"/>
          <w:highlight w:val="none"/>
        </w:rPr>
        <w:t>），</w:t>
      </w:r>
      <w:r>
        <w:rPr>
          <w:rFonts w:ascii="宋体" w:hAnsi="宋体" w:eastAsia="宋体" w:cs="宋体"/>
          <w:color w:val="auto"/>
          <w:spacing w:val="7"/>
          <w:sz w:val="20"/>
          <w:szCs w:val="20"/>
          <w:highlight w:val="none"/>
        </w:rPr>
        <w:t>要求各厂用段起动/闭锁快</w:t>
      </w:r>
      <w:r>
        <w:rPr>
          <w:rFonts w:ascii="宋体" w:hAnsi="宋体" w:eastAsia="宋体" w:cs="宋体"/>
          <w:color w:val="auto"/>
          <w:spacing w:val="6"/>
          <w:sz w:val="20"/>
          <w:szCs w:val="20"/>
          <w:highlight w:val="none"/>
        </w:rPr>
        <w:t>切回</w:t>
      </w:r>
      <w:r>
        <w:rPr>
          <w:rFonts w:ascii="宋体" w:hAnsi="宋体" w:eastAsia="宋体" w:cs="宋体"/>
          <w:color w:val="auto"/>
          <w:sz w:val="20"/>
          <w:szCs w:val="20"/>
          <w:highlight w:val="none"/>
        </w:rPr>
        <w:t xml:space="preserve"> </w:t>
      </w:r>
      <w:r>
        <w:rPr>
          <w:rFonts w:ascii="宋体" w:hAnsi="宋体" w:eastAsia="宋体" w:cs="宋体"/>
          <w:color w:val="auto"/>
          <w:spacing w:val="19"/>
          <w:sz w:val="20"/>
          <w:szCs w:val="20"/>
          <w:highlight w:val="none"/>
        </w:rPr>
        <w:t>路可单独整定。其主要功能及技术要求如下：</w:t>
      </w:r>
    </w:p>
    <w:p w14:paraId="6FB3714A">
      <w:pPr>
        <w:spacing w:before="31" w:line="228" w:lineRule="auto"/>
        <w:ind w:left="95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w:t>
      </w:r>
      <w:r>
        <w:rPr>
          <w:rFonts w:ascii="宋体" w:hAnsi="宋体" w:eastAsia="宋体" w:cs="宋体"/>
          <w:color w:val="auto"/>
          <w:spacing w:val="38"/>
          <w:sz w:val="20"/>
          <w:szCs w:val="20"/>
          <w:highlight w:val="none"/>
        </w:rPr>
        <w:t xml:space="preserve"> </w:t>
      </w:r>
      <w:r>
        <w:rPr>
          <w:rFonts w:ascii="宋体" w:hAnsi="宋体" w:eastAsia="宋体" w:cs="宋体"/>
          <w:color w:val="auto"/>
          <w:spacing w:val="9"/>
          <w:sz w:val="20"/>
          <w:szCs w:val="20"/>
          <w:highlight w:val="none"/>
        </w:rPr>
        <w:t>返</w:t>
      </w:r>
      <w:r>
        <w:rPr>
          <w:rFonts w:ascii="宋体" w:hAnsi="宋体" w:eastAsia="宋体" w:cs="宋体"/>
          <w:color w:val="auto"/>
          <w:spacing w:val="-50"/>
          <w:sz w:val="20"/>
          <w:szCs w:val="20"/>
          <w:highlight w:val="none"/>
        </w:rPr>
        <w:t xml:space="preserve"> </w:t>
      </w:r>
      <w:r>
        <w:rPr>
          <w:rFonts w:ascii="宋体" w:hAnsi="宋体" w:eastAsia="宋体" w:cs="宋体"/>
          <w:color w:val="auto"/>
          <w:spacing w:val="9"/>
          <w:sz w:val="20"/>
          <w:szCs w:val="20"/>
          <w:highlight w:val="none"/>
        </w:rPr>
        <w:t>回系数不低于 0.9；</w:t>
      </w:r>
    </w:p>
    <w:p w14:paraId="78A7C943">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14C378B6">
      <w:pPr>
        <w:spacing w:before="164" w:line="228" w:lineRule="auto"/>
        <w:ind w:left="945"/>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2"/>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2"/>
          <w:sz w:val="20"/>
          <w:szCs w:val="20"/>
          <w:highlight w:val="none"/>
        </w:rPr>
        <w:t>间整定</w:t>
      </w:r>
      <w:r>
        <w:rPr>
          <w:rFonts w:ascii="宋体" w:hAnsi="宋体" w:eastAsia="宋体" w:cs="宋体"/>
          <w:color w:val="auto"/>
          <w:spacing w:val="-53"/>
          <w:sz w:val="20"/>
          <w:szCs w:val="20"/>
          <w:highlight w:val="none"/>
        </w:rPr>
        <w:t xml:space="preserve"> </w:t>
      </w:r>
      <w:r>
        <w:rPr>
          <w:rFonts w:ascii="宋体" w:hAnsi="宋体" w:eastAsia="宋体" w:cs="宋体"/>
          <w:color w:val="auto"/>
          <w:spacing w:val="12"/>
          <w:sz w:val="20"/>
          <w:szCs w:val="20"/>
          <w:highlight w:val="none"/>
        </w:rPr>
        <w:t>的准确度（</w:t>
      </w:r>
      <w:r>
        <w:rPr>
          <w:rFonts w:ascii="宋体" w:hAnsi="宋体" w:eastAsia="宋体" w:cs="宋体"/>
          <w:color w:val="auto"/>
          <w:spacing w:val="-27"/>
          <w:sz w:val="20"/>
          <w:szCs w:val="20"/>
          <w:highlight w:val="none"/>
        </w:rPr>
        <w:t xml:space="preserve"> </w:t>
      </w:r>
      <w:r>
        <w:rPr>
          <w:rFonts w:ascii="宋体" w:hAnsi="宋体" w:eastAsia="宋体" w:cs="宋体"/>
          <w:color w:val="auto"/>
          <w:spacing w:val="12"/>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2"/>
          <w:sz w:val="20"/>
          <w:szCs w:val="20"/>
          <w:highlight w:val="none"/>
        </w:rPr>
        <w:t>倍整定值时</w:t>
      </w:r>
      <w:r>
        <w:rPr>
          <w:rFonts w:ascii="宋体" w:hAnsi="宋体" w:eastAsia="宋体" w:cs="宋体"/>
          <w:color w:val="auto"/>
          <w:spacing w:val="-49"/>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2"/>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2"/>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2"/>
          <w:sz w:val="20"/>
          <w:szCs w:val="20"/>
          <w:highlight w:val="none"/>
        </w:rPr>
        <w:t>。</w:t>
      </w:r>
    </w:p>
    <w:p w14:paraId="70B93174">
      <w:pPr>
        <w:spacing w:before="160"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高压厂变过流保护</w:t>
      </w:r>
    </w:p>
    <w:p w14:paraId="65657079">
      <w:pPr>
        <w:spacing w:before="159" w:line="228" w:lineRule="auto"/>
        <w:jc w:val="right"/>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高压厂变过流保护，动作后起动高压厂变通风回路。其主要功能和技术要求如下：</w:t>
      </w:r>
    </w:p>
    <w:p w14:paraId="625BC01F">
      <w:pPr>
        <w:spacing w:before="164" w:line="228" w:lineRule="auto"/>
        <w:ind w:left="95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w:t>
      </w:r>
      <w:r>
        <w:rPr>
          <w:rFonts w:ascii="宋体" w:hAnsi="宋体" w:eastAsia="宋体" w:cs="宋体"/>
          <w:color w:val="auto"/>
          <w:spacing w:val="38"/>
          <w:sz w:val="20"/>
          <w:szCs w:val="20"/>
          <w:highlight w:val="none"/>
        </w:rPr>
        <w:t xml:space="preserve"> </w:t>
      </w:r>
      <w:r>
        <w:rPr>
          <w:rFonts w:ascii="宋体" w:hAnsi="宋体" w:eastAsia="宋体" w:cs="宋体"/>
          <w:color w:val="auto"/>
          <w:spacing w:val="9"/>
          <w:sz w:val="20"/>
          <w:szCs w:val="20"/>
          <w:highlight w:val="none"/>
        </w:rPr>
        <w:t>返</w:t>
      </w:r>
      <w:r>
        <w:rPr>
          <w:rFonts w:ascii="宋体" w:hAnsi="宋体" w:eastAsia="宋体" w:cs="宋体"/>
          <w:color w:val="auto"/>
          <w:spacing w:val="-50"/>
          <w:sz w:val="20"/>
          <w:szCs w:val="20"/>
          <w:highlight w:val="none"/>
        </w:rPr>
        <w:t xml:space="preserve"> </w:t>
      </w:r>
      <w:r>
        <w:rPr>
          <w:rFonts w:ascii="宋体" w:hAnsi="宋体" w:eastAsia="宋体" w:cs="宋体"/>
          <w:color w:val="auto"/>
          <w:spacing w:val="9"/>
          <w:sz w:val="20"/>
          <w:szCs w:val="20"/>
          <w:highlight w:val="none"/>
        </w:rPr>
        <w:t>回系数不小于 0.9；</w:t>
      </w:r>
    </w:p>
    <w:p w14:paraId="6948227F">
      <w:pPr>
        <w:spacing w:line="228" w:lineRule="auto"/>
        <w:rPr>
          <w:rFonts w:ascii="宋体" w:hAnsi="宋体" w:eastAsia="宋体" w:cs="宋体"/>
          <w:color w:val="auto"/>
          <w:sz w:val="20"/>
          <w:szCs w:val="20"/>
          <w:highlight w:val="none"/>
        </w:rPr>
        <w:sectPr>
          <w:pgSz w:w="11906" w:h="16839"/>
          <w:pgMar w:top="1428" w:right="1785" w:bottom="0" w:left="1785" w:header="0" w:footer="0" w:gutter="0"/>
          <w:pgBorders>
            <w:top w:val="none" w:sz="0" w:space="0"/>
            <w:left w:val="none" w:sz="0" w:space="0"/>
            <w:bottom w:val="none" w:sz="0" w:space="0"/>
            <w:right w:val="none" w:sz="0" w:space="0"/>
          </w:pgBorders>
          <w:cols w:space="720" w:num="1"/>
        </w:sectPr>
      </w:pPr>
    </w:p>
    <w:p w14:paraId="25E9DF3C">
      <w:pPr>
        <w:spacing w:before="4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042BB4D7">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3"/>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3"/>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倍整定值时</w:t>
      </w:r>
      <w:r>
        <w:rPr>
          <w:rFonts w:ascii="宋体" w:hAnsi="宋体" w:eastAsia="宋体" w:cs="宋体"/>
          <w:color w:val="auto"/>
          <w:spacing w:val="-54"/>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3"/>
          <w:sz w:val="20"/>
          <w:szCs w:val="20"/>
          <w:highlight w:val="none"/>
        </w:rPr>
        <w:t>。</w:t>
      </w:r>
    </w:p>
    <w:p w14:paraId="230963E6">
      <w:pPr>
        <w:spacing w:before="163"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"3.5.1.6" </w:instrText>
      </w:r>
      <w:r>
        <w:rPr>
          <w:color w:val="auto"/>
          <w:highlight w:val="none"/>
        </w:rPr>
        <w:fldChar w:fldCharType="separate"/>
      </w:r>
      <w:r>
        <w:rPr>
          <w:rFonts w:ascii="宋体" w:hAnsi="宋体" w:eastAsia="宋体" w:cs="宋体"/>
          <w:color w:val="auto"/>
          <w:spacing w:val="8"/>
          <w:sz w:val="20"/>
          <w:szCs w:val="20"/>
          <w:highlight w:val="none"/>
        </w:rPr>
        <w:t>3.5.1.6</w:t>
      </w:r>
      <w:r>
        <w:rPr>
          <w:rFonts w:ascii="宋体" w:hAnsi="宋体" w:eastAsia="宋体" w:cs="宋体"/>
          <w:color w:val="auto"/>
          <w:spacing w:val="8"/>
          <w:sz w:val="20"/>
          <w:szCs w:val="20"/>
          <w:highlight w:val="none"/>
        </w:rPr>
        <w:fldChar w:fldCharType="end"/>
      </w:r>
      <w:r>
        <w:rPr>
          <w:rFonts w:ascii="宋体" w:hAnsi="宋体" w:eastAsia="宋体" w:cs="宋体"/>
          <w:color w:val="auto"/>
          <w:spacing w:val="8"/>
          <w:sz w:val="20"/>
          <w:szCs w:val="20"/>
          <w:highlight w:val="none"/>
        </w:rPr>
        <w:t xml:space="preserve"> 高压厂变本体保护（非电量保护，</w:t>
      </w:r>
      <w:r>
        <w:rPr>
          <w:rFonts w:hint="eastAsia" w:ascii="宋体" w:hAnsi="宋体" w:eastAsia="宋体" w:cs="宋体"/>
          <w:color w:val="auto"/>
          <w:spacing w:val="8"/>
          <w:sz w:val="20"/>
          <w:szCs w:val="20"/>
          <w:highlight w:val="none"/>
          <w:lang w:val="en-US" w:eastAsia="zh-CN"/>
        </w:rPr>
        <w:t>应</w:t>
      </w:r>
      <w:r>
        <w:rPr>
          <w:rFonts w:ascii="宋体" w:hAnsi="宋体" w:eastAsia="宋体" w:cs="宋体"/>
          <w:color w:val="auto"/>
          <w:spacing w:val="8"/>
          <w:sz w:val="20"/>
          <w:szCs w:val="20"/>
          <w:highlight w:val="none"/>
        </w:rPr>
        <w:t>采用微机型装置）</w:t>
      </w:r>
    </w:p>
    <w:p w14:paraId="0762BB14">
      <w:pPr>
        <w:spacing w:before="163" w:line="370" w:lineRule="auto"/>
        <w:ind w:left="450" w:right="42" w:firstLine="423"/>
        <w:jc w:val="both"/>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各种非电量保护应具有投退压板。高压厂变本体保护包括高</w:t>
      </w:r>
      <w:r>
        <w:rPr>
          <w:rFonts w:ascii="宋体" w:hAnsi="宋体" w:eastAsia="宋体" w:cs="宋体"/>
          <w:color w:val="auto"/>
          <w:spacing w:val="6"/>
          <w:sz w:val="20"/>
          <w:szCs w:val="20"/>
          <w:highlight w:val="none"/>
        </w:rPr>
        <w:t>压厂变重瓦斯、有载开</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关重瓦斯、轻瓦斯、压力释放、油位高低、有载开关油位高低、油温过高、冷却系统故</w:t>
      </w:r>
      <w:r>
        <w:rPr>
          <w:rFonts w:ascii="宋体" w:hAnsi="宋体" w:eastAsia="宋体" w:cs="宋体"/>
          <w:color w:val="auto"/>
          <w:spacing w:val="3"/>
          <w:sz w:val="20"/>
          <w:szCs w:val="20"/>
          <w:highlight w:val="none"/>
        </w:rPr>
        <w:t xml:space="preserve"> </w:t>
      </w:r>
      <w:r>
        <w:rPr>
          <w:rFonts w:ascii="宋体" w:hAnsi="宋体" w:eastAsia="宋体" w:cs="宋体"/>
          <w:color w:val="auto"/>
          <w:spacing w:val="11"/>
          <w:sz w:val="20"/>
          <w:szCs w:val="20"/>
          <w:highlight w:val="none"/>
        </w:rPr>
        <w:t>障和冷却器失电等（不限于此</w:t>
      </w:r>
      <w:r>
        <w:rPr>
          <w:rFonts w:ascii="宋体" w:hAnsi="宋体" w:eastAsia="宋体" w:cs="宋体"/>
          <w:color w:val="auto"/>
          <w:spacing w:val="-33"/>
          <w:sz w:val="20"/>
          <w:szCs w:val="20"/>
          <w:highlight w:val="none"/>
        </w:rPr>
        <w:t>），</w:t>
      </w:r>
      <w:r>
        <w:rPr>
          <w:rFonts w:ascii="宋体" w:hAnsi="宋体" w:eastAsia="宋体" w:cs="宋体"/>
          <w:color w:val="auto"/>
          <w:spacing w:val="11"/>
          <w:sz w:val="20"/>
          <w:szCs w:val="20"/>
          <w:highlight w:val="none"/>
        </w:rPr>
        <w:t>并预</w:t>
      </w:r>
      <w:r>
        <w:rPr>
          <w:rFonts w:ascii="宋体" w:hAnsi="宋体" w:eastAsia="宋体" w:cs="宋体"/>
          <w:color w:val="auto"/>
          <w:spacing w:val="-54"/>
          <w:sz w:val="20"/>
          <w:szCs w:val="20"/>
          <w:highlight w:val="none"/>
        </w:rPr>
        <w:t xml:space="preserve"> </w:t>
      </w:r>
      <w:r>
        <w:rPr>
          <w:rFonts w:ascii="宋体" w:hAnsi="宋体" w:eastAsia="宋体" w:cs="宋体"/>
          <w:color w:val="auto"/>
          <w:spacing w:val="11"/>
          <w:sz w:val="20"/>
          <w:szCs w:val="20"/>
          <w:highlight w:val="none"/>
        </w:rPr>
        <w:t>留备用重动继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1"/>
          <w:sz w:val="20"/>
          <w:szCs w:val="20"/>
          <w:highlight w:val="none"/>
        </w:rPr>
        <w:t>电器</w:t>
      </w:r>
      <w:r>
        <w:rPr>
          <w:rFonts w:ascii="宋体" w:hAnsi="宋体" w:eastAsia="宋体" w:cs="宋体"/>
          <w:color w:val="auto"/>
          <w:spacing w:val="-53"/>
          <w:sz w:val="20"/>
          <w:szCs w:val="20"/>
          <w:highlight w:val="none"/>
        </w:rPr>
        <w:t xml:space="preserve"> </w:t>
      </w:r>
      <w:r>
        <w:rPr>
          <w:rFonts w:ascii="宋体" w:hAnsi="宋体" w:eastAsia="宋体" w:cs="宋体"/>
          <w:color w:val="auto"/>
          <w:spacing w:val="11"/>
          <w:sz w:val="20"/>
          <w:szCs w:val="20"/>
          <w:highlight w:val="none"/>
        </w:rPr>
        <w:t>。其主要功能和技术要求如</w:t>
      </w:r>
      <w:r>
        <w:rPr>
          <w:rFonts w:ascii="宋体" w:hAnsi="宋体" w:eastAsia="宋体" w:cs="宋体"/>
          <w:color w:val="auto"/>
          <w:sz w:val="20"/>
          <w:szCs w:val="20"/>
          <w:highlight w:val="none"/>
        </w:rPr>
        <w:t xml:space="preserve"> </w:t>
      </w:r>
      <w:r>
        <w:rPr>
          <w:rFonts w:ascii="宋体" w:hAnsi="宋体" w:eastAsia="宋体" w:cs="宋体"/>
          <w:color w:val="auto"/>
          <w:spacing w:val="-2"/>
          <w:sz w:val="20"/>
          <w:szCs w:val="20"/>
          <w:highlight w:val="none"/>
        </w:rPr>
        <w:t>下：</w:t>
      </w:r>
    </w:p>
    <w:p w14:paraId="5537A29A">
      <w:pPr>
        <w:spacing w:before="29" w:line="302" w:lineRule="auto"/>
        <w:ind w:left="1008" w:right="43" w:hanging="404"/>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1)</w:t>
      </w:r>
      <w:r>
        <w:rPr>
          <w:rFonts w:ascii="宋体" w:hAnsi="宋体" w:eastAsia="宋体" w:cs="宋体"/>
          <w:color w:val="auto"/>
          <w:spacing w:val="-12"/>
          <w:sz w:val="20"/>
          <w:szCs w:val="20"/>
          <w:highlight w:val="none"/>
        </w:rPr>
        <w:t xml:space="preserve"> </w:t>
      </w:r>
      <w:r>
        <w:rPr>
          <w:rFonts w:ascii="宋体" w:hAnsi="宋体" w:eastAsia="宋体" w:cs="宋体"/>
          <w:color w:val="auto"/>
          <w:spacing w:val="12"/>
          <w:sz w:val="20"/>
          <w:szCs w:val="20"/>
          <w:highlight w:val="none"/>
        </w:rPr>
        <w:t>装置的强电开入回路应与装置保护电源隔离；开入回路的启动电压值不大于</w:t>
      </w:r>
      <w:r>
        <w:rPr>
          <w:rFonts w:ascii="宋体" w:hAnsi="宋体" w:eastAsia="宋体" w:cs="宋体"/>
          <w:color w:val="auto"/>
          <w:spacing w:val="-30"/>
          <w:sz w:val="20"/>
          <w:szCs w:val="20"/>
          <w:highlight w:val="none"/>
        </w:rPr>
        <w:t xml:space="preserve"> </w:t>
      </w:r>
      <w:r>
        <w:rPr>
          <w:rFonts w:ascii="宋体" w:hAnsi="宋体" w:eastAsia="宋体" w:cs="宋体"/>
          <w:color w:val="auto"/>
          <w:spacing w:val="12"/>
          <w:sz w:val="20"/>
          <w:szCs w:val="20"/>
          <w:highlight w:val="none"/>
        </w:rPr>
        <w:t>0.7</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倍额定电压值，且不小于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40"/>
          <w:sz w:val="20"/>
          <w:szCs w:val="20"/>
          <w:highlight w:val="none"/>
        </w:rPr>
        <w:t xml:space="preserve"> </w:t>
      </w:r>
      <w:r>
        <w:rPr>
          <w:rFonts w:ascii="宋体" w:hAnsi="宋体" w:eastAsia="宋体" w:cs="宋体"/>
          <w:color w:val="auto"/>
          <w:spacing w:val="7"/>
          <w:sz w:val="20"/>
          <w:szCs w:val="20"/>
          <w:highlight w:val="none"/>
        </w:rPr>
        <w:t>倍额定电压值。动作速度不小于</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7"/>
          <w:sz w:val="20"/>
          <w:szCs w:val="20"/>
          <w:highlight w:val="none"/>
        </w:rPr>
        <w:t>；</w:t>
      </w:r>
    </w:p>
    <w:p w14:paraId="6684C592">
      <w:pPr>
        <w:spacing w:before="162" w:line="303" w:lineRule="auto"/>
        <w:ind w:left="1010" w:right="42" w:hanging="419"/>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1"/>
          <w:sz w:val="20"/>
          <w:szCs w:val="20"/>
          <w:highlight w:val="none"/>
        </w:rPr>
        <w:t>所有涉及直接跳闸的回路应采用启动电压值不大于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0.7</w:t>
      </w:r>
      <w:r>
        <w:rPr>
          <w:rFonts w:ascii="宋体" w:hAnsi="宋体" w:eastAsia="宋体" w:cs="宋体"/>
          <w:color w:val="auto"/>
          <w:spacing w:val="-36"/>
          <w:sz w:val="20"/>
          <w:szCs w:val="20"/>
          <w:highlight w:val="none"/>
        </w:rPr>
        <w:t xml:space="preserve"> </w:t>
      </w:r>
      <w:r>
        <w:rPr>
          <w:rFonts w:ascii="宋体" w:hAnsi="宋体" w:eastAsia="宋体" w:cs="宋体"/>
          <w:color w:val="auto"/>
          <w:spacing w:val="11"/>
          <w:sz w:val="20"/>
          <w:szCs w:val="20"/>
          <w:highlight w:val="none"/>
        </w:rPr>
        <w:t>倍额定电压值，且不小于</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倍额定电压值的中间继电器，并要求启动功率不低于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5W；</w:t>
      </w:r>
    </w:p>
    <w:p w14:paraId="22FB4362">
      <w:pPr>
        <w:spacing w:before="161" w:line="228" w:lineRule="auto"/>
        <w:ind w:left="59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 出口继电器能灵活选择组合，满足不同的</w:t>
      </w:r>
      <w:r>
        <w:rPr>
          <w:rFonts w:ascii="宋体" w:hAnsi="宋体" w:eastAsia="宋体" w:cs="宋体"/>
          <w:color w:val="auto"/>
          <w:spacing w:val="6"/>
          <w:sz w:val="20"/>
          <w:szCs w:val="20"/>
          <w:highlight w:val="none"/>
        </w:rPr>
        <w:t>出口方式。</w:t>
      </w:r>
    </w:p>
    <w:p w14:paraId="26C2A1CF">
      <w:pPr>
        <w:spacing w:before="161" w:line="228"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3.5.2  高压启备变保护</w:t>
      </w:r>
    </w:p>
    <w:p w14:paraId="375182E5">
      <w:pPr>
        <w:spacing w:before="161"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"3.5.2.1" </w:instrText>
      </w:r>
      <w:r>
        <w:rPr>
          <w:color w:val="auto"/>
          <w:highlight w:val="none"/>
        </w:rPr>
        <w:fldChar w:fldCharType="separate"/>
      </w:r>
      <w:r>
        <w:rPr>
          <w:rFonts w:ascii="宋体" w:hAnsi="宋体" w:eastAsia="宋体" w:cs="宋体"/>
          <w:color w:val="auto"/>
          <w:spacing w:val="7"/>
          <w:sz w:val="20"/>
          <w:szCs w:val="20"/>
          <w:highlight w:val="none"/>
        </w:rPr>
        <w:t>3.5.2.1</w:t>
      </w:r>
      <w:r>
        <w:rPr>
          <w:rFonts w:ascii="宋体" w:hAnsi="宋体" w:eastAsia="宋体" w:cs="宋体"/>
          <w:color w:val="auto"/>
          <w:spacing w:val="7"/>
          <w:sz w:val="20"/>
          <w:szCs w:val="20"/>
          <w:highlight w:val="none"/>
        </w:rPr>
        <w:fldChar w:fldCharType="end"/>
      </w:r>
      <w:r>
        <w:rPr>
          <w:rFonts w:ascii="宋体" w:hAnsi="宋体" w:eastAsia="宋体" w:cs="宋体"/>
          <w:color w:val="auto"/>
          <w:spacing w:val="7"/>
          <w:sz w:val="20"/>
          <w:szCs w:val="20"/>
          <w:highlight w:val="none"/>
        </w:rPr>
        <w:t xml:space="preserve"> 微机型高压启备变保护装置</w:t>
      </w:r>
    </w:p>
    <w:p w14:paraId="4AF82F94">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1"/>
          <w:sz w:val="14"/>
          <w:szCs w:val="14"/>
          <w:highlight w:val="none"/>
        </w:rPr>
        <w:t xml:space="preserve"> </w:t>
      </w:r>
      <w:r>
        <w:rPr>
          <w:rFonts w:ascii="宋体" w:hAnsi="宋体" w:eastAsia="宋体" w:cs="宋体"/>
          <w:b/>
          <w:bCs/>
          <w:color w:val="auto"/>
          <w:spacing w:val="5"/>
          <w:sz w:val="20"/>
          <w:szCs w:val="20"/>
          <w:highlight w:val="none"/>
        </w:rPr>
        <w:t>启备变差动保护</w:t>
      </w:r>
    </w:p>
    <w:p w14:paraId="66D6CE3D">
      <w:pPr>
        <w:spacing w:before="159" w:line="364" w:lineRule="auto"/>
        <w:ind w:left="503" w:right="42" w:firstLine="627"/>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保护范围为启备变高压侧断路器至</w:t>
      </w:r>
      <w:r>
        <w:rPr>
          <w:rFonts w:ascii="宋体" w:hAnsi="宋体" w:eastAsia="宋体" w:cs="宋体"/>
          <w:color w:val="auto"/>
          <w:spacing w:val="-32"/>
          <w:sz w:val="20"/>
          <w:szCs w:val="20"/>
          <w:highlight w:val="none"/>
        </w:rPr>
        <w:t xml:space="preserve"> </w:t>
      </w:r>
      <w:r>
        <w:rPr>
          <w:rFonts w:ascii="宋体" w:hAnsi="宋体" w:eastAsia="宋体" w:cs="宋体"/>
          <w:color w:val="auto"/>
          <w:spacing w:val="11"/>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36"/>
          <w:sz w:val="20"/>
          <w:szCs w:val="20"/>
          <w:highlight w:val="none"/>
        </w:rPr>
        <w:t xml:space="preserve"> </w:t>
      </w:r>
      <w:r>
        <w:rPr>
          <w:rFonts w:ascii="宋体" w:hAnsi="宋体" w:eastAsia="宋体" w:cs="宋体"/>
          <w:color w:val="auto"/>
          <w:spacing w:val="11"/>
          <w:sz w:val="20"/>
          <w:szCs w:val="20"/>
          <w:highlight w:val="none"/>
        </w:rPr>
        <w:t>备用进线断路器，差</w:t>
      </w:r>
      <w:r>
        <w:rPr>
          <w:rFonts w:ascii="宋体" w:hAnsi="宋体" w:eastAsia="宋体" w:cs="宋体"/>
          <w:color w:val="auto"/>
          <w:spacing w:val="10"/>
          <w:sz w:val="20"/>
          <w:szCs w:val="20"/>
          <w:highlight w:val="none"/>
        </w:rPr>
        <w:t>动保护应具有以下</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主要功能及技术要求：</w:t>
      </w:r>
    </w:p>
    <w:p w14:paraId="1D467881">
      <w:pPr>
        <w:spacing w:before="30" w:line="302" w:lineRule="auto"/>
        <w:ind w:left="1360" w:right="64" w:hanging="404"/>
        <w:rPr>
          <w:rFonts w:ascii="宋体" w:hAnsi="宋体" w:eastAsia="宋体" w:cs="宋体"/>
          <w:color w:val="auto"/>
          <w:sz w:val="20"/>
          <w:szCs w:val="20"/>
          <w:highlight w:val="none"/>
        </w:rPr>
      </w:pPr>
      <w:r>
        <w:rPr>
          <w:rFonts w:ascii="宋体" w:hAnsi="宋体" w:eastAsia="宋体" w:cs="宋体"/>
          <w:color w:val="auto"/>
          <w:spacing w:val="19"/>
          <w:sz w:val="20"/>
          <w:szCs w:val="20"/>
          <w:highlight w:val="none"/>
        </w:rPr>
        <w:t>1) 应具有防止</w:t>
      </w:r>
      <w:r>
        <w:rPr>
          <w:rFonts w:ascii="宋体" w:hAnsi="宋体" w:eastAsia="宋体" w:cs="宋体"/>
          <w:color w:val="auto"/>
          <w:spacing w:val="-45"/>
          <w:sz w:val="20"/>
          <w:szCs w:val="20"/>
          <w:highlight w:val="none"/>
        </w:rPr>
        <w:t xml:space="preserve"> </w:t>
      </w:r>
      <w:r>
        <w:rPr>
          <w:rFonts w:ascii="宋体" w:hAnsi="宋体" w:eastAsia="宋体" w:cs="宋体"/>
          <w:color w:val="auto"/>
          <w:spacing w:val="19"/>
          <w:sz w:val="20"/>
          <w:szCs w:val="20"/>
          <w:highlight w:val="none"/>
        </w:rPr>
        <w:t>区外故</w:t>
      </w:r>
      <w:r>
        <w:rPr>
          <w:rFonts w:ascii="宋体" w:hAnsi="宋体" w:eastAsia="宋体" w:cs="宋体"/>
          <w:color w:val="auto"/>
          <w:spacing w:val="-59"/>
          <w:sz w:val="20"/>
          <w:szCs w:val="20"/>
          <w:highlight w:val="none"/>
        </w:rPr>
        <w:t xml:space="preserve"> </w:t>
      </w:r>
      <w:r>
        <w:rPr>
          <w:rFonts w:ascii="宋体" w:hAnsi="宋体" w:eastAsia="宋体" w:cs="宋体"/>
          <w:color w:val="auto"/>
          <w:spacing w:val="19"/>
          <w:sz w:val="20"/>
          <w:szCs w:val="20"/>
          <w:highlight w:val="none"/>
        </w:rPr>
        <w:t>障误动</w:t>
      </w:r>
      <w:r>
        <w:rPr>
          <w:rFonts w:ascii="宋体" w:hAnsi="宋体" w:eastAsia="宋体" w:cs="宋体"/>
          <w:color w:val="auto"/>
          <w:spacing w:val="-54"/>
          <w:sz w:val="20"/>
          <w:szCs w:val="20"/>
          <w:highlight w:val="none"/>
        </w:rPr>
        <w:t xml:space="preserve"> </w:t>
      </w:r>
      <w:r>
        <w:rPr>
          <w:rFonts w:ascii="宋体" w:hAnsi="宋体" w:eastAsia="宋体" w:cs="宋体"/>
          <w:color w:val="auto"/>
          <w:spacing w:val="19"/>
          <w:sz w:val="20"/>
          <w:szCs w:val="20"/>
          <w:highlight w:val="none"/>
        </w:rPr>
        <w:t>的谐波制动和</w:t>
      </w:r>
      <w:r>
        <w:rPr>
          <w:rFonts w:ascii="宋体" w:hAnsi="宋体" w:eastAsia="宋体" w:cs="宋体"/>
          <w:color w:val="auto"/>
          <w:spacing w:val="-47"/>
          <w:sz w:val="20"/>
          <w:szCs w:val="20"/>
          <w:highlight w:val="none"/>
        </w:rPr>
        <w:t xml:space="preserve"> </w:t>
      </w:r>
      <w:r>
        <w:rPr>
          <w:rFonts w:ascii="宋体" w:hAnsi="宋体" w:eastAsia="宋体" w:cs="宋体"/>
          <w:color w:val="auto"/>
          <w:spacing w:val="19"/>
          <w:sz w:val="20"/>
          <w:szCs w:val="20"/>
          <w:highlight w:val="none"/>
        </w:rPr>
        <w:t>比率制动特性，防止变压器过激</w:t>
      </w:r>
      <w:r>
        <w:rPr>
          <w:rFonts w:ascii="宋体" w:hAnsi="宋体" w:eastAsia="宋体" w:cs="宋体"/>
          <w:color w:val="auto"/>
          <w:sz w:val="20"/>
          <w:szCs w:val="20"/>
          <w:highlight w:val="none"/>
        </w:rPr>
        <w:t xml:space="preserve"> </w:t>
      </w:r>
      <w:r>
        <w:rPr>
          <w:rFonts w:ascii="宋体" w:hAnsi="宋体" w:eastAsia="宋体" w:cs="宋体"/>
          <w:color w:val="auto"/>
          <w:spacing w:val="17"/>
          <w:sz w:val="20"/>
          <w:szCs w:val="20"/>
          <w:highlight w:val="none"/>
        </w:rPr>
        <w:t>磁时误动；</w:t>
      </w:r>
    </w:p>
    <w:p w14:paraId="5288995B">
      <w:pPr>
        <w:spacing w:before="160" w:line="228" w:lineRule="auto"/>
        <w:ind w:left="943"/>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2)</w:t>
      </w:r>
      <w:r>
        <w:rPr>
          <w:rFonts w:ascii="宋体" w:hAnsi="宋体" w:eastAsia="宋体" w:cs="宋体"/>
          <w:color w:val="auto"/>
          <w:spacing w:val="55"/>
          <w:sz w:val="20"/>
          <w:szCs w:val="20"/>
          <w:highlight w:val="none"/>
        </w:rPr>
        <w:t xml:space="preserve"> </w:t>
      </w:r>
      <w:r>
        <w:rPr>
          <w:rFonts w:ascii="宋体" w:hAnsi="宋体" w:eastAsia="宋体" w:cs="宋体"/>
          <w:color w:val="auto"/>
          <w:spacing w:val="17"/>
          <w:sz w:val="20"/>
          <w:szCs w:val="20"/>
          <w:highlight w:val="none"/>
        </w:rPr>
        <w:t>当</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电流互感器发生断线时</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，可发</w:t>
      </w:r>
      <w:r>
        <w:rPr>
          <w:rFonts w:ascii="宋体" w:hAnsi="宋体" w:eastAsia="宋体" w:cs="宋体"/>
          <w:color w:val="auto"/>
          <w:spacing w:val="-52"/>
          <w:sz w:val="20"/>
          <w:szCs w:val="20"/>
          <w:highlight w:val="none"/>
        </w:rPr>
        <w:t xml:space="preserve"> </w:t>
      </w:r>
      <w:r>
        <w:rPr>
          <w:rFonts w:ascii="宋体" w:hAnsi="宋体" w:eastAsia="宋体" w:cs="宋体"/>
          <w:color w:val="auto"/>
          <w:spacing w:val="17"/>
          <w:sz w:val="20"/>
          <w:szCs w:val="20"/>
          <w:highlight w:val="none"/>
        </w:rPr>
        <w:t>出报警信号；</w:t>
      </w:r>
    </w:p>
    <w:p w14:paraId="180B92EF">
      <w:pPr>
        <w:spacing w:before="164" w:line="228" w:lineRule="auto"/>
        <w:jc w:val="right"/>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在</w:t>
      </w:r>
      <w:r>
        <w:rPr>
          <w:rFonts w:ascii="宋体" w:hAnsi="宋体" w:eastAsia="宋体" w:cs="宋体"/>
          <w:color w:val="auto"/>
          <w:spacing w:val="-50"/>
          <w:sz w:val="20"/>
          <w:szCs w:val="20"/>
          <w:highlight w:val="none"/>
        </w:rPr>
        <w:t xml:space="preserve"> </w:t>
      </w:r>
      <w:r>
        <w:rPr>
          <w:rFonts w:ascii="宋体" w:hAnsi="宋体" w:eastAsia="宋体" w:cs="宋体"/>
          <w:color w:val="auto"/>
          <w:spacing w:val="9"/>
          <w:sz w:val="20"/>
          <w:szCs w:val="20"/>
          <w:highlight w:val="none"/>
        </w:rPr>
        <w:t>同一相上</w:t>
      </w:r>
      <w:r>
        <w:rPr>
          <w:rFonts w:ascii="宋体" w:hAnsi="宋体" w:eastAsia="宋体" w:cs="宋体"/>
          <w:color w:val="auto"/>
          <w:spacing w:val="-52"/>
          <w:sz w:val="20"/>
          <w:szCs w:val="20"/>
          <w:highlight w:val="none"/>
        </w:rPr>
        <w:t xml:space="preserve"> </w:t>
      </w:r>
      <w:r>
        <w:rPr>
          <w:rFonts w:ascii="宋体" w:hAnsi="宋体" w:eastAsia="宋体" w:cs="宋体"/>
          <w:color w:val="auto"/>
          <w:spacing w:val="9"/>
          <w:sz w:val="20"/>
          <w:szCs w:val="20"/>
          <w:highlight w:val="none"/>
        </w:rPr>
        <w:t>出现两</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点接地故</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障</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(一</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w:t>
      </w:r>
      <w:r>
        <w:rPr>
          <w:rFonts w:ascii="宋体" w:hAnsi="宋体" w:eastAsia="宋体" w:cs="宋体"/>
          <w:color w:val="auto"/>
          <w:spacing w:val="-55"/>
          <w:sz w:val="20"/>
          <w:szCs w:val="20"/>
          <w:highlight w:val="none"/>
        </w:rPr>
        <w:t xml:space="preserve"> </w:t>
      </w:r>
      <w:r>
        <w:rPr>
          <w:rFonts w:ascii="宋体" w:hAnsi="宋体" w:eastAsia="宋体" w:cs="宋体"/>
          <w:color w:val="auto"/>
          <w:spacing w:val="9"/>
          <w:sz w:val="20"/>
          <w:szCs w:val="20"/>
          <w:highlight w:val="none"/>
        </w:rPr>
        <w:t>区内</w:t>
      </w:r>
      <w:r>
        <w:rPr>
          <w:rFonts w:ascii="宋体" w:hAnsi="宋体" w:eastAsia="宋体" w:cs="宋体"/>
          <w:color w:val="auto"/>
          <w:spacing w:val="-56"/>
          <w:sz w:val="20"/>
          <w:szCs w:val="20"/>
          <w:highlight w:val="none"/>
        </w:rPr>
        <w:t xml:space="preserve"> </w:t>
      </w:r>
      <w:r>
        <w:rPr>
          <w:rFonts w:ascii="宋体" w:hAnsi="宋体" w:eastAsia="宋体" w:cs="宋体"/>
          <w:color w:val="auto"/>
          <w:spacing w:val="9"/>
          <w:sz w:val="20"/>
          <w:szCs w:val="20"/>
          <w:highlight w:val="none"/>
        </w:rPr>
        <w:t>、一</w:t>
      </w:r>
      <w:r>
        <w:rPr>
          <w:rFonts w:ascii="宋体" w:hAnsi="宋体" w:eastAsia="宋体" w:cs="宋体"/>
          <w:color w:val="auto"/>
          <w:spacing w:val="-60"/>
          <w:sz w:val="20"/>
          <w:szCs w:val="20"/>
          <w:highlight w:val="none"/>
        </w:rPr>
        <w:t xml:space="preserve"> </w:t>
      </w:r>
      <w:r>
        <w:rPr>
          <w:rFonts w:ascii="宋体" w:hAnsi="宋体" w:eastAsia="宋体" w:cs="宋体"/>
          <w:color w:val="auto"/>
          <w:spacing w:val="9"/>
          <w:sz w:val="20"/>
          <w:szCs w:val="20"/>
          <w:highlight w:val="none"/>
        </w:rPr>
        <w:t>点</w:t>
      </w:r>
      <w:r>
        <w:rPr>
          <w:rFonts w:ascii="宋体" w:hAnsi="宋体" w:eastAsia="宋体" w:cs="宋体"/>
          <w:color w:val="auto"/>
          <w:spacing w:val="-55"/>
          <w:sz w:val="20"/>
          <w:szCs w:val="20"/>
          <w:highlight w:val="none"/>
        </w:rPr>
        <w:t xml:space="preserve"> </w:t>
      </w:r>
      <w:r>
        <w:rPr>
          <w:rFonts w:ascii="宋体" w:hAnsi="宋体" w:eastAsia="宋体" w:cs="宋体"/>
          <w:color w:val="auto"/>
          <w:spacing w:val="9"/>
          <w:sz w:val="20"/>
          <w:szCs w:val="20"/>
          <w:highlight w:val="none"/>
        </w:rPr>
        <w:t>区</w:t>
      </w:r>
      <w:r>
        <w:rPr>
          <w:rFonts w:ascii="宋体" w:hAnsi="宋体" w:eastAsia="宋体" w:cs="宋体"/>
          <w:color w:val="auto"/>
          <w:spacing w:val="8"/>
          <w:sz w:val="20"/>
          <w:szCs w:val="20"/>
          <w:highlight w:val="none"/>
        </w:rPr>
        <w:t>外)时</w:t>
      </w:r>
      <w:r>
        <w:rPr>
          <w:rFonts w:ascii="宋体" w:hAnsi="宋体" w:eastAsia="宋体" w:cs="宋体"/>
          <w:color w:val="auto"/>
          <w:spacing w:val="-53"/>
          <w:sz w:val="20"/>
          <w:szCs w:val="20"/>
          <w:highlight w:val="none"/>
        </w:rPr>
        <w:t xml:space="preserve"> </w:t>
      </w:r>
      <w:r>
        <w:rPr>
          <w:rFonts w:ascii="宋体" w:hAnsi="宋体" w:eastAsia="宋体" w:cs="宋体"/>
          <w:color w:val="auto"/>
          <w:spacing w:val="8"/>
          <w:sz w:val="20"/>
          <w:szCs w:val="20"/>
          <w:highlight w:val="none"/>
        </w:rPr>
        <w:t>，可动作</w:t>
      </w:r>
      <w:r>
        <w:rPr>
          <w:rFonts w:ascii="宋体" w:hAnsi="宋体" w:eastAsia="宋体" w:cs="宋体"/>
          <w:color w:val="auto"/>
          <w:spacing w:val="-52"/>
          <w:sz w:val="20"/>
          <w:szCs w:val="20"/>
          <w:highlight w:val="none"/>
        </w:rPr>
        <w:t xml:space="preserve"> </w:t>
      </w:r>
      <w:r>
        <w:rPr>
          <w:rFonts w:ascii="宋体" w:hAnsi="宋体" w:eastAsia="宋体" w:cs="宋体"/>
          <w:color w:val="auto"/>
          <w:spacing w:val="8"/>
          <w:sz w:val="20"/>
          <w:szCs w:val="20"/>
          <w:highlight w:val="none"/>
        </w:rPr>
        <w:t>出口；</w:t>
      </w:r>
    </w:p>
    <w:p w14:paraId="17EC2ACB">
      <w:pPr>
        <w:spacing w:before="161" w:line="225" w:lineRule="auto"/>
        <w:ind w:left="940"/>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4) 应具有高整定值,无制动功能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8"/>
          <w:sz w:val="20"/>
          <w:szCs w:val="20"/>
          <w:highlight w:val="none"/>
        </w:rPr>
        <w:t>的</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电流速断</w:t>
      </w:r>
      <w:r>
        <w:rPr>
          <w:rFonts w:ascii="宋体" w:hAnsi="宋体" w:eastAsia="宋体" w:cs="宋体"/>
          <w:color w:val="auto"/>
          <w:spacing w:val="-54"/>
          <w:sz w:val="20"/>
          <w:szCs w:val="20"/>
          <w:highlight w:val="none"/>
        </w:rPr>
        <w:t xml:space="preserve"> </w:t>
      </w:r>
      <w:r>
        <w:rPr>
          <w:rFonts w:ascii="宋体" w:hAnsi="宋体" w:eastAsia="宋体" w:cs="宋体"/>
          <w:color w:val="auto"/>
          <w:spacing w:val="18"/>
          <w:sz w:val="20"/>
          <w:szCs w:val="20"/>
          <w:highlight w:val="none"/>
        </w:rPr>
        <w:t>，动作</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w:t>
      </w:r>
      <w:r>
        <w:rPr>
          <w:rFonts w:ascii="宋体" w:hAnsi="宋体" w:eastAsia="宋体" w:cs="宋体"/>
          <w:color w:val="auto"/>
          <w:spacing w:val="17"/>
          <w:sz w:val="20"/>
          <w:szCs w:val="20"/>
          <w:highlight w:val="none"/>
        </w:rPr>
        <w:t>流整定范</w:t>
      </w:r>
      <w:r>
        <w:rPr>
          <w:rFonts w:ascii="宋体" w:hAnsi="宋体" w:eastAsia="宋体" w:cs="宋体"/>
          <w:color w:val="auto"/>
          <w:spacing w:val="-51"/>
          <w:sz w:val="20"/>
          <w:szCs w:val="20"/>
          <w:highlight w:val="none"/>
        </w:rPr>
        <w:t xml:space="preserve"> </w:t>
      </w:r>
      <w:r>
        <w:rPr>
          <w:rFonts w:ascii="宋体" w:hAnsi="宋体" w:eastAsia="宋体" w:cs="宋体"/>
          <w:color w:val="auto"/>
          <w:spacing w:val="17"/>
          <w:sz w:val="20"/>
          <w:szCs w:val="20"/>
          <w:highlight w:val="none"/>
        </w:rPr>
        <w:t>围</w:t>
      </w:r>
      <w:r>
        <w:rPr>
          <w:rFonts w:ascii="宋体" w:hAnsi="宋体" w:eastAsia="宋体" w:cs="宋体"/>
          <w:color w:val="auto"/>
          <w:spacing w:val="-11"/>
          <w:sz w:val="20"/>
          <w:szCs w:val="20"/>
          <w:highlight w:val="none"/>
        </w:rPr>
        <w:t xml:space="preserve"> </w:t>
      </w:r>
      <w:r>
        <w:rPr>
          <w:rFonts w:ascii="宋体" w:hAnsi="宋体" w:eastAsia="宋体" w:cs="宋体"/>
          <w:color w:val="auto"/>
          <w:spacing w:val="17"/>
          <w:sz w:val="20"/>
          <w:szCs w:val="20"/>
          <w:highlight w:val="none"/>
        </w:rPr>
        <w:t>5-25</w:t>
      </w:r>
      <w:r>
        <w:rPr>
          <w:rFonts w:ascii="宋体" w:hAnsi="宋体" w:eastAsia="宋体" w:cs="宋体"/>
          <w:color w:val="auto"/>
          <w:sz w:val="20"/>
          <w:szCs w:val="20"/>
          <w:highlight w:val="none"/>
        </w:rPr>
        <w:t>In</w:t>
      </w:r>
      <w:r>
        <w:rPr>
          <w:rFonts w:ascii="宋体" w:hAnsi="宋体" w:eastAsia="宋体" w:cs="宋体"/>
          <w:color w:val="auto"/>
          <w:spacing w:val="17"/>
          <w:sz w:val="20"/>
          <w:szCs w:val="20"/>
          <w:highlight w:val="none"/>
        </w:rPr>
        <w:t>；</w:t>
      </w:r>
    </w:p>
    <w:p w14:paraId="5BC61A36">
      <w:pPr>
        <w:spacing w:before="165" w:line="302" w:lineRule="auto"/>
        <w:ind w:left="1359" w:right="64" w:hanging="414"/>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5)</w:t>
      </w:r>
      <w:r>
        <w:rPr>
          <w:rFonts w:ascii="宋体" w:hAnsi="宋体" w:eastAsia="宋体" w:cs="宋体"/>
          <w:color w:val="auto"/>
          <w:spacing w:val="59"/>
          <w:sz w:val="20"/>
          <w:szCs w:val="20"/>
          <w:highlight w:val="none"/>
        </w:rPr>
        <w:t xml:space="preserve"> </w:t>
      </w:r>
      <w:r>
        <w:rPr>
          <w:rFonts w:ascii="宋体" w:hAnsi="宋体" w:eastAsia="宋体" w:cs="宋体"/>
          <w:color w:val="auto"/>
          <w:spacing w:val="18"/>
          <w:sz w:val="20"/>
          <w:szCs w:val="20"/>
          <w:highlight w:val="none"/>
        </w:rPr>
        <w:t>由于各侧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8"/>
          <w:sz w:val="20"/>
          <w:szCs w:val="20"/>
          <w:highlight w:val="none"/>
        </w:rPr>
        <w:t>电流互感器的变</w:t>
      </w:r>
      <w:r>
        <w:rPr>
          <w:rFonts w:ascii="宋体" w:hAnsi="宋体" w:eastAsia="宋体" w:cs="宋体"/>
          <w:color w:val="auto"/>
          <w:spacing w:val="-48"/>
          <w:sz w:val="20"/>
          <w:szCs w:val="20"/>
          <w:highlight w:val="none"/>
        </w:rPr>
        <w:t xml:space="preserve"> </w:t>
      </w:r>
      <w:r>
        <w:rPr>
          <w:rFonts w:ascii="宋体" w:hAnsi="宋体" w:eastAsia="宋体" w:cs="宋体"/>
          <w:color w:val="auto"/>
          <w:spacing w:val="18"/>
          <w:sz w:val="20"/>
          <w:szCs w:val="20"/>
          <w:highlight w:val="none"/>
        </w:rPr>
        <w:t>比可能不同，应有平衡差动</w:t>
      </w:r>
      <w:r>
        <w:rPr>
          <w:rFonts w:ascii="宋体" w:hAnsi="宋体" w:eastAsia="宋体" w:cs="宋体"/>
          <w:color w:val="auto"/>
          <w:spacing w:val="17"/>
          <w:sz w:val="20"/>
          <w:szCs w:val="20"/>
          <w:highlight w:val="none"/>
        </w:rPr>
        <w:t>保护各侧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7"/>
          <w:sz w:val="20"/>
          <w:szCs w:val="20"/>
          <w:highlight w:val="none"/>
        </w:rPr>
        <w:t>电流</w:t>
      </w:r>
      <w:r>
        <w:rPr>
          <w:rFonts w:ascii="宋体" w:hAnsi="宋体" w:eastAsia="宋体" w:cs="宋体"/>
          <w:color w:val="auto"/>
          <w:spacing w:val="-53"/>
          <w:sz w:val="20"/>
          <w:szCs w:val="20"/>
          <w:highlight w:val="none"/>
        </w:rPr>
        <w:t xml:space="preserve"> </w:t>
      </w:r>
      <w:r>
        <w:rPr>
          <w:rFonts w:ascii="宋体" w:hAnsi="宋体" w:eastAsia="宋体" w:cs="宋体"/>
          <w:color w:val="auto"/>
          <w:spacing w:val="17"/>
          <w:sz w:val="20"/>
          <w:szCs w:val="20"/>
          <w:highlight w:val="none"/>
        </w:rPr>
        <w:t>的措</w:t>
      </w:r>
      <w:r>
        <w:rPr>
          <w:rFonts w:ascii="宋体" w:hAnsi="宋体" w:eastAsia="宋体" w:cs="宋体"/>
          <w:color w:val="auto"/>
          <w:sz w:val="20"/>
          <w:szCs w:val="20"/>
          <w:highlight w:val="none"/>
        </w:rPr>
        <w:t xml:space="preserve"> </w:t>
      </w:r>
      <w:r>
        <w:rPr>
          <w:rFonts w:ascii="宋体" w:hAnsi="宋体" w:eastAsia="宋体" w:cs="宋体"/>
          <w:color w:val="auto"/>
          <w:spacing w:val="15"/>
          <w:sz w:val="20"/>
          <w:szCs w:val="20"/>
          <w:highlight w:val="none"/>
        </w:rPr>
        <w:t>施</w:t>
      </w:r>
      <w:r>
        <w:rPr>
          <w:rFonts w:ascii="宋体" w:hAnsi="宋体" w:eastAsia="宋体" w:cs="宋体"/>
          <w:color w:val="auto"/>
          <w:spacing w:val="-53"/>
          <w:sz w:val="20"/>
          <w:szCs w:val="20"/>
          <w:highlight w:val="none"/>
        </w:rPr>
        <w:t xml:space="preserve"> </w:t>
      </w:r>
      <w:r>
        <w:rPr>
          <w:rFonts w:ascii="宋体" w:hAnsi="宋体" w:eastAsia="宋体" w:cs="宋体"/>
          <w:color w:val="auto"/>
          <w:spacing w:val="15"/>
          <w:sz w:val="20"/>
          <w:szCs w:val="20"/>
          <w:highlight w:val="none"/>
        </w:rPr>
        <w:t>，</w:t>
      </w:r>
      <w:r>
        <w:rPr>
          <w:rFonts w:ascii="宋体" w:hAnsi="宋体" w:eastAsia="宋体" w:cs="宋体"/>
          <w:color w:val="auto"/>
          <w:spacing w:val="-56"/>
          <w:sz w:val="20"/>
          <w:szCs w:val="20"/>
          <w:highlight w:val="none"/>
        </w:rPr>
        <w:t xml:space="preserve"> </w:t>
      </w:r>
      <w:r>
        <w:rPr>
          <w:rFonts w:ascii="宋体" w:hAnsi="宋体" w:eastAsia="宋体" w:cs="宋体"/>
          <w:color w:val="auto"/>
          <w:spacing w:val="15"/>
          <w:sz w:val="20"/>
          <w:szCs w:val="20"/>
          <w:highlight w:val="none"/>
        </w:rPr>
        <w:t>能满足两侧</w:t>
      </w:r>
      <w:r>
        <w:rPr>
          <w:rFonts w:ascii="宋体" w:hAnsi="宋体" w:eastAsia="宋体" w:cs="宋体"/>
          <w:color w:val="auto"/>
          <w:spacing w:val="-46"/>
          <w:sz w:val="20"/>
          <w:szCs w:val="20"/>
          <w:highlight w:val="none"/>
        </w:rPr>
        <w:t xml:space="preserve"> </w:t>
      </w:r>
      <w:r>
        <w:rPr>
          <w:rFonts w:ascii="宋体" w:hAnsi="宋体" w:eastAsia="宋体" w:cs="宋体"/>
          <w:color w:val="auto"/>
          <w:spacing w:val="15"/>
          <w:sz w:val="20"/>
          <w:szCs w:val="20"/>
          <w:highlight w:val="none"/>
        </w:rPr>
        <w:t>电流互感器有 16</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倍差别的调节</w:t>
      </w:r>
      <w:r>
        <w:rPr>
          <w:rFonts w:ascii="宋体" w:hAnsi="宋体" w:eastAsia="宋体" w:cs="宋体"/>
          <w:color w:val="auto"/>
          <w:spacing w:val="14"/>
          <w:sz w:val="20"/>
          <w:szCs w:val="20"/>
          <w:highlight w:val="none"/>
        </w:rPr>
        <w:t>范</w:t>
      </w:r>
      <w:r>
        <w:rPr>
          <w:rFonts w:ascii="宋体" w:hAnsi="宋体" w:eastAsia="宋体" w:cs="宋体"/>
          <w:color w:val="auto"/>
          <w:spacing w:val="-51"/>
          <w:sz w:val="20"/>
          <w:szCs w:val="20"/>
          <w:highlight w:val="none"/>
        </w:rPr>
        <w:t xml:space="preserve"> </w:t>
      </w:r>
      <w:r>
        <w:rPr>
          <w:rFonts w:ascii="宋体" w:hAnsi="宋体" w:eastAsia="宋体" w:cs="宋体"/>
          <w:color w:val="auto"/>
          <w:spacing w:val="14"/>
          <w:sz w:val="20"/>
          <w:szCs w:val="20"/>
          <w:highlight w:val="none"/>
        </w:rPr>
        <w:t>围；</w:t>
      </w:r>
    </w:p>
    <w:p w14:paraId="307854AA">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22"/>
          <w:sz w:val="20"/>
          <w:szCs w:val="20"/>
          <w:highlight w:val="none"/>
        </w:rPr>
        <w:t>6) 变压器差动保护应具有</w:t>
      </w:r>
      <w:r>
        <w:rPr>
          <w:rFonts w:ascii="宋体" w:hAnsi="宋体" w:eastAsia="宋体" w:cs="宋体"/>
          <w:color w:val="auto"/>
          <w:spacing w:val="-45"/>
          <w:sz w:val="20"/>
          <w:szCs w:val="20"/>
          <w:highlight w:val="none"/>
        </w:rPr>
        <w:t xml:space="preserve"> </w:t>
      </w:r>
      <w:r>
        <w:rPr>
          <w:rFonts w:ascii="宋体" w:hAnsi="宋体" w:eastAsia="宋体" w:cs="宋体"/>
          <w:color w:val="auto"/>
          <w:spacing w:val="22"/>
          <w:sz w:val="20"/>
          <w:szCs w:val="20"/>
          <w:highlight w:val="none"/>
        </w:rPr>
        <w:t>穿越故</w:t>
      </w:r>
      <w:r>
        <w:rPr>
          <w:rFonts w:ascii="宋体" w:hAnsi="宋体" w:eastAsia="宋体" w:cs="宋体"/>
          <w:color w:val="auto"/>
          <w:spacing w:val="-60"/>
          <w:sz w:val="20"/>
          <w:szCs w:val="20"/>
          <w:highlight w:val="none"/>
        </w:rPr>
        <w:t xml:space="preserve"> </w:t>
      </w:r>
      <w:r>
        <w:rPr>
          <w:rFonts w:ascii="宋体" w:hAnsi="宋体" w:eastAsia="宋体" w:cs="宋体"/>
          <w:color w:val="auto"/>
          <w:spacing w:val="22"/>
          <w:sz w:val="20"/>
          <w:szCs w:val="20"/>
          <w:highlight w:val="none"/>
        </w:rPr>
        <w:t>障制动输入口；</w:t>
      </w:r>
    </w:p>
    <w:p w14:paraId="68059100">
      <w:pPr>
        <w:spacing w:before="161" w:line="228" w:lineRule="auto"/>
        <w:ind w:left="946"/>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7) 应有</w:t>
      </w:r>
      <w:r>
        <w:rPr>
          <w:rFonts w:ascii="宋体" w:hAnsi="宋体" w:eastAsia="宋体" w:cs="宋体"/>
          <w:color w:val="auto"/>
          <w:spacing w:val="-40"/>
          <w:sz w:val="20"/>
          <w:szCs w:val="20"/>
          <w:highlight w:val="none"/>
        </w:rPr>
        <w:t xml:space="preserve"> </w:t>
      </w:r>
      <w:r>
        <w:rPr>
          <w:rFonts w:ascii="宋体" w:hAnsi="宋体" w:eastAsia="宋体" w:cs="宋体"/>
          <w:color w:val="auto"/>
          <w:spacing w:val="16"/>
          <w:sz w:val="20"/>
          <w:szCs w:val="20"/>
          <w:highlight w:val="none"/>
        </w:rPr>
        <w:t>防止励磁涌流</w:t>
      </w:r>
      <w:r>
        <w:rPr>
          <w:rFonts w:ascii="宋体" w:hAnsi="宋体" w:eastAsia="宋体" w:cs="宋体"/>
          <w:color w:val="auto"/>
          <w:spacing w:val="-55"/>
          <w:sz w:val="20"/>
          <w:szCs w:val="20"/>
          <w:highlight w:val="none"/>
        </w:rPr>
        <w:t xml:space="preserve"> </w:t>
      </w:r>
      <w:r>
        <w:rPr>
          <w:rFonts w:ascii="宋体" w:hAnsi="宋体" w:eastAsia="宋体" w:cs="宋体"/>
          <w:color w:val="auto"/>
          <w:spacing w:val="16"/>
          <w:sz w:val="20"/>
          <w:szCs w:val="20"/>
          <w:highlight w:val="none"/>
        </w:rPr>
        <w:t>引起误动</w:t>
      </w:r>
      <w:r>
        <w:rPr>
          <w:rFonts w:ascii="宋体" w:hAnsi="宋体" w:eastAsia="宋体" w:cs="宋体"/>
          <w:color w:val="auto"/>
          <w:spacing w:val="-53"/>
          <w:sz w:val="20"/>
          <w:szCs w:val="20"/>
          <w:highlight w:val="none"/>
        </w:rPr>
        <w:t xml:space="preserve"> </w:t>
      </w:r>
      <w:r>
        <w:rPr>
          <w:rFonts w:ascii="宋体" w:hAnsi="宋体" w:eastAsia="宋体" w:cs="宋体"/>
          <w:color w:val="auto"/>
          <w:spacing w:val="16"/>
          <w:sz w:val="20"/>
          <w:szCs w:val="20"/>
          <w:highlight w:val="none"/>
        </w:rPr>
        <w:t>的功能；</w:t>
      </w:r>
    </w:p>
    <w:p w14:paraId="36FEA038">
      <w:pPr>
        <w:spacing w:before="164" w:line="228" w:lineRule="auto"/>
        <w:ind w:left="942"/>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8) 动作时间</w:t>
      </w:r>
      <w:r>
        <w:rPr>
          <w:rFonts w:ascii="宋体" w:hAnsi="宋体" w:eastAsia="宋体" w:cs="宋体"/>
          <w:color w:val="auto"/>
          <w:spacing w:val="-34"/>
          <w:sz w:val="20"/>
          <w:szCs w:val="20"/>
          <w:highlight w:val="none"/>
        </w:rPr>
        <w:t xml:space="preserve"> </w:t>
      </w:r>
      <w:r>
        <w:rPr>
          <w:rFonts w:ascii="宋体" w:hAnsi="宋体" w:eastAsia="宋体" w:cs="宋体"/>
          <w:color w:val="auto"/>
          <w:spacing w:val="16"/>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6"/>
          <w:sz w:val="20"/>
          <w:szCs w:val="20"/>
          <w:highlight w:val="none"/>
        </w:rPr>
        <w:t xml:space="preserve">倍整定电流时)不大 </w:t>
      </w:r>
      <w:r>
        <w:rPr>
          <w:rFonts w:ascii="宋体" w:hAnsi="宋体" w:eastAsia="宋体" w:cs="宋体"/>
          <w:color w:val="auto"/>
          <w:spacing w:val="15"/>
          <w:sz w:val="20"/>
          <w:szCs w:val="20"/>
          <w:highlight w:val="none"/>
        </w:rPr>
        <w:t>30</w:t>
      </w:r>
      <w:r>
        <w:rPr>
          <w:rFonts w:ascii="宋体" w:hAnsi="宋体" w:eastAsia="宋体" w:cs="宋体"/>
          <w:color w:val="auto"/>
          <w:sz w:val="20"/>
          <w:szCs w:val="20"/>
          <w:highlight w:val="none"/>
        </w:rPr>
        <w:t>ms</w:t>
      </w:r>
      <w:r>
        <w:rPr>
          <w:rFonts w:ascii="宋体" w:hAnsi="宋体" w:eastAsia="宋体" w:cs="宋体"/>
          <w:color w:val="auto"/>
          <w:spacing w:val="15"/>
          <w:sz w:val="20"/>
          <w:szCs w:val="20"/>
          <w:highlight w:val="none"/>
        </w:rPr>
        <w:t>；</w:t>
      </w:r>
    </w:p>
    <w:p w14:paraId="60EE4B37">
      <w:pPr>
        <w:spacing w:before="160" w:line="228" w:lineRule="auto"/>
        <w:ind w:left="94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9)</w:t>
      </w:r>
      <w:r>
        <w:rPr>
          <w:rFonts w:ascii="宋体" w:hAnsi="宋体" w:eastAsia="宋体" w:cs="宋体"/>
          <w:color w:val="auto"/>
          <w:spacing w:val="34"/>
          <w:sz w:val="20"/>
          <w:szCs w:val="20"/>
          <w:highlight w:val="none"/>
        </w:rPr>
        <w:t xml:space="preserve"> </w:t>
      </w:r>
      <w:r>
        <w:rPr>
          <w:rFonts w:ascii="宋体" w:hAnsi="宋体" w:eastAsia="宋体" w:cs="宋体"/>
          <w:color w:val="auto"/>
          <w:spacing w:val="9"/>
          <w:sz w:val="20"/>
          <w:szCs w:val="20"/>
          <w:highlight w:val="none"/>
        </w:rPr>
        <w:t>动作</w:t>
      </w:r>
      <w:r>
        <w:rPr>
          <w:rFonts w:ascii="宋体" w:hAnsi="宋体" w:eastAsia="宋体" w:cs="宋体"/>
          <w:color w:val="auto"/>
          <w:spacing w:val="-46"/>
          <w:sz w:val="20"/>
          <w:szCs w:val="20"/>
          <w:highlight w:val="none"/>
        </w:rPr>
        <w:t xml:space="preserve"> </w:t>
      </w:r>
      <w:r>
        <w:rPr>
          <w:rFonts w:ascii="宋体" w:hAnsi="宋体" w:eastAsia="宋体" w:cs="宋体"/>
          <w:color w:val="auto"/>
          <w:spacing w:val="9"/>
          <w:sz w:val="20"/>
          <w:szCs w:val="20"/>
          <w:highlight w:val="none"/>
        </w:rPr>
        <w:t>电流</w:t>
      </w:r>
      <w:r>
        <w:rPr>
          <w:rFonts w:ascii="宋体" w:hAnsi="宋体" w:eastAsia="宋体" w:cs="宋体"/>
          <w:color w:val="auto"/>
          <w:spacing w:val="-53"/>
          <w:sz w:val="20"/>
          <w:szCs w:val="20"/>
          <w:highlight w:val="none"/>
        </w:rPr>
        <w:t xml:space="preserve"> </w:t>
      </w:r>
      <w:r>
        <w:rPr>
          <w:rFonts w:ascii="宋体" w:hAnsi="宋体" w:eastAsia="宋体" w:cs="宋体"/>
          <w:color w:val="auto"/>
          <w:spacing w:val="9"/>
          <w:sz w:val="20"/>
          <w:szCs w:val="20"/>
          <w:highlight w:val="none"/>
        </w:rPr>
        <w:t>的整定范</w:t>
      </w:r>
      <w:r>
        <w:rPr>
          <w:rFonts w:ascii="宋体" w:hAnsi="宋体" w:eastAsia="宋体" w:cs="宋体"/>
          <w:color w:val="auto"/>
          <w:spacing w:val="-51"/>
          <w:sz w:val="20"/>
          <w:szCs w:val="20"/>
          <w:highlight w:val="none"/>
        </w:rPr>
        <w:t xml:space="preserve"> </w:t>
      </w:r>
      <w:r>
        <w:rPr>
          <w:rFonts w:ascii="宋体" w:hAnsi="宋体" w:eastAsia="宋体" w:cs="宋体"/>
          <w:color w:val="auto"/>
          <w:spacing w:val="9"/>
          <w:sz w:val="20"/>
          <w:szCs w:val="20"/>
          <w:highlight w:val="none"/>
        </w:rPr>
        <w:t>围应为 0.1～</w:t>
      </w:r>
      <w:r>
        <w:rPr>
          <w:rFonts w:ascii="宋体" w:hAnsi="宋体" w:eastAsia="宋体" w:cs="宋体"/>
          <w:color w:val="auto"/>
          <w:spacing w:val="-57"/>
          <w:sz w:val="20"/>
          <w:szCs w:val="20"/>
          <w:highlight w:val="none"/>
        </w:rPr>
        <w:t xml:space="preserve"> </w:t>
      </w:r>
      <w:r>
        <w:rPr>
          <w:rFonts w:ascii="宋体" w:hAnsi="宋体" w:eastAsia="宋体" w:cs="宋体"/>
          <w:color w:val="auto"/>
          <w:spacing w:val="9"/>
          <w:sz w:val="20"/>
          <w:szCs w:val="20"/>
          <w:highlight w:val="none"/>
        </w:rPr>
        <w:t>1.0</w:t>
      </w:r>
      <w:r>
        <w:rPr>
          <w:rFonts w:ascii="宋体" w:hAnsi="宋体" w:eastAsia="宋体" w:cs="宋体"/>
          <w:color w:val="auto"/>
          <w:spacing w:val="-19"/>
          <w:sz w:val="20"/>
          <w:szCs w:val="20"/>
          <w:highlight w:val="none"/>
        </w:rPr>
        <w:t xml:space="preserve"> </w:t>
      </w:r>
      <w:r>
        <w:rPr>
          <w:rFonts w:ascii="宋体" w:hAnsi="宋体" w:eastAsia="宋体" w:cs="宋体"/>
          <w:color w:val="auto"/>
          <w:spacing w:val="9"/>
          <w:sz w:val="20"/>
          <w:szCs w:val="20"/>
          <w:highlight w:val="none"/>
        </w:rPr>
        <w:t>额</w:t>
      </w:r>
      <w:r>
        <w:rPr>
          <w:rFonts w:ascii="宋体" w:hAnsi="宋体" w:eastAsia="宋体" w:cs="宋体"/>
          <w:color w:val="auto"/>
          <w:spacing w:val="8"/>
          <w:sz w:val="20"/>
          <w:szCs w:val="20"/>
          <w:highlight w:val="none"/>
        </w:rPr>
        <w:t>定</w:t>
      </w:r>
      <w:r>
        <w:rPr>
          <w:rFonts w:ascii="宋体" w:hAnsi="宋体" w:eastAsia="宋体" w:cs="宋体"/>
          <w:color w:val="auto"/>
          <w:spacing w:val="-46"/>
          <w:sz w:val="20"/>
          <w:szCs w:val="20"/>
          <w:highlight w:val="none"/>
        </w:rPr>
        <w:t xml:space="preserve"> </w:t>
      </w:r>
      <w:r>
        <w:rPr>
          <w:rFonts w:ascii="宋体" w:hAnsi="宋体" w:eastAsia="宋体" w:cs="宋体"/>
          <w:color w:val="auto"/>
          <w:spacing w:val="8"/>
          <w:sz w:val="20"/>
          <w:szCs w:val="20"/>
          <w:highlight w:val="none"/>
        </w:rPr>
        <w:t>电流；</w:t>
      </w:r>
    </w:p>
    <w:p w14:paraId="25151D8F">
      <w:pPr>
        <w:spacing w:before="162" w:line="302" w:lineRule="auto"/>
        <w:ind w:left="1361" w:hanging="405"/>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10) 保护动作后跳 500</w:t>
      </w:r>
      <w:r>
        <w:rPr>
          <w:rFonts w:ascii="宋体" w:hAnsi="宋体" w:eastAsia="宋体" w:cs="宋体"/>
          <w:color w:val="auto"/>
          <w:sz w:val="20"/>
          <w:szCs w:val="20"/>
          <w:highlight w:val="none"/>
        </w:rPr>
        <w:t>kV</w:t>
      </w:r>
      <w:r>
        <w:rPr>
          <w:rFonts w:ascii="宋体" w:hAnsi="宋体" w:eastAsia="宋体" w:cs="宋体"/>
          <w:color w:val="auto"/>
          <w:spacing w:val="7"/>
          <w:sz w:val="20"/>
          <w:szCs w:val="20"/>
          <w:highlight w:val="none"/>
        </w:rPr>
        <w:t xml:space="preserve"> </w:t>
      </w:r>
      <w:r>
        <w:rPr>
          <w:rFonts w:ascii="宋体" w:hAnsi="宋体" w:eastAsia="宋体" w:cs="宋体"/>
          <w:color w:val="auto"/>
          <w:spacing w:val="14"/>
          <w:sz w:val="20"/>
          <w:szCs w:val="20"/>
          <w:highlight w:val="none"/>
        </w:rPr>
        <w:t>断路器和</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6</w:t>
      </w:r>
      <w:r>
        <w:rPr>
          <w:rFonts w:ascii="宋体" w:hAnsi="宋体" w:eastAsia="宋体" w:cs="宋体"/>
          <w:color w:val="auto"/>
          <w:sz w:val="20"/>
          <w:szCs w:val="20"/>
          <w:highlight w:val="none"/>
        </w:rPr>
        <w:t>kV</w:t>
      </w:r>
      <w:r>
        <w:rPr>
          <w:rFonts w:ascii="宋体" w:hAnsi="宋体" w:eastAsia="宋体" w:cs="宋体"/>
          <w:color w:val="auto"/>
          <w:spacing w:val="-15"/>
          <w:sz w:val="20"/>
          <w:szCs w:val="20"/>
          <w:highlight w:val="none"/>
        </w:rPr>
        <w:t xml:space="preserve"> </w:t>
      </w:r>
      <w:r>
        <w:rPr>
          <w:rFonts w:ascii="宋体" w:hAnsi="宋体" w:eastAsia="宋体" w:cs="宋体"/>
          <w:color w:val="auto"/>
          <w:spacing w:val="14"/>
          <w:sz w:val="20"/>
          <w:szCs w:val="20"/>
          <w:highlight w:val="none"/>
        </w:rPr>
        <w:t>3A、3B、4A、4B</w:t>
      </w:r>
      <w:r>
        <w:rPr>
          <w:rFonts w:ascii="宋体" w:hAnsi="宋体" w:eastAsia="宋体" w:cs="宋体"/>
          <w:color w:val="auto"/>
          <w:spacing w:val="-22"/>
          <w:sz w:val="20"/>
          <w:szCs w:val="20"/>
          <w:highlight w:val="none"/>
        </w:rPr>
        <w:t xml:space="preserve"> </w:t>
      </w:r>
      <w:r>
        <w:rPr>
          <w:rFonts w:ascii="宋体" w:hAnsi="宋体" w:eastAsia="宋体" w:cs="宋体"/>
          <w:color w:val="auto"/>
          <w:spacing w:val="14"/>
          <w:sz w:val="20"/>
          <w:szCs w:val="20"/>
          <w:highlight w:val="none"/>
        </w:rPr>
        <w:t>段备用进线断路器，</w:t>
      </w:r>
      <w:r>
        <w:rPr>
          <w:rFonts w:ascii="宋体" w:hAnsi="宋体" w:eastAsia="宋体" w:cs="宋体"/>
          <w:color w:val="auto"/>
          <w:sz w:val="20"/>
          <w:szCs w:val="20"/>
          <w:highlight w:val="none"/>
        </w:rPr>
        <w:t xml:space="preserve"> </w:t>
      </w:r>
      <w:r>
        <w:rPr>
          <w:rFonts w:ascii="宋体" w:hAnsi="宋体" w:eastAsia="宋体" w:cs="宋体"/>
          <w:color w:val="auto"/>
          <w:spacing w:val="24"/>
          <w:sz w:val="20"/>
          <w:szCs w:val="20"/>
          <w:highlight w:val="none"/>
        </w:rPr>
        <w:t>起动失灵保护。</w:t>
      </w:r>
    </w:p>
    <w:p w14:paraId="5EDD98C3">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3"/>
          <w:sz w:val="14"/>
          <w:szCs w:val="14"/>
          <w:highlight w:val="none"/>
        </w:rPr>
        <w:t xml:space="preserve"> </w:t>
      </w:r>
      <w:r>
        <w:rPr>
          <w:rFonts w:ascii="宋体" w:hAnsi="宋体" w:eastAsia="宋体" w:cs="宋体"/>
          <w:b/>
          <w:bCs/>
          <w:color w:val="auto"/>
          <w:spacing w:val="5"/>
          <w:sz w:val="20"/>
          <w:szCs w:val="20"/>
          <w:highlight w:val="none"/>
        </w:rPr>
        <w:t>启备变速断保护</w:t>
      </w:r>
    </w:p>
    <w:p w14:paraId="38536AFE">
      <w:pPr>
        <w:spacing w:before="159" w:line="228" w:lineRule="auto"/>
        <w:ind w:left="81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其主要功能和技术要求如下：</w:t>
      </w:r>
    </w:p>
    <w:p w14:paraId="136452DE">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1)</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电流整定值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39"/>
          <w:sz w:val="20"/>
          <w:szCs w:val="20"/>
          <w:highlight w:val="none"/>
        </w:rPr>
        <w:t xml:space="preserve"> </w:t>
      </w:r>
      <w:r>
        <w:rPr>
          <w:rFonts w:ascii="宋体" w:hAnsi="宋体" w:eastAsia="宋体" w:cs="宋体"/>
          <w:color w:val="auto"/>
          <w:spacing w:val="13"/>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3"/>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3"/>
          <w:sz w:val="20"/>
          <w:szCs w:val="20"/>
          <w:highlight w:val="none"/>
        </w:rPr>
        <w:t>；</w:t>
      </w:r>
    </w:p>
    <w:p w14:paraId="587060CC">
      <w:pPr>
        <w:spacing w:before="163" w:line="228" w:lineRule="auto"/>
        <w:ind w:left="943"/>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w:t>
      </w:r>
      <w:r>
        <w:rPr>
          <w:rFonts w:ascii="宋体" w:hAnsi="宋体" w:eastAsia="宋体" w:cs="宋体"/>
          <w:color w:val="auto"/>
          <w:spacing w:val="45"/>
          <w:sz w:val="20"/>
          <w:szCs w:val="20"/>
          <w:highlight w:val="none"/>
        </w:rPr>
        <w:t xml:space="preserve"> </w:t>
      </w:r>
      <w:r>
        <w:rPr>
          <w:rFonts w:ascii="宋体" w:hAnsi="宋体" w:eastAsia="宋体" w:cs="宋体"/>
          <w:color w:val="auto"/>
          <w:spacing w:val="10"/>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0"/>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0"/>
          <w:sz w:val="20"/>
          <w:szCs w:val="20"/>
          <w:highlight w:val="none"/>
        </w:rPr>
        <w:t>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10"/>
          <w:sz w:val="20"/>
          <w:szCs w:val="20"/>
          <w:highlight w:val="none"/>
        </w:rPr>
        <w:t>电流 2</w:t>
      </w:r>
      <w:r>
        <w:rPr>
          <w:rFonts w:ascii="宋体" w:hAnsi="宋体" w:eastAsia="宋体" w:cs="宋体"/>
          <w:color w:val="auto"/>
          <w:spacing w:val="-23"/>
          <w:sz w:val="20"/>
          <w:szCs w:val="20"/>
          <w:highlight w:val="none"/>
        </w:rPr>
        <w:t xml:space="preserve"> </w:t>
      </w:r>
      <w:r>
        <w:rPr>
          <w:rFonts w:ascii="宋体" w:hAnsi="宋体" w:eastAsia="宋体" w:cs="宋体"/>
          <w:color w:val="auto"/>
          <w:spacing w:val="10"/>
          <w:sz w:val="20"/>
          <w:szCs w:val="20"/>
          <w:highlight w:val="none"/>
        </w:rPr>
        <w:t>倍整定值</w:t>
      </w:r>
      <w:r>
        <w:rPr>
          <w:rFonts w:ascii="宋体" w:hAnsi="宋体" w:eastAsia="宋体" w:cs="宋体"/>
          <w:color w:val="auto"/>
          <w:spacing w:val="-51"/>
          <w:sz w:val="20"/>
          <w:szCs w:val="20"/>
          <w:highlight w:val="none"/>
        </w:rPr>
        <w:t>）：</w:t>
      </w:r>
      <w:r>
        <w:rPr>
          <w:rFonts w:ascii="宋体" w:hAnsi="宋体" w:eastAsia="宋体" w:cs="宋体"/>
          <w:color w:val="auto"/>
          <w:spacing w:val="-22"/>
          <w:sz w:val="20"/>
          <w:szCs w:val="20"/>
          <w:highlight w:val="none"/>
        </w:rPr>
        <w:t xml:space="preserve"> </w:t>
      </w:r>
      <w:r>
        <w:rPr>
          <w:rFonts w:ascii="宋体" w:hAnsi="宋体" w:eastAsia="宋体" w:cs="宋体"/>
          <w:color w:val="auto"/>
          <w:spacing w:val="10"/>
          <w:sz w:val="20"/>
          <w:szCs w:val="20"/>
          <w:highlight w:val="none"/>
        </w:rPr>
        <w:t>1%或 30</w:t>
      </w:r>
      <w:r>
        <w:rPr>
          <w:rFonts w:ascii="宋体" w:hAnsi="宋体" w:eastAsia="宋体" w:cs="宋体"/>
          <w:color w:val="auto"/>
          <w:sz w:val="20"/>
          <w:szCs w:val="20"/>
          <w:highlight w:val="none"/>
        </w:rPr>
        <w:t>ms</w:t>
      </w:r>
      <w:r>
        <w:rPr>
          <w:rFonts w:ascii="宋体" w:hAnsi="宋体" w:eastAsia="宋体" w:cs="宋体"/>
          <w:color w:val="auto"/>
          <w:spacing w:val="10"/>
          <w:sz w:val="20"/>
          <w:szCs w:val="20"/>
          <w:highlight w:val="none"/>
        </w:rPr>
        <w:t>。</w:t>
      </w:r>
    </w:p>
    <w:p w14:paraId="78A716A3">
      <w:pPr>
        <w:spacing w:line="228" w:lineRule="auto"/>
        <w:rPr>
          <w:rFonts w:ascii="宋体" w:hAnsi="宋体" w:eastAsia="宋体" w:cs="宋体"/>
          <w:color w:val="auto"/>
          <w:sz w:val="20"/>
          <w:szCs w:val="20"/>
          <w:highlight w:val="none"/>
        </w:rPr>
        <w:sectPr>
          <w:pgSz w:w="11906" w:h="16839"/>
          <w:pgMar w:top="1428" w:right="1756" w:bottom="0" w:left="1785" w:header="0" w:footer="0" w:gutter="0"/>
          <w:pgBorders>
            <w:top w:val="none" w:sz="0" w:space="0"/>
            <w:left w:val="none" w:sz="0" w:space="0"/>
            <w:bottom w:val="none" w:sz="0" w:space="0"/>
            <w:right w:val="none" w:sz="0" w:space="0"/>
          </w:pgBorders>
          <w:cols w:space="720" w:num="1"/>
        </w:sectPr>
      </w:pPr>
    </w:p>
    <w:p w14:paraId="0C077288">
      <w:pPr>
        <w:spacing w:before="4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5"/>
          <w:sz w:val="14"/>
          <w:szCs w:val="14"/>
          <w:highlight w:val="none"/>
        </w:rPr>
        <w:t xml:space="preserve"> </w:t>
      </w:r>
      <w:r>
        <w:rPr>
          <w:rFonts w:ascii="宋体" w:hAnsi="宋体" w:eastAsia="宋体" w:cs="宋体"/>
          <w:b/>
          <w:bCs/>
          <w:color w:val="auto"/>
          <w:spacing w:val="5"/>
          <w:sz w:val="20"/>
          <w:szCs w:val="20"/>
          <w:highlight w:val="none"/>
        </w:rPr>
        <w:t>启备变过激磁保护</w:t>
      </w:r>
    </w:p>
    <w:p w14:paraId="34794E71">
      <w:pPr>
        <w:spacing w:before="158" w:line="368" w:lineRule="auto"/>
        <w:ind w:left="503" w:right="62" w:firstLine="314"/>
        <w:jc w:val="both"/>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过激磁保护变压器过激磁</w:t>
      </w:r>
      <w:r>
        <w:rPr>
          <w:rFonts w:ascii="宋体" w:hAnsi="宋体" w:eastAsia="宋体" w:cs="宋体"/>
          <w:color w:val="auto"/>
          <w:spacing w:val="-45"/>
          <w:sz w:val="20"/>
          <w:szCs w:val="20"/>
          <w:highlight w:val="none"/>
        </w:rPr>
        <w:t xml:space="preserve"> </w:t>
      </w:r>
      <w:r>
        <w:rPr>
          <w:rFonts w:ascii="宋体" w:hAnsi="宋体" w:eastAsia="宋体" w:cs="宋体"/>
          <w:color w:val="auto"/>
          <w:spacing w:val="25"/>
          <w:sz w:val="20"/>
          <w:szCs w:val="20"/>
          <w:highlight w:val="none"/>
        </w:rPr>
        <w:t>，即当电压升高和频率降低时工作磁通密度过高引</w:t>
      </w:r>
      <w:r>
        <w:rPr>
          <w:rFonts w:ascii="宋体" w:hAnsi="宋体" w:eastAsia="宋体" w:cs="宋体"/>
          <w:color w:val="auto"/>
          <w:sz w:val="20"/>
          <w:szCs w:val="20"/>
          <w:highlight w:val="none"/>
        </w:rPr>
        <w:t xml:space="preserve"> </w:t>
      </w:r>
      <w:r>
        <w:rPr>
          <w:rFonts w:ascii="宋体" w:hAnsi="宋体" w:eastAsia="宋体" w:cs="宋体"/>
          <w:color w:val="auto"/>
          <w:spacing w:val="25"/>
          <w:sz w:val="20"/>
          <w:szCs w:val="20"/>
          <w:highlight w:val="none"/>
        </w:rPr>
        <w:t>起绝缘过热老化的保护装置</w:t>
      </w:r>
      <w:r>
        <w:rPr>
          <w:rFonts w:ascii="宋体" w:hAnsi="宋体" w:eastAsia="宋体" w:cs="宋体"/>
          <w:color w:val="auto"/>
          <w:spacing w:val="-44"/>
          <w:sz w:val="20"/>
          <w:szCs w:val="20"/>
          <w:highlight w:val="none"/>
        </w:rPr>
        <w:t xml:space="preserve"> </w:t>
      </w:r>
      <w:r>
        <w:rPr>
          <w:rFonts w:ascii="宋体" w:hAnsi="宋体" w:eastAsia="宋体" w:cs="宋体"/>
          <w:color w:val="auto"/>
          <w:spacing w:val="25"/>
          <w:sz w:val="20"/>
          <w:szCs w:val="20"/>
          <w:highlight w:val="none"/>
        </w:rPr>
        <w:t>。保护装置定时限和反时限两种</w:t>
      </w:r>
      <w:r>
        <w:rPr>
          <w:rFonts w:ascii="宋体" w:hAnsi="宋体" w:eastAsia="宋体" w:cs="宋体"/>
          <w:color w:val="auto"/>
          <w:spacing w:val="-53"/>
          <w:sz w:val="20"/>
          <w:szCs w:val="20"/>
          <w:highlight w:val="none"/>
        </w:rPr>
        <w:t xml:space="preserve"> </w:t>
      </w:r>
      <w:r>
        <w:rPr>
          <w:rFonts w:ascii="宋体" w:hAnsi="宋体" w:eastAsia="宋体" w:cs="宋体"/>
          <w:color w:val="auto"/>
          <w:spacing w:val="25"/>
          <w:sz w:val="20"/>
          <w:szCs w:val="20"/>
          <w:highlight w:val="none"/>
        </w:rPr>
        <w:t>，</w:t>
      </w:r>
      <w:r>
        <w:rPr>
          <w:rFonts w:ascii="宋体" w:hAnsi="宋体" w:eastAsia="宋体" w:cs="宋体"/>
          <w:color w:val="auto"/>
          <w:spacing w:val="-59"/>
          <w:sz w:val="20"/>
          <w:szCs w:val="20"/>
          <w:highlight w:val="none"/>
        </w:rPr>
        <w:t xml:space="preserve"> </w:t>
      </w:r>
      <w:r>
        <w:rPr>
          <w:rFonts w:ascii="宋体" w:hAnsi="宋体" w:eastAsia="宋体" w:cs="宋体"/>
          <w:color w:val="auto"/>
          <w:spacing w:val="25"/>
          <w:sz w:val="20"/>
          <w:szCs w:val="20"/>
          <w:highlight w:val="none"/>
        </w:rPr>
        <w:t>定时限设低定值</w:t>
      </w:r>
      <w:r>
        <w:rPr>
          <w:rFonts w:ascii="宋体" w:hAnsi="宋体" w:eastAsia="宋体" w:cs="宋体"/>
          <w:color w:val="auto"/>
          <w:sz w:val="20"/>
          <w:szCs w:val="20"/>
          <w:highlight w:val="none"/>
        </w:rPr>
        <w:t xml:space="preserve"> </w:t>
      </w:r>
      <w:r>
        <w:rPr>
          <w:rFonts w:ascii="宋体" w:hAnsi="宋体" w:eastAsia="宋体" w:cs="宋体"/>
          <w:color w:val="auto"/>
          <w:spacing w:val="22"/>
          <w:sz w:val="20"/>
          <w:szCs w:val="20"/>
          <w:highlight w:val="none"/>
        </w:rPr>
        <w:t>和高定值两段</w:t>
      </w:r>
      <w:r>
        <w:rPr>
          <w:rFonts w:ascii="宋体" w:hAnsi="宋体" w:eastAsia="宋体" w:cs="宋体"/>
          <w:color w:val="auto"/>
          <w:spacing w:val="-38"/>
          <w:sz w:val="20"/>
          <w:szCs w:val="20"/>
          <w:highlight w:val="none"/>
        </w:rPr>
        <w:t xml:space="preserve"> </w:t>
      </w:r>
      <w:r>
        <w:rPr>
          <w:rFonts w:ascii="宋体" w:hAnsi="宋体" w:eastAsia="宋体" w:cs="宋体"/>
          <w:color w:val="auto"/>
          <w:spacing w:val="22"/>
          <w:sz w:val="20"/>
          <w:szCs w:val="20"/>
          <w:highlight w:val="none"/>
        </w:rPr>
        <w:t>。</w:t>
      </w:r>
      <w:r>
        <w:rPr>
          <w:rFonts w:ascii="宋体" w:hAnsi="宋体" w:eastAsia="宋体" w:cs="宋体"/>
          <w:color w:val="auto"/>
          <w:spacing w:val="61"/>
          <w:sz w:val="20"/>
          <w:szCs w:val="20"/>
          <w:highlight w:val="none"/>
        </w:rPr>
        <w:t xml:space="preserve"> </w:t>
      </w:r>
      <w:r>
        <w:rPr>
          <w:rFonts w:ascii="宋体" w:hAnsi="宋体" w:eastAsia="宋体" w:cs="宋体"/>
          <w:color w:val="auto"/>
          <w:spacing w:val="22"/>
          <w:sz w:val="20"/>
          <w:szCs w:val="20"/>
          <w:highlight w:val="none"/>
        </w:rPr>
        <w:t>其主要功能和技术要求如下：</w:t>
      </w:r>
    </w:p>
    <w:p w14:paraId="667C1E31">
      <w:pPr>
        <w:spacing w:before="31" w:line="302" w:lineRule="auto"/>
        <w:ind w:left="1359" w:right="62" w:hanging="403"/>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1) 保护装置应设有定时限和反时限两个部分，以便同</w:t>
      </w:r>
      <w:r>
        <w:rPr>
          <w:rFonts w:ascii="宋体" w:hAnsi="宋体" w:eastAsia="宋体" w:cs="宋体"/>
          <w:color w:val="auto"/>
          <w:spacing w:val="24"/>
          <w:sz w:val="20"/>
          <w:szCs w:val="20"/>
          <w:highlight w:val="none"/>
        </w:rPr>
        <w:t>变压器的过激磁特性</w:t>
      </w:r>
      <w:r>
        <w:rPr>
          <w:rFonts w:ascii="宋体" w:hAnsi="宋体" w:eastAsia="宋体" w:cs="宋体"/>
          <w:color w:val="auto"/>
          <w:sz w:val="20"/>
          <w:szCs w:val="20"/>
          <w:highlight w:val="none"/>
        </w:rPr>
        <w:t xml:space="preserve"> </w:t>
      </w:r>
      <w:r>
        <w:rPr>
          <w:rFonts w:ascii="宋体" w:hAnsi="宋体" w:eastAsia="宋体" w:cs="宋体"/>
          <w:color w:val="auto"/>
          <w:spacing w:val="18"/>
          <w:sz w:val="20"/>
          <w:szCs w:val="20"/>
          <w:highlight w:val="none"/>
        </w:rPr>
        <w:t>近似匹配；</w:t>
      </w:r>
    </w:p>
    <w:p w14:paraId="3C572923">
      <w:pPr>
        <w:spacing w:before="162" w:line="228" w:lineRule="auto"/>
        <w:ind w:left="943"/>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2) 在变压器出现励磁涌流时保护不应发生误动作；</w:t>
      </w:r>
    </w:p>
    <w:p w14:paraId="159ECCC6">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25"/>
          <w:sz w:val="20"/>
          <w:szCs w:val="20"/>
          <w:highlight w:val="none"/>
        </w:rPr>
        <w:t>3)</w:t>
      </w:r>
      <w:r>
        <w:rPr>
          <w:rFonts w:ascii="宋体" w:hAnsi="宋体" w:eastAsia="宋体" w:cs="宋体"/>
          <w:color w:val="auto"/>
          <w:spacing w:val="47"/>
          <w:sz w:val="20"/>
          <w:szCs w:val="20"/>
          <w:highlight w:val="none"/>
        </w:rPr>
        <w:t xml:space="preserve"> </w:t>
      </w:r>
      <w:r>
        <w:rPr>
          <w:rFonts w:ascii="宋体" w:hAnsi="宋体" w:eastAsia="宋体" w:cs="宋体"/>
          <w:color w:val="auto"/>
          <w:spacing w:val="25"/>
          <w:sz w:val="20"/>
          <w:szCs w:val="20"/>
          <w:highlight w:val="none"/>
        </w:rPr>
        <w:t>当电压互感器回路断线时应闭锁装置并发出报警信</w:t>
      </w:r>
      <w:r>
        <w:rPr>
          <w:rFonts w:ascii="宋体" w:hAnsi="宋体" w:eastAsia="宋体" w:cs="宋体"/>
          <w:color w:val="auto"/>
          <w:spacing w:val="24"/>
          <w:sz w:val="20"/>
          <w:szCs w:val="20"/>
          <w:highlight w:val="none"/>
        </w:rPr>
        <w:t>号；</w:t>
      </w:r>
    </w:p>
    <w:p w14:paraId="19040E62">
      <w:pPr>
        <w:spacing w:before="161" w:line="228" w:lineRule="auto"/>
        <w:ind w:left="940"/>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4) 装置适用频率范围</w:t>
      </w:r>
      <w:r>
        <w:rPr>
          <w:rFonts w:ascii="宋体" w:hAnsi="宋体" w:eastAsia="宋体" w:cs="宋体"/>
          <w:color w:val="auto"/>
          <w:spacing w:val="5"/>
          <w:sz w:val="20"/>
          <w:szCs w:val="20"/>
          <w:highlight w:val="none"/>
        </w:rPr>
        <w:t xml:space="preserve"> </w:t>
      </w:r>
      <w:r>
        <w:rPr>
          <w:rFonts w:ascii="宋体" w:hAnsi="宋体" w:eastAsia="宋体" w:cs="宋体"/>
          <w:color w:val="auto"/>
          <w:spacing w:val="17"/>
          <w:sz w:val="20"/>
          <w:szCs w:val="20"/>
          <w:highlight w:val="none"/>
        </w:rPr>
        <w:t>25</w:t>
      </w:r>
      <w:r>
        <w:rPr>
          <w:rFonts w:ascii="宋体" w:hAnsi="宋体" w:eastAsia="宋体" w:cs="宋体"/>
          <w:color w:val="auto"/>
          <w:sz w:val="20"/>
          <w:szCs w:val="20"/>
          <w:highlight w:val="none"/>
        </w:rPr>
        <w:t>Hz</w:t>
      </w:r>
      <w:r>
        <w:rPr>
          <w:rFonts w:ascii="宋体" w:hAnsi="宋体" w:eastAsia="宋体" w:cs="宋体"/>
          <w:color w:val="auto"/>
          <w:spacing w:val="17"/>
          <w:sz w:val="20"/>
          <w:szCs w:val="20"/>
          <w:highlight w:val="none"/>
        </w:rPr>
        <w:t>～65</w:t>
      </w:r>
      <w:r>
        <w:rPr>
          <w:rFonts w:ascii="宋体" w:hAnsi="宋体" w:eastAsia="宋体" w:cs="宋体"/>
          <w:color w:val="auto"/>
          <w:sz w:val="20"/>
          <w:szCs w:val="20"/>
          <w:highlight w:val="none"/>
        </w:rPr>
        <w:t>Hz</w:t>
      </w:r>
      <w:r>
        <w:rPr>
          <w:rFonts w:ascii="宋体" w:hAnsi="宋体" w:eastAsia="宋体" w:cs="宋体"/>
          <w:color w:val="auto"/>
          <w:spacing w:val="17"/>
          <w:sz w:val="20"/>
          <w:szCs w:val="20"/>
          <w:highlight w:val="none"/>
        </w:rPr>
        <w:t>；</w:t>
      </w:r>
      <w:r>
        <w:rPr>
          <w:rFonts w:ascii="宋体" w:hAnsi="宋体" w:eastAsia="宋体" w:cs="宋体"/>
          <w:color w:val="auto"/>
          <w:spacing w:val="-22"/>
          <w:sz w:val="20"/>
          <w:szCs w:val="20"/>
          <w:highlight w:val="none"/>
        </w:rPr>
        <w:t xml:space="preserve"> </w:t>
      </w:r>
      <w:r>
        <w:rPr>
          <w:rFonts w:ascii="宋体" w:hAnsi="宋体" w:eastAsia="宋体" w:cs="宋体"/>
          <w:color w:val="auto"/>
          <w:spacing w:val="17"/>
          <w:sz w:val="20"/>
          <w:szCs w:val="20"/>
          <w:highlight w:val="none"/>
        </w:rPr>
        <w:t>电压整定范围：</w:t>
      </w:r>
      <w:r>
        <w:rPr>
          <w:rFonts w:ascii="宋体" w:hAnsi="宋体" w:eastAsia="宋体" w:cs="宋体"/>
          <w:color w:val="auto"/>
          <w:spacing w:val="-27"/>
          <w:sz w:val="20"/>
          <w:szCs w:val="20"/>
          <w:highlight w:val="none"/>
        </w:rPr>
        <w:t xml:space="preserve"> </w:t>
      </w:r>
      <w:r>
        <w:rPr>
          <w:rFonts w:ascii="宋体" w:hAnsi="宋体" w:eastAsia="宋体" w:cs="宋体"/>
          <w:color w:val="auto"/>
          <w:spacing w:val="17"/>
          <w:sz w:val="20"/>
          <w:szCs w:val="20"/>
          <w:highlight w:val="none"/>
        </w:rPr>
        <w:t>1.0～</w:t>
      </w:r>
      <w:r>
        <w:rPr>
          <w:rFonts w:ascii="宋体" w:hAnsi="宋体" w:eastAsia="宋体" w:cs="宋体"/>
          <w:color w:val="auto"/>
          <w:spacing w:val="-54"/>
          <w:sz w:val="20"/>
          <w:szCs w:val="20"/>
          <w:highlight w:val="none"/>
        </w:rPr>
        <w:t xml:space="preserve"> </w:t>
      </w:r>
      <w:r>
        <w:rPr>
          <w:rFonts w:ascii="宋体" w:hAnsi="宋体" w:eastAsia="宋体" w:cs="宋体"/>
          <w:color w:val="auto"/>
          <w:spacing w:val="17"/>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7"/>
          <w:sz w:val="20"/>
          <w:szCs w:val="20"/>
          <w:highlight w:val="none"/>
        </w:rPr>
        <w:t>额定电压；</w:t>
      </w:r>
    </w:p>
    <w:p w14:paraId="140AE0F5">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8"/>
          <w:sz w:val="20"/>
          <w:szCs w:val="20"/>
          <w:highlight w:val="none"/>
        </w:rPr>
        <w:t>5) 过激磁返回系数不小于</w:t>
      </w:r>
      <w:r>
        <w:rPr>
          <w:rFonts w:ascii="宋体" w:hAnsi="宋体" w:eastAsia="宋体" w:cs="宋体"/>
          <w:color w:val="auto"/>
          <w:spacing w:val="5"/>
          <w:sz w:val="20"/>
          <w:szCs w:val="20"/>
          <w:highlight w:val="none"/>
        </w:rPr>
        <w:t xml:space="preserve"> </w:t>
      </w:r>
      <w:r>
        <w:rPr>
          <w:rFonts w:ascii="宋体" w:hAnsi="宋体" w:eastAsia="宋体" w:cs="宋体"/>
          <w:color w:val="auto"/>
          <w:spacing w:val="18"/>
          <w:sz w:val="20"/>
          <w:szCs w:val="20"/>
          <w:highlight w:val="none"/>
        </w:rPr>
        <w:t>0.96；</w:t>
      </w:r>
    </w:p>
    <w:p w14:paraId="52DBCAF9">
      <w:pPr>
        <w:spacing w:before="163" w:line="228" w:lineRule="auto"/>
        <w:ind w:left="943"/>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6)</w:t>
      </w:r>
      <w:r>
        <w:rPr>
          <w:rFonts w:ascii="宋体" w:hAnsi="宋体" w:eastAsia="宋体" w:cs="宋体"/>
          <w:color w:val="auto"/>
          <w:spacing w:val="44"/>
          <w:sz w:val="20"/>
          <w:szCs w:val="20"/>
          <w:highlight w:val="none"/>
        </w:rPr>
        <w:t xml:space="preserve"> </w:t>
      </w:r>
      <w:r>
        <w:rPr>
          <w:rFonts w:ascii="宋体" w:hAnsi="宋体" w:eastAsia="宋体" w:cs="宋体"/>
          <w:color w:val="auto"/>
          <w:spacing w:val="15"/>
          <w:sz w:val="20"/>
          <w:szCs w:val="20"/>
          <w:highlight w:val="none"/>
        </w:rPr>
        <w:t>时间整定值的准确度（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5"/>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倍整定值时</w:t>
      </w:r>
      <w:r>
        <w:rPr>
          <w:rFonts w:ascii="宋体" w:hAnsi="宋体" w:eastAsia="宋体" w:cs="宋体"/>
          <w:color w:val="auto"/>
          <w:spacing w:val="-44"/>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5"/>
          <w:sz w:val="20"/>
          <w:szCs w:val="20"/>
          <w:highlight w:val="none"/>
        </w:rPr>
        <w:t>1%</w:t>
      </w:r>
      <w:r>
        <w:rPr>
          <w:rFonts w:ascii="宋体" w:hAnsi="宋体" w:eastAsia="宋体" w:cs="宋体"/>
          <w:color w:val="auto"/>
          <w:spacing w:val="14"/>
          <w:sz w:val="20"/>
          <w:szCs w:val="20"/>
          <w:highlight w:val="none"/>
        </w:rPr>
        <w:t>或 70</w:t>
      </w:r>
      <w:r>
        <w:rPr>
          <w:rFonts w:ascii="宋体" w:hAnsi="宋体" w:eastAsia="宋体" w:cs="宋体"/>
          <w:color w:val="auto"/>
          <w:sz w:val="20"/>
          <w:szCs w:val="20"/>
          <w:highlight w:val="none"/>
        </w:rPr>
        <w:t>ms</w:t>
      </w:r>
      <w:r>
        <w:rPr>
          <w:rFonts w:ascii="宋体" w:hAnsi="宋体" w:eastAsia="宋体" w:cs="宋体"/>
          <w:color w:val="auto"/>
          <w:spacing w:val="14"/>
          <w:sz w:val="20"/>
          <w:szCs w:val="20"/>
          <w:highlight w:val="none"/>
        </w:rPr>
        <w:t>；</w:t>
      </w:r>
    </w:p>
    <w:p w14:paraId="67AB90BF">
      <w:pPr>
        <w:spacing w:before="162" w:line="228" w:lineRule="auto"/>
        <w:ind w:left="946"/>
        <w:rPr>
          <w:rFonts w:ascii="宋体" w:hAnsi="宋体" w:eastAsia="宋体" w:cs="宋体"/>
          <w:color w:val="auto"/>
          <w:sz w:val="20"/>
          <w:szCs w:val="20"/>
          <w:highlight w:val="none"/>
        </w:rPr>
      </w:pPr>
      <w:r>
        <w:rPr>
          <w:rFonts w:ascii="宋体" w:hAnsi="宋体" w:eastAsia="宋体" w:cs="宋体"/>
          <w:color w:val="auto"/>
          <w:spacing w:val="17"/>
          <w:sz w:val="20"/>
          <w:szCs w:val="20"/>
          <w:highlight w:val="none"/>
        </w:rPr>
        <w:t>7) 反时限长延时应可整定到 1000s。</w:t>
      </w:r>
    </w:p>
    <w:p w14:paraId="567D66AF">
      <w:pPr>
        <w:spacing w:before="161"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22"/>
          <w:sz w:val="14"/>
          <w:szCs w:val="14"/>
          <w:highlight w:val="none"/>
        </w:rPr>
        <w:t xml:space="preserve"> </w:t>
      </w:r>
      <w:r>
        <w:rPr>
          <w:rFonts w:ascii="宋体" w:hAnsi="宋体" w:eastAsia="宋体" w:cs="宋体"/>
          <w:b/>
          <w:bCs/>
          <w:color w:val="auto"/>
          <w:spacing w:val="6"/>
          <w:sz w:val="20"/>
          <w:szCs w:val="20"/>
          <w:highlight w:val="none"/>
        </w:rPr>
        <w:t>复合电压闭锁过流保护</w:t>
      </w:r>
    </w:p>
    <w:p w14:paraId="509D50F1">
      <w:pPr>
        <w:spacing w:before="158" w:line="362" w:lineRule="auto"/>
        <w:ind w:left="646" w:right="41" w:firstLine="425"/>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复合电压闭锁信号取自6</w:t>
      </w:r>
      <w:r>
        <w:rPr>
          <w:rFonts w:ascii="宋体" w:hAnsi="宋体" w:eastAsia="宋体" w:cs="宋体"/>
          <w:color w:val="auto"/>
          <w:sz w:val="20"/>
          <w:szCs w:val="20"/>
          <w:highlight w:val="none"/>
        </w:rPr>
        <w:t>kV</w:t>
      </w:r>
      <w:r>
        <w:rPr>
          <w:rFonts w:ascii="宋体" w:hAnsi="宋体" w:eastAsia="宋体" w:cs="宋体"/>
          <w:color w:val="auto"/>
          <w:spacing w:val="-38"/>
          <w:sz w:val="20"/>
          <w:szCs w:val="20"/>
          <w:highlight w:val="none"/>
        </w:rPr>
        <w:t xml:space="preserve"> </w:t>
      </w:r>
      <w:r>
        <w:rPr>
          <w:rFonts w:ascii="宋体" w:hAnsi="宋体" w:eastAsia="宋体" w:cs="宋体"/>
          <w:color w:val="auto"/>
          <w:spacing w:val="11"/>
          <w:sz w:val="20"/>
          <w:szCs w:val="20"/>
          <w:highlight w:val="none"/>
        </w:rPr>
        <w:t>工作进线侧</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PT</w:t>
      </w:r>
      <w:r>
        <w:rPr>
          <w:rFonts w:ascii="宋体" w:hAnsi="宋体" w:eastAsia="宋体" w:cs="宋体"/>
          <w:color w:val="auto"/>
          <w:spacing w:val="-14"/>
          <w:sz w:val="20"/>
          <w:szCs w:val="20"/>
          <w:highlight w:val="none"/>
        </w:rPr>
        <w:t xml:space="preserve"> </w:t>
      </w:r>
      <w:r>
        <w:rPr>
          <w:rFonts w:ascii="宋体" w:hAnsi="宋体" w:eastAsia="宋体" w:cs="宋体"/>
          <w:color w:val="auto"/>
          <w:spacing w:val="11"/>
          <w:sz w:val="20"/>
          <w:szCs w:val="20"/>
          <w:highlight w:val="none"/>
        </w:rPr>
        <w:t>电压回</w:t>
      </w:r>
      <w:r>
        <w:rPr>
          <w:rFonts w:ascii="宋体" w:hAnsi="宋体" w:eastAsia="宋体" w:cs="宋体"/>
          <w:color w:val="auto"/>
          <w:spacing w:val="10"/>
          <w:sz w:val="20"/>
          <w:szCs w:val="20"/>
          <w:highlight w:val="none"/>
        </w:rPr>
        <w:t>路。当电压互感器回路断线时</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应闭锁装置并发出报警信号。其主要功能和技术要求如下：</w:t>
      </w:r>
    </w:p>
    <w:p w14:paraId="1638EBCE">
      <w:pPr>
        <w:spacing w:before="31" w:line="228" w:lineRule="auto"/>
        <w:ind w:left="956"/>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1) 返回系数：</w:t>
      </w:r>
      <w:r>
        <w:rPr>
          <w:rFonts w:ascii="宋体" w:hAnsi="宋体" w:eastAsia="宋体" w:cs="宋体"/>
          <w:color w:val="auto"/>
          <w:spacing w:val="-16"/>
          <w:sz w:val="20"/>
          <w:szCs w:val="20"/>
          <w:highlight w:val="none"/>
        </w:rPr>
        <w:t xml:space="preserve"> </w:t>
      </w:r>
      <w:r>
        <w:rPr>
          <w:rFonts w:ascii="宋体" w:hAnsi="宋体" w:eastAsia="宋体" w:cs="宋体"/>
          <w:color w:val="auto"/>
          <w:spacing w:val="16"/>
          <w:sz w:val="20"/>
          <w:szCs w:val="20"/>
          <w:highlight w:val="none"/>
        </w:rPr>
        <w:t>电流</w:t>
      </w:r>
      <w:r>
        <w:rPr>
          <w:rFonts w:ascii="宋体" w:hAnsi="宋体" w:eastAsia="宋体" w:cs="宋体"/>
          <w:color w:val="auto"/>
          <w:spacing w:val="-55"/>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6"/>
          <w:sz w:val="20"/>
          <w:szCs w:val="20"/>
          <w:highlight w:val="none"/>
        </w:rPr>
        <w:t>负序电压元件不小于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0.9</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，低电压元</w:t>
      </w:r>
      <w:r>
        <w:rPr>
          <w:rFonts w:ascii="宋体" w:hAnsi="宋体" w:eastAsia="宋体" w:cs="宋体"/>
          <w:color w:val="auto"/>
          <w:spacing w:val="15"/>
          <w:sz w:val="20"/>
          <w:szCs w:val="20"/>
          <w:highlight w:val="none"/>
        </w:rPr>
        <w:t>件不大于 1.1；</w:t>
      </w:r>
    </w:p>
    <w:p w14:paraId="25F79FFB">
      <w:pPr>
        <w:spacing w:before="165" w:line="302" w:lineRule="auto"/>
        <w:ind w:left="1361" w:right="153" w:hanging="418"/>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w:t>
      </w:r>
      <w:r>
        <w:rPr>
          <w:rFonts w:ascii="宋体" w:hAnsi="宋体" w:eastAsia="宋体" w:cs="宋体"/>
          <w:color w:val="auto"/>
          <w:spacing w:val="59"/>
          <w:sz w:val="20"/>
          <w:szCs w:val="20"/>
          <w:highlight w:val="none"/>
        </w:rPr>
        <w:t xml:space="preserve"> </w:t>
      </w:r>
      <w:r>
        <w:rPr>
          <w:rFonts w:ascii="宋体" w:hAnsi="宋体" w:eastAsia="宋体" w:cs="宋体"/>
          <w:color w:val="auto"/>
          <w:spacing w:val="16"/>
          <w:sz w:val="20"/>
          <w:szCs w:val="20"/>
          <w:highlight w:val="none"/>
        </w:rPr>
        <w:t>电流整定值</w:t>
      </w:r>
      <w:r>
        <w:rPr>
          <w:rFonts w:ascii="宋体" w:hAnsi="宋体" w:eastAsia="宋体" w:cs="宋体"/>
          <w:color w:val="auto"/>
          <w:spacing w:val="-56"/>
          <w:sz w:val="20"/>
          <w:szCs w:val="20"/>
          <w:highlight w:val="none"/>
        </w:rPr>
        <w:t xml:space="preserve"> </w:t>
      </w:r>
      <w:r>
        <w:rPr>
          <w:rFonts w:ascii="宋体" w:hAnsi="宋体" w:eastAsia="宋体" w:cs="宋体"/>
          <w:color w:val="auto"/>
          <w:spacing w:val="16"/>
          <w:sz w:val="20"/>
          <w:szCs w:val="20"/>
          <w:highlight w:val="none"/>
        </w:rPr>
        <w:t>、</w:t>
      </w:r>
      <w:r>
        <w:rPr>
          <w:rFonts w:ascii="宋体" w:hAnsi="宋体" w:eastAsia="宋体" w:cs="宋体"/>
          <w:color w:val="auto"/>
          <w:spacing w:val="-40"/>
          <w:sz w:val="20"/>
          <w:szCs w:val="20"/>
          <w:highlight w:val="none"/>
        </w:rPr>
        <w:t xml:space="preserve"> </w:t>
      </w:r>
      <w:r>
        <w:rPr>
          <w:rFonts w:ascii="宋体" w:hAnsi="宋体" w:eastAsia="宋体" w:cs="宋体"/>
          <w:color w:val="auto"/>
          <w:spacing w:val="16"/>
          <w:sz w:val="20"/>
          <w:szCs w:val="20"/>
          <w:highlight w:val="none"/>
        </w:rPr>
        <w:t>电压整定值的准确度：</w:t>
      </w:r>
      <w:r>
        <w:rPr>
          <w:rFonts w:ascii="宋体" w:hAnsi="宋体" w:eastAsia="宋体" w:cs="宋体"/>
          <w:color w:val="auto"/>
          <w:spacing w:val="-40"/>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1"/>
          <w:sz w:val="20"/>
          <w:szCs w:val="20"/>
          <w:highlight w:val="none"/>
        </w:rPr>
        <w:t xml:space="preserve"> </w:t>
      </w:r>
      <w:r>
        <w:rPr>
          <w:rFonts w:ascii="宋体" w:hAnsi="宋体" w:eastAsia="宋体" w:cs="宋体"/>
          <w:color w:val="auto"/>
          <w:spacing w:val="16"/>
          <w:sz w:val="20"/>
          <w:szCs w:val="20"/>
          <w:highlight w:val="none"/>
        </w:rPr>
        <w:t>0.</w:t>
      </w:r>
      <w:r>
        <w:rPr>
          <w:rFonts w:ascii="宋体" w:hAnsi="宋体" w:eastAsia="宋体" w:cs="宋体"/>
          <w:color w:val="auto"/>
          <w:spacing w:val="15"/>
          <w:sz w:val="20"/>
          <w:szCs w:val="20"/>
          <w:highlight w:val="none"/>
        </w:rPr>
        <w:t>02</w:t>
      </w:r>
      <w:r>
        <w:rPr>
          <w:rFonts w:ascii="宋体" w:hAnsi="宋体" w:eastAsia="宋体" w:cs="宋体"/>
          <w:color w:val="auto"/>
          <w:sz w:val="20"/>
          <w:szCs w:val="20"/>
          <w:highlight w:val="none"/>
        </w:rPr>
        <w:t>In</w:t>
      </w:r>
      <w:r>
        <w:rPr>
          <w:rFonts w:ascii="宋体" w:hAnsi="宋体" w:eastAsia="宋体" w:cs="宋体"/>
          <w:color w:val="auto"/>
          <w:spacing w:val="15"/>
          <w:sz w:val="20"/>
          <w:szCs w:val="20"/>
          <w:highlight w:val="none"/>
        </w:rPr>
        <w:t>、0.01</w:t>
      </w:r>
      <w:r>
        <w:rPr>
          <w:rFonts w:ascii="宋体" w:hAnsi="宋体" w:eastAsia="宋体" w:cs="宋体"/>
          <w:color w:val="auto"/>
          <w:sz w:val="20"/>
          <w:szCs w:val="20"/>
          <w:highlight w:val="none"/>
        </w:rPr>
        <w:t>Un</w:t>
      </w:r>
      <w:r>
        <w:rPr>
          <w:rFonts w:ascii="宋体" w:hAnsi="宋体" w:eastAsia="宋体" w:cs="宋体"/>
          <w:color w:val="auto"/>
          <w:spacing w:val="-58"/>
          <w:sz w:val="20"/>
          <w:szCs w:val="20"/>
          <w:highlight w:val="none"/>
        </w:rPr>
        <w:t xml:space="preserve"> </w:t>
      </w:r>
      <w:r>
        <w:rPr>
          <w:rFonts w:ascii="宋体" w:hAnsi="宋体" w:eastAsia="宋体" w:cs="宋体"/>
          <w:color w:val="auto"/>
          <w:spacing w:val="15"/>
          <w:sz w:val="20"/>
          <w:szCs w:val="20"/>
          <w:highlight w:val="none"/>
        </w:rPr>
        <w:t>。</w:t>
      </w:r>
      <w:r>
        <w:rPr>
          <w:rFonts w:ascii="宋体" w:hAnsi="宋体" w:eastAsia="宋体" w:cs="宋体"/>
          <w:color w:val="auto"/>
          <w:spacing w:val="-57"/>
          <w:sz w:val="20"/>
          <w:szCs w:val="20"/>
          <w:highlight w:val="none"/>
        </w:rPr>
        <w:t xml:space="preserve"> </w:t>
      </w:r>
      <w:r>
        <w:rPr>
          <w:rFonts w:ascii="宋体" w:hAnsi="宋体" w:eastAsia="宋体" w:cs="宋体"/>
          <w:color w:val="auto"/>
          <w:spacing w:val="15"/>
          <w:sz w:val="20"/>
          <w:szCs w:val="20"/>
          <w:highlight w:val="none"/>
        </w:rPr>
        <w:t>负序电</w:t>
      </w:r>
      <w:r>
        <w:rPr>
          <w:rFonts w:ascii="宋体" w:hAnsi="宋体" w:eastAsia="宋体" w:cs="宋体"/>
          <w:color w:val="auto"/>
          <w:sz w:val="20"/>
          <w:szCs w:val="20"/>
          <w:highlight w:val="none"/>
        </w:rPr>
        <w:t xml:space="preserve"> </w:t>
      </w:r>
      <w:r>
        <w:rPr>
          <w:rFonts w:ascii="宋体" w:hAnsi="宋体" w:eastAsia="宋体" w:cs="宋体"/>
          <w:color w:val="auto"/>
          <w:spacing w:val="16"/>
          <w:sz w:val="20"/>
          <w:szCs w:val="20"/>
          <w:highlight w:val="none"/>
        </w:rPr>
        <w:t>压整定值的准确度：</w:t>
      </w:r>
      <w:r>
        <w:rPr>
          <w:rFonts w:ascii="宋体" w:hAnsi="宋体" w:eastAsia="宋体" w:cs="宋体"/>
          <w:color w:val="auto"/>
          <w:spacing w:val="-36"/>
          <w:sz w:val="20"/>
          <w:szCs w:val="20"/>
          <w:highlight w:val="none"/>
        </w:rPr>
        <w:t xml:space="preserve"> </w:t>
      </w:r>
      <w:r>
        <w:rPr>
          <w:rFonts w:ascii="宋体" w:hAnsi="宋体" w:eastAsia="宋体" w:cs="宋体"/>
          <w:color w:val="auto"/>
          <w:spacing w:val="16"/>
          <w:sz w:val="20"/>
          <w:szCs w:val="20"/>
          <w:highlight w:val="none"/>
        </w:rPr>
        <w:t>5%或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6"/>
          <w:sz w:val="20"/>
          <w:szCs w:val="20"/>
          <w:highlight w:val="none"/>
        </w:rPr>
        <w:t>0.1V；</w:t>
      </w:r>
    </w:p>
    <w:p w14:paraId="35A6A14B">
      <w:pPr>
        <w:spacing w:before="161" w:line="302" w:lineRule="auto"/>
        <w:ind w:left="1365" w:right="62" w:hanging="420"/>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4"/>
          <w:sz w:val="20"/>
          <w:szCs w:val="20"/>
          <w:highlight w:val="none"/>
        </w:rPr>
        <w:t>时间整定值的准确度（</w:t>
      </w:r>
      <w:r>
        <w:rPr>
          <w:rFonts w:ascii="宋体" w:hAnsi="宋体" w:eastAsia="宋体" w:cs="宋体"/>
          <w:color w:val="auto"/>
          <w:spacing w:val="-16"/>
          <w:sz w:val="20"/>
          <w:szCs w:val="20"/>
          <w:highlight w:val="none"/>
        </w:rPr>
        <w:t xml:space="preserve"> </w:t>
      </w:r>
      <w:r>
        <w:rPr>
          <w:rFonts w:ascii="宋体" w:hAnsi="宋体" w:eastAsia="宋体" w:cs="宋体"/>
          <w:color w:val="auto"/>
          <w:spacing w:val="14"/>
          <w:sz w:val="20"/>
          <w:szCs w:val="20"/>
          <w:highlight w:val="none"/>
        </w:rPr>
        <w:t>电流</w:t>
      </w:r>
      <w:r>
        <w:rPr>
          <w:rFonts w:ascii="宋体" w:hAnsi="宋体" w:eastAsia="宋体" w:cs="宋体"/>
          <w:color w:val="auto"/>
          <w:spacing w:val="-58"/>
          <w:sz w:val="20"/>
          <w:szCs w:val="20"/>
          <w:highlight w:val="none"/>
        </w:rPr>
        <w:t xml:space="preserve"> </w:t>
      </w:r>
      <w:r>
        <w:rPr>
          <w:rFonts w:ascii="宋体" w:hAnsi="宋体" w:eastAsia="宋体" w:cs="宋体"/>
          <w:color w:val="auto"/>
          <w:spacing w:val="14"/>
          <w:sz w:val="20"/>
          <w:szCs w:val="20"/>
          <w:highlight w:val="none"/>
        </w:rPr>
        <w:t>、负序电压 1</w:t>
      </w:r>
      <w:r>
        <w:rPr>
          <w:rFonts w:ascii="宋体" w:hAnsi="宋体" w:eastAsia="宋体" w:cs="宋体"/>
          <w:color w:val="auto"/>
          <w:spacing w:val="13"/>
          <w:sz w:val="20"/>
          <w:szCs w:val="20"/>
          <w:highlight w:val="none"/>
        </w:rPr>
        <w:t>.5</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倍整定值</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、低电压</w:t>
      </w:r>
      <w:r>
        <w:rPr>
          <w:rFonts w:ascii="宋体" w:hAnsi="宋体" w:eastAsia="宋体" w:cs="宋体"/>
          <w:color w:val="auto"/>
          <w:spacing w:val="-13"/>
          <w:sz w:val="20"/>
          <w:szCs w:val="20"/>
          <w:highlight w:val="none"/>
        </w:rPr>
        <w:t xml:space="preserve"> </w:t>
      </w:r>
      <w:r>
        <w:rPr>
          <w:rFonts w:ascii="宋体" w:hAnsi="宋体" w:eastAsia="宋体" w:cs="宋体"/>
          <w:color w:val="auto"/>
          <w:spacing w:val="13"/>
          <w:sz w:val="20"/>
          <w:szCs w:val="20"/>
          <w:highlight w:val="none"/>
        </w:rPr>
        <w:t>0.8</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定值时</w:t>
      </w:r>
      <w:r>
        <w:rPr>
          <w:rFonts w:ascii="宋体" w:hAnsi="宋体" w:eastAsia="宋体" w:cs="宋体"/>
          <w:color w:val="auto"/>
          <w:spacing w:val="-27"/>
          <w:sz w:val="20"/>
          <w:szCs w:val="20"/>
          <w:highlight w:val="none"/>
        </w:rPr>
        <w:t>）：</w:t>
      </w:r>
      <w:r>
        <w:rPr>
          <w:rFonts w:ascii="宋体" w:hAnsi="宋体" w:eastAsia="宋体" w:cs="宋体"/>
          <w:color w:val="auto"/>
          <w:spacing w:val="-48"/>
          <w:sz w:val="20"/>
          <w:szCs w:val="20"/>
          <w:highlight w:val="none"/>
        </w:rPr>
        <w:t xml:space="preserve"> </w:t>
      </w:r>
      <w:r>
        <w:rPr>
          <w:rFonts w:ascii="宋体" w:hAnsi="宋体" w:eastAsia="宋体" w:cs="宋体"/>
          <w:color w:val="auto"/>
          <w:spacing w:val="11"/>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1"/>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1"/>
          <w:sz w:val="20"/>
          <w:szCs w:val="20"/>
          <w:highlight w:val="none"/>
        </w:rPr>
        <w:t>。</w:t>
      </w:r>
    </w:p>
    <w:p w14:paraId="6FD5BF5F">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6"/>
          <w:sz w:val="14"/>
          <w:szCs w:val="14"/>
          <w:highlight w:val="none"/>
        </w:rPr>
        <w:t>l</w:t>
      </w:r>
      <w:r>
        <w:rPr>
          <w:rFonts w:ascii="Wingdings" w:hAnsi="Wingdings" w:eastAsia="Wingdings" w:cs="Wingdings"/>
          <w:color w:val="auto"/>
          <w:spacing w:val="122"/>
          <w:sz w:val="14"/>
          <w:szCs w:val="14"/>
          <w:highlight w:val="none"/>
        </w:rPr>
        <w:t xml:space="preserve"> </w:t>
      </w:r>
      <w:r>
        <w:rPr>
          <w:rFonts w:ascii="宋体" w:hAnsi="宋体" w:eastAsia="宋体" w:cs="宋体"/>
          <w:b/>
          <w:bCs/>
          <w:color w:val="auto"/>
          <w:spacing w:val="6"/>
          <w:sz w:val="20"/>
          <w:szCs w:val="20"/>
          <w:highlight w:val="none"/>
        </w:rPr>
        <w:t>启备变高压侧接地保护</w:t>
      </w:r>
    </w:p>
    <w:p w14:paraId="33EBAD9C">
      <w:pPr>
        <w:spacing w:before="159" w:line="228" w:lineRule="auto"/>
        <w:ind w:left="1067"/>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保护启备变高压绕组单相接地故障保护</w:t>
      </w:r>
      <w:r>
        <w:rPr>
          <w:rFonts w:ascii="宋体" w:hAnsi="宋体" w:eastAsia="宋体" w:cs="宋体"/>
          <w:color w:val="auto"/>
          <w:spacing w:val="37"/>
          <w:sz w:val="20"/>
          <w:szCs w:val="20"/>
          <w:highlight w:val="none"/>
        </w:rPr>
        <w:t xml:space="preserve"> </w:t>
      </w:r>
      <w:r>
        <w:rPr>
          <w:rFonts w:ascii="宋体" w:hAnsi="宋体" w:eastAsia="宋体" w:cs="宋体"/>
          <w:color w:val="auto"/>
          <w:spacing w:val="16"/>
          <w:sz w:val="20"/>
          <w:szCs w:val="20"/>
          <w:highlight w:val="none"/>
        </w:rPr>
        <w:t>。其主要功能及技术要求如下：</w:t>
      </w:r>
    </w:p>
    <w:p w14:paraId="1738A3F4">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1)</w:t>
      </w:r>
      <w:r>
        <w:rPr>
          <w:rFonts w:ascii="宋体" w:hAnsi="宋体" w:eastAsia="宋体" w:cs="宋体"/>
          <w:color w:val="auto"/>
          <w:spacing w:val="43"/>
          <w:sz w:val="20"/>
          <w:szCs w:val="20"/>
          <w:highlight w:val="none"/>
        </w:rPr>
        <w:t xml:space="preserve"> </w:t>
      </w:r>
      <w:r>
        <w:rPr>
          <w:rFonts w:ascii="宋体" w:hAnsi="宋体" w:eastAsia="宋体" w:cs="宋体"/>
          <w:color w:val="auto"/>
          <w:spacing w:val="14"/>
          <w:sz w:val="20"/>
          <w:szCs w:val="20"/>
          <w:highlight w:val="none"/>
        </w:rPr>
        <w:t>返回系数不低于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0.9；</w:t>
      </w:r>
    </w:p>
    <w:p w14:paraId="2525406B">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7B24D586">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5"/>
          <w:sz w:val="20"/>
          <w:szCs w:val="20"/>
          <w:highlight w:val="none"/>
        </w:rPr>
        <w:t>时间整定的准确度（</w:t>
      </w:r>
      <w:r>
        <w:rPr>
          <w:rFonts w:ascii="宋体" w:hAnsi="宋体" w:eastAsia="宋体" w:cs="宋体"/>
          <w:color w:val="auto"/>
          <w:spacing w:val="-27"/>
          <w:sz w:val="20"/>
          <w:szCs w:val="20"/>
          <w:highlight w:val="none"/>
        </w:rPr>
        <w:t xml:space="preserve"> </w:t>
      </w:r>
      <w:r>
        <w:rPr>
          <w:rFonts w:ascii="宋体" w:hAnsi="宋体" w:eastAsia="宋体" w:cs="宋体"/>
          <w:color w:val="auto"/>
          <w:spacing w:val="15"/>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倍整定值时</w:t>
      </w:r>
      <w:r>
        <w:rPr>
          <w:rFonts w:ascii="宋体" w:hAnsi="宋体" w:eastAsia="宋体" w:cs="宋体"/>
          <w:color w:val="auto"/>
          <w:spacing w:val="-40"/>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5"/>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5"/>
          <w:sz w:val="20"/>
          <w:szCs w:val="20"/>
          <w:highlight w:val="none"/>
        </w:rPr>
        <w:t>。</w:t>
      </w:r>
    </w:p>
    <w:p w14:paraId="48D15AF1">
      <w:pPr>
        <w:spacing w:before="162"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2"/>
          <w:sz w:val="14"/>
          <w:szCs w:val="14"/>
          <w:highlight w:val="none"/>
        </w:rPr>
        <w:t xml:space="preserve"> </w:t>
      </w:r>
      <w:r>
        <w:rPr>
          <w:rFonts w:ascii="宋体" w:hAnsi="宋体" w:eastAsia="宋体" w:cs="宋体"/>
          <w:b/>
          <w:bCs/>
          <w:color w:val="auto"/>
          <w:spacing w:val="5"/>
          <w:sz w:val="20"/>
          <w:szCs w:val="20"/>
          <w:highlight w:val="none"/>
        </w:rPr>
        <w:t>启备变中性点</w:t>
      </w:r>
      <w:r>
        <w:rPr>
          <w:rFonts w:ascii="宋体" w:hAnsi="宋体" w:eastAsia="宋体" w:cs="宋体"/>
          <w:color w:val="auto"/>
          <w:spacing w:val="-45"/>
          <w:sz w:val="20"/>
          <w:szCs w:val="20"/>
          <w:highlight w:val="none"/>
        </w:rPr>
        <w:t xml:space="preserve"> </w:t>
      </w:r>
      <w:r>
        <w:rPr>
          <w:rFonts w:ascii="宋体" w:hAnsi="宋体" w:eastAsia="宋体" w:cs="宋体"/>
          <w:b/>
          <w:bCs/>
          <w:color w:val="auto"/>
          <w:spacing w:val="5"/>
          <w:sz w:val="20"/>
          <w:szCs w:val="20"/>
          <w:highlight w:val="none"/>
        </w:rPr>
        <w:t>A、B</w:t>
      </w:r>
      <w:r>
        <w:rPr>
          <w:rFonts w:ascii="宋体" w:hAnsi="宋体" w:eastAsia="宋体" w:cs="宋体"/>
          <w:color w:val="auto"/>
          <w:spacing w:val="-37"/>
          <w:sz w:val="20"/>
          <w:szCs w:val="20"/>
          <w:highlight w:val="none"/>
        </w:rPr>
        <w:t xml:space="preserve"> </w:t>
      </w:r>
      <w:r>
        <w:rPr>
          <w:rFonts w:ascii="宋体" w:hAnsi="宋体" w:eastAsia="宋体" w:cs="宋体"/>
          <w:b/>
          <w:bCs/>
          <w:color w:val="auto"/>
          <w:spacing w:val="5"/>
          <w:sz w:val="20"/>
          <w:szCs w:val="20"/>
          <w:highlight w:val="none"/>
        </w:rPr>
        <w:t>过流保护</w:t>
      </w:r>
    </w:p>
    <w:p w14:paraId="10120AEC">
      <w:pPr>
        <w:spacing w:before="161" w:line="228" w:lineRule="auto"/>
        <w:jc w:val="right"/>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启备变中性点的接地故障电流为</w:t>
      </w:r>
      <w:r>
        <w:rPr>
          <w:rFonts w:ascii="宋体" w:hAnsi="宋体" w:eastAsia="宋体" w:cs="宋体"/>
          <w:color w:val="auto"/>
          <w:spacing w:val="-32"/>
          <w:sz w:val="20"/>
          <w:szCs w:val="20"/>
          <w:highlight w:val="none"/>
        </w:rPr>
        <w:t xml:space="preserve"> </w:t>
      </w:r>
      <w:r>
        <w:rPr>
          <w:rFonts w:ascii="宋体" w:hAnsi="宋体" w:eastAsia="宋体" w:cs="宋体"/>
          <w:color w:val="auto"/>
          <w:spacing w:val="6"/>
          <w:sz w:val="20"/>
          <w:szCs w:val="20"/>
          <w:highlight w:val="none"/>
        </w:rPr>
        <w:t>600A（一次侧）。其主要功能及技术要求如下：</w:t>
      </w:r>
    </w:p>
    <w:p w14:paraId="5FF7D037">
      <w:pPr>
        <w:spacing w:before="161" w:line="228" w:lineRule="auto"/>
        <w:ind w:left="956"/>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1)</w:t>
      </w:r>
      <w:r>
        <w:rPr>
          <w:rFonts w:ascii="宋体" w:hAnsi="宋体" w:eastAsia="宋体" w:cs="宋体"/>
          <w:color w:val="auto"/>
          <w:spacing w:val="43"/>
          <w:sz w:val="20"/>
          <w:szCs w:val="20"/>
          <w:highlight w:val="none"/>
        </w:rPr>
        <w:t xml:space="preserve"> </w:t>
      </w:r>
      <w:r>
        <w:rPr>
          <w:rFonts w:ascii="宋体" w:hAnsi="宋体" w:eastAsia="宋体" w:cs="宋体"/>
          <w:color w:val="auto"/>
          <w:spacing w:val="14"/>
          <w:sz w:val="20"/>
          <w:szCs w:val="20"/>
          <w:highlight w:val="none"/>
        </w:rPr>
        <w:t>返回系数不低于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0.9；</w:t>
      </w:r>
    </w:p>
    <w:p w14:paraId="52FD6B2C">
      <w:pPr>
        <w:spacing w:before="16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0C21A9F4">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5"/>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5"/>
          <w:sz w:val="20"/>
          <w:szCs w:val="20"/>
          <w:highlight w:val="none"/>
        </w:rPr>
        <w:t>时间整定的准确度（</w:t>
      </w:r>
      <w:r>
        <w:rPr>
          <w:rFonts w:ascii="宋体" w:hAnsi="宋体" w:eastAsia="宋体" w:cs="宋体"/>
          <w:color w:val="auto"/>
          <w:spacing w:val="-27"/>
          <w:sz w:val="20"/>
          <w:szCs w:val="20"/>
          <w:highlight w:val="none"/>
        </w:rPr>
        <w:t xml:space="preserve"> </w:t>
      </w:r>
      <w:r>
        <w:rPr>
          <w:rFonts w:ascii="宋体" w:hAnsi="宋体" w:eastAsia="宋体" w:cs="宋体"/>
          <w:color w:val="auto"/>
          <w:spacing w:val="15"/>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5"/>
          <w:sz w:val="20"/>
          <w:szCs w:val="20"/>
          <w:highlight w:val="none"/>
        </w:rPr>
        <w:t>倍整定值时</w:t>
      </w:r>
      <w:r>
        <w:rPr>
          <w:rFonts w:ascii="宋体" w:hAnsi="宋体" w:eastAsia="宋体" w:cs="宋体"/>
          <w:color w:val="auto"/>
          <w:spacing w:val="-40"/>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5"/>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5"/>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5"/>
          <w:sz w:val="20"/>
          <w:szCs w:val="20"/>
          <w:highlight w:val="none"/>
        </w:rPr>
        <w:t>。</w:t>
      </w:r>
    </w:p>
    <w:p w14:paraId="36E80717">
      <w:pPr>
        <w:spacing w:before="163" w:line="230" w:lineRule="auto"/>
        <w:ind w:left="593"/>
        <w:rPr>
          <w:rFonts w:ascii="宋体" w:hAnsi="宋体" w:eastAsia="宋体" w:cs="宋体"/>
          <w:color w:val="auto"/>
          <w:sz w:val="20"/>
          <w:szCs w:val="20"/>
          <w:highlight w:val="none"/>
        </w:rPr>
      </w:pPr>
      <w:r>
        <w:rPr>
          <w:rFonts w:ascii="Wingdings" w:hAnsi="Wingdings" w:eastAsia="Wingdings" w:cs="Wingdings"/>
          <w:color w:val="auto"/>
          <w:spacing w:val="5"/>
          <w:sz w:val="14"/>
          <w:szCs w:val="14"/>
          <w:highlight w:val="none"/>
        </w:rPr>
        <w:t>l</w:t>
      </w:r>
      <w:r>
        <w:rPr>
          <w:rFonts w:ascii="Wingdings" w:hAnsi="Wingdings" w:eastAsia="Wingdings" w:cs="Wingdings"/>
          <w:color w:val="auto"/>
          <w:spacing w:val="129"/>
          <w:sz w:val="14"/>
          <w:szCs w:val="14"/>
          <w:highlight w:val="none"/>
        </w:rPr>
        <w:t xml:space="preserve"> </w:t>
      </w:r>
      <w:r>
        <w:rPr>
          <w:rFonts w:ascii="宋体" w:hAnsi="宋体" w:eastAsia="宋体" w:cs="宋体"/>
          <w:b/>
          <w:bCs/>
          <w:color w:val="auto"/>
          <w:spacing w:val="5"/>
          <w:sz w:val="20"/>
          <w:szCs w:val="20"/>
          <w:highlight w:val="none"/>
        </w:rPr>
        <w:t>高压启备变过流保护</w:t>
      </w:r>
    </w:p>
    <w:p w14:paraId="551F986C">
      <w:pPr>
        <w:spacing w:before="160" w:line="362" w:lineRule="auto"/>
        <w:ind w:left="649" w:right="43" w:firstLine="42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高压启备变过流保护，动作后起动高压启备变通风回路。其主要功能和技术要求</w:t>
      </w:r>
      <w:r>
        <w:rPr>
          <w:rFonts w:ascii="宋体" w:hAnsi="宋体" w:eastAsia="宋体" w:cs="宋体"/>
          <w:color w:val="auto"/>
          <w:sz w:val="20"/>
          <w:szCs w:val="20"/>
          <w:highlight w:val="none"/>
        </w:rPr>
        <w:t xml:space="preserve"> </w:t>
      </w:r>
      <w:r>
        <w:rPr>
          <w:rFonts w:ascii="宋体" w:hAnsi="宋体" w:eastAsia="宋体" w:cs="宋体"/>
          <w:color w:val="auto"/>
          <w:spacing w:val="2"/>
          <w:sz w:val="20"/>
          <w:szCs w:val="20"/>
          <w:highlight w:val="none"/>
        </w:rPr>
        <w:t>如下：</w:t>
      </w:r>
    </w:p>
    <w:p w14:paraId="15DCC057">
      <w:pPr>
        <w:spacing w:before="33" w:line="228" w:lineRule="auto"/>
        <w:ind w:left="956"/>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1)</w:t>
      </w:r>
      <w:r>
        <w:rPr>
          <w:rFonts w:ascii="宋体" w:hAnsi="宋体" w:eastAsia="宋体" w:cs="宋体"/>
          <w:color w:val="auto"/>
          <w:spacing w:val="43"/>
          <w:sz w:val="20"/>
          <w:szCs w:val="20"/>
          <w:highlight w:val="none"/>
        </w:rPr>
        <w:t xml:space="preserve"> </w:t>
      </w:r>
      <w:r>
        <w:rPr>
          <w:rFonts w:ascii="宋体" w:hAnsi="宋体" w:eastAsia="宋体" w:cs="宋体"/>
          <w:color w:val="auto"/>
          <w:spacing w:val="14"/>
          <w:sz w:val="20"/>
          <w:szCs w:val="20"/>
          <w:highlight w:val="none"/>
        </w:rPr>
        <w:t>返回系数不小于</w:t>
      </w:r>
      <w:r>
        <w:rPr>
          <w:rFonts w:ascii="宋体" w:hAnsi="宋体" w:eastAsia="宋体" w:cs="宋体"/>
          <w:color w:val="auto"/>
          <w:spacing w:val="-11"/>
          <w:sz w:val="20"/>
          <w:szCs w:val="20"/>
          <w:highlight w:val="none"/>
        </w:rPr>
        <w:t xml:space="preserve"> </w:t>
      </w:r>
      <w:r>
        <w:rPr>
          <w:rFonts w:ascii="宋体" w:hAnsi="宋体" w:eastAsia="宋体" w:cs="宋体"/>
          <w:color w:val="auto"/>
          <w:spacing w:val="14"/>
          <w:sz w:val="20"/>
          <w:szCs w:val="20"/>
          <w:highlight w:val="none"/>
        </w:rPr>
        <w:t>0.9；</w:t>
      </w:r>
    </w:p>
    <w:p w14:paraId="02B48B2D">
      <w:pPr>
        <w:spacing w:line="228" w:lineRule="auto"/>
        <w:rPr>
          <w:rFonts w:ascii="宋体" w:hAnsi="宋体" w:eastAsia="宋体" w:cs="宋体"/>
          <w:color w:val="auto"/>
          <w:sz w:val="20"/>
          <w:szCs w:val="20"/>
          <w:highlight w:val="none"/>
        </w:rPr>
        <w:sectPr>
          <w:pgSz w:w="11906" w:h="16839"/>
          <w:pgMar w:top="1428" w:right="1758" w:bottom="0" w:left="1785" w:header="0" w:footer="0" w:gutter="0"/>
          <w:pgBorders>
            <w:top w:val="none" w:sz="0" w:space="0"/>
            <w:left w:val="none" w:sz="0" w:space="0"/>
            <w:bottom w:val="none" w:sz="0" w:space="0"/>
            <w:right w:val="none" w:sz="0" w:space="0"/>
          </w:pgBorders>
          <w:cols w:space="720" w:num="1"/>
        </w:sectPr>
      </w:pPr>
    </w:p>
    <w:p w14:paraId="78348290">
      <w:pPr>
        <w:spacing w:before="41" w:line="228" w:lineRule="auto"/>
        <w:ind w:left="943"/>
        <w:rPr>
          <w:rFonts w:ascii="宋体" w:hAnsi="宋体" w:eastAsia="宋体" w:cs="宋体"/>
          <w:color w:val="auto"/>
          <w:sz w:val="20"/>
          <w:szCs w:val="20"/>
          <w:highlight w:val="none"/>
        </w:rPr>
      </w:pPr>
      <w:r>
        <w:rPr>
          <w:rFonts w:ascii="宋体" w:hAnsi="宋体" w:eastAsia="宋体" w:cs="宋体"/>
          <w:color w:val="auto"/>
          <w:spacing w:val="16"/>
          <w:sz w:val="20"/>
          <w:szCs w:val="20"/>
          <w:highlight w:val="none"/>
        </w:rPr>
        <w:t>2) 整定值的准确度：</w:t>
      </w:r>
      <w:r>
        <w:rPr>
          <w:rFonts w:ascii="宋体" w:hAnsi="宋体" w:eastAsia="宋体" w:cs="宋体"/>
          <w:color w:val="auto"/>
          <w:spacing w:val="-33"/>
          <w:sz w:val="20"/>
          <w:szCs w:val="20"/>
          <w:highlight w:val="none"/>
        </w:rPr>
        <w:t xml:space="preserve"> </w:t>
      </w:r>
      <w:r>
        <w:rPr>
          <w:rFonts w:ascii="宋体" w:hAnsi="宋体" w:eastAsia="宋体" w:cs="宋体"/>
          <w:color w:val="auto"/>
          <w:spacing w:val="16"/>
          <w:sz w:val="20"/>
          <w:szCs w:val="20"/>
          <w:highlight w:val="none"/>
        </w:rPr>
        <w:t>2.5%或</w:t>
      </w:r>
      <w:r>
        <w:rPr>
          <w:rFonts w:ascii="宋体" w:hAnsi="宋体" w:eastAsia="宋体" w:cs="宋体"/>
          <w:color w:val="auto"/>
          <w:spacing w:val="-12"/>
          <w:sz w:val="20"/>
          <w:szCs w:val="20"/>
          <w:highlight w:val="none"/>
        </w:rPr>
        <w:t xml:space="preserve"> </w:t>
      </w:r>
      <w:r>
        <w:rPr>
          <w:rFonts w:ascii="宋体" w:hAnsi="宋体" w:eastAsia="宋体" w:cs="宋体"/>
          <w:color w:val="auto"/>
          <w:spacing w:val="16"/>
          <w:sz w:val="20"/>
          <w:szCs w:val="20"/>
          <w:highlight w:val="none"/>
        </w:rPr>
        <w:t>0.02</w:t>
      </w:r>
      <w:r>
        <w:rPr>
          <w:rFonts w:ascii="宋体" w:hAnsi="宋体" w:eastAsia="宋体" w:cs="宋体"/>
          <w:color w:val="auto"/>
          <w:sz w:val="20"/>
          <w:szCs w:val="20"/>
          <w:highlight w:val="none"/>
        </w:rPr>
        <w:t>In</w:t>
      </w:r>
      <w:r>
        <w:rPr>
          <w:rFonts w:ascii="宋体" w:hAnsi="宋体" w:eastAsia="宋体" w:cs="宋体"/>
          <w:color w:val="auto"/>
          <w:spacing w:val="16"/>
          <w:sz w:val="20"/>
          <w:szCs w:val="20"/>
          <w:highlight w:val="none"/>
        </w:rPr>
        <w:t>；</w:t>
      </w:r>
    </w:p>
    <w:p w14:paraId="6E78C7A7">
      <w:pPr>
        <w:spacing w:before="161" w:line="228" w:lineRule="auto"/>
        <w:ind w:left="945"/>
        <w:rPr>
          <w:rFonts w:ascii="宋体" w:hAnsi="宋体" w:eastAsia="宋体" w:cs="宋体"/>
          <w:color w:val="auto"/>
          <w:sz w:val="20"/>
          <w:szCs w:val="20"/>
          <w:highlight w:val="none"/>
        </w:rPr>
      </w:pPr>
      <w:r>
        <w:rPr>
          <w:rFonts w:ascii="宋体" w:hAnsi="宋体" w:eastAsia="宋体" w:cs="宋体"/>
          <w:color w:val="auto"/>
          <w:spacing w:val="13"/>
          <w:sz w:val="20"/>
          <w:szCs w:val="20"/>
          <w:highlight w:val="none"/>
        </w:rPr>
        <w:t>3)</w:t>
      </w:r>
      <w:r>
        <w:rPr>
          <w:rFonts w:ascii="宋体" w:hAnsi="宋体" w:eastAsia="宋体" w:cs="宋体"/>
          <w:color w:val="auto"/>
          <w:spacing w:val="44"/>
          <w:sz w:val="20"/>
          <w:szCs w:val="20"/>
          <w:highlight w:val="none"/>
        </w:rPr>
        <w:t xml:space="preserve"> </w:t>
      </w:r>
      <w:r>
        <w:rPr>
          <w:rFonts w:ascii="宋体" w:hAnsi="宋体" w:eastAsia="宋体" w:cs="宋体"/>
          <w:color w:val="auto"/>
          <w:spacing w:val="13"/>
          <w:sz w:val="20"/>
          <w:szCs w:val="20"/>
          <w:highlight w:val="none"/>
        </w:rPr>
        <w:t>时</w:t>
      </w:r>
      <w:r>
        <w:rPr>
          <w:rFonts w:ascii="宋体" w:hAnsi="宋体" w:eastAsia="宋体" w:cs="宋体"/>
          <w:color w:val="auto"/>
          <w:spacing w:val="-54"/>
          <w:sz w:val="20"/>
          <w:szCs w:val="20"/>
          <w:highlight w:val="none"/>
        </w:rPr>
        <w:t xml:space="preserve"> </w:t>
      </w:r>
      <w:r>
        <w:rPr>
          <w:rFonts w:ascii="宋体" w:hAnsi="宋体" w:eastAsia="宋体" w:cs="宋体"/>
          <w:color w:val="auto"/>
          <w:spacing w:val="13"/>
          <w:sz w:val="20"/>
          <w:szCs w:val="20"/>
          <w:highlight w:val="none"/>
        </w:rPr>
        <w:t>间整定值</w:t>
      </w:r>
      <w:r>
        <w:rPr>
          <w:rFonts w:ascii="宋体" w:hAnsi="宋体" w:eastAsia="宋体" w:cs="宋体"/>
          <w:color w:val="auto"/>
          <w:spacing w:val="-53"/>
          <w:sz w:val="20"/>
          <w:szCs w:val="20"/>
          <w:highlight w:val="none"/>
        </w:rPr>
        <w:t xml:space="preserve"> </w:t>
      </w:r>
      <w:r>
        <w:rPr>
          <w:rFonts w:ascii="宋体" w:hAnsi="宋体" w:eastAsia="宋体" w:cs="宋体"/>
          <w:color w:val="auto"/>
          <w:spacing w:val="13"/>
          <w:sz w:val="20"/>
          <w:szCs w:val="20"/>
          <w:highlight w:val="none"/>
        </w:rPr>
        <w:t>的准确度（</w:t>
      </w:r>
      <w:r>
        <w:rPr>
          <w:rFonts w:ascii="宋体" w:hAnsi="宋体" w:eastAsia="宋体" w:cs="宋体"/>
          <w:color w:val="auto"/>
          <w:spacing w:val="-25"/>
          <w:sz w:val="20"/>
          <w:szCs w:val="20"/>
          <w:highlight w:val="none"/>
        </w:rPr>
        <w:t xml:space="preserve"> </w:t>
      </w:r>
      <w:r>
        <w:rPr>
          <w:rFonts w:ascii="宋体" w:hAnsi="宋体" w:eastAsia="宋体" w:cs="宋体"/>
          <w:color w:val="auto"/>
          <w:spacing w:val="13"/>
          <w:sz w:val="20"/>
          <w:szCs w:val="20"/>
          <w:highlight w:val="none"/>
        </w:rPr>
        <w:t>1.5</w:t>
      </w:r>
      <w:r>
        <w:rPr>
          <w:rFonts w:ascii="宋体" w:hAnsi="宋体" w:eastAsia="宋体" w:cs="宋体"/>
          <w:color w:val="auto"/>
          <w:spacing w:val="-19"/>
          <w:sz w:val="20"/>
          <w:szCs w:val="20"/>
          <w:highlight w:val="none"/>
        </w:rPr>
        <w:t xml:space="preserve"> </w:t>
      </w:r>
      <w:r>
        <w:rPr>
          <w:rFonts w:ascii="宋体" w:hAnsi="宋体" w:eastAsia="宋体" w:cs="宋体"/>
          <w:color w:val="auto"/>
          <w:spacing w:val="13"/>
          <w:sz w:val="20"/>
          <w:szCs w:val="20"/>
          <w:highlight w:val="none"/>
        </w:rPr>
        <w:t>倍整定值时</w:t>
      </w:r>
      <w:r>
        <w:rPr>
          <w:rFonts w:ascii="宋体" w:hAnsi="宋体" w:eastAsia="宋体" w:cs="宋体"/>
          <w:color w:val="auto"/>
          <w:spacing w:val="-54"/>
          <w:sz w:val="20"/>
          <w:szCs w:val="20"/>
          <w:highlight w:val="none"/>
        </w:rPr>
        <w:t>）：</w:t>
      </w:r>
      <w:r>
        <w:rPr>
          <w:rFonts w:ascii="宋体" w:hAnsi="宋体" w:eastAsia="宋体" w:cs="宋体"/>
          <w:color w:val="auto"/>
          <w:spacing w:val="-21"/>
          <w:sz w:val="20"/>
          <w:szCs w:val="20"/>
          <w:highlight w:val="none"/>
        </w:rPr>
        <w:t xml:space="preserve"> </w:t>
      </w:r>
      <w:r>
        <w:rPr>
          <w:rFonts w:ascii="宋体" w:hAnsi="宋体" w:eastAsia="宋体" w:cs="宋体"/>
          <w:color w:val="auto"/>
          <w:spacing w:val="13"/>
          <w:sz w:val="20"/>
          <w:szCs w:val="20"/>
          <w:highlight w:val="none"/>
        </w:rPr>
        <w:t>1%或</w:t>
      </w:r>
      <w:r>
        <w:rPr>
          <w:rFonts w:ascii="宋体" w:hAnsi="宋体" w:eastAsia="宋体" w:cs="宋体"/>
          <w:color w:val="auto"/>
          <w:spacing w:val="-14"/>
          <w:sz w:val="20"/>
          <w:szCs w:val="20"/>
          <w:highlight w:val="none"/>
        </w:rPr>
        <w:t xml:space="preserve"> </w:t>
      </w:r>
      <w:r>
        <w:rPr>
          <w:rFonts w:ascii="宋体" w:hAnsi="宋体" w:eastAsia="宋体" w:cs="宋体"/>
          <w:color w:val="auto"/>
          <w:spacing w:val="13"/>
          <w:sz w:val="20"/>
          <w:szCs w:val="20"/>
          <w:highlight w:val="none"/>
        </w:rPr>
        <w:t>40</w:t>
      </w:r>
      <w:r>
        <w:rPr>
          <w:rFonts w:ascii="宋体" w:hAnsi="宋体" w:eastAsia="宋体" w:cs="宋体"/>
          <w:color w:val="auto"/>
          <w:sz w:val="20"/>
          <w:szCs w:val="20"/>
          <w:highlight w:val="none"/>
        </w:rPr>
        <w:t>ms</w:t>
      </w:r>
      <w:r>
        <w:rPr>
          <w:rFonts w:ascii="宋体" w:hAnsi="宋体" w:eastAsia="宋体" w:cs="宋体"/>
          <w:color w:val="auto"/>
          <w:spacing w:val="13"/>
          <w:sz w:val="20"/>
          <w:szCs w:val="20"/>
          <w:highlight w:val="none"/>
        </w:rPr>
        <w:t>。</w:t>
      </w:r>
    </w:p>
    <w:p w14:paraId="35309945">
      <w:pPr>
        <w:spacing w:before="163" w:line="227" w:lineRule="auto"/>
        <w:ind w:left="26"/>
        <w:rPr>
          <w:rFonts w:ascii="宋体" w:hAnsi="宋体" w:eastAsia="宋体" w:cs="宋体"/>
          <w:color w:val="auto"/>
          <w:sz w:val="20"/>
          <w:szCs w:val="20"/>
          <w:highlight w:val="none"/>
        </w:rPr>
      </w:pPr>
      <w:r>
        <w:rPr>
          <w:color w:val="auto"/>
          <w:highlight w:val="none"/>
        </w:rPr>
        <w:fldChar w:fldCharType="begin"/>
      </w:r>
      <w:r>
        <w:rPr>
          <w:color w:val="auto"/>
          <w:highlight w:val="none"/>
        </w:rPr>
        <w:instrText xml:space="preserve"> HYPERLINK "3.5.2.2" </w:instrText>
      </w:r>
      <w:r>
        <w:rPr>
          <w:color w:val="auto"/>
          <w:highlight w:val="none"/>
        </w:rPr>
        <w:fldChar w:fldCharType="separate"/>
      </w:r>
      <w:r>
        <w:rPr>
          <w:rFonts w:ascii="宋体" w:hAnsi="宋体" w:eastAsia="宋体" w:cs="宋体"/>
          <w:color w:val="auto"/>
          <w:spacing w:val="8"/>
          <w:sz w:val="20"/>
          <w:szCs w:val="20"/>
          <w:highlight w:val="none"/>
        </w:rPr>
        <w:t>3.5.2.2</w:t>
      </w:r>
      <w:r>
        <w:rPr>
          <w:rFonts w:ascii="宋体" w:hAnsi="宋体" w:eastAsia="宋体" w:cs="宋体"/>
          <w:color w:val="auto"/>
          <w:spacing w:val="8"/>
          <w:sz w:val="20"/>
          <w:szCs w:val="20"/>
          <w:highlight w:val="none"/>
        </w:rPr>
        <w:fldChar w:fldCharType="end"/>
      </w:r>
      <w:r>
        <w:rPr>
          <w:rFonts w:ascii="宋体" w:hAnsi="宋体" w:eastAsia="宋体" w:cs="宋体"/>
          <w:color w:val="auto"/>
          <w:spacing w:val="8"/>
          <w:sz w:val="20"/>
          <w:szCs w:val="20"/>
          <w:highlight w:val="none"/>
        </w:rPr>
        <w:t xml:space="preserve"> 高压启备变本体保护（非电量保护，</w:t>
      </w:r>
      <w:r>
        <w:rPr>
          <w:rFonts w:hint="eastAsia" w:ascii="宋体" w:hAnsi="宋体" w:eastAsia="宋体" w:cs="宋体"/>
          <w:color w:val="auto"/>
          <w:spacing w:val="8"/>
          <w:sz w:val="20"/>
          <w:szCs w:val="20"/>
          <w:highlight w:val="none"/>
          <w:lang w:val="en-US" w:eastAsia="zh-CN"/>
        </w:rPr>
        <w:t>应</w:t>
      </w:r>
      <w:r>
        <w:rPr>
          <w:rFonts w:ascii="宋体" w:hAnsi="宋体" w:eastAsia="宋体" w:cs="宋体"/>
          <w:color w:val="auto"/>
          <w:spacing w:val="8"/>
          <w:sz w:val="20"/>
          <w:szCs w:val="20"/>
          <w:highlight w:val="none"/>
        </w:rPr>
        <w:t>采用微机型装置）</w:t>
      </w:r>
    </w:p>
    <w:p w14:paraId="248A4D12">
      <w:pPr>
        <w:spacing w:before="161" w:line="367" w:lineRule="auto"/>
        <w:ind w:left="448" w:right="52" w:firstLine="425"/>
        <w:jc w:val="both"/>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各种非电量保护应具有投退压板。启备变本体保护包括启备</w:t>
      </w:r>
      <w:r>
        <w:rPr>
          <w:rFonts w:ascii="宋体" w:hAnsi="宋体" w:eastAsia="宋体" w:cs="宋体"/>
          <w:color w:val="auto"/>
          <w:spacing w:val="6"/>
          <w:sz w:val="20"/>
          <w:szCs w:val="20"/>
          <w:highlight w:val="none"/>
        </w:rPr>
        <w:t>变重瓦斯、有载开关重</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瓦斯、轻瓦斯、压力释放、油位高低、有载开关油位高低、油温过高、冷却系统故障和</w:t>
      </w:r>
      <w:r>
        <w:rPr>
          <w:rFonts w:ascii="宋体" w:hAnsi="宋体" w:eastAsia="宋体" w:cs="宋体"/>
          <w:color w:val="auto"/>
          <w:spacing w:val="4"/>
          <w:sz w:val="20"/>
          <w:szCs w:val="20"/>
          <w:highlight w:val="none"/>
        </w:rPr>
        <w:t xml:space="preserve"> </w:t>
      </w:r>
      <w:r>
        <w:rPr>
          <w:rFonts w:ascii="宋体" w:hAnsi="宋体" w:eastAsia="宋体" w:cs="宋体"/>
          <w:color w:val="auto"/>
          <w:spacing w:val="9"/>
          <w:sz w:val="20"/>
          <w:szCs w:val="20"/>
          <w:highlight w:val="none"/>
        </w:rPr>
        <w:t>冷却器失电等（不限于此</w:t>
      </w:r>
      <w:r>
        <w:rPr>
          <w:rFonts w:ascii="宋体" w:hAnsi="宋体" w:eastAsia="宋体" w:cs="宋体"/>
          <w:color w:val="auto"/>
          <w:spacing w:val="-35"/>
          <w:sz w:val="20"/>
          <w:szCs w:val="20"/>
          <w:highlight w:val="none"/>
        </w:rPr>
        <w:t>），</w:t>
      </w:r>
      <w:r>
        <w:rPr>
          <w:rFonts w:ascii="宋体" w:hAnsi="宋体" w:eastAsia="宋体" w:cs="宋体"/>
          <w:color w:val="auto"/>
          <w:spacing w:val="9"/>
          <w:sz w:val="20"/>
          <w:szCs w:val="20"/>
          <w:highlight w:val="none"/>
        </w:rPr>
        <w:t>并预留备用重动继电器。其主要功能和技术要求如</w:t>
      </w:r>
      <w:r>
        <w:rPr>
          <w:rFonts w:ascii="宋体" w:hAnsi="宋体" w:eastAsia="宋体" w:cs="宋体"/>
          <w:color w:val="auto"/>
          <w:spacing w:val="8"/>
          <w:sz w:val="20"/>
          <w:szCs w:val="20"/>
          <w:highlight w:val="none"/>
        </w:rPr>
        <w:t>下：</w:t>
      </w:r>
    </w:p>
    <w:p w14:paraId="002DE502">
      <w:pPr>
        <w:spacing w:before="34" w:line="302" w:lineRule="auto"/>
        <w:ind w:left="1008" w:right="53" w:hanging="404"/>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1)</w:t>
      </w:r>
      <w:r>
        <w:rPr>
          <w:rFonts w:ascii="宋体" w:hAnsi="宋体" w:eastAsia="宋体" w:cs="宋体"/>
          <w:color w:val="auto"/>
          <w:spacing w:val="-12"/>
          <w:sz w:val="20"/>
          <w:szCs w:val="20"/>
          <w:highlight w:val="none"/>
        </w:rPr>
        <w:t xml:space="preserve"> </w:t>
      </w:r>
      <w:r>
        <w:rPr>
          <w:rFonts w:ascii="宋体" w:hAnsi="宋体" w:eastAsia="宋体" w:cs="宋体"/>
          <w:color w:val="auto"/>
          <w:spacing w:val="12"/>
          <w:sz w:val="20"/>
          <w:szCs w:val="20"/>
          <w:highlight w:val="none"/>
        </w:rPr>
        <w:t>装置的强电开入回路应与装置保护电源隔离；开入回路的启动电压值不大于</w:t>
      </w:r>
      <w:r>
        <w:rPr>
          <w:rFonts w:ascii="宋体" w:hAnsi="宋体" w:eastAsia="宋体" w:cs="宋体"/>
          <w:color w:val="auto"/>
          <w:spacing w:val="-30"/>
          <w:sz w:val="20"/>
          <w:szCs w:val="20"/>
          <w:highlight w:val="none"/>
        </w:rPr>
        <w:t xml:space="preserve"> </w:t>
      </w:r>
      <w:r>
        <w:rPr>
          <w:rFonts w:ascii="宋体" w:hAnsi="宋体" w:eastAsia="宋体" w:cs="宋体"/>
          <w:color w:val="auto"/>
          <w:spacing w:val="12"/>
          <w:sz w:val="20"/>
          <w:szCs w:val="20"/>
          <w:highlight w:val="none"/>
        </w:rPr>
        <w:t>0.7</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倍额定电压值，且不小于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40"/>
          <w:sz w:val="20"/>
          <w:szCs w:val="20"/>
          <w:highlight w:val="none"/>
        </w:rPr>
        <w:t xml:space="preserve"> </w:t>
      </w:r>
      <w:r>
        <w:rPr>
          <w:rFonts w:ascii="宋体" w:hAnsi="宋体" w:eastAsia="宋体" w:cs="宋体"/>
          <w:color w:val="auto"/>
          <w:spacing w:val="7"/>
          <w:sz w:val="20"/>
          <w:szCs w:val="20"/>
          <w:highlight w:val="none"/>
        </w:rPr>
        <w:t>倍额定电压值。动作速度不小于</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10</w:t>
      </w:r>
      <w:r>
        <w:rPr>
          <w:rFonts w:ascii="宋体" w:hAnsi="宋体" w:eastAsia="宋体" w:cs="宋体"/>
          <w:color w:val="auto"/>
          <w:sz w:val="20"/>
          <w:szCs w:val="20"/>
          <w:highlight w:val="none"/>
        </w:rPr>
        <w:t>ms</w:t>
      </w:r>
      <w:r>
        <w:rPr>
          <w:rFonts w:ascii="宋体" w:hAnsi="宋体" w:eastAsia="宋体" w:cs="宋体"/>
          <w:color w:val="auto"/>
          <w:spacing w:val="7"/>
          <w:sz w:val="20"/>
          <w:szCs w:val="20"/>
          <w:highlight w:val="none"/>
        </w:rPr>
        <w:t>；</w:t>
      </w:r>
    </w:p>
    <w:p w14:paraId="519AC1E6">
      <w:pPr>
        <w:spacing w:before="161" w:line="302" w:lineRule="auto"/>
        <w:ind w:left="1010" w:right="52" w:hanging="419"/>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2)</w:t>
      </w:r>
      <w:r>
        <w:rPr>
          <w:rFonts w:ascii="宋体" w:hAnsi="宋体" w:eastAsia="宋体" w:cs="宋体"/>
          <w:color w:val="auto"/>
          <w:spacing w:val="-19"/>
          <w:sz w:val="20"/>
          <w:szCs w:val="20"/>
          <w:highlight w:val="none"/>
        </w:rPr>
        <w:t xml:space="preserve"> </w:t>
      </w:r>
      <w:r>
        <w:rPr>
          <w:rFonts w:ascii="宋体" w:hAnsi="宋体" w:eastAsia="宋体" w:cs="宋体"/>
          <w:color w:val="auto"/>
          <w:spacing w:val="11"/>
          <w:sz w:val="20"/>
          <w:szCs w:val="20"/>
          <w:highlight w:val="none"/>
        </w:rPr>
        <w:t>所有涉及直接跳闸的回路应采用启动电压值不大于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0.7</w:t>
      </w:r>
      <w:r>
        <w:rPr>
          <w:rFonts w:ascii="宋体" w:hAnsi="宋体" w:eastAsia="宋体" w:cs="宋体"/>
          <w:color w:val="auto"/>
          <w:spacing w:val="-36"/>
          <w:sz w:val="20"/>
          <w:szCs w:val="20"/>
          <w:highlight w:val="none"/>
        </w:rPr>
        <w:t xml:space="preserve"> </w:t>
      </w:r>
      <w:r>
        <w:rPr>
          <w:rFonts w:ascii="宋体" w:hAnsi="宋体" w:eastAsia="宋体" w:cs="宋体"/>
          <w:color w:val="auto"/>
          <w:spacing w:val="11"/>
          <w:sz w:val="20"/>
          <w:szCs w:val="20"/>
          <w:highlight w:val="none"/>
        </w:rPr>
        <w:t>倍额定电压值，且不小于</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0.55</w:t>
      </w:r>
      <w:r>
        <w:rPr>
          <w:rFonts w:ascii="宋体" w:hAnsi="宋体" w:eastAsia="宋体" w:cs="宋体"/>
          <w:color w:val="auto"/>
          <w:spacing w:val="-22"/>
          <w:sz w:val="20"/>
          <w:szCs w:val="20"/>
          <w:highlight w:val="none"/>
        </w:rPr>
        <w:t xml:space="preserve"> </w:t>
      </w:r>
      <w:r>
        <w:rPr>
          <w:rFonts w:ascii="宋体" w:hAnsi="宋体" w:eastAsia="宋体" w:cs="宋体"/>
          <w:color w:val="auto"/>
          <w:spacing w:val="7"/>
          <w:sz w:val="20"/>
          <w:szCs w:val="20"/>
          <w:highlight w:val="none"/>
        </w:rPr>
        <w:t>倍额定电压值的中间继电器，并要求启动功率不低于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5W。</w:t>
      </w:r>
    </w:p>
    <w:p w14:paraId="0E5EFCE7">
      <w:pPr>
        <w:spacing w:before="164" w:line="362" w:lineRule="auto"/>
        <w:ind w:left="450" w:right="73" w:firstLine="425"/>
        <w:rPr>
          <w:rFonts w:ascii="宋体" w:hAnsi="宋体" w:eastAsia="宋体" w:cs="宋体"/>
          <w:color w:val="auto"/>
          <w:sz w:val="20"/>
          <w:szCs w:val="20"/>
          <w:highlight w:val="none"/>
        </w:rPr>
      </w:pPr>
      <w:r>
        <w:rPr>
          <w:rFonts w:ascii="宋体" w:hAnsi="宋体" w:eastAsia="宋体" w:cs="宋体"/>
          <w:color w:val="auto"/>
          <w:spacing w:val="24"/>
          <w:sz w:val="20"/>
          <w:szCs w:val="20"/>
          <w:highlight w:val="none"/>
        </w:rPr>
        <w:t>500</w:t>
      </w:r>
      <w:r>
        <w:rPr>
          <w:rFonts w:ascii="宋体" w:hAnsi="宋体" w:eastAsia="宋体" w:cs="宋体"/>
          <w:color w:val="auto"/>
          <w:sz w:val="20"/>
          <w:szCs w:val="20"/>
          <w:highlight w:val="none"/>
        </w:rPr>
        <w:t>kV</w:t>
      </w:r>
      <w:r>
        <w:rPr>
          <w:rFonts w:ascii="宋体" w:hAnsi="宋体" w:eastAsia="宋体" w:cs="宋体"/>
          <w:color w:val="auto"/>
          <w:spacing w:val="-13"/>
          <w:sz w:val="20"/>
          <w:szCs w:val="20"/>
          <w:highlight w:val="none"/>
        </w:rPr>
        <w:t xml:space="preserve"> </w:t>
      </w:r>
      <w:r>
        <w:rPr>
          <w:rFonts w:ascii="宋体" w:hAnsi="宋体" w:eastAsia="宋体" w:cs="宋体"/>
          <w:color w:val="auto"/>
          <w:spacing w:val="24"/>
          <w:sz w:val="20"/>
          <w:szCs w:val="20"/>
          <w:highlight w:val="none"/>
        </w:rPr>
        <w:t>断路器失灵保护由系统保护实现</w:t>
      </w:r>
      <w:r>
        <w:rPr>
          <w:rFonts w:ascii="宋体" w:hAnsi="宋体" w:eastAsia="宋体" w:cs="宋体"/>
          <w:color w:val="auto"/>
          <w:spacing w:val="-56"/>
          <w:sz w:val="20"/>
          <w:szCs w:val="20"/>
          <w:highlight w:val="none"/>
        </w:rPr>
        <w:t xml:space="preserve"> </w:t>
      </w:r>
      <w:r>
        <w:rPr>
          <w:rFonts w:ascii="宋体" w:hAnsi="宋体" w:eastAsia="宋体" w:cs="宋体"/>
          <w:color w:val="auto"/>
          <w:spacing w:val="24"/>
          <w:sz w:val="20"/>
          <w:szCs w:val="20"/>
          <w:highlight w:val="none"/>
        </w:rPr>
        <w:t>，高压启备变保护动作后提供启</w:t>
      </w:r>
      <w:r>
        <w:rPr>
          <w:rFonts w:ascii="宋体" w:hAnsi="宋体" w:eastAsia="宋体" w:cs="宋体"/>
          <w:color w:val="auto"/>
          <w:spacing w:val="23"/>
          <w:sz w:val="20"/>
          <w:szCs w:val="20"/>
          <w:highlight w:val="none"/>
        </w:rPr>
        <w:t>动失</w:t>
      </w:r>
      <w:r>
        <w:rPr>
          <w:rFonts w:ascii="宋体" w:hAnsi="宋体" w:eastAsia="宋体" w:cs="宋体"/>
          <w:color w:val="auto"/>
          <w:sz w:val="20"/>
          <w:szCs w:val="20"/>
          <w:highlight w:val="none"/>
        </w:rPr>
        <w:t xml:space="preserve"> </w:t>
      </w:r>
      <w:r>
        <w:rPr>
          <w:rFonts w:ascii="宋体" w:hAnsi="宋体" w:eastAsia="宋体" w:cs="宋体"/>
          <w:color w:val="auto"/>
          <w:spacing w:val="19"/>
          <w:sz w:val="20"/>
          <w:szCs w:val="20"/>
          <w:highlight w:val="none"/>
        </w:rPr>
        <w:t>灵信号。</w:t>
      </w:r>
    </w:p>
    <w:p w14:paraId="676FB7C5">
      <w:pPr>
        <w:spacing w:before="32" w:line="362" w:lineRule="auto"/>
        <w:ind w:left="23" w:right="54" w:firstLine="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3.5.3  投标人除了提供每套保护装置的操作继电器箱外，还应配套提供启备变的高压侧断</w:t>
      </w:r>
      <w:r>
        <w:rPr>
          <w:rFonts w:ascii="宋体" w:hAnsi="宋体" w:eastAsia="宋体" w:cs="宋体"/>
          <w:color w:val="auto"/>
          <w:spacing w:val="3"/>
          <w:sz w:val="20"/>
          <w:szCs w:val="20"/>
          <w:highlight w:val="none"/>
        </w:rPr>
        <w:t xml:space="preserve"> </w:t>
      </w:r>
      <w:r>
        <w:rPr>
          <w:rFonts w:ascii="宋体" w:hAnsi="宋体" w:eastAsia="宋体" w:cs="宋体"/>
          <w:color w:val="auto"/>
          <w:spacing w:val="6"/>
          <w:sz w:val="20"/>
          <w:szCs w:val="20"/>
          <w:highlight w:val="none"/>
        </w:rPr>
        <w:t>路器操作箱。</w:t>
      </w:r>
    </w:p>
    <w:p w14:paraId="49C19CF8">
      <w:pPr>
        <w:spacing w:before="115" w:line="220" w:lineRule="auto"/>
        <w:ind w:left="28"/>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3.6</w:t>
      </w:r>
      <w:r>
        <w:rPr>
          <w:rFonts w:ascii="宋体" w:hAnsi="宋体" w:eastAsia="宋体" w:cs="宋体"/>
          <w:color w:val="auto"/>
          <w:spacing w:val="-49"/>
          <w:sz w:val="24"/>
          <w:szCs w:val="24"/>
          <w:highlight w:val="none"/>
        </w:rPr>
        <w:t xml:space="preserve"> </w:t>
      </w:r>
      <w:r>
        <w:rPr>
          <w:rFonts w:ascii="宋体" w:hAnsi="宋体" w:eastAsia="宋体" w:cs="宋体"/>
          <w:b/>
          <w:bCs/>
          <w:color w:val="auto"/>
          <w:spacing w:val="-5"/>
          <w:sz w:val="24"/>
          <w:szCs w:val="24"/>
          <w:highlight w:val="none"/>
        </w:rPr>
        <w:t>保护屏的要求</w:t>
      </w:r>
    </w:p>
    <w:p w14:paraId="6BC6B204">
      <w:pPr>
        <w:spacing w:before="98" w:line="328" w:lineRule="auto"/>
        <w:ind w:left="25" w:right="50"/>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3.6.1   保护柜在结构上应符合</w:t>
      </w:r>
      <w:r>
        <w:rPr>
          <w:rFonts w:ascii="宋体" w:hAnsi="宋体" w:eastAsia="宋体" w:cs="宋体"/>
          <w:color w:val="auto"/>
          <w:spacing w:val="-18"/>
          <w:sz w:val="20"/>
          <w:szCs w:val="20"/>
          <w:highlight w:val="none"/>
        </w:rPr>
        <w:t xml:space="preserve"> </w:t>
      </w:r>
      <w:r>
        <w:rPr>
          <w:rFonts w:ascii="宋体" w:hAnsi="宋体" w:eastAsia="宋体" w:cs="宋体"/>
          <w:color w:val="auto"/>
          <w:sz w:val="20"/>
          <w:szCs w:val="20"/>
          <w:highlight w:val="none"/>
        </w:rPr>
        <w:t>IP</w:t>
      </w:r>
      <w:r>
        <w:rPr>
          <w:rFonts w:ascii="宋体" w:hAnsi="宋体" w:eastAsia="宋体" w:cs="宋体"/>
          <w:color w:val="auto"/>
          <w:spacing w:val="3"/>
          <w:sz w:val="20"/>
          <w:szCs w:val="20"/>
          <w:highlight w:val="none"/>
        </w:rPr>
        <w:t>42</w:t>
      </w:r>
      <w:r>
        <w:rPr>
          <w:rFonts w:ascii="宋体" w:hAnsi="宋体" w:eastAsia="宋体" w:cs="宋体"/>
          <w:color w:val="auto"/>
          <w:spacing w:val="-23"/>
          <w:sz w:val="20"/>
          <w:szCs w:val="20"/>
          <w:highlight w:val="none"/>
        </w:rPr>
        <w:t xml:space="preserve"> </w:t>
      </w:r>
      <w:r>
        <w:rPr>
          <w:rFonts w:ascii="宋体" w:hAnsi="宋体" w:eastAsia="宋体" w:cs="宋体"/>
          <w:color w:val="auto"/>
          <w:spacing w:val="3"/>
          <w:sz w:val="20"/>
          <w:szCs w:val="20"/>
          <w:highlight w:val="none"/>
        </w:rPr>
        <w:t>的要求。因保护改造前屏柜为威图品牌，保护柜尺寸(W</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×D×H)为</w:t>
      </w:r>
      <w:r>
        <w:rPr>
          <w:rFonts w:ascii="宋体" w:hAnsi="宋体" w:eastAsia="宋体" w:cs="宋体"/>
          <w:color w:val="auto"/>
          <w:spacing w:val="-26"/>
          <w:sz w:val="20"/>
          <w:szCs w:val="20"/>
          <w:highlight w:val="none"/>
        </w:rPr>
        <w:t xml:space="preserve"> </w:t>
      </w:r>
      <w:r>
        <w:rPr>
          <w:rFonts w:ascii="宋体" w:hAnsi="宋体" w:eastAsia="宋体" w:cs="宋体"/>
          <w:color w:val="auto"/>
          <w:spacing w:val="8"/>
          <w:sz w:val="20"/>
          <w:szCs w:val="20"/>
          <w:highlight w:val="none"/>
        </w:rPr>
        <w:t>800×800×2260</w:t>
      </w:r>
      <w:r>
        <w:rPr>
          <w:rFonts w:ascii="宋体" w:hAnsi="宋体" w:eastAsia="宋体" w:cs="宋体"/>
          <w:color w:val="auto"/>
          <w:sz w:val="20"/>
          <w:szCs w:val="20"/>
          <w:highlight w:val="none"/>
        </w:rPr>
        <w:t>mm</w:t>
      </w:r>
      <w:r>
        <w:rPr>
          <w:rFonts w:ascii="宋体" w:hAnsi="宋体" w:eastAsia="宋体" w:cs="宋体"/>
          <w:color w:val="auto"/>
          <w:spacing w:val="8"/>
          <w:sz w:val="20"/>
          <w:szCs w:val="20"/>
          <w:highlight w:val="none"/>
        </w:rPr>
        <w:t>，保护屏柜的色标为</w:t>
      </w:r>
      <w:r>
        <w:rPr>
          <w:rFonts w:ascii="宋体" w:hAnsi="宋体" w:eastAsia="宋体" w:cs="宋体"/>
          <w:color w:val="auto"/>
          <w:spacing w:val="-41"/>
          <w:sz w:val="20"/>
          <w:szCs w:val="20"/>
          <w:highlight w:val="none"/>
        </w:rPr>
        <w:t xml:space="preserve"> </w:t>
      </w:r>
      <w:r>
        <w:rPr>
          <w:rFonts w:ascii="宋体" w:hAnsi="宋体" w:eastAsia="宋体" w:cs="宋体"/>
          <w:color w:val="auto"/>
          <w:sz w:val="20"/>
          <w:szCs w:val="20"/>
          <w:highlight w:val="none"/>
        </w:rPr>
        <w:t>RAL</w:t>
      </w:r>
      <w:r>
        <w:rPr>
          <w:rFonts w:ascii="宋体" w:hAnsi="宋体" w:eastAsia="宋体" w:cs="宋体"/>
          <w:color w:val="auto"/>
          <w:spacing w:val="8"/>
          <w:sz w:val="20"/>
          <w:szCs w:val="20"/>
          <w:highlight w:val="none"/>
        </w:rPr>
        <w:t>7035，要求改造后屏柜与原屏柜保持</w:t>
      </w:r>
      <w:r>
        <w:rPr>
          <w:rFonts w:ascii="宋体" w:hAnsi="宋体" w:eastAsia="宋体" w:cs="宋体"/>
          <w:color w:val="auto"/>
          <w:sz w:val="20"/>
          <w:szCs w:val="20"/>
          <w:highlight w:val="none"/>
        </w:rPr>
        <w:t xml:space="preserve"> </w:t>
      </w:r>
      <w:r>
        <w:rPr>
          <w:rFonts w:ascii="宋体" w:hAnsi="宋体" w:eastAsia="宋体" w:cs="宋体"/>
          <w:color w:val="auto"/>
          <w:spacing w:val="2"/>
          <w:sz w:val="20"/>
          <w:szCs w:val="20"/>
          <w:highlight w:val="none"/>
        </w:rPr>
        <w:t>一致。</w:t>
      </w:r>
    </w:p>
    <w:p w14:paraId="40804948">
      <w:pPr>
        <w:spacing w:before="160" w:line="327" w:lineRule="auto"/>
        <w:ind w:left="21" w:right="54"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3.6.2   保护屏包括所有安装在上面的成套设备或</w:t>
      </w:r>
      <w:r>
        <w:rPr>
          <w:rFonts w:ascii="宋体" w:hAnsi="宋体" w:eastAsia="宋体" w:cs="宋体"/>
          <w:color w:val="auto"/>
          <w:spacing w:val="6"/>
          <w:sz w:val="20"/>
          <w:szCs w:val="20"/>
          <w:highlight w:val="none"/>
        </w:rPr>
        <w:t>单个组件，皆应保证有足够的结构强度以</w:t>
      </w:r>
      <w:r>
        <w:rPr>
          <w:rFonts w:ascii="宋体" w:hAnsi="宋体" w:eastAsia="宋体" w:cs="宋体"/>
          <w:color w:val="auto"/>
          <w:sz w:val="20"/>
          <w:szCs w:val="20"/>
          <w:highlight w:val="none"/>
        </w:rPr>
        <w:t xml:space="preserve"> </w:t>
      </w:r>
      <w:r>
        <w:rPr>
          <w:rFonts w:ascii="宋体" w:hAnsi="宋体" w:eastAsia="宋体" w:cs="宋体"/>
          <w:color w:val="auto"/>
          <w:spacing w:val="13"/>
          <w:sz w:val="20"/>
          <w:szCs w:val="20"/>
          <w:highlight w:val="none"/>
        </w:rPr>
        <w:t>及在指定环境条件下满足本规范对电气性能的要求。投标人应</w:t>
      </w:r>
      <w:r>
        <w:rPr>
          <w:rFonts w:ascii="宋体" w:hAnsi="宋体" w:eastAsia="宋体" w:cs="宋体"/>
          <w:color w:val="auto"/>
          <w:spacing w:val="12"/>
          <w:sz w:val="20"/>
          <w:szCs w:val="20"/>
          <w:highlight w:val="none"/>
        </w:rPr>
        <w:t>对内部接线的正确性全面负</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责，并对所供应设备的特性和功能全面负责。</w:t>
      </w:r>
    </w:p>
    <w:p w14:paraId="4648221F">
      <w:pPr>
        <w:spacing w:before="164"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3.6.3   为方便招标人使用和维护设备，应利用标准化元件和组件。</w:t>
      </w:r>
    </w:p>
    <w:p w14:paraId="1DF9FE74">
      <w:pPr>
        <w:spacing w:before="161" w:line="326" w:lineRule="auto"/>
        <w:ind w:left="22" w:right="52" w:firstLine="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3.6.4   保护屏应采用前、后开门方式，前门上应用玻璃</w:t>
      </w:r>
      <w:r>
        <w:rPr>
          <w:rFonts w:ascii="宋体" w:hAnsi="宋体" w:eastAsia="宋体" w:cs="宋体"/>
          <w:color w:val="auto"/>
          <w:spacing w:val="6"/>
          <w:sz w:val="20"/>
          <w:szCs w:val="20"/>
          <w:highlight w:val="none"/>
        </w:rPr>
        <w:t>窗，可监视内部的保护装置的动作</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信号，门在开闭时的振动不应造成保护误动作，屏前开门方式从右向左，门的开摆角度至少</w:t>
      </w:r>
      <w:r>
        <w:rPr>
          <w:rFonts w:ascii="宋体" w:hAnsi="宋体" w:eastAsia="宋体" w:cs="宋体"/>
          <w:color w:val="auto"/>
          <w:spacing w:val="17"/>
          <w:sz w:val="20"/>
          <w:szCs w:val="20"/>
          <w:highlight w:val="none"/>
        </w:rPr>
        <w:t xml:space="preserve"> </w:t>
      </w:r>
      <w:r>
        <w:rPr>
          <w:rFonts w:ascii="宋体" w:hAnsi="宋体" w:eastAsia="宋体" w:cs="宋体"/>
          <w:color w:val="auto"/>
          <w:spacing w:val="4"/>
          <w:sz w:val="20"/>
          <w:szCs w:val="20"/>
          <w:highlight w:val="none"/>
        </w:rPr>
        <w:t>105º</w:t>
      </w:r>
      <w:r>
        <w:rPr>
          <w:rFonts w:ascii="宋体" w:hAnsi="宋体" w:eastAsia="宋体" w:cs="宋体"/>
          <w:color w:val="auto"/>
          <w:spacing w:val="-71"/>
          <w:sz w:val="20"/>
          <w:szCs w:val="20"/>
          <w:highlight w:val="none"/>
        </w:rPr>
        <w:t xml:space="preserve"> </w:t>
      </w:r>
      <w:r>
        <w:rPr>
          <w:rFonts w:ascii="宋体" w:hAnsi="宋体" w:eastAsia="宋体" w:cs="宋体"/>
          <w:color w:val="auto"/>
          <w:spacing w:val="4"/>
          <w:sz w:val="20"/>
          <w:szCs w:val="20"/>
          <w:highlight w:val="none"/>
        </w:rPr>
        <w:t>,</w:t>
      </w:r>
      <w:r>
        <w:rPr>
          <w:rFonts w:ascii="宋体" w:hAnsi="宋体" w:eastAsia="宋体" w:cs="宋体"/>
          <w:color w:val="auto"/>
          <w:spacing w:val="61"/>
          <w:sz w:val="20"/>
          <w:szCs w:val="20"/>
          <w:highlight w:val="none"/>
        </w:rPr>
        <w:t xml:space="preserve"> </w:t>
      </w:r>
      <w:r>
        <w:rPr>
          <w:rFonts w:ascii="宋体" w:hAnsi="宋体" w:eastAsia="宋体" w:cs="宋体"/>
          <w:color w:val="auto"/>
          <w:spacing w:val="4"/>
          <w:sz w:val="20"/>
          <w:szCs w:val="20"/>
          <w:highlight w:val="none"/>
        </w:rPr>
        <w:t>屏上的每把锁应配备</w:t>
      </w:r>
      <w:r>
        <w:rPr>
          <w:rFonts w:ascii="宋体" w:hAnsi="宋体" w:eastAsia="宋体" w:cs="宋体"/>
          <w:color w:val="auto"/>
          <w:spacing w:val="-34"/>
          <w:sz w:val="20"/>
          <w:szCs w:val="20"/>
          <w:highlight w:val="none"/>
        </w:rPr>
        <w:t xml:space="preserve"> </w:t>
      </w:r>
      <w:r>
        <w:rPr>
          <w:rFonts w:ascii="宋体" w:hAnsi="宋体" w:eastAsia="宋体" w:cs="宋体"/>
          <w:color w:val="auto"/>
          <w:spacing w:val="4"/>
          <w:sz w:val="20"/>
          <w:szCs w:val="20"/>
          <w:highlight w:val="none"/>
        </w:rPr>
        <w:t>2</w:t>
      </w:r>
      <w:r>
        <w:rPr>
          <w:rFonts w:ascii="宋体" w:hAnsi="宋体" w:eastAsia="宋体" w:cs="宋体"/>
          <w:color w:val="auto"/>
          <w:spacing w:val="-41"/>
          <w:sz w:val="20"/>
          <w:szCs w:val="20"/>
          <w:highlight w:val="none"/>
        </w:rPr>
        <w:t xml:space="preserve"> </w:t>
      </w:r>
      <w:r>
        <w:rPr>
          <w:rFonts w:ascii="宋体" w:hAnsi="宋体" w:eastAsia="宋体" w:cs="宋体"/>
          <w:color w:val="auto"/>
          <w:spacing w:val="4"/>
          <w:sz w:val="20"/>
          <w:szCs w:val="20"/>
          <w:highlight w:val="none"/>
        </w:rPr>
        <w:t>把钥匙，屏后为双开门。</w:t>
      </w:r>
    </w:p>
    <w:p w14:paraId="499886B4">
      <w:pPr>
        <w:spacing w:before="165"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3.6.5   整块屏应有足够的强度，保证运输、储存、安装时的安全可靠。</w:t>
      </w:r>
    </w:p>
    <w:p w14:paraId="187F9118">
      <w:pPr>
        <w:spacing w:before="161"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3.6.6   保护屏及其中设备应能使用于地震地区。</w:t>
      </w:r>
    </w:p>
    <w:p w14:paraId="48219537">
      <w:pPr>
        <w:spacing w:before="163"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3.6.7   保护屏上设备应采用嵌入式或半嵌入式安装和背后接线。</w:t>
      </w:r>
    </w:p>
    <w:p w14:paraId="508F1094">
      <w:pPr>
        <w:spacing w:before="162"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3.6.8   保护屏内应有照明灯和检修</w:t>
      </w:r>
      <w:r>
        <w:rPr>
          <w:rFonts w:ascii="宋体" w:hAnsi="宋体" w:eastAsia="宋体" w:cs="宋体"/>
          <w:color w:val="auto"/>
          <w:spacing w:val="7"/>
          <w:sz w:val="20"/>
          <w:szCs w:val="20"/>
          <w:highlight w:val="none"/>
        </w:rPr>
        <w:t>插座，检修插座电源电压交流</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220V。</w:t>
      </w:r>
    </w:p>
    <w:p w14:paraId="1C523AA9">
      <w:pPr>
        <w:spacing w:before="163" w:line="327" w:lineRule="auto"/>
        <w:ind w:left="21" w:firstLine="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3.6.9   每面屏应装有与屏柜本体绝缘的截面为</w:t>
      </w:r>
      <w:r>
        <w:rPr>
          <w:rFonts w:ascii="宋体" w:hAnsi="宋体" w:eastAsia="宋体" w:cs="宋体"/>
          <w:color w:val="auto"/>
          <w:spacing w:val="-12"/>
          <w:sz w:val="20"/>
          <w:szCs w:val="20"/>
          <w:highlight w:val="none"/>
        </w:rPr>
        <w:t xml:space="preserve"> </w:t>
      </w:r>
      <w:r>
        <w:rPr>
          <w:rFonts w:ascii="宋体" w:hAnsi="宋体" w:eastAsia="宋体" w:cs="宋体"/>
          <w:color w:val="auto"/>
          <w:spacing w:val="9"/>
          <w:sz w:val="20"/>
          <w:szCs w:val="20"/>
          <w:highlight w:val="none"/>
        </w:rPr>
        <w:t>100</w:t>
      </w:r>
      <w:r>
        <w:rPr>
          <w:rFonts w:ascii="宋体" w:hAnsi="宋体" w:eastAsia="宋体" w:cs="宋体"/>
          <w:color w:val="auto"/>
          <w:sz w:val="20"/>
          <w:szCs w:val="20"/>
          <w:highlight w:val="none"/>
        </w:rPr>
        <w:t>mm</w:t>
      </w:r>
      <w:r>
        <w:rPr>
          <w:rFonts w:ascii="宋体" w:hAnsi="宋体" w:eastAsia="宋体" w:cs="宋体"/>
          <w:color w:val="auto"/>
          <w:spacing w:val="9"/>
          <w:position w:val="10"/>
          <w:sz w:val="10"/>
          <w:szCs w:val="10"/>
          <w:highlight w:val="none"/>
        </w:rPr>
        <w:t xml:space="preserve">2 </w:t>
      </w:r>
      <w:r>
        <w:rPr>
          <w:rFonts w:ascii="宋体" w:hAnsi="宋体" w:eastAsia="宋体" w:cs="宋体"/>
          <w:color w:val="auto"/>
          <w:spacing w:val="9"/>
          <w:sz w:val="20"/>
          <w:szCs w:val="20"/>
          <w:highlight w:val="none"/>
        </w:rPr>
        <w:t>的铜接地母线，它应连接到主框架</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的前面、侧面和背面，接地母线末端应装好可靠的压接式端子</w:t>
      </w:r>
      <w:r>
        <w:rPr>
          <w:rFonts w:ascii="宋体" w:hAnsi="宋体" w:eastAsia="宋体" w:cs="宋体"/>
          <w:color w:val="auto"/>
          <w:spacing w:val="3"/>
          <w:sz w:val="20"/>
          <w:szCs w:val="20"/>
          <w:highlight w:val="none"/>
        </w:rPr>
        <w:t>，以备接到主接地网上，此外，</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接地铜排引接</w:t>
      </w:r>
      <w:r>
        <w:rPr>
          <w:rFonts w:ascii="宋体" w:hAnsi="宋体" w:eastAsia="宋体" w:cs="宋体"/>
          <w:color w:val="auto"/>
          <w:spacing w:val="-32"/>
          <w:sz w:val="20"/>
          <w:szCs w:val="20"/>
          <w:highlight w:val="none"/>
        </w:rPr>
        <w:t xml:space="preserve"> </w:t>
      </w:r>
      <w:r>
        <w:rPr>
          <w:rFonts w:ascii="宋体" w:hAnsi="宋体" w:eastAsia="宋体" w:cs="宋体"/>
          <w:color w:val="auto"/>
          <w:spacing w:val="9"/>
          <w:sz w:val="20"/>
          <w:szCs w:val="20"/>
          <w:highlight w:val="none"/>
        </w:rPr>
        <w:t>50</w:t>
      </w:r>
      <w:r>
        <w:rPr>
          <w:rFonts w:ascii="宋体" w:hAnsi="宋体" w:eastAsia="宋体" w:cs="宋体"/>
          <w:color w:val="auto"/>
          <w:spacing w:val="-42"/>
          <w:sz w:val="20"/>
          <w:szCs w:val="20"/>
          <w:highlight w:val="none"/>
        </w:rPr>
        <w:t xml:space="preserve"> </w:t>
      </w:r>
      <w:r>
        <w:rPr>
          <w:rFonts w:ascii="宋体" w:hAnsi="宋体" w:eastAsia="宋体" w:cs="宋体"/>
          <w:color w:val="auto"/>
          <w:spacing w:val="9"/>
          <w:sz w:val="20"/>
          <w:szCs w:val="20"/>
          <w:highlight w:val="none"/>
        </w:rPr>
        <w:t>平方地线与屏柜本体连接，保护柜应</w:t>
      </w:r>
      <w:r>
        <w:rPr>
          <w:rFonts w:ascii="宋体" w:hAnsi="宋体" w:eastAsia="宋体" w:cs="宋体"/>
          <w:color w:val="auto"/>
          <w:spacing w:val="8"/>
          <w:sz w:val="20"/>
          <w:szCs w:val="20"/>
          <w:highlight w:val="none"/>
        </w:rPr>
        <w:t>有良好防电磁干扰的屏蔽功能。</w:t>
      </w:r>
    </w:p>
    <w:p w14:paraId="5DEDDEB8">
      <w:pPr>
        <w:spacing w:before="162" w:line="302" w:lineRule="auto"/>
        <w:ind w:left="23" w:right="54" w:firstLine="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3.6.10  电压和电流互感器的中性点仅在引入柜内</w:t>
      </w:r>
      <w:r>
        <w:rPr>
          <w:rFonts w:ascii="宋体" w:hAnsi="宋体" w:eastAsia="宋体" w:cs="宋体"/>
          <w:color w:val="auto"/>
          <w:spacing w:val="6"/>
          <w:sz w:val="20"/>
          <w:szCs w:val="20"/>
          <w:highlight w:val="none"/>
        </w:rPr>
        <w:t>的端子排上接地，且每组次级中性点只能</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有一个接地点。</w:t>
      </w:r>
    </w:p>
    <w:p w14:paraId="7A9818FA">
      <w:pPr>
        <w:spacing w:line="302" w:lineRule="auto"/>
        <w:rPr>
          <w:rFonts w:ascii="宋体" w:hAnsi="宋体" w:eastAsia="宋体" w:cs="宋体"/>
          <w:color w:val="auto"/>
          <w:sz w:val="20"/>
          <w:szCs w:val="20"/>
          <w:highlight w:val="none"/>
        </w:rPr>
        <w:sectPr>
          <w:pgSz w:w="11906" w:h="16839"/>
          <w:pgMar w:top="1428" w:right="1747" w:bottom="0" w:left="1785" w:header="0" w:footer="0" w:gutter="0"/>
          <w:pgBorders>
            <w:top w:val="none" w:sz="0" w:space="0"/>
            <w:left w:val="none" w:sz="0" w:space="0"/>
            <w:bottom w:val="none" w:sz="0" w:space="0"/>
            <w:right w:val="none" w:sz="0" w:space="0"/>
          </w:pgBorders>
          <w:cols w:space="720" w:num="1"/>
        </w:sectPr>
      </w:pPr>
    </w:p>
    <w:p w14:paraId="2B7DD71A">
      <w:pPr>
        <w:spacing w:before="42" w:line="302" w:lineRule="auto"/>
        <w:ind w:left="31" w:right="58" w:hanging="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3.6.11  保护柜内设备的安排及端子排的布置，应</w:t>
      </w:r>
      <w:r>
        <w:rPr>
          <w:rFonts w:ascii="宋体" w:hAnsi="宋体" w:eastAsia="宋体" w:cs="宋体"/>
          <w:color w:val="auto"/>
          <w:spacing w:val="6"/>
          <w:sz w:val="20"/>
          <w:szCs w:val="20"/>
          <w:highlight w:val="none"/>
        </w:rPr>
        <w:t>保证各套保护的独立性，在一套保护检修</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时不影响其他任何一套保护系统的正常运行。</w:t>
      </w:r>
    </w:p>
    <w:p w14:paraId="3D58E17F">
      <w:pPr>
        <w:spacing w:before="163" w:line="327" w:lineRule="auto"/>
        <w:ind w:left="21" w:right="57"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3.6.12  柜中内部接线应采用耐热、耐潮和阻燃热</w:t>
      </w:r>
      <w:r>
        <w:rPr>
          <w:rFonts w:ascii="宋体" w:hAnsi="宋体" w:eastAsia="宋体" w:cs="宋体"/>
          <w:color w:val="auto"/>
          <w:spacing w:val="6"/>
          <w:sz w:val="20"/>
          <w:szCs w:val="20"/>
          <w:highlight w:val="none"/>
        </w:rPr>
        <w:t>固性的交联聚乙烯绝缘多股铜绞线，一般</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控制导线应不小于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2.5</w:t>
      </w:r>
      <w:r>
        <w:rPr>
          <w:rFonts w:ascii="宋体" w:hAnsi="宋体" w:eastAsia="宋体" w:cs="宋体"/>
          <w:color w:val="auto"/>
          <w:sz w:val="20"/>
          <w:szCs w:val="20"/>
          <w:highlight w:val="none"/>
        </w:rPr>
        <w:t>mm</w:t>
      </w:r>
      <w:r>
        <w:rPr>
          <w:rFonts w:ascii="宋体" w:hAnsi="宋体" w:eastAsia="宋体" w:cs="宋体"/>
          <w:color w:val="auto"/>
          <w:spacing w:val="11"/>
          <w:sz w:val="20"/>
          <w:szCs w:val="20"/>
          <w:highlight w:val="none"/>
        </w:rPr>
        <w:t>2，</w:t>
      </w:r>
      <w:r>
        <w:rPr>
          <w:rFonts w:ascii="宋体" w:hAnsi="宋体" w:eastAsia="宋体" w:cs="宋体"/>
          <w:color w:val="auto"/>
          <w:sz w:val="20"/>
          <w:szCs w:val="20"/>
          <w:highlight w:val="none"/>
        </w:rPr>
        <w:t>CVT</w:t>
      </w:r>
      <w:r>
        <w:rPr>
          <w:rFonts w:ascii="宋体" w:hAnsi="宋体" w:eastAsia="宋体" w:cs="宋体"/>
          <w:color w:val="auto"/>
          <w:spacing w:val="-38"/>
          <w:sz w:val="20"/>
          <w:szCs w:val="20"/>
          <w:highlight w:val="none"/>
        </w:rPr>
        <w:t xml:space="preserve"> </w:t>
      </w:r>
      <w:r>
        <w:rPr>
          <w:rFonts w:ascii="宋体" w:hAnsi="宋体" w:eastAsia="宋体" w:cs="宋体"/>
          <w:color w:val="auto"/>
          <w:spacing w:val="11"/>
          <w:sz w:val="20"/>
          <w:szCs w:val="20"/>
          <w:highlight w:val="none"/>
        </w:rPr>
        <w:t>及断路器跳闸及合闸回路</w:t>
      </w:r>
      <w:r>
        <w:rPr>
          <w:rFonts w:ascii="宋体" w:hAnsi="宋体" w:eastAsia="宋体" w:cs="宋体"/>
          <w:color w:val="auto"/>
          <w:spacing w:val="10"/>
          <w:sz w:val="20"/>
          <w:szCs w:val="20"/>
          <w:highlight w:val="none"/>
        </w:rPr>
        <w:t>的控制导线不应小于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2.5</w:t>
      </w:r>
      <w:r>
        <w:rPr>
          <w:rFonts w:ascii="宋体" w:hAnsi="宋体" w:eastAsia="宋体" w:cs="宋体"/>
          <w:color w:val="auto"/>
          <w:sz w:val="20"/>
          <w:szCs w:val="20"/>
          <w:highlight w:val="none"/>
        </w:rPr>
        <w:t>mm</w:t>
      </w:r>
      <w:r>
        <w:rPr>
          <w:rFonts w:ascii="宋体" w:hAnsi="宋体" w:eastAsia="宋体" w:cs="宋体"/>
          <w:color w:val="auto"/>
          <w:spacing w:val="10"/>
          <w:sz w:val="20"/>
          <w:szCs w:val="20"/>
          <w:highlight w:val="none"/>
        </w:rPr>
        <w:t>2，</w:t>
      </w:r>
      <w:r>
        <w:rPr>
          <w:rFonts w:ascii="宋体" w:hAnsi="宋体" w:eastAsia="宋体" w:cs="宋体"/>
          <w:color w:val="auto"/>
          <w:sz w:val="20"/>
          <w:szCs w:val="20"/>
          <w:highlight w:val="none"/>
        </w:rPr>
        <w:t xml:space="preserve">CT </w:t>
      </w:r>
      <w:r>
        <w:rPr>
          <w:rFonts w:ascii="宋体" w:hAnsi="宋体" w:eastAsia="宋体" w:cs="宋体"/>
          <w:color w:val="auto"/>
          <w:spacing w:val="7"/>
          <w:sz w:val="20"/>
          <w:szCs w:val="20"/>
          <w:highlight w:val="none"/>
        </w:rPr>
        <w:t>回路导线不应小于</w:t>
      </w:r>
      <w:r>
        <w:rPr>
          <w:rFonts w:ascii="宋体" w:hAnsi="宋体" w:eastAsia="宋体" w:cs="宋体"/>
          <w:color w:val="auto"/>
          <w:spacing w:val="-34"/>
          <w:sz w:val="20"/>
          <w:szCs w:val="20"/>
          <w:highlight w:val="none"/>
        </w:rPr>
        <w:t xml:space="preserve"> </w:t>
      </w:r>
      <w:r>
        <w:rPr>
          <w:rFonts w:ascii="宋体" w:hAnsi="宋体" w:eastAsia="宋体" w:cs="宋体"/>
          <w:color w:val="auto"/>
          <w:spacing w:val="7"/>
          <w:sz w:val="20"/>
          <w:szCs w:val="20"/>
          <w:highlight w:val="none"/>
        </w:rPr>
        <w:t>4</w:t>
      </w:r>
      <w:r>
        <w:rPr>
          <w:rFonts w:ascii="宋体" w:hAnsi="宋体" w:eastAsia="宋体" w:cs="宋体"/>
          <w:color w:val="auto"/>
          <w:sz w:val="20"/>
          <w:szCs w:val="20"/>
          <w:highlight w:val="none"/>
        </w:rPr>
        <w:t>mm</w:t>
      </w:r>
      <w:r>
        <w:rPr>
          <w:rFonts w:ascii="宋体" w:hAnsi="宋体" w:eastAsia="宋体" w:cs="宋体"/>
          <w:color w:val="auto"/>
          <w:spacing w:val="7"/>
          <w:sz w:val="20"/>
          <w:szCs w:val="20"/>
          <w:highlight w:val="none"/>
        </w:rPr>
        <w:t>2。</w:t>
      </w:r>
    </w:p>
    <w:p w14:paraId="0A025DA7">
      <w:pPr>
        <w:spacing w:before="161" w:line="303" w:lineRule="auto"/>
        <w:ind w:left="21" w:firstLine="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3.6.13  导线应无损伤，导线与端子的连接应用螺</w:t>
      </w:r>
      <w:r>
        <w:rPr>
          <w:rFonts w:ascii="宋体" w:hAnsi="宋体" w:eastAsia="宋体" w:cs="宋体"/>
          <w:color w:val="auto"/>
          <w:spacing w:val="6"/>
          <w:sz w:val="20"/>
          <w:szCs w:val="20"/>
          <w:highlight w:val="none"/>
        </w:rPr>
        <w:t>丝加线鼻子的连接方式。供方应提供走线</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槽，</w:t>
      </w:r>
      <w:r>
        <w:rPr>
          <w:rFonts w:ascii="宋体" w:hAnsi="宋体" w:eastAsia="宋体" w:cs="宋体"/>
          <w:color w:val="auto"/>
          <w:spacing w:val="-60"/>
          <w:sz w:val="20"/>
          <w:szCs w:val="20"/>
          <w:highlight w:val="none"/>
        </w:rPr>
        <w:t xml:space="preserve"> </w:t>
      </w:r>
      <w:r>
        <w:rPr>
          <w:rFonts w:ascii="宋体" w:hAnsi="宋体" w:eastAsia="宋体" w:cs="宋体"/>
          <w:color w:val="auto"/>
          <w:spacing w:val="8"/>
          <w:sz w:val="20"/>
          <w:szCs w:val="20"/>
          <w:highlight w:val="none"/>
        </w:rPr>
        <w:t>以便固定电缆及端子排的接线。接到端子排上的导线应有标志条和标志套</w:t>
      </w:r>
      <w:r>
        <w:rPr>
          <w:rFonts w:ascii="宋体" w:hAnsi="宋体" w:eastAsia="宋体" w:cs="宋体"/>
          <w:color w:val="auto"/>
          <w:spacing w:val="7"/>
          <w:sz w:val="20"/>
          <w:szCs w:val="20"/>
          <w:highlight w:val="none"/>
        </w:rPr>
        <w:t>管标识清楚。</w:t>
      </w:r>
    </w:p>
    <w:p w14:paraId="612092CE">
      <w:pPr>
        <w:spacing w:before="167" w:line="365" w:lineRule="auto"/>
        <w:ind w:left="21" w:right="1" w:firstLine="5"/>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3.6.14  端子排应保证足够的绝缘水平，端子排应该分段，端子排应至少有</w:t>
      </w:r>
      <w:r>
        <w:rPr>
          <w:rFonts w:ascii="宋体" w:hAnsi="宋体" w:eastAsia="宋体" w:cs="宋体"/>
          <w:color w:val="auto"/>
          <w:spacing w:val="-35"/>
          <w:sz w:val="20"/>
          <w:szCs w:val="20"/>
          <w:highlight w:val="none"/>
        </w:rPr>
        <w:t xml:space="preserve"> </w:t>
      </w:r>
      <w:r>
        <w:rPr>
          <w:rFonts w:ascii="宋体" w:hAnsi="宋体" w:eastAsia="宋体" w:cs="宋体"/>
          <w:color w:val="auto"/>
          <w:spacing w:val="4"/>
          <w:sz w:val="20"/>
          <w:szCs w:val="20"/>
          <w:highlight w:val="none"/>
        </w:rPr>
        <w:t>20%的备用端</w:t>
      </w:r>
      <w:r>
        <w:rPr>
          <w:rFonts w:ascii="宋体" w:hAnsi="宋体" w:eastAsia="宋体" w:cs="宋体"/>
          <w:color w:val="auto"/>
          <w:spacing w:val="3"/>
          <w:sz w:val="20"/>
          <w:szCs w:val="20"/>
          <w:highlight w:val="none"/>
        </w:rPr>
        <w:t>子，</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且可在必要时再增加，外部接入的一根电缆中所有的导线应接于靠近的端子。设备端子均有</w:t>
      </w:r>
      <w:r>
        <w:rPr>
          <w:rFonts w:ascii="宋体" w:hAnsi="宋体" w:eastAsia="宋体" w:cs="宋体"/>
          <w:color w:val="auto"/>
          <w:spacing w:val="15"/>
          <w:sz w:val="20"/>
          <w:szCs w:val="20"/>
          <w:highlight w:val="none"/>
        </w:rPr>
        <w:t xml:space="preserve"> </w:t>
      </w:r>
      <w:r>
        <w:rPr>
          <w:rFonts w:ascii="宋体" w:hAnsi="宋体" w:eastAsia="宋体" w:cs="宋体"/>
          <w:color w:val="auto"/>
          <w:spacing w:val="7"/>
          <w:sz w:val="20"/>
          <w:szCs w:val="20"/>
          <w:highlight w:val="none"/>
        </w:rPr>
        <w:t>标字牌。一个端子上有且仅有一根导线，端子应保证连接可靠</w:t>
      </w:r>
      <w:r>
        <w:rPr>
          <w:rFonts w:hint="eastAsia" w:ascii="宋体" w:hAnsi="宋体" w:eastAsia="宋体" w:cs="宋体"/>
          <w:color w:val="auto"/>
          <w:spacing w:val="7"/>
          <w:sz w:val="20"/>
          <w:szCs w:val="20"/>
          <w:highlight w:val="none"/>
          <w:lang w:eastAsia="zh-CN"/>
        </w:rPr>
        <w:t>（</w:t>
      </w:r>
      <w:r>
        <w:rPr>
          <w:rFonts w:hint="eastAsia" w:ascii="宋体" w:hAnsi="宋体" w:eastAsia="宋体" w:cs="宋体"/>
          <w:color w:val="auto"/>
          <w:spacing w:val="7"/>
          <w:sz w:val="20"/>
          <w:szCs w:val="20"/>
          <w:highlight w:val="none"/>
          <w:lang w:val="en-US" w:eastAsia="zh-CN"/>
        </w:rPr>
        <w:t>故障录波器、测控信号端子采用双层端子设计</w:t>
      </w:r>
      <w:r>
        <w:rPr>
          <w:rFonts w:hint="eastAsia" w:ascii="宋体" w:hAnsi="宋体" w:eastAsia="宋体" w:cs="宋体"/>
          <w:color w:val="auto"/>
          <w:spacing w:val="7"/>
          <w:sz w:val="20"/>
          <w:szCs w:val="20"/>
          <w:highlight w:val="none"/>
          <w:lang w:eastAsia="zh-CN"/>
        </w:rPr>
        <w:t>）</w:t>
      </w:r>
      <w:r>
        <w:rPr>
          <w:rFonts w:ascii="宋体" w:hAnsi="宋体" w:eastAsia="宋体" w:cs="宋体"/>
          <w:color w:val="auto"/>
          <w:spacing w:val="7"/>
          <w:sz w:val="20"/>
          <w:szCs w:val="20"/>
          <w:highlight w:val="none"/>
        </w:rPr>
        <w:t>。断路器的正电源与跳闸及合</w:t>
      </w:r>
      <w:r>
        <w:rPr>
          <w:rFonts w:ascii="宋体" w:hAnsi="宋体" w:eastAsia="宋体" w:cs="宋体"/>
          <w:color w:val="auto"/>
          <w:spacing w:val="18"/>
          <w:sz w:val="20"/>
          <w:szCs w:val="20"/>
          <w:highlight w:val="none"/>
        </w:rPr>
        <w:t xml:space="preserve"> </w:t>
      </w:r>
      <w:r>
        <w:rPr>
          <w:rFonts w:ascii="宋体" w:hAnsi="宋体" w:eastAsia="宋体" w:cs="宋体"/>
          <w:color w:val="auto"/>
          <w:spacing w:val="7"/>
          <w:sz w:val="20"/>
          <w:szCs w:val="20"/>
          <w:highlight w:val="none"/>
        </w:rPr>
        <w:t>闸回路不能接在相邻端子上。直流电源的正负极不应布置在相邻的端子上。每个信号输出接</w:t>
      </w:r>
      <w:r>
        <w:rPr>
          <w:rFonts w:ascii="宋体" w:hAnsi="宋体" w:eastAsia="宋体" w:cs="宋体"/>
          <w:color w:val="auto"/>
          <w:spacing w:val="15"/>
          <w:sz w:val="20"/>
          <w:szCs w:val="20"/>
          <w:highlight w:val="none"/>
        </w:rPr>
        <w:t xml:space="preserve"> </w:t>
      </w:r>
      <w:r>
        <w:rPr>
          <w:rFonts w:ascii="宋体" w:hAnsi="宋体" w:eastAsia="宋体" w:cs="宋体"/>
          <w:color w:val="auto"/>
          <w:spacing w:val="9"/>
          <w:sz w:val="20"/>
          <w:szCs w:val="20"/>
          <w:highlight w:val="none"/>
        </w:rPr>
        <w:t>点须采用两个端子接线，不采用公用线接法。所有端子的额定电流为</w:t>
      </w:r>
      <w:r>
        <w:rPr>
          <w:rFonts w:ascii="宋体" w:hAnsi="宋体" w:eastAsia="宋体" w:cs="宋体"/>
          <w:color w:val="auto"/>
          <w:spacing w:val="-21"/>
          <w:sz w:val="20"/>
          <w:szCs w:val="20"/>
          <w:highlight w:val="none"/>
        </w:rPr>
        <w:t xml:space="preserve"> </w:t>
      </w:r>
      <w:r>
        <w:rPr>
          <w:rFonts w:ascii="宋体" w:hAnsi="宋体" w:eastAsia="宋体" w:cs="宋体"/>
          <w:color w:val="auto"/>
          <w:spacing w:val="9"/>
          <w:sz w:val="20"/>
          <w:szCs w:val="20"/>
          <w:highlight w:val="none"/>
        </w:rPr>
        <w:t>10A，1000V</w:t>
      </w:r>
      <w:r>
        <w:rPr>
          <w:rFonts w:ascii="宋体" w:hAnsi="宋体" w:eastAsia="宋体" w:cs="宋体"/>
          <w:color w:val="auto"/>
          <w:spacing w:val="8"/>
          <w:sz w:val="20"/>
          <w:szCs w:val="20"/>
          <w:highlight w:val="none"/>
        </w:rPr>
        <w:t>；</w:t>
      </w:r>
      <w:r>
        <w:rPr>
          <w:rFonts w:ascii="宋体" w:hAnsi="宋体" w:eastAsia="宋体" w:cs="宋体"/>
          <w:color w:val="auto"/>
          <w:spacing w:val="-53"/>
          <w:sz w:val="20"/>
          <w:szCs w:val="20"/>
          <w:highlight w:val="none"/>
        </w:rPr>
        <w:t xml:space="preserve"> </w:t>
      </w:r>
      <w:r>
        <w:rPr>
          <w:rFonts w:ascii="宋体" w:hAnsi="宋体" w:eastAsia="宋体" w:cs="宋体"/>
          <w:color w:val="auto"/>
          <w:spacing w:val="8"/>
          <w:sz w:val="20"/>
          <w:szCs w:val="20"/>
          <w:highlight w:val="none"/>
        </w:rPr>
        <w:t>电流、</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电压及跳闸出口端子应允许用户接</w:t>
      </w:r>
      <w:r>
        <w:rPr>
          <w:rFonts w:ascii="宋体" w:hAnsi="宋体" w:eastAsia="宋体" w:cs="宋体"/>
          <w:color w:val="auto"/>
          <w:spacing w:val="-35"/>
          <w:sz w:val="20"/>
          <w:szCs w:val="20"/>
          <w:highlight w:val="none"/>
        </w:rPr>
        <w:t xml:space="preserve"> </w:t>
      </w:r>
      <w:r>
        <w:rPr>
          <w:rFonts w:ascii="宋体" w:hAnsi="宋体" w:eastAsia="宋体" w:cs="宋体"/>
          <w:color w:val="auto"/>
          <w:spacing w:val="11"/>
          <w:sz w:val="20"/>
          <w:szCs w:val="20"/>
          <w:highlight w:val="none"/>
        </w:rPr>
        <w:t>6</w:t>
      </w:r>
      <w:r>
        <w:rPr>
          <w:rFonts w:ascii="宋体" w:hAnsi="宋体" w:eastAsia="宋体" w:cs="宋体"/>
          <w:color w:val="auto"/>
          <w:sz w:val="20"/>
          <w:szCs w:val="20"/>
          <w:highlight w:val="none"/>
        </w:rPr>
        <w:t>mm</w:t>
      </w:r>
      <w:r>
        <w:rPr>
          <w:rFonts w:ascii="宋体" w:hAnsi="宋体" w:eastAsia="宋体" w:cs="宋体"/>
          <w:color w:val="auto"/>
          <w:spacing w:val="11"/>
          <w:position w:val="10"/>
          <w:sz w:val="10"/>
          <w:szCs w:val="10"/>
          <w:highlight w:val="none"/>
        </w:rPr>
        <w:t xml:space="preserve">2 </w:t>
      </w:r>
      <w:r>
        <w:rPr>
          <w:rFonts w:ascii="宋体" w:hAnsi="宋体" w:eastAsia="宋体" w:cs="宋体"/>
          <w:color w:val="auto"/>
          <w:spacing w:val="11"/>
          <w:sz w:val="20"/>
          <w:szCs w:val="20"/>
          <w:highlight w:val="none"/>
        </w:rPr>
        <w:t>的电缆导线。端子排前应保留足够</w:t>
      </w:r>
      <w:r>
        <w:rPr>
          <w:rFonts w:ascii="宋体" w:hAnsi="宋体" w:eastAsia="宋体" w:cs="宋体"/>
          <w:color w:val="auto"/>
          <w:spacing w:val="10"/>
          <w:sz w:val="20"/>
          <w:szCs w:val="20"/>
          <w:highlight w:val="none"/>
        </w:rPr>
        <w:t>空间，便于电缆</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连接。所有二次端子选用菲尼克斯阻燃压接型端子，额定值为</w:t>
      </w:r>
      <w:r>
        <w:rPr>
          <w:rFonts w:ascii="宋体" w:hAnsi="宋体" w:eastAsia="宋体" w:cs="宋体"/>
          <w:color w:val="auto"/>
          <w:spacing w:val="-6"/>
          <w:sz w:val="20"/>
          <w:szCs w:val="20"/>
          <w:highlight w:val="none"/>
        </w:rPr>
        <w:t xml:space="preserve"> </w:t>
      </w:r>
      <w:r>
        <w:rPr>
          <w:rFonts w:ascii="宋体" w:hAnsi="宋体" w:eastAsia="宋体" w:cs="宋体"/>
          <w:color w:val="auto"/>
          <w:spacing w:val="8"/>
          <w:sz w:val="20"/>
          <w:szCs w:val="20"/>
          <w:highlight w:val="none"/>
        </w:rPr>
        <w:t>1000V、10A。</w:t>
      </w:r>
      <w:r>
        <w:rPr>
          <w:rFonts w:ascii="宋体" w:hAnsi="宋体" w:eastAsia="宋体" w:cs="宋体"/>
          <w:color w:val="auto"/>
          <w:sz w:val="20"/>
          <w:szCs w:val="20"/>
          <w:highlight w:val="none"/>
        </w:rPr>
        <w:t>CT</w:t>
      </w:r>
      <w:r>
        <w:rPr>
          <w:rFonts w:ascii="宋体" w:hAnsi="宋体" w:eastAsia="宋体" w:cs="宋体"/>
          <w:color w:val="auto"/>
          <w:spacing w:val="-35"/>
          <w:sz w:val="20"/>
          <w:szCs w:val="20"/>
          <w:highlight w:val="none"/>
        </w:rPr>
        <w:t xml:space="preserve"> </w:t>
      </w:r>
      <w:r>
        <w:rPr>
          <w:rFonts w:ascii="宋体" w:hAnsi="宋体" w:eastAsia="宋体" w:cs="宋体"/>
          <w:color w:val="auto"/>
          <w:spacing w:val="8"/>
          <w:sz w:val="20"/>
          <w:szCs w:val="20"/>
          <w:highlight w:val="none"/>
        </w:rPr>
        <w:t>二次回路应</w:t>
      </w:r>
      <w:r>
        <w:rPr>
          <w:rFonts w:ascii="宋体" w:hAnsi="宋体" w:eastAsia="宋体" w:cs="宋体"/>
          <w:color w:val="auto"/>
          <w:sz w:val="20"/>
          <w:szCs w:val="20"/>
          <w:highlight w:val="none"/>
        </w:rPr>
        <w:t xml:space="preserve"> </w:t>
      </w:r>
      <w:r>
        <w:rPr>
          <w:rFonts w:ascii="宋体" w:hAnsi="宋体" w:eastAsia="宋体" w:cs="宋体"/>
          <w:color w:val="auto"/>
          <w:spacing w:val="13"/>
          <w:sz w:val="20"/>
          <w:szCs w:val="20"/>
          <w:highlight w:val="none"/>
        </w:rPr>
        <w:t>采用专用的</w:t>
      </w:r>
      <w:r>
        <w:rPr>
          <w:rFonts w:ascii="宋体" w:hAnsi="宋体" w:eastAsia="宋体" w:cs="宋体"/>
          <w:color w:val="auto"/>
          <w:sz w:val="20"/>
          <w:szCs w:val="20"/>
          <w:highlight w:val="none"/>
        </w:rPr>
        <w:t>URTK</w:t>
      </w:r>
      <w:r>
        <w:rPr>
          <w:rFonts w:ascii="宋体" w:hAnsi="宋体" w:eastAsia="宋体" w:cs="宋体"/>
          <w:color w:val="auto"/>
          <w:spacing w:val="13"/>
          <w:sz w:val="20"/>
          <w:szCs w:val="20"/>
          <w:highlight w:val="none"/>
        </w:rPr>
        <w:t>/S</w:t>
      </w:r>
      <w:r>
        <w:rPr>
          <w:rFonts w:ascii="宋体" w:hAnsi="宋体" w:eastAsia="宋体" w:cs="宋体"/>
          <w:color w:val="auto"/>
          <w:spacing w:val="-29"/>
          <w:sz w:val="20"/>
          <w:szCs w:val="20"/>
          <w:highlight w:val="none"/>
        </w:rPr>
        <w:t xml:space="preserve"> </w:t>
      </w:r>
      <w:r>
        <w:rPr>
          <w:rFonts w:ascii="宋体" w:hAnsi="宋体" w:eastAsia="宋体" w:cs="宋体"/>
          <w:color w:val="auto"/>
          <w:spacing w:val="13"/>
          <w:sz w:val="20"/>
          <w:szCs w:val="20"/>
          <w:highlight w:val="none"/>
        </w:rPr>
        <w:t>型端子，</w:t>
      </w:r>
      <w:r>
        <w:rPr>
          <w:rFonts w:ascii="宋体" w:hAnsi="宋体" w:eastAsia="宋体" w:cs="宋体"/>
          <w:color w:val="auto"/>
          <w:sz w:val="20"/>
          <w:szCs w:val="20"/>
          <w:highlight w:val="none"/>
        </w:rPr>
        <w:t>PT</w:t>
      </w:r>
      <w:r>
        <w:rPr>
          <w:rFonts w:ascii="宋体" w:hAnsi="宋体" w:eastAsia="宋体" w:cs="宋体"/>
          <w:color w:val="auto"/>
          <w:spacing w:val="-34"/>
          <w:sz w:val="20"/>
          <w:szCs w:val="20"/>
          <w:highlight w:val="none"/>
        </w:rPr>
        <w:t xml:space="preserve"> </w:t>
      </w:r>
      <w:r>
        <w:rPr>
          <w:rFonts w:ascii="宋体" w:hAnsi="宋体" w:eastAsia="宋体" w:cs="宋体"/>
          <w:color w:val="auto"/>
          <w:spacing w:val="13"/>
          <w:sz w:val="20"/>
          <w:szCs w:val="20"/>
          <w:highlight w:val="none"/>
        </w:rPr>
        <w:t>二次电压回路应采用专用的</w:t>
      </w:r>
      <w:r>
        <w:rPr>
          <w:rFonts w:ascii="宋体" w:hAnsi="宋体" w:eastAsia="宋体" w:cs="宋体"/>
          <w:color w:val="auto"/>
          <w:sz w:val="20"/>
          <w:szCs w:val="20"/>
          <w:highlight w:val="none"/>
        </w:rPr>
        <w:t>URTK</w:t>
      </w:r>
      <w:r>
        <w:rPr>
          <w:rFonts w:ascii="宋体" w:hAnsi="宋体" w:eastAsia="宋体" w:cs="宋体"/>
          <w:color w:val="auto"/>
          <w:spacing w:val="13"/>
          <w:sz w:val="20"/>
          <w:szCs w:val="20"/>
          <w:highlight w:val="none"/>
        </w:rPr>
        <w:t>/S</w:t>
      </w:r>
      <w:r>
        <w:rPr>
          <w:rFonts w:ascii="宋体" w:hAnsi="宋体" w:eastAsia="宋体" w:cs="宋体"/>
          <w:color w:val="auto"/>
          <w:spacing w:val="-32"/>
          <w:sz w:val="20"/>
          <w:szCs w:val="20"/>
          <w:highlight w:val="none"/>
        </w:rPr>
        <w:t xml:space="preserve"> </w:t>
      </w:r>
      <w:r>
        <w:rPr>
          <w:rFonts w:ascii="宋体" w:hAnsi="宋体" w:eastAsia="宋体" w:cs="宋体"/>
          <w:color w:val="auto"/>
          <w:spacing w:val="13"/>
          <w:sz w:val="20"/>
          <w:szCs w:val="20"/>
          <w:highlight w:val="none"/>
        </w:rPr>
        <w:t>型端子，</w:t>
      </w:r>
      <w:r>
        <w:rPr>
          <w:rFonts w:ascii="宋体" w:hAnsi="宋体" w:eastAsia="宋体" w:cs="宋体"/>
          <w:color w:val="auto"/>
          <w:spacing w:val="-58"/>
          <w:sz w:val="20"/>
          <w:szCs w:val="20"/>
          <w:highlight w:val="none"/>
        </w:rPr>
        <w:t xml:space="preserve"> </w:t>
      </w:r>
      <w:r>
        <w:rPr>
          <w:rFonts w:ascii="宋体" w:hAnsi="宋体" w:eastAsia="宋体" w:cs="宋体"/>
          <w:color w:val="auto"/>
          <w:spacing w:val="13"/>
          <w:sz w:val="20"/>
          <w:szCs w:val="20"/>
          <w:highlight w:val="none"/>
        </w:rPr>
        <w:t>电压</w:t>
      </w:r>
      <w:r>
        <w:rPr>
          <w:rFonts w:ascii="宋体" w:hAnsi="宋体" w:eastAsia="宋体" w:cs="宋体"/>
          <w:color w:val="auto"/>
          <w:spacing w:val="12"/>
          <w:sz w:val="20"/>
          <w:szCs w:val="20"/>
          <w:highlight w:val="none"/>
        </w:rPr>
        <w:t>端子使用</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蓝色端子，电流端子使用灰色端子，跳闸端子采用红色端子。端子排中交、直流回路、电流</w:t>
      </w:r>
      <w:r>
        <w:rPr>
          <w:rFonts w:ascii="宋体" w:hAnsi="宋体" w:eastAsia="宋体" w:cs="宋体"/>
          <w:color w:val="auto"/>
          <w:spacing w:val="18"/>
          <w:sz w:val="20"/>
          <w:szCs w:val="20"/>
          <w:highlight w:val="none"/>
        </w:rPr>
        <w:t xml:space="preserve"> </w:t>
      </w:r>
      <w:r>
        <w:rPr>
          <w:rFonts w:ascii="宋体" w:hAnsi="宋体" w:eastAsia="宋体" w:cs="宋体"/>
          <w:color w:val="auto"/>
          <w:spacing w:val="7"/>
          <w:sz w:val="20"/>
          <w:szCs w:val="20"/>
          <w:highlight w:val="none"/>
        </w:rPr>
        <w:t>回路、电压回路、合闸回路、跳闸回路的端子间均应有空端子隔离，信号回路采用可断开刀</w:t>
      </w:r>
      <w:r>
        <w:rPr>
          <w:rFonts w:ascii="宋体" w:hAnsi="宋体" w:eastAsia="宋体" w:cs="宋体"/>
          <w:color w:val="auto"/>
          <w:spacing w:val="18"/>
          <w:sz w:val="20"/>
          <w:szCs w:val="20"/>
          <w:highlight w:val="none"/>
        </w:rPr>
        <w:t xml:space="preserve"> </w:t>
      </w:r>
      <w:r>
        <w:rPr>
          <w:rFonts w:ascii="宋体" w:hAnsi="宋体" w:eastAsia="宋体" w:cs="宋体"/>
          <w:color w:val="auto"/>
          <w:spacing w:val="8"/>
          <w:sz w:val="20"/>
          <w:szCs w:val="20"/>
          <w:highlight w:val="none"/>
        </w:rPr>
        <w:t>闸型端子。</w:t>
      </w:r>
      <w:r>
        <w:rPr>
          <w:rFonts w:ascii="宋体" w:hAnsi="宋体" w:eastAsia="宋体" w:cs="宋体"/>
          <w:color w:val="auto"/>
          <w:sz w:val="20"/>
          <w:szCs w:val="20"/>
          <w:highlight w:val="none"/>
        </w:rPr>
        <w:t>CT</w:t>
      </w:r>
      <w:r>
        <w:rPr>
          <w:rFonts w:ascii="宋体" w:hAnsi="宋体" w:eastAsia="宋体" w:cs="宋体"/>
          <w:color w:val="auto"/>
          <w:spacing w:val="-35"/>
          <w:sz w:val="20"/>
          <w:szCs w:val="20"/>
          <w:highlight w:val="none"/>
        </w:rPr>
        <w:t xml:space="preserve"> </w:t>
      </w:r>
      <w:r>
        <w:rPr>
          <w:rFonts w:ascii="宋体" w:hAnsi="宋体" w:eastAsia="宋体" w:cs="宋体"/>
          <w:color w:val="auto"/>
          <w:spacing w:val="8"/>
          <w:sz w:val="20"/>
          <w:szCs w:val="20"/>
          <w:highlight w:val="none"/>
        </w:rPr>
        <w:t>和</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PT</w:t>
      </w:r>
      <w:r>
        <w:rPr>
          <w:rFonts w:ascii="宋体" w:hAnsi="宋体" w:eastAsia="宋体" w:cs="宋体"/>
          <w:color w:val="auto"/>
          <w:spacing w:val="-21"/>
          <w:sz w:val="20"/>
          <w:szCs w:val="20"/>
          <w:highlight w:val="none"/>
        </w:rPr>
        <w:t xml:space="preserve"> </w:t>
      </w:r>
      <w:r>
        <w:rPr>
          <w:rFonts w:ascii="宋体" w:hAnsi="宋体" w:eastAsia="宋体" w:cs="宋体"/>
          <w:color w:val="auto"/>
          <w:spacing w:val="8"/>
          <w:sz w:val="20"/>
          <w:szCs w:val="20"/>
          <w:highlight w:val="none"/>
        </w:rPr>
        <w:t>的二次回路应提供标准的试验端子并具有隔离板，便于断开或短接装置</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的输入与输出回路，电流不小于</w:t>
      </w:r>
      <w:r>
        <w:rPr>
          <w:rFonts w:ascii="宋体" w:hAnsi="宋体" w:eastAsia="宋体" w:cs="宋体"/>
          <w:color w:val="auto"/>
          <w:spacing w:val="-20"/>
          <w:sz w:val="20"/>
          <w:szCs w:val="20"/>
          <w:highlight w:val="none"/>
        </w:rPr>
        <w:t xml:space="preserve"> </w:t>
      </w:r>
      <w:r>
        <w:rPr>
          <w:rFonts w:ascii="宋体" w:hAnsi="宋体" w:eastAsia="宋体" w:cs="宋体"/>
          <w:color w:val="auto"/>
          <w:spacing w:val="5"/>
          <w:sz w:val="20"/>
          <w:szCs w:val="20"/>
          <w:highlight w:val="none"/>
        </w:rPr>
        <w:t>20A（1000V）。所有导线应牢固的夹紧。端子排上的导线固</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定采用平头铜螺丝。</w:t>
      </w:r>
    </w:p>
    <w:p w14:paraId="4B444C9B">
      <w:pPr>
        <w:spacing w:before="166" w:line="339" w:lineRule="auto"/>
        <w:ind w:left="20" w:right="56" w:firstLine="5"/>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3.6.15  电流互感器或电压互感器</w:t>
      </w:r>
      <w:r>
        <w:rPr>
          <w:rFonts w:ascii="宋体" w:hAnsi="宋体" w:eastAsia="宋体" w:cs="宋体"/>
          <w:color w:val="auto"/>
          <w:spacing w:val="10"/>
          <w:sz w:val="20"/>
          <w:szCs w:val="20"/>
          <w:highlight w:val="none"/>
        </w:rPr>
        <w:t>输入线应通过电流、</w:t>
      </w:r>
      <w:r>
        <w:rPr>
          <w:rFonts w:ascii="宋体" w:hAnsi="宋体" w:eastAsia="宋体" w:cs="宋体"/>
          <w:color w:val="auto"/>
          <w:spacing w:val="-59"/>
          <w:sz w:val="20"/>
          <w:szCs w:val="20"/>
          <w:highlight w:val="none"/>
        </w:rPr>
        <w:t xml:space="preserve"> </w:t>
      </w:r>
      <w:r>
        <w:rPr>
          <w:rFonts w:ascii="宋体" w:hAnsi="宋体" w:eastAsia="宋体" w:cs="宋体"/>
          <w:color w:val="auto"/>
          <w:spacing w:val="10"/>
          <w:sz w:val="20"/>
          <w:szCs w:val="20"/>
          <w:highlight w:val="none"/>
        </w:rPr>
        <w:t>电压试验部件专用端子接入保护装</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置，并采用便于电流回路测试的端子，以便</w:t>
      </w:r>
      <w:r>
        <w:rPr>
          <w:rFonts w:ascii="宋体" w:hAnsi="宋体" w:eastAsia="宋体" w:cs="宋体"/>
          <w:color w:val="auto"/>
          <w:spacing w:val="7"/>
          <w:sz w:val="20"/>
          <w:szCs w:val="20"/>
          <w:highlight w:val="none"/>
        </w:rPr>
        <w:t>对保护装置进行隔离和试验，对所有保护装置的</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跳闸出口、起动失灵等回路应提供各回路分别操作的试验部件或连接片，以便于必要时解除</w:t>
      </w:r>
      <w:r>
        <w:rPr>
          <w:rFonts w:ascii="宋体" w:hAnsi="宋体" w:eastAsia="宋体" w:cs="宋体"/>
          <w:color w:val="auto"/>
          <w:spacing w:val="16"/>
          <w:sz w:val="20"/>
          <w:szCs w:val="20"/>
          <w:highlight w:val="none"/>
        </w:rPr>
        <w:t xml:space="preserve"> </w:t>
      </w:r>
      <w:r>
        <w:rPr>
          <w:rFonts w:ascii="宋体" w:hAnsi="宋体" w:eastAsia="宋体" w:cs="宋体"/>
          <w:color w:val="auto"/>
          <w:spacing w:val="7"/>
          <w:sz w:val="20"/>
          <w:szCs w:val="20"/>
          <w:highlight w:val="none"/>
        </w:rPr>
        <w:t>其出口回路。</w:t>
      </w:r>
    </w:p>
    <w:p w14:paraId="1A9DFEA7">
      <w:pPr>
        <w:spacing w:before="162" w:line="302" w:lineRule="auto"/>
        <w:ind w:left="23" w:right="58" w:firstLine="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3.6.16  发变组保护及启备变保护非电量屏采用</w:t>
      </w:r>
      <w:r>
        <w:rPr>
          <w:rFonts w:hint="eastAsia" w:ascii="宋体" w:hAnsi="宋体" w:eastAsia="宋体" w:cs="宋体"/>
          <w:color w:val="auto"/>
          <w:spacing w:val="7"/>
          <w:sz w:val="20"/>
          <w:szCs w:val="20"/>
          <w:highlight w:val="none"/>
          <w:lang w:val="en-US" w:eastAsia="zh-CN"/>
        </w:rPr>
        <w:t>手动</w:t>
      </w:r>
      <w:r>
        <w:rPr>
          <w:rFonts w:ascii="宋体" w:hAnsi="宋体" w:eastAsia="宋体" w:cs="宋体"/>
          <w:color w:val="auto"/>
          <w:spacing w:val="6"/>
          <w:sz w:val="20"/>
          <w:szCs w:val="20"/>
          <w:highlight w:val="none"/>
        </w:rPr>
        <w:t>双电源切换装置，两路直流输入电源先</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经空开再进</w:t>
      </w:r>
      <w:r>
        <w:rPr>
          <w:rFonts w:hint="eastAsia" w:ascii="宋体" w:hAnsi="宋体" w:eastAsia="宋体" w:cs="宋体"/>
          <w:color w:val="auto"/>
          <w:spacing w:val="9"/>
          <w:sz w:val="20"/>
          <w:szCs w:val="20"/>
          <w:highlight w:val="none"/>
          <w:lang w:val="en-US" w:eastAsia="zh-CN"/>
        </w:rPr>
        <w:t>手</w:t>
      </w:r>
      <w:r>
        <w:rPr>
          <w:rFonts w:ascii="宋体" w:hAnsi="宋体" w:eastAsia="宋体" w:cs="宋体"/>
          <w:color w:val="auto"/>
          <w:spacing w:val="9"/>
          <w:sz w:val="20"/>
          <w:szCs w:val="20"/>
          <w:highlight w:val="none"/>
        </w:rPr>
        <w:t>动双电源切换装置。</w:t>
      </w:r>
    </w:p>
    <w:p w14:paraId="537E5A92">
      <w:pPr>
        <w:spacing w:before="163"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3.6.17  直流电源应采用双极快速小开关，并具有合适的断流能力和指示器。</w:t>
      </w:r>
    </w:p>
    <w:p w14:paraId="0B0A90A4">
      <w:pPr>
        <w:spacing w:before="162"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3.6.18  屏的内部和外部必须清洁，应清除内部所有杂物及内外一切污迹。</w:t>
      </w:r>
    </w:p>
    <w:p w14:paraId="44F14D14">
      <w:pPr>
        <w:spacing w:before="162" w:line="302" w:lineRule="auto"/>
        <w:ind w:left="22" w:right="58" w:firstLine="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3.6.19  屏的所有表面应该清洗过，刷一层底漆和</w:t>
      </w:r>
      <w:r>
        <w:rPr>
          <w:rFonts w:ascii="宋体" w:hAnsi="宋体" w:eastAsia="宋体" w:cs="宋体"/>
          <w:color w:val="auto"/>
          <w:spacing w:val="6"/>
          <w:sz w:val="20"/>
          <w:szCs w:val="20"/>
          <w:highlight w:val="none"/>
        </w:rPr>
        <w:t>二道罩漆，应保证柜内外油漆过的表面的</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运输、储藏和正常运行时的防腐蚀性能。</w:t>
      </w:r>
    </w:p>
    <w:p w14:paraId="24D5DBC9">
      <w:pPr>
        <w:spacing w:before="164" w:line="327" w:lineRule="auto"/>
        <w:ind w:left="24" w:right="56" w:firstLine="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3.6.20  每块屏及屏内的装置（包括继电器、控制开关、</w:t>
      </w:r>
      <w:r>
        <w:rPr>
          <w:rFonts w:ascii="宋体" w:hAnsi="宋体" w:eastAsia="宋体" w:cs="宋体"/>
          <w:color w:val="auto"/>
          <w:spacing w:val="6"/>
          <w:sz w:val="20"/>
          <w:szCs w:val="20"/>
          <w:highlight w:val="none"/>
        </w:rPr>
        <w:t>控制回路的熔丝、开关及其他独立</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设备）都应有标签框，以便于清楚的识别，外壳可移动设备，在设备本体上也要有同样的识</w:t>
      </w:r>
      <w:r>
        <w:rPr>
          <w:rFonts w:ascii="宋体" w:hAnsi="宋体" w:eastAsia="宋体" w:cs="宋体"/>
          <w:color w:val="auto"/>
          <w:spacing w:val="14"/>
          <w:sz w:val="20"/>
          <w:szCs w:val="20"/>
          <w:highlight w:val="none"/>
        </w:rPr>
        <w:t xml:space="preserve"> </w:t>
      </w:r>
      <w:r>
        <w:rPr>
          <w:rFonts w:ascii="宋体" w:hAnsi="宋体" w:eastAsia="宋体" w:cs="宋体"/>
          <w:color w:val="auto"/>
          <w:spacing w:val="4"/>
          <w:sz w:val="20"/>
          <w:szCs w:val="20"/>
          <w:highlight w:val="none"/>
        </w:rPr>
        <w:t>别标签。</w:t>
      </w:r>
    </w:p>
    <w:p w14:paraId="2BB34FAC">
      <w:pPr>
        <w:spacing w:before="163" w:line="227" w:lineRule="auto"/>
        <w:jc w:val="right"/>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3.6.21  对于那些必须按制造厂的规定才能运行更换的部件和插件，应有特殊的符号</w:t>
      </w:r>
      <w:r>
        <w:rPr>
          <w:rFonts w:ascii="宋体" w:hAnsi="宋体" w:eastAsia="宋体" w:cs="宋体"/>
          <w:color w:val="auto"/>
          <w:spacing w:val="7"/>
          <w:sz w:val="20"/>
          <w:szCs w:val="20"/>
          <w:highlight w:val="none"/>
        </w:rPr>
        <w:t>标出。</w:t>
      </w:r>
    </w:p>
    <w:p w14:paraId="77C96E6C">
      <w:pPr>
        <w:spacing w:line="227" w:lineRule="auto"/>
        <w:rPr>
          <w:rFonts w:ascii="宋体" w:hAnsi="宋体" w:eastAsia="宋体" w:cs="宋体"/>
          <w:color w:val="auto"/>
          <w:sz w:val="20"/>
          <w:szCs w:val="20"/>
          <w:highlight w:val="none"/>
        </w:rPr>
        <w:sectPr>
          <w:pgSz w:w="11906" w:h="16839"/>
          <w:pgMar w:top="1428" w:right="1743" w:bottom="0" w:left="1785" w:header="0" w:footer="0" w:gutter="0"/>
          <w:pgBorders>
            <w:top w:val="none" w:sz="0" w:space="0"/>
            <w:left w:val="none" w:sz="0" w:space="0"/>
            <w:bottom w:val="none" w:sz="0" w:space="0"/>
            <w:right w:val="none" w:sz="0" w:space="0"/>
          </w:pgBorders>
          <w:cols w:space="720" w:num="1"/>
        </w:sectPr>
      </w:pPr>
    </w:p>
    <w:p w14:paraId="248A3CAF">
      <w:pPr>
        <w:spacing w:before="41" w:line="228" w:lineRule="auto"/>
        <w:ind w:left="2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3.6.22  保护屏中的接插件应接触可</w:t>
      </w:r>
      <w:r>
        <w:rPr>
          <w:rFonts w:ascii="宋体" w:hAnsi="宋体" w:eastAsia="宋体" w:cs="宋体"/>
          <w:color w:val="auto"/>
          <w:spacing w:val="8"/>
          <w:sz w:val="20"/>
          <w:szCs w:val="20"/>
          <w:highlight w:val="none"/>
        </w:rPr>
        <w:t>靠，并且具有良好的互换型，以便检修时迅速更换。</w:t>
      </w:r>
    </w:p>
    <w:p w14:paraId="48A04876">
      <w:pPr>
        <w:spacing w:before="160" w:line="368" w:lineRule="auto"/>
        <w:ind w:left="23" w:right="42" w:firstLine="3"/>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3.6.23  保护压板应满足继电保护相关规程及标准的要求，且便</w:t>
      </w:r>
      <w:r>
        <w:rPr>
          <w:rFonts w:ascii="宋体" w:hAnsi="宋体" w:eastAsia="宋体" w:cs="宋体"/>
          <w:color w:val="auto"/>
          <w:spacing w:val="9"/>
          <w:sz w:val="20"/>
          <w:szCs w:val="20"/>
          <w:highlight w:val="none"/>
        </w:rPr>
        <w:t>于操作,使用</w:t>
      </w:r>
      <w:r>
        <w:rPr>
          <w:rFonts w:ascii="宋体" w:hAnsi="宋体" w:eastAsia="宋体" w:cs="宋体"/>
          <w:color w:val="auto"/>
          <w:spacing w:val="-37"/>
          <w:sz w:val="20"/>
          <w:szCs w:val="20"/>
          <w:highlight w:val="none"/>
        </w:rPr>
        <w:t xml:space="preserve"> </w:t>
      </w:r>
      <w:r>
        <w:rPr>
          <w:rFonts w:ascii="宋体" w:hAnsi="宋体" w:eastAsia="宋体" w:cs="宋体"/>
          <w:color w:val="auto"/>
          <w:sz w:val="20"/>
          <w:szCs w:val="20"/>
          <w:highlight w:val="none"/>
        </w:rPr>
        <w:t>XH</w:t>
      </w:r>
      <w:r>
        <w:rPr>
          <w:rFonts w:ascii="宋体" w:hAnsi="宋体" w:eastAsia="宋体" w:cs="宋体"/>
          <w:color w:val="auto"/>
          <w:spacing w:val="9"/>
          <w:sz w:val="20"/>
          <w:szCs w:val="20"/>
          <w:highlight w:val="none"/>
        </w:rPr>
        <w:t>17W2T/</w:t>
      </w:r>
      <w:r>
        <w:rPr>
          <w:rFonts w:ascii="宋体" w:hAnsi="宋体" w:eastAsia="宋体" w:cs="宋体"/>
          <w:color w:val="auto"/>
          <w:sz w:val="20"/>
          <w:szCs w:val="20"/>
          <w:highlight w:val="none"/>
        </w:rPr>
        <w:t xml:space="preserve">DKZ </w:t>
      </w:r>
      <w:r>
        <w:rPr>
          <w:rFonts w:ascii="宋体" w:hAnsi="宋体" w:eastAsia="宋体" w:cs="宋体"/>
          <w:color w:val="auto"/>
          <w:spacing w:val="7"/>
          <w:sz w:val="20"/>
          <w:szCs w:val="20"/>
          <w:highlight w:val="none"/>
        </w:rPr>
        <w:t>型压板并按功能用不同颜色区分，跳闸压板用红色，功能压板用黄色，根据运行方式投入或</w:t>
      </w:r>
      <w:r>
        <w:rPr>
          <w:rFonts w:ascii="宋体" w:hAnsi="宋体" w:eastAsia="宋体" w:cs="宋体"/>
          <w:color w:val="auto"/>
          <w:spacing w:val="16"/>
          <w:sz w:val="20"/>
          <w:szCs w:val="20"/>
          <w:highlight w:val="none"/>
        </w:rPr>
        <w:t xml:space="preserve"> </w:t>
      </w:r>
      <w:r>
        <w:rPr>
          <w:rFonts w:ascii="宋体" w:hAnsi="宋体" w:eastAsia="宋体" w:cs="宋体"/>
          <w:color w:val="auto"/>
          <w:spacing w:val="9"/>
          <w:sz w:val="20"/>
          <w:szCs w:val="20"/>
          <w:highlight w:val="none"/>
        </w:rPr>
        <w:t>退出的压板用黄色，备用压板用鸵色，要求为质量可靠的插拔型针式产品。</w:t>
      </w:r>
    </w:p>
    <w:p w14:paraId="2EE7C1A5">
      <w:pPr>
        <w:spacing w:before="115" w:line="220" w:lineRule="auto"/>
        <w:ind w:left="22"/>
        <w:outlineLvl w:val="0"/>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4</w:t>
      </w:r>
      <w:r>
        <w:rPr>
          <w:rFonts w:ascii="宋体" w:hAnsi="宋体" w:eastAsia="宋体" w:cs="宋体"/>
          <w:color w:val="auto"/>
          <w:spacing w:val="35"/>
          <w:sz w:val="24"/>
          <w:szCs w:val="24"/>
          <w:highlight w:val="none"/>
        </w:rPr>
        <w:t xml:space="preserve">  </w:t>
      </w:r>
      <w:r>
        <w:rPr>
          <w:rFonts w:ascii="宋体" w:hAnsi="宋体" w:eastAsia="宋体" w:cs="宋体"/>
          <w:b/>
          <w:bCs/>
          <w:color w:val="auto"/>
          <w:spacing w:val="-6"/>
          <w:sz w:val="24"/>
          <w:szCs w:val="24"/>
          <w:highlight w:val="none"/>
        </w:rPr>
        <w:t>质量保证</w:t>
      </w:r>
    </w:p>
    <w:p w14:paraId="02B209B4">
      <w:pPr>
        <w:spacing w:before="97" w:line="302" w:lineRule="auto"/>
        <w:ind w:left="20" w:right="79"/>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4.1  订购的新产品除满足本技术协议外，投标人</w:t>
      </w:r>
      <w:r>
        <w:rPr>
          <w:rFonts w:ascii="宋体" w:hAnsi="宋体" w:eastAsia="宋体" w:cs="宋体"/>
          <w:color w:val="auto"/>
          <w:spacing w:val="8"/>
          <w:sz w:val="20"/>
          <w:szCs w:val="20"/>
          <w:highlight w:val="none"/>
        </w:rPr>
        <w:t>还应提供产品的鉴定证书及产品合格证。</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进口元器件及材料提供原产地证明、报关单。</w:t>
      </w:r>
    </w:p>
    <w:p w14:paraId="076279F6">
      <w:pPr>
        <w:spacing w:before="165" w:line="328" w:lineRule="auto"/>
        <w:ind w:left="22" w:right="44" w:hanging="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4.2  投标人应保证制造过程中的所有工艺、材料等（包括投标人的外购件在内）均应符合</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技术协议的规定。若招标人根据运行经验指定投标人提供某种外购零部件，投标人应积极配</w:t>
      </w:r>
      <w:r>
        <w:rPr>
          <w:rFonts w:ascii="宋体" w:hAnsi="宋体" w:eastAsia="宋体" w:cs="宋体"/>
          <w:color w:val="auto"/>
          <w:spacing w:val="14"/>
          <w:sz w:val="20"/>
          <w:szCs w:val="20"/>
          <w:highlight w:val="none"/>
        </w:rPr>
        <w:t xml:space="preserve"> </w:t>
      </w:r>
      <w:r>
        <w:rPr>
          <w:rFonts w:ascii="宋体" w:hAnsi="宋体" w:eastAsia="宋体" w:cs="宋体"/>
          <w:color w:val="auto"/>
          <w:sz w:val="20"/>
          <w:szCs w:val="20"/>
          <w:highlight w:val="none"/>
        </w:rPr>
        <w:t>合。</w:t>
      </w:r>
    </w:p>
    <w:p w14:paraId="2509BD45">
      <w:pPr>
        <w:spacing w:before="156" w:line="304" w:lineRule="auto"/>
        <w:ind w:left="25" w:hanging="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4.3  投标人应遵守本技术协议中各条款和工作项目的</w:t>
      </w:r>
      <w:r>
        <w:rPr>
          <w:rFonts w:ascii="宋体" w:hAnsi="宋体" w:eastAsia="宋体" w:cs="宋体"/>
          <w:color w:val="auto"/>
          <w:spacing w:val="-30"/>
          <w:sz w:val="20"/>
          <w:szCs w:val="20"/>
          <w:highlight w:val="none"/>
        </w:rPr>
        <w:t xml:space="preserve"> </w:t>
      </w:r>
      <w:r>
        <w:rPr>
          <w:rFonts w:ascii="宋体" w:hAnsi="宋体" w:eastAsia="宋体" w:cs="宋体"/>
          <w:color w:val="auto"/>
          <w:sz w:val="20"/>
          <w:szCs w:val="20"/>
          <w:highlight w:val="none"/>
        </w:rPr>
        <w:t>ISO</w:t>
      </w:r>
      <w:r>
        <w:rPr>
          <w:rFonts w:ascii="宋体" w:hAnsi="宋体" w:eastAsia="宋体" w:cs="宋体"/>
          <w:color w:val="auto"/>
          <w:spacing w:val="8"/>
          <w:sz w:val="20"/>
          <w:szCs w:val="20"/>
          <w:highlight w:val="none"/>
        </w:rPr>
        <w:t>9001及</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8"/>
          <w:sz w:val="20"/>
          <w:szCs w:val="20"/>
          <w:highlight w:val="none"/>
        </w:rPr>
        <w:t>/T1900</w:t>
      </w:r>
      <w:r>
        <w:rPr>
          <w:rFonts w:ascii="宋体" w:hAnsi="宋体" w:eastAsia="宋体" w:cs="宋体"/>
          <w:color w:val="auto"/>
          <w:spacing w:val="-40"/>
          <w:sz w:val="20"/>
          <w:szCs w:val="20"/>
          <w:highlight w:val="none"/>
        </w:rPr>
        <w:t xml:space="preserve"> </w:t>
      </w:r>
      <w:r>
        <w:rPr>
          <w:rFonts w:ascii="宋体" w:hAnsi="宋体" w:eastAsia="宋体" w:cs="宋体"/>
          <w:color w:val="auto"/>
          <w:spacing w:val="8"/>
          <w:sz w:val="20"/>
          <w:szCs w:val="20"/>
          <w:highlight w:val="none"/>
        </w:rPr>
        <w:t>质量保证体系，</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该质量保证体系经过国家认证和正常运转。</w:t>
      </w:r>
    </w:p>
    <w:p w14:paraId="45945C76">
      <w:pPr>
        <w:spacing w:before="256" w:line="228" w:lineRule="auto"/>
        <w:ind w:left="2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4.4  在正常的使用工作环境下，整体产品</w:t>
      </w:r>
      <w:r>
        <w:rPr>
          <w:rFonts w:ascii="宋体" w:hAnsi="宋体" w:eastAsia="宋体" w:cs="宋体"/>
          <w:color w:val="auto"/>
          <w:spacing w:val="7"/>
          <w:sz w:val="20"/>
          <w:szCs w:val="20"/>
          <w:highlight w:val="none"/>
        </w:rPr>
        <w:t>使用寿命为不小于</w:t>
      </w:r>
      <w:r>
        <w:rPr>
          <w:rFonts w:ascii="宋体" w:hAnsi="宋体" w:eastAsia="宋体" w:cs="宋体"/>
          <w:color w:val="auto"/>
          <w:spacing w:val="-35"/>
          <w:sz w:val="20"/>
          <w:szCs w:val="20"/>
          <w:highlight w:val="none"/>
        </w:rPr>
        <w:t xml:space="preserve"> </w:t>
      </w:r>
      <w:r>
        <w:rPr>
          <w:rFonts w:ascii="宋体" w:hAnsi="宋体" w:eastAsia="宋体" w:cs="宋体"/>
          <w:color w:val="auto"/>
          <w:spacing w:val="7"/>
          <w:sz w:val="20"/>
          <w:szCs w:val="20"/>
          <w:highlight w:val="none"/>
        </w:rPr>
        <w:t>30</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年。</w:t>
      </w:r>
    </w:p>
    <w:p w14:paraId="7A7ECB0C">
      <w:pPr>
        <w:spacing w:before="221" w:line="364" w:lineRule="auto"/>
        <w:ind w:left="21" w:right="4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4.5  投标人所供设备质保期应为</w:t>
      </w:r>
      <w:r>
        <w:rPr>
          <w:rFonts w:hint="eastAsia" w:ascii="宋体" w:hAnsi="宋体" w:cs="宋体"/>
          <w:color w:val="auto"/>
          <w:sz w:val="21"/>
          <w:szCs w:val="21"/>
          <w:lang w:val="en-US" w:eastAsia="zh-CN"/>
        </w:rPr>
        <w:t>设备安装调试完成并通过</w:t>
      </w:r>
      <w:r>
        <w:rPr>
          <w:rFonts w:hint="eastAsia" w:ascii="宋体" w:hAnsi="宋体" w:cs="宋体"/>
          <w:color w:val="auto"/>
          <w:sz w:val="21"/>
          <w:szCs w:val="21"/>
        </w:rPr>
        <w:t>机组运行168小时试验后1年</w:t>
      </w:r>
      <w:r>
        <w:rPr>
          <w:rFonts w:ascii="宋体" w:hAnsi="宋体" w:eastAsia="宋体" w:cs="宋体"/>
          <w:color w:val="auto"/>
          <w:spacing w:val="7"/>
          <w:sz w:val="20"/>
          <w:szCs w:val="20"/>
          <w:highlight w:val="none"/>
        </w:rPr>
        <w:t>。在整个质保期内，非</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人为因素造成的设备损坏，应有投标人及时免费更换，并且根据因此而造成的经济损失大小</w:t>
      </w:r>
      <w:r>
        <w:rPr>
          <w:rFonts w:ascii="宋体" w:hAnsi="宋体" w:eastAsia="宋体" w:cs="宋体"/>
          <w:color w:val="auto"/>
          <w:spacing w:val="14"/>
          <w:sz w:val="20"/>
          <w:szCs w:val="20"/>
          <w:highlight w:val="none"/>
        </w:rPr>
        <w:t xml:space="preserve"> </w:t>
      </w:r>
      <w:r>
        <w:rPr>
          <w:rFonts w:ascii="宋体" w:hAnsi="宋体" w:eastAsia="宋体" w:cs="宋体"/>
          <w:color w:val="auto"/>
          <w:spacing w:val="8"/>
          <w:sz w:val="20"/>
          <w:szCs w:val="20"/>
          <w:highlight w:val="none"/>
        </w:rPr>
        <w:t>承担一定的经济责任。</w:t>
      </w:r>
    </w:p>
    <w:p w14:paraId="22D1E488">
      <w:pPr>
        <w:spacing w:before="206" w:line="219" w:lineRule="auto"/>
        <w:ind w:left="28"/>
        <w:outlineLvl w:val="0"/>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5</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4"/>
          <w:sz w:val="24"/>
          <w:szCs w:val="24"/>
          <w:highlight w:val="none"/>
        </w:rPr>
        <w:t>设计与供货界限及接口规则</w:t>
      </w:r>
    </w:p>
    <w:p w14:paraId="08722BED">
      <w:pPr>
        <w:spacing w:before="199" w:line="422" w:lineRule="auto"/>
        <w:ind w:left="22" w:right="2" w:firstLine="436"/>
        <w:jc w:val="both"/>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因保护装置为原保护换型改造物资，所有外部电缆均利旧，要求投标方在设计保</w:t>
      </w:r>
      <w:r>
        <w:rPr>
          <w:rFonts w:ascii="宋体" w:hAnsi="宋体" w:eastAsia="宋体" w:cs="宋体"/>
          <w:color w:val="auto"/>
          <w:spacing w:val="7"/>
          <w:sz w:val="20"/>
          <w:szCs w:val="20"/>
          <w:highlight w:val="none"/>
        </w:rPr>
        <w:t>护时，</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充分考虑在满足标准要求的基础上，保护装置端子排的布置及端子排位置与现场原有电缆匹</w:t>
      </w:r>
      <w:r>
        <w:rPr>
          <w:rFonts w:ascii="宋体" w:hAnsi="宋体" w:eastAsia="宋体" w:cs="宋体"/>
          <w:color w:val="auto"/>
          <w:spacing w:val="14"/>
          <w:sz w:val="20"/>
          <w:szCs w:val="20"/>
          <w:highlight w:val="none"/>
        </w:rPr>
        <w:t xml:space="preserve"> </w:t>
      </w:r>
      <w:r>
        <w:rPr>
          <w:rFonts w:ascii="宋体" w:hAnsi="宋体" w:eastAsia="宋体" w:cs="宋体"/>
          <w:color w:val="auto"/>
          <w:spacing w:val="9"/>
          <w:sz w:val="20"/>
          <w:szCs w:val="20"/>
          <w:highlight w:val="none"/>
        </w:rPr>
        <w:t>配，避免原有电缆长度不足够影响保护换型改造工作。</w:t>
      </w:r>
    </w:p>
    <w:p w14:paraId="37479813">
      <w:pPr>
        <w:spacing w:before="18" w:line="216" w:lineRule="auto"/>
        <w:ind w:left="25"/>
        <w:outlineLvl w:val="0"/>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6</w:t>
      </w:r>
      <w:r>
        <w:rPr>
          <w:rFonts w:ascii="宋体" w:hAnsi="宋体" w:eastAsia="宋体" w:cs="宋体"/>
          <w:color w:val="auto"/>
          <w:spacing w:val="39"/>
          <w:sz w:val="24"/>
          <w:szCs w:val="24"/>
          <w:highlight w:val="none"/>
        </w:rPr>
        <w:t xml:space="preserve">  </w:t>
      </w:r>
      <w:r>
        <w:rPr>
          <w:rFonts w:ascii="宋体" w:hAnsi="宋体" w:eastAsia="宋体" w:cs="宋体"/>
          <w:b/>
          <w:bCs/>
          <w:color w:val="auto"/>
          <w:spacing w:val="-4"/>
          <w:sz w:val="24"/>
          <w:szCs w:val="24"/>
          <w:highlight w:val="none"/>
        </w:rPr>
        <w:t>清洁,</w:t>
      </w:r>
      <w:r>
        <w:rPr>
          <w:rFonts w:ascii="宋体" w:hAnsi="宋体" w:eastAsia="宋体" w:cs="宋体"/>
          <w:color w:val="auto"/>
          <w:spacing w:val="-4"/>
          <w:sz w:val="24"/>
          <w:szCs w:val="24"/>
          <w:highlight w:val="none"/>
        </w:rPr>
        <w:t xml:space="preserve"> </w:t>
      </w:r>
      <w:r>
        <w:rPr>
          <w:rFonts w:ascii="宋体" w:hAnsi="宋体" w:eastAsia="宋体" w:cs="宋体"/>
          <w:b/>
          <w:bCs/>
          <w:color w:val="auto"/>
          <w:spacing w:val="-4"/>
          <w:sz w:val="24"/>
          <w:szCs w:val="24"/>
          <w:highlight w:val="none"/>
        </w:rPr>
        <w:t>油漆,</w:t>
      </w:r>
      <w:r>
        <w:rPr>
          <w:rFonts w:ascii="宋体" w:hAnsi="宋体" w:eastAsia="宋体" w:cs="宋体"/>
          <w:color w:val="auto"/>
          <w:spacing w:val="-4"/>
          <w:sz w:val="24"/>
          <w:szCs w:val="24"/>
          <w:highlight w:val="none"/>
        </w:rPr>
        <w:t xml:space="preserve"> </w:t>
      </w:r>
      <w:r>
        <w:rPr>
          <w:rFonts w:ascii="宋体" w:hAnsi="宋体" w:eastAsia="宋体" w:cs="宋体"/>
          <w:b/>
          <w:bCs/>
          <w:color w:val="auto"/>
          <w:spacing w:val="-4"/>
          <w:sz w:val="24"/>
          <w:szCs w:val="24"/>
          <w:highlight w:val="none"/>
        </w:rPr>
        <w:t>包装,</w:t>
      </w:r>
      <w:r>
        <w:rPr>
          <w:rFonts w:ascii="宋体" w:hAnsi="宋体" w:eastAsia="宋体" w:cs="宋体"/>
          <w:color w:val="auto"/>
          <w:spacing w:val="11"/>
          <w:sz w:val="24"/>
          <w:szCs w:val="24"/>
          <w:highlight w:val="none"/>
        </w:rPr>
        <w:t xml:space="preserve"> </w:t>
      </w:r>
      <w:r>
        <w:rPr>
          <w:rFonts w:ascii="宋体" w:hAnsi="宋体" w:eastAsia="宋体" w:cs="宋体"/>
          <w:b/>
          <w:bCs/>
          <w:color w:val="auto"/>
          <w:spacing w:val="-4"/>
          <w:sz w:val="24"/>
          <w:szCs w:val="24"/>
          <w:highlight w:val="none"/>
        </w:rPr>
        <w:t>装卸,</w:t>
      </w:r>
      <w:r>
        <w:rPr>
          <w:rFonts w:ascii="宋体" w:hAnsi="宋体" w:eastAsia="宋体" w:cs="宋体"/>
          <w:color w:val="auto"/>
          <w:spacing w:val="10"/>
          <w:sz w:val="24"/>
          <w:szCs w:val="24"/>
          <w:highlight w:val="none"/>
        </w:rPr>
        <w:t xml:space="preserve"> </w:t>
      </w:r>
      <w:r>
        <w:rPr>
          <w:rFonts w:ascii="宋体" w:hAnsi="宋体" w:eastAsia="宋体" w:cs="宋体"/>
          <w:b/>
          <w:bCs/>
          <w:color w:val="auto"/>
          <w:spacing w:val="-4"/>
          <w:sz w:val="24"/>
          <w:szCs w:val="24"/>
          <w:highlight w:val="none"/>
        </w:rPr>
        <w:t>运输与储存</w:t>
      </w:r>
    </w:p>
    <w:p w14:paraId="063CBFFB">
      <w:pPr>
        <w:spacing w:before="104" w:line="340" w:lineRule="auto"/>
        <w:ind w:left="22" w:right="42" w:firstLine="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6.1 在合同设备任何部分交付运输前，投标人应按照规定和本附件所述的要求，对所要交付</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的该部分合同设备进行包装，该包装应具有适合长途运输、多次搬运和装卸的坚固包装，以</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确保合同设备安全、无损地运抵现场。设备包装时应有防护措施，以便在运输保管中起防腐</w:t>
      </w:r>
      <w:r>
        <w:rPr>
          <w:rFonts w:ascii="宋体" w:hAnsi="宋体" w:eastAsia="宋体" w:cs="宋体"/>
          <w:color w:val="auto"/>
          <w:spacing w:val="17"/>
          <w:sz w:val="20"/>
          <w:szCs w:val="20"/>
          <w:highlight w:val="none"/>
        </w:rPr>
        <w:t xml:space="preserve"> </w:t>
      </w:r>
      <w:r>
        <w:rPr>
          <w:rFonts w:ascii="宋体" w:hAnsi="宋体" w:eastAsia="宋体" w:cs="宋体"/>
          <w:color w:val="auto"/>
          <w:spacing w:val="3"/>
          <w:sz w:val="20"/>
          <w:szCs w:val="20"/>
          <w:highlight w:val="none"/>
        </w:rPr>
        <w:t>作用。</w:t>
      </w:r>
    </w:p>
    <w:p w14:paraId="27A77FD1">
      <w:pPr>
        <w:spacing w:before="159" w:line="328" w:lineRule="auto"/>
        <w:ind w:left="24" w:right="42" w:hanging="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6.2 投标人应保证对合同设备的所有包装在运输、装卸过程中完好无损，并有减震、防冲击</w:t>
      </w:r>
      <w:r>
        <w:rPr>
          <w:rFonts w:ascii="宋体" w:hAnsi="宋体" w:eastAsia="宋体" w:cs="宋体"/>
          <w:color w:val="auto"/>
          <w:spacing w:val="1"/>
          <w:sz w:val="20"/>
          <w:szCs w:val="20"/>
          <w:highlight w:val="none"/>
        </w:rPr>
        <w:t xml:space="preserve"> </w:t>
      </w:r>
      <w:r>
        <w:rPr>
          <w:rFonts w:ascii="宋体" w:hAnsi="宋体" w:eastAsia="宋体" w:cs="宋体"/>
          <w:color w:val="auto"/>
          <w:spacing w:val="7"/>
          <w:sz w:val="20"/>
          <w:szCs w:val="20"/>
          <w:highlight w:val="none"/>
        </w:rPr>
        <w:t>的措施。若包装无法防止运输、装卸过程中垂直、水平加速度引起的设备损坏，投标人要在</w:t>
      </w:r>
      <w:r>
        <w:rPr>
          <w:rFonts w:ascii="宋体" w:hAnsi="宋体" w:eastAsia="宋体" w:cs="宋体"/>
          <w:color w:val="auto"/>
          <w:spacing w:val="14"/>
          <w:sz w:val="20"/>
          <w:szCs w:val="20"/>
          <w:highlight w:val="none"/>
        </w:rPr>
        <w:t xml:space="preserve"> </w:t>
      </w:r>
      <w:r>
        <w:rPr>
          <w:rFonts w:ascii="宋体" w:hAnsi="宋体" w:eastAsia="宋体" w:cs="宋体"/>
          <w:color w:val="auto"/>
          <w:spacing w:val="8"/>
          <w:sz w:val="20"/>
          <w:szCs w:val="20"/>
          <w:highlight w:val="none"/>
        </w:rPr>
        <w:t>设备的设计结构上予以解决。</w:t>
      </w:r>
    </w:p>
    <w:p w14:paraId="6D77EC26">
      <w:pPr>
        <w:spacing w:before="160" w:line="340" w:lineRule="auto"/>
        <w:ind w:left="22" w:right="42" w:firstLine="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6.3 投标人提供的电气设备必须严格包装，包装应能保证合同设备在现场的保管与维护，包</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括在合理时间内有效的防潮、抗氧化、耐海水、耐海风、耐盐雾侵蚀的措施。对于可以进行</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露天堆放的合同设备，应能保证在合理时间内的露天堆放不会对合同设备造成损害。包装费</w:t>
      </w:r>
      <w:r>
        <w:rPr>
          <w:rFonts w:ascii="宋体" w:hAnsi="宋体" w:eastAsia="宋体" w:cs="宋体"/>
          <w:color w:val="auto"/>
          <w:spacing w:val="15"/>
          <w:sz w:val="20"/>
          <w:szCs w:val="20"/>
          <w:highlight w:val="none"/>
        </w:rPr>
        <w:t xml:space="preserve"> </w:t>
      </w:r>
      <w:r>
        <w:rPr>
          <w:rFonts w:ascii="宋体" w:hAnsi="宋体" w:eastAsia="宋体" w:cs="宋体"/>
          <w:color w:val="auto"/>
          <w:spacing w:val="7"/>
          <w:sz w:val="20"/>
          <w:szCs w:val="20"/>
          <w:highlight w:val="none"/>
        </w:rPr>
        <w:t>包括在设备总价内。</w:t>
      </w:r>
    </w:p>
    <w:p w14:paraId="7D4AE5BC">
      <w:pPr>
        <w:spacing w:before="162" w:line="227" w:lineRule="auto"/>
        <w:ind w:left="2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6.4 如果国家有关包装的标准或规范、本附件所述的包装技术协议及合同设备承运人的包装</w:t>
      </w:r>
    </w:p>
    <w:p w14:paraId="38143818">
      <w:pPr>
        <w:spacing w:line="227" w:lineRule="auto"/>
        <w:rPr>
          <w:rFonts w:ascii="宋体" w:hAnsi="宋体" w:eastAsia="宋体" w:cs="宋体"/>
          <w:color w:val="auto"/>
          <w:sz w:val="20"/>
          <w:szCs w:val="20"/>
          <w:highlight w:val="none"/>
        </w:rPr>
        <w:sectPr>
          <w:pgSz w:w="11906" w:h="16839"/>
          <w:pgMar w:top="1428" w:right="1756" w:bottom="0" w:left="1785" w:header="0" w:footer="0" w:gutter="0"/>
          <w:pgBorders>
            <w:top w:val="none" w:sz="0" w:space="0"/>
            <w:left w:val="none" w:sz="0" w:space="0"/>
            <w:bottom w:val="none" w:sz="0" w:space="0"/>
            <w:right w:val="none" w:sz="0" w:space="0"/>
          </w:pgBorders>
          <w:cols w:space="720" w:num="1"/>
        </w:sectPr>
      </w:pPr>
    </w:p>
    <w:p w14:paraId="7A93BBDE">
      <w:pPr>
        <w:spacing w:before="41" w:line="370" w:lineRule="auto"/>
        <w:ind w:left="126" w:right="60"/>
        <w:jc w:val="both"/>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要求之间不一致，则投标人应按照前述各项规范或要求中的最高要求对合同</w:t>
      </w:r>
      <w:r>
        <w:rPr>
          <w:rFonts w:ascii="宋体" w:hAnsi="宋体" w:eastAsia="宋体" w:cs="宋体"/>
          <w:color w:val="auto"/>
          <w:spacing w:val="8"/>
          <w:sz w:val="20"/>
          <w:szCs w:val="20"/>
          <w:highlight w:val="none"/>
        </w:rPr>
        <w:t>设备进行包装。</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6.5 投标人应提交合同设备的包装技术规范及标准，包括但不限于包装示意图、包装材料材</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质与规格等，由招标人进行审查确认。资料文件中还应包括对合同设备包装过程中将采取的</w:t>
      </w:r>
      <w:r>
        <w:rPr>
          <w:rFonts w:ascii="宋体" w:hAnsi="宋体" w:eastAsia="宋体" w:cs="宋体"/>
          <w:color w:val="auto"/>
          <w:spacing w:val="14"/>
          <w:sz w:val="20"/>
          <w:szCs w:val="20"/>
          <w:highlight w:val="none"/>
        </w:rPr>
        <w:t xml:space="preserve"> </w:t>
      </w:r>
      <w:r>
        <w:rPr>
          <w:rFonts w:ascii="宋体" w:hAnsi="宋体" w:eastAsia="宋体" w:cs="宋体"/>
          <w:color w:val="auto"/>
          <w:spacing w:val="9"/>
          <w:sz w:val="20"/>
          <w:szCs w:val="20"/>
          <w:highlight w:val="none"/>
        </w:rPr>
        <w:t>防潮、防锈、防腐蚀、抗震及充氮等措施的详细描述及承诺。</w:t>
      </w:r>
    </w:p>
    <w:p w14:paraId="54542DFD">
      <w:pPr>
        <w:spacing w:before="32" w:line="302" w:lineRule="auto"/>
        <w:ind w:left="125" w:right="119" w:firstLine="1"/>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6.6</w:t>
      </w:r>
      <w:r>
        <w:rPr>
          <w:rFonts w:ascii="宋体" w:hAnsi="宋体" w:eastAsia="宋体" w:cs="宋体"/>
          <w:color w:val="auto"/>
          <w:spacing w:val="47"/>
          <w:sz w:val="20"/>
          <w:szCs w:val="20"/>
          <w:highlight w:val="none"/>
        </w:rPr>
        <w:t xml:space="preserve"> </w:t>
      </w:r>
      <w:r>
        <w:rPr>
          <w:rFonts w:ascii="宋体" w:hAnsi="宋体" w:eastAsia="宋体" w:cs="宋体"/>
          <w:color w:val="auto"/>
          <w:spacing w:val="6"/>
          <w:sz w:val="20"/>
          <w:szCs w:val="20"/>
          <w:highlight w:val="none"/>
        </w:rPr>
        <w:t>电控设备的包装与保管措施应满足露天堆放一个月的要求，其他设备的包装与保管措施</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应满足露天堆放六个月的要求。</w:t>
      </w:r>
    </w:p>
    <w:p w14:paraId="22EC7371">
      <w:pPr>
        <w:spacing w:before="163" w:line="227" w:lineRule="auto"/>
        <w:ind w:left="12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6.7 产品包装、运输、储存应符合本合同的有</w:t>
      </w:r>
      <w:r>
        <w:rPr>
          <w:rFonts w:ascii="宋体" w:hAnsi="宋体" w:eastAsia="宋体" w:cs="宋体"/>
          <w:color w:val="auto"/>
          <w:spacing w:val="8"/>
          <w:sz w:val="20"/>
          <w:szCs w:val="20"/>
          <w:highlight w:val="none"/>
        </w:rPr>
        <w:t>关标准中有关条款规定。</w:t>
      </w:r>
    </w:p>
    <w:p w14:paraId="7D3E8756">
      <w:pPr>
        <w:spacing w:before="162" w:line="227" w:lineRule="auto"/>
        <w:ind w:left="12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6.8 铭牌用耐腐蚀材料制成，并应符合有关标准的要求。</w:t>
      </w:r>
    </w:p>
    <w:p w14:paraId="1DB57226">
      <w:pPr>
        <w:spacing w:before="162" w:line="227" w:lineRule="auto"/>
        <w:ind w:left="12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6.9 屏柜外表油漆采用佐顿、阿克苏、式玛、关西品牌</w:t>
      </w:r>
      <w:r>
        <w:rPr>
          <w:rFonts w:hint="eastAsia"/>
          <w:color w:val="auto"/>
          <w:sz w:val="21"/>
          <w:szCs w:val="21"/>
          <w:highlight w:val="none"/>
          <w:lang w:eastAsia="zh-CN"/>
        </w:rPr>
        <w:t>或相当于</w:t>
      </w:r>
      <w:r>
        <w:rPr>
          <w:rFonts w:ascii="宋体" w:hAnsi="宋体" w:eastAsia="宋体" w:cs="宋体"/>
          <w:color w:val="auto"/>
          <w:spacing w:val="8"/>
          <w:sz w:val="20"/>
          <w:szCs w:val="20"/>
          <w:highlight w:val="none"/>
        </w:rPr>
        <w:t>。</w:t>
      </w:r>
    </w:p>
    <w:p w14:paraId="5909EE13">
      <w:pPr>
        <w:spacing w:before="246" w:line="219" w:lineRule="auto"/>
        <w:ind w:left="132"/>
        <w:outlineLvl w:val="0"/>
        <w:rPr>
          <w:rFonts w:ascii="宋体" w:hAnsi="宋体" w:eastAsia="宋体" w:cs="宋体"/>
          <w:color w:val="auto"/>
          <w:sz w:val="24"/>
          <w:szCs w:val="24"/>
          <w:highlight w:val="none"/>
        </w:rPr>
      </w:pPr>
      <w:r>
        <w:rPr>
          <w:rFonts w:ascii="宋体" w:hAnsi="宋体" w:eastAsia="宋体" w:cs="宋体"/>
          <w:b/>
          <w:bCs/>
          <w:color w:val="auto"/>
          <w:spacing w:val="-9"/>
          <w:sz w:val="24"/>
          <w:szCs w:val="24"/>
          <w:highlight w:val="none"/>
        </w:rPr>
        <w:t>7</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9"/>
          <w:sz w:val="24"/>
          <w:szCs w:val="24"/>
          <w:highlight w:val="none"/>
        </w:rPr>
        <w:t>数据表</w:t>
      </w:r>
      <w:bookmarkStart w:id="40" w:name="_GoBack"/>
      <w:bookmarkEnd w:id="40"/>
    </w:p>
    <w:p w14:paraId="308DD8F8">
      <w:pPr>
        <w:spacing w:line="69" w:lineRule="exact"/>
        <w:rPr>
          <w:color w:val="auto"/>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6217D2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10CBA79D">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4CEFE133">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73CCD8DC">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273ABF4E">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1C7A9EB8">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48939EC4">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328D07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0159E860">
            <w:pPr>
              <w:spacing w:before="165" w:line="184" w:lineRule="auto"/>
              <w:ind w:left="336"/>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7785" w:type="dxa"/>
            <w:gridSpan w:val="5"/>
            <w:vAlign w:val="top"/>
          </w:tcPr>
          <w:p w14:paraId="2E8CDE0D">
            <w:pPr>
              <w:spacing w:before="137" w:line="219" w:lineRule="auto"/>
              <w:ind w:left="10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微机型发变组、启备变保护装置</w:t>
            </w:r>
          </w:p>
        </w:tc>
      </w:tr>
      <w:tr w14:paraId="37880B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8ACD0BC">
            <w:pPr>
              <w:pStyle w:val="7"/>
              <w:spacing w:line="278" w:lineRule="auto"/>
              <w:rPr>
                <w:color w:val="auto"/>
                <w:highlight w:val="none"/>
              </w:rPr>
            </w:pPr>
          </w:p>
          <w:p w14:paraId="4E1F1225">
            <w:pPr>
              <w:pStyle w:val="7"/>
              <w:spacing w:line="279" w:lineRule="auto"/>
              <w:rPr>
                <w:color w:val="auto"/>
                <w:highlight w:val="none"/>
              </w:rPr>
            </w:pPr>
          </w:p>
          <w:p w14:paraId="30A42C03">
            <w:pPr>
              <w:pStyle w:val="7"/>
              <w:spacing w:line="279" w:lineRule="auto"/>
              <w:rPr>
                <w:color w:val="auto"/>
                <w:highlight w:val="none"/>
              </w:rPr>
            </w:pPr>
          </w:p>
          <w:p w14:paraId="00CBF1E9">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1_1</w:t>
            </w:r>
          </w:p>
        </w:tc>
        <w:tc>
          <w:tcPr>
            <w:tcW w:w="2457" w:type="dxa"/>
            <w:vMerge w:val="restart"/>
            <w:tcBorders>
              <w:bottom w:val="nil"/>
            </w:tcBorders>
            <w:vAlign w:val="top"/>
          </w:tcPr>
          <w:p w14:paraId="76ADDB90">
            <w:pPr>
              <w:pStyle w:val="7"/>
              <w:spacing w:line="269" w:lineRule="auto"/>
              <w:rPr>
                <w:color w:val="auto"/>
                <w:highlight w:val="none"/>
              </w:rPr>
            </w:pPr>
          </w:p>
          <w:p w14:paraId="5701214B">
            <w:pPr>
              <w:pStyle w:val="7"/>
              <w:spacing w:line="269" w:lineRule="auto"/>
              <w:rPr>
                <w:color w:val="auto"/>
                <w:highlight w:val="none"/>
              </w:rPr>
            </w:pPr>
          </w:p>
          <w:p w14:paraId="7AF8CD34">
            <w:pPr>
              <w:pStyle w:val="7"/>
              <w:spacing w:line="270" w:lineRule="auto"/>
              <w:rPr>
                <w:color w:val="auto"/>
                <w:highlight w:val="none"/>
              </w:rPr>
            </w:pPr>
          </w:p>
          <w:p w14:paraId="0FCC7806">
            <w:pPr>
              <w:spacing w:before="59" w:line="219" w:lineRule="auto"/>
              <w:ind w:left="59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发电机差动保护</w:t>
            </w:r>
          </w:p>
        </w:tc>
        <w:tc>
          <w:tcPr>
            <w:tcW w:w="867" w:type="dxa"/>
            <w:vMerge w:val="restart"/>
            <w:tcBorders>
              <w:bottom w:val="nil"/>
            </w:tcBorders>
            <w:vAlign w:val="top"/>
          </w:tcPr>
          <w:p w14:paraId="109A6952">
            <w:pPr>
              <w:pStyle w:val="7"/>
              <w:rPr>
                <w:color w:val="auto"/>
                <w:highlight w:val="none"/>
              </w:rPr>
            </w:pPr>
          </w:p>
        </w:tc>
        <w:tc>
          <w:tcPr>
            <w:tcW w:w="1484" w:type="dxa"/>
            <w:vAlign w:val="top"/>
          </w:tcPr>
          <w:p w14:paraId="17677AAA">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2A641100">
            <w:pPr>
              <w:pStyle w:val="7"/>
              <w:rPr>
                <w:color w:val="auto"/>
                <w:highlight w:val="none"/>
              </w:rPr>
            </w:pPr>
          </w:p>
        </w:tc>
        <w:tc>
          <w:tcPr>
            <w:tcW w:w="1493" w:type="dxa"/>
            <w:vAlign w:val="top"/>
          </w:tcPr>
          <w:p w14:paraId="7DD7EE45">
            <w:pPr>
              <w:pStyle w:val="7"/>
              <w:rPr>
                <w:color w:val="auto"/>
                <w:highlight w:val="none"/>
              </w:rPr>
            </w:pPr>
          </w:p>
        </w:tc>
      </w:tr>
      <w:tr w14:paraId="36C262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0ADA383">
            <w:pPr>
              <w:pStyle w:val="7"/>
              <w:rPr>
                <w:color w:val="auto"/>
                <w:highlight w:val="none"/>
              </w:rPr>
            </w:pPr>
          </w:p>
        </w:tc>
        <w:tc>
          <w:tcPr>
            <w:tcW w:w="2457" w:type="dxa"/>
            <w:vMerge w:val="continue"/>
            <w:tcBorders>
              <w:top w:val="nil"/>
              <w:bottom w:val="nil"/>
            </w:tcBorders>
            <w:vAlign w:val="top"/>
          </w:tcPr>
          <w:p w14:paraId="29F6C4F9">
            <w:pPr>
              <w:pStyle w:val="7"/>
              <w:rPr>
                <w:color w:val="auto"/>
                <w:highlight w:val="none"/>
              </w:rPr>
            </w:pPr>
          </w:p>
        </w:tc>
        <w:tc>
          <w:tcPr>
            <w:tcW w:w="867" w:type="dxa"/>
            <w:vMerge w:val="continue"/>
            <w:tcBorders>
              <w:top w:val="nil"/>
              <w:bottom w:val="nil"/>
            </w:tcBorders>
            <w:vAlign w:val="top"/>
          </w:tcPr>
          <w:p w14:paraId="0E7C2CCB">
            <w:pPr>
              <w:pStyle w:val="7"/>
              <w:rPr>
                <w:color w:val="auto"/>
                <w:highlight w:val="none"/>
              </w:rPr>
            </w:pPr>
          </w:p>
        </w:tc>
        <w:tc>
          <w:tcPr>
            <w:tcW w:w="1484" w:type="dxa"/>
            <w:vAlign w:val="top"/>
          </w:tcPr>
          <w:p w14:paraId="5716D4B9">
            <w:pPr>
              <w:pStyle w:val="7"/>
              <w:rPr>
                <w:color w:val="auto"/>
                <w:highlight w:val="none"/>
              </w:rPr>
            </w:pPr>
          </w:p>
        </w:tc>
        <w:tc>
          <w:tcPr>
            <w:tcW w:w="1484" w:type="dxa"/>
            <w:vAlign w:val="top"/>
          </w:tcPr>
          <w:p w14:paraId="1B0A3FB5">
            <w:pPr>
              <w:pStyle w:val="7"/>
              <w:rPr>
                <w:color w:val="auto"/>
                <w:highlight w:val="none"/>
              </w:rPr>
            </w:pPr>
          </w:p>
        </w:tc>
        <w:tc>
          <w:tcPr>
            <w:tcW w:w="1493" w:type="dxa"/>
            <w:vAlign w:val="top"/>
          </w:tcPr>
          <w:p w14:paraId="68C50367">
            <w:pPr>
              <w:pStyle w:val="7"/>
              <w:rPr>
                <w:color w:val="auto"/>
                <w:highlight w:val="none"/>
              </w:rPr>
            </w:pPr>
          </w:p>
        </w:tc>
      </w:tr>
      <w:tr w14:paraId="46C00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2517FD3E">
            <w:pPr>
              <w:pStyle w:val="7"/>
              <w:rPr>
                <w:color w:val="auto"/>
                <w:highlight w:val="none"/>
              </w:rPr>
            </w:pPr>
          </w:p>
        </w:tc>
        <w:tc>
          <w:tcPr>
            <w:tcW w:w="2457" w:type="dxa"/>
            <w:vMerge w:val="continue"/>
            <w:tcBorders>
              <w:top w:val="nil"/>
              <w:bottom w:val="nil"/>
            </w:tcBorders>
            <w:vAlign w:val="top"/>
          </w:tcPr>
          <w:p w14:paraId="2326E719">
            <w:pPr>
              <w:pStyle w:val="7"/>
              <w:rPr>
                <w:color w:val="auto"/>
                <w:highlight w:val="none"/>
              </w:rPr>
            </w:pPr>
          </w:p>
        </w:tc>
        <w:tc>
          <w:tcPr>
            <w:tcW w:w="867" w:type="dxa"/>
            <w:vMerge w:val="continue"/>
            <w:tcBorders>
              <w:top w:val="nil"/>
              <w:bottom w:val="nil"/>
            </w:tcBorders>
            <w:vAlign w:val="top"/>
          </w:tcPr>
          <w:p w14:paraId="65E35092">
            <w:pPr>
              <w:pStyle w:val="7"/>
              <w:rPr>
                <w:color w:val="auto"/>
                <w:highlight w:val="none"/>
              </w:rPr>
            </w:pPr>
          </w:p>
        </w:tc>
        <w:tc>
          <w:tcPr>
            <w:tcW w:w="1484" w:type="dxa"/>
            <w:vAlign w:val="top"/>
          </w:tcPr>
          <w:p w14:paraId="24848E00">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3DD2FC1D">
            <w:pPr>
              <w:pStyle w:val="7"/>
              <w:rPr>
                <w:color w:val="auto"/>
                <w:highlight w:val="none"/>
              </w:rPr>
            </w:pPr>
          </w:p>
        </w:tc>
        <w:tc>
          <w:tcPr>
            <w:tcW w:w="1493" w:type="dxa"/>
            <w:vAlign w:val="top"/>
          </w:tcPr>
          <w:p w14:paraId="143F5522">
            <w:pPr>
              <w:pStyle w:val="7"/>
              <w:rPr>
                <w:color w:val="auto"/>
                <w:highlight w:val="none"/>
              </w:rPr>
            </w:pPr>
          </w:p>
        </w:tc>
      </w:tr>
      <w:tr w14:paraId="021C31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0A26174C">
            <w:pPr>
              <w:pStyle w:val="7"/>
              <w:rPr>
                <w:color w:val="auto"/>
                <w:highlight w:val="none"/>
              </w:rPr>
            </w:pPr>
          </w:p>
        </w:tc>
        <w:tc>
          <w:tcPr>
            <w:tcW w:w="2457" w:type="dxa"/>
            <w:vMerge w:val="continue"/>
            <w:tcBorders>
              <w:top w:val="nil"/>
            </w:tcBorders>
            <w:vAlign w:val="top"/>
          </w:tcPr>
          <w:p w14:paraId="07AB694D">
            <w:pPr>
              <w:pStyle w:val="7"/>
              <w:rPr>
                <w:color w:val="auto"/>
                <w:highlight w:val="none"/>
              </w:rPr>
            </w:pPr>
          </w:p>
        </w:tc>
        <w:tc>
          <w:tcPr>
            <w:tcW w:w="867" w:type="dxa"/>
            <w:vMerge w:val="continue"/>
            <w:tcBorders>
              <w:top w:val="nil"/>
            </w:tcBorders>
            <w:vAlign w:val="top"/>
          </w:tcPr>
          <w:p w14:paraId="5C5A21CA">
            <w:pPr>
              <w:pStyle w:val="7"/>
              <w:rPr>
                <w:color w:val="auto"/>
                <w:highlight w:val="none"/>
              </w:rPr>
            </w:pPr>
          </w:p>
        </w:tc>
        <w:tc>
          <w:tcPr>
            <w:tcW w:w="1484" w:type="dxa"/>
            <w:vAlign w:val="top"/>
          </w:tcPr>
          <w:p w14:paraId="20101944">
            <w:pPr>
              <w:pStyle w:val="7"/>
              <w:rPr>
                <w:color w:val="auto"/>
                <w:highlight w:val="none"/>
              </w:rPr>
            </w:pPr>
          </w:p>
        </w:tc>
        <w:tc>
          <w:tcPr>
            <w:tcW w:w="1484" w:type="dxa"/>
            <w:vAlign w:val="top"/>
          </w:tcPr>
          <w:p w14:paraId="4233A521">
            <w:pPr>
              <w:pStyle w:val="7"/>
              <w:rPr>
                <w:color w:val="auto"/>
                <w:highlight w:val="none"/>
              </w:rPr>
            </w:pPr>
          </w:p>
        </w:tc>
        <w:tc>
          <w:tcPr>
            <w:tcW w:w="1493" w:type="dxa"/>
            <w:vAlign w:val="top"/>
          </w:tcPr>
          <w:p w14:paraId="611F5F72">
            <w:pPr>
              <w:pStyle w:val="7"/>
              <w:rPr>
                <w:color w:val="auto"/>
                <w:highlight w:val="none"/>
              </w:rPr>
            </w:pPr>
          </w:p>
        </w:tc>
      </w:tr>
      <w:tr w14:paraId="5A5DB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11A90800">
            <w:pPr>
              <w:pStyle w:val="7"/>
              <w:spacing w:line="260" w:lineRule="auto"/>
              <w:rPr>
                <w:color w:val="auto"/>
                <w:highlight w:val="none"/>
              </w:rPr>
            </w:pPr>
          </w:p>
          <w:p w14:paraId="58F8B072">
            <w:pPr>
              <w:pStyle w:val="7"/>
              <w:spacing w:line="261" w:lineRule="auto"/>
              <w:rPr>
                <w:color w:val="auto"/>
                <w:highlight w:val="none"/>
              </w:rPr>
            </w:pPr>
          </w:p>
          <w:p w14:paraId="654C696A">
            <w:pPr>
              <w:pStyle w:val="7"/>
              <w:spacing w:line="261" w:lineRule="auto"/>
              <w:rPr>
                <w:color w:val="auto"/>
                <w:highlight w:val="none"/>
              </w:rPr>
            </w:pPr>
          </w:p>
          <w:p w14:paraId="29DD920D">
            <w:pPr>
              <w:spacing w:before="58" w:line="184" w:lineRule="auto"/>
              <w:ind w:left="2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1_2</w:t>
            </w:r>
          </w:p>
        </w:tc>
        <w:tc>
          <w:tcPr>
            <w:tcW w:w="2457" w:type="dxa"/>
            <w:vMerge w:val="restart"/>
            <w:tcBorders>
              <w:bottom w:val="nil"/>
            </w:tcBorders>
            <w:vAlign w:val="top"/>
          </w:tcPr>
          <w:p w14:paraId="5C3A386A">
            <w:pPr>
              <w:pStyle w:val="7"/>
              <w:spacing w:line="270" w:lineRule="auto"/>
              <w:rPr>
                <w:color w:val="auto"/>
                <w:highlight w:val="none"/>
              </w:rPr>
            </w:pPr>
          </w:p>
          <w:p w14:paraId="02EB7764">
            <w:pPr>
              <w:pStyle w:val="7"/>
              <w:spacing w:line="271" w:lineRule="auto"/>
              <w:rPr>
                <w:color w:val="auto"/>
                <w:highlight w:val="none"/>
              </w:rPr>
            </w:pPr>
          </w:p>
          <w:p w14:paraId="08285BFC">
            <w:pPr>
              <w:pStyle w:val="7"/>
              <w:spacing w:line="271" w:lineRule="auto"/>
              <w:rPr>
                <w:color w:val="auto"/>
                <w:highlight w:val="none"/>
              </w:rPr>
            </w:pPr>
          </w:p>
          <w:p w14:paraId="2F862FC1">
            <w:pPr>
              <w:spacing w:before="58" w:line="219" w:lineRule="auto"/>
              <w:ind w:left="41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发电机负序电流保护</w:t>
            </w:r>
          </w:p>
        </w:tc>
        <w:tc>
          <w:tcPr>
            <w:tcW w:w="867" w:type="dxa"/>
            <w:vMerge w:val="restart"/>
            <w:tcBorders>
              <w:bottom w:val="nil"/>
            </w:tcBorders>
            <w:vAlign w:val="top"/>
          </w:tcPr>
          <w:p w14:paraId="517AF002">
            <w:pPr>
              <w:pStyle w:val="7"/>
              <w:rPr>
                <w:color w:val="auto"/>
                <w:highlight w:val="none"/>
              </w:rPr>
            </w:pPr>
          </w:p>
        </w:tc>
        <w:tc>
          <w:tcPr>
            <w:tcW w:w="1484" w:type="dxa"/>
            <w:vAlign w:val="top"/>
          </w:tcPr>
          <w:p w14:paraId="45312663">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2A653B5A">
            <w:pPr>
              <w:pStyle w:val="7"/>
              <w:rPr>
                <w:color w:val="auto"/>
                <w:highlight w:val="none"/>
              </w:rPr>
            </w:pPr>
          </w:p>
        </w:tc>
        <w:tc>
          <w:tcPr>
            <w:tcW w:w="1493" w:type="dxa"/>
            <w:vAlign w:val="top"/>
          </w:tcPr>
          <w:p w14:paraId="696FAFAF">
            <w:pPr>
              <w:pStyle w:val="7"/>
              <w:rPr>
                <w:color w:val="auto"/>
                <w:highlight w:val="none"/>
              </w:rPr>
            </w:pPr>
          </w:p>
        </w:tc>
      </w:tr>
      <w:tr w14:paraId="5EC504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A063FD2">
            <w:pPr>
              <w:pStyle w:val="7"/>
              <w:rPr>
                <w:color w:val="auto"/>
                <w:highlight w:val="none"/>
              </w:rPr>
            </w:pPr>
          </w:p>
        </w:tc>
        <w:tc>
          <w:tcPr>
            <w:tcW w:w="2457" w:type="dxa"/>
            <w:vMerge w:val="continue"/>
            <w:tcBorders>
              <w:top w:val="nil"/>
              <w:bottom w:val="nil"/>
            </w:tcBorders>
            <w:vAlign w:val="top"/>
          </w:tcPr>
          <w:p w14:paraId="3E5F4A46">
            <w:pPr>
              <w:pStyle w:val="7"/>
              <w:rPr>
                <w:color w:val="auto"/>
                <w:highlight w:val="none"/>
              </w:rPr>
            </w:pPr>
          </w:p>
        </w:tc>
        <w:tc>
          <w:tcPr>
            <w:tcW w:w="867" w:type="dxa"/>
            <w:vMerge w:val="continue"/>
            <w:tcBorders>
              <w:top w:val="nil"/>
              <w:bottom w:val="nil"/>
            </w:tcBorders>
            <w:vAlign w:val="top"/>
          </w:tcPr>
          <w:p w14:paraId="68FD4B43">
            <w:pPr>
              <w:pStyle w:val="7"/>
              <w:rPr>
                <w:color w:val="auto"/>
                <w:highlight w:val="none"/>
              </w:rPr>
            </w:pPr>
          </w:p>
        </w:tc>
        <w:tc>
          <w:tcPr>
            <w:tcW w:w="1484" w:type="dxa"/>
            <w:vAlign w:val="top"/>
          </w:tcPr>
          <w:p w14:paraId="22428ED2">
            <w:pPr>
              <w:pStyle w:val="7"/>
              <w:rPr>
                <w:color w:val="auto"/>
                <w:highlight w:val="none"/>
              </w:rPr>
            </w:pPr>
          </w:p>
        </w:tc>
        <w:tc>
          <w:tcPr>
            <w:tcW w:w="1484" w:type="dxa"/>
            <w:vAlign w:val="top"/>
          </w:tcPr>
          <w:p w14:paraId="173BC6F8">
            <w:pPr>
              <w:pStyle w:val="7"/>
              <w:rPr>
                <w:color w:val="auto"/>
                <w:highlight w:val="none"/>
              </w:rPr>
            </w:pPr>
          </w:p>
        </w:tc>
        <w:tc>
          <w:tcPr>
            <w:tcW w:w="1493" w:type="dxa"/>
            <w:vAlign w:val="top"/>
          </w:tcPr>
          <w:p w14:paraId="5915A64A">
            <w:pPr>
              <w:pStyle w:val="7"/>
              <w:rPr>
                <w:color w:val="auto"/>
                <w:highlight w:val="none"/>
              </w:rPr>
            </w:pPr>
          </w:p>
        </w:tc>
      </w:tr>
      <w:tr w14:paraId="5B3EEE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4A2A784">
            <w:pPr>
              <w:pStyle w:val="7"/>
              <w:rPr>
                <w:color w:val="auto"/>
                <w:highlight w:val="none"/>
              </w:rPr>
            </w:pPr>
          </w:p>
        </w:tc>
        <w:tc>
          <w:tcPr>
            <w:tcW w:w="2457" w:type="dxa"/>
            <w:vMerge w:val="continue"/>
            <w:tcBorders>
              <w:top w:val="nil"/>
              <w:bottom w:val="nil"/>
            </w:tcBorders>
            <w:vAlign w:val="top"/>
          </w:tcPr>
          <w:p w14:paraId="6350A7D3">
            <w:pPr>
              <w:pStyle w:val="7"/>
              <w:rPr>
                <w:color w:val="auto"/>
                <w:highlight w:val="none"/>
              </w:rPr>
            </w:pPr>
          </w:p>
        </w:tc>
        <w:tc>
          <w:tcPr>
            <w:tcW w:w="867" w:type="dxa"/>
            <w:vMerge w:val="continue"/>
            <w:tcBorders>
              <w:top w:val="nil"/>
              <w:bottom w:val="nil"/>
            </w:tcBorders>
            <w:vAlign w:val="top"/>
          </w:tcPr>
          <w:p w14:paraId="023376B7">
            <w:pPr>
              <w:pStyle w:val="7"/>
              <w:rPr>
                <w:color w:val="auto"/>
                <w:highlight w:val="none"/>
              </w:rPr>
            </w:pPr>
          </w:p>
        </w:tc>
        <w:tc>
          <w:tcPr>
            <w:tcW w:w="1484" w:type="dxa"/>
            <w:vAlign w:val="top"/>
          </w:tcPr>
          <w:p w14:paraId="7655ED51">
            <w:pPr>
              <w:spacing w:before="147"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24542E20">
            <w:pPr>
              <w:pStyle w:val="7"/>
              <w:rPr>
                <w:color w:val="auto"/>
                <w:highlight w:val="none"/>
              </w:rPr>
            </w:pPr>
          </w:p>
        </w:tc>
        <w:tc>
          <w:tcPr>
            <w:tcW w:w="1493" w:type="dxa"/>
            <w:vAlign w:val="top"/>
          </w:tcPr>
          <w:p w14:paraId="0416CAE1">
            <w:pPr>
              <w:pStyle w:val="7"/>
              <w:rPr>
                <w:color w:val="auto"/>
                <w:highlight w:val="none"/>
              </w:rPr>
            </w:pPr>
          </w:p>
        </w:tc>
      </w:tr>
      <w:tr w14:paraId="15EAD4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56350F3A">
            <w:pPr>
              <w:pStyle w:val="7"/>
              <w:rPr>
                <w:color w:val="auto"/>
                <w:highlight w:val="none"/>
              </w:rPr>
            </w:pPr>
          </w:p>
        </w:tc>
        <w:tc>
          <w:tcPr>
            <w:tcW w:w="2457" w:type="dxa"/>
            <w:vMerge w:val="continue"/>
            <w:tcBorders>
              <w:top w:val="nil"/>
            </w:tcBorders>
            <w:vAlign w:val="top"/>
          </w:tcPr>
          <w:p w14:paraId="26B1B290">
            <w:pPr>
              <w:pStyle w:val="7"/>
              <w:rPr>
                <w:color w:val="auto"/>
                <w:highlight w:val="none"/>
              </w:rPr>
            </w:pPr>
          </w:p>
        </w:tc>
        <w:tc>
          <w:tcPr>
            <w:tcW w:w="867" w:type="dxa"/>
            <w:vMerge w:val="continue"/>
            <w:tcBorders>
              <w:top w:val="nil"/>
            </w:tcBorders>
            <w:vAlign w:val="top"/>
          </w:tcPr>
          <w:p w14:paraId="2288E052">
            <w:pPr>
              <w:pStyle w:val="7"/>
              <w:rPr>
                <w:color w:val="auto"/>
                <w:highlight w:val="none"/>
              </w:rPr>
            </w:pPr>
          </w:p>
        </w:tc>
        <w:tc>
          <w:tcPr>
            <w:tcW w:w="1484" w:type="dxa"/>
            <w:vAlign w:val="top"/>
          </w:tcPr>
          <w:p w14:paraId="25111F62">
            <w:pPr>
              <w:pStyle w:val="7"/>
              <w:rPr>
                <w:color w:val="auto"/>
                <w:highlight w:val="none"/>
              </w:rPr>
            </w:pPr>
          </w:p>
        </w:tc>
        <w:tc>
          <w:tcPr>
            <w:tcW w:w="1484" w:type="dxa"/>
            <w:vAlign w:val="top"/>
          </w:tcPr>
          <w:p w14:paraId="39826D81">
            <w:pPr>
              <w:pStyle w:val="7"/>
              <w:rPr>
                <w:color w:val="auto"/>
                <w:highlight w:val="none"/>
              </w:rPr>
            </w:pPr>
          </w:p>
        </w:tc>
        <w:tc>
          <w:tcPr>
            <w:tcW w:w="1493" w:type="dxa"/>
            <w:vAlign w:val="top"/>
          </w:tcPr>
          <w:p w14:paraId="5ACB2A27">
            <w:pPr>
              <w:pStyle w:val="7"/>
              <w:rPr>
                <w:color w:val="auto"/>
                <w:highlight w:val="none"/>
              </w:rPr>
            </w:pPr>
          </w:p>
        </w:tc>
      </w:tr>
      <w:tr w14:paraId="19543C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BB6EF2E">
            <w:pPr>
              <w:pStyle w:val="7"/>
              <w:spacing w:line="280" w:lineRule="auto"/>
              <w:rPr>
                <w:color w:val="auto"/>
                <w:highlight w:val="none"/>
              </w:rPr>
            </w:pPr>
          </w:p>
          <w:p w14:paraId="4AD9F081">
            <w:pPr>
              <w:pStyle w:val="7"/>
              <w:spacing w:line="280" w:lineRule="auto"/>
              <w:rPr>
                <w:color w:val="auto"/>
                <w:highlight w:val="none"/>
              </w:rPr>
            </w:pPr>
          </w:p>
          <w:p w14:paraId="440E412A">
            <w:pPr>
              <w:pStyle w:val="7"/>
              <w:spacing w:line="281" w:lineRule="auto"/>
              <w:rPr>
                <w:color w:val="auto"/>
                <w:highlight w:val="none"/>
              </w:rPr>
            </w:pPr>
          </w:p>
          <w:p w14:paraId="7836C3D9">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1_3</w:t>
            </w:r>
          </w:p>
        </w:tc>
        <w:tc>
          <w:tcPr>
            <w:tcW w:w="2457" w:type="dxa"/>
            <w:vMerge w:val="restart"/>
            <w:tcBorders>
              <w:bottom w:val="nil"/>
            </w:tcBorders>
            <w:vAlign w:val="top"/>
          </w:tcPr>
          <w:p w14:paraId="55F441DE">
            <w:pPr>
              <w:pStyle w:val="7"/>
              <w:spacing w:line="252" w:lineRule="auto"/>
              <w:rPr>
                <w:color w:val="auto"/>
                <w:highlight w:val="none"/>
              </w:rPr>
            </w:pPr>
          </w:p>
          <w:p w14:paraId="6681B92E">
            <w:pPr>
              <w:pStyle w:val="7"/>
              <w:spacing w:line="252" w:lineRule="auto"/>
              <w:rPr>
                <w:color w:val="auto"/>
                <w:highlight w:val="none"/>
              </w:rPr>
            </w:pPr>
          </w:p>
          <w:p w14:paraId="2D640587">
            <w:pPr>
              <w:pStyle w:val="7"/>
              <w:spacing w:line="253" w:lineRule="auto"/>
              <w:rPr>
                <w:color w:val="auto"/>
                <w:highlight w:val="none"/>
              </w:rPr>
            </w:pPr>
          </w:p>
          <w:p w14:paraId="711C59A6">
            <w:pPr>
              <w:spacing w:before="58" w:line="219" w:lineRule="auto"/>
              <w:ind w:left="59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发电机失磁保护</w:t>
            </w:r>
          </w:p>
        </w:tc>
        <w:tc>
          <w:tcPr>
            <w:tcW w:w="867" w:type="dxa"/>
            <w:vMerge w:val="restart"/>
            <w:tcBorders>
              <w:bottom w:val="nil"/>
            </w:tcBorders>
            <w:vAlign w:val="top"/>
          </w:tcPr>
          <w:p w14:paraId="0CBD29DF">
            <w:pPr>
              <w:pStyle w:val="7"/>
              <w:rPr>
                <w:color w:val="auto"/>
                <w:highlight w:val="none"/>
              </w:rPr>
            </w:pPr>
          </w:p>
        </w:tc>
        <w:tc>
          <w:tcPr>
            <w:tcW w:w="1484" w:type="dxa"/>
            <w:vAlign w:val="top"/>
          </w:tcPr>
          <w:p w14:paraId="75B86017">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4E8B654">
            <w:pPr>
              <w:pStyle w:val="7"/>
              <w:rPr>
                <w:color w:val="auto"/>
                <w:highlight w:val="none"/>
              </w:rPr>
            </w:pPr>
          </w:p>
        </w:tc>
        <w:tc>
          <w:tcPr>
            <w:tcW w:w="1493" w:type="dxa"/>
            <w:vAlign w:val="top"/>
          </w:tcPr>
          <w:p w14:paraId="71F90BED">
            <w:pPr>
              <w:pStyle w:val="7"/>
              <w:rPr>
                <w:color w:val="auto"/>
                <w:highlight w:val="none"/>
              </w:rPr>
            </w:pPr>
          </w:p>
        </w:tc>
      </w:tr>
      <w:tr w14:paraId="608CD2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C915C95">
            <w:pPr>
              <w:pStyle w:val="7"/>
              <w:rPr>
                <w:color w:val="auto"/>
                <w:highlight w:val="none"/>
              </w:rPr>
            </w:pPr>
          </w:p>
        </w:tc>
        <w:tc>
          <w:tcPr>
            <w:tcW w:w="2457" w:type="dxa"/>
            <w:vMerge w:val="continue"/>
            <w:tcBorders>
              <w:top w:val="nil"/>
              <w:bottom w:val="nil"/>
            </w:tcBorders>
            <w:vAlign w:val="top"/>
          </w:tcPr>
          <w:p w14:paraId="4F7C32C1">
            <w:pPr>
              <w:pStyle w:val="7"/>
              <w:rPr>
                <w:color w:val="auto"/>
                <w:highlight w:val="none"/>
              </w:rPr>
            </w:pPr>
          </w:p>
        </w:tc>
        <w:tc>
          <w:tcPr>
            <w:tcW w:w="867" w:type="dxa"/>
            <w:vMerge w:val="continue"/>
            <w:tcBorders>
              <w:top w:val="nil"/>
              <w:bottom w:val="nil"/>
            </w:tcBorders>
            <w:vAlign w:val="top"/>
          </w:tcPr>
          <w:p w14:paraId="1EAB6D7E">
            <w:pPr>
              <w:pStyle w:val="7"/>
              <w:rPr>
                <w:color w:val="auto"/>
                <w:highlight w:val="none"/>
              </w:rPr>
            </w:pPr>
          </w:p>
        </w:tc>
        <w:tc>
          <w:tcPr>
            <w:tcW w:w="1484" w:type="dxa"/>
            <w:vAlign w:val="top"/>
          </w:tcPr>
          <w:p w14:paraId="4AD9F92E">
            <w:pPr>
              <w:pStyle w:val="7"/>
              <w:rPr>
                <w:color w:val="auto"/>
                <w:highlight w:val="none"/>
              </w:rPr>
            </w:pPr>
          </w:p>
        </w:tc>
        <w:tc>
          <w:tcPr>
            <w:tcW w:w="1484" w:type="dxa"/>
            <w:vAlign w:val="top"/>
          </w:tcPr>
          <w:p w14:paraId="03BB200E">
            <w:pPr>
              <w:pStyle w:val="7"/>
              <w:rPr>
                <w:color w:val="auto"/>
                <w:highlight w:val="none"/>
              </w:rPr>
            </w:pPr>
          </w:p>
        </w:tc>
        <w:tc>
          <w:tcPr>
            <w:tcW w:w="1493" w:type="dxa"/>
            <w:vAlign w:val="top"/>
          </w:tcPr>
          <w:p w14:paraId="38734913">
            <w:pPr>
              <w:pStyle w:val="7"/>
              <w:rPr>
                <w:color w:val="auto"/>
                <w:highlight w:val="none"/>
              </w:rPr>
            </w:pPr>
          </w:p>
        </w:tc>
      </w:tr>
      <w:tr w14:paraId="01B4D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BC713C8">
            <w:pPr>
              <w:pStyle w:val="7"/>
              <w:rPr>
                <w:color w:val="auto"/>
                <w:highlight w:val="none"/>
              </w:rPr>
            </w:pPr>
          </w:p>
        </w:tc>
        <w:tc>
          <w:tcPr>
            <w:tcW w:w="2457" w:type="dxa"/>
            <w:vMerge w:val="continue"/>
            <w:tcBorders>
              <w:top w:val="nil"/>
              <w:bottom w:val="nil"/>
            </w:tcBorders>
            <w:vAlign w:val="top"/>
          </w:tcPr>
          <w:p w14:paraId="4517A53F">
            <w:pPr>
              <w:pStyle w:val="7"/>
              <w:rPr>
                <w:color w:val="auto"/>
                <w:highlight w:val="none"/>
              </w:rPr>
            </w:pPr>
          </w:p>
        </w:tc>
        <w:tc>
          <w:tcPr>
            <w:tcW w:w="867" w:type="dxa"/>
            <w:vMerge w:val="continue"/>
            <w:tcBorders>
              <w:top w:val="nil"/>
              <w:bottom w:val="nil"/>
            </w:tcBorders>
            <w:vAlign w:val="top"/>
          </w:tcPr>
          <w:p w14:paraId="1D876F30">
            <w:pPr>
              <w:pStyle w:val="7"/>
              <w:rPr>
                <w:color w:val="auto"/>
                <w:highlight w:val="none"/>
              </w:rPr>
            </w:pPr>
          </w:p>
        </w:tc>
        <w:tc>
          <w:tcPr>
            <w:tcW w:w="1484" w:type="dxa"/>
            <w:vAlign w:val="top"/>
          </w:tcPr>
          <w:p w14:paraId="26D565D1">
            <w:pPr>
              <w:spacing w:before="149"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FEB8A3A">
            <w:pPr>
              <w:pStyle w:val="7"/>
              <w:rPr>
                <w:color w:val="auto"/>
                <w:highlight w:val="none"/>
              </w:rPr>
            </w:pPr>
          </w:p>
        </w:tc>
        <w:tc>
          <w:tcPr>
            <w:tcW w:w="1493" w:type="dxa"/>
            <w:vAlign w:val="top"/>
          </w:tcPr>
          <w:p w14:paraId="4226039E">
            <w:pPr>
              <w:pStyle w:val="7"/>
              <w:rPr>
                <w:color w:val="auto"/>
                <w:highlight w:val="none"/>
              </w:rPr>
            </w:pPr>
          </w:p>
        </w:tc>
      </w:tr>
      <w:tr w14:paraId="7BB77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6F4E4541">
            <w:pPr>
              <w:pStyle w:val="7"/>
              <w:rPr>
                <w:color w:val="auto"/>
                <w:highlight w:val="none"/>
              </w:rPr>
            </w:pPr>
          </w:p>
        </w:tc>
        <w:tc>
          <w:tcPr>
            <w:tcW w:w="2457" w:type="dxa"/>
            <w:vMerge w:val="continue"/>
            <w:tcBorders>
              <w:top w:val="nil"/>
            </w:tcBorders>
            <w:vAlign w:val="top"/>
          </w:tcPr>
          <w:p w14:paraId="77A1E988">
            <w:pPr>
              <w:pStyle w:val="7"/>
              <w:rPr>
                <w:color w:val="auto"/>
                <w:highlight w:val="none"/>
              </w:rPr>
            </w:pPr>
          </w:p>
        </w:tc>
        <w:tc>
          <w:tcPr>
            <w:tcW w:w="867" w:type="dxa"/>
            <w:vMerge w:val="continue"/>
            <w:tcBorders>
              <w:top w:val="nil"/>
            </w:tcBorders>
            <w:vAlign w:val="top"/>
          </w:tcPr>
          <w:p w14:paraId="23303FFF">
            <w:pPr>
              <w:pStyle w:val="7"/>
              <w:rPr>
                <w:color w:val="auto"/>
                <w:highlight w:val="none"/>
              </w:rPr>
            </w:pPr>
          </w:p>
        </w:tc>
        <w:tc>
          <w:tcPr>
            <w:tcW w:w="1484" w:type="dxa"/>
            <w:vAlign w:val="top"/>
          </w:tcPr>
          <w:p w14:paraId="52D5AB93">
            <w:pPr>
              <w:pStyle w:val="7"/>
              <w:rPr>
                <w:color w:val="auto"/>
                <w:highlight w:val="none"/>
              </w:rPr>
            </w:pPr>
          </w:p>
        </w:tc>
        <w:tc>
          <w:tcPr>
            <w:tcW w:w="1484" w:type="dxa"/>
            <w:vAlign w:val="top"/>
          </w:tcPr>
          <w:p w14:paraId="650D4E41">
            <w:pPr>
              <w:pStyle w:val="7"/>
              <w:rPr>
                <w:color w:val="auto"/>
                <w:highlight w:val="none"/>
              </w:rPr>
            </w:pPr>
          </w:p>
        </w:tc>
        <w:tc>
          <w:tcPr>
            <w:tcW w:w="1493" w:type="dxa"/>
            <w:vAlign w:val="top"/>
          </w:tcPr>
          <w:p w14:paraId="53FB6F71">
            <w:pPr>
              <w:pStyle w:val="7"/>
              <w:rPr>
                <w:color w:val="auto"/>
                <w:highlight w:val="none"/>
              </w:rPr>
            </w:pPr>
          </w:p>
        </w:tc>
      </w:tr>
      <w:tr w14:paraId="2F14EB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73" w:hRule="atLeast"/>
        </w:trPr>
        <w:tc>
          <w:tcPr>
            <w:tcW w:w="741" w:type="dxa"/>
            <w:vMerge w:val="restart"/>
            <w:tcBorders>
              <w:bottom w:val="nil"/>
            </w:tcBorders>
            <w:vAlign w:val="top"/>
          </w:tcPr>
          <w:p w14:paraId="3DEF1F2B">
            <w:pPr>
              <w:pStyle w:val="7"/>
              <w:spacing w:line="282" w:lineRule="auto"/>
              <w:rPr>
                <w:color w:val="auto"/>
                <w:highlight w:val="none"/>
              </w:rPr>
            </w:pPr>
          </w:p>
          <w:p w14:paraId="3ED214BE">
            <w:pPr>
              <w:pStyle w:val="7"/>
              <w:spacing w:line="282" w:lineRule="auto"/>
              <w:rPr>
                <w:color w:val="auto"/>
                <w:highlight w:val="none"/>
              </w:rPr>
            </w:pPr>
          </w:p>
          <w:p w14:paraId="14F8AF30">
            <w:pPr>
              <w:pStyle w:val="7"/>
              <w:spacing w:line="283" w:lineRule="auto"/>
              <w:rPr>
                <w:color w:val="auto"/>
                <w:highlight w:val="none"/>
              </w:rPr>
            </w:pPr>
          </w:p>
          <w:p w14:paraId="1048BF60">
            <w:pPr>
              <w:spacing w:before="58" w:line="184" w:lineRule="auto"/>
              <w:ind w:left="2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1_4</w:t>
            </w:r>
          </w:p>
        </w:tc>
        <w:tc>
          <w:tcPr>
            <w:tcW w:w="2457" w:type="dxa"/>
            <w:vMerge w:val="restart"/>
            <w:tcBorders>
              <w:bottom w:val="nil"/>
            </w:tcBorders>
            <w:vAlign w:val="top"/>
          </w:tcPr>
          <w:p w14:paraId="68F04EEF">
            <w:pPr>
              <w:pStyle w:val="7"/>
              <w:spacing w:line="253" w:lineRule="auto"/>
              <w:rPr>
                <w:color w:val="auto"/>
                <w:highlight w:val="none"/>
              </w:rPr>
            </w:pPr>
          </w:p>
          <w:p w14:paraId="424FF171">
            <w:pPr>
              <w:pStyle w:val="7"/>
              <w:spacing w:line="253" w:lineRule="auto"/>
              <w:rPr>
                <w:color w:val="auto"/>
                <w:highlight w:val="none"/>
              </w:rPr>
            </w:pPr>
          </w:p>
          <w:p w14:paraId="1E717976">
            <w:pPr>
              <w:pStyle w:val="7"/>
              <w:spacing w:line="254" w:lineRule="auto"/>
              <w:rPr>
                <w:color w:val="auto"/>
                <w:highlight w:val="none"/>
              </w:rPr>
            </w:pPr>
          </w:p>
          <w:p w14:paraId="109D6C14">
            <w:pPr>
              <w:spacing w:before="58"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发电机逆功率保护</w:t>
            </w:r>
          </w:p>
        </w:tc>
        <w:tc>
          <w:tcPr>
            <w:tcW w:w="867" w:type="dxa"/>
            <w:vMerge w:val="restart"/>
            <w:tcBorders>
              <w:bottom w:val="nil"/>
            </w:tcBorders>
            <w:vAlign w:val="top"/>
          </w:tcPr>
          <w:p w14:paraId="4C8F5ED9">
            <w:pPr>
              <w:pStyle w:val="7"/>
              <w:rPr>
                <w:color w:val="auto"/>
                <w:highlight w:val="none"/>
              </w:rPr>
            </w:pPr>
          </w:p>
        </w:tc>
        <w:tc>
          <w:tcPr>
            <w:tcW w:w="1484" w:type="dxa"/>
            <w:vAlign w:val="top"/>
          </w:tcPr>
          <w:p w14:paraId="3804282A">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239FC26">
            <w:pPr>
              <w:pStyle w:val="7"/>
              <w:rPr>
                <w:color w:val="auto"/>
                <w:highlight w:val="none"/>
              </w:rPr>
            </w:pPr>
          </w:p>
        </w:tc>
        <w:tc>
          <w:tcPr>
            <w:tcW w:w="1493" w:type="dxa"/>
            <w:vAlign w:val="top"/>
          </w:tcPr>
          <w:p w14:paraId="27E899E4">
            <w:pPr>
              <w:pStyle w:val="7"/>
              <w:rPr>
                <w:color w:val="auto"/>
                <w:highlight w:val="none"/>
              </w:rPr>
            </w:pPr>
          </w:p>
        </w:tc>
      </w:tr>
      <w:tr w14:paraId="76A494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62E37437">
            <w:pPr>
              <w:pStyle w:val="7"/>
              <w:rPr>
                <w:color w:val="auto"/>
                <w:highlight w:val="none"/>
              </w:rPr>
            </w:pPr>
          </w:p>
        </w:tc>
        <w:tc>
          <w:tcPr>
            <w:tcW w:w="2457" w:type="dxa"/>
            <w:vMerge w:val="continue"/>
            <w:tcBorders>
              <w:top w:val="nil"/>
              <w:bottom w:val="nil"/>
            </w:tcBorders>
            <w:vAlign w:val="top"/>
          </w:tcPr>
          <w:p w14:paraId="38C7F74A">
            <w:pPr>
              <w:pStyle w:val="7"/>
              <w:rPr>
                <w:color w:val="auto"/>
                <w:highlight w:val="none"/>
              </w:rPr>
            </w:pPr>
          </w:p>
        </w:tc>
        <w:tc>
          <w:tcPr>
            <w:tcW w:w="867" w:type="dxa"/>
            <w:vMerge w:val="continue"/>
            <w:tcBorders>
              <w:top w:val="nil"/>
              <w:bottom w:val="nil"/>
            </w:tcBorders>
            <w:vAlign w:val="top"/>
          </w:tcPr>
          <w:p w14:paraId="5510EC14">
            <w:pPr>
              <w:pStyle w:val="7"/>
              <w:rPr>
                <w:color w:val="auto"/>
                <w:highlight w:val="none"/>
              </w:rPr>
            </w:pPr>
          </w:p>
        </w:tc>
        <w:tc>
          <w:tcPr>
            <w:tcW w:w="1484" w:type="dxa"/>
            <w:vAlign w:val="top"/>
          </w:tcPr>
          <w:p w14:paraId="57E9BAEE">
            <w:pPr>
              <w:pStyle w:val="7"/>
              <w:rPr>
                <w:color w:val="auto"/>
                <w:highlight w:val="none"/>
              </w:rPr>
            </w:pPr>
          </w:p>
        </w:tc>
        <w:tc>
          <w:tcPr>
            <w:tcW w:w="1484" w:type="dxa"/>
            <w:vAlign w:val="top"/>
          </w:tcPr>
          <w:p w14:paraId="276D3751">
            <w:pPr>
              <w:pStyle w:val="7"/>
              <w:rPr>
                <w:color w:val="auto"/>
                <w:highlight w:val="none"/>
              </w:rPr>
            </w:pPr>
          </w:p>
        </w:tc>
        <w:tc>
          <w:tcPr>
            <w:tcW w:w="1493" w:type="dxa"/>
            <w:vAlign w:val="top"/>
          </w:tcPr>
          <w:p w14:paraId="0DC65A6F">
            <w:pPr>
              <w:pStyle w:val="7"/>
              <w:rPr>
                <w:color w:val="auto"/>
                <w:highlight w:val="none"/>
              </w:rPr>
            </w:pPr>
          </w:p>
        </w:tc>
      </w:tr>
      <w:tr w14:paraId="733A75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C3D06ED">
            <w:pPr>
              <w:pStyle w:val="7"/>
              <w:rPr>
                <w:color w:val="auto"/>
                <w:highlight w:val="none"/>
              </w:rPr>
            </w:pPr>
          </w:p>
        </w:tc>
        <w:tc>
          <w:tcPr>
            <w:tcW w:w="2457" w:type="dxa"/>
            <w:vMerge w:val="continue"/>
            <w:tcBorders>
              <w:top w:val="nil"/>
              <w:bottom w:val="nil"/>
            </w:tcBorders>
            <w:vAlign w:val="top"/>
          </w:tcPr>
          <w:p w14:paraId="7AD43415">
            <w:pPr>
              <w:pStyle w:val="7"/>
              <w:rPr>
                <w:color w:val="auto"/>
                <w:highlight w:val="none"/>
              </w:rPr>
            </w:pPr>
          </w:p>
        </w:tc>
        <w:tc>
          <w:tcPr>
            <w:tcW w:w="867" w:type="dxa"/>
            <w:vMerge w:val="continue"/>
            <w:tcBorders>
              <w:top w:val="nil"/>
              <w:bottom w:val="nil"/>
            </w:tcBorders>
            <w:vAlign w:val="top"/>
          </w:tcPr>
          <w:p w14:paraId="6F455C5F">
            <w:pPr>
              <w:pStyle w:val="7"/>
              <w:rPr>
                <w:color w:val="auto"/>
                <w:highlight w:val="none"/>
              </w:rPr>
            </w:pPr>
          </w:p>
        </w:tc>
        <w:tc>
          <w:tcPr>
            <w:tcW w:w="1484" w:type="dxa"/>
            <w:vAlign w:val="top"/>
          </w:tcPr>
          <w:p w14:paraId="003D2893">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049DA5B">
            <w:pPr>
              <w:pStyle w:val="7"/>
              <w:rPr>
                <w:color w:val="auto"/>
                <w:highlight w:val="none"/>
              </w:rPr>
            </w:pPr>
          </w:p>
        </w:tc>
        <w:tc>
          <w:tcPr>
            <w:tcW w:w="1493" w:type="dxa"/>
            <w:vAlign w:val="top"/>
          </w:tcPr>
          <w:p w14:paraId="3118E963">
            <w:pPr>
              <w:pStyle w:val="7"/>
              <w:rPr>
                <w:color w:val="auto"/>
                <w:highlight w:val="none"/>
              </w:rPr>
            </w:pPr>
          </w:p>
        </w:tc>
      </w:tr>
      <w:tr w14:paraId="07C3B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3BE660C0">
            <w:pPr>
              <w:pStyle w:val="7"/>
              <w:rPr>
                <w:color w:val="auto"/>
                <w:highlight w:val="none"/>
              </w:rPr>
            </w:pPr>
          </w:p>
        </w:tc>
        <w:tc>
          <w:tcPr>
            <w:tcW w:w="2457" w:type="dxa"/>
            <w:vMerge w:val="continue"/>
            <w:tcBorders>
              <w:top w:val="nil"/>
            </w:tcBorders>
            <w:vAlign w:val="top"/>
          </w:tcPr>
          <w:p w14:paraId="17561461">
            <w:pPr>
              <w:pStyle w:val="7"/>
              <w:rPr>
                <w:color w:val="auto"/>
                <w:highlight w:val="none"/>
              </w:rPr>
            </w:pPr>
          </w:p>
        </w:tc>
        <w:tc>
          <w:tcPr>
            <w:tcW w:w="867" w:type="dxa"/>
            <w:vMerge w:val="continue"/>
            <w:tcBorders>
              <w:top w:val="nil"/>
            </w:tcBorders>
            <w:vAlign w:val="top"/>
          </w:tcPr>
          <w:p w14:paraId="74C91394">
            <w:pPr>
              <w:pStyle w:val="7"/>
              <w:rPr>
                <w:color w:val="auto"/>
                <w:highlight w:val="none"/>
              </w:rPr>
            </w:pPr>
          </w:p>
        </w:tc>
        <w:tc>
          <w:tcPr>
            <w:tcW w:w="1484" w:type="dxa"/>
            <w:vAlign w:val="top"/>
          </w:tcPr>
          <w:p w14:paraId="59534218">
            <w:pPr>
              <w:pStyle w:val="7"/>
              <w:rPr>
                <w:color w:val="auto"/>
                <w:highlight w:val="none"/>
              </w:rPr>
            </w:pPr>
          </w:p>
        </w:tc>
        <w:tc>
          <w:tcPr>
            <w:tcW w:w="1484" w:type="dxa"/>
            <w:vAlign w:val="top"/>
          </w:tcPr>
          <w:p w14:paraId="78899559">
            <w:pPr>
              <w:pStyle w:val="7"/>
              <w:rPr>
                <w:color w:val="auto"/>
                <w:highlight w:val="none"/>
              </w:rPr>
            </w:pPr>
          </w:p>
        </w:tc>
        <w:tc>
          <w:tcPr>
            <w:tcW w:w="1493" w:type="dxa"/>
            <w:vAlign w:val="top"/>
          </w:tcPr>
          <w:p w14:paraId="548A9A68">
            <w:pPr>
              <w:pStyle w:val="7"/>
              <w:rPr>
                <w:color w:val="auto"/>
                <w:highlight w:val="none"/>
              </w:rPr>
            </w:pPr>
          </w:p>
        </w:tc>
      </w:tr>
      <w:tr w14:paraId="3861F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29A859D0">
            <w:pPr>
              <w:pStyle w:val="7"/>
              <w:spacing w:line="363" w:lineRule="auto"/>
              <w:rPr>
                <w:color w:val="auto"/>
                <w:highlight w:val="none"/>
              </w:rPr>
            </w:pPr>
          </w:p>
          <w:p w14:paraId="4D1EB998">
            <w:pPr>
              <w:spacing w:before="58" w:line="184" w:lineRule="auto"/>
              <w:ind w:left="2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1_5</w:t>
            </w:r>
          </w:p>
        </w:tc>
        <w:tc>
          <w:tcPr>
            <w:tcW w:w="2457" w:type="dxa"/>
            <w:vMerge w:val="restart"/>
            <w:tcBorders>
              <w:bottom w:val="nil"/>
            </w:tcBorders>
            <w:vAlign w:val="top"/>
          </w:tcPr>
          <w:p w14:paraId="587C5448">
            <w:pPr>
              <w:pStyle w:val="7"/>
              <w:spacing w:line="276" w:lineRule="auto"/>
              <w:rPr>
                <w:color w:val="auto"/>
                <w:highlight w:val="none"/>
              </w:rPr>
            </w:pPr>
          </w:p>
          <w:p w14:paraId="3926D78F">
            <w:pPr>
              <w:spacing w:before="58"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发电机过负荷保护</w:t>
            </w:r>
          </w:p>
        </w:tc>
        <w:tc>
          <w:tcPr>
            <w:tcW w:w="867" w:type="dxa"/>
            <w:vMerge w:val="restart"/>
            <w:tcBorders>
              <w:bottom w:val="nil"/>
            </w:tcBorders>
            <w:vAlign w:val="top"/>
          </w:tcPr>
          <w:p w14:paraId="3C0AD89C">
            <w:pPr>
              <w:pStyle w:val="7"/>
              <w:rPr>
                <w:color w:val="auto"/>
                <w:highlight w:val="none"/>
              </w:rPr>
            </w:pPr>
          </w:p>
        </w:tc>
        <w:tc>
          <w:tcPr>
            <w:tcW w:w="1484" w:type="dxa"/>
            <w:vAlign w:val="top"/>
          </w:tcPr>
          <w:p w14:paraId="2170EA8F">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9EA77C2">
            <w:pPr>
              <w:pStyle w:val="7"/>
              <w:rPr>
                <w:color w:val="auto"/>
                <w:highlight w:val="none"/>
              </w:rPr>
            </w:pPr>
          </w:p>
        </w:tc>
        <w:tc>
          <w:tcPr>
            <w:tcW w:w="1493" w:type="dxa"/>
            <w:vAlign w:val="top"/>
          </w:tcPr>
          <w:p w14:paraId="5523FC63">
            <w:pPr>
              <w:pStyle w:val="7"/>
              <w:rPr>
                <w:color w:val="auto"/>
                <w:highlight w:val="none"/>
              </w:rPr>
            </w:pPr>
          </w:p>
        </w:tc>
      </w:tr>
      <w:tr w14:paraId="2F40F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80" w:hRule="atLeast"/>
        </w:trPr>
        <w:tc>
          <w:tcPr>
            <w:tcW w:w="741" w:type="dxa"/>
            <w:vMerge w:val="continue"/>
            <w:tcBorders>
              <w:top w:val="nil"/>
            </w:tcBorders>
            <w:vAlign w:val="top"/>
          </w:tcPr>
          <w:p w14:paraId="18D59A4B">
            <w:pPr>
              <w:pStyle w:val="7"/>
              <w:rPr>
                <w:color w:val="auto"/>
                <w:highlight w:val="none"/>
              </w:rPr>
            </w:pPr>
          </w:p>
        </w:tc>
        <w:tc>
          <w:tcPr>
            <w:tcW w:w="2457" w:type="dxa"/>
            <w:vMerge w:val="continue"/>
            <w:tcBorders>
              <w:top w:val="nil"/>
            </w:tcBorders>
            <w:vAlign w:val="top"/>
          </w:tcPr>
          <w:p w14:paraId="6E0852B9">
            <w:pPr>
              <w:pStyle w:val="7"/>
              <w:rPr>
                <w:color w:val="auto"/>
                <w:highlight w:val="none"/>
              </w:rPr>
            </w:pPr>
          </w:p>
        </w:tc>
        <w:tc>
          <w:tcPr>
            <w:tcW w:w="867" w:type="dxa"/>
            <w:vMerge w:val="continue"/>
            <w:tcBorders>
              <w:top w:val="nil"/>
            </w:tcBorders>
            <w:vAlign w:val="top"/>
          </w:tcPr>
          <w:p w14:paraId="1795F21D">
            <w:pPr>
              <w:pStyle w:val="7"/>
              <w:rPr>
                <w:color w:val="auto"/>
                <w:highlight w:val="none"/>
              </w:rPr>
            </w:pPr>
          </w:p>
        </w:tc>
        <w:tc>
          <w:tcPr>
            <w:tcW w:w="1484" w:type="dxa"/>
            <w:vAlign w:val="top"/>
          </w:tcPr>
          <w:p w14:paraId="73DA92EB">
            <w:pPr>
              <w:pStyle w:val="7"/>
              <w:rPr>
                <w:color w:val="auto"/>
                <w:highlight w:val="none"/>
              </w:rPr>
            </w:pPr>
          </w:p>
        </w:tc>
        <w:tc>
          <w:tcPr>
            <w:tcW w:w="1484" w:type="dxa"/>
            <w:vAlign w:val="top"/>
          </w:tcPr>
          <w:p w14:paraId="18608D06">
            <w:pPr>
              <w:pStyle w:val="7"/>
              <w:rPr>
                <w:color w:val="auto"/>
                <w:highlight w:val="none"/>
              </w:rPr>
            </w:pPr>
          </w:p>
        </w:tc>
        <w:tc>
          <w:tcPr>
            <w:tcW w:w="1493" w:type="dxa"/>
            <w:vAlign w:val="top"/>
          </w:tcPr>
          <w:p w14:paraId="5F932D5E">
            <w:pPr>
              <w:pStyle w:val="7"/>
              <w:rPr>
                <w:color w:val="auto"/>
                <w:highlight w:val="none"/>
              </w:rPr>
            </w:pPr>
          </w:p>
        </w:tc>
      </w:tr>
    </w:tbl>
    <w:p w14:paraId="4B7640E0">
      <w:pPr>
        <w:pStyle w:val="3"/>
        <w:rPr>
          <w:color w:val="auto"/>
          <w:highlight w:val="none"/>
        </w:rPr>
      </w:pPr>
    </w:p>
    <w:p w14:paraId="6247BB4A">
      <w:pPr>
        <w:rPr>
          <w:color w:val="auto"/>
          <w:highlight w:val="none"/>
        </w:rPr>
        <w:sectPr>
          <w:pgSz w:w="11906" w:h="16839"/>
          <w:pgMar w:top="1428" w:right="1682" w:bottom="0" w:left="1682" w:header="0" w:footer="0" w:gutter="0"/>
          <w:pgBorders>
            <w:top w:val="none" w:sz="0" w:space="0"/>
            <w:left w:val="none" w:sz="0" w:space="0"/>
            <w:bottom w:val="none" w:sz="0" w:space="0"/>
            <w:right w:val="none" w:sz="0" w:space="0"/>
          </w:pgBorders>
          <w:cols w:space="720" w:num="1"/>
        </w:sectPr>
      </w:pPr>
    </w:p>
    <w:p w14:paraId="2AF5001F">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760936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77E62B3E">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5B5DB090">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3B8DB4D1">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703CB7EC">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4A907E37">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2EC8631D">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039D5F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5144FBBF">
            <w:pPr>
              <w:pStyle w:val="7"/>
              <w:rPr>
                <w:color w:val="auto"/>
                <w:highlight w:val="none"/>
              </w:rPr>
            </w:pPr>
          </w:p>
        </w:tc>
        <w:tc>
          <w:tcPr>
            <w:tcW w:w="2457" w:type="dxa"/>
            <w:vMerge w:val="restart"/>
            <w:tcBorders>
              <w:bottom w:val="nil"/>
            </w:tcBorders>
            <w:vAlign w:val="top"/>
          </w:tcPr>
          <w:p w14:paraId="6DFECACF">
            <w:pPr>
              <w:pStyle w:val="7"/>
              <w:rPr>
                <w:color w:val="auto"/>
                <w:highlight w:val="none"/>
              </w:rPr>
            </w:pPr>
          </w:p>
        </w:tc>
        <w:tc>
          <w:tcPr>
            <w:tcW w:w="867" w:type="dxa"/>
            <w:vMerge w:val="restart"/>
            <w:tcBorders>
              <w:bottom w:val="nil"/>
            </w:tcBorders>
            <w:vAlign w:val="top"/>
          </w:tcPr>
          <w:p w14:paraId="6E31BE09">
            <w:pPr>
              <w:pStyle w:val="7"/>
              <w:rPr>
                <w:color w:val="auto"/>
                <w:highlight w:val="none"/>
              </w:rPr>
            </w:pPr>
          </w:p>
        </w:tc>
        <w:tc>
          <w:tcPr>
            <w:tcW w:w="1484" w:type="dxa"/>
            <w:vAlign w:val="top"/>
          </w:tcPr>
          <w:p w14:paraId="66C4222F">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CBFF4C8">
            <w:pPr>
              <w:pStyle w:val="7"/>
              <w:rPr>
                <w:color w:val="auto"/>
                <w:highlight w:val="none"/>
              </w:rPr>
            </w:pPr>
          </w:p>
        </w:tc>
        <w:tc>
          <w:tcPr>
            <w:tcW w:w="1493" w:type="dxa"/>
            <w:vAlign w:val="top"/>
          </w:tcPr>
          <w:p w14:paraId="40FD6395">
            <w:pPr>
              <w:pStyle w:val="7"/>
              <w:rPr>
                <w:color w:val="auto"/>
                <w:highlight w:val="none"/>
              </w:rPr>
            </w:pPr>
          </w:p>
        </w:tc>
      </w:tr>
      <w:tr w14:paraId="0DAF14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4C2B384C">
            <w:pPr>
              <w:pStyle w:val="7"/>
              <w:rPr>
                <w:color w:val="auto"/>
                <w:highlight w:val="none"/>
              </w:rPr>
            </w:pPr>
          </w:p>
        </w:tc>
        <w:tc>
          <w:tcPr>
            <w:tcW w:w="2457" w:type="dxa"/>
            <w:vMerge w:val="continue"/>
            <w:tcBorders>
              <w:top w:val="nil"/>
            </w:tcBorders>
            <w:vAlign w:val="top"/>
          </w:tcPr>
          <w:p w14:paraId="1823C850">
            <w:pPr>
              <w:pStyle w:val="7"/>
              <w:rPr>
                <w:color w:val="auto"/>
                <w:highlight w:val="none"/>
              </w:rPr>
            </w:pPr>
          </w:p>
        </w:tc>
        <w:tc>
          <w:tcPr>
            <w:tcW w:w="867" w:type="dxa"/>
            <w:vMerge w:val="continue"/>
            <w:tcBorders>
              <w:top w:val="nil"/>
            </w:tcBorders>
            <w:vAlign w:val="top"/>
          </w:tcPr>
          <w:p w14:paraId="2B3BEF8E">
            <w:pPr>
              <w:pStyle w:val="7"/>
              <w:rPr>
                <w:color w:val="auto"/>
                <w:highlight w:val="none"/>
              </w:rPr>
            </w:pPr>
          </w:p>
        </w:tc>
        <w:tc>
          <w:tcPr>
            <w:tcW w:w="1484" w:type="dxa"/>
            <w:vAlign w:val="top"/>
          </w:tcPr>
          <w:p w14:paraId="5428F5C3">
            <w:pPr>
              <w:pStyle w:val="7"/>
              <w:rPr>
                <w:color w:val="auto"/>
                <w:highlight w:val="none"/>
              </w:rPr>
            </w:pPr>
          </w:p>
        </w:tc>
        <w:tc>
          <w:tcPr>
            <w:tcW w:w="1484" w:type="dxa"/>
            <w:vAlign w:val="top"/>
          </w:tcPr>
          <w:p w14:paraId="400C867C">
            <w:pPr>
              <w:pStyle w:val="7"/>
              <w:rPr>
                <w:color w:val="auto"/>
                <w:highlight w:val="none"/>
              </w:rPr>
            </w:pPr>
          </w:p>
        </w:tc>
        <w:tc>
          <w:tcPr>
            <w:tcW w:w="1493" w:type="dxa"/>
            <w:vAlign w:val="top"/>
          </w:tcPr>
          <w:p w14:paraId="4BDC80F3">
            <w:pPr>
              <w:pStyle w:val="7"/>
              <w:rPr>
                <w:color w:val="auto"/>
                <w:highlight w:val="none"/>
              </w:rPr>
            </w:pPr>
          </w:p>
        </w:tc>
      </w:tr>
      <w:tr w14:paraId="0833BD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BF5F805">
            <w:pPr>
              <w:pStyle w:val="7"/>
              <w:spacing w:line="278" w:lineRule="auto"/>
              <w:rPr>
                <w:color w:val="auto"/>
                <w:highlight w:val="none"/>
              </w:rPr>
            </w:pPr>
          </w:p>
          <w:p w14:paraId="498DA9D9">
            <w:pPr>
              <w:pStyle w:val="7"/>
              <w:spacing w:line="279" w:lineRule="auto"/>
              <w:rPr>
                <w:color w:val="auto"/>
                <w:highlight w:val="none"/>
              </w:rPr>
            </w:pPr>
          </w:p>
          <w:p w14:paraId="65671A69">
            <w:pPr>
              <w:pStyle w:val="7"/>
              <w:spacing w:line="279" w:lineRule="auto"/>
              <w:rPr>
                <w:color w:val="auto"/>
                <w:highlight w:val="none"/>
              </w:rPr>
            </w:pPr>
          </w:p>
          <w:p w14:paraId="0A3911EF">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1_6</w:t>
            </w:r>
          </w:p>
        </w:tc>
        <w:tc>
          <w:tcPr>
            <w:tcW w:w="2457" w:type="dxa"/>
            <w:vMerge w:val="restart"/>
            <w:tcBorders>
              <w:bottom w:val="nil"/>
            </w:tcBorders>
            <w:vAlign w:val="top"/>
          </w:tcPr>
          <w:p w14:paraId="62B7E9BF">
            <w:pPr>
              <w:pStyle w:val="7"/>
              <w:spacing w:line="250" w:lineRule="auto"/>
              <w:rPr>
                <w:color w:val="auto"/>
                <w:highlight w:val="none"/>
              </w:rPr>
            </w:pPr>
          </w:p>
          <w:p w14:paraId="53921092">
            <w:pPr>
              <w:pStyle w:val="7"/>
              <w:spacing w:line="251" w:lineRule="auto"/>
              <w:rPr>
                <w:color w:val="auto"/>
                <w:highlight w:val="none"/>
              </w:rPr>
            </w:pPr>
          </w:p>
          <w:p w14:paraId="6F9ABEA5">
            <w:pPr>
              <w:pStyle w:val="7"/>
              <w:spacing w:line="251" w:lineRule="auto"/>
              <w:rPr>
                <w:color w:val="auto"/>
                <w:highlight w:val="none"/>
              </w:rPr>
            </w:pPr>
          </w:p>
          <w:p w14:paraId="72DC743B">
            <w:pPr>
              <w:spacing w:before="58" w:line="219" w:lineRule="auto"/>
              <w:ind w:left="41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发电机定子接地保护</w:t>
            </w:r>
          </w:p>
        </w:tc>
        <w:tc>
          <w:tcPr>
            <w:tcW w:w="867" w:type="dxa"/>
            <w:vMerge w:val="restart"/>
            <w:tcBorders>
              <w:bottom w:val="nil"/>
            </w:tcBorders>
            <w:vAlign w:val="top"/>
          </w:tcPr>
          <w:p w14:paraId="750C8B6A">
            <w:pPr>
              <w:pStyle w:val="7"/>
              <w:rPr>
                <w:color w:val="auto"/>
                <w:highlight w:val="none"/>
              </w:rPr>
            </w:pPr>
          </w:p>
        </w:tc>
        <w:tc>
          <w:tcPr>
            <w:tcW w:w="1484" w:type="dxa"/>
            <w:vAlign w:val="top"/>
          </w:tcPr>
          <w:p w14:paraId="0C06F0E9">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D671841">
            <w:pPr>
              <w:pStyle w:val="7"/>
              <w:rPr>
                <w:color w:val="auto"/>
                <w:highlight w:val="none"/>
              </w:rPr>
            </w:pPr>
          </w:p>
        </w:tc>
        <w:tc>
          <w:tcPr>
            <w:tcW w:w="1493" w:type="dxa"/>
            <w:vAlign w:val="top"/>
          </w:tcPr>
          <w:p w14:paraId="1F35B37B">
            <w:pPr>
              <w:pStyle w:val="7"/>
              <w:rPr>
                <w:color w:val="auto"/>
                <w:highlight w:val="none"/>
              </w:rPr>
            </w:pPr>
          </w:p>
        </w:tc>
      </w:tr>
      <w:tr w14:paraId="7AEB4C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7C24C098">
            <w:pPr>
              <w:pStyle w:val="7"/>
              <w:rPr>
                <w:color w:val="auto"/>
                <w:highlight w:val="none"/>
              </w:rPr>
            </w:pPr>
          </w:p>
        </w:tc>
        <w:tc>
          <w:tcPr>
            <w:tcW w:w="2457" w:type="dxa"/>
            <w:vMerge w:val="continue"/>
            <w:tcBorders>
              <w:top w:val="nil"/>
              <w:bottom w:val="nil"/>
            </w:tcBorders>
            <w:vAlign w:val="top"/>
          </w:tcPr>
          <w:p w14:paraId="28E85A78">
            <w:pPr>
              <w:pStyle w:val="7"/>
              <w:rPr>
                <w:color w:val="auto"/>
                <w:highlight w:val="none"/>
              </w:rPr>
            </w:pPr>
          </w:p>
        </w:tc>
        <w:tc>
          <w:tcPr>
            <w:tcW w:w="867" w:type="dxa"/>
            <w:vMerge w:val="continue"/>
            <w:tcBorders>
              <w:top w:val="nil"/>
              <w:bottom w:val="nil"/>
            </w:tcBorders>
            <w:vAlign w:val="top"/>
          </w:tcPr>
          <w:p w14:paraId="05E61901">
            <w:pPr>
              <w:pStyle w:val="7"/>
              <w:rPr>
                <w:color w:val="auto"/>
                <w:highlight w:val="none"/>
              </w:rPr>
            </w:pPr>
          </w:p>
        </w:tc>
        <w:tc>
          <w:tcPr>
            <w:tcW w:w="1484" w:type="dxa"/>
            <w:vAlign w:val="top"/>
          </w:tcPr>
          <w:p w14:paraId="13761558">
            <w:pPr>
              <w:pStyle w:val="7"/>
              <w:rPr>
                <w:color w:val="auto"/>
                <w:highlight w:val="none"/>
              </w:rPr>
            </w:pPr>
          </w:p>
        </w:tc>
        <w:tc>
          <w:tcPr>
            <w:tcW w:w="1484" w:type="dxa"/>
            <w:vAlign w:val="top"/>
          </w:tcPr>
          <w:p w14:paraId="56699D91">
            <w:pPr>
              <w:pStyle w:val="7"/>
              <w:rPr>
                <w:color w:val="auto"/>
                <w:highlight w:val="none"/>
              </w:rPr>
            </w:pPr>
          </w:p>
        </w:tc>
        <w:tc>
          <w:tcPr>
            <w:tcW w:w="1493" w:type="dxa"/>
            <w:vAlign w:val="top"/>
          </w:tcPr>
          <w:p w14:paraId="2736A519">
            <w:pPr>
              <w:pStyle w:val="7"/>
              <w:rPr>
                <w:color w:val="auto"/>
                <w:highlight w:val="none"/>
              </w:rPr>
            </w:pPr>
          </w:p>
        </w:tc>
      </w:tr>
      <w:tr w14:paraId="2BB607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7FF793C6">
            <w:pPr>
              <w:pStyle w:val="7"/>
              <w:rPr>
                <w:color w:val="auto"/>
                <w:highlight w:val="none"/>
              </w:rPr>
            </w:pPr>
          </w:p>
        </w:tc>
        <w:tc>
          <w:tcPr>
            <w:tcW w:w="2457" w:type="dxa"/>
            <w:vMerge w:val="continue"/>
            <w:tcBorders>
              <w:top w:val="nil"/>
              <w:bottom w:val="nil"/>
            </w:tcBorders>
            <w:vAlign w:val="top"/>
          </w:tcPr>
          <w:p w14:paraId="2BBD4ECF">
            <w:pPr>
              <w:pStyle w:val="7"/>
              <w:rPr>
                <w:color w:val="auto"/>
                <w:highlight w:val="none"/>
              </w:rPr>
            </w:pPr>
          </w:p>
        </w:tc>
        <w:tc>
          <w:tcPr>
            <w:tcW w:w="867" w:type="dxa"/>
            <w:vMerge w:val="continue"/>
            <w:tcBorders>
              <w:top w:val="nil"/>
              <w:bottom w:val="nil"/>
            </w:tcBorders>
            <w:vAlign w:val="top"/>
          </w:tcPr>
          <w:p w14:paraId="53B18E47">
            <w:pPr>
              <w:pStyle w:val="7"/>
              <w:rPr>
                <w:color w:val="auto"/>
                <w:highlight w:val="none"/>
              </w:rPr>
            </w:pPr>
          </w:p>
        </w:tc>
        <w:tc>
          <w:tcPr>
            <w:tcW w:w="1484" w:type="dxa"/>
            <w:vAlign w:val="top"/>
          </w:tcPr>
          <w:p w14:paraId="64CA9B8B">
            <w:pPr>
              <w:spacing w:before="14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6D97D52">
            <w:pPr>
              <w:pStyle w:val="7"/>
              <w:rPr>
                <w:color w:val="auto"/>
                <w:highlight w:val="none"/>
              </w:rPr>
            </w:pPr>
          </w:p>
        </w:tc>
        <w:tc>
          <w:tcPr>
            <w:tcW w:w="1493" w:type="dxa"/>
            <w:vAlign w:val="top"/>
          </w:tcPr>
          <w:p w14:paraId="07B464E4">
            <w:pPr>
              <w:pStyle w:val="7"/>
              <w:rPr>
                <w:color w:val="auto"/>
                <w:highlight w:val="none"/>
              </w:rPr>
            </w:pPr>
          </w:p>
        </w:tc>
      </w:tr>
      <w:tr w14:paraId="07DCFF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53C5C738">
            <w:pPr>
              <w:pStyle w:val="7"/>
              <w:rPr>
                <w:color w:val="auto"/>
                <w:highlight w:val="none"/>
              </w:rPr>
            </w:pPr>
          </w:p>
        </w:tc>
        <w:tc>
          <w:tcPr>
            <w:tcW w:w="2457" w:type="dxa"/>
            <w:vMerge w:val="continue"/>
            <w:tcBorders>
              <w:top w:val="nil"/>
            </w:tcBorders>
            <w:vAlign w:val="top"/>
          </w:tcPr>
          <w:p w14:paraId="00B68389">
            <w:pPr>
              <w:pStyle w:val="7"/>
              <w:rPr>
                <w:color w:val="auto"/>
                <w:highlight w:val="none"/>
              </w:rPr>
            </w:pPr>
          </w:p>
        </w:tc>
        <w:tc>
          <w:tcPr>
            <w:tcW w:w="867" w:type="dxa"/>
            <w:vMerge w:val="continue"/>
            <w:tcBorders>
              <w:top w:val="nil"/>
            </w:tcBorders>
            <w:vAlign w:val="top"/>
          </w:tcPr>
          <w:p w14:paraId="57FE6B85">
            <w:pPr>
              <w:pStyle w:val="7"/>
              <w:rPr>
                <w:color w:val="auto"/>
                <w:highlight w:val="none"/>
              </w:rPr>
            </w:pPr>
          </w:p>
        </w:tc>
        <w:tc>
          <w:tcPr>
            <w:tcW w:w="1484" w:type="dxa"/>
            <w:vAlign w:val="top"/>
          </w:tcPr>
          <w:p w14:paraId="5801CD52">
            <w:pPr>
              <w:pStyle w:val="7"/>
              <w:rPr>
                <w:color w:val="auto"/>
                <w:highlight w:val="none"/>
              </w:rPr>
            </w:pPr>
          </w:p>
        </w:tc>
        <w:tc>
          <w:tcPr>
            <w:tcW w:w="1484" w:type="dxa"/>
            <w:vAlign w:val="top"/>
          </w:tcPr>
          <w:p w14:paraId="1C5F8C25">
            <w:pPr>
              <w:pStyle w:val="7"/>
              <w:rPr>
                <w:color w:val="auto"/>
                <w:highlight w:val="none"/>
              </w:rPr>
            </w:pPr>
          </w:p>
        </w:tc>
        <w:tc>
          <w:tcPr>
            <w:tcW w:w="1493" w:type="dxa"/>
            <w:vAlign w:val="top"/>
          </w:tcPr>
          <w:p w14:paraId="2DEB65D5">
            <w:pPr>
              <w:pStyle w:val="7"/>
              <w:rPr>
                <w:color w:val="auto"/>
                <w:highlight w:val="none"/>
              </w:rPr>
            </w:pPr>
          </w:p>
        </w:tc>
      </w:tr>
      <w:tr w14:paraId="1F46F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412B1F61">
            <w:pPr>
              <w:pStyle w:val="7"/>
              <w:spacing w:line="279" w:lineRule="auto"/>
              <w:rPr>
                <w:color w:val="auto"/>
                <w:highlight w:val="none"/>
              </w:rPr>
            </w:pPr>
          </w:p>
          <w:p w14:paraId="348C21DE">
            <w:pPr>
              <w:pStyle w:val="7"/>
              <w:spacing w:line="280" w:lineRule="auto"/>
              <w:rPr>
                <w:color w:val="auto"/>
                <w:highlight w:val="none"/>
              </w:rPr>
            </w:pPr>
          </w:p>
          <w:p w14:paraId="0061031E">
            <w:pPr>
              <w:pStyle w:val="7"/>
              <w:spacing w:line="280" w:lineRule="auto"/>
              <w:rPr>
                <w:color w:val="auto"/>
                <w:highlight w:val="none"/>
              </w:rPr>
            </w:pPr>
          </w:p>
          <w:p w14:paraId="2D18E1AB">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1_7</w:t>
            </w:r>
          </w:p>
        </w:tc>
        <w:tc>
          <w:tcPr>
            <w:tcW w:w="2457" w:type="dxa"/>
            <w:vMerge w:val="restart"/>
            <w:tcBorders>
              <w:bottom w:val="nil"/>
            </w:tcBorders>
            <w:vAlign w:val="top"/>
          </w:tcPr>
          <w:p w14:paraId="4B9FE95A">
            <w:pPr>
              <w:pStyle w:val="7"/>
              <w:spacing w:line="250" w:lineRule="auto"/>
              <w:rPr>
                <w:color w:val="auto"/>
                <w:highlight w:val="none"/>
              </w:rPr>
            </w:pPr>
          </w:p>
          <w:p w14:paraId="7BB6F05B">
            <w:pPr>
              <w:pStyle w:val="7"/>
              <w:spacing w:line="251" w:lineRule="auto"/>
              <w:rPr>
                <w:color w:val="auto"/>
                <w:highlight w:val="none"/>
              </w:rPr>
            </w:pPr>
          </w:p>
          <w:p w14:paraId="79807CF3">
            <w:pPr>
              <w:pStyle w:val="7"/>
              <w:spacing w:line="251" w:lineRule="auto"/>
              <w:rPr>
                <w:color w:val="auto"/>
                <w:highlight w:val="none"/>
              </w:rPr>
            </w:pPr>
          </w:p>
          <w:p w14:paraId="2FE10DCC">
            <w:pPr>
              <w:spacing w:before="58" w:line="219" w:lineRule="auto"/>
              <w:ind w:left="59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发电机频率保护</w:t>
            </w:r>
          </w:p>
        </w:tc>
        <w:tc>
          <w:tcPr>
            <w:tcW w:w="867" w:type="dxa"/>
            <w:vMerge w:val="restart"/>
            <w:tcBorders>
              <w:bottom w:val="nil"/>
            </w:tcBorders>
            <w:vAlign w:val="top"/>
          </w:tcPr>
          <w:p w14:paraId="1B8CF76B">
            <w:pPr>
              <w:pStyle w:val="7"/>
              <w:rPr>
                <w:color w:val="auto"/>
                <w:highlight w:val="none"/>
              </w:rPr>
            </w:pPr>
          </w:p>
        </w:tc>
        <w:tc>
          <w:tcPr>
            <w:tcW w:w="1484" w:type="dxa"/>
            <w:vAlign w:val="top"/>
          </w:tcPr>
          <w:p w14:paraId="445C224F">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8412CBD">
            <w:pPr>
              <w:pStyle w:val="7"/>
              <w:rPr>
                <w:color w:val="auto"/>
                <w:highlight w:val="none"/>
              </w:rPr>
            </w:pPr>
          </w:p>
        </w:tc>
        <w:tc>
          <w:tcPr>
            <w:tcW w:w="1493" w:type="dxa"/>
            <w:vAlign w:val="top"/>
          </w:tcPr>
          <w:p w14:paraId="6D2155C4">
            <w:pPr>
              <w:pStyle w:val="7"/>
              <w:rPr>
                <w:color w:val="auto"/>
                <w:highlight w:val="none"/>
              </w:rPr>
            </w:pPr>
          </w:p>
        </w:tc>
      </w:tr>
      <w:tr w14:paraId="4D770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D9061D7">
            <w:pPr>
              <w:pStyle w:val="7"/>
              <w:rPr>
                <w:color w:val="auto"/>
                <w:highlight w:val="none"/>
              </w:rPr>
            </w:pPr>
          </w:p>
        </w:tc>
        <w:tc>
          <w:tcPr>
            <w:tcW w:w="2457" w:type="dxa"/>
            <w:vMerge w:val="continue"/>
            <w:tcBorders>
              <w:top w:val="nil"/>
              <w:bottom w:val="nil"/>
            </w:tcBorders>
            <w:vAlign w:val="top"/>
          </w:tcPr>
          <w:p w14:paraId="79069A00">
            <w:pPr>
              <w:pStyle w:val="7"/>
              <w:rPr>
                <w:color w:val="auto"/>
                <w:highlight w:val="none"/>
              </w:rPr>
            </w:pPr>
          </w:p>
        </w:tc>
        <w:tc>
          <w:tcPr>
            <w:tcW w:w="867" w:type="dxa"/>
            <w:vMerge w:val="continue"/>
            <w:tcBorders>
              <w:top w:val="nil"/>
              <w:bottom w:val="nil"/>
            </w:tcBorders>
            <w:vAlign w:val="top"/>
          </w:tcPr>
          <w:p w14:paraId="46D24296">
            <w:pPr>
              <w:pStyle w:val="7"/>
              <w:rPr>
                <w:color w:val="auto"/>
                <w:highlight w:val="none"/>
              </w:rPr>
            </w:pPr>
          </w:p>
        </w:tc>
        <w:tc>
          <w:tcPr>
            <w:tcW w:w="1484" w:type="dxa"/>
            <w:vAlign w:val="top"/>
          </w:tcPr>
          <w:p w14:paraId="619C9B44">
            <w:pPr>
              <w:pStyle w:val="7"/>
              <w:rPr>
                <w:color w:val="auto"/>
                <w:highlight w:val="none"/>
              </w:rPr>
            </w:pPr>
          </w:p>
        </w:tc>
        <w:tc>
          <w:tcPr>
            <w:tcW w:w="1484" w:type="dxa"/>
            <w:vAlign w:val="top"/>
          </w:tcPr>
          <w:p w14:paraId="6CD3B295">
            <w:pPr>
              <w:pStyle w:val="7"/>
              <w:rPr>
                <w:color w:val="auto"/>
                <w:highlight w:val="none"/>
              </w:rPr>
            </w:pPr>
          </w:p>
        </w:tc>
        <w:tc>
          <w:tcPr>
            <w:tcW w:w="1493" w:type="dxa"/>
            <w:vAlign w:val="top"/>
          </w:tcPr>
          <w:p w14:paraId="67037818">
            <w:pPr>
              <w:pStyle w:val="7"/>
              <w:rPr>
                <w:color w:val="auto"/>
                <w:highlight w:val="none"/>
              </w:rPr>
            </w:pPr>
          </w:p>
        </w:tc>
      </w:tr>
      <w:tr w14:paraId="77635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9CF9F83">
            <w:pPr>
              <w:pStyle w:val="7"/>
              <w:rPr>
                <w:color w:val="auto"/>
                <w:highlight w:val="none"/>
              </w:rPr>
            </w:pPr>
          </w:p>
        </w:tc>
        <w:tc>
          <w:tcPr>
            <w:tcW w:w="2457" w:type="dxa"/>
            <w:vMerge w:val="continue"/>
            <w:tcBorders>
              <w:top w:val="nil"/>
              <w:bottom w:val="nil"/>
            </w:tcBorders>
            <w:vAlign w:val="top"/>
          </w:tcPr>
          <w:p w14:paraId="6D40FC50">
            <w:pPr>
              <w:pStyle w:val="7"/>
              <w:rPr>
                <w:color w:val="auto"/>
                <w:highlight w:val="none"/>
              </w:rPr>
            </w:pPr>
          </w:p>
        </w:tc>
        <w:tc>
          <w:tcPr>
            <w:tcW w:w="867" w:type="dxa"/>
            <w:vMerge w:val="continue"/>
            <w:tcBorders>
              <w:top w:val="nil"/>
              <w:bottom w:val="nil"/>
            </w:tcBorders>
            <w:vAlign w:val="top"/>
          </w:tcPr>
          <w:p w14:paraId="58989B71">
            <w:pPr>
              <w:pStyle w:val="7"/>
              <w:rPr>
                <w:color w:val="auto"/>
                <w:highlight w:val="none"/>
              </w:rPr>
            </w:pPr>
          </w:p>
        </w:tc>
        <w:tc>
          <w:tcPr>
            <w:tcW w:w="1484" w:type="dxa"/>
            <w:vAlign w:val="top"/>
          </w:tcPr>
          <w:p w14:paraId="0AC71739">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699E629">
            <w:pPr>
              <w:pStyle w:val="7"/>
              <w:rPr>
                <w:color w:val="auto"/>
                <w:highlight w:val="none"/>
              </w:rPr>
            </w:pPr>
          </w:p>
        </w:tc>
        <w:tc>
          <w:tcPr>
            <w:tcW w:w="1493" w:type="dxa"/>
            <w:vAlign w:val="top"/>
          </w:tcPr>
          <w:p w14:paraId="4921C229">
            <w:pPr>
              <w:pStyle w:val="7"/>
              <w:rPr>
                <w:color w:val="auto"/>
                <w:highlight w:val="none"/>
              </w:rPr>
            </w:pPr>
          </w:p>
        </w:tc>
      </w:tr>
      <w:tr w14:paraId="7F5D3F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48A90194">
            <w:pPr>
              <w:pStyle w:val="7"/>
              <w:rPr>
                <w:color w:val="auto"/>
                <w:highlight w:val="none"/>
              </w:rPr>
            </w:pPr>
          </w:p>
        </w:tc>
        <w:tc>
          <w:tcPr>
            <w:tcW w:w="2457" w:type="dxa"/>
            <w:vMerge w:val="continue"/>
            <w:tcBorders>
              <w:top w:val="nil"/>
            </w:tcBorders>
            <w:vAlign w:val="top"/>
          </w:tcPr>
          <w:p w14:paraId="33275DF8">
            <w:pPr>
              <w:pStyle w:val="7"/>
              <w:rPr>
                <w:color w:val="auto"/>
                <w:highlight w:val="none"/>
              </w:rPr>
            </w:pPr>
          </w:p>
        </w:tc>
        <w:tc>
          <w:tcPr>
            <w:tcW w:w="867" w:type="dxa"/>
            <w:vMerge w:val="continue"/>
            <w:tcBorders>
              <w:top w:val="nil"/>
            </w:tcBorders>
            <w:vAlign w:val="top"/>
          </w:tcPr>
          <w:p w14:paraId="3E948E1E">
            <w:pPr>
              <w:pStyle w:val="7"/>
              <w:rPr>
                <w:color w:val="auto"/>
                <w:highlight w:val="none"/>
              </w:rPr>
            </w:pPr>
          </w:p>
        </w:tc>
        <w:tc>
          <w:tcPr>
            <w:tcW w:w="1484" w:type="dxa"/>
            <w:vAlign w:val="top"/>
          </w:tcPr>
          <w:p w14:paraId="0E7D0EFA">
            <w:pPr>
              <w:pStyle w:val="7"/>
              <w:rPr>
                <w:color w:val="auto"/>
                <w:highlight w:val="none"/>
              </w:rPr>
            </w:pPr>
          </w:p>
        </w:tc>
        <w:tc>
          <w:tcPr>
            <w:tcW w:w="1484" w:type="dxa"/>
            <w:vAlign w:val="top"/>
          </w:tcPr>
          <w:p w14:paraId="43CBE146">
            <w:pPr>
              <w:pStyle w:val="7"/>
              <w:rPr>
                <w:color w:val="auto"/>
                <w:highlight w:val="none"/>
              </w:rPr>
            </w:pPr>
          </w:p>
        </w:tc>
        <w:tc>
          <w:tcPr>
            <w:tcW w:w="1493" w:type="dxa"/>
            <w:vAlign w:val="top"/>
          </w:tcPr>
          <w:p w14:paraId="2130A2F3">
            <w:pPr>
              <w:pStyle w:val="7"/>
              <w:rPr>
                <w:color w:val="auto"/>
                <w:highlight w:val="none"/>
              </w:rPr>
            </w:pPr>
          </w:p>
        </w:tc>
      </w:tr>
      <w:tr w14:paraId="30FAE0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2DED9B4">
            <w:pPr>
              <w:pStyle w:val="7"/>
              <w:spacing w:line="280" w:lineRule="auto"/>
              <w:rPr>
                <w:color w:val="auto"/>
                <w:highlight w:val="none"/>
              </w:rPr>
            </w:pPr>
          </w:p>
          <w:p w14:paraId="56902539">
            <w:pPr>
              <w:pStyle w:val="7"/>
              <w:spacing w:line="280" w:lineRule="auto"/>
              <w:rPr>
                <w:color w:val="auto"/>
                <w:highlight w:val="none"/>
              </w:rPr>
            </w:pPr>
          </w:p>
          <w:p w14:paraId="71C5AF38">
            <w:pPr>
              <w:pStyle w:val="7"/>
              <w:spacing w:line="281" w:lineRule="auto"/>
              <w:rPr>
                <w:color w:val="auto"/>
                <w:highlight w:val="none"/>
              </w:rPr>
            </w:pPr>
          </w:p>
          <w:p w14:paraId="79192444">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1_8</w:t>
            </w:r>
          </w:p>
        </w:tc>
        <w:tc>
          <w:tcPr>
            <w:tcW w:w="2457" w:type="dxa"/>
            <w:vMerge w:val="restart"/>
            <w:tcBorders>
              <w:bottom w:val="nil"/>
            </w:tcBorders>
            <w:vAlign w:val="top"/>
          </w:tcPr>
          <w:p w14:paraId="7B892A03">
            <w:pPr>
              <w:pStyle w:val="7"/>
              <w:spacing w:line="252" w:lineRule="auto"/>
              <w:rPr>
                <w:color w:val="auto"/>
                <w:highlight w:val="none"/>
              </w:rPr>
            </w:pPr>
          </w:p>
          <w:p w14:paraId="4D55EB11">
            <w:pPr>
              <w:pStyle w:val="7"/>
              <w:spacing w:line="252" w:lineRule="auto"/>
              <w:rPr>
                <w:color w:val="auto"/>
                <w:highlight w:val="none"/>
              </w:rPr>
            </w:pPr>
          </w:p>
          <w:p w14:paraId="1E9C7D31">
            <w:pPr>
              <w:pStyle w:val="7"/>
              <w:spacing w:line="252" w:lineRule="auto"/>
              <w:rPr>
                <w:color w:val="auto"/>
                <w:highlight w:val="none"/>
              </w:rPr>
            </w:pPr>
          </w:p>
          <w:p w14:paraId="0970BC09">
            <w:pPr>
              <w:spacing w:before="59"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发电机过激磁保护</w:t>
            </w:r>
          </w:p>
        </w:tc>
        <w:tc>
          <w:tcPr>
            <w:tcW w:w="867" w:type="dxa"/>
            <w:vMerge w:val="restart"/>
            <w:tcBorders>
              <w:bottom w:val="nil"/>
            </w:tcBorders>
            <w:vAlign w:val="top"/>
          </w:tcPr>
          <w:p w14:paraId="5360982B">
            <w:pPr>
              <w:pStyle w:val="7"/>
              <w:rPr>
                <w:color w:val="auto"/>
                <w:highlight w:val="none"/>
              </w:rPr>
            </w:pPr>
          </w:p>
        </w:tc>
        <w:tc>
          <w:tcPr>
            <w:tcW w:w="1484" w:type="dxa"/>
            <w:vAlign w:val="top"/>
          </w:tcPr>
          <w:p w14:paraId="6E8E8ED7">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EF86341">
            <w:pPr>
              <w:pStyle w:val="7"/>
              <w:rPr>
                <w:color w:val="auto"/>
                <w:highlight w:val="none"/>
              </w:rPr>
            </w:pPr>
          </w:p>
        </w:tc>
        <w:tc>
          <w:tcPr>
            <w:tcW w:w="1493" w:type="dxa"/>
            <w:vAlign w:val="top"/>
          </w:tcPr>
          <w:p w14:paraId="09987B4E">
            <w:pPr>
              <w:pStyle w:val="7"/>
              <w:rPr>
                <w:color w:val="auto"/>
                <w:highlight w:val="none"/>
              </w:rPr>
            </w:pPr>
          </w:p>
        </w:tc>
      </w:tr>
      <w:tr w14:paraId="3C3C2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6054D577">
            <w:pPr>
              <w:pStyle w:val="7"/>
              <w:rPr>
                <w:color w:val="auto"/>
                <w:highlight w:val="none"/>
              </w:rPr>
            </w:pPr>
          </w:p>
        </w:tc>
        <w:tc>
          <w:tcPr>
            <w:tcW w:w="2457" w:type="dxa"/>
            <w:vMerge w:val="continue"/>
            <w:tcBorders>
              <w:top w:val="nil"/>
              <w:bottom w:val="nil"/>
            </w:tcBorders>
            <w:vAlign w:val="top"/>
          </w:tcPr>
          <w:p w14:paraId="0D953433">
            <w:pPr>
              <w:pStyle w:val="7"/>
              <w:rPr>
                <w:color w:val="auto"/>
                <w:highlight w:val="none"/>
              </w:rPr>
            </w:pPr>
          </w:p>
        </w:tc>
        <w:tc>
          <w:tcPr>
            <w:tcW w:w="867" w:type="dxa"/>
            <w:vMerge w:val="continue"/>
            <w:tcBorders>
              <w:top w:val="nil"/>
              <w:bottom w:val="nil"/>
            </w:tcBorders>
            <w:vAlign w:val="top"/>
          </w:tcPr>
          <w:p w14:paraId="13CC5387">
            <w:pPr>
              <w:pStyle w:val="7"/>
              <w:rPr>
                <w:color w:val="auto"/>
                <w:highlight w:val="none"/>
              </w:rPr>
            </w:pPr>
          </w:p>
        </w:tc>
        <w:tc>
          <w:tcPr>
            <w:tcW w:w="1484" w:type="dxa"/>
            <w:vAlign w:val="top"/>
          </w:tcPr>
          <w:p w14:paraId="746D8D97">
            <w:pPr>
              <w:pStyle w:val="7"/>
              <w:rPr>
                <w:color w:val="auto"/>
                <w:highlight w:val="none"/>
              </w:rPr>
            </w:pPr>
          </w:p>
        </w:tc>
        <w:tc>
          <w:tcPr>
            <w:tcW w:w="1484" w:type="dxa"/>
            <w:vAlign w:val="top"/>
          </w:tcPr>
          <w:p w14:paraId="0C764DF0">
            <w:pPr>
              <w:pStyle w:val="7"/>
              <w:rPr>
                <w:color w:val="auto"/>
                <w:highlight w:val="none"/>
              </w:rPr>
            </w:pPr>
          </w:p>
        </w:tc>
        <w:tc>
          <w:tcPr>
            <w:tcW w:w="1493" w:type="dxa"/>
            <w:vAlign w:val="top"/>
          </w:tcPr>
          <w:p w14:paraId="4217DD07">
            <w:pPr>
              <w:pStyle w:val="7"/>
              <w:rPr>
                <w:color w:val="auto"/>
                <w:highlight w:val="none"/>
              </w:rPr>
            </w:pPr>
          </w:p>
        </w:tc>
      </w:tr>
      <w:tr w14:paraId="5730E6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4D56228B">
            <w:pPr>
              <w:pStyle w:val="7"/>
              <w:rPr>
                <w:color w:val="auto"/>
                <w:highlight w:val="none"/>
              </w:rPr>
            </w:pPr>
          </w:p>
        </w:tc>
        <w:tc>
          <w:tcPr>
            <w:tcW w:w="2457" w:type="dxa"/>
            <w:vMerge w:val="continue"/>
            <w:tcBorders>
              <w:top w:val="nil"/>
              <w:bottom w:val="nil"/>
            </w:tcBorders>
            <w:vAlign w:val="top"/>
          </w:tcPr>
          <w:p w14:paraId="72461E66">
            <w:pPr>
              <w:pStyle w:val="7"/>
              <w:rPr>
                <w:color w:val="auto"/>
                <w:highlight w:val="none"/>
              </w:rPr>
            </w:pPr>
          </w:p>
        </w:tc>
        <w:tc>
          <w:tcPr>
            <w:tcW w:w="867" w:type="dxa"/>
            <w:vMerge w:val="continue"/>
            <w:tcBorders>
              <w:top w:val="nil"/>
              <w:bottom w:val="nil"/>
            </w:tcBorders>
            <w:vAlign w:val="top"/>
          </w:tcPr>
          <w:p w14:paraId="616E426B">
            <w:pPr>
              <w:pStyle w:val="7"/>
              <w:rPr>
                <w:color w:val="auto"/>
                <w:highlight w:val="none"/>
              </w:rPr>
            </w:pPr>
          </w:p>
        </w:tc>
        <w:tc>
          <w:tcPr>
            <w:tcW w:w="1484" w:type="dxa"/>
            <w:vAlign w:val="top"/>
          </w:tcPr>
          <w:p w14:paraId="66B2ABA7">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47B63CD4">
            <w:pPr>
              <w:pStyle w:val="7"/>
              <w:rPr>
                <w:color w:val="auto"/>
                <w:highlight w:val="none"/>
              </w:rPr>
            </w:pPr>
          </w:p>
        </w:tc>
        <w:tc>
          <w:tcPr>
            <w:tcW w:w="1493" w:type="dxa"/>
            <w:vAlign w:val="top"/>
          </w:tcPr>
          <w:p w14:paraId="7208A31D">
            <w:pPr>
              <w:pStyle w:val="7"/>
              <w:rPr>
                <w:color w:val="auto"/>
                <w:highlight w:val="none"/>
              </w:rPr>
            </w:pPr>
          </w:p>
        </w:tc>
      </w:tr>
      <w:tr w14:paraId="0F976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57991D5B">
            <w:pPr>
              <w:pStyle w:val="7"/>
              <w:rPr>
                <w:color w:val="auto"/>
                <w:highlight w:val="none"/>
              </w:rPr>
            </w:pPr>
          </w:p>
        </w:tc>
        <w:tc>
          <w:tcPr>
            <w:tcW w:w="2457" w:type="dxa"/>
            <w:vMerge w:val="continue"/>
            <w:tcBorders>
              <w:top w:val="nil"/>
            </w:tcBorders>
            <w:vAlign w:val="top"/>
          </w:tcPr>
          <w:p w14:paraId="1DD352B4">
            <w:pPr>
              <w:pStyle w:val="7"/>
              <w:rPr>
                <w:color w:val="auto"/>
                <w:highlight w:val="none"/>
              </w:rPr>
            </w:pPr>
          </w:p>
        </w:tc>
        <w:tc>
          <w:tcPr>
            <w:tcW w:w="867" w:type="dxa"/>
            <w:vMerge w:val="continue"/>
            <w:tcBorders>
              <w:top w:val="nil"/>
            </w:tcBorders>
            <w:vAlign w:val="top"/>
          </w:tcPr>
          <w:p w14:paraId="7AD25A56">
            <w:pPr>
              <w:pStyle w:val="7"/>
              <w:rPr>
                <w:color w:val="auto"/>
                <w:highlight w:val="none"/>
              </w:rPr>
            </w:pPr>
          </w:p>
        </w:tc>
        <w:tc>
          <w:tcPr>
            <w:tcW w:w="1484" w:type="dxa"/>
            <w:vAlign w:val="top"/>
          </w:tcPr>
          <w:p w14:paraId="41682C82">
            <w:pPr>
              <w:pStyle w:val="7"/>
              <w:rPr>
                <w:color w:val="auto"/>
                <w:highlight w:val="none"/>
              </w:rPr>
            </w:pPr>
          </w:p>
        </w:tc>
        <w:tc>
          <w:tcPr>
            <w:tcW w:w="1484" w:type="dxa"/>
            <w:vAlign w:val="top"/>
          </w:tcPr>
          <w:p w14:paraId="2AD6A8E3">
            <w:pPr>
              <w:pStyle w:val="7"/>
              <w:rPr>
                <w:color w:val="auto"/>
                <w:highlight w:val="none"/>
              </w:rPr>
            </w:pPr>
          </w:p>
        </w:tc>
        <w:tc>
          <w:tcPr>
            <w:tcW w:w="1493" w:type="dxa"/>
            <w:vAlign w:val="top"/>
          </w:tcPr>
          <w:p w14:paraId="15372358">
            <w:pPr>
              <w:pStyle w:val="7"/>
              <w:rPr>
                <w:color w:val="auto"/>
                <w:highlight w:val="none"/>
              </w:rPr>
            </w:pPr>
          </w:p>
        </w:tc>
      </w:tr>
      <w:tr w14:paraId="633ECD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1B52B881">
            <w:pPr>
              <w:pStyle w:val="7"/>
              <w:spacing w:line="281" w:lineRule="auto"/>
              <w:rPr>
                <w:color w:val="auto"/>
                <w:highlight w:val="none"/>
              </w:rPr>
            </w:pPr>
          </w:p>
          <w:p w14:paraId="6C2128E6">
            <w:pPr>
              <w:pStyle w:val="7"/>
              <w:spacing w:line="281" w:lineRule="auto"/>
              <w:rPr>
                <w:color w:val="auto"/>
                <w:highlight w:val="none"/>
              </w:rPr>
            </w:pPr>
          </w:p>
          <w:p w14:paraId="7F69C63A">
            <w:pPr>
              <w:pStyle w:val="7"/>
              <w:spacing w:line="281" w:lineRule="auto"/>
              <w:rPr>
                <w:color w:val="auto"/>
                <w:highlight w:val="none"/>
              </w:rPr>
            </w:pPr>
          </w:p>
          <w:p w14:paraId="3F7377D3">
            <w:pPr>
              <w:spacing w:before="59" w:line="184" w:lineRule="auto"/>
              <w:ind w:left="2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1_9</w:t>
            </w:r>
          </w:p>
        </w:tc>
        <w:tc>
          <w:tcPr>
            <w:tcW w:w="2457" w:type="dxa"/>
            <w:vMerge w:val="restart"/>
            <w:tcBorders>
              <w:bottom w:val="nil"/>
            </w:tcBorders>
            <w:vAlign w:val="top"/>
          </w:tcPr>
          <w:p w14:paraId="396C915D">
            <w:pPr>
              <w:pStyle w:val="7"/>
              <w:spacing w:line="253" w:lineRule="auto"/>
              <w:rPr>
                <w:color w:val="auto"/>
                <w:highlight w:val="none"/>
              </w:rPr>
            </w:pPr>
          </w:p>
          <w:p w14:paraId="2EE77735">
            <w:pPr>
              <w:pStyle w:val="7"/>
              <w:spacing w:line="253" w:lineRule="auto"/>
              <w:rPr>
                <w:color w:val="auto"/>
                <w:highlight w:val="none"/>
              </w:rPr>
            </w:pPr>
          </w:p>
          <w:p w14:paraId="4772C7BA">
            <w:pPr>
              <w:pStyle w:val="7"/>
              <w:spacing w:line="253" w:lineRule="auto"/>
              <w:rPr>
                <w:color w:val="auto"/>
                <w:highlight w:val="none"/>
              </w:rPr>
            </w:pPr>
          </w:p>
          <w:p w14:paraId="30000093">
            <w:pPr>
              <w:spacing w:before="58"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发电机过电压保护</w:t>
            </w:r>
          </w:p>
        </w:tc>
        <w:tc>
          <w:tcPr>
            <w:tcW w:w="867" w:type="dxa"/>
            <w:vMerge w:val="restart"/>
            <w:tcBorders>
              <w:bottom w:val="nil"/>
            </w:tcBorders>
            <w:vAlign w:val="top"/>
          </w:tcPr>
          <w:p w14:paraId="079E375B">
            <w:pPr>
              <w:pStyle w:val="7"/>
              <w:rPr>
                <w:color w:val="auto"/>
                <w:highlight w:val="none"/>
              </w:rPr>
            </w:pPr>
          </w:p>
        </w:tc>
        <w:tc>
          <w:tcPr>
            <w:tcW w:w="1484" w:type="dxa"/>
            <w:vAlign w:val="top"/>
          </w:tcPr>
          <w:p w14:paraId="300A72DE">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E6E350A">
            <w:pPr>
              <w:pStyle w:val="7"/>
              <w:rPr>
                <w:color w:val="auto"/>
                <w:highlight w:val="none"/>
              </w:rPr>
            </w:pPr>
          </w:p>
        </w:tc>
        <w:tc>
          <w:tcPr>
            <w:tcW w:w="1493" w:type="dxa"/>
            <w:vAlign w:val="top"/>
          </w:tcPr>
          <w:p w14:paraId="1F48CA15">
            <w:pPr>
              <w:pStyle w:val="7"/>
              <w:rPr>
                <w:color w:val="auto"/>
                <w:highlight w:val="none"/>
              </w:rPr>
            </w:pPr>
          </w:p>
        </w:tc>
      </w:tr>
      <w:tr w14:paraId="60C166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7B4DCCBE">
            <w:pPr>
              <w:pStyle w:val="7"/>
              <w:rPr>
                <w:color w:val="auto"/>
                <w:highlight w:val="none"/>
              </w:rPr>
            </w:pPr>
          </w:p>
        </w:tc>
        <w:tc>
          <w:tcPr>
            <w:tcW w:w="2457" w:type="dxa"/>
            <w:vMerge w:val="continue"/>
            <w:tcBorders>
              <w:top w:val="nil"/>
              <w:bottom w:val="nil"/>
            </w:tcBorders>
            <w:vAlign w:val="top"/>
          </w:tcPr>
          <w:p w14:paraId="45A555E5">
            <w:pPr>
              <w:pStyle w:val="7"/>
              <w:rPr>
                <w:color w:val="auto"/>
                <w:highlight w:val="none"/>
              </w:rPr>
            </w:pPr>
          </w:p>
        </w:tc>
        <w:tc>
          <w:tcPr>
            <w:tcW w:w="867" w:type="dxa"/>
            <w:vMerge w:val="continue"/>
            <w:tcBorders>
              <w:top w:val="nil"/>
              <w:bottom w:val="nil"/>
            </w:tcBorders>
            <w:vAlign w:val="top"/>
          </w:tcPr>
          <w:p w14:paraId="54F2DF8D">
            <w:pPr>
              <w:pStyle w:val="7"/>
              <w:rPr>
                <w:color w:val="auto"/>
                <w:highlight w:val="none"/>
              </w:rPr>
            </w:pPr>
          </w:p>
        </w:tc>
        <w:tc>
          <w:tcPr>
            <w:tcW w:w="1484" w:type="dxa"/>
            <w:vAlign w:val="top"/>
          </w:tcPr>
          <w:p w14:paraId="44063350">
            <w:pPr>
              <w:pStyle w:val="7"/>
              <w:rPr>
                <w:color w:val="auto"/>
                <w:highlight w:val="none"/>
              </w:rPr>
            </w:pPr>
          </w:p>
        </w:tc>
        <w:tc>
          <w:tcPr>
            <w:tcW w:w="1484" w:type="dxa"/>
            <w:vAlign w:val="top"/>
          </w:tcPr>
          <w:p w14:paraId="4070E390">
            <w:pPr>
              <w:pStyle w:val="7"/>
              <w:rPr>
                <w:color w:val="auto"/>
                <w:highlight w:val="none"/>
              </w:rPr>
            </w:pPr>
          </w:p>
        </w:tc>
        <w:tc>
          <w:tcPr>
            <w:tcW w:w="1493" w:type="dxa"/>
            <w:vAlign w:val="top"/>
          </w:tcPr>
          <w:p w14:paraId="3AE8C324">
            <w:pPr>
              <w:pStyle w:val="7"/>
              <w:rPr>
                <w:color w:val="auto"/>
                <w:highlight w:val="none"/>
              </w:rPr>
            </w:pPr>
          </w:p>
        </w:tc>
      </w:tr>
      <w:tr w14:paraId="023E2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25594902">
            <w:pPr>
              <w:pStyle w:val="7"/>
              <w:rPr>
                <w:color w:val="auto"/>
                <w:highlight w:val="none"/>
              </w:rPr>
            </w:pPr>
          </w:p>
        </w:tc>
        <w:tc>
          <w:tcPr>
            <w:tcW w:w="2457" w:type="dxa"/>
            <w:vMerge w:val="continue"/>
            <w:tcBorders>
              <w:top w:val="nil"/>
              <w:bottom w:val="nil"/>
            </w:tcBorders>
            <w:vAlign w:val="top"/>
          </w:tcPr>
          <w:p w14:paraId="415B624C">
            <w:pPr>
              <w:pStyle w:val="7"/>
              <w:rPr>
                <w:color w:val="auto"/>
                <w:highlight w:val="none"/>
              </w:rPr>
            </w:pPr>
          </w:p>
        </w:tc>
        <w:tc>
          <w:tcPr>
            <w:tcW w:w="867" w:type="dxa"/>
            <w:vMerge w:val="continue"/>
            <w:tcBorders>
              <w:top w:val="nil"/>
              <w:bottom w:val="nil"/>
            </w:tcBorders>
            <w:vAlign w:val="top"/>
          </w:tcPr>
          <w:p w14:paraId="0702AF6D">
            <w:pPr>
              <w:pStyle w:val="7"/>
              <w:rPr>
                <w:color w:val="auto"/>
                <w:highlight w:val="none"/>
              </w:rPr>
            </w:pPr>
          </w:p>
        </w:tc>
        <w:tc>
          <w:tcPr>
            <w:tcW w:w="1484" w:type="dxa"/>
            <w:vAlign w:val="top"/>
          </w:tcPr>
          <w:p w14:paraId="758CEBB0">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9B522A2">
            <w:pPr>
              <w:pStyle w:val="7"/>
              <w:rPr>
                <w:color w:val="auto"/>
                <w:highlight w:val="none"/>
              </w:rPr>
            </w:pPr>
          </w:p>
        </w:tc>
        <w:tc>
          <w:tcPr>
            <w:tcW w:w="1493" w:type="dxa"/>
            <w:vAlign w:val="top"/>
          </w:tcPr>
          <w:p w14:paraId="092E432B">
            <w:pPr>
              <w:pStyle w:val="7"/>
              <w:rPr>
                <w:color w:val="auto"/>
                <w:highlight w:val="none"/>
              </w:rPr>
            </w:pPr>
          </w:p>
        </w:tc>
      </w:tr>
      <w:tr w14:paraId="360CEB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076CF4F">
            <w:pPr>
              <w:pStyle w:val="7"/>
              <w:rPr>
                <w:color w:val="auto"/>
                <w:highlight w:val="none"/>
              </w:rPr>
            </w:pPr>
          </w:p>
        </w:tc>
        <w:tc>
          <w:tcPr>
            <w:tcW w:w="2457" w:type="dxa"/>
            <w:vMerge w:val="continue"/>
            <w:tcBorders>
              <w:top w:val="nil"/>
            </w:tcBorders>
            <w:vAlign w:val="top"/>
          </w:tcPr>
          <w:p w14:paraId="06A2B9B6">
            <w:pPr>
              <w:pStyle w:val="7"/>
              <w:rPr>
                <w:color w:val="auto"/>
                <w:highlight w:val="none"/>
              </w:rPr>
            </w:pPr>
          </w:p>
        </w:tc>
        <w:tc>
          <w:tcPr>
            <w:tcW w:w="867" w:type="dxa"/>
            <w:vMerge w:val="continue"/>
            <w:tcBorders>
              <w:top w:val="nil"/>
            </w:tcBorders>
            <w:vAlign w:val="top"/>
          </w:tcPr>
          <w:p w14:paraId="50B613D7">
            <w:pPr>
              <w:pStyle w:val="7"/>
              <w:rPr>
                <w:color w:val="auto"/>
                <w:highlight w:val="none"/>
              </w:rPr>
            </w:pPr>
          </w:p>
        </w:tc>
        <w:tc>
          <w:tcPr>
            <w:tcW w:w="1484" w:type="dxa"/>
            <w:vAlign w:val="top"/>
          </w:tcPr>
          <w:p w14:paraId="3B20F2B8">
            <w:pPr>
              <w:pStyle w:val="7"/>
              <w:rPr>
                <w:color w:val="auto"/>
                <w:highlight w:val="none"/>
              </w:rPr>
            </w:pPr>
          </w:p>
        </w:tc>
        <w:tc>
          <w:tcPr>
            <w:tcW w:w="1484" w:type="dxa"/>
            <w:vAlign w:val="top"/>
          </w:tcPr>
          <w:p w14:paraId="0E046239">
            <w:pPr>
              <w:pStyle w:val="7"/>
              <w:rPr>
                <w:color w:val="auto"/>
                <w:highlight w:val="none"/>
              </w:rPr>
            </w:pPr>
          </w:p>
        </w:tc>
        <w:tc>
          <w:tcPr>
            <w:tcW w:w="1493" w:type="dxa"/>
            <w:vAlign w:val="top"/>
          </w:tcPr>
          <w:p w14:paraId="73FFE1EA">
            <w:pPr>
              <w:pStyle w:val="7"/>
              <w:rPr>
                <w:color w:val="auto"/>
                <w:highlight w:val="none"/>
              </w:rPr>
            </w:pPr>
          </w:p>
        </w:tc>
      </w:tr>
      <w:tr w14:paraId="2DC5F3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9F4788F">
            <w:pPr>
              <w:pStyle w:val="7"/>
              <w:spacing w:line="282" w:lineRule="auto"/>
              <w:rPr>
                <w:color w:val="auto"/>
                <w:highlight w:val="none"/>
              </w:rPr>
            </w:pPr>
          </w:p>
          <w:p w14:paraId="3B586625">
            <w:pPr>
              <w:pStyle w:val="7"/>
              <w:spacing w:line="282" w:lineRule="auto"/>
              <w:rPr>
                <w:color w:val="auto"/>
                <w:highlight w:val="none"/>
              </w:rPr>
            </w:pPr>
          </w:p>
          <w:p w14:paraId="4154F2A8">
            <w:pPr>
              <w:pStyle w:val="7"/>
              <w:spacing w:line="283" w:lineRule="auto"/>
              <w:rPr>
                <w:color w:val="auto"/>
                <w:highlight w:val="none"/>
              </w:rPr>
            </w:pPr>
          </w:p>
          <w:p w14:paraId="2E1EC075">
            <w:pPr>
              <w:spacing w:before="58"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1_10</w:t>
            </w:r>
          </w:p>
        </w:tc>
        <w:tc>
          <w:tcPr>
            <w:tcW w:w="2457" w:type="dxa"/>
            <w:vMerge w:val="restart"/>
            <w:tcBorders>
              <w:bottom w:val="nil"/>
            </w:tcBorders>
            <w:vAlign w:val="top"/>
          </w:tcPr>
          <w:p w14:paraId="6FD3EC3C">
            <w:pPr>
              <w:pStyle w:val="7"/>
              <w:spacing w:line="253" w:lineRule="auto"/>
              <w:rPr>
                <w:color w:val="auto"/>
                <w:highlight w:val="none"/>
              </w:rPr>
            </w:pPr>
          </w:p>
          <w:p w14:paraId="03ED9296">
            <w:pPr>
              <w:pStyle w:val="7"/>
              <w:spacing w:line="253" w:lineRule="auto"/>
              <w:rPr>
                <w:color w:val="auto"/>
                <w:highlight w:val="none"/>
              </w:rPr>
            </w:pPr>
          </w:p>
          <w:p w14:paraId="6F1AF74B">
            <w:pPr>
              <w:pStyle w:val="7"/>
              <w:spacing w:line="254" w:lineRule="auto"/>
              <w:rPr>
                <w:color w:val="auto"/>
                <w:highlight w:val="none"/>
              </w:rPr>
            </w:pPr>
          </w:p>
          <w:p w14:paraId="41C96399">
            <w:pPr>
              <w:spacing w:before="59" w:line="220" w:lineRule="auto"/>
              <w:ind w:left="690"/>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突加电压保护</w:t>
            </w:r>
          </w:p>
        </w:tc>
        <w:tc>
          <w:tcPr>
            <w:tcW w:w="867" w:type="dxa"/>
            <w:vMerge w:val="restart"/>
            <w:tcBorders>
              <w:bottom w:val="nil"/>
            </w:tcBorders>
            <w:vAlign w:val="top"/>
          </w:tcPr>
          <w:p w14:paraId="12221BA2">
            <w:pPr>
              <w:pStyle w:val="7"/>
              <w:rPr>
                <w:color w:val="auto"/>
                <w:highlight w:val="none"/>
              </w:rPr>
            </w:pPr>
          </w:p>
        </w:tc>
        <w:tc>
          <w:tcPr>
            <w:tcW w:w="1484" w:type="dxa"/>
            <w:vAlign w:val="top"/>
          </w:tcPr>
          <w:p w14:paraId="756DBA74">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F98B72B">
            <w:pPr>
              <w:pStyle w:val="7"/>
              <w:rPr>
                <w:color w:val="auto"/>
                <w:highlight w:val="none"/>
              </w:rPr>
            </w:pPr>
          </w:p>
        </w:tc>
        <w:tc>
          <w:tcPr>
            <w:tcW w:w="1493" w:type="dxa"/>
            <w:vAlign w:val="top"/>
          </w:tcPr>
          <w:p w14:paraId="03931554">
            <w:pPr>
              <w:pStyle w:val="7"/>
              <w:rPr>
                <w:color w:val="auto"/>
                <w:highlight w:val="none"/>
              </w:rPr>
            </w:pPr>
          </w:p>
        </w:tc>
      </w:tr>
      <w:tr w14:paraId="7325EA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6A387272">
            <w:pPr>
              <w:pStyle w:val="7"/>
              <w:rPr>
                <w:color w:val="auto"/>
                <w:highlight w:val="none"/>
              </w:rPr>
            </w:pPr>
          </w:p>
        </w:tc>
        <w:tc>
          <w:tcPr>
            <w:tcW w:w="2457" w:type="dxa"/>
            <w:vMerge w:val="continue"/>
            <w:tcBorders>
              <w:top w:val="nil"/>
              <w:bottom w:val="nil"/>
            </w:tcBorders>
            <w:vAlign w:val="top"/>
          </w:tcPr>
          <w:p w14:paraId="3CDA4665">
            <w:pPr>
              <w:pStyle w:val="7"/>
              <w:rPr>
                <w:color w:val="auto"/>
                <w:highlight w:val="none"/>
              </w:rPr>
            </w:pPr>
          </w:p>
        </w:tc>
        <w:tc>
          <w:tcPr>
            <w:tcW w:w="867" w:type="dxa"/>
            <w:vMerge w:val="continue"/>
            <w:tcBorders>
              <w:top w:val="nil"/>
              <w:bottom w:val="nil"/>
            </w:tcBorders>
            <w:vAlign w:val="top"/>
          </w:tcPr>
          <w:p w14:paraId="32849847">
            <w:pPr>
              <w:pStyle w:val="7"/>
              <w:rPr>
                <w:color w:val="auto"/>
                <w:highlight w:val="none"/>
              </w:rPr>
            </w:pPr>
          </w:p>
        </w:tc>
        <w:tc>
          <w:tcPr>
            <w:tcW w:w="1484" w:type="dxa"/>
            <w:vAlign w:val="top"/>
          </w:tcPr>
          <w:p w14:paraId="73ECC5E5">
            <w:pPr>
              <w:pStyle w:val="7"/>
              <w:rPr>
                <w:color w:val="auto"/>
                <w:highlight w:val="none"/>
              </w:rPr>
            </w:pPr>
          </w:p>
        </w:tc>
        <w:tc>
          <w:tcPr>
            <w:tcW w:w="1484" w:type="dxa"/>
            <w:vAlign w:val="top"/>
          </w:tcPr>
          <w:p w14:paraId="62171F37">
            <w:pPr>
              <w:pStyle w:val="7"/>
              <w:rPr>
                <w:color w:val="auto"/>
                <w:highlight w:val="none"/>
              </w:rPr>
            </w:pPr>
          </w:p>
        </w:tc>
        <w:tc>
          <w:tcPr>
            <w:tcW w:w="1493" w:type="dxa"/>
            <w:vAlign w:val="top"/>
          </w:tcPr>
          <w:p w14:paraId="35A5E1DC">
            <w:pPr>
              <w:pStyle w:val="7"/>
              <w:rPr>
                <w:color w:val="auto"/>
                <w:highlight w:val="none"/>
              </w:rPr>
            </w:pPr>
          </w:p>
        </w:tc>
      </w:tr>
      <w:tr w14:paraId="250903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1EEFBA05">
            <w:pPr>
              <w:pStyle w:val="7"/>
              <w:rPr>
                <w:color w:val="auto"/>
                <w:highlight w:val="none"/>
              </w:rPr>
            </w:pPr>
          </w:p>
        </w:tc>
        <w:tc>
          <w:tcPr>
            <w:tcW w:w="2457" w:type="dxa"/>
            <w:vMerge w:val="continue"/>
            <w:tcBorders>
              <w:top w:val="nil"/>
              <w:bottom w:val="nil"/>
            </w:tcBorders>
            <w:vAlign w:val="top"/>
          </w:tcPr>
          <w:p w14:paraId="24C179DB">
            <w:pPr>
              <w:pStyle w:val="7"/>
              <w:rPr>
                <w:color w:val="auto"/>
                <w:highlight w:val="none"/>
              </w:rPr>
            </w:pPr>
          </w:p>
        </w:tc>
        <w:tc>
          <w:tcPr>
            <w:tcW w:w="867" w:type="dxa"/>
            <w:vMerge w:val="continue"/>
            <w:tcBorders>
              <w:top w:val="nil"/>
              <w:bottom w:val="nil"/>
            </w:tcBorders>
            <w:vAlign w:val="top"/>
          </w:tcPr>
          <w:p w14:paraId="41F1990E">
            <w:pPr>
              <w:pStyle w:val="7"/>
              <w:rPr>
                <w:color w:val="auto"/>
                <w:highlight w:val="none"/>
              </w:rPr>
            </w:pPr>
          </w:p>
        </w:tc>
        <w:tc>
          <w:tcPr>
            <w:tcW w:w="1484" w:type="dxa"/>
            <w:vAlign w:val="top"/>
          </w:tcPr>
          <w:p w14:paraId="5C71D9A7">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2F2A77DA">
            <w:pPr>
              <w:pStyle w:val="7"/>
              <w:rPr>
                <w:color w:val="auto"/>
                <w:highlight w:val="none"/>
              </w:rPr>
            </w:pPr>
          </w:p>
        </w:tc>
        <w:tc>
          <w:tcPr>
            <w:tcW w:w="1493" w:type="dxa"/>
            <w:vAlign w:val="top"/>
          </w:tcPr>
          <w:p w14:paraId="30D9982A">
            <w:pPr>
              <w:pStyle w:val="7"/>
              <w:rPr>
                <w:color w:val="auto"/>
                <w:highlight w:val="none"/>
              </w:rPr>
            </w:pPr>
          </w:p>
        </w:tc>
      </w:tr>
      <w:tr w14:paraId="691A5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1831EA0D">
            <w:pPr>
              <w:pStyle w:val="7"/>
              <w:rPr>
                <w:color w:val="auto"/>
                <w:highlight w:val="none"/>
              </w:rPr>
            </w:pPr>
          </w:p>
        </w:tc>
        <w:tc>
          <w:tcPr>
            <w:tcW w:w="2457" w:type="dxa"/>
            <w:vMerge w:val="continue"/>
            <w:tcBorders>
              <w:top w:val="nil"/>
            </w:tcBorders>
            <w:vAlign w:val="top"/>
          </w:tcPr>
          <w:p w14:paraId="5678B8DB">
            <w:pPr>
              <w:pStyle w:val="7"/>
              <w:rPr>
                <w:color w:val="auto"/>
                <w:highlight w:val="none"/>
              </w:rPr>
            </w:pPr>
          </w:p>
        </w:tc>
        <w:tc>
          <w:tcPr>
            <w:tcW w:w="867" w:type="dxa"/>
            <w:vMerge w:val="continue"/>
            <w:tcBorders>
              <w:top w:val="nil"/>
            </w:tcBorders>
            <w:vAlign w:val="top"/>
          </w:tcPr>
          <w:p w14:paraId="2465B3E6">
            <w:pPr>
              <w:pStyle w:val="7"/>
              <w:rPr>
                <w:color w:val="auto"/>
                <w:highlight w:val="none"/>
              </w:rPr>
            </w:pPr>
          </w:p>
        </w:tc>
        <w:tc>
          <w:tcPr>
            <w:tcW w:w="1484" w:type="dxa"/>
            <w:vAlign w:val="top"/>
          </w:tcPr>
          <w:p w14:paraId="22397782">
            <w:pPr>
              <w:pStyle w:val="7"/>
              <w:rPr>
                <w:color w:val="auto"/>
                <w:highlight w:val="none"/>
              </w:rPr>
            </w:pPr>
          </w:p>
        </w:tc>
        <w:tc>
          <w:tcPr>
            <w:tcW w:w="1484" w:type="dxa"/>
            <w:vAlign w:val="top"/>
          </w:tcPr>
          <w:p w14:paraId="65CA02A6">
            <w:pPr>
              <w:pStyle w:val="7"/>
              <w:rPr>
                <w:color w:val="auto"/>
                <w:highlight w:val="none"/>
              </w:rPr>
            </w:pPr>
          </w:p>
        </w:tc>
        <w:tc>
          <w:tcPr>
            <w:tcW w:w="1493" w:type="dxa"/>
            <w:vAlign w:val="top"/>
          </w:tcPr>
          <w:p w14:paraId="2D1F6120">
            <w:pPr>
              <w:pStyle w:val="7"/>
              <w:rPr>
                <w:color w:val="auto"/>
                <w:highlight w:val="none"/>
              </w:rPr>
            </w:pPr>
          </w:p>
        </w:tc>
      </w:tr>
      <w:tr w14:paraId="7139F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569511E2">
            <w:pPr>
              <w:pStyle w:val="7"/>
              <w:spacing w:line="282" w:lineRule="auto"/>
              <w:rPr>
                <w:color w:val="auto"/>
                <w:highlight w:val="none"/>
              </w:rPr>
            </w:pPr>
          </w:p>
          <w:p w14:paraId="4A8BAEE0">
            <w:pPr>
              <w:pStyle w:val="7"/>
              <w:spacing w:line="283" w:lineRule="auto"/>
              <w:rPr>
                <w:color w:val="auto"/>
                <w:highlight w:val="none"/>
              </w:rPr>
            </w:pPr>
          </w:p>
          <w:p w14:paraId="30E408C7">
            <w:pPr>
              <w:pStyle w:val="7"/>
              <w:spacing w:line="283" w:lineRule="auto"/>
              <w:rPr>
                <w:color w:val="auto"/>
                <w:highlight w:val="none"/>
              </w:rPr>
            </w:pPr>
          </w:p>
          <w:p w14:paraId="7A42641D">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1_11</w:t>
            </w:r>
          </w:p>
        </w:tc>
        <w:tc>
          <w:tcPr>
            <w:tcW w:w="2457" w:type="dxa"/>
            <w:vMerge w:val="restart"/>
            <w:tcBorders>
              <w:bottom w:val="nil"/>
            </w:tcBorders>
            <w:vAlign w:val="top"/>
          </w:tcPr>
          <w:p w14:paraId="3CFA78A5">
            <w:pPr>
              <w:pStyle w:val="7"/>
              <w:spacing w:line="254" w:lineRule="auto"/>
              <w:rPr>
                <w:color w:val="auto"/>
                <w:highlight w:val="none"/>
              </w:rPr>
            </w:pPr>
          </w:p>
          <w:p w14:paraId="40258482">
            <w:pPr>
              <w:pStyle w:val="7"/>
              <w:spacing w:line="254" w:lineRule="auto"/>
              <w:rPr>
                <w:color w:val="auto"/>
                <w:highlight w:val="none"/>
              </w:rPr>
            </w:pPr>
          </w:p>
          <w:p w14:paraId="28C3EF86">
            <w:pPr>
              <w:pStyle w:val="7"/>
              <w:spacing w:line="255" w:lineRule="auto"/>
              <w:rPr>
                <w:color w:val="auto"/>
                <w:highlight w:val="none"/>
              </w:rPr>
            </w:pPr>
          </w:p>
          <w:p w14:paraId="00EBDA33">
            <w:pPr>
              <w:spacing w:before="59" w:line="219" w:lineRule="auto"/>
              <w:ind w:left="59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发电机失步保护</w:t>
            </w:r>
          </w:p>
        </w:tc>
        <w:tc>
          <w:tcPr>
            <w:tcW w:w="867" w:type="dxa"/>
            <w:vMerge w:val="restart"/>
            <w:tcBorders>
              <w:bottom w:val="nil"/>
            </w:tcBorders>
            <w:vAlign w:val="top"/>
          </w:tcPr>
          <w:p w14:paraId="0F07247E">
            <w:pPr>
              <w:pStyle w:val="7"/>
              <w:rPr>
                <w:color w:val="auto"/>
                <w:highlight w:val="none"/>
              </w:rPr>
            </w:pPr>
          </w:p>
        </w:tc>
        <w:tc>
          <w:tcPr>
            <w:tcW w:w="1484" w:type="dxa"/>
            <w:vAlign w:val="top"/>
          </w:tcPr>
          <w:p w14:paraId="35591161">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B2B91D5">
            <w:pPr>
              <w:pStyle w:val="7"/>
              <w:rPr>
                <w:color w:val="auto"/>
                <w:highlight w:val="none"/>
              </w:rPr>
            </w:pPr>
          </w:p>
        </w:tc>
        <w:tc>
          <w:tcPr>
            <w:tcW w:w="1493" w:type="dxa"/>
            <w:vAlign w:val="top"/>
          </w:tcPr>
          <w:p w14:paraId="52BD9862">
            <w:pPr>
              <w:pStyle w:val="7"/>
              <w:rPr>
                <w:color w:val="auto"/>
                <w:highlight w:val="none"/>
              </w:rPr>
            </w:pPr>
          </w:p>
        </w:tc>
      </w:tr>
      <w:tr w14:paraId="7D10FE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0BB3600F">
            <w:pPr>
              <w:pStyle w:val="7"/>
              <w:rPr>
                <w:color w:val="auto"/>
                <w:highlight w:val="none"/>
              </w:rPr>
            </w:pPr>
          </w:p>
        </w:tc>
        <w:tc>
          <w:tcPr>
            <w:tcW w:w="2457" w:type="dxa"/>
            <w:vMerge w:val="continue"/>
            <w:tcBorders>
              <w:top w:val="nil"/>
              <w:bottom w:val="nil"/>
            </w:tcBorders>
            <w:vAlign w:val="top"/>
          </w:tcPr>
          <w:p w14:paraId="38AD3410">
            <w:pPr>
              <w:pStyle w:val="7"/>
              <w:rPr>
                <w:color w:val="auto"/>
                <w:highlight w:val="none"/>
              </w:rPr>
            </w:pPr>
          </w:p>
        </w:tc>
        <w:tc>
          <w:tcPr>
            <w:tcW w:w="867" w:type="dxa"/>
            <w:vMerge w:val="continue"/>
            <w:tcBorders>
              <w:top w:val="nil"/>
              <w:bottom w:val="nil"/>
            </w:tcBorders>
            <w:vAlign w:val="top"/>
          </w:tcPr>
          <w:p w14:paraId="0463B74D">
            <w:pPr>
              <w:pStyle w:val="7"/>
              <w:rPr>
                <w:color w:val="auto"/>
                <w:highlight w:val="none"/>
              </w:rPr>
            </w:pPr>
          </w:p>
        </w:tc>
        <w:tc>
          <w:tcPr>
            <w:tcW w:w="1484" w:type="dxa"/>
            <w:vAlign w:val="top"/>
          </w:tcPr>
          <w:p w14:paraId="7AACE39E">
            <w:pPr>
              <w:pStyle w:val="7"/>
              <w:rPr>
                <w:color w:val="auto"/>
                <w:highlight w:val="none"/>
              </w:rPr>
            </w:pPr>
          </w:p>
        </w:tc>
        <w:tc>
          <w:tcPr>
            <w:tcW w:w="1484" w:type="dxa"/>
            <w:vAlign w:val="top"/>
          </w:tcPr>
          <w:p w14:paraId="3B2E8F37">
            <w:pPr>
              <w:pStyle w:val="7"/>
              <w:rPr>
                <w:color w:val="auto"/>
                <w:highlight w:val="none"/>
              </w:rPr>
            </w:pPr>
          </w:p>
        </w:tc>
        <w:tc>
          <w:tcPr>
            <w:tcW w:w="1493" w:type="dxa"/>
            <w:vAlign w:val="top"/>
          </w:tcPr>
          <w:p w14:paraId="140E2CCC">
            <w:pPr>
              <w:pStyle w:val="7"/>
              <w:rPr>
                <w:color w:val="auto"/>
                <w:highlight w:val="none"/>
              </w:rPr>
            </w:pPr>
          </w:p>
        </w:tc>
      </w:tr>
      <w:tr w14:paraId="6E29E7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D4BDD6C">
            <w:pPr>
              <w:pStyle w:val="7"/>
              <w:rPr>
                <w:color w:val="auto"/>
                <w:highlight w:val="none"/>
              </w:rPr>
            </w:pPr>
          </w:p>
        </w:tc>
        <w:tc>
          <w:tcPr>
            <w:tcW w:w="2457" w:type="dxa"/>
            <w:vMerge w:val="continue"/>
            <w:tcBorders>
              <w:top w:val="nil"/>
              <w:bottom w:val="nil"/>
            </w:tcBorders>
            <w:vAlign w:val="top"/>
          </w:tcPr>
          <w:p w14:paraId="6988966F">
            <w:pPr>
              <w:pStyle w:val="7"/>
              <w:rPr>
                <w:color w:val="auto"/>
                <w:highlight w:val="none"/>
              </w:rPr>
            </w:pPr>
          </w:p>
        </w:tc>
        <w:tc>
          <w:tcPr>
            <w:tcW w:w="867" w:type="dxa"/>
            <w:vMerge w:val="continue"/>
            <w:tcBorders>
              <w:top w:val="nil"/>
              <w:bottom w:val="nil"/>
            </w:tcBorders>
            <w:vAlign w:val="top"/>
          </w:tcPr>
          <w:p w14:paraId="27994829">
            <w:pPr>
              <w:pStyle w:val="7"/>
              <w:rPr>
                <w:color w:val="auto"/>
                <w:highlight w:val="none"/>
              </w:rPr>
            </w:pPr>
          </w:p>
        </w:tc>
        <w:tc>
          <w:tcPr>
            <w:tcW w:w="1484" w:type="dxa"/>
            <w:vAlign w:val="top"/>
          </w:tcPr>
          <w:p w14:paraId="103FF856">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3A7BA9DC">
            <w:pPr>
              <w:pStyle w:val="7"/>
              <w:rPr>
                <w:color w:val="auto"/>
                <w:highlight w:val="none"/>
              </w:rPr>
            </w:pPr>
          </w:p>
        </w:tc>
        <w:tc>
          <w:tcPr>
            <w:tcW w:w="1493" w:type="dxa"/>
            <w:vAlign w:val="top"/>
          </w:tcPr>
          <w:p w14:paraId="795FF051">
            <w:pPr>
              <w:pStyle w:val="7"/>
              <w:rPr>
                <w:color w:val="auto"/>
                <w:highlight w:val="none"/>
              </w:rPr>
            </w:pPr>
          </w:p>
        </w:tc>
      </w:tr>
      <w:tr w14:paraId="4479DE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252F7732">
            <w:pPr>
              <w:pStyle w:val="7"/>
              <w:rPr>
                <w:color w:val="auto"/>
                <w:highlight w:val="none"/>
              </w:rPr>
            </w:pPr>
          </w:p>
        </w:tc>
        <w:tc>
          <w:tcPr>
            <w:tcW w:w="2457" w:type="dxa"/>
            <w:vMerge w:val="continue"/>
            <w:tcBorders>
              <w:top w:val="nil"/>
            </w:tcBorders>
            <w:vAlign w:val="top"/>
          </w:tcPr>
          <w:p w14:paraId="0BFDFB7D">
            <w:pPr>
              <w:pStyle w:val="7"/>
              <w:rPr>
                <w:color w:val="auto"/>
                <w:highlight w:val="none"/>
              </w:rPr>
            </w:pPr>
          </w:p>
        </w:tc>
        <w:tc>
          <w:tcPr>
            <w:tcW w:w="867" w:type="dxa"/>
            <w:vMerge w:val="continue"/>
            <w:tcBorders>
              <w:top w:val="nil"/>
            </w:tcBorders>
            <w:vAlign w:val="top"/>
          </w:tcPr>
          <w:p w14:paraId="02486B2A">
            <w:pPr>
              <w:pStyle w:val="7"/>
              <w:rPr>
                <w:color w:val="auto"/>
                <w:highlight w:val="none"/>
              </w:rPr>
            </w:pPr>
          </w:p>
        </w:tc>
        <w:tc>
          <w:tcPr>
            <w:tcW w:w="1484" w:type="dxa"/>
            <w:vAlign w:val="top"/>
          </w:tcPr>
          <w:p w14:paraId="64766DEE">
            <w:pPr>
              <w:pStyle w:val="7"/>
              <w:rPr>
                <w:color w:val="auto"/>
                <w:highlight w:val="none"/>
              </w:rPr>
            </w:pPr>
          </w:p>
        </w:tc>
        <w:tc>
          <w:tcPr>
            <w:tcW w:w="1484" w:type="dxa"/>
            <w:vAlign w:val="top"/>
          </w:tcPr>
          <w:p w14:paraId="08DA95C8">
            <w:pPr>
              <w:pStyle w:val="7"/>
              <w:rPr>
                <w:color w:val="auto"/>
                <w:highlight w:val="none"/>
              </w:rPr>
            </w:pPr>
          </w:p>
        </w:tc>
        <w:tc>
          <w:tcPr>
            <w:tcW w:w="1493" w:type="dxa"/>
            <w:vAlign w:val="top"/>
          </w:tcPr>
          <w:p w14:paraId="57EA9A10">
            <w:pPr>
              <w:pStyle w:val="7"/>
              <w:rPr>
                <w:color w:val="auto"/>
                <w:highlight w:val="none"/>
              </w:rPr>
            </w:pPr>
          </w:p>
        </w:tc>
      </w:tr>
      <w:tr w14:paraId="62B4D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Align w:val="top"/>
          </w:tcPr>
          <w:p w14:paraId="7D0FED65">
            <w:pPr>
              <w:spacing w:before="180"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1_12</w:t>
            </w:r>
          </w:p>
        </w:tc>
        <w:tc>
          <w:tcPr>
            <w:tcW w:w="2457" w:type="dxa"/>
            <w:vAlign w:val="top"/>
          </w:tcPr>
          <w:p w14:paraId="4E3AF119">
            <w:pPr>
              <w:spacing w:before="95" w:line="219" w:lineRule="auto"/>
              <w:ind w:left="41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发电机定子匝间保护</w:t>
            </w:r>
          </w:p>
        </w:tc>
        <w:tc>
          <w:tcPr>
            <w:tcW w:w="867" w:type="dxa"/>
            <w:vAlign w:val="top"/>
          </w:tcPr>
          <w:p w14:paraId="022D15A7">
            <w:pPr>
              <w:pStyle w:val="7"/>
              <w:rPr>
                <w:color w:val="auto"/>
                <w:highlight w:val="none"/>
              </w:rPr>
            </w:pPr>
          </w:p>
        </w:tc>
        <w:tc>
          <w:tcPr>
            <w:tcW w:w="1484" w:type="dxa"/>
            <w:vAlign w:val="top"/>
          </w:tcPr>
          <w:p w14:paraId="15D34C37">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57BDBCF3">
            <w:pPr>
              <w:pStyle w:val="7"/>
              <w:rPr>
                <w:color w:val="auto"/>
                <w:highlight w:val="none"/>
              </w:rPr>
            </w:pPr>
          </w:p>
        </w:tc>
        <w:tc>
          <w:tcPr>
            <w:tcW w:w="1493" w:type="dxa"/>
            <w:vAlign w:val="top"/>
          </w:tcPr>
          <w:p w14:paraId="57D8CEFE">
            <w:pPr>
              <w:pStyle w:val="7"/>
              <w:rPr>
                <w:color w:val="auto"/>
                <w:highlight w:val="none"/>
              </w:rPr>
            </w:pPr>
          </w:p>
        </w:tc>
      </w:tr>
    </w:tbl>
    <w:p w14:paraId="4F33C041">
      <w:pPr>
        <w:pStyle w:val="3"/>
        <w:rPr>
          <w:color w:val="auto"/>
          <w:highlight w:val="none"/>
        </w:rPr>
      </w:pPr>
    </w:p>
    <w:p w14:paraId="4AF11C39">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6A37964C">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3C81C7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01FF6B72">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7A8DA578">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3CAA5645">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46BFF375">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16668E3E">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0AD7F36B">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0AB047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D080B29">
            <w:pPr>
              <w:pStyle w:val="7"/>
              <w:rPr>
                <w:color w:val="auto"/>
                <w:highlight w:val="none"/>
              </w:rPr>
            </w:pPr>
          </w:p>
        </w:tc>
        <w:tc>
          <w:tcPr>
            <w:tcW w:w="2457" w:type="dxa"/>
            <w:vMerge w:val="restart"/>
            <w:tcBorders>
              <w:bottom w:val="nil"/>
            </w:tcBorders>
            <w:vAlign w:val="top"/>
          </w:tcPr>
          <w:p w14:paraId="30D1F4C2">
            <w:pPr>
              <w:pStyle w:val="7"/>
              <w:rPr>
                <w:color w:val="auto"/>
                <w:highlight w:val="none"/>
              </w:rPr>
            </w:pPr>
          </w:p>
        </w:tc>
        <w:tc>
          <w:tcPr>
            <w:tcW w:w="867" w:type="dxa"/>
            <w:vMerge w:val="restart"/>
            <w:tcBorders>
              <w:bottom w:val="nil"/>
            </w:tcBorders>
            <w:vAlign w:val="top"/>
          </w:tcPr>
          <w:p w14:paraId="114B748B">
            <w:pPr>
              <w:pStyle w:val="7"/>
              <w:rPr>
                <w:color w:val="auto"/>
                <w:highlight w:val="none"/>
              </w:rPr>
            </w:pPr>
          </w:p>
        </w:tc>
        <w:tc>
          <w:tcPr>
            <w:tcW w:w="1484" w:type="dxa"/>
            <w:vAlign w:val="top"/>
          </w:tcPr>
          <w:p w14:paraId="45BAD0AC">
            <w:pPr>
              <w:pStyle w:val="7"/>
              <w:rPr>
                <w:color w:val="auto"/>
                <w:highlight w:val="none"/>
              </w:rPr>
            </w:pPr>
          </w:p>
        </w:tc>
        <w:tc>
          <w:tcPr>
            <w:tcW w:w="1484" w:type="dxa"/>
            <w:vAlign w:val="top"/>
          </w:tcPr>
          <w:p w14:paraId="75F9A3EE">
            <w:pPr>
              <w:pStyle w:val="7"/>
              <w:rPr>
                <w:color w:val="auto"/>
                <w:highlight w:val="none"/>
              </w:rPr>
            </w:pPr>
          </w:p>
        </w:tc>
        <w:tc>
          <w:tcPr>
            <w:tcW w:w="1493" w:type="dxa"/>
            <w:vAlign w:val="top"/>
          </w:tcPr>
          <w:p w14:paraId="7202A728">
            <w:pPr>
              <w:pStyle w:val="7"/>
              <w:rPr>
                <w:color w:val="auto"/>
                <w:highlight w:val="none"/>
              </w:rPr>
            </w:pPr>
          </w:p>
        </w:tc>
      </w:tr>
      <w:tr w14:paraId="1D372C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2E82C3B">
            <w:pPr>
              <w:pStyle w:val="7"/>
              <w:rPr>
                <w:color w:val="auto"/>
                <w:highlight w:val="none"/>
              </w:rPr>
            </w:pPr>
          </w:p>
        </w:tc>
        <w:tc>
          <w:tcPr>
            <w:tcW w:w="2457" w:type="dxa"/>
            <w:vMerge w:val="continue"/>
            <w:tcBorders>
              <w:top w:val="nil"/>
              <w:bottom w:val="nil"/>
            </w:tcBorders>
            <w:vAlign w:val="top"/>
          </w:tcPr>
          <w:p w14:paraId="581C2620">
            <w:pPr>
              <w:pStyle w:val="7"/>
              <w:rPr>
                <w:color w:val="auto"/>
                <w:highlight w:val="none"/>
              </w:rPr>
            </w:pPr>
          </w:p>
        </w:tc>
        <w:tc>
          <w:tcPr>
            <w:tcW w:w="867" w:type="dxa"/>
            <w:vMerge w:val="continue"/>
            <w:tcBorders>
              <w:top w:val="nil"/>
              <w:bottom w:val="nil"/>
            </w:tcBorders>
            <w:vAlign w:val="top"/>
          </w:tcPr>
          <w:p w14:paraId="1C0A2185">
            <w:pPr>
              <w:pStyle w:val="7"/>
              <w:rPr>
                <w:color w:val="auto"/>
                <w:highlight w:val="none"/>
              </w:rPr>
            </w:pPr>
          </w:p>
        </w:tc>
        <w:tc>
          <w:tcPr>
            <w:tcW w:w="1484" w:type="dxa"/>
            <w:vAlign w:val="top"/>
          </w:tcPr>
          <w:p w14:paraId="2994B742">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9A8B850">
            <w:pPr>
              <w:pStyle w:val="7"/>
              <w:rPr>
                <w:color w:val="auto"/>
                <w:highlight w:val="none"/>
              </w:rPr>
            </w:pPr>
          </w:p>
        </w:tc>
        <w:tc>
          <w:tcPr>
            <w:tcW w:w="1493" w:type="dxa"/>
            <w:vAlign w:val="top"/>
          </w:tcPr>
          <w:p w14:paraId="06E3453C">
            <w:pPr>
              <w:pStyle w:val="7"/>
              <w:rPr>
                <w:color w:val="auto"/>
                <w:highlight w:val="none"/>
              </w:rPr>
            </w:pPr>
          </w:p>
        </w:tc>
      </w:tr>
      <w:tr w14:paraId="37D6CA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678765E6">
            <w:pPr>
              <w:pStyle w:val="7"/>
              <w:rPr>
                <w:color w:val="auto"/>
                <w:highlight w:val="none"/>
              </w:rPr>
            </w:pPr>
          </w:p>
        </w:tc>
        <w:tc>
          <w:tcPr>
            <w:tcW w:w="2457" w:type="dxa"/>
            <w:vMerge w:val="continue"/>
            <w:tcBorders>
              <w:top w:val="nil"/>
            </w:tcBorders>
            <w:vAlign w:val="top"/>
          </w:tcPr>
          <w:p w14:paraId="40779895">
            <w:pPr>
              <w:pStyle w:val="7"/>
              <w:rPr>
                <w:color w:val="auto"/>
                <w:highlight w:val="none"/>
              </w:rPr>
            </w:pPr>
          </w:p>
        </w:tc>
        <w:tc>
          <w:tcPr>
            <w:tcW w:w="867" w:type="dxa"/>
            <w:vMerge w:val="continue"/>
            <w:tcBorders>
              <w:top w:val="nil"/>
            </w:tcBorders>
            <w:vAlign w:val="top"/>
          </w:tcPr>
          <w:p w14:paraId="47145575">
            <w:pPr>
              <w:pStyle w:val="7"/>
              <w:rPr>
                <w:color w:val="auto"/>
                <w:highlight w:val="none"/>
              </w:rPr>
            </w:pPr>
          </w:p>
        </w:tc>
        <w:tc>
          <w:tcPr>
            <w:tcW w:w="1484" w:type="dxa"/>
            <w:vAlign w:val="top"/>
          </w:tcPr>
          <w:p w14:paraId="39635530">
            <w:pPr>
              <w:pStyle w:val="7"/>
              <w:rPr>
                <w:color w:val="auto"/>
                <w:highlight w:val="none"/>
              </w:rPr>
            </w:pPr>
          </w:p>
        </w:tc>
        <w:tc>
          <w:tcPr>
            <w:tcW w:w="1484" w:type="dxa"/>
            <w:vAlign w:val="top"/>
          </w:tcPr>
          <w:p w14:paraId="3C86415F">
            <w:pPr>
              <w:pStyle w:val="7"/>
              <w:rPr>
                <w:color w:val="auto"/>
                <w:highlight w:val="none"/>
              </w:rPr>
            </w:pPr>
          </w:p>
        </w:tc>
        <w:tc>
          <w:tcPr>
            <w:tcW w:w="1493" w:type="dxa"/>
            <w:vAlign w:val="top"/>
          </w:tcPr>
          <w:p w14:paraId="70FADFCA">
            <w:pPr>
              <w:pStyle w:val="7"/>
              <w:rPr>
                <w:color w:val="auto"/>
                <w:highlight w:val="none"/>
              </w:rPr>
            </w:pPr>
          </w:p>
        </w:tc>
      </w:tr>
      <w:tr w14:paraId="44653A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0184271F">
            <w:pPr>
              <w:pStyle w:val="7"/>
              <w:spacing w:line="279" w:lineRule="auto"/>
              <w:rPr>
                <w:color w:val="auto"/>
                <w:highlight w:val="none"/>
              </w:rPr>
            </w:pPr>
          </w:p>
          <w:p w14:paraId="6DEC6C93">
            <w:pPr>
              <w:pStyle w:val="7"/>
              <w:spacing w:line="280" w:lineRule="auto"/>
              <w:rPr>
                <w:color w:val="auto"/>
                <w:highlight w:val="none"/>
              </w:rPr>
            </w:pPr>
          </w:p>
          <w:p w14:paraId="0239D954">
            <w:pPr>
              <w:pStyle w:val="7"/>
              <w:spacing w:line="280" w:lineRule="auto"/>
              <w:rPr>
                <w:color w:val="auto"/>
                <w:highlight w:val="none"/>
              </w:rPr>
            </w:pPr>
          </w:p>
          <w:p w14:paraId="065E75F7">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1_13</w:t>
            </w:r>
          </w:p>
        </w:tc>
        <w:tc>
          <w:tcPr>
            <w:tcW w:w="2457" w:type="dxa"/>
            <w:vMerge w:val="restart"/>
            <w:tcBorders>
              <w:bottom w:val="nil"/>
            </w:tcBorders>
            <w:vAlign w:val="top"/>
          </w:tcPr>
          <w:p w14:paraId="442C4948">
            <w:pPr>
              <w:pStyle w:val="7"/>
              <w:spacing w:line="250" w:lineRule="auto"/>
              <w:rPr>
                <w:color w:val="auto"/>
                <w:highlight w:val="none"/>
              </w:rPr>
            </w:pPr>
          </w:p>
          <w:p w14:paraId="535708F5">
            <w:pPr>
              <w:pStyle w:val="7"/>
              <w:spacing w:line="251" w:lineRule="auto"/>
              <w:rPr>
                <w:color w:val="auto"/>
                <w:highlight w:val="none"/>
              </w:rPr>
            </w:pPr>
          </w:p>
          <w:p w14:paraId="61FF5ADC">
            <w:pPr>
              <w:pStyle w:val="7"/>
              <w:spacing w:line="251" w:lineRule="auto"/>
              <w:rPr>
                <w:color w:val="auto"/>
                <w:highlight w:val="none"/>
              </w:rPr>
            </w:pPr>
          </w:p>
          <w:p w14:paraId="5F71BFFD">
            <w:pPr>
              <w:spacing w:before="58"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发电机启停机保护</w:t>
            </w:r>
          </w:p>
        </w:tc>
        <w:tc>
          <w:tcPr>
            <w:tcW w:w="867" w:type="dxa"/>
            <w:vMerge w:val="restart"/>
            <w:tcBorders>
              <w:bottom w:val="nil"/>
            </w:tcBorders>
            <w:vAlign w:val="top"/>
          </w:tcPr>
          <w:p w14:paraId="0B6CF122">
            <w:pPr>
              <w:pStyle w:val="7"/>
              <w:rPr>
                <w:color w:val="auto"/>
                <w:highlight w:val="none"/>
              </w:rPr>
            </w:pPr>
          </w:p>
        </w:tc>
        <w:tc>
          <w:tcPr>
            <w:tcW w:w="1484" w:type="dxa"/>
            <w:vAlign w:val="top"/>
          </w:tcPr>
          <w:p w14:paraId="518BEB3C">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01040C6">
            <w:pPr>
              <w:pStyle w:val="7"/>
              <w:rPr>
                <w:color w:val="auto"/>
                <w:highlight w:val="none"/>
              </w:rPr>
            </w:pPr>
          </w:p>
        </w:tc>
        <w:tc>
          <w:tcPr>
            <w:tcW w:w="1493" w:type="dxa"/>
            <w:vAlign w:val="top"/>
          </w:tcPr>
          <w:p w14:paraId="6BD623F3">
            <w:pPr>
              <w:pStyle w:val="7"/>
              <w:rPr>
                <w:color w:val="auto"/>
                <w:highlight w:val="none"/>
              </w:rPr>
            </w:pPr>
          </w:p>
        </w:tc>
      </w:tr>
      <w:tr w14:paraId="2C674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02BB6059">
            <w:pPr>
              <w:pStyle w:val="7"/>
              <w:rPr>
                <w:color w:val="auto"/>
                <w:highlight w:val="none"/>
              </w:rPr>
            </w:pPr>
          </w:p>
        </w:tc>
        <w:tc>
          <w:tcPr>
            <w:tcW w:w="2457" w:type="dxa"/>
            <w:vMerge w:val="continue"/>
            <w:tcBorders>
              <w:top w:val="nil"/>
              <w:bottom w:val="nil"/>
            </w:tcBorders>
            <w:vAlign w:val="top"/>
          </w:tcPr>
          <w:p w14:paraId="1C2D2E28">
            <w:pPr>
              <w:pStyle w:val="7"/>
              <w:rPr>
                <w:color w:val="auto"/>
                <w:highlight w:val="none"/>
              </w:rPr>
            </w:pPr>
          </w:p>
        </w:tc>
        <w:tc>
          <w:tcPr>
            <w:tcW w:w="867" w:type="dxa"/>
            <w:vMerge w:val="continue"/>
            <w:tcBorders>
              <w:top w:val="nil"/>
              <w:bottom w:val="nil"/>
            </w:tcBorders>
            <w:vAlign w:val="top"/>
          </w:tcPr>
          <w:p w14:paraId="5300C7AD">
            <w:pPr>
              <w:pStyle w:val="7"/>
              <w:rPr>
                <w:color w:val="auto"/>
                <w:highlight w:val="none"/>
              </w:rPr>
            </w:pPr>
          </w:p>
        </w:tc>
        <w:tc>
          <w:tcPr>
            <w:tcW w:w="1484" w:type="dxa"/>
            <w:vAlign w:val="top"/>
          </w:tcPr>
          <w:p w14:paraId="4F3E1E39">
            <w:pPr>
              <w:pStyle w:val="7"/>
              <w:rPr>
                <w:color w:val="auto"/>
                <w:highlight w:val="none"/>
              </w:rPr>
            </w:pPr>
          </w:p>
        </w:tc>
        <w:tc>
          <w:tcPr>
            <w:tcW w:w="1484" w:type="dxa"/>
            <w:vAlign w:val="top"/>
          </w:tcPr>
          <w:p w14:paraId="26FA4BEB">
            <w:pPr>
              <w:pStyle w:val="7"/>
              <w:rPr>
                <w:color w:val="auto"/>
                <w:highlight w:val="none"/>
              </w:rPr>
            </w:pPr>
          </w:p>
        </w:tc>
        <w:tc>
          <w:tcPr>
            <w:tcW w:w="1493" w:type="dxa"/>
            <w:vAlign w:val="top"/>
          </w:tcPr>
          <w:p w14:paraId="6738B3D7">
            <w:pPr>
              <w:pStyle w:val="7"/>
              <w:rPr>
                <w:color w:val="auto"/>
                <w:highlight w:val="none"/>
              </w:rPr>
            </w:pPr>
          </w:p>
        </w:tc>
      </w:tr>
      <w:tr w14:paraId="74950F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4ADEA0D1">
            <w:pPr>
              <w:pStyle w:val="7"/>
              <w:rPr>
                <w:color w:val="auto"/>
                <w:highlight w:val="none"/>
              </w:rPr>
            </w:pPr>
          </w:p>
        </w:tc>
        <w:tc>
          <w:tcPr>
            <w:tcW w:w="2457" w:type="dxa"/>
            <w:vMerge w:val="continue"/>
            <w:tcBorders>
              <w:top w:val="nil"/>
              <w:bottom w:val="nil"/>
            </w:tcBorders>
            <w:vAlign w:val="top"/>
          </w:tcPr>
          <w:p w14:paraId="793E5B0E">
            <w:pPr>
              <w:pStyle w:val="7"/>
              <w:rPr>
                <w:color w:val="auto"/>
                <w:highlight w:val="none"/>
              </w:rPr>
            </w:pPr>
          </w:p>
        </w:tc>
        <w:tc>
          <w:tcPr>
            <w:tcW w:w="867" w:type="dxa"/>
            <w:vMerge w:val="continue"/>
            <w:tcBorders>
              <w:top w:val="nil"/>
              <w:bottom w:val="nil"/>
            </w:tcBorders>
            <w:vAlign w:val="top"/>
          </w:tcPr>
          <w:p w14:paraId="0524C41A">
            <w:pPr>
              <w:pStyle w:val="7"/>
              <w:rPr>
                <w:color w:val="auto"/>
                <w:highlight w:val="none"/>
              </w:rPr>
            </w:pPr>
          </w:p>
        </w:tc>
        <w:tc>
          <w:tcPr>
            <w:tcW w:w="1484" w:type="dxa"/>
            <w:vAlign w:val="top"/>
          </w:tcPr>
          <w:p w14:paraId="627DBE88">
            <w:pPr>
              <w:spacing w:before="14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E4F7201">
            <w:pPr>
              <w:pStyle w:val="7"/>
              <w:rPr>
                <w:color w:val="auto"/>
                <w:highlight w:val="none"/>
              </w:rPr>
            </w:pPr>
          </w:p>
        </w:tc>
        <w:tc>
          <w:tcPr>
            <w:tcW w:w="1493" w:type="dxa"/>
            <w:vAlign w:val="top"/>
          </w:tcPr>
          <w:p w14:paraId="760DDDC0">
            <w:pPr>
              <w:pStyle w:val="7"/>
              <w:rPr>
                <w:color w:val="auto"/>
                <w:highlight w:val="none"/>
              </w:rPr>
            </w:pPr>
          </w:p>
        </w:tc>
      </w:tr>
      <w:tr w14:paraId="7CEEC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734092C3">
            <w:pPr>
              <w:pStyle w:val="7"/>
              <w:rPr>
                <w:color w:val="auto"/>
                <w:highlight w:val="none"/>
              </w:rPr>
            </w:pPr>
          </w:p>
        </w:tc>
        <w:tc>
          <w:tcPr>
            <w:tcW w:w="2457" w:type="dxa"/>
            <w:vMerge w:val="continue"/>
            <w:tcBorders>
              <w:top w:val="nil"/>
            </w:tcBorders>
            <w:vAlign w:val="top"/>
          </w:tcPr>
          <w:p w14:paraId="6F02EEF1">
            <w:pPr>
              <w:pStyle w:val="7"/>
              <w:rPr>
                <w:color w:val="auto"/>
                <w:highlight w:val="none"/>
              </w:rPr>
            </w:pPr>
          </w:p>
        </w:tc>
        <w:tc>
          <w:tcPr>
            <w:tcW w:w="867" w:type="dxa"/>
            <w:vMerge w:val="continue"/>
            <w:tcBorders>
              <w:top w:val="nil"/>
            </w:tcBorders>
            <w:vAlign w:val="top"/>
          </w:tcPr>
          <w:p w14:paraId="5B200321">
            <w:pPr>
              <w:pStyle w:val="7"/>
              <w:rPr>
                <w:color w:val="auto"/>
                <w:highlight w:val="none"/>
              </w:rPr>
            </w:pPr>
          </w:p>
        </w:tc>
        <w:tc>
          <w:tcPr>
            <w:tcW w:w="1484" w:type="dxa"/>
            <w:vAlign w:val="top"/>
          </w:tcPr>
          <w:p w14:paraId="6288F70A">
            <w:pPr>
              <w:pStyle w:val="7"/>
              <w:rPr>
                <w:color w:val="auto"/>
                <w:highlight w:val="none"/>
              </w:rPr>
            </w:pPr>
          </w:p>
        </w:tc>
        <w:tc>
          <w:tcPr>
            <w:tcW w:w="1484" w:type="dxa"/>
            <w:vAlign w:val="top"/>
          </w:tcPr>
          <w:p w14:paraId="59D595F5">
            <w:pPr>
              <w:pStyle w:val="7"/>
              <w:rPr>
                <w:color w:val="auto"/>
                <w:highlight w:val="none"/>
              </w:rPr>
            </w:pPr>
          </w:p>
        </w:tc>
        <w:tc>
          <w:tcPr>
            <w:tcW w:w="1493" w:type="dxa"/>
            <w:vAlign w:val="top"/>
          </w:tcPr>
          <w:p w14:paraId="54D2250E">
            <w:pPr>
              <w:pStyle w:val="7"/>
              <w:rPr>
                <w:color w:val="auto"/>
                <w:highlight w:val="none"/>
              </w:rPr>
            </w:pPr>
          </w:p>
        </w:tc>
      </w:tr>
      <w:tr w14:paraId="082D1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2C538EB8">
            <w:pPr>
              <w:pStyle w:val="7"/>
              <w:spacing w:line="279" w:lineRule="auto"/>
              <w:rPr>
                <w:color w:val="auto"/>
                <w:highlight w:val="none"/>
              </w:rPr>
            </w:pPr>
          </w:p>
          <w:p w14:paraId="7D3AD5A6">
            <w:pPr>
              <w:pStyle w:val="7"/>
              <w:spacing w:line="280" w:lineRule="auto"/>
              <w:rPr>
                <w:color w:val="auto"/>
                <w:highlight w:val="none"/>
              </w:rPr>
            </w:pPr>
          </w:p>
          <w:p w14:paraId="16C4B6C8">
            <w:pPr>
              <w:pStyle w:val="7"/>
              <w:spacing w:line="280" w:lineRule="auto"/>
              <w:rPr>
                <w:color w:val="auto"/>
                <w:highlight w:val="none"/>
              </w:rPr>
            </w:pPr>
          </w:p>
          <w:p w14:paraId="16A2CAFB">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1_14</w:t>
            </w:r>
          </w:p>
        </w:tc>
        <w:tc>
          <w:tcPr>
            <w:tcW w:w="2457" w:type="dxa"/>
            <w:vMerge w:val="restart"/>
            <w:tcBorders>
              <w:bottom w:val="nil"/>
            </w:tcBorders>
            <w:vAlign w:val="top"/>
          </w:tcPr>
          <w:p w14:paraId="784813CA">
            <w:pPr>
              <w:pStyle w:val="7"/>
              <w:spacing w:line="251" w:lineRule="auto"/>
              <w:rPr>
                <w:color w:val="auto"/>
                <w:highlight w:val="none"/>
              </w:rPr>
            </w:pPr>
          </w:p>
          <w:p w14:paraId="267E5F8C">
            <w:pPr>
              <w:pStyle w:val="7"/>
              <w:spacing w:line="251" w:lineRule="auto"/>
              <w:rPr>
                <w:color w:val="auto"/>
                <w:highlight w:val="none"/>
              </w:rPr>
            </w:pPr>
          </w:p>
          <w:p w14:paraId="1829211A">
            <w:pPr>
              <w:pStyle w:val="7"/>
              <w:spacing w:line="252" w:lineRule="auto"/>
              <w:rPr>
                <w:color w:val="auto"/>
                <w:highlight w:val="none"/>
              </w:rPr>
            </w:pPr>
          </w:p>
          <w:p w14:paraId="2D5AD413">
            <w:pPr>
              <w:spacing w:before="59" w:line="219" w:lineRule="auto"/>
              <w:ind w:left="59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发电机阻抗保护</w:t>
            </w:r>
          </w:p>
        </w:tc>
        <w:tc>
          <w:tcPr>
            <w:tcW w:w="867" w:type="dxa"/>
            <w:vMerge w:val="restart"/>
            <w:tcBorders>
              <w:bottom w:val="nil"/>
            </w:tcBorders>
            <w:vAlign w:val="top"/>
          </w:tcPr>
          <w:p w14:paraId="5B8C33C5">
            <w:pPr>
              <w:pStyle w:val="7"/>
              <w:rPr>
                <w:color w:val="auto"/>
                <w:highlight w:val="none"/>
              </w:rPr>
            </w:pPr>
          </w:p>
        </w:tc>
        <w:tc>
          <w:tcPr>
            <w:tcW w:w="1484" w:type="dxa"/>
            <w:vAlign w:val="top"/>
          </w:tcPr>
          <w:p w14:paraId="71A5F518">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5242CC12">
            <w:pPr>
              <w:pStyle w:val="7"/>
              <w:rPr>
                <w:color w:val="auto"/>
                <w:highlight w:val="none"/>
              </w:rPr>
            </w:pPr>
          </w:p>
        </w:tc>
        <w:tc>
          <w:tcPr>
            <w:tcW w:w="1493" w:type="dxa"/>
            <w:vAlign w:val="top"/>
          </w:tcPr>
          <w:p w14:paraId="2E74931F">
            <w:pPr>
              <w:pStyle w:val="7"/>
              <w:rPr>
                <w:color w:val="auto"/>
                <w:highlight w:val="none"/>
              </w:rPr>
            </w:pPr>
          </w:p>
        </w:tc>
      </w:tr>
      <w:tr w14:paraId="14821F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624135C5">
            <w:pPr>
              <w:pStyle w:val="7"/>
              <w:rPr>
                <w:color w:val="auto"/>
                <w:highlight w:val="none"/>
              </w:rPr>
            </w:pPr>
          </w:p>
        </w:tc>
        <w:tc>
          <w:tcPr>
            <w:tcW w:w="2457" w:type="dxa"/>
            <w:vMerge w:val="continue"/>
            <w:tcBorders>
              <w:top w:val="nil"/>
              <w:bottom w:val="nil"/>
            </w:tcBorders>
            <w:vAlign w:val="top"/>
          </w:tcPr>
          <w:p w14:paraId="727E5965">
            <w:pPr>
              <w:pStyle w:val="7"/>
              <w:rPr>
                <w:color w:val="auto"/>
                <w:highlight w:val="none"/>
              </w:rPr>
            </w:pPr>
          </w:p>
        </w:tc>
        <w:tc>
          <w:tcPr>
            <w:tcW w:w="867" w:type="dxa"/>
            <w:vMerge w:val="continue"/>
            <w:tcBorders>
              <w:top w:val="nil"/>
              <w:bottom w:val="nil"/>
            </w:tcBorders>
            <w:vAlign w:val="top"/>
          </w:tcPr>
          <w:p w14:paraId="36D5D081">
            <w:pPr>
              <w:pStyle w:val="7"/>
              <w:rPr>
                <w:color w:val="auto"/>
                <w:highlight w:val="none"/>
              </w:rPr>
            </w:pPr>
          </w:p>
        </w:tc>
        <w:tc>
          <w:tcPr>
            <w:tcW w:w="1484" w:type="dxa"/>
            <w:vAlign w:val="top"/>
          </w:tcPr>
          <w:p w14:paraId="6063E60E">
            <w:pPr>
              <w:pStyle w:val="7"/>
              <w:rPr>
                <w:color w:val="auto"/>
                <w:highlight w:val="none"/>
              </w:rPr>
            </w:pPr>
          </w:p>
        </w:tc>
        <w:tc>
          <w:tcPr>
            <w:tcW w:w="1484" w:type="dxa"/>
            <w:vAlign w:val="top"/>
          </w:tcPr>
          <w:p w14:paraId="1388694B">
            <w:pPr>
              <w:pStyle w:val="7"/>
              <w:rPr>
                <w:color w:val="auto"/>
                <w:highlight w:val="none"/>
              </w:rPr>
            </w:pPr>
          </w:p>
        </w:tc>
        <w:tc>
          <w:tcPr>
            <w:tcW w:w="1493" w:type="dxa"/>
            <w:vAlign w:val="top"/>
          </w:tcPr>
          <w:p w14:paraId="7F64286E">
            <w:pPr>
              <w:pStyle w:val="7"/>
              <w:rPr>
                <w:color w:val="auto"/>
                <w:highlight w:val="none"/>
              </w:rPr>
            </w:pPr>
          </w:p>
        </w:tc>
      </w:tr>
      <w:tr w14:paraId="6FB89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075BA57">
            <w:pPr>
              <w:pStyle w:val="7"/>
              <w:rPr>
                <w:color w:val="auto"/>
                <w:highlight w:val="none"/>
              </w:rPr>
            </w:pPr>
          </w:p>
        </w:tc>
        <w:tc>
          <w:tcPr>
            <w:tcW w:w="2457" w:type="dxa"/>
            <w:vMerge w:val="continue"/>
            <w:tcBorders>
              <w:top w:val="nil"/>
              <w:bottom w:val="nil"/>
            </w:tcBorders>
            <w:vAlign w:val="top"/>
          </w:tcPr>
          <w:p w14:paraId="289E8D1F">
            <w:pPr>
              <w:pStyle w:val="7"/>
              <w:rPr>
                <w:color w:val="auto"/>
                <w:highlight w:val="none"/>
              </w:rPr>
            </w:pPr>
          </w:p>
        </w:tc>
        <w:tc>
          <w:tcPr>
            <w:tcW w:w="867" w:type="dxa"/>
            <w:vMerge w:val="continue"/>
            <w:tcBorders>
              <w:top w:val="nil"/>
              <w:bottom w:val="nil"/>
            </w:tcBorders>
            <w:vAlign w:val="top"/>
          </w:tcPr>
          <w:p w14:paraId="2408DCD4">
            <w:pPr>
              <w:pStyle w:val="7"/>
              <w:rPr>
                <w:color w:val="auto"/>
                <w:highlight w:val="none"/>
              </w:rPr>
            </w:pPr>
          </w:p>
        </w:tc>
        <w:tc>
          <w:tcPr>
            <w:tcW w:w="1484" w:type="dxa"/>
            <w:vAlign w:val="top"/>
          </w:tcPr>
          <w:p w14:paraId="08D3E559">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49D19B71">
            <w:pPr>
              <w:pStyle w:val="7"/>
              <w:rPr>
                <w:color w:val="auto"/>
                <w:highlight w:val="none"/>
              </w:rPr>
            </w:pPr>
          </w:p>
        </w:tc>
        <w:tc>
          <w:tcPr>
            <w:tcW w:w="1493" w:type="dxa"/>
            <w:vAlign w:val="top"/>
          </w:tcPr>
          <w:p w14:paraId="63F079BE">
            <w:pPr>
              <w:pStyle w:val="7"/>
              <w:rPr>
                <w:color w:val="auto"/>
                <w:highlight w:val="none"/>
              </w:rPr>
            </w:pPr>
          </w:p>
        </w:tc>
      </w:tr>
      <w:tr w14:paraId="35FACA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2FADAB62">
            <w:pPr>
              <w:pStyle w:val="7"/>
              <w:rPr>
                <w:color w:val="auto"/>
                <w:highlight w:val="none"/>
              </w:rPr>
            </w:pPr>
          </w:p>
        </w:tc>
        <w:tc>
          <w:tcPr>
            <w:tcW w:w="2457" w:type="dxa"/>
            <w:vMerge w:val="continue"/>
            <w:tcBorders>
              <w:top w:val="nil"/>
            </w:tcBorders>
            <w:vAlign w:val="top"/>
          </w:tcPr>
          <w:p w14:paraId="03A915C5">
            <w:pPr>
              <w:pStyle w:val="7"/>
              <w:rPr>
                <w:color w:val="auto"/>
                <w:highlight w:val="none"/>
              </w:rPr>
            </w:pPr>
          </w:p>
        </w:tc>
        <w:tc>
          <w:tcPr>
            <w:tcW w:w="867" w:type="dxa"/>
            <w:vMerge w:val="continue"/>
            <w:tcBorders>
              <w:top w:val="nil"/>
            </w:tcBorders>
            <w:vAlign w:val="top"/>
          </w:tcPr>
          <w:p w14:paraId="7F567A2F">
            <w:pPr>
              <w:pStyle w:val="7"/>
              <w:rPr>
                <w:color w:val="auto"/>
                <w:highlight w:val="none"/>
              </w:rPr>
            </w:pPr>
          </w:p>
        </w:tc>
        <w:tc>
          <w:tcPr>
            <w:tcW w:w="1484" w:type="dxa"/>
            <w:vAlign w:val="top"/>
          </w:tcPr>
          <w:p w14:paraId="414F5341">
            <w:pPr>
              <w:pStyle w:val="7"/>
              <w:rPr>
                <w:color w:val="auto"/>
                <w:highlight w:val="none"/>
              </w:rPr>
            </w:pPr>
          </w:p>
        </w:tc>
        <w:tc>
          <w:tcPr>
            <w:tcW w:w="1484" w:type="dxa"/>
            <w:vAlign w:val="top"/>
          </w:tcPr>
          <w:p w14:paraId="72656795">
            <w:pPr>
              <w:pStyle w:val="7"/>
              <w:rPr>
                <w:color w:val="auto"/>
                <w:highlight w:val="none"/>
              </w:rPr>
            </w:pPr>
          </w:p>
        </w:tc>
        <w:tc>
          <w:tcPr>
            <w:tcW w:w="1493" w:type="dxa"/>
            <w:vAlign w:val="top"/>
          </w:tcPr>
          <w:p w14:paraId="6AD8C271">
            <w:pPr>
              <w:pStyle w:val="7"/>
              <w:rPr>
                <w:color w:val="auto"/>
                <w:highlight w:val="none"/>
              </w:rPr>
            </w:pPr>
          </w:p>
        </w:tc>
      </w:tr>
      <w:tr w14:paraId="200A3A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76FC248">
            <w:pPr>
              <w:pStyle w:val="7"/>
              <w:spacing w:line="280" w:lineRule="auto"/>
              <w:rPr>
                <w:color w:val="auto"/>
                <w:highlight w:val="none"/>
              </w:rPr>
            </w:pPr>
          </w:p>
          <w:p w14:paraId="423BDFEA">
            <w:pPr>
              <w:pStyle w:val="7"/>
              <w:spacing w:line="280" w:lineRule="auto"/>
              <w:rPr>
                <w:color w:val="auto"/>
                <w:highlight w:val="none"/>
              </w:rPr>
            </w:pPr>
          </w:p>
          <w:p w14:paraId="35F7E466">
            <w:pPr>
              <w:pStyle w:val="7"/>
              <w:spacing w:line="280" w:lineRule="auto"/>
              <w:rPr>
                <w:color w:val="auto"/>
                <w:highlight w:val="none"/>
              </w:rPr>
            </w:pPr>
          </w:p>
          <w:p w14:paraId="5E541A92">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1_15</w:t>
            </w:r>
          </w:p>
        </w:tc>
        <w:tc>
          <w:tcPr>
            <w:tcW w:w="2457" w:type="dxa"/>
            <w:vMerge w:val="restart"/>
            <w:tcBorders>
              <w:bottom w:val="nil"/>
            </w:tcBorders>
            <w:vAlign w:val="top"/>
          </w:tcPr>
          <w:p w14:paraId="7AA0ED24">
            <w:pPr>
              <w:pStyle w:val="7"/>
              <w:spacing w:line="291" w:lineRule="auto"/>
              <w:rPr>
                <w:color w:val="auto"/>
                <w:highlight w:val="none"/>
              </w:rPr>
            </w:pPr>
          </w:p>
          <w:p w14:paraId="357E7535">
            <w:pPr>
              <w:pStyle w:val="7"/>
              <w:spacing w:line="291" w:lineRule="auto"/>
              <w:rPr>
                <w:color w:val="auto"/>
                <w:highlight w:val="none"/>
              </w:rPr>
            </w:pPr>
          </w:p>
          <w:p w14:paraId="2006D072">
            <w:pPr>
              <w:spacing w:before="58" w:line="467" w:lineRule="auto"/>
              <w:ind w:left="1043" w:right="145" w:hanging="89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发电机复合电压闭锁过电流</w:t>
            </w:r>
            <w:r>
              <w:rPr>
                <w:rFonts w:ascii="宋体" w:hAnsi="宋体" w:eastAsia="宋体" w:cs="宋体"/>
                <w:color w:val="auto"/>
                <w:spacing w:val="1"/>
                <w:sz w:val="18"/>
                <w:szCs w:val="18"/>
                <w:highlight w:val="none"/>
              </w:rPr>
              <w:t xml:space="preserve"> </w:t>
            </w:r>
            <w:r>
              <w:rPr>
                <w:rFonts w:ascii="宋体" w:hAnsi="宋体" w:eastAsia="宋体" w:cs="宋体"/>
                <w:color w:val="auto"/>
                <w:spacing w:val="-4"/>
                <w:sz w:val="18"/>
                <w:szCs w:val="18"/>
                <w:highlight w:val="none"/>
              </w:rPr>
              <w:t>保护</w:t>
            </w:r>
          </w:p>
        </w:tc>
        <w:tc>
          <w:tcPr>
            <w:tcW w:w="867" w:type="dxa"/>
            <w:vMerge w:val="restart"/>
            <w:tcBorders>
              <w:bottom w:val="nil"/>
            </w:tcBorders>
            <w:vAlign w:val="top"/>
          </w:tcPr>
          <w:p w14:paraId="1B52C21B">
            <w:pPr>
              <w:pStyle w:val="7"/>
              <w:rPr>
                <w:color w:val="auto"/>
                <w:highlight w:val="none"/>
              </w:rPr>
            </w:pPr>
          </w:p>
        </w:tc>
        <w:tc>
          <w:tcPr>
            <w:tcW w:w="1484" w:type="dxa"/>
            <w:vAlign w:val="top"/>
          </w:tcPr>
          <w:p w14:paraId="5EA68832">
            <w:pPr>
              <w:spacing w:before="145"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EC1F4E8">
            <w:pPr>
              <w:pStyle w:val="7"/>
              <w:rPr>
                <w:color w:val="auto"/>
                <w:highlight w:val="none"/>
              </w:rPr>
            </w:pPr>
          </w:p>
        </w:tc>
        <w:tc>
          <w:tcPr>
            <w:tcW w:w="1493" w:type="dxa"/>
            <w:vAlign w:val="top"/>
          </w:tcPr>
          <w:p w14:paraId="0D5A754A">
            <w:pPr>
              <w:pStyle w:val="7"/>
              <w:rPr>
                <w:color w:val="auto"/>
                <w:highlight w:val="none"/>
              </w:rPr>
            </w:pPr>
          </w:p>
        </w:tc>
      </w:tr>
      <w:tr w14:paraId="569D0E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6A87DF30">
            <w:pPr>
              <w:pStyle w:val="7"/>
              <w:rPr>
                <w:color w:val="auto"/>
                <w:highlight w:val="none"/>
              </w:rPr>
            </w:pPr>
          </w:p>
        </w:tc>
        <w:tc>
          <w:tcPr>
            <w:tcW w:w="2457" w:type="dxa"/>
            <w:vMerge w:val="continue"/>
            <w:tcBorders>
              <w:top w:val="nil"/>
              <w:bottom w:val="nil"/>
            </w:tcBorders>
            <w:vAlign w:val="top"/>
          </w:tcPr>
          <w:p w14:paraId="7BC198C4">
            <w:pPr>
              <w:pStyle w:val="7"/>
              <w:rPr>
                <w:color w:val="auto"/>
                <w:highlight w:val="none"/>
              </w:rPr>
            </w:pPr>
          </w:p>
        </w:tc>
        <w:tc>
          <w:tcPr>
            <w:tcW w:w="867" w:type="dxa"/>
            <w:vMerge w:val="continue"/>
            <w:tcBorders>
              <w:top w:val="nil"/>
              <w:bottom w:val="nil"/>
            </w:tcBorders>
            <w:vAlign w:val="top"/>
          </w:tcPr>
          <w:p w14:paraId="04A51E34">
            <w:pPr>
              <w:pStyle w:val="7"/>
              <w:rPr>
                <w:color w:val="auto"/>
                <w:highlight w:val="none"/>
              </w:rPr>
            </w:pPr>
          </w:p>
        </w:tc>
        <w:tc>
          <w:tcPr>
            <w:tcW w:w="1484" w:type="dxa"/>
            <w:vAlign w:val="top"/>
          </w:tcPr>
          <w:p w14:paraId="64D0F334">
            <w:pPr>
              <w:pStyle w:val="7"/>
              <w:rPr>
                <w:color w:val="auto"/>
                <w:highlight w:val="none"/>
              </w:rPr>
            </w:pPr>
          </w:p>
        </w:tc>
        <w:tc>
          <w:tcPr>
            <w:tcW w:w="1484" w:type="dxa"/>
            <w:vAlign w:val="top"/>
          </w:tcPr>
          <w:p w14:paraId="684E9247">
            <w:pPr>
              <w:pStyle w:val="7"/>
              <w:rPr>
                <w:color w:val="auto"/>
                <w:highlight w:val="none"/>
              </w:rPr>
            </w:pPr>
          </w:p>
        </w:tc>
        <w:tc>
          <w:tcPr>
            <w:tcW w:w="1493" w:type="dxa"/>
            <w:vAlign w:val="top"/>
          </w:tcPr>
          <w:p w14:paraId="2355B9C3">
            <w:pPr>
              <w:pStyle w:val="7"/>
              <w:rPr>
                <w:color w:val="auto"/>
                <w:highlight w:val="none"/>
              </w:rPr>
            </w:pPr>
          </w:p>
        </w:tc>
      </w:tr>
      <w:tr w14:paraId="2B2925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3257F83">
            <w:pPr>
              <w:pStyle w:val="7"/>
              <w:rPr>
                <w:color w:val="auto"/>
                <w:highlight w:val="none"/>
              </w:rPr>
            </w:pPr>
          </w:p>
        </w:tc>
        <w:tc>
          <w:tcPr>
            <w:tcW w:w="2457" w:type="dxa"/>
            <w:vMerge w:val="continue"/>
            <w:tcBorders>
              <w:top w:val="nil"/>
              <w:bottom w:val="nil"/>
            </w:tcBorders>
            <w:vAlign w:val="top"/>
          </w:tcPr>
          <w:p w14:paraId="20BE65D7">
            <w:pPr>
              <w:pStyle w:val="7"/>
              <w:rPr>
                <w:color w:val="auto"/>
                <w:highlight w:val="none"/>
              </w:rPr>
            </w:pPr>
          </w:p>
        </w:tc>
        <w:tc>
          <w:tcPr>
            <w:tcW w:w="867" w:type="dxa"/>
            <w:vMerge w:val="continue"/>
            <w:tcBorders>
              <w:top w:val="nil"/>
              <w:bottom w:val="nil"/>
            </w:tcBorders>
            <w:vAlign w:val="top"/>
          </w:tcPr>
          <w:p w14:paraId="4CD1B4C3">
            <w:pPr>
              <w:pStyle w:val="7"/>
              <w:rPr>
                <w:color w:val="auto"/>
                <w:highlight w:val="none"/>
              </w:rPr>
            </w:pPr>
          </w:p>
        </w:tc>
        <w:tc>
          <w:tcPr>
            <w:tcW w:w="1484" w:type="dxa"/>
            <w:vAlign w:val="top"/>
          </w:tcPr>
          <w:p w14:paraId="285F9F63">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05E2B4B">
            <w:pPr>
              <w:pStyle w:val="7"/>
              <w:rPr>
                <w:color w:val="auto"/>
                <w:highlight w:val="none"/>
              </w:rPr>
            </w:pPr>
          </w:p>
        </w:tc>
        <w:tc>
          <w:tcPr>
            <w:tcW w:w="1493" w:type="dxa"/>
            <w:vAlign w:val="top"/>
          </w:tcPr>
          <w:p w14:paraId="05E9E955">
            <w:pPr>
              <w:pStyle w:val="7"/>
              <w:rPr>
                <w:color w:val="auto"/>
                <w:highlight w:val="none"/>
              </w:rPr>
            </w:pPr>
          </w:p>
        </w:tc>
      </w:tr>
      <w:tr w14:paraId="598AC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1DD0CBDB">
            <w:pPr>
              <w:pStyle w:val="7"/>
              <w:rPr>
                <w:color w:val="auto"/>
                <w:highlight w:val="none"/>
              </w:rPr>
            </w:pPr>
          </w:p>
        </w:tc>
        <w:tc>
          <w:tcPr>
            <w:tcW w:w="2457" w:type="dxa"/>
            <w:vMerge w:val="continue"/>
            <w:tcBorders>
              <w:top w:val="nil"/>
            </w:tcBorders>
            <w:vAlign w:val="top"/>
          </w:tcPr>
          <w:p w14:paraId="3FFB8C9D">
            <w:pPr>
              <w:pStyle w:val="7"/>
              <w:rPr>
                <w:color w:val="auto"/>
                <w:highlight w:val="none"/>
              </w:rPr>
            </w:pPr>
          </w:p>
        </w:tc>
        <w:tc>
          <w:tcPr>
            <w:tcW w:w="867" w:type="dxa"/>
            <w:vMerge w:val="continue"/>
            <w:tcBorders>
              <w:top w:val="nil"/>
            </w:tcBorders>
            <w:vAlign w:val="top"/>
          </w:tcPr>
          <w:p w14:paraId="4FCCDDC4">
            <w:pPr>
              <w:pStyle w:val="7"/>
              <w:rPr>
                <w:color w:val="auto"/>
                <w:highlight w:val="none"/>
              </w:rPr>
            </w:pPr>
          </w:p>
        </w:tc>
        <w:tc>
          <w:tcPr>
            <w:tcW w:w="1484" w:type="dxa"/>
            <w:vAlign w:val="top"/>
          </w:tcPr>
          <w:p w14:paraId="008E5ADB">
            <w:pPr>
              <w:pStyle w:val="7"/>
              <w:rPr>
                <w:color w:val="auto"/>
                <w:highlight w:val="none"/>
              </w:rPr>
            </w:pPr>
          </w:p>
        </w:tc>
        <w:tc>
          <w:tcPr>
            <w:tcW w:w="1484" w:type="dxa"/>
            <w:vAlign w:val="top"/>
          </w:tcPr>
          <w:p w14:paraId="13ED19DF">
            <w:pPr>
              <w:pStyle w:val="7"/>
              <w:rPr>
                <w:color w:val="auto"/>
                <w:highlight w:val="none"/>
              </w:rPr>
            </w:pPr>
          </w:p>
        </w:tc>
        <w:tc>
          <w:tcPr>
            <w:tcW w:w="1493" w:type="dxa"/>
            <w:vAlign w:val="top"/>
          </w:tcPr>
          <w:p w14:paraId="1E1D4A7D">
            <w:pPr>
              <w:pStyle w:val="7"/>
              <w:rPr>
                <w:color w:val="auto"/>
                <w:highlight w:val="none"/>
              </w:rPr>
            </w:pPr>
          </w:p>
        </w:tc>
      </w:tr>
      <w:tr w14:paraId="3170E3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4B921A4">
            <w:pPr>
              <w:pStyle w:val="7"/>
              <w:spacing w:line="262" w:lineRule="auto"/>
              <w:rPr>
                <w:color w:val="auto"/>
                <w:highlight w:val="none"/>
              </w:rPr>
            </w:pPr>
          </w:p>
          <w:p w14:paraId="31B516B9">
            <w:pPr>
              <w:pStyle w:val="7"/>
              <w:spacing w:line="262" w:lineRule="auto"/>
              <w:rPr>
                <w:color w:val="auto"/>
                <w:highlight w:val="none"/>
              </w:rPr>
            </w:pPr>
          </w:p>
          <w:p w14:paraId="68DAF402">
            <w:pPr>
              <w:pStyle w:val="7"/>
              <w:spacing w:line="262" w:lineRule="auto"/>
              <w:rPr>
                <w:color w:val="auto"/>
                <w:highlight w:val="none"/>
              </w:rPr>
            </w:pPr>
          </w:p>
          <w:p w14:paraId="71E237AC">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1_16</w:t>
            </w:r>
          </w:p>
        </w:tc>
        <w:tc>
          <w:tcPr>
            <w:tcW w:w="2457" w:type="dxa"/>
            <w:vMerge w:val="restart"/>
            <w:tcBorders>
              <w:bottom w:val="nil"/>
            </w:tcBorders>
            <w:vAlign w:val="top"/>
          </w:tcPr>
          <w:p w14:paraId="72C2BDB1">
            <w:pPr>
              <w:pStyle w:val="7"/>
              <w:spacing w:line="253" w:lineRule="auto"/>
              <w:rPr>
                <w:color w:val="auto"/>
                <w:highlight w:val="none"/>
              </w:rPr>
            </w:pPr>
          </w:p>
          <w:p w14:paraId="02A02541">
            <w:pPr>
              <w:pStyle w:val="7"/>
              <w:spacing w:line="253" w:lineRule="auto"/>
              <w:rPr>
                <w:color w:val="auto"/>
                <w:highlight w:val="none"/>
              </w:rPr>
            </w:pPr>
          </w:p>
          <w:p w14:paraId="71A3ACA9">
            <w:pPr>
              <w:pStyle w:val="7"/>
              <w:spacing w:line="253" w:lineRule="auto"/>
              <w:rPr>
                <w:color w:val="auto"/>
                <w:highlight w:val="none"/>
              </w:rPr>
            </w:pPr>
          </w:p>
          <w:p w14:paraId="2D222D75">
            <w:pPr>
              <w:spacing w:before="58"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发电机误上电保护</w:t>
            </w:r>
          </w:p>
        </w:tc>
        <w:tc>
          <w:tcPr>
            <w:tcW w:w="867" w:type="dxa"/>
            <w:vMerge w:val="restart"/>
            <w:tcBorders>
              <w:bottom w:val="nil"/>
            </w:tcBorders>
            <w:vAlign w:val="top"/>
          </w:tcPr>
          <w:p w14:paraId="4BF42195">
            <w:pPr>
              <w:pStyle w:val="7"/>
              <w:rPr>
                <w:color w:val="auto"/>
                <w:highlight w:val="none"/>
              </w:rPr>
            </w:pPr>
          </w:p>
        </w:tc>
        <w:tc>
          <w:tcPr>
            <w:tcW w:w="1484" w:type="dxa"/>
            <w:vAlign w:val="top"/>
          </w:tcPr>
          <w:p w14:paraId="5CC32F4E">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0BBF7CF">
            <w:pPr>
              <w:pStyle w:val="7"/>
              <w:rPr>
                <w:color w:val="auto"/>
                <w:highlight w:val="none"/>
              </w:rPr>
            </w:pPr>
          </w:p>
        </w:tc>
        <w:tc>
          <w:tcPr>
            <w:tcW w:w="1493" w:type="dxa"/>
            <w:vAlign w:val="top"/>
          </w:tcPr>
          <w:p w14:paraId="77791476">
            <w:pPr>
              <w:pStyle w:val="7"/>
              <w:rPr>
                <w:color w:val="auto"/>
                <w:highlight w:val="none"/>
              </w:rPr>
            </w:pPr>
          </w:p>
        </w:tc>
      </w:tr>
      <w:tr w14:paraId="52C7F2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A2BF52B">
            <w:pPr>
              <w:pStyle w:val="7"/>
              <w:rPr>
                <w:color w:val="auto"/>
                <w:highlight w:val="none"/>
              </w:rPr>
            </w:pPr>
          </w:p>
        </w:tc>
        <w:tc>
          <w:tcPr>
            <w:tcW w:w="2457" w:type="dxa"/>
            <w:vMerge w:val="continue"/>
            <w:tcBorders>
              <w:top w:val="nil"/>
              <w:bottom w:val="nil"/>
            </w:tcBorders>
            <w:vAlign w:val="top"/>
          </w:tcPr>
          <w:p w14:paraId="10B2E195">
            <w:pPr>
              <w:pStyle w:val="7"/>
              <w:rPr>
                <w:color w:val="auto"/>
                <w:highlight w:val="none"/>
              </w:rPr>
            </w:pPr>
          </w:p>
        </w:tc>
        <w:tc>
          <w:tcPr>
            <w:tcW w:w="867" w:type="dxa"/>
            <w:vMerge w:val="continue"/>
            <w:tcBorders>
              <w:top w:val="nil"/>
              <w:bottom w:val="nil"/>
            </w:tcBorders>
            <w:vAlign w:val="top"/>
          </w:tcPr>
          <w:p w14:paraId="0E605DB5">
            <w:pPr>
              <w:pStyle w:val="7"/>
              <w:rPr>
                <w:color w:val="auto"/>
                <w:highlight w:val="none"/>
              </w:rPr>
            </w:pPr>
          </w:p>
        </w:tc>
        <w:tc>
          <w:tcPr>
            <w:tcW w:w="1484" w:type="dxa"/>
            <w:vAlign w:val="top"/>
          </w:tcPr>
          <w:p w14:paraId="7B86249E">
            <w:pPr>
              <w:pStyle w:val="7"/>
              <w:rPr>
                <w:color w:val="auto"/>
                <w:highlight w:val="none"/>
              </w:rPr>
            </w:pPr>
          </w:p>
        </w:tc>
        <w:tc>
          <w:tcPr>
            <w:tcW w:w="1484" w:type="dxa"/>
            <w:vAlign w:val="top"/>
          </w:tcPr>
          <w:p w14:paraId="3F34EE24">
            <w:pPr>
              <w:pStyle w:val="7"/>
              <w:rPr>
                <w:color w:val="auto"/>
                <w:highlight w:val="none"/>
              </w:rPr>
            </w:pPr>
          </w:p>
        </w:tc>
        <w:tc>
          <w:tcPr>
            <w:tcW w:w="1493" w:type="dxa"/>
            <w:vAlign w:val="top"/>
          </w:tcPr>
          <w:p w14:paraId="03BF0E4E">
            <w:pPr>
              <w:pStyle w:val="7"/>
              <w:rPr>
                <w:color w:val="auto"/>
                <w:highlight w:val="none"/>
              </w:rPr>
            </w:pPr>
          </w:p>
        </w:tc>
      </w:tr>
      <w:tr w14:paraId="438F8D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7D9B33DB">
            <w:pPr>
              <w:pStyle w:val="7"/>
              <w:rPr>
                <w:color w:val="auto"/>
                <w:highlight w:val="none"/>
              </w:rPr>
            </w:pPr>
          </w:p>
        </w:tc>
        <w:tc>
          <w:tcPr>
            <w:tcW w:w="2457" w:type="dxa"/>
            <w:vMerge w:val="continue"/>
            <w:tcBorders>
              <w:top w:val="nil"/>
              <w:bottom w:val="nil"/>
            </w:tcBorders>
            <w:vAlign w:val="top"/>
          </w:tcPr>
          <w:p w14:paraId="0C931901">
            <w:pPr>
              <w:pStyle w:val="7"/>
              <w:rPr>
                <w:color w:val="auto"/>
                <w:highlight w:val="none"/>
              </w:rPr>
            </w:pPr>
          </w:p>
        </w:tc>
        <w:tc>
          <w:tcPr>
            <w:tcW w:w="867" w:type="dxa"/>
            <w:vMerge w:val="continue"/>
            <w:tcBorders>
              <w:top w:val="nil"/>
              <w:bottom w:val="nil"/>
            </w:tcBorders>
            <w:vAlign w:val="top"/>
          </w:tcPr>
          <w:p w14:paraId="3FDE7AA5">
            <w:pPr>
              <w:pStyle w:val="7"/>
              <w:rPr>
                <w:color w:val="auto"/>
                <w:highlight w:val="none"/>
              </w:rPr>
            </w:pPr>
          </w:p>
        </w:tc>
        <w:tc>
          <w:tcPr>
            <w:tcW w:w="1484" w:type="dxa"/>
            <w:vAlign w:val="top"/>
          </w:tcPr>
          <w:p w14:paraId="5013F417">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8B99011">
            <w:pPr>
              <w:pStyle w:val="7"/>
              <w:rPr>
                <w:color w:val="auto"/>
                <w:highlight w:val="none"/>
              </w:rPr>
            </w:pPr>
          </w:p>
        </w:tc>
        <w:tc>
          <w:tcPr>
            <w:tcW w:w="1493" w:type="dxa"/>
            <w:vAlign w:val="top"/>
          </w:tcPr>
          <w:p w14:paraId="29D80B94">
            <w:pPr>
              <w:pStyle w:val="7"/>
              <w:rPr>
                <w:color w:val="auto"/>
                <w:highlight w:val="none"/>
              </w:rPr>
            </w:pPr>
          </w:p>
        </w:tc>
      </w:tr>
      <w:tr w14:paraId="222BB1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7F3DB20F">
            <w:pPr>
              <w:pStyle w:val="7"/>
              <w:rPr>
                <w:color w:val="auto"/>
                <w:highlight w:val="none"/>
              </w:rPr>
            </w:pPr>
          </w:p>
        </w:tc>
        <w:tc>
          <w:tcPr>
            <w:tcW w:w="2457" w:type="dxa"/>
            <w:vMerge w:val="continue"/>
            <w:tcBorders>
              <w:top w:val="nil"/>
            </w:tcBorders>
            <w:vAlign w:val="top"/>
          </w:tcPr>
          <w:p w14:paraId="4B4F17A7">
            <w:pPr>
              <w:pStyle w:val="7"/>
              <w:rPr>
                <w:color w:val="auto"/>
                <w:highlight w:val="none"/>
              </w:rPr>
            </w:pPr>
          </w:p>
        </w:tc>
        <w:tc>
          <w:tcPr>
            <w:tcW w:w="867" w:type="dxa"/>
            <w:vMerge w:val="continue"/>
            <w:tcBorders>
              <w:top w:val="nil"/>
            </w:tcBorders>
            <w:vAlign w:val="top"/>
          </w:tcPr>
          <w:p w14:paraId="17337FD9">
            <w:pPr>
              <w:pStyle w:val="7"/>
              <w:rPr>
                <w:color w:val="auto"/>
                <w:highlight w:val="none"/>
              </w:rPr>
            </w:pPr>
          </w:p>
        </w:tc>
        <w:tc>
          <w:tcPr>
            <w:tcW w:w="1484" w:type="dxa"/>
            <w:vAlign w:val="top"/>
          </w:tcPr>
          <w:p w14:paraId="076A98F5">
            <w:pPr>
              <w:pStyle w:val="7"/>
              <w:rPr>
                <w:color w:val="auto"/>
                <w:highlight w:val="none"/>
              </w:rPr>
            </w:pPr>
          </w:p>
        </w:tc>
        <w:tc>
          <w:tcPr>
            <w:tcW w:w="1484" w:type="dxa"/>
            <w:vAlign w:val="top"/>
          </w:tcPr>
          <w:p w14:paraId="013BDDB0">
            <w:pPr>
              <w:pStyle w:val="7"/>
              <w:rPr>
                <w:color w:val="auto"/>
                <w:highlight w:val="none"/>
              </w:rPr>
            </w:pPr>
          </w:p>
        </w:tc>
        <w:tc>
          <w:tcPr>
            <w:tcW w:w="1493" w:type="dxa"/>
            <w:vAlign w:val="top"/>
          </w:tcPr>
          <w:p w14:paraId="07BFF138">
            <w:pPr>
              <w:pStyle w:val="7"/>
              <w:rPr>
                <w:color w:val="auto"/>
                <w:highlight w:val="none"/>
              </w:rPr>
            </w:pPr>
          </w:p>
        </w:tc>
      </w:tr>
      <w:tr w14:paraId="7015D2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394A2324">
            <w:pPr>
              <w:pStyle w:val="7"/>
              <w:spacing w:line="282" w:lineRule="auto"/>
              <w:rPr>
                <w:color w:val="auto"/>
                <w:highlight w:val="none"/>
              </w:rPr>
            </w:pPr>
          </w:p>
          <w:p w14:paraId="1C7B40D7">
            <w:pPr>
              <w:pStyle w:val="7"/>
              <w:spacing w:line="282" w:lineRule="auto"/>
              <w:rPr>
                <w:color w:val="auto"/>
                <w:highlight w:val="none"/>
              </w:rPr>
            </w:pPr>
          </w:p>
          <w:p w14:paraId="4760159F">
            <w:pPr>
              <w:pStyle w:val="7"/>
              <w:spacing w:line="282" w:lineRule="auto"/>
              <w:rPr>
                <w:color w:val="auto"/>
                <w:highlight w:val="none"/>
              </w:rPr>
            </w:pPr>
          </w:p>
          <w:p w14:paraId="4953F45C">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1_17</w:t>
            </w:r>
          </w:p>
        </w:tc>
        <w:tc>
          <w:tcPr>
            <w:tcW w:w="2457" w:type="dxa"/>
            <w:vMerge w:val="restart"/>
            <w:tcBorders>
              <w:bottom w:val="nil"/>
            </w:tcBorders>
            <w:vAlign w:val="top"/>
          </w:tcPr>
          <w:p w14:paraId="3000E642">
            <w:pPr>
              <w:pStyle w:val="7"/>
              <w:spacing w:line="253" w:lineRule="auto"/>
              <w:rPr>
                <w:color w:val="auto"/>
                <w:highlight w:val="none"/>
              </w:rPr>
            </w:pPr>
          </w:p>
          <w:p w14:paraId="7AD88FFE">
            <w:pPr>
              <w:pStyle w:val="7"/>
              <w:spacing w:line="254" w:lineRule="auto"/>
              <w:rPr>
                <w:color w:val="auto"/>
                <w:highlight w:val="none"/>
              </w:rPr>
            </w:pPr>
          </w:p>
          <w:p w14:paraId="027E0481">
            <w:pPr>
              <w:pStyle w:val="7"/>
              <w:spacing w:line="254" w:lineRule="auto"/>
              <w:rPr>
                <w:color w:val="auto"/>
                <w:highlight w:val="none"/>
              </w:rPr>
            </w:pPr>
          </w:p>
          <w:p w14:paraId="30DFE525">
            <w:pPr>
              <w:spacing w:before="59" w:line="219" w:lineRule="auto"/>
              <w:ind w:left="50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发电机非电量保护</w:t>
            </w:r>
          </w:p>
        </w:tc>
        <w:tc>
          <w:tcPr>
            <w:tcW w:w="867" w:type="dxa"/>
            <w:vMerge w:val="restart"/>
            <w:tcBorders>
              <w:bottom w:val="nil"/>
            </w:tcBorders>
            <w:vAlign w:val="top"/>
          </w:tcPr>
          <w:p w14:paraId="3700405A">
            <w:pPr>
              <w:pStyle w:val="7"/>
              <w:rPr>
                <w:color w:val="auto"/>
                <w:highlight w:val="none"/>
              </w:rPr>
            </w:pPr>
          </w:p>
        </w:tc>
        <w:tc>
          <w:tcPr>
            <w:tcW w:w="1484" w:type="dxa"/>
            <w:vAlign w:val="top"/>
          </w:tcPr>
          <w:p w14:paraId="19566C14">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21A737C0">
            <w:pPr>
              <w:pStyle w:val="7"/>
              <w:rPr>
                <w:color w:val="auto"/>
                <w:highlight w:val="none"/>
              </w:rPr>
            </w:pPr>
          </w:p>
        </w:tc>
        <w:tc>
          <w:tcPr>
            <w:tcW w:w="1493" w:type="dxa"/>
            <w:vAlign w:val="top"/>
          </w:tcPr>
          <w:p w14:paraId="1C3E75AF">
            <w:pPr>
              <w:pStyle w:val="7"/>
              <w:rPr>
                <w:color w:val="auto"/>
                <w:highlight w:val="none"/>
              </w:rPr>
            </w:pPr>
          </w:p>
        </w:tc>
      </w:tr>
      <w:tr w14:paraId="42A769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847F3C9">
            <w:pPr>
              <w:pStyle w:val="7"/>
              <w:rPr>
                <w:color w:val="auto"/>
                <w:highlight w:val="none"/>
              </w:rPr>
            </w:pPr>
          </w:p>
        </w:tc>
        <w:tc>
          <w:tcPr>
            <w:tcW w:w="2457" w:type="dxa"/>
            <w:vMerge w:val="continue"/>
            <w:tcBorders>
              <w:top w:val="nil"/>
              <w:bottom w:val="nil"/>
            </w:tcBorders>
            <w:vAlign w:val="top"/>
          </w:tcPr>
          <w:p w14:paraId="5199EBDC">
            <w:pPr>
              <w:pStyle w:val="7"/>
              <w:rPr>
                <w:color w:val="auto"/>
                <w:highlight w:val="none"/>
              </w:rPr>
            </w:pPr>
          </w:p>
        </w:tc>
        <w:tc>
          <w:tcPr>
            <w:tcW w:w="867" w:type="dxa"/>
            <w:vMerge w:val="continue"/>
            <w:tcBorders>
              <w:top w:val="nil"/>
              <w:bottom w:val="nil"/>
            </w:tcBorders>
            <w:vAlign w:val="top"/>
          </w:tcPr>
          <w:p w14:paraId="049F8679">
            <w:pPr>
              <w:pStyle w:val="7"/>
              <w:rPr>
                <w:color w:val="auto"/>
                <w:highlight w:val="none"/>
              </w:rPr>
            </w:pPr>
          </w:p>
        </w:tc>
        <w:tc>
          <w:tcPr>
            <w:tcW w:w="1484" w:type="dxa"/>
            <w:vAlign w:val="top"/>
          </w:tcPr>
          <w:p w14:paraId="72554D49">
            <w:pPr>
              <w:pStyle w:val="7"/>
              <w:rPr>
                <w:color w:val="auto"/>
                <w:highlight w:val="none"/>
              </w:rPr>
            </w:pPr>
          </w:p>
        </w:tc>
        <w:tc>
          <w:tcPr>
            <w:tcW w:w="1484" w:type="dxa"/>
            <w:vAlign w:val="top"/>
          </w:tcPr>
          <w:p w14:paraId="669CD3AC">
            <w:pPr>
              <w:pStyle w:val="7"/>
              <w:rPr>
                <w:color w:val="auto"/>
                <w:highlight w:val="none"/>
              </w:rPr>
            </w:pPr>
          </w:p>
        </w:tc>
        <w:tc>
          <w:tcPr>
            <w:tcW w:w="1493" w:type="dxa"/>
            <w:vAlign w:val="top"/>
          </w:tcPr>
          <w:p w14:paraId="2C4F24EA">
            <w:pPr>
              <w:pStyle w:val="7"/>
              <w:rPr>
                <w:color w:val="auto"/>
                <w:highlight w:val="none"/>
              </w:rPr>
            </w:pPr>
          </w:p>
        </w:tc>
      </w:tr>
      <w:tr w14:paraId="79C50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C6B36B6">
            <w:pPr>
              <w:pStyle w:val="7"/>
              <w:rPr>
                <w:color w:val="auto"/>
                <w:highlight w:val="none"/>
              </w:rPr>
            </w:pPr>
          </w:p>
        </w:tc>
        <w:tc>
          <w:tcPr>
            <w:tcW w:w="2457" w:type="dxa"/>
            <w:vMerge w:val="continue"/>
            <w:tcBorders>
              <w:top w:val="nil"/>
              <w:bottom w:val="nil"/>
            </w:tcBorders>
            <w:vAlign w:val="top"/>
          </w:tcPr>
          <w:p w14:paraId="73E60F7A">
            <w:pPr>
              <w:pStyle w:val="7"/>
              <w:rPr>
                <w:color w:val="auto"/>
                <w:highlight w:val="none"/>
              </w:rPr>
            </w:pPr>
          </w:p>
        </w:tc>
        <w:tc>
          <w:tcPr>
            <w:tcW w:w="867" w:type="dxa"/>
            <w:vMerge w:val="continue"/>
            <w:tcBorders>
              <w:top w:val="nil"/>
              <w:bottom w:val="nil"/>
            </w:tcBorders>
            <w:vAlign w:val="top"/>
          </w:tcPr>
          <w:p w14:paraId="6FFD8C5F">
            <w:pPr>
              <w:pStyle w:val="7"/>
              <w:rPr>
                <w:color w:val="auto"/>
                <w:highlight w:val="none"/>
              </w:rPr>
            </w:pPr>
          </w:p>
        </w:tc>
        <w:tc>
          <w:tcPr>
            <w:tcW w:w="1484" w:type="dxa"/>
            <w:vAlign w:val="top"/>
          </w:tcPr>
          <w:p w14:paraId="2CE18859">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268FF6A5">
            <w:pPr>
              <w:pStyle w:val="7"/>
              <w:rPr>
                <w:color w:val="auto"/>
                <w:highlight w:val="none"/>
              </w:rPr>
            </w:pPr>
          </w:p>
        </w:tc>
        <w:tc>
          <w:tcPr>
            <w:tcW w:w="1493" w:type="dxa"/>
            <w:vAlign w:val="top"/>
          </w:tcPr>
          <w:p w14:paraId="27039ED3">
            <w:pPr>
              <w:pStyle w:val="7"/>
              <w:rPr>
                <w:color w:val="auto"/>
                <w:highlight w:val="none"/>
              </w:rPr>
            </w:pPr>
          </w:p>
        </w:tc>
      </w:tr>
      <w:tr w14:paraId="2FFD7C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450DD70">
            <w:pPr>
              <w:pStyle w:val="7"/>
              <w:rPr>
                <w:color w:val="auto"/>
                <w:highlight w:val="none"/>
              </w:rPr>
            </w:pPr>
          </w:p>
        </w:tc>
        <w:tc>
          <w:tcPr>
            <w:tcW w:w="2457" w:type="dxa"/>
            <w:vMerge w:val="continue"/>
            <w:tcBorders>
              <w:top w:val="nil"/>
            </w:tcBorders>
            <w:vAlign w:val="top"/>
          </w:tcPr>
          <w:p w14:paraId="6BEA4357">
            <w:pPr>
              <w:pStyle w:val="7"/>
              <w:rPr>
                <w:color w:val="auto"/>
                <w:highlight w:val="none"/>
              </w:rPr>
            </w:pPr>
          </w:p>
        </w:tc>
        <w:tc>
          <w:tcPr>
            <w:tcW w:w="867" w:type="dxa"/>
            <w:vMerge w:val="continue"/>
            <w:tcBorders>
              <w:top w:val="nil"/>
            </w:tcBorders>
            <w:vAlign w:val="top"/>
          </w:tcPr>
          <w:p w14:paraId="425D3161">
            <w:pPr>
              <w:pStyle w:val="7"/>
              <w:rPr>
                <w:color w:val="auto"/>
                <w:highlight w:val="none"/>
              </w:rPr>
            </w:pPr>
          </w:p>
        </w:tc>
        <w:tc>
          <w:tcPr>
            <w:tcW w:w="1484" w:type="dxa"/>
            <w:vAlign w:val="top"/>
          </w:tcPr>
          <w:p w14:paraId="2F8F368C">
            <w:pPr>
              <w:pStyle w:val="7"/>
              <w:rPr>
                <w:color w:val="auto"/>
                <w:highlight w:val="none"/>
              </w:rPr>
            </w:pPr>
          </w:p>
        </w:tc>
        <w:tc>
          <w:tcPr>
            <w:tcW w:w="1484" w:type="dxa"/>
            <w:vAlign w:val="top"/>
          </w:tcPr>
          <w:p w14:paraId="7661B41E">
            <w:pPr>
              <w:pStyle w:val="7"/>
              <w:rPr>
                <w:color w:val="auto"/>
                <w:highlight w:val="none"/>
              </w:rPr>
            </w:pPr>
          </w:p>
        </w:tc>
        <w:tc>
          <w:tcPr>
            <w:tcW w:w="1493" w:type="dxa"/>
            <w:vAlign w:val="top"/>
          </w:tcPr>
          <w:p w14:paraId="1A0B3EF2">
            <w:pPr>
              <w:pStyle w:val="7"/>
              <w:rPr>
                <w:color w:val="auto"/>
                <w:highlight w:val="none"/>
              </w:rPr>
            </w:pPr>
          </w:p>
        </w:tc>
      </w:tr>
      <w:tr w14:paraId="2E6FE1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7C2C7F74">
            <w:pPr>
              <w:spacing w:before="180" w:line="183" w:lineRule="auto"/>
              <w:ind w:left="325"/>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7785" w:type="dxa"/>
            <w:gridSpan w:val="5"/>
            <w:vAlign w:val="top"/>
          </w:tcPr>
          <w:p w14:paraId="7B2A41A5">
            <w:pPr>
              <w:spacing w:before="151" w:line="219" w:lineRule="auto"/>
              <w:ind w:left="10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微机型励磁变保护装置</w:t>
            </w:r>
          </w:p>
        </w:tc>
      </w:tr>
      <w:tr w14:paraId="1F06E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5BC9915B">
            <w:pPr>
              <w:pStyle w:val="7"/>
              <w:spacing w:line="303" w:lineRule="auto"/>
              <w:rPr>
                <w:color w:val="auto"/>
                <w:highlight w:val="none"/>
              </w:rPr>
            </w:pPr>
          </w:p>
          <w:p w14:paraId="085F184C">
            <w:pPr>
              <w:pStyle w:val="7"/>
              <w:spacing w:line="303" w:lineRule="auto"/>
              <w:rPr>
                <w:color w:val="auto"/>
                <w:highlight w:val="none"/>
              </w:rPr>
            </w:pPr>
          </w:p>
          <w:p w14:paraId="23F5665D">
            <w:pPr>
              <w:spacing w:before="58" w:line="184" w:lineRule="auto"/>
              <w:ind w:left="234"/>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2_1</w:t>
            </w:r>
          </w:p>
        </w:tc>
        <w:tc>
          <w:tcPr>
            <w:tcW w:w="2457" w:type="dxa"/>
            <w:vMerge w:val="restart"/>
            <w:tcBorders>
              <w:bottom w:val="nil"/>
            </w:tcBorders>
            <w:vAlign w:val="top"/>
          </w:tcPr>
          <w:p w14:paraId="6BA0CA0E">
            <w:pPr>
              <w:pStyle w:val="7"/>
              <w:spacing w:line="260" w:lineRule="auto"/>
              <w:rPr>
                <w:color w:val="auto"/>
                <w:highlight w:val="none"/>
              </w:rPr>
            </w:pPr>
          </w:p>
          <w:p w14:paraId="6F7C07DA">
            <w:pPr>
              <w:pStyle w:val="7"/>
              <w:spacing w:line="261" w:lineRule="auto"/>
              <w:rPr>
                <w:color w:val="auto"/>
                <w:highlight w:val="none"/>
              </w:rPr>
            </w:pPr>
          </w:p>
          <w:p w14:paraId="26584CB9">
            <w:pPr>
              <w:spacing w:before="59" w:line="219" w:lineRule="auto"/>
              <w:ind w:left="59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励磁变差动保护</w:t>
            </w:r>
          </w:p>
        </w:tc>
        <w:tc>
          <w:tcPr>
            <w:tcW w:w="867" w:type="dxa"/>
            <w:vMerge w:val="restart"/>
            <w:tcBorders>
              <w:bottom w:val="nil"/>
            </w:tcBorders>
            <w:vAlign w:val="top"/>
          </w:tcPr>
          <w:p w14:paraId="2707A7E4">
            <w:pPr>
              <w:pStyle w:val="7"/>
              <w:rPr>
                <w:color w:val="auto"/>
                <w:highlight w:val="none"/>
              </w:rPr>
            </w:pPr>
          </w:p>
        </w:tc>
        <w:tc>
          <w:tcPr>
            <w:tcW w:w="1484" w:type="dxa"/>
            <w:vAlign w:val="top"/>
          </w:tcPr>
          <w:p w14:paraId="49956894">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525D1B9">
            <w:pPr>
              <w:pStyle w:val="7"/>
              <w:rPr>
                <w:color w:val="auto"/>
                <w:highlight w:val="none"/>
              </w:rPr>
            </w:pPr>
          </w:p>
        </w:tc>
        <w:tc>
          <w:tcPr>
            <w:tcW w:w="1493" w:type="dxa"/>
            <w:vAlign w:val="top"/>
          </w:tcPr>
          <w:p w14:paraId="26699A5B">
            <w:pPr>
              <w:pStyle w:val="7"/>
              <w:rPr>
                <w:color w:val="auto"/>
                <w:highlight w:val="none"/>
              </w:rPr>
            </w:pPr>
          </w:p>
        </w:tc>
      </w:tr>
      <w:tr w14:paraId="728F8A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725A925">
            <w:pPr>
              <w:pStyle w:val="7"/>
              <w:rPr>
                <w:color w:val="auto"/>
                <w:highlight w:val="none"/>
              </w:rPr>
            </w:pPr>
          </w:p>
        </w:tc>
        <w:tc>
          <w:tcPr>
            <w:tcW w:w="2457" w:type="dxa"/>
            <w:vMerge w:val="continue"/>
            <w:tcBorders>
              <w:top w:val="nil"/>
              <w:bottom w:val="nil"/>
            </w:tcBorders>
            <w:vAlign w:val="top"/>
          </w:tcPr>
          <w:p w14:paraId="1A665AF6">
            <w:pPr>
              <w:pStyle w:val="7"/>
              <w:rPr>
                <w:color w:val="auto"/>
                <w:highlight w:val="none"/>
              </w:rPr>
            </w:pPr>
          </w:p>
        </w:tc>
        <w:tc>
          <w:tcPr>
            <w:tcW w:w="867" w:type="dxa"/>
            <w:vMerge w:val="continue"/>
            <w:tcBorders>
              <w:top w:val="nil"/>
              <w:bottom w:val="nil"/>
            </w:tcBorders>
            <w:vAlign w:val="top"/>
          </w:tcPr>
          <w:p w14:paraId="15CDE34C">
            <w:pPr>
              <w:pStyle w:val="7"/>
              <w:rPr>
                <w:color w:val="auto"/>
                <w:highlight w:val="none"/>
              </w:rPr>
            </w:pPr>
          </w:p>
        </w:tc>
        <w:tc>
          <w:tcPr>
            <w:tcW w:w="1484" w:type="dxa"/>
            <w:vAlign w:val="top"/>
          </w:tcPr>
          <w:p w14:paraId="033B6EB5">
            <w:pPr>
              <w:pStyle w:val="7"/>
              <w:rPr>
                <w:color w:val="auto"/>
                <w:highlight w:val="none"/>
              </w:rPr>
            </w:pPr>
          </w:p>
        </w:tc>
        <w:tc>
          <w:tcPr>
            <w:tcW w:w="1484" w:type="dxa"/>
            <w:vAlign w:val="top"/>
          </w:tcPr>
          <w:p w14:paraId="26AD3460">
            <w:pPr>
              <w:pStyle w:val="7"/>
              <w:rPr>
                <w:color w:val="auto"/>
                <w:highlight w:val="none"/>
              </w:rPr>
            </w:pPr>
          </w:p>
        </w:tc>
        <w:tc>
          <w:tcPr>
            <w:tcW w:w="1493" w:type="dxa"/>
            <w:vAlign w:val="top"/>
          </w:tcPr>
          <w:p w14:paraId="6C2A12D3">
            <w:pPr>
              <w:pStyle w:val="7"/>
              <w:rPr>
                <w:color w:val="auto"/>
                <w:highlight w:val="none"/>
              </w:rPr>
            </w:pPr>
          </w:p>
        </w:tc>
      </w:tr>
      <w:tr w14:paraId="4921F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Merge w:val="continue"/>
            <w:tcBorders>
              <w:top w:val="nil"/>
            </w:tcBorders>
            <w:vAlign w:val="top"/>
          </w:tcPr>
          <w:p w14:paraId="4CC67F08">
            <w:pPr>
              <w:pStyle w:val="7"/>
              <w:rPr>
                <w:color w:val="auto"/>
                <w:highlight w:val="none"/>
              </w:rPr>
            </w:pPr>
          </w:p>
        </w:tc>
        <w:tc>
          <w:tcPr>
            <w:tcW w:w="2457" w:type="dxa"/>
            <w:vMerge w:val="continue"/>
            <w:tcBorders>
              <w:top w:val="nil"/>
            </w:tcBorders>
            <w:vAlign w:val="top"/>
          </w:tcPr>
          <w:p w14:paraId="2D138132">
            <w:pPr>
              <w:pStyle w:val="7"/>
              <w:rPr>
                <w:color w:val="auto"/>
                <w:highlight w:val="none"/>
              </w:rPr>
            </w:pPr>
          </w:p>
        </w:tc>
        <w:tc>
          <w:tcPr>
            <w:tcW w:w="867" w:type="dxa"/>
            <w:vMerge w:val="continue"/>
            <w:tcBorders>
              <w:top w:val="nil"/>
            </w:tcBorders>
            <w:vAlign w:val="top"/>
          </w:tcPr>
          <w:p w14:paraId="37F7ABDD">
            <w:pPr>
              <w:pStyle w:val="7"/>
              <w:rPr>
                <w:color w:val="auto"/>
                <w:highlight w:val="none"/>
              </w:rPr>
            </w:pPr>
          </w:p>
        </w:tc>
        <w:tc>
          <w:tcPr>
            <w:tcW w:w="1484" w:type="dxa"/>
            <w:vAlign w:val="top"/>
          </w:tcPr>
          <w:p w14:paraId="526D06A0">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3D620EC">
            <w:pPr>
              <w:pStyle w:val="7"/>
              <w:rPr>
                <w:color w:val="auto"/>
                <w:highlight w:val="none"/>
              </w:rPr>
            </w:pPr>
          </w:p>
        </w:tc>
        <w:tc>
          <w:tcPr>
            <w:tcW w:w="1493" w:type="dxa"/>
            <w:vAlign w:val="top"/>
          </w:tcPr>
          <w:p w14:paraId="3819E04A">
            <w:pPr>
              <w:pStyle w:val="7"/>
              <w:rPr>
                <w:color w:val="auto"/>
                <w:highlight w:val="none"/>
              </w:rPr>
            </w:pPr>
          </w:p>
        </w:tc>
      </w:tr>
    </w:tbl>
    <w:p w14:paraId="2BE19E93">
      <w:pPr>
        <w:pStyle w:val="3"/>
        <w:rPr>
          <w:color w:val="auto"/>
          <w:highlight w:val="none"/>
        </w:rPr>
      </w:pPr>
    </w:p>
    <w:p w14:paraId="7D45DEEA">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5DE0B7C8">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610190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5A8D9176">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128C05D6">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609DB7F8">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6427A831">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0128420A">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0CDB2C77">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5220EF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7043620A">
            <w:pPr>
              <w:pStyle w:val="7"/>
              <w:rPr>
                <w:color w:val="auto"/>
                <w:highlight w:val="none"/>
              </w:rPr>
            </w:pPr>
          </w:p>
        </w:tc>
        <w:tc>
          <w:tcPr>
            <w:tcW w:w="2457" w:type="dxa"/>
            <w:vAlign w:val="top"/>
          </w:tcPr>
          <w:p w14:paraId="40A1CF00">
            <w:pPr>
              <w:pStyle w:val="7"/>
              <w:rPr>
                <w:color w:val="auto"/>
                <w:highlight w:val="none"/>
              </w:rPr>
            </w:pPr>
          </w:p>
        </w:tc>
        <w:tc>
          <w:tcPr>
            <w:tcW w:w="867" w:type="dxa"/>
            <w:vAlign w:val="top"/>
          </w:tcPr>
          <w:p w14:paraId="38011887">
            <w:pPr>
              <w:pStyle w:val="7"/>
              <w:rPr>
                <w:color w:val="auto"/>
                <w:highlight w:val="none"/>
              </w:rPr>
            </w:pPr>
          </w:p>
        </w:tc>
        <w:tc>
          <w:tcPr>
            <w:tcW w:w="1484" w:type="dxa"/>
            <w:vAlign w:val="top"/>
          </w:tcPr>
          <w:p w14:paraId="5FFA7D34">
            <w:pPr>
              <w:pStyle w:val="7"/>
              <w:rPr>
                <w:color w:val="auto"/>
                <w:highlight w:val="none"/>
              </w:rPr>
            </w:pPr>
          </w:p>
        </w:tc>
        <w:tc>
          <w:tcPr>
            <w:tcW w:w="1484" w:type="dxa"/>
            <w:vAlign w:val="top"/>
          </w:tcPr>
          <w:p w14:paraId="67BDDD22">
            <w:pPr>
              <w:pStyle w:val="7"/>
              <w:rPr>
                <w:color w:val="auto"/>
                <w:highlight w:val="none"/>
              </w:rPr>
            </w:pPr>
          </w:p>
        </w:tc>
        <w:tc>
          <w:tcPr>
            <w:tcW w:w="1493" w:type="dxa"/>
            <w:vAlign w:val="top"/>
          </w:tcPr>
          <w:p w14:paraId="065BFD42">
            <w:pPr>
              <w:pStyle w:val="7"/>
              <w:rPr>
                <w:color w:val="auto"/>
                <w:highlight w:val="none"/>
              </w:rPr>
            </w:pPr>
          </w:p>
        </w:tc>
      </w:tr>
      <w:tr w14:paraId="5368C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863D3C6">
            <w:pPr>
              <w:pStyle w:val="7"/>
              <w:spacing w:line="279" w:lineRule="auto"/>
              <w:rPr>
                <w:color w:val="auto"/>
                <w:highlight w:val="none"/>
              </w:rPr>
            </w:pPr>
          </w:p>
          <w:p w14:paraId="75CFA5D0">
            <w:pPr>
              <w:pStyle w:val="7"/>
              <w:spacing w:line="279" w:lineRule="auto"/>
              <w:rPr>
                <w:color w:val="auto"/>
                <w:highlight w:val="none"/>
              </w:rPr>
            </w:pPr>
          </w:p>
          <w:p w14:paraId="11B4FAEC">
            <w:pPr>
              <w:pStyle w:val="7"/>
              <w:spacing w:line="279" w:lineRule="auto"/>
              <w:rPr>
                <w:color w:val="auto"/>
                <w:highlight w:val="none"/>
              </w:rPr>
            </w:pPr>
          </w:p>
          <w:p w14:paraId="60511C57">
            <w:pPr>
              <w:spacing w:before="59" w:line="183" w:lineRule="auto"/>
              <w:ind w:left="234"/>
              <w:rPr>
                <w:rFonts w:ascii="宋体" w:hAnsi="宋体" w:eastAsia="宋体" w:cs="宋体"/>
                <w:color w:val="auto"/>
                <w:sz w:val="18"/>
                <w:szCs w:val="18"/>
                <w:highlight w:val="none"/>
              </w:rPr>
            </w:pPr>
            <w:r>
              <w:rPr>
                <w:rFonts w:ascii="宋体" w:hAnsi="宋体" w:eastAsia="宋体" w:cs="宋体"/>
                <w:color w:val="auto"/>
                <w:sz w:val="18"/>
                <w:szCs w:val="18"/>
                <w:highlight w:val="none"/>
              </w:rPr>
              <w:t>2_2</w:t>
            </w:r>
          </w:p>
        </w:tc>
        <w:tc>
          <w:tcPr>
            <w:tcW w:w="2457" w:type="dxa"/>
            <w:vMerge w:val="restart"/>
            <w:tcBorders>
              <w:bottom w:val="nil"/>
            </w:tcBorders>
            <w:vAlign w:val="top"/>
          </w:tcPr>
          <w:p w14:paraId="5BB6C9F7">
            <w:pPr>
              <w:pStyle w:val="7"/>
              <w:spacing w:line="250" w:lineRule="auto"/>
              <w:rPr>
                <w:color w:val="auto"/>
                <w:highlight w:val="none"/>
              </w:rPr>
            </w:pPr>
          </w:p>
          <w:p w14:paraId="70BBE1B6">
            <w:pPr>
              <w:pStyle w:val="7"/>
              <w:spacing w:line="251" w:lineRule="auto"/>
              <w:rPr>
                <w:color w:val="auto"/>
                <w:highlight w:val="none"/>
              </w:rPr>
            </w:pPr>
          </w:p>
          <w:p w14:paraId="20D6F157">
            <w:pPr>
              <w:pStyle w:val="7"/>
              <w:spacing w:line="251" w:lineRule="auto"/>
              <w:rPr>
                <w:color w:val="auto"/>
                <w:highlight w:val="none"/>
              </w:rPr>
            </w:pPr>
          </w:p>
          <w:p w14:paraId="11781811">
            <w:pPr>
              <w:spacing w:before="59" w:line="219" w:lineRule="auto"/>
              <w:ind w:left="59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励磁变速断保护</w:t>
            </w:r>
          </w:p>
        </w:tc>
        <w:tc>
          <w:tcPr>
            <w:tcW w:w="867" w:type="dxa"/>
            <w:vMerge w:val="restart"/>
            <w:tcBorders>
              <w:bottom w:val="nil"/>
            </w:tcBorders>
            <w:vAlign w:val="top"/>
          </w:tcPr>
          <w:p w14:paraId="75976ACF">
            <w:pPr>
              <w:pStyle w:val="7"/>
              <w:rPr>
                <w:color w:val="auto"/>
                <w:highlight w:val="none"/>
              </w:rPr>
            </w:pPr>
          </w:p>
        </w:tc>
        <w:tc>
          <w:tcPr>
            <w:tcW w:w="1484" w:type="dxa"/>
            <w:vAlign w:val="top"/>
          </w:tcPr>
          <w:p w14:paraId="65F9A368">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3D54AC88">
            <w:pPr>
              <w:pStyle w:val="7"/>
              <w:rPr>
                <w:color w:val="auto"/>
                <w:highlight w:val="none"/>
              </w:rPr>
            </w:pPr>
          </w:p>
        </w:tc>
        <w:tc>
          <w:tcPr>
            <w:tcW w:w="1493" w:type="dxa"/>
            <w:vAlign w:val="top"/>
          </w:tcPr>
          <w:p w14:paraId="1CE38CFF">
            <w:pPr>
              <w:pStyle w:val="7"/>
              <w:rPr>
                <w:color w:val="auto"/>
                <w:highlight w:val="none"/>
              </w:rPr>
            </w:pPr>
          </w:p>
        </w:tc>
      </w:tr>
      <w:tr w14:paraId="78A61A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29CF7464">
            <w:pPr>
              <w:pStyle w:val="7"/>
              <w:rPr>
                <w:color w:val="auto"/>
                <w:highlight w:val="none"/>
              </w:rPr>
            </w:pPr>
          </w:p>
        </w:tc>
        <w:tc>
          <w:tcPr>
            <w:tcW w:w="2457" w:type="dxa"/>
            <w:vMerge w:val="continue"/>
            <w:tcBorders>
              <w:top w:val="nil"/>
              <w:bottom w:val="nil"/>
            </w:tcBorders>
            <w:vAlign w:val="top"/>
          </w:tcPr>
          <w:p w14:paraId="26F9EA74">
            <w:pPr>
              <w:pStyle w:val="7"/>
              <w:rPr>
                <w:color w:val="auto"/>
                <w:highlight w:val="none"/>
              </w:rPr>
            </w:pPr>
          </w:p>
        </w:tc>
        <w:tc>
          <w:tcPr>
            <w:tcW w:w="867" w:type="dxa"/>
            <w:vMerge w:val="continue"/>
            <w:tcBorders>
              <w:top w:val="nil"/>
              <w:bottom w:val="nil"/>
            </w:tcBorders>
            <w:vAlign w:val="top"/>
          </w:tcPr>
          <w:p w14:paraId="10A70F08">
            <w:pPr>
              <w:pStyle w:val="7"/>
              <w:rPr>
                <w:color w:val="auto"/>
                <w:highlight w:val="none"/>
              </w:rPr>
            </w:pPr>
          </w:p>
        </w:tc>
        <w:tc>
          <w:tcPr>
            <w:tcW w:w="1484" w:type="dxa"/>
            <w:vAlign w:val="top"/>
          </w:tcPr>
          <w:p w14:paraId="0F44FD92">
            <w:pPr>
              <w:pStyle w:val="7"/>
              <w:rPr>
                <w:color w:val="auto"/>
                <w:highlight w:val="none"/>
              </w:rPr>
            </w:pPr>
          </w:p>
        </w:tc>
        <w:tc>
          <w:tcPr>
            <w:tcW w:w="1484" w:type="dxa"/>
            <w:vAlign w:val="top"/>
          </w:tcPr>
          <w:p w14:paraId="47B57AAD">
            <w:pPr>
              <w:pStyle w:val="7"/>
              <w:rPr>
                <w:color w:val="auto"/>
                <w:highlight w:val="none"/>
              </w:rPr>
            </w:pPr>
          </w:p>
        </w:tc>
        <w:tc>
          <w:tcPr>
            <w:tcW w:w="1493" w:type="dxa"/>
            <w:vAlign w:val="top"/>
          </w:tcPr>
          <w:p w14:paraId="5EBD8BF3">
            <w:pPr>
              <w:pStyle w:val="7"/>
              <w:rPr>
                <w:color w:val="auto"/>
                <w:highlight w:val="none"/>
              </w:rPr>
            </w:pPr>
          </w:p>
        </w:tc>
      </w:tr>
      <w:tr w14:paraId="14EC0C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6CC4EC84">
            <w:pPr>
              <w:pStyle w:val="7"/>
              <w:rPr>
                <w:color w:val="auto"/>
                <w:highlight w:val="none"/>
              </w:rPr>
            </w:pPr>
          </w:p>
        </w:tc>
        <w:tc>
          <w:tcPr>
            <w:tcW w:w="2457" w:type="dxa"/>
            <w:vMerge w:val="continue"/>
            <w:tcBorders>
              <w:top w:val="nil"/>
              <w:bottom w:val="nil"/>
            </w:tcBorders>
            <w:vAlign w:val="top"/>
          </w:tcPr>
          <w:p w14:paraId="180639FB">
            <w:pPr>
              <w:pStyle w:val="7"/>
              <w:rPr>
                <w:color w:val="auto"/>
                <w:highlight w:val="none"/>
              </w:rPr>
            </w:pPr>
          </w:p>
        </w:tc>
        <w:tc>
          <w:tcPr>
            <w:tcW w:w="867" w:type="dxa"/>
            <w:vMerge w:val="continue"/>
            <w:tcBorders>
              <w:top w:val="nil"/>
              <w:bottom w:val="nil"/>
            </w:tcBorders>
            <w:vAlign w:val="top"/>
          </w:tcPr>
          <w:p w14:paraId="226E5F65">
            <w:pPr>
              <w:pStyle w:val="7"/>
              <w:rPr>
                <w:color w:val="auto"/>
                <w:highlight w:val="none"/>
              </w:rPr>
            </w:pPr>
          </w:p>
        </w:tc>
        <w:tc>
          <w:tcPr>
            <w:tcW w:w="1484" w:type="dxa"/>
            <w:vAlign w:val="top"/>
          </w:tcPr>
          <w:p w14:paraId="2A118C48">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5131B384">
            <w:pPr>
              <w:pStyle w:val="7"/>
              <w:rPr>
                <w:color w:val="auto"/>
                <w:highlight w:val="none"/>
              </w:rPr>
            </w:pPr>
          </w:p>
        </w:tc>
        <w:tc>
          <w:tcPr>
            <w:tcW w:w="1493" w:type="dxa"/>
            <w:vAlign w:val="top"/>
          </w:tcPr>
          <w:p w14:paraId="2DB61B85">
            <w:pPr>
              <w:pStyle w:val="7"/>
              <w:rPr>
                <w:color w:val="auto"/>
                <w:highlight w:val="none"/>
              </w:rPr>
            </w:pPr>
          </w:p>
        </w:tc>
      </w:tr>
      <w:tr w14:paraId="2B6A8A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76606F7">
            <w:pPr>
              <w:pStyle w:val="7"/>
              <w:rPr>
                <w:color w:val="auto"/>
                <w:highlight w:val="none"/>
              </w:rPr>
            </w:pPr>
          </w:p>
        </w:tc>
        <w:tc>
          <w:tcPr>
            <w:tcW w:w="2457" w:type="dxa"/>
            <w:vMerge w:val="continue"/>
            <w:tcBorders>
              <w:top w:val="nil"/>
            </w:tcBorders>
            <w:vAlign w:val="top"/>
          </w:tcPr>
          <w:p w14:paraId="60DCA8D7">
            <w:pPr>
              <w:pStyle w:val="7"/>
              <w:rPr>
                <w:color w:val="auto"/>
                <w:highlight w:val="none"/>
              </w:rPr>
            </w:pPr>
          </w:p>
        </w:tc>
        <w:tc>
          <w:tcPr>
            <w:tcW w:w="867" w:type="dxa"/>
            <w:vMerge w:val="continue"/>
            <w:tcBorders>
              <w:top w:val="nil"/>
            </w:tcBorders>
            <w:vAlign w:val="top"/>
          </w:tcPr>
          <w:p w14:paraId="5A7E4877">
            <w:pPr>
              <w:pStyle w:val="7"/>
              <w:rPr>
                <w:color w:val="auto"/>
                <w:highlight w:val="none"/>
              </w:rPr>
            </w:pPr>
          </w:p>
        </w:tc>
        <w:tc>
          <w:tcPr>
            <w:tcW w:w="1484" w:type="dxa"/>
            <w:vAlign w:val="top"/>
          </w:tcPr>
          <w:p w14:paraId="01A565BF">
            <w:pPr>
              <w:pStyle w:val="7"/>
              <w:rPr>
                <w:color w:val="auto"/>
                <w:highlight w:val="none"/>
              </w:rPr>
            </w:pPr>
          </w:p>
        </w:tc>
        <w:tc>
          <w:tcPr>
            <w:tcW w:w="1484" w:type="dxa"/>
            <w:vAlign w:val="top"/>
          </w:tcPr>
          <w:p w14:paraId="08F0CB31">
            <w:pPr>
              <w:pStyle w:val="7"/>
              <w:rPr>
                <w:color w:val="auto"/>
                <w:highlight w:val="none"/>
              </w:rPr>
            </w:pPr>
          </w:p>
        </w:tc>
        <w:tc>
          <w:tcPr>
            <w:tcW w:w="1493" w:type="dxa"/>
            <w:vAlign w:val="top"/>
          </w:tcPr>
          <w:p w14:paraId="364BD696">
            <w:pPr>
              <w:pStyle w:val="7"/>
              <w:rPr>
                <w:color w:val="auto"/>
                <w:highlight w:val="none"/>
              </w:rPr>
            </w:pPr>
          </w:p>
        </w:tc>
      </w:tr>
      <w:tr w14:paraId="1BB2E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6D4E234A">
            <w:pPr>
              <w:pStyle w:val="7"/>
              <w:spacing w:line="279" w:lineRule="auto"/>
              <w:rPr>
                <w:color w:val="auto"/>
                <w:highlight w:val="none"/>
              </w:rPr>
            </w:pPr>
          </w:p>
          <w:p w14:paraId="63CB647B">
            <w:pPr>
              <w:pStyle w:val="7"/>
              <w:spacing w:line="279" w:lineRule="auto"/>
              <w:rPr>
                <w:color w:val="auto"/>
                <w:highlight w:val="none"/>
              </w:rPr>
            </w:pPr>
          </w:p>
          <w:p w14:paraId="63281E77">
            <w:pPr>
              <w:pStyle w:val="7"/>
              <w:spacing w:line="280" w:lineRule="auto"/>
              <w:rPr>
                <w:color w:val="auto"/>
                <w:highlight w:val="none"/>
              </w:rPr>
            </w:pPr>
          </w:p>
          <w:p w14:paraId="49DCB483">
            <w:pPr>
              <w:spacing w:before="59" w:line="183" w:lineRule="auto"/>
              <w:ind w:left="234"/>
              <w:rPr>
                <w:rFonts w:ascii="宋体" w:hAnsi="宋体" w:eastAsia="宋体" w:cs="宋体"/>
                <w:color w:val="auto"/>
                <w:sz w:val="18"/>
                <w:szCs w:val="18"/>
                <w:highlight w:val="none"/>
              </w:rPr>
            </w:pPr>
            <w:r>
              <w:rPr>
                <w:rFonts w:ascii="宋体" w:hAnsi="宋体" w:eastAsia="宋体" w:cs="宋体"/>
                <w:color w:val="auto"/>
                <w:sz w:val="18"/>
                <w:szCs w:val="18"/>
                <w:highlight w:val="none"/>
              </w:rPr>
              <w:t>2_3</w:t>
            </w:r>
          </w:p>
        </w:tc>
        <w:tc>
          <w:tcPr>
            <w:tcW w:w="2457" w:type="dxa"/>
            <w:vMerge w:val="restart"/>
            <w:tcBorders>
              <w:bottom w:val="nil"/>
            </w:tcBorders>
            <w:vAlign w:val="top"/>
          </w:tcPr>
          <w:p w14:paraId="22EC53B2">
            <w:pPr>
              <w:pStyle w:val="7"/>
              <w:spacing w:line="251" w:lineRule="auto"/>
              <w:rPr>
                <w:color w:val="auto"/>
                <w:highlight w:val="none"/>
              </w:rPr>
            </w:pPr>
          </w:p>
          <w:p w14:paraId="06778828">
            <w:pPr>
              <w:pStyle w:val="7"/>
              <w:spacing w:line="251" w:lineRule="auto"/>
              <w:rPr>
                <w:color w:val="auto"/>
                <w:highlight w:val="none"/>
              </w:rPr>
            </w:pPr>
          </w:p>
          <w:p w14:paraId="04A3B3BC">
            <w:pPr>
              <w:pStyle w:val="7"/>
              <w:spacing w:line="251" w:lineRule="auto"/>
              <w:rPr>
                <w:color w:val="auto"/>
                <w:highlight w:val="none"/>
              </w:rPr>
            </w:pPr>
          </w:p>
          <w:p w14:paraId="0B0DA084">
            <w:pPr>
              <w:spacing w:before="59" w:line="219" w:lineRule="auto"/>
              <w:ind w:left="59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励磁变过流保护</w:t>
            </w:r>
          </w:p>
        </w:tc>
        <w:tc>
          <w:tcPr>
            <w:tcW w:w="867" w:type="dxa"/>
            <w:vMerge w:val="restart"/>
            <w:tcBorders>
              <w:bottom w:val="nil"/>
            </w:tcBorders>
            <w:vAlign w:val="top"/>
          </w:tcPr>
          <w:p w14:paraId="281AF064">
            <w:pPr>
              <w:pStyle w:val="7"/>
              <w:rPr>
                <w:color w:val="auto"/>
                <w:highlight w:val="none"/>
              </w:rPr>
            </w:pPr>
          </w:p>
        </w:tc>
        <w:tc>
          <w:tcPr>
            <w:tcW w:w="1484" w:type="dxa"/>
            <w:vAlign w:val="top"/>
          </w:tcPr>
          <w:p w14:paraId="1A9D2664">
            <w:pPr>
              <w:spacing w:before="14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2BA692A">
            <w:pPr>
              <w:pStyle w:val="7"/>
              <w:rPr>
                <w:color w:val="auto"/>
                <w:highlight w:val="none"/>
              </w:rPr>
            </w:pPr>
          </w:p>
        </w:tc>
        <w:tc>
          <w:tcPr>
            <w:tcW w:w="1493" w:type="dxa"/>
            <w:vAlign w:val="top"/>
          </w:tcPr>
          <w:p w14:paraId="47A98302">
            <w:pPr>
              <w:pStyle w:val="7"/>
              <w:rPr>
                <w:color w:val="auto"/>
                <w:highlight w:val="none"/>
              </w:rPr>
            </w:pPr>
          </w:p>
        </w:tc>
      </w:tr>
      <w:tr w14:paraId="2967E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4B3D8F3C">
            <w:pPr>
              <w:pStyle w:val="7"/>
              <w:rPr>
                <w:color w:val="auto"/>
                <w:highlight w:val="none"/>
              </w:rPr>
            </w:pPr>
          </w:p>
        </w:tc>
        <w:tc>
          <w:tcPr>
            <w:tcW w:w="2457" w:type="dxa"/>
            <w:vMerge w:val="continue"/>
            <w:tcBorders>
              <w:top w:val="nil"/>
              <w:bottom w:val="nil"/>
            </w:tcBorders>
            <w:vAlign w:val="top"/>
          </w:tcPr>
          <w:p w14:paraId="3743511E">
            <w:pPr>
              <w:pStyle w:val="7"/>
              <w:rPr>
                <w:color w:val="auto"/>
                <w:highlight w:val="none"/>
              </w:rPr>
            </w:pPr>
          </w:p>
        </w:tc>
        <w:tc>
          <w:tcPr>
            <w:tcW w:w="867" w:type="dxa"/>
            <w:vMerge w:val="continue"/>
            <w:tcBorders>
              <w:top w:val="nil"/>
              <w:bottom w:val="nil"/>
            </w:tcBorders>
            <w:vAlign w:val="top"/>
          </w:tcPr>
          <w:p w14:paraId="1FC5648F">
            <w:pPr>
              <w:pStyle w:val="7"/>
              <w:rPr>
                <w:color w:val="auto"/>
                <w:highlight w:val="none"/>
              </w:rPr>
            </w:pPr>
          </w:p>
        </w:tc>
        <w:tc>
          <w:tcPr>
            <w:tcW w:w="1484" w:type="dxa"/>
            <w:vAlign w:val="top"/>
          </w:tcPr>
          <w:p w14:paraId="4B346052">
            <w:pPr>
              <w:pStyle w:val="7"/>
              <w:rPr>
                <w:color w:val="auto"/>
                <w:highlight w:val="none"/>
              </w:rPr>
            </w:pPr>
          </w:p>
        </w:tc>
        <w:tc>
          <w:tcPr>
            <w:tcW w:w="1484" w:type="dxa"/>
            <w:vAlign w:val="top"/>
          </w:tcPr>
          <w:p w14:paraId="0A4DCB98">
            <w:pPr>
              <w:pStyle w:val="7"/>
              <w:rPr>
                <w:color w:val="auto"/>
                <w:highlight w:val="none"/>
              </w:rPr>
            </w:pPr>
          </w:p>
        </w:tc>
        <w:tc>
          <w:tcPr>
            <w:tcW w:w="1493" w:type="dxa"/>
            <w:vAlign w:val="top"/>
          </w:tcPr>
          <w:p w14:paraId="5D164D53">
            <w:pPr>
              <w:pStyle w:val="7"/>
              <w:rPr>
                <w:color w:val="auto"/>
                <w:highlight w:val="none"/>
              </w:rPr>
            </w:pPr>
          </w:p>
        </w:tc>
      </w:tr>
      <w:tr w14:paraId="0050B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29BA446C">
            <w:pPr>
              <w:pStyle w:val="7"/>
              <w:rPr>
                <w:color w:val="auto"/>
                <w:highlight w:val="none"/>
              </w:rPr>
            </w:pPr>
          </w:p>
        </w:tc>
        <w:tc>
          <w:tcPr>
            <w:tcW w:w="2457" w:type="dxa"/>
            <w:vMerge w:val="continue"/>
            <w:tcBorders>
              <w:top w:val="nil"/>
              <w:bottom w:val="nil"/>
            </w:tcBorders>
            <w:vAlign w:val="top"/>
          </w:tcPr>
          <w:p w14:paraId="6BA356BE">
            <w:pPr>
              <w:pStyle w:val="7"/>
              <w:rPr>
                <w:color w:val="auto"/>
                <w:highlight w:val="none"/>
              </w:rPr>
            </w:pPr>
          </w:p>
        </w:tc>
        <w:tc>
          <w:tcPr>
            <w:tcW w:w="867" w:type="dxa"/>
            <w:vMerge w:val="continue"/>
            <w:tcBorders>
              <w:top w:val="nil"/>
              <w:bottom w:val="nil"/>
            </w:tcBorders>
            <w:vAlign w:val="top"/>
          </w:tcPr>
          <w:p w14:paraId="3672132B">
            <w:pPr>
              <w:pStyle w:val="7"/>
              <w:rPr>
                <w:color w:val="auto"/>
                <w:highlight w:val="none"/>
              </w:rPr>
            </w:pPr>
          </w:p>
        </w:tc>
        <w:tc>
          <w:tcPr>
            <w:tcW w:w="1484" w:type="dxa"/>
            <w:vAlign w:val="top"/>
          </w:tcPr>
          <w:p w14:paraId="543B722E">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2E3BD6AA">
            <w:pPr>
              <w:pStyle w:val="7"/>
              <w:rPr>
                <w:color w:val="auto"/>
                <w:highlight w:val="none"/>
              </w:rPr>
            </w:pPr>
          </w:p>
        </w:tc>
        <w:tc>
          <w:tcPr>
            <w:tcW w:w="1493" w:type="dxa"/>
            <w:vAlign w:val="top"/>
          </w:tcPr>
          <w:p w14:paraId="1EAE101C">
            <w:pPr>
              <w:pStyle w:val="7"/>
              <w:rPr>
                <w:color w:val="auto"/>
                <w:highlight w:val="none"/>
              </w:rPr>
            </w:pPr>
          </w:p>
        </w:tc>
      </w:tr>
      <w:tr w14:paraId="064222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2D1DF64E">
            <w:pPr>
              <w:pStyle w:val="7"/>
              <w:rPr>
                <w:color w:val="auto"/>
                <w:highlight w:val="none"/>
              </w:rPr>
            </w:pPr>
          </w:p>
        </w:tc>
        <w:tc>
          <w:tcPr>
            <w:tcW w:w="2457" w:type="dxa"/>
            <w:vMerge w:val="continue"/>
            <w:tcBorders>
              <w:top w:val="nil"/>
            </w:tcBorders>
            <w:vAlign w:val="top"/>
          </w:tcPr>
          <w:p w14:paraId="08B61B81">
            <w:pPr>
              <w:pStyle w:val="7"/>
              <w:rPr>
                <w:color w:val="auto"/>
                <w:highlight w:val="none"/>
              </w:rPr>
            </w:pPr>
          </w:p>
        </w:tc>
        <w:tc>
          <w:tcPr>
            <w:tcW w:w="867" w:type="dxa"/>
            <w:vMerge w:val="continue"/>
            <w:tcBorders>
              <w:top w:val="nil"/>
            </w:tcBorders>
            <w:vAlign w:val="top"/>
          </w:tcPr>
          <w:p w14:paraId="36100AF3">
            <w:pPr>
              <w:pStyle w:val="7"/>
              <w:rPr>
                <w:color w:val="auto"/>
                <w:highlight w:val="none"/>
              </w:rPr>
            </w:pPr>
          </w:p>
        </w:tc>
        <w:tc>
          <w:tcPr>
            <w:tcW w:w="1484" w:type="dxa"/>
            <w:vAlign w:val="top"/>
          </w:tcPr>
          <w:p w14:paraId="13FD4E78">
            <w:pPr>
              <w:pStyle w:val="7"/>
              <w:rPr>
                <w:color w:val="auto"/>
                <w:highlight w:val="none"/>
              </w:rPr>
            </w:pPr>
          </w:p>
        </w:tc>
        <w:tc>
          <w:tcPr>
            <w:tcW w:w="1484" w:type="dxa"/>
            <w:vAlign w:val="top"/>
          </w:tcPr>
          <w:p w14:paraId="7955EE89">
            <w:pPr>
              <w:pStyle w:val="7"/>
              <w:rPr>
                <w:color w:val="auto"/>
                <w:highlight w:val="none"/>
              </w:rPr>
            </w:pPr>
          </w:p>
        </w:tc>
        <w:tc>
          <w:tcPr>
            <w:tcW w:w="1493" w:type="dxa"/>
            <w:vAlign w:val="top"/>
          </w:tcPr>
          <w:p w14:paraId="2820E47E">
            <w:pPr>
              <w:pStyle w:val="7"/>
              <w:rPr>
                <w:color w:val="auto"/>
                <w:highlight w:val="none"/>
              </w:rPr>
            </w:pPr>
          </w:p>
        </w:tc>
      </w:tr>
      <w:tr w14:paraId="0036CD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37760F42">
            <w:pPr>
              <w:pStyle w:val="7"/>
              <w:spacing w:line="280" w:lineRule="auto"/>
              <w:rPr>
                <w:color w:val="auto"/>
                <w:highlight w:val="none"/>
              </w:rPr>
            </w:pPr>
          </w:p>
          <w:p w14:paraId="2ABF6BEF">
            <w:pPr>
              <w:pStyle w:val="7"/>
              <w:spacing w:line="281" w:lineRule="auto"/>
              <w:rPr>
                <w:color w:val="auto"/>
                <w:highlight w:val="none"/>
              </w:rPr>
            </w:pPr>
          </w:p>
          <w:p w14:paraId="3F2FFE1A">
            <w:pPr>
              <w:pStyle w:val="7"/>
              <w:spacing w:line="281" w:lineRule="auto"/>
              <w:rPr>
                <w:color w:val="auto"/>
                <w:highlight w:val="none"/>
              </w:rPr>
            </w:pPr>
          </w:p>
          <w:p w14:paraId="6F0C0206">
            <w:pPr>
              <w:spacing w:before="58" w:line="183" w:lineRule="auto"/>
              <w:ind w:left="23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2_4</w:t>
            </w:r>
          </w:p>
        </w:tc>
        <w:tc>
          <w:tcPr>
            <w:tcW w:w="2457" w:type="dxa"/>
            <w:vMerge w:val="restart"/>
            <w:tcBorders>
              <w:bottom w:val="nil"/>
            </w:tcBorders>
            <w:vAlign w:val="top"/>
          </w:tcPr>
          <w:p w14:paraId="64C16CD9">
            <w:pPr>
              <w:pStyle w:val="7"/>
              <w:spacing w:line="251" w:lineRule="auto"/>
              <w:rPr>
                <w:color w:val="auto"/>
                <w:highlight w:val="none"/>
              </w:rPr>
            </w:pPr>
          </w:p>
          <w:p w14:paraId="3DCDDFFF">
            <w:pPr>
              <w:pStyle w:val="7"/>
              <w:spacing w:line="251" w:lineRule="auto"/>
              <w:rPr>
                <w:color w:val="auto"/>
                <w:highlight w:val="none"/>
              </w:rPr>
            </w:pPr>
          </w:p>
          <w:p w14:paraId="3FBCC6D5">
            <w:pPr>
              <w:pStyle w:val="7"/>
              <w:spacing w:line="252" w:lineRule="auto"/>
              <w:rPr>
                <w:color w:val="auto"/>
                <w:highlight w:val="none"/>
              </w:rPr>
            </w:pPr>
          </w:p>
          <w:p w14:paraId="49FA2530">
            <w:pPr>
              <w:spacing w:before="59" w:line="219" w:lineRule="auto"/>
              <w:ind w:left="41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励磁系统过负荷保护</w:t>
            </w:r>
          </w:p>
        </w:tc>
        <w:tc>
          <w:tcPr>
            <w:tcW w:w="867" w:type="dxa"/>
            <w:vMerge w:val="restart"/>
            <w:tcBorders>
              <w:bottom w:val="nil"/>
            </w:tcBorders>
            <w:vAlign w:val="top"/>
          </w:tcPr>
          <w:p w14:paraId="5A2DF6E4">
            <w:pPr>
              <w:pStyle w:val="7"/>
              <w:rPr>
                <w:color w:val="auto"/>
                <w:highlight w:val="none"/>
              </w:rPr>
            </w:pPr>
          </w:p>
        </w:tc>
        <w:tc>
          <w:tcPr>
            <w:tcW w:w="1484" w:type="dxa"/>
            <w:vAlign w:val="top"/>
          </w:tcPr>
          <w:p w14:paraId="199DF076">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2FB7A8A">
            <w:pPr>
              <w:pStyle w:val="7"/>
              <w:rPr>
                <w:color w:val="auto"/>
                <w:highlight w:val="none"/>
              </w:rPr>
            </w:pPr>
          </w:p>
        </w:tc>
        <w:tc>
          <w:tcPr>
            <w:tcW w:w="1493" w:type="dxa"/>
            <w:vAlign w:val="top"/>
          </w:tcPr>
          <w:p w14:paraId="7CCE0859">
            <w:pPr>
              <w:pStyle w:val="7"/>
              <w:rPr>
                <w:color w:val="auto"/>
                <w:highlight w:val="none"/>
              </w:rPr>
            </w:pPr>
          </w:p>
        </w:tc>
      </w:tr>
      <w:tr w14:paraId="61EF3D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405F75B7">
            <w:pPr>
              <w:pStyle w:val="7"/>
              <w:rPr>
                <w:color w:val="auto"/>
                <w:highlight w:val="none"/>
              </w:rPr>
            </w:pPr>
          </w:p>
        </w:tc>
        <w:tc>
          <w:tcPr>
            <w:tcW w:w="2457" w:type="dxa"/>
            <w:vMerge w:val="continue"/>
            <w:tcBorders>
              <w:top w:val="nil"/>
              <w:bottom w:val="nil"/>
            </w:tcBorders>
            <w:vAlign w:val="top"/>
          </w:tcPr>
          <w:p w14:paraId="3A576977">
            <w:pPr>
              <w:pStyle w:val="7"/>
              <w:rPr>
                <w:color w:val="auto"/>
                <w:highlight w:val="none"/>
              </w:rPr>
            </w:pPr>
          </w:p>
        </w:tc>
        <w:tc>
          <w:tcPr>
            <w:tcW w:w="867" w:type="dxa"/>
            <w:vMerge w:val="continue"/>
            <w:tcBorders>
              <w:top w:val="nil"/>
              <w:bottom w:val="nil"/>
            </w:tcBorders>
            <w:vAlign w:val="top"/>
          </w:tcPr>
          <w:p w14:paraId="6E664237">
            <w:pPr>
              <w:pStyle w:val="7"/>
              <w:rPr>
                <w:color w:val="auto"/>
                <w:highlight w:val="none"/>
              </w:rPr>
            </w:pPr>
          </w:p>
        </w:tc>
        <w:tc>
          <w:tcPr>
            <w:tcW w:w="1484" w:type="dxa"/>
            <w:vAlign w:val="top"/>
          </w:tcPr>
          <w:p w14:paraId="65DF3AA5">
            <w:pPr>
              <w:pStyle w:val="7"/>
              <w:rPr>
                <w:color w:val="auto"/>
                <w:highlight w:val="none"/>
              </w:rPr>
            </w:pPr>
          </w:p>
        </w:tc>
        <w:tc>
          <w:tcPr>
            <w:tcW w:w="1484" w:type="dxa"/>
            <w:vAlign w:val="top"/>
          </w:tcPr>
          <w:p w14:paraId="0FF237B7">
            <w:pPr>
              <w:pStyle w:val="7"/>
              <w:rPr>
                <w:color w:val="auto"/>
                <w:highlight w:val="none"/>
              </w:rPr>
            </w:pPr>
          </w:p>
        </w:tc>
        <w:tc>
          <w:tcPr>
            <w:tcW w:w="1493" w:type="dxa"/>
            <w:vAlign w:val="top"/>
          </w:tcPr>
          <w:p w14:paraId="55A736B6">
            <w:pPr>
              <w:pStyle w:val="7"/>
              <w:rPr>
                <w:color w:val="auto"/>
                <w:highlight w:val="none"/>
              </w:rPr>
            </w:pPr>
          </w:p>
        </w:tc>
      </w:tr>
      <w:tr w14:paraId="15B873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A05F536">
            <w:pPr>
              <w:pStyle w:val="7"/>
              <w:rPr>
                <w:color w:val="auto"/>
                <w:highlight w:val="none"/>
              </w:rPr>
            </w:pPr>
          </w:p>
        </w:tc>
        <w:tc>
          <w:tcPr>
            <w:tcW w:w="2457" w:type="dxa"/>
            <w:vMerge w:val="continue"/>
            <w:tcBorders>
              <w:top w:val="nil"/>
              <w:bottom w:val="nil"/>
            </w:tcBorders>
            <w:vAlign w:val="top"/>
          </w:tcPr>
          <w:p w14:paraId="502663A4">
            <w:pPr>
              <w:pStyle w:val="7"/>
              <w:rPr>
                <w:color w:val="auto"/>
                <w:highlight w:val="none"/>
              </w:rPr>
            </w:pPr>
          </w:p>
        </w:tc>
        <w:tc>
          <w:tcPr>
            <w:tcW w:w="867" w:type="dxa"/>
            <w:vMerge w:val="continue"/>
            <w:tcBorders>
              <w:top w:val="nil"/>
              <w:bottom w:val="nil"/>
            </w:tcBorders>
            <w:vAlign w:val="top"/>
          </w:tcPr>
          <w:p w14:paraId="132BCFB3">
            <w:pPr>
              <w:pStyle w:val="7"/>
              <w:rPr>
                <w:color w:val="auto"/>
                <w:highlight w:val="none"/>
              </w:rPr>
            </w:pPr>
          </w:p>
        </w:tc>
        <w:tc>
          <w:tcPr>
            <w:tcW w:w="1484" w:type="dxa"/>
            <w:vAlign w:val="top"/>
          </w:tcPr>
          <w:p w14:paraId="14B5B894">
            <w:pPr>
              <w:spacing w:before="145"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29A27699">
            <w:pPr>
              <w:pStyle w:val="7"/>
              <w:rPr>
                <w:color w:val="auto"/>
                <w:highlight w:val="none"/>
              </w:rPr>
            </w:pPr>
          </w:p>
        </w:tc>
        <w:tc>
          <w:tcPr>
            <w:tcW w:w="1493" w:type="dxa"/>
            <w:vAlign w:val="top"/>
          </w:tcPr>
          <w:p w14:paraId="2E53E33C">
            <w:pPr>
              <w:pStyle w:val="7"/>
              <w:rPr>
                <w:color w:val="auto"/>
                <w:highlight w:val="none"/>
              </w:rPr>
            </w:pPr>
          </w:p>
        </w:tc>
      </w:tr>
      <w:tr w14:paraId="735E6E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1DA867F9">
            <w:pPr>
              <w:pStyle w:val="7"/>
              <w:rPr>
                <w:color w:val="auto"/>
                <w:highlight w:val="none"/>
              </w:rPr>
            </w:pPr>
          </w:p>
        </w:tc>
        <w:tc>
          <w:tcPr>
            <w:tcW w:w="2457" w:type="dxa"/>
            <w:vMerge w:val="continue"/>
            <w:tcBorders>
              <w:top w:val="nil"/>
            </w:tcBorders>
            <w:vAlign w:val="top"/>
          </w:tcPr>
          <w:p w14:paraId="201C090B">
            <w:pPr>
              <w:pStyle w:val="7"/>
              <w:rPr>
                <w:color w:val="auto"/>
                <w:highlight w:val="none"/>
              </w:rPr>
            </w:pPr>
          </w:p>
        </w:tc>
        <w:tc>
          <w:tcPr>
            <w:tcW w:w="867" w:type="dxa"/>
            <w:vMerge w:val="continue"/>
            <w:tcBorders>
              <w:top w:val="nil"/>
            </w:tcBorders>
            <w:vAlign w:val="top"/>
          </w:tcPr>
          <w:p w14:paraId="2707F911">
            <w:pPr>
              <w:pStyle w:val="7"/>
              <w:rPr>
                <w:color w:val="auto"/>
                <w:highlight w:val="none"/>
              </w:rPr>
            </w:pPr>
          </w:p>
        </w:tc>
        <w:tc>
          <w:tcPr>
            <w:tcW w:w="1484" w:type="dxa"/>
            <w:vAlign w:val="top"/>
          </w:tcPr>
          <w:p w14:paraId="18E0C192">
            <w:pPr>
              <w:pStyle w:val="7"/>
              <w:rPr>
                <w:color w:val="auto"/>
                <w:highlight w:val="none"/>
              </w:rPr>
            </w:pPr>
          </w:p>
        </w:tc>
        <w:tc>
          <w:tcPr>
            <w:tcW w:w="1484" w:type="dxa"/>
            <w:vAlign w:val="top"/>
          </w:tcPr>
          <w:p w14:paraId="3CDF9F76">
            <w:pPr>
              <w:pStyle w:val="7"/>
              <w:rPr>
                <w:color w:val="auto"/>
                <w:highlight w:val="none"/>
              </w:rPr>
            </w:pPr>
          </w:p>
        </w:tc>
        <w:tc>
          <w:tcPr>
            <w:tcW w:w="1493" w:type="dxa"/>
            <w:vAlign w:val="top"/>
          </w:tcPr>
          <w:p w14:paraId="4279AFCA">
            <w:pPr>
              <w:pStyle w:val="7"/>
              <w:rPr>
                <w:color w:val="auto"/>
                <w:highlight w:val="none"/>
              </w:rPr>
            </w:pPr>
          </w:p>
        </w:tc>
      </w:tr>
      <w:tr w14:paraId="00CA26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4FFBA7BD">
            <w:pPr>
              <w:pStyle w:val="7"/>
              <w:spacing w:line="281" w:lineRule="auto"/>
              <w:rPr>
                <w:color w:val="auto"/>
                <w:highlight w:val="none"/>
              </w:rPr>
            </w:pPr>
          </w:p>
          <w:p w14:paraId="5DD3DEC4">
            <w:pPr>
              <w:pStyle w:val="7"/>
              <w:spacing w:line="281" w:lineRule="auto"/>
              <w:rPr>
                <w:color w:val="auto"/>
                <w:highlight w:val="none"/>
              </w:rPr>
            </w:pPr>
          </w:p>
          <w:p w14:paraId="6FDDA17F">
            <w:pPr>
              <w:pStyle w:val="7"/>
              <w:spacing w:line="282" w:lineRule="auto"/>
              <w:rPr>
                <w:color w:val="auto"/>
                <w:highlight w:val="none"/>
              </w:rPr>
            </w:pPr>
          </w:p>
          <w:p w14:paraId="499203A5">
            <w:pPr>
              <w:spacing w:before="59" w:line="183" w:lineRule="auto"/>
              <w:ind w:left="234"/>
              <w:rPr>
                <w:rFonts w:ascii="宋体" w:hAnsi="宋体" w:eastAsia="宋体" w:cs="宋体"/>
                <w:color w:val="auto"/>
                <w:sz w:val="18"/>
                <w:szCs w:val="18"/>
                <w:highlight w:val="none"/>
              </w:rPr>
            </w:pPr>
            <w:r>
              <w:rPr>
                <w:rFonts w:ascii="宋体" w:hAnsi="宋体" w:eastAsia="宋体" w:cs="宋体"/>
                <w:color w:val="auto"/>
                <w:sz w:val="18"/>
                <w:szCs w:val="18"/>
                <w:highlight w:val="none"/>
              </w:rPr>
              <w:t>2_5</w:t>
            </w:r>
          </w:p>
        </w:tc>
        <w:tc>
          <w:tcPr>
            <w:tcW w:w="2457" w:type="dxa"/>
            <w:vMerge w:val="restart"/>
            <w:tcBorders>
              <w:bottom w:val="nil"/>
            </w:tcBorders>
            <w:vAlign w:val="top"/>
          </w:tcPr>
          <w:p w14:paraId="13C6BE93">
            <w:pPr>
              <w:pStyle w:val="7"/>
              <w:spacing w:line="253" w:lineRule="auto"/>
              <w:rPr>
                <w:color w:val="auto"/>
                <w:highlight w:val="none"/>
              </w:rPr>
            </w:pPr>
          </w:p>
          <w:p w14:paraId="389D68D1">
            <w:pPr>
              <w:pStyle w:val="7"/>
              <w:spacing w:line="253" w:lineRule="auto"/>
              <w:rPr>
                <w:color w:val="auto"/>
                <w:highlight w:val="none"/>
              </w:rPr>
            </w:pPr>
          </w:p>
          <w:p w14:paraId="05F764D4">
            <w:pPr>
              <w:pStyle w:val="7"/>
              <w:spacing w:line="253" w:lineRule="auto"/>
              <w:rPr>
                <w:color w:val="auto"/>
                <w:highlight w:val="none"/>
              </w:rPr>
            </w:pPr>
          </w:p>
          <w:p w14:paraId="388526F6">
            <w:pPr>
              <w:spacing w:before="59" w:line="219" w:lineRule="auto"/>
              <w:ind w:left="503"/>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励磁变非电量保护</w:t>
            </w:r>
          </w:p>
        </w:tc>
        <w:tc>
          <w:tcPr>
            <w:tcW w:w="867" w:type="dxa"/>
            <w:vMerge w:val="restart"/>
            <w:tcBorders>
              <w:bottom w:val="nil"/>
            </w:tcBorders>
            <w:vAlign w:val="top"/>
          </w:tcPr>
          <w:p w14:paraId="6B882EB7">
            <w:pPr>
              <w:pStyle w:val="7"/>
              <w:rPr>
                <w:color w:val="auto"/>
                <w:highlight w:val="none"/>
              </w:rPr>
            </w:pPr>
          </w:p>
        </w:tc>
        <w:tc>
          <w:tcPr>
            <w:tcW w:w="1484" w:type="dxa"/>
            <w:vAlign w:val="top"/>
          </w:tcPr>
          <w:p w14:paraId="294BF81E">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14B31DEF">
            <w:pPr>
              <w:pStyle w:val="7"/>
              <w:rPr>
                <w:color w:val="auto"/>
                <w:highlight w:val="none"/>
              </w:rPr>
            </w:pPr>
          </w:p>
        </w:tc>
        <w:tc>
          <w:tcPr>
            <w:tcW w:w="1493" w:type="dxa"/>
            <w:vAlign w:val="top"/>
          </w:tcPr>
          <w:p w14:paraId="358D0C87">
            <w:pPr>
              <w:pStyle w:val="7"/>
              <w:rPr>
                <w:color w:val="auto"/>
                <w:highlight w:val="none"/>
              </w:rPr>
            </w:pPr>
          </w:p>
        </w:tc>
      </w:tr>
      <w:tr w14:paraId="07D24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43070EA1">
            <w:pPr>
              <w:pStyle w:val="7"/>
              <w:rPr>
                <w:color w:val="auto"/>
                <w:highlight w:val="none"/>
              </w:rPr>
            </w:pPr>
          </w:p>
        </w:tc>
        <w:tc>
          <w:tcPr>
            <w:tcW w:w="2457" w:type="dxa"/>
            <w:vMerge w:val="continue"/>
            <w:tcBorders>
              <w:top w:val="nil"/>
              <w:bottom w:val="nil"/>
            </w:tcBorders>
            <w:vAlign w:val="top"/>
          </w:tcPr>
          <w:p w14:paraId="70FE9050">
            <w:pPr>
              <w:pStyle w:val="7"/>
              <w:rPr>
                <w:color w:val="auto"/>
                <w:highlight w:val="none"/>
              </w:rPr>
            </w:pPr>
          </w:p>
        </w:tc>
        <w:tc>
          <w:tcPr>
            <w:tcW w:w="867" w:type="dxa"/>
            <w:vMerge w:val="continue"/>
            <w:tcBorders>
              <w:top w:val="nil"/>
              <w:bottom w:val="nil"/>
            </w:tcBorders>
            <w:vAlign w:val="top"/>
          </w:tcPr>
          <w:p w14:paraId="4BA94722">
            <w:pPr>
              <w:pStyle w:val="7"/>
              <w:rPr>
                <w:color w:val="auto"/>
                <w:highlight w:val="none"/>
              </w:rPr>
            </w:pPr>
          </w:p>
        </w:tc>
        <w:tc>
          <w:tcPr>
            <w:tcW w:w="1484" w:type="dxa"/>
            <w:vAlign w:val="top"/>
          </w:tcPr>
          <w:p w14:paraId="2D3DD4E0">
            <w:pPr>
              <w:pStyle w:val="7"/>
              <w:rPr>
                <w:color w:val="auto"/>
                <w:highlight w:val="none"/>
              </w:rPr>
            </w:pPr>
          </w:p>
        </w:tc>
        <w:tc>
          <w:tcPr>
            <w:tcW w:w="1484" w:type="dxa"/>
            <w:vAlign w:val="top"/>
          </w:tcPr>
          <w:p w14:paraId="79C1FDBD">
            <w:pPr>
              <w:pStyle w:val="7"/>
              <w:rPr>
                <w:color w:val="auto"/>
                <w:highlight w:val="none"/>
              </w:rPr>
            </w:pPr>
          </w:p>
        </w:tc>
        <w:tc>
          <w:tcPr>
            <w:tcW w:w="1493" w:type="dxa"/>
            <w:vAlign w:val="top"/>
          </w:tcPr>
          <w:p w14:paraId="6FE92D09">
            <w:pPr>
              <w:pStyle w:val="7"/>
              <w:rPr>
                <w:color w:val="auto"/>
                <w:highlight w:val="none"/>
              </w:rPr>
            </w:pPr>
          </w:p>
        </w:tc>
      </w:tr>
      <w:tr w14:paraId="3804E7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0780D9F">
            <w:pPr>
              <w:pStyle w:val="7"/>
              <w:rPr>
                <w:color w:val="auto"/>
                <w:highlight w:val="none"/>
              </w:rPr>
            </w:pPr>
          </w:p>
        </w:tc>
        <w:tc>
          <w:tcPr>
            <w:tcW w:w="2457" w:type="dxa"/>
            <w:vMerge w:val="continue"/>
            <w:tcBorders>
              <w:top w:val="nil"/>
              <w:bottom w:val="nil"/>
            </w:tcBorders>
            <w:vAlign w:val="top"/>
          </w:tcPr>
          <w:p w14:paraId="2FF122A5">
            <w:pPr>
              <w:pStyle w:val="7"/>
              <w:rPr>
                <w:color w:val="auto"/>
                <w:highlight w:val="none"/>
              </w:rPr>
            </w:pPr>
          </w:p>
        </w:tc>
        <w:tc>
          <w:tcPr>
            <w:tcW w:w="867" w:type="dxa"/>
            <w:vMerge w:val="continue"/>
            <w:tcBorders>
              <w:top w:val="nil"/>
              <w:bottom w:val="nil"/>
            </w:tcBorders>
            <w:vAlign w:val="top"/>
          </w:tcPr>
          <w:p w14:paraId="06FA3669">
            <w:pPr>
              <w:pStyle w:val="7"/>
              <w:rPr>
                <w:color w:val="auto"/>
                <w:highlight w:val="none"/>
              </w:rPr>
            </w:pPr>
          </w:p>
        </w:tc>
        <w:tc>
          <w:tcPr>
            <w:tcW w:w="1484" w:type="dxa"/>
            <w:vAlign w:val="top"/>
          </w:tcPr>
          <w:p w14:paraId="07AC6CE0">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5D5CD48C">
            <w:pPr>
              <w:pStyle w:val="7"/>
              <w:rPr>
                <w:color w:val="auto"/>
                <w:highlight w:val="none"/>
              </w:rPr>
            </w:pPr>
          </w:p>
        </w:tc>
        <w:tc>
          <w:tcPr>
            <w:tcW w:w="1493" w:type="dxa"/>
            <w:vAlign w:val="top"/>
          </w:tcPr>
          <w:p w14:paraId="39422B8F">
            <w:pPr>
              <w:pStyle w:val="7"/>
              <w:rPr>
                <w:color w:val="auto"/>
                <w:highlight w:val="none"/>
              </w:rPr>
            </w:pPr>
          </w:p>
        </w:tc>
      </w:tr>
      <w:tr w14:paraId="7B3BD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28B815A7">
            <w:pPr>
              <w:pStyle w:val="7"/>
              <w:rPr>
                <w:color w:val="auto"/>
                <w:highlight w:val="none"/>
              </w:rPr>
            </w:pPr>
          </w:p>
        </w:tc>
        <w:tc>
          <w:tcPr>
            <w:tcW w:w="2457" w:type="dxa"/>
            <w:vMerge w:val="continue"/>
            <w:tcBorders>
              <w:top w:val="nil"/>
            </w:tcBorders>
            <w:vAlign w:val="top"/>
          </w:tcPr>
          <w:p w14:paraId="0FD757CC">
            <w:pPr>
              <w:pStyle w:val="7"/>
              <w:rPr>
                <w:color w:val="auto"/>
                <w:highlight w:val="none"/>
              </w:rPr>
            </w:pPr>
          </w:p>
        </w:tc>
        <w:tc>
          <w:tcPr>
            <w:tcW w:w="867" w:type="dxa"/>
            <w:vMerge w:val="continue"/>
            <w:tcBorders>
              <w:top w:val="nil"/>
            </w:tcBorders>
            <w:vAlign w:val="top"/>
          </w:tcPr>
          <w:p w14:paraId="40370EB5">
            <w:pPr>
              <w:pStyle w:val="7"/>
              <w:rPr>
                <w:color w:val="auto"/>
                <w:highlight w:val="none"/>
              </w:rPr>
            </w:pPr>
          </w:p>
        </w:tc>
        <w:tc>
          <w:tcPr>
            <w:tcW w:w="1484" w:type="dxa"/>
            <w:vAlign w:val="top"/>
          </w:tcPr>
          <w:p w14:paraId="76BEC963">
            <w:pPr>
              <w:pStyle w:val="7"/>
              <w:rPr>
                <w:color w:val="auto"/>
                <w:highlight w:val="none"/>
              </w:rPr>
            </w:pPr>
          </w:p>
        </w:tc>
        <w:tc>
          <w:tcPr>
            <w:tcW w:w="1484" w:type="dxa"/>
            <w:vAlign w:val="top"/>
          </w:tcPr>
          <w:p w14:paraId="427432BE">
            <w:pPr>
              <w:pStyle w:val="7"/>
              <w:rPr>
                <w:color w:val="auto"/>
                <w:highlight w:val="none"/>
              </w:rPr>
            </w:pPr>
          </w:p>
        </w:tc>
        <w:tc>
          <w:tcPr>
            <w:tcW w:w="1493" w:type="dxa"/>
            <w:vAlign w:val="top"/>
          </w:tcPr>
          <w:p w14:paraId="2BCFCB43">
            <w:pPr>
              <w:pStyle w:val="7"/>
              <w:rPr>
                <w:color w:val="auto"/>
                <w:highlight w:val="none"/>
              </w:rPr>
            </w:pPr>
          </w:p>
        </w:tc>
      </w:tr>
      <w:tr w14:paraId="6E1D42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1E36AADC">
            <w:pPr>
              <w:spacing w:before="178" w:line="183" w:lineRule="auto"/>
              <w:ind w:left="326"/>
              <w:rPr>
                <w:rFonts w:ascii="宋体" w:hAnsi="宋体" w:eastAsia="宋体" w:cs="宋体"/>
                <w:color w:val="auto"/>
                <w:sz w:val="18"/>
                <w:szCs w:val="18"/>
                <w:highlight w:val="none"/>
              </w:rPr>
            </w:pPr>
            <w:r>
              <w:rPr>
                <w:rFonts w:ascii="宋体" w:hAnsi="宋体" w:eastAsia="宋体" w:cs="宋体"/>
                <w:color w:val="auto"/>
                <w:sz w:val="18"/>
                <w:szCs w:val="18"/>
                <w:highlight w:val="none"/>
              </w:rPr>
              <w:t>3</w:t>
            </w:r>
          </w:p>
        </w:tc>
        <w:tc>
          <w:tcPr>
            <w:tcW w:w="7785" w:type="dxa"/>
            <w:gridSpan w:val="5"/>
            <w:vAlign w:val="top"/>
          </w:tcPr>
          <w:p w14:paraId="49110901">
            <w:pPr>
              <w:spacing w:before="149" w:line="219" w:lineRule="auto"/>
              <w:ind w:left="10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微机型主变压器保护装置</w:t>
            </w:r>
          </w:p>
        </w:tc>
      </w:tr>
      <w:tr w14:paraId="5E7411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78FF9EAA">
            <w:pPr>
              <w:pStyle w:val="7"/>
              <w:spacing w:line="282" w:lineRule="auto"/>
              <w:rPr>
                <w:color w:val="auto"/>
                <w:highlight w:val="none"/>
              </w:rPr>
            </w:pPr>
          </w:p>
          <w:p w14:paraId="5E571F64">
            <w:pPr>
              <w:pStyle w:val="7"/>
              <w:spacing w:line="282" w:lineRule="auto"/>
              <w:rPr>
                <w:color w:val="auto"/>
                <w:highlight w:val="none"/>
              </w:rPr>
            </w:pPr>
          </w:p>
          <w:p w14:paraId="4B677804">
            <w:pPr>
              <w:pStyle w:val="7"/>
              <w:spacing w:line="283" w:lineRule="auto"/>
              <w:rPr>
                <w:color w:val="auto"/>
                <w:highlight w:val="none"/>
              </w:rPr>
            </w:pPr>
          </w:p>
          <w:p w14:paraId="467755F7">
            <w:pPr>
              <w:spacing w:before="58" w:line="184" w:lineRule="auto"/>
              <w:ind w:left="235"/>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3_1</w:t>
            </w:r>
          </w:p>
        </w:tc>
        <w:tc>
          <w:tcPr>
            <w:tcW w:w="2457" w:type="dxa"/>
            <w:vMerge w:val="restart"/>
            <w:tcBorders>
              <w:bottom w:val="nil"/>
            </w:tcBorders>
            <w:vAlign w:val="top"/>
          </w:tcPr>
          <w:p w14:paraId="4E521E61">
            <w:pPr>
              <w:pStyle w:val="7"/>
              <w:spacing w:line="253" w:lineRule="auto"/>
              <w:rPr>
                <w:color w:val="auto"/>
                <w:highlight w:val="none"/>
              </w:rPr>
            </w:pPr>
          </w:p>
          <w:p w14:paraId="1F180D16">
            <w:pPr>
              <w:pStyle w:val="7"/>
              <w:spacing w:line="253" w:lineRule="auto"/>
              <w:rPr>
                <w:color w:val="auto"/>
                <w:highlight w:val="none"/>
              </w:rPr>
            </w:pPr>
          </w:p>
          <w:p w14:paraId="192750B9">
            <w:pPr>
              <w:pStyle w:val="7"/>
              <w:spacing w:line="254" w:lineRule="auto"/>
              <w:rPr>
                <w:color w:val="auto"/>
                <w:highlight w:val="none"/>
              </w:rPr>
            </w:pPr>
          </w:p>
          <w:p w14:paraId="519276C1">
            <w:pPr>
              <w:spacing w:before="59" w:line="220" w:lineRule="auto"/>
              <w:ind w:left="50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主变压器差动保护</w:t>
            </w:r>
          </w:p>
        </w:tc>
        <w:tc>
          <w:tcPr>
            <w:tcW w:w="867" w:type="dxa"/>
            <w:vMerge w:val="restart"/>
            <w:tcBorders>
              <w:bottom w:val="nil"/>
            </w:tcBorders>
            <w:vAlign w:val="top"/>
          </w:tcPr>
          <w:p w14:paraId="045CF9C9">
            <w:pPr>
              <w:pStyle w:val="7"/>
              <w:rPr>
                <w:color w:val="auto"/>
                <w:highlight w:val="none"/>
              </w:rPr>
            </w:pPr>
          </w:p>
        </w:tc>
        <w:tc>
          <w:tcPr>
            <w:tcW w:w="1484" w:type="dxa"/>
            <w:vAlign w:val="top"/>
          </w:tcPr>
          <w:p w14:paraId="09F58F72">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F9877E6">
            <w:pPr>
              <w:pStyle w:val="7"/>
              <w:rPr>
                <w:color w:val="auto"/>
                <w:highlight w:val="none"/>
              </w:rPr>
            </w:pPr>
          </w:p>
        </w:tc>
        <w:tc>
          <w:tcPr>
            <w:tcW w:w="1493" w:type="dxa"/>
            <w:vAlign w:val="top"/>
          </w:tcPr>
          <w:p w14:paraId="53A8007C">
            <w:pPr>
              <w:pStyle w:val="7"/>
              <w:rPr>
                <w:color w:val="auto"/>
                <w:highlight w:val="none"/>
              </w:rPr>
            </w:pPr>
          </w:p>
        </w:tc>
      </w:tr>
      <w:tr w14:paraId="3C3B20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75E2BDD">
            <w:pPr>
              <w:pStyle w:val="7"/>
              <w:rPr>
                <w:color w:val="auto"/>
                <w:highlight w:val="none"/>
              </w:rPr>
            </w:pPr>
          </w:p>
        </w:tc>
        <w:tc>
          <w:tcPr>
            <w:tcW w:w="2457" w:type="dxa"/>
            <w:vMerge w:val="continue"/>
            <w:tcBorders>
              <w:top w:val="nil"/>
              <w:bottom w:val="nil"/>
            </w:tcBorders>
            <w:vAlign w:val="top"/>
          </w:tcPr>
          <w:p w14:paraId="6D4F3E75">
            <w:pPr>
              <w:pStyle w:val="7"/>
              <w:rPr>
                <w:color w:val="auto"/>
                <w:highlight w:val="none"/>
              </w:rPr>
            </w:pPr>
          </w:p>
        </w:tc>
        <w:tc>
          <w:tcPr>
            <w:tcW w:w="867" w:type="dxa"/>
            <w:vMerge w:val="continue"/>
            <w:tcBorders>
              <w:top w:val="nil"/>
              <w:bottom w:val="nil"/>
            </w:tcBorders>
            <w:vAlign w:val="top"/>
          </w:tcPr>
          <w:p w14:paraId="2D9FB20E">
            <w:pPr>
              <w:pStyle w:val="7"/>
              <w:rPr>
                <w:color w:val="auto"/>
                <w:highlight w:val="none"/>
              </w:rPr>
            </w:pPr>
          </w:p>
        </w:tc>
        <w:tc>
          <w:tcPr>
            <w:tcW w:w="1484" w:type="dxa"/>
            <w:vAlign w:val="top"/>
          </w:tcPr>
          <w:p w14:paraId="0973E169">
            <w:pPr>
              <w:pStyle w:val="7"/>
              <w:rPr>
                <w:color w:val="auto"/>
                <w:highlight w:val="none"/>
              </w:rPr>
            </w:pPr>
          </w:p>
        </w:tc>
        <w:tc>
          <w:tcPr>
            <w:tcW w:w="1484" w:type="dxa"/>
            <w:vAlign w:val="top"/>
          </w:tcPr>
          <w:p w14:paraId="2637EF7C">
            <w:pPr>
              <w:pStyle w:val="7"/>
              <w:rPr>
                <w:color w:val="auto"/>
                <w:highlight w:val="none"/>
              </w:rPr>
            </w:pPr>
          </w:p>
        </w:tc>
        <w:tc>
          <w:tcPr>
            <w:tcW w:w="1493" w:type="dxa"/>
            <w:vAlign w:val="top"/>
          </w:tcPr>
          <w:p w14:paraId="1D92FE45">
            <w:pPr>
              <w:pStyle w:val="7"/>
              <w:rPr>
                <w:color w:val="auto"/>
                <w:highlight w:val="none"/>
              </w:rPr>
            </w:pPr>
          </w:p>
        </w:tc>
      </w:tr>
      <w:tr w14:paraId="2050F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1256657">
            <w:pPr>
              <w:pStyle w:val="7"/>
              <w:rPr>
                <w:color w:val="auto"/>
                <w:highlight w:val="none"/>
              </w:rPr>
            </w:pPr>
          </w:p>
        </w:tc>
        <w:tc>
          <w:tcPr>
            <w:tcW w:w="2457" w:type="dxa"/>
            <w:vMerge w:val="continue"/>
            <w:tcBorders>
              <w:top w:val="nil"/>
              <w:bottom w:val="nil"/>
            </w:tcBorders>
            <w:vAlign w:val="top"/>
          </w:tcPr>
          <w:p w14:paraId="331AFB17">
            <w:pPr>
              <w:pStyle w:val="7"/>
              <w:rPr>
                <w:color w:val="auto"/>
                <w:highlight w:val="none"/>
              </w:rPr>
            </w:pPr>
          </w:p>
        </w:tc>
        <w:tc>
          <w:tcPr>
            <w:tcW w:w="867" w:type="dxa"/>
            <w:vMerge w:val="continue"/>
            <w:tcBorders>
              <w:top w:val="nil"/>
              <w:bottom w:val="nil"/>
            </w:tcBorders>
            <w:vAlign w:val="top"/>
          </w:tcPr>
          <w:p w14:paraId="54CCCA6A">
            <w:pPr>
              <w:pStyle w:val="7"/>
              <w:rPr>
                <w:color w:val="auto"/>
                <w:highlight w:val="none"/>
              </w:rPr>
            </w:pPr>
          </w:p>
        </w:tc>
        <w:tc>
          <w:tcPr>
            <w:tcW w:w="1484" w:type="dxa"/>
            <w:vAlign w:val="top"/>
          </w:tcPr>
          <w:p w14:paraId="43070E8F">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3514A3F3">
            <w:pPr>
              <w:pStyle w:val="7"/>
              <w:rPr>
                <w:color w:val="auto"/>
                <w:highlight w:val="none"/>
              </w:rPr>
            </w:pPr>
          </w:p>
        </w:tc>
        <w:tc>
          <w:tcPr>
            <w:tcW w:w="1493" w:type="dxa"/>
            <w:vAlign w:val="top"/>
          </w:tcPr>
          <w:p w14:paraId="732F85D2">
            <w:pPr>
              <w:pStyle w:val="7"/>
              <w:rPr>
                <w:color w:val="auto"/>
                <w:highlight w:val="none"/>
              </w:rPr>
            </w:pPr>
          </w:p>
        </w:tc>
      </w:tr>
      <w:tr w14:paraId="5CD5E7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31BC7BF2">
            <w:pPr>
              <w:pStyle w:val="7"/>
              <w:rPr>
                <w:color w:val="auto"/>
                <w:highlight w:val="none"/>
              </w:rPr>
            </w:pPr>
          </w:p>
        </w:tc>
        <w:tc>
          <w:tcPr>
            <w:tcW w:w="2457" w:type="dxa"/>
            <w:vMerge w:val="continue"/>
            <w:tcBorders>
              <w:top w:val="nil"/>
            </w:tcBorders>
            <w:vAlign w:val="top"/>
          </w:tcPr>
          <w:p w14:paraId="1D49093F">
            <w:pPr>
              <w:pStyle w:val="7"/>
              <w:rPr>
                <w:color w:val="auto"/>
                <w:highlight w:val="none"/>
              </w:rPr>
            </w:pPr>
          </w:p>
        </w:tc>
        <w:tc>
          <w:tcPr>
            <w:tcW w:w="867" w:type="dxa"/>
            <w:vMerge w:val="continue"/>
            <w:tcBorders>
              <w:top w:val="nil"/>
            </w:tcBorders>
            <w:vAlign w:val="top"/>
          </w:tcPr>
          <w:p w14:paraId="75062905">
            <w:pPr>
              <w:pStyle w:val="7"/>
              <w:rPr>
                <w:color w:val="auto"/>
                <w:highlight w:val="none"/>
              </w:rPr>
            </w:pPr>
          </w:p>
        </w:tc>
        <w:tc>
          <w:tcPr>
            <w:tcW w:w="1484" w:type="dxa"/>
            <w:vAlign w:val="top"/>
          </w:tcPr>
          <w:p w14:paraId="2F76A393">
            <w:pPr>
              <w:pStyle w:val="7"/>
              <w:rPr>
                <w:color w:val="auto"/>
                <w:highlight w:val="none"/>
              </w:rPr>
            </w:pPr>
          </w:p>
        </w:tc>
        <w:tc>
          <w:tcPr>
            <w:tcW w:w="1484" w:type="dxa"/>
            <w:vAlign w:val="top"/>
          </w:tcPr>
          <w:p w14:paraId="5D500A31">
            <w:pPr>
              <w:pStyle w:val="7"/>
              <w:rPr>
                <w:color w:val="auto"/>
                <w:highlight w:val="none"/>
              </w:rPr>
            </w:pPr>
          </w:p>
        </w:tc>
        <w:tc>
          <w:tcPr>
            <w:tcW w:w="1493" w:type="dxa"/>
            <w:vAlign w:val="top"/>
          </w:tcPr>
          <w:p w14:paraId="29F3B127">
            <w:pPr>
              <w:pStyle w:val="7"/>
              <w:rPr>
                <w:color w:val="auto"/>
                <w:highlight w:val="none"/>
              </w:rPr>
            </w:pPr>
          </w:p>
        </w:tc>
      </w:tr>
      <w:tr w14:paraId="4D69CC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3F8F2D88">
            <w:pPr>
              <w:pStyle w:val="7"/>
              <w:spacing w:line="283" w:lineRule="auto"/>
              <w:rPr>
                <w:color w:val="auto"/>
                <w:highlight w:val="none"/>
              </w:rPr>
            </w:pPr>
          </w:p>
          <w:p w14:paraId="5DFBB93F">
            <w:pPr>
              <w:pStyle w:val="7"/>
              <w:spacing w:line="283" w:lineRule="auto"/>
              <w:rPr>
                <w:color w:val="auto"/>
                <w:highlight w:val="none"/>
              </w:rPr>
            </w:pPr>
          </w:p>
          <w:p w14:paraId="15F41314">
            <w:pPr>
              <w:pStyle w:val="7"/>
              <w:spacing w:line="283" w:lineRule="auto"/>
              <w:rPr>
                <w:color w:val="auto"/>
                <w:highlight w:val="none"/>
              </w:rPr>
            </w:pPr>
          </w:p>
          <w:p w14:paraId="64AA5757">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3_2</w:t>
            </w:r>
          </w:p>
        </w:tc>
        <w:tc>
          <w:tcPr>
            <w:tcW w:w="2457" w:type="dxa"/>
            <w:vMerge w:val="restart"/>
            <w:tcBorders>
              <w:bottom w:val="nil"/>
            </w:tcBorders>
            <w:vAlign w:val="top"/>
          </w:tcPr>
          <w:p w14:paraId="5A4910E4">
            <w:pPr>
              <w:pStyle w:val="7"/>
              <w:spacing w:line="295" w:lineRule="auto"/>
              <w:rPr>
                <w:color w:val="auto"/>
                <w:highlight w:val="none"/>
              </w:rPr>
            </w:pPr>
          </w:p>
          <w:p w14:paraId="5BB79A95">
            <w:pPr>
              <w:pStyle w:val="7"/>
              <w:spacing w:line="295" w:lineRule="auto"/>
              <w:rPr>
                <w:color w:val="auto"/>
                <w:highlight w:val="none"/>
              </w:rPr>
            </w:pPr>
          </w:p>
          <w:p w14:paraId="2DC2589F">
            <w:pPr>
              <w:spacing w:before="58" w:line="344" w:lineRule="auto"/>
              <w:ind w:left="1044" w:right="145" w:hanging="899"/>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主变压器复合电压闭锁过流</w:t>
            </w:r>
            <w:r>
              <w:rPr>
                <w:rFonts w:ascii="宋体" w:hAnsi="宋体" w:eastAsia="宋体" w:cs="宋体"/>
                <w:color w:val="auto"/>
                <w:spacing w:val="2"/>
                <w:sz w:val="18"/>
                <w:szCs w:val="18"/>
                <w:highlight w:val="none"/>
              </w:rPr>
              <w:t xml:space="preserve"> </w:t>
            </w:r>
            <w:r>
              <w:rPr>
                <w:rFonts w:ascii="宋体" w:hAnsi="宋体" w:eastAsia="宋体" w:cs="宋体"/>
                <w:color w:val="auto"/>
                <w:spacing w:val="-4"/>
                <w:sz w:val="18"/>
                <w:szCs w:val="18"/>
                <w:highlight w:val="none"/>
              </w:rPr>
              <w:t>保护</w:t>
            </w:r>
          </w:p>
        </w:tc>
        <w:tc>
          <w:tcPr>
            <w:tcW w:w="867" w:type="dxa"/>
            <w:vMerge w:val="restart"/>
            <w:tcBorders>
              <w:bottom w:val="nil"/>
            </w:tcBorders>
            <w:vAlign w:val="top"/>
          </w:tcPr>
          <w:p w14:paraId="38B88EB5">
            <w:pPr>
              <w:pStyle w:val="7"/>
              <w:rPr>
                <w:color w:val="auto"/>
                <w:highlight w:val="none"/>
              </w:rPr>
            </w:pPr>
          </w:p>
        </w:tc>
        <w:tc>
          <w:tcPr>
            <w:tcW w:w="1484" w:type="dxa"/>
            <w:vAlign w:val="top"/>
          </w:tcPr>
          <w:p w14:paraId="45CDF207">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529F5409">
            <w:pPr>
              <w:pStyle w:val="7"/>
              <w:rPr>
                <w:color w:val="auto"/>
                <w:highlight w:val="none"/>
              </w:rPr>
            </w:pPr>
          </w:p>
        </w:tc>
        <w:tc>
          <w:tcPr>
            <w:tcW w:w="1493" w:type="dxa"/>
            <w:vAlign w:val="top"/>
          </w:tcPr>
          <w:p w14:paraId="3BE2D554">
            <w:pPr>
              <w:pStyle w:val="7"/>
              <w:rPr>
                <w:color w:val="auto"/>
                <w:highlight w:val="none"/>
              </w:rPr>
            </w:pPr>
          </w:p>
        </w:tc>
      </w:tr>
      <w:tr w14:paraId="39873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57E0F6F">
            <w:pPr>
              <w:pStyle w:val="7"/>
              <w:rPr>
                <w:color w:val="auto"/>
                <w:highlight w:val="none"/>
              </w:rPr>
            </w:pPr>
          </w:p>
        </w:tc>
        <w:tc>
          <w:tcPr>
            <w:tcW w:w="2457" w:type="dxa"/>
            <w:vMerge w:val="continue"/>
            <w:tcBorders>
              <w:top w:val="nil"/>
              <w:bottom w:val="nil"/>
            </w:tcBorders>
            <w:vAlign w:val="top"/>
          </w:tcPr>
          <w:p w14:paraId="1214C769">
            <w:pPr>
              <w:pStyle w:val="7"/>
              <w:rPr>
                <w:color w:val="auto"/>
                <w:highlight w:val="none"/>
              </w:rPr>
            </w:pPr>
          </w:p>
        </w:tc>
        <w:tc>
          <w:tcPr>
            <w:tcW w:w="867" w:type="dxa"/>
            <w:vMerge w:val="continue"/>
            <w:tcBorders>
              <w:top w:val="nil"/>
              <w:bottom w:val="nil"/>
            </w:tcBorders>
            <w:vAlign w:val="top"/>
          </w:tcPr>
          <w:p w14:paraId="0C2AE5D0">
            <w:pPr>
              <w:pStyle w:val="7"/>
              <w:rPr>
                <w:color w:val="auto"/>
                <w:highlight w:val="none"/>
              </w:rPr>
            </w:pPr>
          </w:p>
        </w:tc>
        <w:tc>
          <w:tcPr>
            <w:tcW w:w="1484" w:type="dxa"/>
            <w:vAlign w:val="top"/>
          </w:tcPr>
          <w:p w14:paraId="29053555">
            <w:pPr>
              <w:pStyle w:val="7"/>
              <w:rPr>
                <w:color w:val="auto"/>
                <w:highlight w:val="none"/>
              </w:rPr>
            </w:pPr>
          </w:p>
        </w:tc>
        <w:tc>
          <w:tcPr>
            <w:tcW w:w="1484" w:type="dxa"/>
            <w:vAlign w:val="top"/>
          </w:tcPr>
          <w:p w14:paraId="2BA237B4">
            <w:pPr>
              <w:pStyle w:val="7"/>
              <w:rPr>
                <w:color w:val="auto"/>
                <w:highlight w:val="none"/>
              </w:rPr>
            </w:pPr>
          </w:p>
        </w:tc>
        <w:tc>
          <w:tcPr>
            <w:tcW w:w="1493" w:type="dxa"/>
            <w:vAlign w:val="top"/>
          </w:tcPr>
          <w:p w14:paraId="5DE211FE">
            <w:pPr>
              <w:pStyle w:val="7"/>
              <w:rPr>
                <w:color w:val="auto"/>
                <w:highlight w:val="none"/>
              </w:rPr>
            </w:pPr>
          </w:p>
        </w:tc>
      </w:tr>
      <w:tr w14:paraId="5C5ED7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8C97508">
            <w:pPr>
              <w:pStyle w:val="7"/>
              <w:rPr>
                <w:color w:val="auto"/>
                <w:highlight w:val="none"/>
              </w:rPr>
            </w:pPr>
          </w:p>
        </w:tc>
        <w:tc>
          <w:tcPr>
            <w:tcW w:w="2457" w:type="dxa"/>
            <w:vMerge w:val="continue"/>
            <w:tcBorders>
              <w:top w:val="nil"/>
              <w:bottom w:val="nil"/>
            </w:tcBorders>
            <w:vAlign w:val="top"/>
          </w:tcPr>
          <w:p w14:paraId="3A6545C9">
            <w:pPr>
              <w:pStyle w:val="7"/>
              <w:rPr>
                <w:color w:val="auto"/>
                <w:highlight w:val="none"/>
              </w:rPr>
            </w:pPr>
          </w:p>
        </w:tc>
        <w:tc>
          <w:tcPr>
            <w:tcW w:w="867" w:type="dxa"/>
            <w:vMerge w:val="continue"/>
            <w:tcBorders>
              <w:top w:val="nil"/>
              <w:bottom w:val="nil"/>
            </w:tcBorders>
            <w:vAlign w:val="top"/>
          </w:tcPr>
          <w:p w14:paraId="1726B21F">
            <w:pPr>
              <w:pStyle w:val="7"/>
              <w:rPr>
                <w:color w:val="auto"/>
                <w:highlight w:val="none"/>
              </w:rPr>
            </w:pPr>
          </w:p>
        </w:tc>
        <w:tc>
          <w:tcPr>
            <w:tcW w:w="1484" w:type="dxa"/>
            <w:vAlign w:val="top"/>
          </w:tcPr>
          <w:p w14:paraId="514933E6">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E8FFF2C">
            <w:pPr>
              <w:pStyle w:val="7"/>
              <w:rPr>
                <w:color w:val="auto"/>
                <w:highlight w:val="none"/>
              </w:rPr>
            </w:pPr>
          </w:p>
        </w:tc>
        <w:tc>
          <w:tcPr>
            <w:tcW w:w="1493" w:type="dxa"/>
            <w:vAlign w:val="top"/>
          </w:tcPr>
          <w:p w14:paraId="0BC6A5FB">
            <w:pPr>
              <w:pStyle w:val="7"/>
              <w:rPr>
                <w:color w:val="auto"/>
                <w:highlight w:val="none"/>
              </w:rPr>
            </w:pPr>
          </w:p>
        </w:tc>
      </w:tr>
      <w:tr w14:paraId="4CCFC0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2C324A71">
            <w:pPr>
              <w:pStyle w:val="7"/>
              <w:rPr>
                <w:color w:val="auto"/>
                <w:highlight w:val="none"/>
              </w:rPr>
            </w:pPr>
          </w:p>
        </w:tc>
        <w:tc>
          <w:tcPr>
            <w:tcW w:w="2457" w:type="dxa"/>
            <w:vMerge w:val="continue"/>
            <w:tcBorders>
              <w:top w:val="nil"/>
            </w:tcBorders>
            <w:vAlign w:val="top"/>
          </w:tcPr>
          <w:p w14:paraId="3B3E000A">
            <w:pPr>
              <w:pStyle w:val="7"/>
              <w:rPr>
                <w:color w:val="auto"/>
                <w:highlight w:val="none"/>
              </w:rPr>
            </w:pPr>
          </w:p>
        </w:tc>
        <w:tc>
          <w:tcPr>
            <w:tcW w:w="867" w:type="dxa"/>
            <w:vMerge w:val="continue"/>
            <w:tcBorders>
              <w:top w:val="nil"/>
            </w:tcBorders>
            <w:vAlign w:val="top"/>
          </w:tcPr>
          <w:p w14:paraId="3767183B">
            <w:pPr>
              <w:pStyle w:val="7"/>
              <w:rPr>
                <w:color w:val="auto"/>
                <w:highlight w:val="none"/>
              </w:rPr>
            </w:pPr>
          </w:p>
        </w:tc>
        <w:tc>
          <w:tcPr>
            <w:tcW w:w="1484" w:type="dxa"/>
            <w:vAlign w:val="top"/>
          </w:tcPr>
          <w:p w14:paraId="38A6FCF1">
            <w:pPr>
              <w:pStyle w:val="7"/>
              <w:rPr>
                <w:color w:val="auto"/>
                <w:highlight w:val="none"/>
              </w:rPr>
            </w:pPr>
          </w:p>
        </w:tc>
        <w:tc>
          <w:tcPr>
            <w:tcW w:w="1484" w:type="dxa"/>
            <w:vAlign w:val="top"/>
          </w:tcPr>
          <w:p w14:paraId="68A32B93">
            <w:pPr>
              <w:pStyle w:val="7"/>
              <w:rPr>
                <w:color w:val="auto"/>
                <w:highlight w:val="none"/>
              </w:rPr>
            </w:pPr>
          </w:p>
        </w:tc>
        <w:tc>
          <w:tcPr>
            <w:tcW w:w="1493" w:type="dxa"/>
            <w:vAlign w:val="top"/>
          </w:tcPr>
          <w:p w14:paraId="56A73C38">
            <w:pPr>
              <w:pStyle w:val="7"/>
              <w:rPr>
                <w:color w:val="auto"/>
                <w:highlight w:val="none"/>
              </w:rPr>
            </w:pPr>
          </w:p>
        </w:tc>
      </w:tr>
      <w:tr w14:paraId="5130CA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Align w:val="top"/>
          </w:tcPr>
          <w:p w14:paraId="065B1584">
            <w:pPr>
              <w:spacing w:before="181"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3_3</w:t>
            </w:r>
          </w:p>
        </w:tc>
        <w:tc>
          <w:tcPr>
            <w:tcW w:w="2457" w:type="dxa"/>
            <w:vAlign w:val="top"/>
          </w:tcPr>
          <w:p w14:paraId="64C94627">
            <w:pPr>
              <w:spacing w:before="95" w:line="219" w:lineRule="auto"/>
              <w:ind w:left="23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主变压器高压侧接地保护</w:t>
            </w:r>
          </w:p>
        </w:tc>
        <w:tc>
          <w:tcPr>
            <w:tcW w:w="867" w:type="dxa"/>
            <w:vAlign w:val="top"/>
          </w:tcPr>
          <w:p w14:paraId="403C205E">
            <w:pPr>
              <w:pStyle w:val="7"/>
              <w:rPr>
                <w:color w:val="auto"/>
                <w:highlight w:val="none"/>
              </w:rPr>
            </w:pPr>
          </w:p>
        </w:tc>
        <w:tc>
          <w:tcPr>
            <w:tcW w:w="1484" w:type="dxa"/>
            <w:vAlign w:val="top"/>
          </w:tcPr>
          <w:p w14:paraId="14E35E9F">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35C83A6D">
            <w:pPr>
              <w:pStyle w:val="7"/>
              <w:rPr>
                <w:color w:val="auto"/>
                <w:highlight w:val="none"/>
              </w:rPr>
            </w:pPr>
          </w:p>
        </w:tc>
        <w:tc>
          <w:tcPr>
            <w:tcW w:w="1493" w:type="dxa"/>
            <w:vAlign w:val="top"/>
          </w:tcPr>
          <w:p w14:paraId="16756E5A">
            <w:pPr>
              <w:pStyle w:val="7"/>
              <w:rPr>
                <w:color w:val="auto"/>
                <w:highlight w:val="none"/>
              </w:rPr>
            </w:pPr>
          </w:p>
        </w:tc>
      </w:tr>
    </w:tbl>
    <w:p w14:paraId="1A90E7F1">
      <w:pPr>
        <w:pStyle w:val="3"/>
        <w:rPr>
          <w:color w:val="auto"/>
          <w:highlight w:val="none"/>
        </w:rPr>
      </w:pPr>
    </w:p>
    <w:p w14:paraId="70E944BD">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3BDCD50D">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35524D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45C5E48B">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6162658F">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40E87DFB">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73A4B492">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5B3A6040">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25ABCA89">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4C6D63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7664CF6">
            <w:pPr>
              <w:pStyle w:val="7"/>
              <w:rPr>
                <w:color w:val="auto"/>
                <w:highlight w:val="none"/>
              </w:rPr>
            </w:pPr>
          </w:p>
        </w:tc>
        <w:tc>
          <w:tcPr>
            <w:tcW w:w="2457" w:type="dxa"/>
            <w:vMerge w:val="restart"/>
            <w:tcBorders>
              <w:bottom w:val="nil"/>
            </w:tcBorders>
            <w:vAlign w:val="top"/>
          </w:tcPr>
          <w:p w14:paraId="00E35359">
            <w:pPr>
              <w:pStyle w:val="7"/>
              <w:rPr>
                <w:color w:val="auto"/>
                <w:highlight w:val="none"/>
              </w:rPr>
            </w:pPr>
          </w:p>
        </w:tc>
        <w:tc>
          <w:tcPr>
            <w:tcW w:w="867" w:type="dxa"/>
            <w:vMerge w:val="restart"/>
            <w:tcBorders>
              <w:bottom w:val="nil"/>
            </w:tcBorders>
            <w:vAlign w:val="top"/>
          </w:tcPr>
          <w:p w14:paraId="18E5381E">
            <w:pPr>
              <w:pStyle w:val="7"/>
              <w:rPr>
                <w:color w:val="auto"/>
                <w:highlight w:val="none"/>
              </w:rPr>
            </w:pPr>
          </w:p>
        </w:tc>
        <w:tc>
          <w:tcPr>
            <w:tcW w:w="1484" w:type="dxa"/>
            <w:vAlign w:val="top"/>
          </w:tcPr>
          <w:p w14:paraId="64A053C8">
            <w:pPr>
              <w:pStyle w:val="7"/>
              <w:rPr>
                <w:color w:val="auto"/>
                <w:highlight w:val="none"/>
              </w:rPr>
            </w:pPr>
          </w:p>
        </w:tc>
        <w:tc>
          <w:tcPr>
            <w:tcW w:w="1484" w:type="dxa"/>
            <w:vAlign w:val="top"/>
          </w:tcPr>
          <w:p w14:paraId="08247BE6">
            <w:pPr>
              <w:pStyle w:val="7"/>
              <w:rPr>
                <w:color w:val="auto"/>
                <w:highlight w:val="none"/>
              </w:rPr>
            </w:pPr>
          </w:p>
        </w:tc>
        <w:tc>
          <w:tcPr>
            <w:tcW w:w="1493" w:type="dxa"/>
            <w:vAlign w:val="top"/>
          </w:tcPr>
          <w:p w14:paraId="14FFC7A3">
            <w:pPr>
              <w:pStyle w:val="7"/>
              <w:rPr>
                <w:color w:val="auto"/>
                <w:highlight w:val="none"/>
              </w:rPr>
            </w:pPr>
          </w:p>
        </w:tc>
      </w:tr>
      <w:tr w14:paraId="3BD12D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496012EF">
            <w:pPr>
              <w:pStyle w:val="7"/>
              <w:rPr>
                <w:color w:val="auto"/>
                <w:highlight w:val="none"/>
              </w:rPr>
            </w:pPr>
          </w:p>
        </w:tc>
        <w:tc>
          <w:tcPr>
            <w:tcW w:w="2457" w:type="dxa"/>
            <w:vMerge w:val="continue"/>
            <w:tcBorders>
              <w:top w:val="nil"/>
              <w:bottom w:val="nil"/>
            </w:tcBorders>
            <w:vAlign w:val="top"/>
          </w:tcPr>
          <w:p w14:paraId="2C2119D0">
            <w:pPr>
              <w:pStyle w:val="7"/>
              <w:rPr>
                <w:color w:val="auto"/>
                <w:highlight w:val="none"/>
              </w:rPr>
            </w:pPr>
          </w:p>
        </w:tc>
        <w:tc>
          <w:tcPr>
            <w:tcW w:w="867" w:type="dxa"/>
            <w:vMerge w:val="continue"/>
            <w:tcBorders>
              <w:top w:val="nil"/>
              <w:bottom w:val="nil"/>
            </w:tcBorders>
            <w:vAlign w:val="top"/>
          </w:tcPr>
          <w:p w14:paraId="6E0B493A">
            <w:pPr>
              <w:pStyle w:val="7"/>
              <w:rPr>
                <w:color w:val="auto"/>
                <w:highlight w:val="none"/>
              </w:rPr>
            </w:pPr>
          </w:p>
        </w:tc>
        <w:tc>
          <w:tcPr>
            <w:tcW w:w="1484" w:type="dxa"/>
            <w:vAlign w:val="top"/>
          </w:tcPr>
          <w:p w14:paraId="798E5520">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CC60255">
            <w:pPr>
              <w:pStyle w:val="7"/>
              <w:rPr>
                <w:color w:val="auto"/>
                <w:highlight w:val="none"/>
              </w:rPr>
            </w:pPr>
          </w:p>
        </w:tc>
        <w:tc>
          <w:tcPr>
            <w:tcW w:w="1493" w:type="dxa"/>
            <w:vAlign w:val="top"/>
          </w:tcPr>
          <w:p w14:paraId="10DD795A">
            <w:pPr>
              <w:pStyle w:val="7"/>
              <w:rPr>
                <w:color w:val="auto"/>
                <w:highlight w:val="none"/>
              </w:rPr>
            </w:pPr>
          </w:p>
        </w:tc>
      </w:tr>
      <w:tr w14:paraId="68C761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4413A64B">
            <w:pPr>
              <w:pStyle w:val="7"/>
              <w:rPr>
                <w:color w:val="auto"/>
                <w:highlight w:val="none"/>
              </w:rPr>
            </w:pPr>
          </w:p>
        </w:tc>
        <w:tc>
          <w:tcPr>
            <w:tcW w:w="2457" w:type="dxa"/>
            <w:vMerge w:val="continue"/>
            <w:tcBorders>
              <w:top w:val="nil"/>
            </w:tcBorders>
            <w:vAlign w:val="top"/>
          </w:tcPr>
          <w:p w14:paraId="50101A1F">
            <w:pPr>
              <w:pStyle w:val="7"/>
              <w:rPr>
                <w:color w:val="auto"/>
                <w:highlight w:val="none"/>
              </w:rPr>
            </w:pPr>
          </w:p>
        </w:tc>
        <w:tc>
          <w:tcPr>
            <w:tcW w:w="867" w:type="dxa"/>
            <w:vMerge w:val="continue"/>
            <w:tcBorders>
              <w:top w:val="nil"/>
            </w:tcBorders>
            <w:vAlign w:val="top"/>
          </w:tcPr>
          <w:p w14:paraId="52F4318B">
            <w:pPr>
              <w:pStyle w:val="7"/>
              <w:rPr>
                <w:color w:val="auto"/>
                <w:highlight w:val="none"/>
              </w:rPr>
            </w:pPr>
          </w:p>
        </w:tc>
        <w:tc>
          <w:tcPr>
            <w:tcW w:w="1484" w:type="dxa"/>
            <w:vAlign w:val="top"/>
          </w:tcPr>
          <w:p w14:paraId="6B5E780C">
            <w:pPr>
              <w:pStyle w:val="7"/>
              <w:rPr>
                <w:color w:val="auto"/>
                <w:highlight w:val="none"/>
              </w:rPr>
            </w:pPr>
          </w:p>
        </w:tc>
        <w:tc>
          <w:tcPr>
            <w:tcW w:w="1484" w:type="dxa"/>
            <w:vAlign w:val="top"/>
          </w:tcPr>
          <w:p w14:paraId="01B1BADA">
            <w:pPr>
              <w:pStyle w:val="7"/>
              <w:rPr>
                <w:color w:val="auto"/>
                <w:highlight w:val="none"/>
              </w:rPr>
            </w:pPr>
          </w:p>
        </w:tc>
        <w:tc>
          <w:tcPr>
            <w:tcW w:w="1493" w:type="dxa"/>
            <w:vAlign w:val="top"/>
          </w:tcPr>
          <w:p w14:paraId="1F84EBCE">
            <w:pPr>
              <w:pStyle w:val="7"/>
              <w:rPr>
                <w:color w:val="auto"/>
                <w:highlight w:val="none"/>
              </w:rPr>
            </w:pPr>
          </w:p>
        </w:tc>
      </w:tr>
      <w:tr w14:paraId="7A5CDE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62D1E644">
            <w:pPr>
              <w:pStyle w:val="7"/>
              <w:spacing w:line="280" w:lineRule="auto"/>
              <w:rPr>
                <w:color w:val="auto"/>
                <w:highlight w:val="none"/>
              </w:rPr>
            </w:pPr>
          </w:p>
          <w:p w14:paraId="59E4AEEE">
            <w:pPr>
              <w:pStyle w:val="7"/>
              <w:spacing w:line="280" w:lineRule="auto"/>
              <w:rPr>
                <w:color w:val="auto"/>
                <w:highlight w:val="none"/>
              </w:rPr>
            </w:pPr>
          </w:p>
          <w:p w14:paraId="7A6144DB">
            <w:pPr>
              <w:pStyle w:val="7"/>
              <w:spacing w:line="280" w:lineRule="auto"/>
              <w:rPr>
                <w:color w:val="auto"/>
                <w:highlight w:val="none"/>
              </w:rPr>
            </w:pPr>
          </w:p>
          <w:p w14:paraId="7DC95CF4">
            <w:pPr>
              <w:spacing w:before="58" w:line="183" w:lineRule="auto"/>
              <w:ind w:left="23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3_4</w:t>
            </w:r>
          </w:p>
        </w:tc>
        <w:tc>
          <w:tcPr>
            <w:tcW w:w="2457" w:type="dxa"/>
            <w:vMerge w:val="restart"/>
            <w:tcBorders>
              <w:bottom w:val="nil"/>
            </w:tcBorders>
            <w:vAlign w:val="top"/>
          </w:tcPr>
          <w:p w14:paraId="1D011274">
            <w:pPr>
              <w:pStyle w:val="7"/>
              <w:spacing w:line="250" w:lineRule="auto"/>
              <w:rPr>
                <w:color w:val="auto"/>
                <w:highlight w:val="none"/>
              </w:rPr>
            </w:pPr>
          </w:p>
          <w:p w14:paraId="3173AE8A">
            <w:pPr>
              <w:pStyle w:val="7"/>
              <w:spacing w:line="251" w:lineRule="auto"/>
              <w:rPr>
                <w:color w:val="auto"/>
                <w:highlight w:val="none"/>
              </w:rPr>
            </w:pPr>
          </w:p>
          <w:p w14:paraId="45C75211">
            <w:pPr>
              <w:pStyle w:val="7"/>
              <w:spacing w:line="251" w:lineRule="auto"/>
              <w:rPr>
                <w:color w:val="auto"/>
                <w:highlight w:val="none"/>
              </w:rPr>
            </w:pPr>
          </w:p>
          <w:p w14:paraId="61F1A4B3">
            <w:pPr>
              <w:spacing w:before="59" w:line="220" w:lineRule="auto"/>
              <w:ind w:left="41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主变压器过激磁保护</w:t>
            </w:r>
          </w:p>
        </w:tc>
        <w:tc>
          <w:tcPr>
            <w:tcW w:w="867" w:type="dxa"/>
            <w:vMerge w:val="restart"/>
            <w:tcBorders>
              <w:bottom w:val="nil"/>
            </w:tcBorders>
            <w:vAlign w:val="top"/>
          </w:tcPr>
          <w:p w14:paraId="4317B54A">
            <w:pPr>
              <w:pStyle w:val="7"/>
              <w:rPr>
                <w:color w:val="auto"/>
                <w:highlight w:val="none"/>
              </w:rPr>
            </w:pPr>
          </w:p>
        </w:tc>
        <w:tc>
          <w:tcPr>
            <w:tcW w:w="1484" w:type="dxa"/>
            <w:vAlign w:val="top"/>
          </w:tcPr>
          <w:p w14:paraId="30D182FF">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E4EA0BA">
            <w:pPr>
              <w:pStyle w:val="7"/>
              <w:rPr>
                <w:color w:val="auto"/>
                <w:highlight w:val="none"/>
              </w:rPr>
            </w:pPr>
          </w:p>
        </w:tc>
        <w:tc>
          <w:tcPr>
            <w:tcW w:w="1493" w:type="dxa"/>
            <w:vAlign w:val="top"/>
          </w:tcPr>
          <w:p w14:paraId="5BEABC7D">
            <w:pPr>
              <w:pStyle w:val="7"/>
              <w:rPr>
                <w:color w:val="auto"/>
                <w:highlight w:val="none"/>
              </w:rPr>
            </w:pPr>
          </w:p>
        </w:tc>
      </w:tr>
      <w:tr w14:paraId="70FEE0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B8FD076">
            <w:pPr>
              <w:pStyle w:val="7"/>
              <w:rPr>
                <w:color w:val="auto"/>
                <w:highlight w:val="none"/>
              </w:rPr>
            </w:pPr>
          </w:p>
        </w:tc>
        <w:tc>
          <w:tcPr>
            <w:tcW w:w="2457" w:type="dxa"/>
            <w:vMerge w:val="continue"/>
            <w:tcBorders>
              <w:top w:val="nil"/>
              <w:bottom w:val="nil"/>
            </w:tcBorders>
            <w:vAlign w:val="top"/>
          </w:tcPr>
          <w:p w14:paraId="16DEC9D1">
            <w:pPr>
              <w:pStyle w:val="7"/>
              <w:rPr>
                <w:color w:val="auto"/>
                <w:highlight w:val="none"/>
              </w:rPr>
            </w:pPr>
          </w:p>
        </w:tc>
        <w:tc>
          <w:tcPr>
            <w:tcW w:w="867" w:type="dxa"/>
            <w:vMerge w:val="continue"/>
            <w:tcBorders>
              <w:top w:val="nil"/>
              <w:bottom w:val="nil"/>
            </w:tcBorders>
            <w:vAlign w:val="top"/>
          </w:tcPr>
          <w:p w14:paraId="057B7BFC">
            <w:pPr>
              <w:pStyle w:val="7"/>
              <w:rPr>
                <w:color w:val="auto"/>
                <w:highlight w:val="none"/>
              </w:rPr>
            </w:pPr>
          </w:p>
        </w:tc>
        <w:tc>
          <w:tcPr>
            <w:tcW w:w="1484" w:type="dxa"/>
            <w:vAlign w:val="top"/>
          </w:tcPr>
          <w:p w14:paraId="35005C14">
            <w:pPr>
              <w:pStyle w:val="7"/>
              <w:rPr>
                <w:color w:val="auto"/>
                <w:highlight w:val="none"/>
              </w:rPr>
            </w:pPr>
          </w:p>
        </w:tc>
        <w:tc>
          <w:tcPr>
            <w:tcW w:w="1484" w:type="dxa"/>
            <w:vAlign w:val="top"/>
          </w:tcPr>
          <w:p w14:paraId="6CB59EEB">
            <w:pPr>
              <w:pStyle w:val="7"/>
              <w:rPr>
                <w:color w:val="auto"/>
                <w:highlight w:val="none"/>
              </w:rPr>
            </w:pPr>
          </w:p>
        </w:tc>
        <w:tc>
          <w:tcPr>
            <w:tcW w:w="1493" w:type="dxa"/>
            <w:vAlign w:val="top"/>
          </w:tcPr>
          <w:p w14:paraId="1FC23E29">
            <w:pPr>
              <w:pStyle w:val="7"/>
              <w:rPr>
                <w:color w:val="auto"/>
                <w:highlight w:val="none"/>
              </w:rPr>
            </w:pPr>
          </w:p>
        </w:tc>
      </w:tr>
      <w:tr w14:paraId="2149A5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362896E">
            <w:pPr>
              <w:pStyle w:val="7"/>
              <w:rPr>
                <w:color w:val="auto"/>
                <w:highlight w:val="none"/>
              </w:rPr>
            </w:pPr>
          </w:p>
        </w:tc>
        <w:tc>
          <w:tcPr>
            <w:tcW w:w="2457" w:type="dxa"/>
            <w:vMerge w:val="continue"/>
            <w:tcBorders>
              <w:top w:val="nil"/>
              <w:bottom w:val="nil"/>
            </w:tcBorders>
            <w:vAlign w:val="top"/>
          </w:tcPr>
          <w:p w14:paraId="110F749B">
            <w:pPr>
              <w:pStyle w:val="7"/>
              <w:rPr>
                <w:color w:val="auto"/>
                <w:highlight w:val="none"/>
              </w:rPr>
            </w:pPr>
          </w:p>
        </w:tc>
        <w:tc>
          <w:tcPr>
            <w:tcW w:w="867" w:type="dxa"/>
            <w:vMerge w:val="continue"/>
            <w:tcBorders>
              <w:top w:val="nil"/>
              <w:bottom w:val="nil"/>
            </w:tcBorders>
            <w:vAlign w:val="top"/>
          </w:tcPr>
          <w:p w14:paraId="44AB48D3">
            <w:pPr>
              <w:pStyle w:val="7"/>
              <w:rPr>
                <w:color w:val="auto"/>
                <w:highlight w:val="none"/>
              </w:rPr>
            </w:pPr>
          </w:p>
        </w:tc>
        <w:tc>
          <w:tcPr>
            <w:tcW w:w="1484" w:type="dxa"/>
            <w:vAlign w:val="top"/>
          </w:tcPr>
          <w:p w14:paraId="3583F020">
            <w:pPr>
              <w:spacing w:before="14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857F3C1">
            <w:pPr>
              <w:pStyle w:val="7"/>
              <w:rPr>
                <w:color w:val="auto"/>
                <w:highlight w:val="none"/>
              </w:rPr>
            </w:pPr>
          </w:p>
        </w:tc>
        <w:tc>
          <w:tcPr>
            <w:tcW w:w="1493" w:type="dxa"/>
            <w:vAlign w:val="top"/>
          </w:tcPr>
          <w:p w14:paraId="252EF226">
            <w:pPr>
              <w:pStyle w:val="7"/>
              <w:rPr>
                <w:color w:val="auto"/>
                <w:highlight w:val="none"/>
              </w:rPr>
            </w:pPr>
          </w:p>
        </w:tc>
      </w:tr>
      <w:tr w14:paraId="591AF1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4F38F753">
            <w:pPr>
              <w:pStyle w:val="7"/>
              <w:rPr>
                <w:color w:val="auto"/>
                <w:highlight w:val="none"/>
              </w:rPr>
            </w:pPr>
          </w:p>
        </w:tc>
        <w:tc>
          <w:tcPr>
            <w:tcW w:w="2457" w:type="dxa"/>
            <w:vMerge w:val="continue"/>
            <w:tcBorders>
              <w:top w:val="nil"/>
            </w:tcBorders>
            <w:vAlign w:val="top"/>
          </w:tcPr>
          <w:p w14:paraId="2DB33CC8">
            <w:pPr>
              <w:pStyle w:val="7"/>
              <w:rPr>
                <w:color w:val="auto"/>
                <w:highlight w:val="none"/>
              </w:rPr>
            </w:pPr>
          </w:p>
        </w:tc>
        <w:tc>
          <w:tcPr>
            <w:tcW w:w="867" w:type="dxa"/>
            <w:vMerge w:val="continue"/>
            <w:tcBorders>
              <w:top w:val="nil"/>
            </w:tcBorders>
            <w:vAlign w:val="top"/>
          </w:tcPr>
          <w:p w14:paraId="5E385E56">
            <w:pPr>
              <w:pStyle w:val="7"/>
              <w:rPr>
                <w:color w:val="auto"/>
                <w:highlight w:val="none"/>
              </w:rPr>
            </w:pPr>
          </w:p>
        </w:tc>
        <w:tc>
          <w:tcPr>
            <w:tcW w:w="1484" w:type="dxa"/>
            <w:vAlign w:val="top"/>
          </w:tcPr>
          <w:p w14:paraId="6D6E5B5F">
            <w:pPr>
              <w:pStyle w:val="7"/>
              <w:rPr>
                <w:color w:val="auto"/>
                <w:highlight w:val="none"/>
              </w:rPr>
            </w:pPr>
          </w:p>
        </w:tc>
        <w:tc>
          <w:tcPr>
            <w:tcW w:w="1484" w:type="dxa"/>
            <w:vAlign w:val="top"/>
          </w:tcPr>
          <w:p w14:paraId="686962A7">
            <w:pPr>
              <w:pStyle w:val="7"/>
              <w:rPr>
                <w:color w:val="auto"/>
                <w:highlight w:val="none"/>
              </w:rPr>
            </w:pPr>
          </w:p>
        </w:tc>
        <w:tc>
          <w:tcPr>
            <w:tcW w:w="1493" w:type="dxa"/>
            <w:vAlign w:val="top"/>
          </w:tcPr>
          <w:p w14:paraId="30A9C989">
            <w:pPr>
              <w:pStyle w:val="7"/>
              <w:rPr>
                <w:color w:val="auto"/>
                <w:highlight w:val="none"/>
              </w:rPr>
            </w:pPr>
          </w:p>
        </w:tc>
      </w:tr>
      <w:tr w14:paraId="7AFA8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42349EC">
            <w:pPr>
              <w:pStyle w:val="7"/>
              <w:spacing w:line="280" w:lineRule="auto"/>
              <w:rPr>
                <w:color w:val="auto"/>
                <w:highlight w:val="none"/>
              </w:rPr>
            </w:pPr>
          </w:p>
          <w:p w14:paraId="348078F1">
            <w:pPr>
              <w:pStyle w:val="7"/>
              <w:spacing w:line="280" w:lineRule="auto"/>
              <w:rPr>
                <w:color w:val="auto"/>
                <w:highlight w:val="none"/>
              </w:rPr>
            </w:pPr>
          </w:p>
          <w:p w14:paraId="1D42FDF9">
            <w:pPr>
              <w:pStyle w:val="7"/>
              <w:spacing w:line="280" w:lineRule="auto"/>
              <w:rPr>
                <w:color w:val="auto"/>
                <w:highlight w:val="none"/>
              </w:rPr>
            </w:pPr>
          </w:p>
          <w:p w14:paraId="5A7A3980">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3_5</w:t>
            </w:r>
          </w:p>
        </w:tc>
        <w:tc>
          <w:tcPr>
            <w:tcW w:w="2457" w:type="dxa"/>
            <w:vMerge w:val="restart"/>
            <w:tcBorders>
              <w:bottom w:val="nil"/>
            </w:tcBorders>
            <w:vAlign w:val="top"/>
          </w:tcPr>
          <w:p w14:paraId="7B951F08">
            <w:pPr>
              <w:pStyle w:val="7"/>
              <w:spacing w:line="251" w:lineRule="auto"/>
              <w:rPr>
                <w:color w:val="auto"/>
                <w:highlight w:val="none"/>
              </w:rPr>
            </w:pPr>
          </w:p>
          <w:p w14:paraId="5F483B00">
            <w:pPr>
              <w:pStyle w:val="7"/>
              <w:spacing w:line="252" w:lineRule="auto"/>
              <w:rPr>
                <w:color w:val="auto"/>
                <w:highlight w:val="none"/>
              </w:rPr>
            </w:pPr>
          </w:p>
          <w:p w14:paraId="6EDFDAC9">
            <w:pPr>
              <w:pStyle w:val="7"/>
              <w:spacing w:line="252" w:lineRule="auto"/>
              <w:rPr>
                <w:color w:val="auto"/>
                <w:highlight w:val="none"/>
              </w:rPr>
            </w:pPr>
          </w:p>
          <w:p w14:paraId="0C1663CD">
            <w:pPr>
              <w:spacing w:before="58" w:line="220" w:lineRule="auto"/>
              <w:ind w:left="41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主变压器过电流保护</w:t>
            </w:r>
          </w:p>
        </w:tc>
        <w:tc>
          <w:tcPr>
            <w:tcW w:w="867" w:type="dxa"/>
            <w:vMerge w:val="restart"/>
            <w:tcBorders>
              <w:bottom w:val="nil"/>
            </w:tcBorders>
            <w:vAlign w:val="top"/>
          </w:tcPr>
          <w:p w14:paraId="413389C3">
            <w:pPr>
              <w:pStyle w:val="7"/>
              <w:rPr>
                <w:color w:val="auto"/>
                <w:highlight w:val="none"/>
              </w:rPr>
            </w:pPr>
          </w:p>
        </w:tc>
        <w:tc>
          <w:tcPr>
            <w:tcW w:w="1484" w:type="dxa"/>
            <w:vAlign w:val="top"/>
          </w:tcPr>
          <w:p w14:paraId="00AC4E8D">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01D2087B">
            <w:pPr>
              <w:pStyle w:val="7"/>
              <w:rPr>
                <w:color w:val="auto"/>
                <w:highlight w:val="none"/>
              </w:rPr>
            </w:pPr>
          </w:p>
        </w:tc>
        <w:tc>
          <w:tcPr>
            <w:tcW w:w="1493" w:type="dxa"/>
            <w:vAlign w:val="top"/>
          </w:tcPr>
          <w:p w14:paraId="0C7CBEF3">
            <w:pPr>
              <w:pStyle w:val="7"/>
              <w:rPr>
                <w:color w:val="auto"/>
                <w:highlight w:val="none"/>
              </w:rPr>
            </w:pPr>
          </w:p>
        </w:tc>
      </w:tr>
      <w:tr w14:paraId="00BC3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02433D86">
            <w:pPr>
              <w:pStyle w:val="7"/>
              <w:rPr>
                <w:color w:val="auto"/>
                <w:highlight w:val="none"/>
              </w:rPr>
            </w:pPr>
          </w:p>
        </w:tc>
        <w:tc>
          <w:tcPr>
            <w:tcW w:w="2457" w:type="dxa"/>
            <w:vMerge w:val="continue"/>
            <w:tcBorders>
              <w:top w:val="nil"/>
              <w:bottom w:val="nil"/>
            </w:tcBorders>
            <w:vAlign w:val="top"/>
          </w:tcPr>
          <w:p w14:paraId="0805AD9C">
            <w:pPr>
              <w:pStyle w:val="7"/>
              <w:rPr>
                <w:color w:val="auto"/>
                <w:highlight w:val="none"/>
              </w:rPr>
            </w:pPr>
          </w:p>
        </w:tc>
        <w:tc>
          <w:tcPr>
            <w:tcW w:w="867" w:type="dxa"/>
            <w:vMerge w:val="continue"/>
            <w:tcBorders>
              <w:top w:val="nil"/>
              <w:bottom w:val="nil"/>
            </w:tcBorders>
            <w:vAlign w:val="top"/>
          </w:tcPr>
          <w:p w14:paraId="47C8FCCE">
            <w:pPr>
              <w:pStyle w:val="7"/>
              <w:rPr>
                <w:color w:val="auto"/>
                <w:highlight w:val="none"/>
              </w:rPr>
            </w:pPr>
          </w:p>
        </w:tc>
        <w:tc>
          <w:tcPr>
            <w:tcW w:w="1484" w:type="dxa"/>
            <w:vAlign w:val="top"/>
          </w:tcPr>
          <w:p w14:paraId="50D338E8">
            <w:pPr>
              <w:pStyle w:val="7"/>
              <w:rPr>
                <w:color w:val="auto"/>
                <w:highlight w:val="none"/>
              </w:rPr>
            </w:pPr>
          </w:p>
        </w:tc>
        <w:tc>
          <w:tcPr>
            <w:tcW w:w="1484" w:type="dxa"/>
            <w:vAlign w:val="top"/>
          </w:tcPr>
          <w:p w14:paraId="14F0A7D2">
            <w:pPr>
              <w:pStyle w:val="7"/>
              <w:rPr>
                <w:color w:val="auto"/>
                <w:highlight w:val="none"/>
              </w:rPr>
            </w:pPr>
          </w:p>
        </w:tc>
        <w:tc>
          <w:tcPr>
            <w:tcW w:w="1493" w:type="dxa"/>
            <w:vAlign w:val="top"/>
          </w:tcPr>
          <w:p w14:paraId="76B7EC01">
            <w:pPr>
              <w:pStyle w:val="7"/>
              <w:rPr>
                <w:color w:val="auto"/>
                <w:highlight w:val="none"/>
              </w:rPr>
            </w:pPr>
          </w:p>
        </w:tc>
      </w:tr>
      <w:tr w14:paraId="7F4B4E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A07A4D0">
            <w:pPr>
              <w:pStyle w:val="7"/>
              <w:rPr>
                <w:color w:val="auto"/>
                <w:highlight w:val="none"/>
              </w:rPr>
            </w:pPr>
          </w:p>
        </w:tc>
        <w:tc>
          <w:tcPr>
            <w:tcW w:w="2457" w:type="dxa"/>
            <w:vMerge w:val="continue"/>
            <w:tcBorders>
              <w:top w:val="nil"/>
              <w:bottom w:val="nil"/>
            </w:tcBorders>
            <w:vAlign w:val="top"/>
          </w:tcPr>
          <w:p w14:paraId="2727F93C">
            <w:pPr>
              <w:pStyle w:val="7"/>
              <w:rPr>
                <w:color w:val="auto"/>
                <w:highlight w:val="none"/>
              </w:rPr>
            </w:pPr>
          </w:p>
        </w:tc>
        <w:tc>
          <w:tcPr>
            <w:tcW w:w="867" w:type="dxa"/>
            <w:vMerge w:val="continue"/>
            <w:tcBorders>
              <w:top w:val="nil"/>
              <w:bottom w:val="nil"/>
            </w:tcBorders>
            <w:vAlign w:val="top"/>
          </w:tcPr>
          <w:p w14:paraId="0FBD8EA0">
            <w:pPr>
              <w:pStyle w:val="7"/>
              <w:rPr>
                <w:color w:val="auto"/>
                <w:highlight w:val="none"/>
              </w:rPr>
            </w:pPr>
          </w:p>
        </w:tc>
        <w:tc>
          <w:tcPr>
            <w:tcW w:w="1484" w:type="dxa"/>
            <w:vAlign w:val="top"/>
          </w:tcPr>
          <w:p w14:paraId="7E83293A">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3AA2110">
            <w:pPr>
              <w:pStyle w:val="7"/>
              <w:rPr>
                <w:color w:val="auto"/>
                <w:highlight w:val="none"/>
              </w:rPr>
            </w:pPr>
          </w:p>
        </w:tc>
        <w:tc>
          <w:tcPr>
            <w:tcW w:w="1493" w:type="dxa"/>
            <w:vAlign w:val="top"/>
          </w:tcPr>
          <w:p w14:paraId="6927C9EC">
            <w:pPr>
              <w:pStyle w:val="7"/>
              <w:rPr>
                <w:color w:val="auto"/>
                <w:highlight w:val="none"/>
              </w:rPr>
            </w:pPr>
          </w:p>
        </w:tc>
      </w:tr>
      <w:tr w14:paraId="76D6E9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9819FBB">
            <w:pPr>
              <w:pStyle w:val="7"/>
              <w:rPr>
                <w:color w:val="auto"/>
                <w:highlight w:val="none"/>
              </w:rPr>
            </w:pPr>
          </w:p>
        </w:tc>
        <w:tc>
          <w:tcPr>
            <w:tcW w:w="2457" w:type="dxa"/>
            <w:vMerge w:val="continue"/>
            <w:tcBorders>
              <w:top w:val="nil"/>
            </w:tcBorders>
            <w:vAlign w:val="top"/>
          </w:tcPr>
          <w:p w14:paraId="5FD18717">
            <w:pPr>
              <w:pStyle w:val="7"/>
              <w:rPr>
                <w:color w:val="auto"/>
                <w:highlight w:val="none"/>
              </w:rPr>
            </w:pPr>
          </w:p>
        </w:tc>
        <w:tc>
          <w:tcPr>
            <w:tcW w:w="867" w:type="dxa"/>
            <w:vMerge w:val="continue"/>
            <w:tcBorders>
              <w:top w:val="nil"/>
            </w:tcBorders>
            <w:vAlign w:val="top"/>
          </w:tcPr>
          <w:p w14:paraId="02DC93AA">
            <w:pPr>
              <w:pStyle w:val="7"/>
              <w:rPr>
                <w:color w:val="auto"/>
                <w:highlight w:val="none"/>
              </w:rPr>
            </w:pPr>
          </w:p>
        </w:tc>
        <w:tc>
          <w:tcPr>
            <w:tcW w:w="1484" w:type="dxa"/>
            <w:vAlign w:val="top"/>
          </w:tcPr>
          <w:p w14:paraId="542C509A">
            <w:pPr>
              <w:pStyle w:val="7"/>
              <w:rPr>
                <w:color w:val="auto"/>
                <w:highlight w:val="none"/>
              </w:rPr>
            </w:pPr>
          </w:p>
        </w:tc>
        <w:tc>
          <w:tcPr>
            <w:tcW w:w="1484" w:type="dxa"/>
            <w:vAlign w:val="top"/>
          </w:tcPr>
          <w:p w14:paraId="1B2FEC00">
            <w:pPr>
              <w:pStyle w:val="7"/>
              <w:rPr>
                <w:color w:val="auto"/>
                <w:highlight w:val="none"/>
              </w:rPr>
            </w:pPr>
          </w:p>
        </w:tc>
        <w:tc>
          <w:tcPr>
            <w:tcW w:w="1493" w:type="dxa"/>
            <w:vAlign w:val="top"/>
          </w:tcPr>
          <w:p w14:paraId="71A1DD07">
            <w:pPr>
              <w:pStyle w:val="7"/>
              <w:rPr>
                <w:color w:val="auto"/>
                <w:highlight w:val="none"/>
              </w:rPr>
            </w:pPr>
          </w:p>
        </w:tc>
      </w:tr>
      <w:tr w14:paraId="077765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1FAB5E21">
            <w:pPr>
              <w:pStyle w:val="7"/>
              <w:spacing w:line="280" w:lineRule="auto"/>
              <w:rPr>
                <w:color w:val="auto"/>
                <w:highlight w:val="none"/>
              </w:rPr>
            </w:pPr>
          </w:p>
          <w:p w14:paraId="3F8DA201">
            <w:pPr>
              <w:pStyle w:val="7"/>
              <w:spacing w:line="280" w:lineRule="auto"/>
              <w:rPr>
                <w:color w:val="auto"/>
                <w:highlight w:val="none"/>
              </w:rPr>
            </w:pPr>
          </w:p>
          <w:p w14:paraId="783EB9B2">
            <w:pPr>
              <w:pStyle w:val="7"/>
              <w:spacing w:line="281" w:lineRule="auto"/>
              <w:rPr>
                <w:color w:val="auto"/>
                <w:highlight w:val="none"/>
              </w:rPr>
            </w:pPr>
          </w:p>
          <w:p w14:paraId="46DA3F23">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3_6</w:t>
            </w:r>
          </w:p>
        </w:tc>
        <w:tc>
          <w:tcPr>
            <w:tcW w:w="2457" w:type="dxa"/>
            <w:vMerge w:val="restart"/>
            <w:tcBorders>
              <w:bottom w:val="nil"/>
            </w:tcBorders>
            <w:vAlign w:val="top"/>
          </w:tcPr>
          <w:p w14:paraId="578812C6">
            <w:pPr>
              <w:pStyle w:val="7"/>
              <w:spacing w:line="252" w:lineRule="auto"/>
              <w:rPr>
                <w:color w:val="auto"/>
                <w:highlight w:val="none"/>
              </w:rPr>
            </w:pPr>
          </w:p>
          <w:p w14:paraId="57228B93">
            <w:pPr>
              <w:pStyle w:val="7"/>
              <w:spacing w:line="252" w:lineRule="auto"/>
              <w:rPr>
                <w:color w:val="auto"/>
                <w:highlight w:val="none"/>
              </w:rPr>
            </w:pPr>
          </w:p>
          <w:p w14:paraId="52748F1C">
            <w:pPr>
              <w:pStyle w:val="7"/>
              <w:spacing w:line="252" w:lineRule="auto"/>
              <w:rPr>
                <w:color w:val="auto"/>
                <w:highlight w:val="none"/>
              </w:rPr>
            </w:pPr>
          </w:p>
          <w:p w14:paraId="66D05F03">
            <w:pPr>
              <w:spacing w:before="59" w:line="219" w:lineRule="auto"/>
              <w:ind w:left="14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主变压器断路器非全相保护</w:t>
            </w:r>
          </w:p>
        </w:tc>
        <w:tc>
          <w:tcPr>
            <w:tcW w:w="867" w:type="dxa"/>
            <w:vMerge w:val="restart"/>
            <w:tcBorders>
              <w:bottom w:val="nil"/>
            </w:tcBorders>
            <w:vAlign w:val="top"/>
          </w:tcPr>
          <w:p w14:paraId="7AC9B8E4">
            <w:pPr>
              <w:pStyle w:val="7"/>
              <w:rPr>
                <w:color w:val="auto"/>
                <w:highlight w:val="none"/>
              </w:rPr>
            </w:pPr>
          </w:p>
        </w:tc>
        <w:tc>
          <w:tcPr>
            <w:tcW w:w="1484" w:type="dxa"/>
            <w:vAlign w:val="top"/>
          </w:tcPr>
          <w:p w14:paraId="27775E83">
            <w:pPr>
              <w:spacing w:before="145"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1AA0EDC">
            <w:pPr>
              <w:pStyle w:val="7"/>
              <w:rPr>
                <w:color w:val="auto"/>
                <w:highlight w:val="none"/>
              </w:rPr>
            </w:pPr>
          </w:p>
        </w:tc>
        <w:tc>
          <w:tcPr>
            <w:tcW w:w="1493" w:type="dxa"/>
            <w:vAlign w:val="top"/>
          </w:tcPr>
          <w:p w14:paraId="0439679A">
            <w:pPr>
              <w:pStyle w:val="7"/>
              <w:rPr>
                <w:color w:val="auto"/>
                <w:highlight w:val="none"/>
              </w:rPr>
            </w:pPr>
          </w:p>
        </w:tc>
      </w:tr>
      <w:tr w14:paraId="088ACF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5BA22D9">
            <w:pPr>
              <w:pStyle w:val="7"/>
              <w:rPr>
                <w:color w:val="auto"/>
                <w:highlight w:val="none"/>
              </w:rPr>
            </w:pPr>
          </w:p>
        </w:tc>
        <w:tc>
          <w:tcPr>
            <w:tcW w:w="2457" w:type="dxa"/>
            <w:vMerge w:val="continue"/>
            <w:tcBorders>
              <w:top w:val="nil"/>
              <w:bottom w:val="nil"/>
            </w:tcBorders>
            <w:vAlign w:val="top"/>
          </w:tcPr>
          <w:p w14:paraId="07B5B7F4">
            <w:pPr>
              <w:pStyle w:val="7"/>
              <w:rPr>
                <w:color w:val="auto"/>
                <w:highlight w:val="none"/>
              </w:rPr>
            </w:pPr>
          </w:p>
        </w:tc>
        <w:tc>
          <w:tcPr>
            <w:tcW w:w="867" w:type="dxa"/>
            <w:vMerge w:val="continue"/>
            <w:tcBorders>
              <w:top w:val="nil"/>
              <w:bottom w:val="nil"/>
            </w:tcBorders>
            <w:vAlign w:val="top"/>
          </w:tcPr>
          <w:p w14:paraId="23C28C1C">
            <w:pPr>
              <w:pStyle w:val="7"/>
              <w:rPr>
                <w:color w:val="auto"/>
                <w:highlight w:val="none"/>
              </w:rPr>
            </w:pPr>
          </w:p>
        </w:tc>
        <w:tc>
          <w:tcPr>
            <w:tcW w:w="1484" w:type="dxa"/>
            <w:vAlign w:val="top"/>
          </w:tcPr>
          <w:p w14:paraId="51C6C9F8">
            <w:pPr>
              <w:pStyle w:val="7"/>
              <w:rPr>
                <w:color w:val="auto"/>
                <w:highlight w:val="none"/>
              </w:rPr>
            </w:pPr>
          </w:p>
        </w:tc>
        <w:tc>
          <w:tcPr>
            <w:tcW w:w="1484" w:type="dxa"/>
            <w:vAlign w:val="top"/>
          </w:tcPr>
          <w:p w14:paraId="5398D1DE">
            <w:pPr>
              <w:pStyle w:val="7"/>
              <w:rPr>
                <w:color w:val="auto"/>
                <w:highlight w:val="none"/>
              </w:rPr>
            </w:pPr>
          </w:p>
        </w:tc>
        <w:tc>
          <w:tcPr>
            <w:tcW w:w="1493" w:type="dxa"/>
            <w:vAlign w:val="top"/>
          </w:tcPr>
          <w:p w14:paraId="231E7381">
            <w:pPr>
              <w:pStyle w:val="7"/>
              <w:rPr>
                <w:color w:val="auto"/>
                <w:highlight w:val="none"/>
              </w:rPr>
            </w:pPr>
          </w:p>
        </w:tc>
      </w:tr>
      <w:tr w14:paraId="047DD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BDDE157">
            <w:pPr>
              <w:pStyle w:val="7"/>
              <w:rPr>
                <w:color w:val="auto"/>
                <w:highlight w:val="none"/>
              </w:rPr>
            </w:pPr>
          </w:p>
        </w:tc>
        <w:tc>
          <w:tcPr>
            <w:tcW w:w="2457" w:type="dxa"/>
            <w:vMerge w:val="continue"/>
            <w:tcBorders>
              <w:top w:val="nil"/>
              <w:bottom w:val="nil"/>
            </w:tcBorders>
            <w:vAlign w:val="top"/>
          </w:tcPr>
          <w:p w14:paraId="497CF37B">
            <w:pPr>
              <w:pStyle w:val="7"/>
              <w:rPr>
                <w:color w:val="auto"/>
                <w:highlight w:val="none"/>
              </w:rPr>
            </w:pPr>
          </w:p>
        </w:tc>
        <w:tc>
          <w:tcPr>
            <w:tcW w:w="867" w:type="dxa"/>
            <w:vMerge w:val="continue"/>
            <w:tcBorders>
              <w:top w:val="nil"/>
              <w:bottom w:val="nil"/>
            </w:tcBorders>
            <w:vAlign w:val="top"/>
          </w:tcPr>
          <w:p w14:paraId="6459421A">
            <w:pPr>
              <w:pStyle w:val="7"/>
              <w:rPr>
                <w:color w:val="auto"/>
                <w:highlight w:val="none"/>
              </w:rPr>
            </w:pPr>
          </w:p>
        </w:tc>
        <w:tc>
          <w:tcPr>
            <w:tcW w:w="1484" w:type="dxa"/>
            <w:vAlign w:val="top"/>
          </w:tcPr>
          <w:p w14:paraId="32A869F1">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E0CF6B4">
            <w:pPr>
              <w:pStyle w:val="7"/>
              <w:rPr>
                <w:color w:val="auto"/>
                <w:highlight w:val="none"/>
              </w:rPr>
            </w:pPr>
          </w:p>
        </w:tc>
        <w:tc>
          <w:tcPr>
            <w:tcW w:w="1493" w:type="dxa"/>
            <w:vAlign w:val="top"/>
          </w:tcPr>
          <w:p w14:paraId="5FEA7BF0">
            <w:pPr>
              <w:pStyle w:val="7"/>
              <w:rPr>
                <w:color w:val="auto"/>
                <w:highlight w:val="none"/>
              </w:rPr>
            </w:pPr>
          </w:p>
        </w:tc>
      </w:tr>
      <w:tr w14:paraId="6FB1EA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77B4361D">
            <w:pPr>
              <w:pStyle w:val="7"/>
              <w:rPr>
                <w:color w:val="auto"/>
                <w:highlight w:val="none"/>
              </w:rPr>
            </w:pPr>
          </w:p>
        </w:tc>
        <w:tc>
          <w:tcPr>
            <w:tcW w:w="2457" w:type="dxa"/>
            <w:vMerge w:val="continue"/>
            <w:tcBorders>
              <w:top w:val="nil"/>
            </w:tcBorders>
            <w:vAlign w:val="top"/>
          </w:tcPr>
          <w:p w14:paraId="01DAAF20">
            <w:pPr>
              <w:pStyle w:val="7"/>
              <w:rPr>
                <w:color w:val="auto"/>
                <w:highlight w:val="none"/>
              </w:rPr>
            </w:pPr>
          </w:p>
        </w:tc>
        <w:tc>
          <w:tcPr>
            <w:tcW w:w="867" w:type="dxa"/>
            <w:vMerge w:val="continue"/>
            <w:tcBorders>
              <w:top w:val="nil"/>
            </w:tcBorders>
            <w:vAlign w:val="top"/>
          </w:tcPr>
          <w:p w14:paraId="18DF5B2D">
            <w:pPr>
              <w:pStyle w:val="7"/>
              <w:rPr>
                <w:color w:val="auto"/>
                <w:highlight w:val="none"/>
              </w:rPr>
            </w:pPr>
          </w:p>
        </w:tc>
        <w:tc>
          <w:tcPr>
            <w:tcW w:w="1484" w:type="dxa"/>
            <w:vAlign w:val="top"/>
          </w:tcPr>
          <w:p w14:paraId="38317588">
            <w:pPr>
              <w:pStyle w:val="7"/>
              <w:rPr>
                <w:color w:val="auto"/>
                <w:highlight w:val="none"/>
              </w:rPr>
            </w:pPr>
          </w:p>
        </w:tc>
        <w:tc>
          <w:tcPr>
            <w:tcW w:w="1484" w:type="dxa"/>
            <w:vAlign w:val="top"/>
          </w:tcPr>
          <w:p w14:paraId="4970A839">
            <w:pPr>
              <w:pStyle w:val="7"/>
              <w:rPr>
                <w:color w:val="auto"/>
                <w:highlight w:val="none"/>
              </w:rPr>
            </w:pPr>
          </w:p>
        </w:tc>
        <w:tc>
          <w:tcPr>
            <w:tcW w:w="1493" w:type="dxa"/>
            <w:vAlign w:val="top"/>
          </w:tcPr>
          <w:p w14:paraId="18D52927">
            <w:pPr>
              <w:pStyle w:val="7"/>
              <w:rPr>
                <w:color w:val="auto"/>
                <w:highlight w:val="none"/>
              </w:rPr>
            </w:pPr>
          </w:p>
        </w:tc>
      </w:tr>
      <w:tr w14:paraId="306FC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59C3357">
            <w:pPr>
              <w:pStyle w:val="7"/>
              <w:spacing w:line="282" w:lineRule="auto"/>
              <w:rPr>
                <w:color w:val="auto"/>
                <w:highlight w:val="none"/>
              </w:rPr>
            </w:pPr>
          </w:p>
          <w:p w14:paraId="53EC3533">
            <w:pPr>
              <w:pStyle w:val="7"/>
              <w:spacing w:line="282" w:lineRule="auto"/>
              <w:rPr>
                <w:color w:val="auto"/>
                <w:highlight w:val="none"/>
              </w:rPr>
            </w:pPr>
          </w:p>
          <w:p w14:paraId="5B9693B7">
            <w:pPr>
              <w:pStyle w:val="7"/>
              <w:spacing w:line="283" w:lineRule="auto"/>
              <w:rPr>
                <w:color w:val="auto"/>
                <w:highlight w:val="none"/>
              </w:rPr>
            </w:pPr>
          </w:p>
          <w:p w14:paraId="065BA153">
            <w:pPr>
              <w:spacing w:before="58" w:line="183" w:lineRule="auto"/>
              <w:ind w:left="235"/>
              <w:rPr>
                <w:rFonts w:ascii="宋体" w:hAnsi="宋体" w:eastAsia="宋体" w:cs="宋体"/>
                <w:color w:val="auto"/>
                <w:sz w:val="18"/>
                <w:szCs w:val="18"/>
                <w:highlight w:val="none"/>
              </w:rPr>
            </w:pPr>
            <w:r>
              <w:rPr>
                <w:rFonts w:ascii="宋体" w:hAnsi="宋体" w:eastAsia="宋体" w:cs="宋体"/>
                <w:color w:val="auto"/>
                <w:sz w:val="18"/>
                <w:szCs w:val="18"/>
                <w:highlight w:val="none"/>
              </w:rPr>
              <w:t>3_7</w:t>
            </w:r>
          </w:p>
        </w:tc>
        <w:tc>
          <w:tcPr>
            <w:tcW w:w="2457" w:type="dxa"/>
            <w:vMerge w:val="restart"/>
            <w:tcBorders>
              <w:bottom w:val="nil"/>
            </w:tcBorders>
            <w:vAlign w:val="top"/>
          </w:tcPr>
          <w:p w14:paraId="327D0435">
            <w:pPr>
              <w:pStyle w:val="7"/>
              <w:spacing w:line="253" w:lineRule="auto"/>
              <w:rPr>
                <w:color w:val="auto"/>
                <w:highlight w:val="none"/>
              </w:rPr>
            </w:pPr>
          </w:p>
          <w:p w14:paraId="360EE8F2">
            <w:pPr>
              <w:pStyle w:val="7"/>
              <w:spacing w:line="253" w:lineRule="auto"/>
              <w:rPr>
                <w:color w:val="auto"/>
                <w:highlight w:val="none"/>
              </w:rPr>
            </w:pPr>
          </w:p>
          <w:p w14:paraId="6917827E">
            <w:pPr>
              <w:pStyle w:val="7"/>
              <w:spacing w:line="253" w:lineRule="auto"/>
              <w:rPr>
                <w:color w:val="auto"/>
                <w:highlight w:val="none"/>
              </w:rPr>
            </w:pPr>
          </w:p>
          <w:p w14:paraId="6DAA669B">
            <w:pPr>
              <w:spacing w:before="59" w:line="219" w:lineRule="auto"/>
              <w:ind w:left="23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主变压器断路器闪络保护</w:t>
            </w:r>
          </w:p>
        </w:tc>
        <w:tc>
          <w:tcPr>
            <w:tcW w:w="867" w:type="dxa"/>
            <w:vMerge w:val="restart"/>
            <w:tcBorders>
              <w:bottom w:val="nil"/>
            </w:tcBorders>
            <w:vAlign w:val="top"/>
          </w:tcPr>
          <w:p w14:paraId="3B4D6EDA">
            <w:pPr>
              <w:pStyle w:val="7"/>
              <w:rPr>
                <w:color w:val="auto"/>
                <w:highlight w:val="none"/>
              </w:rPr>
            </w:pPr>
          </w:p>
        </w:tc>
        <w:tc>
          <w:tcPr>
            <w:tcW w:w="1484" w:type="dxa"/>
            <w:vAlign w:val="top"/>
          </w:tcPr>
          <w:p w14:paraId="3CAC403C">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24205357">
            <w:pPr>
              <w:pStyle w:val="7"/>
              <w:rPr>
                <w:color w:val="auto"/>
                <w:highlight w:val="none"/>
              </w:rPr>
            </w:pPr>
          </w:p>
        </w:tc>
        <w:tc>
          <w:tcPr>
            <w:tcW w:w="1493" w:type="dxa"/>
            <w:vAlign w:val="top"/>
          </w:tcPr>
          <w:p w14:paraId="32049CEF">
            <w:pPr>
              <w:pStyle w:val="7"/>
              <w:rPr>
                <w:color w:val="auto"/>
                <w:highlight w:val="none"/>
              </w:rPr>
            </w:pPr>
          </w:p>
        </w:tc>
      </w:tr>
      <w:tr w14:paraId="4D2CA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24C5C6C7">
            <w:pPr>
              <w:pStyle w:val="7"/>
              <w:rPr>
                <w:color w:val="auto"/>
                <w:highlight w:val="none"/>
              </w:rPr>
            </w:pPr>
          </w:p>
        </w:tc>
        <w:tc>
          <w:tcPr>
            <w:tcW w:w="2457" w:type="dxa"/>
            <w:vMerge w:val="continue"/>
            <w:tcBorders>
              <w:top w:val="nil"/>
              <w:bottom w:val="nil"/>
            </w:tcBorders>
            <w:vAlign w:val="top"/>
          </w:tcPr>
          <w:p w14:paraId="73D903C6">
            <w:pPr>
              <w:pStyle w:val="7"/>
              <w:rPr>
                <w:color w:val="auto"/>
                <w:highlight w:val="none"/>
              </w:rPr>
            </w:pPr>
          </w:p>
        </w:tc>
        <w:tc>
          <w:tcPr>
            <w:tcW w:w="867" w:type="dxa"/>
            <w:vMerge w:val="continue"/>
            <w:tcBorders>
              <w:top w:val="nil"/>
              <w:bottom w:val="nil"/>
            </w:tcBorders>
            <w:vAlign w:val="top"/>
          </w:tcPr>
          <w:p w14:paraId="2FBEDE84">
            <w:pPr>
              <w:pStyle w:val="7"/>
              <w:rPr>
                <w:color w:val="auto"/>
                <w:highlight w:val="none"/>
              </w:rPr>
            </w:pPr>
          </w:p>
        </w:tc>
        <w:tc>
          <w:tcPr>
            <w:tcW w:w="1484" w:type="dxa"/>
            <w:vAlign w:val="top"/>
          </w:tcPr>
          <w:p w14:paraId="32309646">
            <w:pPr>
              <w:pStyle w:val="7"/>
              <w:rPr>
                <w:color w:val="auto"/>
                <w:highlight w:val="none"/>
              </w:rPr>
            </w:pPr>
          </w:p>
        </w:tc>
        <w:tc>
          <w:tcPr>
            <w:tcW w:w="1484" w:type="dxa"/>
            <w:vAlign w:val="top"/>
          </w:tcPr>
          <w:p w14:paraId="549E2BE6">
            <w:pPr>
              <w:pStyle w:val="7"/>
              <w:rPr>
                <w:color w:val="auto"/>
                <w:highlight w:val="none"/>
              </w:rPr>
            </w:pPr>
          </w:p>
        </w:tc>
        <w:tc>
          <w:tcPr>
            <w:tcW w:w="1493" w:type="dxa"/>
            <w:vAlign w:val="top"/>
          </w:tcPr>
          <w:p w14:paraId="2620F794">
            <w:pPr>
              <w:pStyle w:val="7"/>
              <w:rPr>
                <w:color w:val="auto"/>
                <w:highlight w:val="none"/>
              </w:rPr>
            </w:pPr>
          </w:p>
        </w:tc>
      </w:tr>
      <w:tr w14:paraId="1A276D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F1380F9">
            <w:pPr>
              <w:pStyle w:val="7"/>
              <w:rPr>
                <w:color w:val="auto"/>
                <w:highlight w:val="none"/>
              </w:rPr>
            </w:pPr>
          </w:p>
        </w:tc>
        <w:tc>
          <w:tcPr>
            <w:tcW w:w="2457" w:type="dxa"/>
            <w:vMerge w:val="continue"/>
            <w:tcBorders>
              <w:top w:val="nil"/>
              <w:bottom w:val="nil"/>
            </w:tcBorders>
            <w:vAlign w:val="top"/>
          </w:tcPr>
          <w:p w14:paraId="43CE3A25">
            <w:pPr>
              <w:pStyle w:val="7"/>
              <w:rPr>
                <w:color w:val="auto"/>
                <w:highlight w:val="none"/>
              </w:rPr>
            </w:pPr>
          </w:p>
        </w:tc>
        <w:tc>
          <w:tcPr>
            <w:tcW w:w="867" w:type="dxa"/>
            <w:vMerge w:val="continue"/>
            <w:tcBorders>
              <w:top w:val="nil"/>
              <w:bottom w:val="nil"/>
            </w:tcBorders>
            <w:vAlign w:val="top"/>
          </w:tcPr>
          <w:p w14:paraId="231F0AC8">
            <w:pPr>
              <w:pStyle w:val="7"/>
              <w:rPr>
                <w:color w:val="auto"/>
                <w:highlight w:val="none"/>
              </w:rPr>
            </w:pPr>
          </w:p>
        </w:tc>
        <w:tc>
          <w:tcPr>
            <w:tcW w:w="1484" w:type="dxa"/>
            <w:vAlign w:val="top"/>
          </w:tcPr>
          <w:p w14:paraId="31564340">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F76DF36">
            <w:pPr>
              <w:pStyle w:val="7"/>
              <w:rPr>
                <w:color w:val="auto"/>
                <w:highlight w:val="none"/>
              </w:rPr>
            </w:pPr>
          </w:p>
        </w:tc>
        <w:tc>
          <w:tcPr>
            <w:tcW w:w="1493" w:type="dxa"/>
            <w:vAlign w:val="top"/>
          </w:tcPr>
          <w:p w14:paraId="2059EC8C">
            <w:pPr>
              <w:pStyle w:val="7"/>
              <w:rPr>
                <w:color w:val="auto"/>
                <w:highlight w:val="none"/>
              </w:rPr>
            </w:pPr>
          </w:p>
        </w:tc>
      </w:tr>
      <w:tr w14:paraId="55B7B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D17F71B">
            <w:pPr>
              <w:pStyle w:val="7"/>
              <w:rPr>
                <w:color w:val="auto"/>
                <w:highlight w:val="none"/>
              </w:rPr>
            </w:pPr>
          </w:p>
        </w:tc>
        <w:tc>
          <w:tcPr>
            <w:tcW w:w="2457" w:type="dxa"/>
            <w:vMerge w:val="continue"/>
            <w:tcBorders>
              <w:top w:val="nil"/>
            </w:tcBorders>
            <w:vAlign w:val="top"/>
          </w:tcPr>
          <w:p w14:paraId="5834018D">
            <w:pPr>
              <w:pStyle w:val="7"/>
              <w:rPr>
                <w:color w:val="auto"/>
                <w:highlight w:val="none"/>
              </w:rPr>
            </w:pPr>
          </w:p>
        </w:tc>
        <w:tc>
          <w:tcPr>
            <w:tcW w:w="867" w:type="dxa"/>
            <w:vMerge w:val="continue"/>
            <w:tcBorders>
              <w:top w:val="nil"/>
            </w:tcBorders>
            <w:vAlign w:val="top"/>
          </w:tcPr>
          <w:p w14:paraId="74E7C9FE">
            <w:pPr>
              <w:pStyle w:val="7"/>
              <w:rPr>
                <w:color w:val="auto"/>
                <w:highlight w:val="none"/>
              </w:rPr>
            </w:pPr>
          </w:p>
        </w:tc>
        <w:tc>
          <w:tcPr>
            <w:tcW w:w="1484" w:type="dxa"/>
            <w:vAlign w:val="top"/>
          </w:tcPr>
          <w:p w14:paraId="0092E29A">
            <w:pPr>
              <w:pStyle w:val="7"/>
              <w:rPr>
                <w:color w:val="auto"/>
                <w:highlight w:val="none"/>
              </w:rPr>
            </w:pPr>
          </w:p>
        </w:tc>
        <w:tc>
          <w:tcPr>
            <w:tcW w:w="1484" w:type="dxa"/>
            <w:vAlign w:val="top"/>
          </w:tcPr>
          <w:p w14:paraId="017530C0">
            <w:pPr>
              <w:pStyle w:val="7"/>
              <w:rPr>
                <w:color w:val="auto"/>
                <w:highlight w:val="none"/>
              </w:rPr>
            </w:pPr>
          </w:p>
        </w:tc>
        <w:tc>
          <w:tcPr>
            <w:tcW w:w="1493" w:type="dxa"/>
            <w:vAlign w:val="top"/>
          </w:tcPr>
          <w:p w14:paraId="51D48AD5">
            <w:pPr>
              <w:pStyle w:val="7"/>
              <w:rPr>
                <w:color w:val="auto"/>
                <w:highlight w:val="none"/>
              </w:rPr>
            </w:pPr>
          </w:p>
        </w:tc>
      </w:tr>
      <w:tr w14:paraId="63BE1F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D17D491">
            <w:pPr>
              <w:pStyle w:val="7"/>
              <w:spacing w:line="282" w:lineRule="auto"/>
              <w:rPr>
                <w:color w:val="auto"/>
                <w:highlight w:val="none"/>
              </w:rPr>
            </w:pPr>
          </w:p>
          <w:p w14:paraId="2C33D2F4">
            <w:pPr>
              <w:pStyle w:val="7"/>
              <w:spacing w:line="282" w:lineRule="auto"/>
              <w:rPr>
                <w:color w:val="auto"/>
                <w:highlight w:val="none"/>
              </w:rPr>
            </w:pPr>
          </w:p>
          <w:p w14:paraId="1222F176">
            <w:pPr>
              <w:pStyle w:val="7"/>
              <w:spacing w:line="283" w:lineRule="auto"/>
              <w:rPr>
                <w:color w:val="auto"/>
                <w:highlight w:val="none"/>
              </w:rPr>
            </w:pPr>
          </w:p>
          <w:p w14:paraId="67129CAB">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3_8</w:t>
            </w:r>
          </w:p>
        </w:tc>
        <w:tc>
          <w:tcPr>
            <w:tcW w:w="2457" w:type="dxa"/>
            <w:vMerge w:val="restart"/>
            <w:tcBorders>
              <w:bottom w:val="nil"/>
            </w:tcBorders>
            <w:vAlign w:val="top"/>
          </w:tcPr>
          <w:p w14:paraId="743B9414">
            <w:pPr>
              <w:pStyle w:val="7"/>
              <w:spacing w:line="254" w:lineRule="auto"/>
              <w:rPr>
                <w:color w:val="auto"/>
                <w:highlight w:val="none"/>
              </w:rPr>
            </w:pPr>
          </w:p>
          <w:p w14:paraId="34354AB4">
            <w:pPr>
              <w:pStyle w:val="7"/>
              <w:spacing w:line="254" w:lineRule="auto"/>
              <w:rPr>
                <w:color w:val="auto"/>
                <w:highlight w:val="none"/>
              </w:rPr>
            </w:pPr>
          </w:p>
          <w:p w14:paraId="52A37DFD">
            <w:pPr>
              <w:pStyle w:val="7"/>
              <w:spacing w:line="254" w:lineRule="auto"/>
              <w:rPr>
                <w:color w:val="auto"/>
                <w:highlight w:val="none"/>
              </w:rPr>
            </w:pPr>
          </w:p>
          <w:p w14:paraId="30AAB41F">
            <w:pPr>
              <w:spacing w:before="58" w:line="220" w:lineRule="auto"/>
              <w:ind w:left="59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主变非电量保护</w:t>
            </w:r>
          </w:p>
        </w:tc>
        <w:tc>
          <w:tcPr>
            <w:tcW w:w="867" w:type="dxa"/>
            <w:vMerge w:val="restart"/>
            <w:tcBorders>
              <w:bottom w:val="nil"/>
            </w:tcBorders>
            <w:vAlign w:val="top"/>
          </w:tcPr>
          <w:p w14:paraId="66AE87FF">
            <w:pPr>
              <w:pStyle w:val="7"/>
              <w:rPr>
                <w:color w:val="auto"/>
                <w:highlight w:val="none"/>
              </w:rPr>
            </w:pPr>
          </w:p>
        </w:tc>
        <w:tc>
          <w:tcPr>
            <w:tcW w:w="1484" w:type="dxa"/>
            <w:vAlign w:val="top"/>
          </w:tcPr>
          <w:p w14:paraId="30C198B2">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217A26F">
            <w:pPr>
              <w:pStyle w:val="7"/>
              <w:rPr>
                <w:color w:val="auto"/>
                <w:highlight w:val="none"/>
              </w:rPr>
            </w:pPr>
          </w:p>
        </w:tc>
        <w:tc>
          <w:tcPr>
            <w:tcW w:w="1493" w:type="dxa"/>
            <w:vAlign w:val="top"/>
          </w:tcPr>
          <w:p w14:paraId="61B3D369">
            <w:pPr>
              <w:pStyle w:val="7"/>
              <w:rPr>
                <w:color w:val="auto"/>
                <w:highlight w:val="none"/>
              </w:rPr>
            </w:pPr>
          </w:p>
        </w:tc>
      </w:tr>
      <w:tr w14:paraId="18353C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9DC9738">
            <w:pPr>
              <w:pStyle w:val="7"/>
              <w:rPr>
                <w:color w:val="auto"/>
                <w:highlight w:val="none"/>
              </w:rPr>
            </w:pPr>
          </w:p>
        </w:tc>
        <w:tc>
          <w:tcPr>
            <w:tcW w:w="2457" w:type="dxa"/>
            <w:vMerge w:val="continue"/>
            <w:tcBorders>
              <w:top w:val="nil"/>
              <w:bottom w:val="nil"/>
            </w:tcBorders>
            <w:vAlign w:val="top"/>
          </w:tcPr>
          <w:p w14:paraId="4B6951B7">
            <w:pPr>
              <w:pStyle w:val="7"/>
              <w:rPr>
                <w:color w:val="auto"/>
                <w:highlight w:val="none"/>
              </w:rPr>
            </w:pPr>
          </w:p>
        </w:tc>
        <w:tc>
          <w:tcPr>
            <w:tcW w:w="867" w:type="dxa"/>
            <w:vMerge w:val="continue"/>
            <w:tcBorders>
              <w:top w:val="nil"/>
              <w:bottom w:val="nil"/>
            </w:tcBorders>
            <w:vAlign w:val="top"/>
          </w:tcPr>
          <w:p w14:paraId="71A486D8">
            <w:pPr>
              <w:pStyle w:val="7"/>
              <w:rPr>
                <w:color w:val="auto"/>
                <w:highlight w:val="none"/>
              </w:rPr>
            </w:pPr>
          </w:p>
        </w:tc>
        <w:tc>
          <w:tcPr>
            <w:tcW w:w="1484" w:type="dxa"/>
            <w:vAlign w:val="top"/>
          </w:tcPr>
          <w:p w14:paraId="1122EECF">
            <w:pPr>
              <w:pStyle w:val="7"/>
              <w:rPr>
                <w:color w:val="auto"/>
                <w:highlight w:val="none"/>
              </w:rPr>
            </w:pPr>
          </w:p>
        </w:tc>
        <w:tc>
          <w:tcPr>
            <w:tcW w:w="1484" w:type="dxa"/>
            <w:vAlign w:val="top"/>
          </w:tcPr>
          <w:p w14:paraId="5DFCB42E">
            <w:pPr>
              <w:pStyle w:val="7"/>
              <w:rPr>
                <w:color w:val="auto"/>
                <w:highlight w:val="none"/>
              </w:rPr>
            </w:pPr>
          </w:p>
        </w:tc>
        <w:tc>
          <w:tcPr>
            <w:tcW w:w="1493" w:type="dxa"/>
            <w:vAlign w:val="top"/>
          </w:tcPr>
          <w:p w14:paraId="5A2B99AC">
            <w:pPr>
              <w:pStyle w:val="7"/>
              <w:rPr>
                <w:color w:val="auto"/>
                <w:highlight w:val="none"/>
              </w:rPr>
            </w:pPr>
          </w:p>
        </w:tc>
      </w:tr>
      <w:tr w14:paraId="030D64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34B3DA03">
            <w:pPr>
              <w:pStyle w:val="7"/>
              <w:rPr>
                <w:color w:val="auto"/>
                <w:highlight w:val="none"/>
              </w:rPr>
            </w:pPr>
          </w:p>
        </w:tc>
        <w:tc>
          <w:tcPr>
            <w:tcW w:w="2457" w:type="dxa"/>
            <w:vMerge w:val="continue"/>
            <w:tcBorders>
              <w:top w:val="nil"/>
              <w:bottom w:val="nil"/>
            </w:tcBorders>
            <w:vAlign w:val="top"/>
          </w:tcPr>
          <w:p w14:paraId="54C75592">
            <w:pPr>
              <w:pStyle w:val="7"/>
              <w:rPr>
                <w:color w:val="auto"/>
                <w:highlight w:val="none"/>
              </w:rPr>
            </w:pPr>
          </w:p>
        </w:tc>
        <w:tc>
          <w:tcPr>
            <w:tcW w:w="867" w:type="dxa"/>
            <w:vMerge w:val="continue"/>
            <w:tcBorders>
              <w:top w:val="nil"/>
              <w:bottom w:val="nil"/>
            </w:tcBorders>
            <w:vAlign w:val="top"/>
          </w:tcPr>
          <w:p w14:paraId="343CC382">
            <w:pPr>
              <w:pStyle w:val="7"/>
              <w:rPr>
                <w:color w:val="auto"/>
                <w:highlight w:val="none"/>
              </w:rPr>
            </w:pPr>
          </w:p>
        </w:tc>
        <w:tc>
          <w:tcPr>
            <w:tcW w:w="1484" w:type="dxa"/>
            <w:vAlign w:val="top"/>
          </w:tcPr>
          <w:p w14:paraId="26965110">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6D4686F">
            <w:pPr>
              <w:pStyle w:val="7"/>
              <w:rPr>
                <w:color w:val="auto"/>
                <w:highlight w:val="none"/>
              </w:rPr>
            </w:pPr>
          </w:p>
        </w:tc>
        <w:tc>
          <w:tcPr>
            <w:tcW w:w="1493" w:type="dxa"/>
            <w:vAlign w:val="top"/>
          </w:tcPr>
          <w:p w14:paraId="2FB3BC38">
            <w:pPr>
              <w:pStyle w:val="7"/>
              <w:rPr>
                <w:color w:val="auto"/>
                <w:highlight w:val="none"/>
              </w:rPr>
            </w:pPr>
          </w:p>
        </w:tc>
      </w:tr>
      <w:tr w14:paraId="34B139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0C40C256">
            <w:pPr>
              <w:pStyle w:val="7"/>
              <w:rPr>
                <w:color w:val="auto"/>
                <w:highlight w:val="none"/>
              </w:rPr>
            </w:pPr>
          </w:p>
        </w:tc>
        <w:tc>
          <w:tcPr>
            <w:tcW w:w="2457" w:type="dxa"/>
            <w:vMerge w:val="continue"/>
            <w:tcBorders>
              <w:top w:val="nil"/>
            </w:tcBorders>
            <w:vAlign w:val="top"/>
          </w:tcPr>
          <w:p w14:paraId="0998B466">
            <w:pPr>
              <w:pStyle w:val="7"/>
              <w:rPr>
                <w:color w:val="auto"/>
                <w:highlight w:val="none"/>
              </w:rPr>
            </w:pPr>
          </w:p>
        </w:tc>
        <w:tc>
          <w:tcPr>
            <w:tcW w:w="867" w:type="dxa"/>
            <w:vMerge w:val="continue"/>
            <w:tcBorders>
              <w:top w:val="nil"/>
            </w:tcBorders>
            <w:vAlign w:val="top"/>
          </w:tcPr>
          <w:p w14:paraId="49FD92F4">
            <w:pPr>
              <w:pStyle w:val="7"/>
              <w:rPr>
                <w:color w:val="auto"/>
                <w:highlight w:val="none"/>
              </w:rPr>
            </w:pPr>
          </w:p>
        </w:tc>
        <w:tc>
          <w:tcPr>
            <w:tcW w:w="1484" w:type="dxa"/>
            <w:vAlign w:val="top"/>
          </w:tcPr>
          <w:p w14:paraId="369AC66D">
            <w:pPr>
              <w:pStyle w:val="7"/>
              <w:rPr>
                <w:color w:val="auto"/>
                <w:highlight w:val="none"/>
              </w:rPr>
            </w:pPr>
          </w:p>
        </w:tc>
        <w:tc>
          <w:tcPr>
            <w:tcW w:w="1484" w:type="dxa"/>
            <w:vAlign w:val="top"/>
          </w:tcPr>
          <w:p w14:paraId="21F9FB5D">
            <w:pPr>
              <w:pStyle w:val="7"/>
              <w:rPr>
                <w:color w:val="auto"/>
                <w:highlight w:val="none"/>
              </w:rPr>
            </w:pPr>
          </w:p>
        </w:tc>
        <w:tc>
          <w:tcPr>
            <w:tcW w:w="1493" w:type="dxa"/>
            <w:vAlign w:val="top"/>
          </w:tcPr>
          <w:p w14:paraId="23836168">
            <w:pPr>
              <w:pStyle w:val="7"/>
              <w:rPr>
                <w:color w:val="auto"/>
                <w:highlight w:val="none"/>
              </w:rPr>
            </w:pPr>
          </w:p>
        </w:tc>
      </w:tr>
      <w:tr w14:paraId="7A333F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4A935605">
            <w:pPr>
              <w:spacing w:before="180" w:line="183" w:lineRule="auto"/>
              <w:ind w:left="322"/>
              <w:rPr>
                <w:rFonts w:ascii="宋体" w:hAnsi="宋体" w:eastAsia="宋体" w:cs="宋体"/>
                <w:color w:val="auto"/>
                <w:sz w:val="18"/>
                <w:szCs w:val="18"/>
                <w:highlight w:val="none"/>
              </w:rPr>
            </w:pPr>
            <w:r>
              <w:rPr>
                <w:rFonts w:ascii="宋体" w:hAnsi="宋体" w:eastAsia="宋体" w:cs="宋体"/>
                <w:color w:val="auto"/>
                <w:sz w:val="18"/>
                <w:szCs w:val="18"/>
                <w:highlight w:val="none"/>
              </w:rPr>
              <w:t>4</w:t>
            </w:r>
          </w:p>
        </w:tc>
        <w:tc>
          <w:tcPr>
            <w:tcW w:w="7785" w:type="dxa"/>
            <w:gridSpan w:val="5"/>
            <w:vAlign w:val="top"/>
          </w:tcPr>
          <w:p w14:paraId="0334D44C">
            <w:pPr>
              <w:spacing w:before="151" w:line="219" w:lineRule="auto"/>
              <w:ind w:left="10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微机型高压厂变保护装置</w:t>
            </w:r>
          </w:p>
        </w:tc>
      </w:tr>
      <w:tr w14:paraId="6D91D1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261B7A34">
            <w:pPr>
              <w:pStyle w:val="7"/>
              <w:spacing w:line="303" w:lineRule="auto"/>
              <w:rPr>
                <w:color w:val="auto"/>
                <w:highlight w:val="none"/>
              </w:rPr>
            </w:pPr>
          </w:p>
          <w:p w14:paraId="774C796E">
            <w:pPr>
              <w:pStyle w:val="7"/>
              <w:spacing w:line="303" w:lineRule="auto"/>
              <w:rPr>
                <w:color w:val="auto"/>
                <w:highlight w:val="none"/>
              </w:rPr>
            </w:pPr>
          </w:p>
          <w:p w14:paraId="587295C4">
            <w:pPr>
              <w:spacing w:before="58" w:line="184" w:lineRule="auto"/>
              <w:ind w:left="231"/>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4_1</w:t>
            </w:r>
          </w:p>
        </w:tc>
        <w:tc>
          <w:tcPr>
            <w:tcW w:w="2457" w:type="dxa"/>
            <w:vMerge w:val="restart"/>
            <w:tcBorders>
              <w:bottom w:val="nil"/>
            </w:tcBorders>
            <w:vAlign w:val="top"/>
          </w:tcPr>
          <w:p w14:paraId="48F4CA39">
            <w:pPr>
              <w:pStyle w:val="7"/>
              <w:spacing w:line="260" w:lineRule="auto"/>
              <w:rPr>
                <w:color w:val="auto"/>
                <w:highlight w:val="none"/>
              </w:rPr>
            </w:pPr>
          </w:p>
          <w:p w14:paraId="06182145">
            <w:pPr>
              <w:pStyle w:val="7"/>
              <w:spacing w:line="261" w:lineRule="auto"/>
              <w:rPr>
                <w:color w:val="auto"/>
                <w:highlight w:val="none"/>
              </w:rPr>
            </w:pPr>
          </w:p>
          <w:p w14:paraId="4C914CF4">
            <w:pPr>
              <w:spacing w:before="59" w:line="219" w:lineRule="auto"/>
              <w:ind w:left="50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高压厂变差动保护</w:t>
            </w:r>
          </w:p>
        </w:tc>
        <w:tc>
          <w:tcPr>
            <w:tcW w:w="867" w:type="dxa"/>
            <w:vMerge w:val="restart"/>
            <w:tcBorders>
              <w:bottom w:val="nil"/>
            </w:tcBorders>
            <w:vAlign w:val="top"/>
          </w:tcPr>
          <w:p w14:paraId="1B78BBE2">
            <w:pPr>
              <w:pStyle w:val="7"/>
              <w:rPr>
                <w:color w:val="auto"/>
                <w:highlight w:val="none"/>
              </w:rPr>
            </w:pPr>
          </w:p>
        </w:tc>
        <w:tc>
          <w:tcPr>
            <w:tcW w:w="1484" w:type="dxa"/>
            <w:vAlign w:val="top"/>
          </w:tcPr>
          <w:p w14:paraId="180B1B8D">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D4F08A2">
            <w:pPr>
              <w:pStyle w:val="7"/>
              <w:rPr>
                <w:color w:val="auto"/>
                <w:highlight w:val="none"/>
              </w:rPr>
            </w:pPr>
          </w:p>
        </w:tc>
        <w:tc>
          <w:tcPr>
            <w:tcW w:w="1493" w:type="dxa"/>
            <w:vAlign w:val="top"/>
          </w:tcPr>
          <w:p w14:paraId="29FBD884">
            <w:pPr>
              <w:pStyle w:val="7"/>
              <w:rPr>
                <w:color w:val="auto"/>
                <w:highlight w:val="none"/>
              </w:rPr>
            </w:pPr>
          </w:p>
        </w:tc>
      </w:tr>
      <w:tr w14:paraId="57D46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6D0D298D">
            <w:pPr>
              <w:pStyle w:val="7"/>
              <w:rPr>
                <w:color w:val="auto"/>
                <w:highlight w:val="none"/>
              </w:rPr>
            </w:pPr>
          </w:p>
        </w:tc>
        <w:tc>
          <w:tcPr>
            <w:tcW w:w="2457" w:type="dxa"/>
            <w:vMerge w:val="continue"/>
            <w:tcBorders>
              <w:top w:val="nil"/>
              <w:bottom w:val="nil"/>
            </w:tcBorders>
            <w:vAlign w:val="top"/>
          </w:tcPr>
          <w:p w14:paraId="7BEA0BB2">
            <w:pPr>
              <w:pStyle w:val="7"/>
              <w:rPr>
                <w:color w:val="auto"/>
                <w:highlight w:val="none"/>
              </w:rPr>
            </w:pPr>
          </w:p>
        </w:tc>
        <w:tc>
          <w:tcPr>
            <w:tcW w:w="867" w:type="dxa"/>
            <w:vMerge w:val="continue"/>
            <w:tcBorders>
              <w:top w:val="nil"/>
              <w:bottom w:val="nil"/>
            </w:tcBorders>
            <w:vAlign w:val="top"/>
          </w:tcPr>
          <w:p w14:paraId="1A775312">
            <w:pPr>
              <w:pStyle w:val="7"/>
              <w:rPr>
                <w:color w:val="auto"/>
                <w:highlight w:val="none"/>
              </w:rPr>
            </w:pPr>
          </w:p>
        </w:tc>
        <w:tc>
          <w:tcPr>
            <w:tcW w:w="1484" w:type="dxa"/>
            <w:vAlign w:val="top"/>
          </w:tcPr>
          <w:p w14:paraId="02CDDD02">
            <w:pPr>
              <w:pStyle w:val="7"/>
              <w:rPr>
                <w:color w:val="auto"/>
                <w:highlight w:val="none"/>
              </w:rPr>
            </w:pPr>
          </w:p>
        </w:tc>
        <w:tc>
          <w:tcPr>
            <w:tcW w:w="1484" w:type="dxa"/>
            <w:vAlign w:val="top"/>
          </w:tcPr>
          <w:p w14:paraId="7B1155F8">
            <w:pPr>
              <w:pStyle w:val="7"/>
              <w:rPr>
                <w:color w:val="auto"/>
                <w:highlight w:val="none"/>
              </w:rPr>
            </w:pPr>
          </w:p>
        </w:tc>
        <w:tc>
          <w:tcPr>
            <w:tcW w:w="1493" w:type="dxa"/>
            <w:vAlign w:val="top"/>
          </w:tcPr>
          <w:p w14:paraId="3754CC9A">
            <w:pPr>
              <w:pStyle w:val="7"/>
              <w:rPr>
                <w:color w:val="auto"/>
                <w:highlight w:val="none"/>
              </w:rPr>
            </w:pPr>
          </w:p>
        </w:tc>
      </w:tr>
      <w:tr w14:paraId="766E1E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Merge w:val="continue"/>
            <w:tcBorders>
              <w:top w:val="nil"/>
            </w:tcBorders>
            <w:vAlign w:val="top"/>
          </w:tcPr>
          <w:p w14:paraId="286EBDD1">
            <w:pPr>
              <w:pStyle w:val="7"/>
              <w:rPr>
                <w:color w:val="auto"/>
                <w:highlight w:val="none"/>
              </w:rPr>
            </w:pPr>
          </w:p>
        </w:tc>
        <w:tc>
          <w:tcPr>
            <w:tcW w:w="2457" w:type="dxa"/>
            <w:vMerge w:val="continue"/>
            <w:tcBorders>
              <w:top w:val="nil"/>
            </w:tcBorders>
            <w:vAlign w:val="top"/>
          </w:tcPr>
          <w:p w14:paraId="763B38EB">
            <w:pPr>
              <w:pStyle w:val="7"/>
              <w:rPr>
                <w:color w:val="auto"/>
                <w:highlight w:val="none"/>
              </w:rPr>
            </w:pPr>
          </w:p>
        </w:tc>
        <w:tc>
          <w:tcPr>
            <w:tcW w:w="867" w:type="dxa"/>
            <w:vMerge w:val="continue"/>
            <w:tcBorders>
              <w:top w:val="nil"/>
            </w:tcBorders>
            <w:vAlign w:val="top"/>
          </w:tcPr>
          <w:p w14:paraId="1AAE6657">
            <w:pPr>
              <w:pStyle w:val="7"/>
              <w:rPr>
                <w:color w:val="auto"/>
                <w:highlight w:val="none"/>
              </w:rPr>
            </w:pPr>
          </w:p>
        </w:tc>
        <w:tc>
          <w:tcPr>
            <w:tcW w:w="1484" w:type="dxa"/>
            <w:vAlign w:val="top"/>
          </w:tcPr>
          <w:p w14:paraId="57E87BF2">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42363802">
            <w:pPr>
              <w:pStyle w:val="7"/>
              <w:rPr>
                <w:color w:val="auto"/>
                <w:highlight w:val="none"/>
              </w:rPr>
            </w:pPr>
          </w:p>
        </w:tc>
        <w:tc>
          <w:tcPr>
            <w:tcW w:w="1493" w:type="dxa"/>
            <w:vAlign w:val="top"/>
          </w:tcPr>
          <w:p w14:paraId="0AE60919">
            <w:pPr>
              <w:pStyle w:val="7"/>
              <w:rPr>
                <w:color w:val="auto"/>
                <w:highlight w:val="none"/>
              </w:rPr>
            </w:pPr>
          </w:p>
        </w:tc>
      </w:tr>
    </w:tbl>
    <w:p w14:paraId="6B443BD0">
      <w:pPr>
        <w:pStyle w:val="3"/>
        <w:rPr>
          <w:color w:val="auto"/>
          <w:highlight w:val="none"/>
        </w:rPr>
      </w:pPr>
    </w:p>
    <w:p w14:paraId="260D2A57">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4412F7E8">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207C0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7FE31759">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120D0498">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236324AD">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1528B1A8">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43D3AEA4">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33DE925D">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2A30CB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03F70CBC">
            <w:pPr>
              <w:pStyle w:val="7"/>
              <w:rPr>
                <w:color w:val="auto"/>
                <w:highlight w:val="none"/>
              </w:rPr>
            </w:pPr>
          </w:p>
        </w:tc>
        <w:tc>
          <w:tcPr>
            <w:tcW w:w="2457" w:type="dxa"/>
            <w:vAlign w:val="top"/>
          </w:tcPr>
          <w:p w14:paraId="624E595C">
            <w:pPr>
              <w:pStyle w:val="7"/>
              <w:rPr>
                <w:color w:val="auto"/>
                <w:highlight w:val="none"/>
              </w:rPr>
            </w:pPr>
          </w:p>
        </w:tc>
        <w:tc>
          <w:tcPr>
            <w:tcW w:w="867" w:type="dxa"/>
            <w:vAlign w:val="top"/>
          </w:tcPr>
          <w:p w14:paraId="4646C3D3">
            <w:pPr>
              <w:pStyle w:val="7"/>
              <w:rPr>
                <w:color w:val="auto"/>
                <w:highlight w:val="none"/>
              </w:rPr>
            </w:pPr>
          </w:p>
        </w:tc>
        <w:tc>
          <w:tcPr>
            <w:tcW w:w="1484" w:type="dxa"/>
            <w:vAlign w:val="top"/>
          </w:tcPr>
          <w:p w14:paraId="18D6CF66">
            <w:pPr>
              <w:pStyle w:val="7"/>
              <w:rPr>
                <w:color w:val="auto"/>
                <w:highlight w:val="none"/>
              </w:rPr>
            </w:pPr>
          </w:p>
        </w:tc>
        <w:tc>
          <w:tcPr>
            <w:tcW w:w="1484" w:type="dxa"/>
            <w:vAlign w:val="top"/>
          </w:tcPr>
          <w:p w14:paraId="1F8721FF">
            <w:pPr>
              <w:pStyle w:val="7"/>
              <w:rPr>
                <w:color w:val="auto"/>
                <w:highlight w:val="none"/>
              </w:rPr>
            </w:pPr>
          </w:p>
        </w:tc>
        <w:tc>
          <w:tcPr>
            <w:tcW w:w="1493" w:type="dxa"/>
            <w:vAlign w:val="top"/>
          </w:tcPr>
          <w:p w14:paraId="27DF8FDD">
            <w:pPr>
              <w:pStyle w:val="7"/>
              <w:rPr>
                <w:color w:val="auto"/>
                <w:highlight w:val="none"/>
              </w:rPr>
            </w:pPr>
          </w:p>
        </w:tc>
      </w:tr>
      <w:tr w14:paraId="6B9B62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408C8AA">
            <w:pPr>
              <w:pStyle w:val="7"/>
              <w:spacing w:line="279" w:lineRule="auto"/>
              <w:rPr>
                <w:color w:val="auto"/>
                <w:highlight w:val="none"/>
              </w:rPr>
            </w:pPr>
          </w:p>
          <w:p w14:paraId="4CCE1E7A">
            <w:pPr>
              <w:pStyle w:val="7"/>
              <w:spacing w:line="279" w:lineRule="auto"/>
              <w:rPr>
                <w:color w:val="auto"/>
                <w:highlight w:val="none"/>
              </w:rPr>
            </w:pPr>
          </w:p>
          <w:p w14:paraId="2917F3CD">
            <w:pPr>
              <w:pStyle w:val="7"/>
              <w:spacing w:line="279" w:lineRule="auto"/>
              <w:rPr>
                <w:color w:val="auto"/>
                <w:highlight w:val="none"/>
              </w:rPr>
            </w:pPr>
          </w:p>
          <w:p w14:paraId="4D199D62">
            <w:pPr>
              <w:spacing w:before="59" w:line="183" w:lineRule="auto"/>
              <w:ind w:left="231"/>
              <w:rPr>
                <w:rFonts w:ascii="宋体" w:hAnsi="宋体" w:eastAsia="宋体" w:cs="宋体"/>
                <w:color w:val="auto"/>
                <w:sz w:val="18"/>
                <w:szCs w:val="18"/>
                <w:highlight w:val="none"/>
              </w:rPr>
            </w:pPr>
            <w:r>
              <w:rPr>
                <w:rFonts w:ascii="宋体" w:hAnsi="宋体" w:eastAsia="宋体" w:cs="宋体"/>
                <w:color w:val="auto"/>
                <w:sz w:val="18"/>
                <w:szCs w:val="18"/>
                <w:highlight w:val="none"/>
              </w:rPr>
              <w:t>4_2</w:t>
            </w:r>
          </w:p>
        </w:tc>
        <w:tc>
          <w:tcPr>
            <w:tcW w:w="2457" w:type="dxa"/>
            <w:vMerge w:val="restart"/>
            <w:tcBorders>
              <w:bottom w:val="nil"/>
            </w:tcBorders>
            <w:vAlign w:val="top"/>
          </w:tcPr>
          <w:p w14:paraId="45C707D4">
            <w:pPr>
              <w:pStyle w:val="7"/>
              <w:spacing w:line="250" w:lineRule="auto"/>
              <w:rPr>
                <w:color w:val="auto"/>
                <w:highlight w:val="none"/>
              </w:rPr>
            </w:pPr>
          </w:p>
          <w:p w14:paraId="0D09065E">
            <w:pPr>
              <w:pStyle w:val="7"/>
              <w:spacing w:line="251" w:lineRule="auto"/>
              <w:rPr>
                <w:color w:val="auto"/>
                <w:highlight w:val="none"/>
              </w:rPr>
            </w:pPr>
          </w:p>
          <w:p w14:paraId="3C5F73E3">
            <w:pPr>
              <w:pStyle w:val="7"/>
              <w:spacing w:line="251" w:lineRule="auto"/>
              <w:rPr>
                <w:color w:val="auto"/>
                <w:highlight w:val="none"/>
              </w:rPr>
            </w:pPr>
          </w:p>
          <w:p w14:paraId="27F21F5F">
            <w:pPr>
              <w:spacing w:before="59" w:line="219" w:lineRule="auto"/>
              <w:ind w:left="50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高压厂变速断保护</w:t>
            </w:r>
          </w:p>
        </w:tc>
        <w:tc>
          <w:tcPr>
            <w:tcW w:w="867" w:type="dxa"/>
            <w:vMerge w:val="restart"/>
            <w:tcBorders>
              <w:bottom w:val="nil"/>
            </w:tcBorders>
            <w:vAlign w:val="top"/>
          </w:tcPr>
          <w:p w14:paraId="22ADB372">
            <w:pPr>
              <w:pStyle w:val="7"/>
              <w:rPr>
                <w:color w:val="auto"/>
                <w:highlight w:val="none"/>
              </w:rPr>
            </w:pPr>
          </w:p>
        </w:tc>
        <w:tc>
          <w:tcPr>
            <w:tcW w:w="1484" w:type="dxa"/>
            <w:vAlign w:val="top"/>
          </w:tcPr>
          <w:p w14:paraId="77666839">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34164DD3">
            <w:pPr>
              <w:pStyle w:val="7"/>
              <w:rPr>
                <w:color w:val="auto"/>
                <w:highlight w:val="none"/>
              </w:rPr>
            </w:pPr>
          </w:p>
        </w:tc>
        <w:tc>
          <w:tcPr>
            <w:tcW w:w="1493" w:type="dxa"/>
            <w:vAlign w:val="top"/>
          </w:tcPr>
          <w:p w14:paraId="5B082B6E">
            <w:pPr>
              <w:pStyle w:val="7"/>
              <w:rPr>
                <w:color w:val="auto"/>
                <w:highlight w:val="none"/>
              </w:rPr>
            </w:pPr>
          </w:p>
        </w:tc>
      </w:tr>
      <w:tr w14:paraId="418A5E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218354A">
            <w:pPr>
              <w:pStyle w:val="7"/>
              <w:rPr>
                <w:color w:val="auto"/>
                <w:highlight w:val="none"/>
              </w:rPr>
            </w:pPr>
          </w:p>
        </w:tc>
        <w:tc>
          <w:tcPr>
            <w:tcW w:w="2457" w:type="dxa"/>
            <w:vMerge w:val="continue"/>
            <w:tcBorders>
              <w:top w:val="nil"/>
              <w:bottom w:val="nil"/>
            </w:tcBorders>
            <w:vAlign w:val="top"/>
          </w:tcPr>
          <w:p w14:paraId="5C3C4ED5">
            <w:pPr>
              <w:pStyle w:val="7"/>
              <w:rPr>
                <w:color w:val="auto"/>
                <w:highlight w:val="none"/>
              </w:rPr>
            </w:pPr>
          </w:p>
        </w:tc>
        <w:tc>
          <w:tcPr>
            <w:tcW w:w="867" w:type="dxa"/>
            <w:vMerge w:val="continue"/>
            <w:tcBorders>
              <w:top w:val="nil"/>
            </w:tcBorders>
            <w:vAlign w:val="top"/>
          </w:tcPr>
          <w:p w14:paraId="6E1B7EF6">
            <w:pPr>
              <w:pStyle w:val="7"/>
              <w:rPr>
                <w:color w:val="auto"/>
                <w:highlight w:val="none"/>
              </w:rPr>
            </w:pPr>
          </w:p>
        </w:tc>
        <w:tc>
          <w:tcPr>
            <w:tcW w:w="1484" w:type="dxa"/>
            <w:vAlign w:val="top"/>
          </w:tcPr>
          <w:p w14:paraId="22A4795E">
            <w:pPr>
              <w:pStyle w:val="7"/>
              <w:rPr>
                <w:color w:val="auto"/>
                <w:highlight w:val="none"/>
              </w:rPr>
            </w:pPr>
          </w:p>
        </w:tc>
        <w:tc>
          <w:tcPr>
            <w:tcW w:w="1484" w:type="dxa"/>
            <w:vAlign w:val="top"/>
          </w:tcPr>
          <w:p w14:paraId="6864F3CA">
            <w:pPr>
              <w:pStyle w:val="7"/>
              <w:rPr>
                <w:color w:val="auto"/>
                <w:highlight w:val="none"/>
              </w:rPr>
            </w:pPr>
          </w:p>
        </w:tc>
        <w:tc>
          <w:tcPr>
            <w:tcW w:w="1493" w:type="dxa"/>
            <w:vAlign w:val="top"/>
          </w:tcPr>
          <w:p w14:paraId="601ACDA8">
            <w:pPr>
              <w:pStyle w:val="7"/>
              <w:rPr>
                <w:color w:val="auto"/>
                <w:highlight w:val="none"/>
              </w:rPr>
            </w:pPr>
          </w:p>
        </w:tc>
      </w:tr>
      <w:tr w14:paraId="3320DD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C10C24A">
            <w:pPr>
              <w:pStyle w:val="7"/>
              <w:rPr>
                <w:color w:val="auto"/>
                <w:highlight w:val="none"/>
              </w:rPr>
            </w:pPr>
          </w:p>
        </w:tc>
        <w:tc>
          <w:tcPr>
            <w:tcW w:w="2457" w:type="dxa"/>
            <w:vMerge w:val="continue"/>
            <w:tcBorders>
              <w:top w:val="nil"/>
              <w:bottom w:val="nil"/>
            </w:tcBorders>
            <w:vAlign w:val="top"/>
          </w:tcPr>
          <w:p w14:paraId="7CD7DE0C">
            <w:pPr>
              <w:pStyle w:val="7"/>
              <w:rPr>
                <w:color w:val="auto"/>
                <w:highlight w:val="none"/>
              </w:rPr>
            </w:pPr>
          </w:p>
        </w:tc>
        <w:tc>
          <w:tcPr>
            <w:tcW w:w="867" w:type="dxa"/>
            <w:vAlign w:val="top"/>
          </w:tcPr>
          <w:p w14:paraId="79EF2BC1">
            <w:pPr>
              <w:pStyle w:val="7"/>
              <w:rPr>
                <w:color w:val="auto"/>
                <w:highlight w:val="none"/>
              </w:rPr>
            </w:pPr>
          </w:p>
        </w:tc>
        <w:tc>
          <w:tcPr>
            <w:tcW w:w="1484" w:type="dxa"/>
            <w:vAlign w:val="top"/>
          </w:tcPr>
          <w:p w14:paraId="63F923F1">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589505C">
            <w:pPr>
              <w:pStyle w:val="7"/>
              <w:rPr>
                <w:color w:val="auto"/>
                <w:highlight w:val="none"/>
              </w:rPr>
            </w:pPr>
          </w:p>
        </w:tc>
        <w:tc>
          <w:tcPr>
            <w:tcW w:w="1493" w:type="dxa"/>
            <w:vAlign w:val="top"/>
          </w:tcPr>
          <w:p w14:paraId="0BFE0471">
            <w:pPr>
              <w:pStyle w:val="7"/>
              <w:rPr>
                <w:color w:val="auto"/>
                <w:highlight w:val="none"/>
              </w:rPr>
            </w:pPr>
          </w:p>
        </w:tc>
      </w:tr>
      <w:tr w14:paraId="0DF386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389327E8">
            <w:pPr>
              <w:pStyle w:val="7"/>
              <w:rPr>
                <w:color w:val="auto"/>
                <w:highlight w:val="none"/>
              </w:rPr>
            </w:pPr>
          </w:p>
        </w:tc>
        <w:tc>
          <w:tcPr>
            <w:tcW w:w="2457" w:type="dxa"/>
            <w:vMerge w:val="continue"/>
            <w:tcBorders>
              <w:top w:val="nil"/>
            </w:tcBorders>
            <w:vAlign w:val="top"/>
          </w:tcPr>
          <w:p w14:paraId="3696661D">
            <w:pPr>
              <w:pStyle w:val="7"/>
              <w:rPr>
                <w:color w:val="auto"/>
                <w:highlight w:val="none"/>
              </w:rPr>
            </w:pPr>
          </w:p>
        </w:tc>
        <w:tc>
          <w:tcPr>
            <w:tcW w:w="867" w:type="dxa"/>
            <w:vAlign w:val="top"/>
          </w:tcPr>
          <w:p w14:paraId="597B211F">
            <w:pPr>
              <w:pStyle w:val="7"/>
              <w:rPr>
                <w:color w:val="auto"/>
                <w:highlight w:val="none"/>
              </w:rPr>
            </w:pPr>
          </w:p>
        </w:tc>
        <w:tc>
          <w:tcPr>
            <w:tcW w:w="1484" w:type="dxa"/>
            <w:vAlign w:val="top"/>
          </w:tcPr>
          <w:p w14:paraId="665814B4">
            <w:pPr>
              <w:pStyle w:val="7"/>
              <w:rPr>
                <w:color w:val="auto"/>
                <w:highlight w:val="none"/>
              </w:rPr>
            </w:pPr>
          </w:p>
        </w:tc>
        <w:tc>
          <w:tcPr>
            <w:tcW w:w="1484" w:type="dxa"/>
            <w:vAlign w:val="top"/>
          </w:tcPr>
          <w:p w14:paraId="061EDF46">
            <w:pPr>
              <w:pStyle w:val="7"/>
              <w:rPr>
                <w:color w:val="auto"/>
                <w:highlight w:val="none"/>
              </w:rPr>
            </w:pPr>
          </w:p>
        </w:tc>
        <w:tc>
          <w:tcPr>
            <w:tcW w:w="1493" w:type="dxa"/>
            <w:vAlign w:val="top"/>
          </w:tcPr>
          <w:p w14:paraId="5100B1A5">
            <w:pPr>
              <w:pStyle w:val="7"/>
              <w:rPr>
                <w:color w:val="auto"/>
                <w:highlight w:val="none"/>
              </w:rPr>
            </w:pPr>
          </w:p>
        </w:tc>
      </w:tr>
      <w:tr w14:paraId="1D33AA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EBA9358">
            <w:pPr>
              <w:pStyle w:val="7"/>
              <w:spacing w:line="279" w:lineRule="auto"/>
              <w:rPr>
                <w:color w:val="auto"/>
                <w:highlight w:val="none"/>
              </w:rPr>
            </w:pPr>
          </w:p>
          <w:p w14:paraId="2C42701A">
            <w:pPr>
              <w:pStyle w:val="7"/>
              <w:spacing w:line="279" w:lineRule="auto"/>
              <w:rPr>
                <w:color w:val="auto"/>
                <w:highlight w:val="none"/>
              </w:rPr>
            </w:pPr>
          </w:p>
          <w:p w14:paraId="1AEC7113">
            <w:pPr>
              <w:pStyle w:val="7"/>
              <w:spacing w:line="280" w:lineRule="auto"/>
              <w:rPr>
                <w:color w:val="auto"/>
                <w:highlight w:val="none"/>
              </w:rPr>
            </w:pPr>
          </w:p>
          <w:p w14:paraId="40AB7470">
            <w:pPr>
              <w:spacing w:before="59" w:line="183" w:lineRule="auto"/>
              <w:ind w:left="23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4_3</w:t>
            </w:r>
          </w:p>
        </w:tc>
        <w:tc>
          <w:tcPr>
            <w:tcW w:w="2457" w:type="dxa"/>
            <w:vMerge w:val="restart"/>
            <w:tcBorders>
              <w:bottom w:val="nil"/>
            </w:tcBorders>
            <w:vAlign w:val="top"/>
          </w:tcPr>
          <w:p w14:paraId="2569E143">
            <w:pPr>
              <w:pStyle w:val="7"/>
              <w:spacing w:line="290" w:lineRule="auto"/>
              <w:rPr>
                <w:color w:val="auto"/>
                <w:highlight w:val="none"/>
              </w:rPr>
            </w:pPr>
          </w:p>
          <w:p w14:paraId="106C7AB2">
            <w:pPr>
              <w:pStyle w:val="7"/>
              <w:spacing w:line="290" w:lineRule="auto"/>
              <w:rPr>
                <w:color w:val="auto"/>
                <w:highlight w:val="none"/>
              </w:rPr>
            </w:pPr>
          </w:p>
          <w:p w14:paraId="1540D0C8">
            <w:pPr>
              <w:spacing w:before="58" w:line="346" w:lineRule="auto"/>
              <w:ind w:left="1043" w:right="145" w:hanging="89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高压厂变复合电压闭锁过流</w:t>
            </w:r>
            <w:r>
              <w:rPr>
                <w:rFonts w:ascii="宋体" w:hAnsi="宋体" w:eastAsia="宋体" w:cs="宋体"/>
                <w:color w:val="auto"/>
                <w:sz w:val="18"/>
                <w:szCs w:val="18"/>
                <w:highlight w:val="none"/>
              </w:rPr>
              <w:t xml:space="preserve"> </w:t>
            </w:r>
            <w:r>
              <w:rPr>
                <w:rFonts w:ascii="宋体" w:hAnsi="宋体" w:eastAsia="宋体" w:cs="宋体"/>
                <w:color w:val="auto"/>
                <w:spacing w:val="-4"/>
                <w:sz w:val="18"/>
                <w:szCs w:val="18"/>
                <w:highlight w:val="none"/>
              </w:rPr>
              <w:t>保护</w:t>
            </w:r>
          </w:p>
        </w:tc>
        <w:tc>
          <w:tcPr>
            <w:tcW w:w="867" w:type="dxa"/>
            <w:vMerge w:val="restart"/>
            <w:tcBorders>
              <w:bottom w:val="nil"/>
            </w:tcBorders>
            <w:vAlign w:val="top"/>
          </w:tcPr>
          <w:p w14:paraId="1CDAB4E1">
            <w:pPr>
              <w:pStyle w:val="7"/>
              <w:rPr>
                <w:color w:val="auto"/>
                <w:highlight w:val="none"/>
              </w:rPr>
            </w:pPr>
          </w:p>
        </w:tc>
        <w:tc>
          <w:tcPr>
            <w:tcW w:w="1484" w:type="dxa"/>
            <w:vAlign w:val="top"/>
          </w:tcPr>
          <w:p w14:paraId="116B4816">
            <w:pPr>
              <w:spacing w:before="14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367B7CBA">
            <w:pPr>
              <w:pStyle w:val="7"/>
              <w:rPr>
                <w:color w:val="auto"/>
                <w:highlight w:val="none"/>
              </w:rPr>
            </w:pPr>
          </w:p>
        </w:tc>
        <w:tc>
          <w:tcPr>
            <w:tcW w:w="1493" w:type="dxa"/>
            <w:vAlign w:val="top"/>
          </w:tcPr>
          <w:p w14:paraId="5DD5F986">
            <w:pPr>
              <w:pStyle w:val="7"/>
              <w:rPr>
                <w:color w:val="auto"/>
                <w:highlight w:val="none"/>
              </w:rPr>
            </w:pPr>
          </w:p>
        </w:tc>
      </w:tr>
      <w:tr w14:paraId="6C6C73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E6C651B">
            <w:pPr>
              <w:pStyle w:val="7"/>
              <w:rPr>
                <w:color w:val="auto"/>
                <w:highlight w:val="none"/>
              </w:rPr>
            </w:pPr>
          </w:p>
        </w:tc>
        <w:tc>
          <w:tcPr>
            <w:tcW w:w="2457" w:type="dxa"/>
            <w:vMerge w:val="continue"/>
            <w:tcBorders>
              <w:top w:val="nil"/>
              <w:bottom w:val="nil"/>
            </w:tcBorders>
            <w:vAlign w:val="top"/>
          </w:tcPr>
          <w:p w14:paraId="000D5EBF">
            <w:pPr>
              <w:pStyle w:val="7"/>
              <w:rPr>
                <w:color w:val="auto"/>
                <w:highlight w:val="none"/>
              </w:rPr>
            </w:pPr>
          </w:p>
        </w:tc>
        <w:tc>
          <w:tcPr>
            <w:tcW w:w="867" w:type="dxa"/>
            <w:vMerge w:val="continue"/>
            <w:tcBorders>
              <w:top w:val="nil"/>
              <w:bottom w:val="nil"/>
            </w:tcBorders>
            <w:vAlign w:val="top"/>
          </w:tcPr>
          <w:p w14:paraId="4D4D52B0">
            <w:pPr>
              <w:pStyle w:val="7"/>
              <w:rPr>
                <w:color w:val="auto"/>
                <w:highlight w:val="none"/>
              </w:rPr>
            </w:pPr>
          </w:p>
        </w:tc>
        <w:tc>
          <w:tcPr>
            <w:tcW w:w="1484" w:type="dxa"/>
            <w:vAlign w:val="top"/>
          </w:tcPr>
          <w:p w14:paraId="364BE155">
            <w:pPr>
              <w:pStyle w:val="7"/>
              <w:rPr>
                <w:color w:val="auto"/>
                <w:highlight w:val="none"/>
              </w:rPr>
            </w:pPr>
          </w:p>
        </w:tc>
        <w:tc>
          <w:tcPr>
            <w:tcW w:w="1484" w:type="dxa"/>
            <w:vAlign w:val="top"/>
          </w:tcPr>
          <w:p w14:paraId="21505B0B">
            <w:pPr>
              <w:pStyle w:val="7"/>
              <w:rPr>
                <w:color w:val="auto"/>
                <w:highlight w:val="none"/>
              </w:rPr>
            </w:pPr>
          </w:p>
        </w:tc>
        <w:tc>
          <w:tcPr>
            <w:tcW w:w="1493" w:type="dxa"/>
            <w:vAlign w:val="top"/>
          </w:tcPr>
          <w:p w14:paraId="161EE9C1">
            <w:pPr>
              <w:pStyle w:val="7"/>
              <w:rPr>
                <w:color w:val="auto"/>
                <w:highlight w:val="none"/>
              </w:rPr>
            </w:pPr>
          </w:p>
        </w:tc>
      </w:tr>
      <w:tr w14:paraId="077D91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393C297E">
            <w:pPr>
              <w:pStyle w:val="7"/>
              <w:rPr>
                <w:color w:val="auto"/>
                <w:highlight w:val="none"/>
              </w:rPr>
            </w:pPr>
          </w:p>
        </w:tc>
        <w:tc>
          <w:tcPr>
            <w:tcW w:w="2457" w:type="dxa"/>
            <w:vMerge w:val="continue"/>
            <w:tcBorders>
              <w:top w:val="nil"/>
              <w:bottom w:val="nil"/>
            </w:tcBorders>
            <w:vAlign w:val="top"/>
          </w:tcPr>
          <w:p w14:paraId="0828D777">
            <w:pPr>
              <w:pStyle w:val="7"/>
              <w:rPr>
                <w:color w:val="auto"/>
                <w:highlight w:val="none"/>
              </w:rPr>
            </w:pPr>
          </w:p>
        </w:tc>
        <w:tc>
          <w:tcPr>
            <w:tcW w:w="867" w:type="dxa"/>
            <w:vMerge w:val="continue"/>
            <w:tcBorders>
              <w:top w:val="nil"/>
              <w:bottom w:val="nil"/>
            </w:tcBorders>
            <w:vAlign w:val="top"/>
          </w:tcPr>
          <w:p w14:paraId="3878D8C2">
            <w:pPr>
              <w:pStyle w:val="7"/>
              <w:rPr>
                <w:color w:val="auto"/>
                <w:highlight w:val="none"/>
              </w:rPr>
            </w:pPr>
          </w:p>
        </w:tc>
        <w:tc>
          <w:tcPr>
            <w:tcW w:w="1484" w:type="dxa"/>
            <w:vAlign w:val="top"/>
          </w:tcPr>
          <w:p w14:paraId="057ACE4F">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7719AFC">
            <w:pPr>
              <w:pStyle w:val="7"/>
              <w:rPr>
                <w:color w:val="auto"/>
                <w:highlight w:val="none"/>
              </w:rPr>
            </w:pPr>
          </w:p>
        </w:tc>
        <w:tc>
          <w:tcPr>
            <w:tcW w:w="1493" w:type="dxa"/>
            <w:vAlign w:val="top"/>
          </w:tcPr>
          <w:p w14:paraId="6DBF960C">
            <w:pPr>
              <w:pStyle w:val="7"/>
              <w:rPr>
                <w:color w:val="auto"/>
                <w:highlight w:val="none"/>
              </w:rPr>
            </w:pPr>
          </w:p>
        </w:tc>
      </w:tr>
      <w:tr w14:paraId="51676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70557281">
            <w:pPr>
              <w:pStyle w:val="7"/>
              <w:rPr>
                <w:color w:val="auto"/>
                <w:highlight w:val="none"/>
              </w:rPr>
            </w:pPr>
          </w:p>
        </w:tc>
        <w:tc>
          <w:tcPr>
            <w:tcW w:w="2457" w:type="dxa"/>
            <w:vMerge w:val="continue"/>
            <w:tcBorders>
              <w:top w:val="nil"/>
            </w:tcBorders>
            <w:vAlign w:val="top"/>
          </w:tcPr>
          <w:p w14:paraId="1A6807E6">
            <w:pPr>
              <w:pStyle w:val="7"/>
              <w:rPr>
                <w:color w:val="auto"/>
                <w:highlight w:val="none"/>
              </w:rPr>
            </w:pPr>
          </w:p>
        </w:tc>
        <w:tc>
          <w:tcPr>
            <w:tcW w:w="867" w:type="dxa"/>
            <w:vMerge w:val="continue"/>
            <w:tcBorders>
              <w:top w:val="nil"/>
            </w:tcBorders>
            <w:vAlign w:val="top"/>
          </w:tcPr>
          <w:p w14:paraId="1B9AEB81">
            <w:pPr>
              <w:pStyle w:val="7"/>
              <w:rPr>
                <w:color w:val="auto"/>
                <w:highlight w:val="none"/>
              </w:rPr>
            </w:pPr>
          </w:p>
        </w:tc>
        <w:tc>
          <w:tcPr>
            <w:tcW w:w="1484" w:type="dxa"/>
            <w:vAlign w:val="top"/>
          </w:tcPr>
          <w:p w14:paraId="54209104">
            <w:pPr>
              <w:pStyle w:val="7"/>
              <w:rPr>
                <w:color w:val="auto"/>
                <w:highlight w:val="none"/>
              </w:rPr>
            </w:pPr>
          </w:p>
        </w:tc>
        <w:tc>
          <w:tcPr>
            <w:tcW w:w="1484" w:type="dxa"/>
            <w:vAlign w:val="top"/>
          </w:tcPr>
          <w:p w14:paraId="691AFDCD">
            <w:pPr>
              <w:pStyle w:val="7"/>
              <w:rPr>
                <w:color w:val="auto"/>
                <w:highlight w:val="none"/>
              </w:rPr>
            </w:pPr>
          </w:p>
        </w:tc>
        <w:tc>
          <w:tcPr>
            <w:tcW w:w="1493" w:type="dxa"/>
            <w:vAlign w:val="top"/>
          </w:tcPr>
          <w:p w14:paraId="2EA6C193">
            <w:pPr>
              <w:pStyle w:val="7"/>
              <w:rPr>
                <w:color w:val="auto"/>
                <w:highlight w:val="none"/>
              </w:rPr>
            </w:pPr>
          </w:p>
        </w:tc>
      </w:tr>
      <w:tr w14:paraId="7EB6AA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CAE2C58">
            <w:pPr>
              <w:pStyle w:val="7"/>
              <w:spacing w:line="280" w:lineRule="auto"/>
              <w:rPr>
                <w:color w:val="auto"/>
                <w:highlight w:val="none"/>
              </w:rPr>
            </w:pPr>
          </w:p>
          <w:p w14:paraId="2603EBAA">
            <w:pPr>
              <w:pStyle w:val="7"/>
              <w:spacing w:line="281" w:lineRule="auto"/>
              <w:rPr>
                <w:color w:val="auto"/>
                <w:highlight w:val="none"/>
              </w:rPr>
            </w:pPr>
          </w:p>
          <w:p w14:paraId="7BF5A380">
            <w:pPr>
              <w:pStyle w:val="7"/>
              <w:spacing w:line="281" w:lineRule="auto"/>
              <w:rPr>
                <w:color w:val="auto"/>
                <w:highlight w:val="none"/>
              </w:rPr>
            </w:pPr>
          </w:p>
          <w:p w14:paraId="57A3C241">
            <w:pPr>
              <w:spacing w:before="58" w:line="183" w:lineRule="auto"/>
              <w:ind w:left="23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4_4</w:t>
            </w:r>
          </w:p>
        </w:tc>
        <w:tc>
          <w:tcPr>
            <w:tcW w:w="2457" w:type="dxa"/>
            <w:vMerge w:val="restart"/>
            <w:tcBorders>
              <w:bottom w:val="nil"/>
            </w:tcBorders>
            <w:vAlign w:val="top"/>
          </w:tcPr>
          <w:p w14:paraId="6D5984D1">
            <w:pPr>
              <w:pStyle w:val="7"/>
              <w:spacing w:line="251" w:lineRule="auto"/>
              <w:rPr>
                <w:color w:val="auto"/>
                <w:highlight w:val="none"/>
              </w:rPr>
            </w:pPr>
          </w:p>
          <w:p w14:paraId="2658E13E">
            <w:pPr>
              <w:pStyle w:val="7"/>
              <w:spacing w:line="251" w:lineRule="auto"/>
              <w:rPr>
                <w:color w:val="auto"/>
                <w:highlight w:val="none"/>
              </w:rPr>
            </w:pPr>
          </w:p>
          <w:p w14:paraId="28470AFB">
            <w:pPr>
              <w:pStyle w:val="7"/>
              <w:spacing w:line="252" w:lineRule="auto"/>
              <w:rPr>
                <w:color w:val="auto"/>
                <w:highlight w:val="none"/>
              </w:rPr>
            </w:pPr>
          </w:p>
          <w:p w14:paraId="75A0C77F">
            <w:pPr>
              <w:spacing w:before="59" w:line="219" w:lineRule="auto"/>
              <w:ind w:left="23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高压厂变中性点过流保护</w:t>
            </w:r>
          </w:p>
        </w:tc>
        <w:tc>
          <w:tcPr>
            <w:tcW w:w="867" w:type="dxa"/>
            <w:vMerge w:val="restart"/>
            <w:tcBorders>
              <w:bottom w:val="nil"/>
            </w:tcBorders>
            <w:vAlign w:val="top"/>
          </w:tcPr>
          <w:p w14:paraId="7C515407">
            <w:pPr>
              <w:pStyle w:val="7"/>
              <w:rPr>
                <w:color w:val="auto"/>
                <w:highlight w:val="none"/>
              </w:rPr>
            </w:pPr>
          </w:p>
        </w:tc>
        <w:tc>
          <w:tcPr>
            <w:tcW w:w="1484" w:type="dxa"/>
            <w:vAlign w:val="top"/>
          </w:tcPr>
          <w:p w14:paraId="1CFDFCD9">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164AA1D5">
            <w:pPr>
              <w:pStyle w:val="7"/>
              <w:rPr>
                <w:color w:val="auto"/>
                <w:highlight w:val="none"/>
              </w:rPr>
            </w:pPr>
          </w:p>
        </w:tc>
        <w:tc>
          <w:tcPr>
            <w:tcW w:w="1493" w:type="dxa"/>
            <w:vAlign w:val="top"/>
          </w:tcPr>
          <w:p w14:paraId="563B715C">
            <w:pPr>
              <w:pStyle w:val="7"/>
              <w:rPr>
                <w:color w:val="auto"/>
                <w:highlight w:val="none"/>
              </w:rPr>
            </w:pPr>
          </w:p>
        </w:tc>
      </w:tr>
      <w:tr w14:paraId="1DBD82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4D7C7292">
            <w:pPr>
              <w:pStyle w:val="7"/>
              <w:rPr>
                <w:color w:val="auto"/>
                <w:highlight w:val="none"/>
              </w:rPr>
            </w:pPr>
          </w:p>
        </w:tc>
        <w:tc>
          <w:tcPr>
            <w:tcW w:w="2457" w:type="dxa"/>
            <w:vMerge w:val="continue"/>
            <w:tcBorders>
              <w:top w:val="nil"/>
              <w:bottom w:val="nil"/>
            </w:tcBorders>
            <w:vAlign w:val="top"/>
          </w:tcPr>
          <w:p w14:paraId="4C3057E8">
            <w:pPr>
              <w:pStyle w:val="7"/>
              <w:rPr>
                <w:color w:val="auto"/>
                <w:highlight w:val="none"/>
              </w:rPr>
            </w:pPr>
          </w:p>
        </w:tc>
        <w:tc>
          <w:tcPr>
            <w:tcW w:w="867" w:type="dxa"/>
            <w:vMerge w:val="continue"/>
            <w:tcBorders>
              <w:top w:val="nil"/>
              <w:bottom w:val="nil"/>
            </w:tcBorders>
            <w:vAlign w:val="top"/>
          </w:tcPr>
          <w:p w14:paraId="163E4538">
            <w:pPr>
              <w:pStyle w:val="7"/>
              <w:rPr>
                <w:color w:val="auto"/>
                <w:highlight w:val="none"/>
              </w:rPr>
            </w:pPr>
          </w:p>
        </w:tc>
        <w:tc>
          <w:tcPr>
            <w:tcW w:w="1484" w:type="dxa"/>
            <w:vAlign w:val="top"/>
          </w:tcPr>
          <w:p w14:paraId="3B2397B9">
            <w:pPr>
              <w:pStyle w:val="7"/>
              <w:rPr>
                <w:color w:val="auto"/>
                <w:highlight w:val="none"/>
              </w:rPr>
            </w:pPr>
          </w:p>
        </w:tc>
        <w:tc>
          <w:tcPr>
            <w:tcW w:w="1484" w:type="dxa"/>
            <w:vAlign w:val="top"/>
          </w:tcPr>
          <w:p w14:paraId="1723376A">
            <w:pPr>
              <w:pStyle w:val="7"/>
              <w:rPr>
                <w:color w:val="auto"/>
                <w:highlight w:val="none"/>
              </w:rPr>
            </w:pPr>
          </w:p>
        </w:tc>
        <w:tc>
          <w:tcPr>
            <w:tcW w:w="1493" w:type="dxa"/>
            <w:vAlign w:val="top"/>
          </w:tcPr>
          <w:p w14:paraId="4535DCBE">
            <w:pPr>
              <w:pStyle w:val="7"/>
              <w:rPr>
                <w:color w:val="auto"/>
                <w:highlight w:val="none"/>
              </w:rPr>
            </w:pPr>
          </w:p>
        </w:tc>
      </w:tr>
      <w:tr w14:paraId="10FD54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0CD4F63">
            <w:pPr>
              <w:pStyle w:val="7"/>
              <w:rPr>
                <w:color w:val="auto"/>
                <w:highlight w:val="none"/>
              </w:rPr>
            </w:pPr>
          </w:p>
        </w:tc>
        <w:tc>
          <w:tcPr>
            <w:tcW w:w="2457" w:type="dxa"/>
            <w:vMerge w:val="continue"/>
            <w:tcBorders>
              <w:top w:val="nil"/>
              <w:bottom w:val="nil"/>
            </w:tcBorders>
            <w:vAlign w:val="top"/>
          </w:tcPr>
          <w:p w14:paraId="31876F84">
            <w:pPr>
              <w:pStyle w:val="7"/>
              <w:rPr>
                <w:color w:val="auto"/>
                <w:highlight w:val="none"/>
              </w:rPr>
            </w:pPr>
          </w:p>
        </w:tc>
        <w:tc>
          <w:tcPr>
            <w:tcW w:w="867" w:type="dxa"/>
            <w:vMerge w:val="continue"/>
            <w:tcBorders>
              <w:top w:val="nil"/>
              <w:bottom w:val="nil"/>
            </w:tcBorders>
            <w:vAlign w:val="top"/>
          </w:tcPr>
          <w:p w14:paraId="3630293E">
            <w:pPr>
              <w:pStyle w:val="7"/>
              <w:rPr>
                <w:color w:val="auto"/>
                <w:highlight w:val="none"/>
              </w:rPr>
            </w:pPr>
          </w:p>
        </w:tc>
        <w:tc>
          <w:tcPr>
            <w:tcW w:w="1484" w:type="dxa"/>
            <w:vAlign w:val="top"/>
          </w:tcPr>
          <w:p w14:paraId="0E34868E">
            <w:pPr>
              <w:spacing w:before="145"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7682ADDC">
            <w:pPr>
              <w:pStyle w:val="7"/>
              <w:rPr>
                <w:color w:val="auto"/>
                <w:highlight w:val="none"/>
              </w:rPr>
            </w:pPr>
          </w:p>
        </w:tc>
        <w:tc>
          <w:tcPr>
            <w:tcW w:w="1493" w:type="dxa"/>
            <w:vAlign w:val="top"/>
          </w:tcPr>
          <w:p w14:paraId="0442040C">
            <w:pPr>
              <w:pStyle w:val="7"/>
              <w:rPr>
                <w:color w:val="auto"/>
                <w:highlight w:val="none"/>
              </w:rPr>
            </w:pPr>
          </w:p>
        </w:tc>
      </w:tr>
      <w:tr w14:paraId="75A08A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1930DAAD">
            <w:pPr>
              <w:pStyle w:val="7"/>
              <w:rPr>
                <w:color w:val="auto"/>
                <w:highlight w:val="none"/>
              </w:rPr>
            </w:pPr>
          </w:p>
        </w:tc>
        <w:tc>
          <w:tcPr>
            <w:tcW w:w="2457" w:type="dxa"/>
            <w:vMerge w:val="continue"/>
            <w:tcBorders>
              <w:top w:val="nil"/>
            </w:tcBorders>
            <w:vAlign w:val="top"/>
          </w:tcPr>
          <w:p w14:paraId="3FE1E8DA">
            <w:pPr>
              <w:pStyle w:val="7"/>
              <w:rPr>
                <w:color w:val="auto"/>
                <w:highlight w:val="none"/>
              </w:rPr>
            </w:pPr>
          </w:p>
        </w:tc>
        <w:tc>
          <w:tcPr>
            <w:tcW w:w="867" w:type="dxa"/>
            <w:vMerge w:val="continue"/>
            <w:tcBorders>
              <w:top w:val="nil"/>
            </w:tcBorders>
            <w:vAlign w:val="top"/>
          </w:tcPr>
          <w:p w14:paraId="44BB9A08">
            <w:pPr>
              <w:pStyle w:val="7"/>
              <w:rPr>
                <w:color w:val="auto"/>
                <w:highlight w:val="none"/>
              </w:rPr>
            </w:pPr>
          </w:p>
        </w:tc>
        <w:tc>
          <w:tcPr>
            <w:tcW w:w="1484" w:type="dxa"/>
            <w:vAlign w:val="top"/>
          </w:tcPr>
          <w:p w14:paraId="5EBED0E1">
            <w:pPr>
              <w:pStyle w:val="7"/>
              <w:rPr>
                <w:color w:val="auto"/>
                <w:highlight w:val="none"/>
              </w:rPr>
            </w:pPr>
          </w:p>
        </w:tc>
        <w:tc>
          <w:tcPr>
            <w:tcW w:w="1484" w:type="dxa"/>
            <w:vAlign w:val="top"/>
          </w:tcPr>
          <w:p w14:paraId="7AB81E88">
            <w:pPr>
              <w:pStyle w:val="7"/>
              <w:rPr>
                <w:color w:val="auto"/>
                <w:highlight w:val="none"/>
              </w:rPr>
            </w:pPr>
          </w:p>
        </w:tc>
        <w:tc>
          <w:tcPr>
            <w:tcW w:w="1493" w:type="dxa"/>
            <w:vAlign w:val="top"/>
          </w:tcPr>
          <w:p w14:paraId="02EABF03">
            <w:pPr>
              <w:pStyle w:val="7"/>
              <w:rPr>
                <w:color w:val="auto"/>
                <w:highlight w:val="none"/>
              </w:rPr>
            </w:pPr>
          </w:p>
        </w:tc>
      </w:tr>
      <w:tr w14:paraId="451E4B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CB6A157">
            <w:pPr>
              <w:pStyle w:val="7"/>
              <w:spacing w:line="281" w:lineRule="auto"/>
              <w:rPr>
                <w:color w:val="auto"/>
                <w:highlight w:val="none"/>
              </w:rPr>
            </w:pPr>
          </w:p>
          <w:p w14:paraId="08B60601">
            <w:pPr>
              <w:pStyle w:val="7"/>
              <w:spacing w:line="281" w:lineRule="auto"/>
              <w:rPr>
                <w:color w:val="auto"/>
                <w:highlight w:val="none"/>
              </w:rPr>
            </w:pPr>
          </w:p>
          <w:p w14:paraId="42704E7E">
            <w:pPr>
              <w:pStyle w:val="7"/>
              <w:spacing w:line="282" w:lineRule="auto"/>
              <w:rPr>
                <w:color w:val="auto"/>
                <w:highlight w:val="none"/>
              </w:rPr>
            </w:pPr>
          </w:p>
          <w:p w14:paraId="69CC3BD7">
            <w:pPr>
              <w:spacing w:before="59" w:line="183" w:lineRule="auto"/>
              <w:ind w:left="23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4_5</w:t>
            </w:r>
          </w:p>
        </w:tc>
        <w:tc>
          <w:tcPr>
            <w:tcW w:w="2457" w:type="dxa"/>
            <w:vMerge w:val="restart"/>
            <w:tcBorders>
              <w:bottom w:val="nil"/>
            </w:tcBorders>
            <w:vAlign w:val="top"/>
          </w:tcPr>
          <w:p w14:paraId="313235CA">
            <w:pPr>
              <w:pStyle w:val="7"/>
              <w:spacing w:line="253" w:lineRule="auto"/>
              <w:rPr>
                <w:color w:val="auto"/>
                <w:highlight w:val="none"/>
              </w:rPr>
            </w:pPr>
          </w:p>
          <w:p w14:paraId="28D636E9">
            <w:pPr>
              <w:pStyle w:val="7"/>
              <w:spacing w:line="253" w:lineRule="auto"/>
              <w:rPr>
                <w:color w:val="auto"/>
                <w:highlight w:val="none"/>
              </w:rPr>
            </w:pPr>
          </w:p>
          <w:p w14:paraId="110791C7">
            <w:pPr>
              <w:pStyle w:val="7"/>
              <w:spacing w:line="253" w:lineRule="auto"/>
              <w:rPr>
                <w:color w:val="auto"/>
                <w:highlight w:val="none"/>
              </w:rPr>
            </w:pPr>
          </w:p>
          <w:p w14:paraId="69C0DE3F">
            <w:pPr>
              <w:spacing w:before="59" w:line="219" w:lineRule="auto"/>
              <w:ind w:left="50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高压厂变过流保护</w:t>
            </w:r>
          </w:p>
        </w:tc>
        <w:tc>
          <w:tcPr>
            <w:tcW w:w="867" w:type="dxa"/>
            <w:vMerge w:val="restart"/>
            <w:tcBorders>
              <w:bottom w:val="nil"/>
            </w:tcBorders>
            <w:vAlign w:val="top"/>
          </w:tcPr>
          <w:p w14:paraId="3C7FA494">
            <w:pPr>
              <w:pStyle w:val="7"/>
              <w:rPr>
                <w:color w:val="auto"/>
                <w:highlight w:val="none"/>
              </w:rPr>
            </w:pPr>
          </w:p>
        </w:tc>
        <w:tc>
          <w:tcPr>
            <w:tcW w:w="1484" w:type="dxa"/>
            <w:vAlign w:val="top"/>
          </w:tcPr>
          <w:p w14:paraId="7C23C449">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56A097B3">
            <w:pPr>
              <w:pStyle w:val="7"/>
              <w:rPr>
                <w:color w:val="auto"/>
                <w:highlight w:val="none"/>
              </w:rPr>
            </w:pPr>
          </w:p>
        </w:tc>
        <w:tc>
          <w:tcPr>
            <w:tcW w:w="1493" w:type="dxa"/>
            <w:vAlign w:val="top"/>
          </w:tcPr>
          <w:p w14:paraId="49427C23">
            <w:pPr>
              <w:pStyle w:val="7"/>
              <w:rPr>
                <w:color w:val="auto"/>
                <w:highlight w:val="none"/>
              </w:rPr>
            </w:pPr>
          </w:p>
        </w:tc>
      </w:tr>
      <w:tr w14:paraId="6E3FED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3CD5A2C">
            <w:pPr>
              <w:pStyle w:val="7"/>
              <w:rPr>
                <w:color w:val="auto"/>
                <w:highlight w:val="none"/>
              </w:rPr>
            </w:pPr>
          </w:p>
        </w:tc>
        <w:tc>
          <w:tcPr>
            <w:tcW w:w="2457" w:type="dxa"/>
            <w:vMerge w:val="continue"/>
            <w:tcBorders>
              <w:top w:val="nil"/>
              <w:bottom w:val="nil"/>
            </w:tcBorders>
            <w:vAlign w:val="top"/>
          </w:tcPr>
          <w:p w14:paraId="2C041AB5">
            <w:pPr>
              <w:pStyle w:val="7"/>
              <w:rPr>
                <w:color w:val="auto"/>
                <w:highlight w:val="none"/>
              </w:rPr>
            </w:pPr>
          </w:p>
        </w:tc>
        <w:tc>
          <w:tcPr>
            <w:tcW w:w="867" w:type="dxa"/>
            <w:vMerge w:val="continue"/>
            <w:tcBorders>
              <w:top w:val="nil"/>
              <w:bottom w:val="nil"/>
            </w:tcBorders>
            <w:vAlign w:val="top"/>
          </w:tcPr>
          <w:p w14:paraId="5A2204F7">
            <w:pPr>
              <w:pStyle w:val="7"/>
              <w:rPr>
                <w:color w:val="auto"/>
                <w:highlight w:val="none"/>
              </w:rPr>
            </w:pPr>
          </w:p>
        </w:tc>
        <w:tc>
          <w:tcPr>
            <w:tcW w:w="1484" w:type="dxa"/>
            <w:vAlign w:val="top"/>
          </w:tcPr>
          <w:p w14:paraId="6D932ADD">
            <w:pPr>
              <w:pStyle w:val="7"/>
              <w:rPr>
                <w:color w:val="auto"/>
                <w:highlight w:val="none"/>
              </w:rPr>
            </w:pPr>
          </w:p>
        </w:tc>
        <w:tc>
          <w:tcPr>
            <w:tcW w:w="1484" w:type="dxa"/>
            <w:vAlign w:val="top"/>
          </w:tcPr>
          <w:p w14:paraId="3FAE6EE4">
            <w:pPr>
              <w:pStyle w:val="7"/>
              <w:rPr>
                <w:color w:val="auto"/>
                <w:highlight w:val="none"/>
              </w:rPr>
            </w:pPr>
          </w:p>
        </w:tc>
        <w:tc>
          <w:tcPr>
            <w:tcW w:w="1493" w:type="dxa"/>
            <w:vAlign w:val="top"/>
          </w:tcPr>
          <w:p w14:paraId="3D187AFE">
            <w:pPr>
              <w:pStyle w:val="7"/>
              <w:rPr>
                <w:color w:val="auto"/>
                <w:highlight w:val="none"/>
              </w:rPr>
            </w:pPr>
          </w:p>
        </w:tc>
      </w:tr>
      <w:tr w14:paraId="22EE44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651CFECB">
            <w:pPr>
              <w:pStyle w:val="7"/>
              <w:rPr>
                <w:color w:val="auto"/>
                <w:highlight w:val="none"/>
              </w:rPr>
            </w:pPr>
          </w:p>
        </w:tc>
        <w:tc>
          <w:tcPr>
            <w:tcW w:w="2457" w:type="dxa"/>
            <w:vMerge w:val="continue"/>
            <w:tcBorders>
              <w:top w:val="nil"/>
              <w:bottom w:val="nil"/>
            </w:tcBorders>
            <w:vAlign w:val="top"/>
          </w:tcPr>
          <w:p w14:paraId="63BE170E">
            <w:pPr>
              <w:pStyle w:val="7"/>
              <w:rPr>
                <w:color w:val="auto"/>
                <w:highlight w:val="none"/>
              </w:rPr>
            </w:pPr>
          </w:p>
        </w:tc>
        <w:tc>
          <w:tcPr>
            <w:tcW w:w="867" w:type="dxa"/>
            <w:vMerge w:val="continue"/>
            <w:tcBorders>
              <w:top w:val="nil"/>
              <w:bottom w:val="nil"/>
            </w:tcBorders>
            <w:vAlign w:val="top"/>
          </w:tcPr>
          <w:p w14:paraId="611AF3E5">
            <w:pPr>
              <w:pStyle w:val="7"/>
              <w:rPr>
                <w:color w:val="auto"/>
                <w:highlight w:val="none"/>
              </w:rPr>
            </w:pPr>
          </w:p>
        </w:tc>
        <w:tc>
          <w:tcPr>
            <w:tcW w:w="1484" w:type="dxa"/>
            <w:vAlign w:val="top"/>
          </w:tcPr>
          <w:p w14:paraId="7B9147CB">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9AEACA9">
            <w:pPr>
              <w:pStyle w:val="7"/>
              <w:rPr>
                <w:color w:val="auto"/>
                <w:highlight w:val="none"/>
              </w:rPr>
            </w:pPr>
          </w:p>
        </w:tc>
        <w:tc>
          <w:tcPr>
            <w:tcW w:w="1493" w:type="dxa"/>
            <w:vAlign w:val="top"/>
          </w:tcPr>
          <w:p w14:paraId="277A70D8">
            <w:pPr>
              <w:pStyle w:val="7"/>
              <w:rPr>
                <w:color w:val="auto"/>
                <w:highlight w:val="none"/>
              </w:rPr>
            </w:pPr>
          </w:p>
        </w:tc>
      </w:tr>
      <w:tr w14:paraId="44A95E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6E373E3B">
            <w:pPr>
              <w:pStyle w:val="7"/>
              <w:rPr>
                <w:color w:val="auto"/>
                <w:highlight w:val="none"/>
              </w:rPr>
            </w:pPr>
          </w:p>
        </w:tc>
        <w:tc>
          <w:tcPr>
            <w:tcW w:w="2457" w:type="dxa"/>
            <w:vMerge w:val="continue"/>
            <w:tcBorders>
              <w:top w:val="nil"/>
            </w:tcBorders>
            <w:vAlign w:val="top"/>
          </w:tcPr>
          <w:p w14:paraId="243B77E8">
            <w:pPr>
              <w:pStyle w:val="7"/>
              <w:rPr>
                <w:color w:val="auto"/>
                <w:highlight w:val="none"/>
              </w:rPr>
            </w:pPr>
          </w:p>
        </w:tc>
        <w:tc>
          <w:tcPr>
            <w:tcW w:w="867" w:type="dxa"/>
            <w:vMerge w:val="continue"/>
            <w:tcBorders>
              <w:top w:val="nil"/>
            </w:tcBorders>
            <w:vAlign w:val="top"/>
          </w:tcPr>
          <w:p w14:paraId="18E9E67F">
            <w:pPr>
              <w:pStyle w:val="7"/>
              <w:rPr>
                <w:color w:val="auto"/>
                <w:highlight w:val="none"/>
              </w:rPr>
            </w:pPr>
          </w:p>
        </w:tc>
        <w:tc>
          <w:tcPr>
            <w:tcW w:w="1484" w:type="dxa"/>
            <w:vAlign w:val="top"/>
          </w:tcPr>
          <w:p w14:paraId="58B314EA">
            <w:pPr>
              <w:pStyle w:val="7"/>
              <w:rPr>
                <w:color w:val="auto"/>
                <w:highlight w:val="none"/>
              </w:rPr>
            </w:pPr>
          </w:p>
        </w:tc>
        <w:tc>
          <w:tcPr>
            <w:tcW w:w="1484" w:type="dxa"/>
            <w:vAlign w:val="top"/>
          </w:tcPr>
          <w:p w14:paraId="0E65A3A3">
            <w:pPr>
              <w:pStyle w:val="7"/>
              <w:rPr>
                <w:color w:val="auto"/>
                <w:highlight w:val="none"/>
              </w:rPr>
            </w:pPr>
          </w:p>
        </w:tc>
        <w:tc>
          <w:tcPr>
            <w:tcW w:w="1493" w:type="dxa"/>
            <w:vAlign w:val="top"/>
          </w:tcPr>
          <w:p w14:paraId="2CEBA1EE">
            <w:pPr>
              <w:pStyle w:val="7"/>
              <w:rPr>
                <w:color w:val="auto"/>
                <w:highlight w:val="none"/>
              </w:rPr>
            </w:pPr>
          </w:p>
        </w:tc>
      </w:tr>
      <w:tr w14:paraId="724C87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25DB0F69">
            <w:pPr>
              <w:pStyle w:val="7"/>
              <w:spacing w:line="282" w:lineRule="auto"/>
              <w:rPr>
                <w:color w:val="auto"/>
                <w:highlight w:val="none"/>
              </w:rPr>
            </w:pPr>
          </w:p>
          <w:p w14:paraId="7ED2C53F">
            <w:pPr>
              <w:pStyle w:val="7"/>
              <w:spacing w:line="282" w:lineRule="auto"/>
              <w:rPr>
                <w:color w:val="auto"/>
                <w:highlight w:val="none"/>
              </w:rPr>
            </w:pPr>
          </w:p>
          <w:p w14:paraId="6186ADB9">
            <w:pPr>
              <w:pStyle w:val="7"/>
              <w:spacing w:line="282" w:lineRule="auto"/>
              <w:rPr>
                <w:color w:val="auto"/>
                <w:highlight w:val="none"/>
              </w:rPr>
            </w:pPr>
          </w:p>
          <w:p w14:paraId="6530CFB5">
            <w:pPr>
              <w:spacing w:before="59" w:line="183" w:lineRule="auto"/>
              <w:ind w:left="231"/>
              <w:rPr>
                <w:rFonts w:ascii="宋体" w:hAnsi="宋体" w:eastAsia="宋体" w:cs="宋体"/>
                <w:color w:val="auto"/>
                <w:sz w:val="18"/>
                <w:szCs w:val="18"/>
                <w:highlight w:val="none"/>
              </w:rPr>
            </w:pPr>
            <w:r>
              <w:rPr>
                <w:rFonts w:ascii="宋体" w:hAnsi="宋体" w:eastAsia="宋体" w:cs="宋体"/>
                <w:color w:val="auto"/>
                <w:sz w:val="18"/>
                <w:szCs w:val="18"/>
                <w:highlight w:val="none"/>
              </w:rPr>
              <w:t>4_6</w:t>
            </w:r>
          </w:p>
        </w:tc>
        <w:tc>
          <w:tcPr>
            <w:tcW w:w="2457" w:type="dxa"/>
            <w:vMerge w:val="restart"/>
            <w:tcBorders>
              <w:bottom w:val="nil"/>
            </w:tcBorders>
            <w:vAlign w:val="top"/>
          </w:tcPr>
          <w:p w14:paraId="155409CD">
            <w:pPr>
              <w:pStyle w:val="7"/>
              <w:spacing w:line="253" w:lineRule="auto"/>
              <w:rPr>
                <w:color w:val="auto"/>
                <w:highlight w:val="none"/>
              </w:rPr>
            </w:pPr>
          </w:p>
          <w:p w14:paraId="65A68FEC">
            <w:pPr>
              <w:pStyle w:val="7"/>
              <w:spacing w:line="253" w:lineRule="auto"/>
              <w:rPr>
                <w:color w:val="auto"/>
                <w:highlight w:val="none"/>
              </w:rPr>
            </w:pPr>
          </w:p>
          <w:p w14:paraId="41DB822E">
            <w:pPr>
              <w:pStyle w:val="7"/>
              <w:spacing w:line="254" w:lineRule="auto"/>
              <w:rPr>
                <w:color w:val="auto"/>
                <w:highlight w:val="none"/>
              </w:rPr>
            </w:pPr>
          </w:p>
          <w:p w14:paraId="50FBEC20">
            <w:pPr>
              <w:spacing w:before="59" w:line="219" w:lineRule="auto"/>
              <w:ind w:left="50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高压厂变本体保护</w:t>
            </w:r>
          </w:p>
        </w:tc>
        <w:tc>
          <w:tcPr>
            <w:tcW w:w="867" w:type="dxa"/>
            <w:vMerge w:val="restart"/>
            <w:tcBorders>
              <w:bottom w:val="nil"/>
            </w:tcBorders>
            <w:vAlign w:val="top"/>
          </w:tcPr>
          <w:p w14:paraId="65594EFC">
            <w:pPr>
              <w:pStyle w:val="7"/>
              <w:rPr>
                <w:color w:val="auto"/>
                <w:highlight w:val="none"/>
              </w:rPr>
            </w:pPr>
          </w:p>
        </w:tc>
        <w:tc>
          <w:tcPr>
            <w:tcW w:w="1484" w:type="dxa"/>
            <w:vAlign w:val="top"/>
          </w:tcPr>
          <w:p w14:paraId="06F01037">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C9EB258">
            <w:pPr>
              <w:pStyle w:val="7"/>
              <w:rPr>
                <w:color w:val="auto"/>
                <w:highlight w:val="none"/>
              </w:rPr>
            </w:pPr>
          </w:p>
        </w:tc>
        <w:tc>
          <w:tcPr>
            <w:tcW w:w="1493" w:type="dxa"/>
            <w:vAlign w:val="top"/>
          </w:tcPr>
          <w:p w14:paraId="15BA9205">
            <w:pPr>
              <w:pStyle w:val="7"/>
              <w:rPr>
                <w:color w:val="auto"/>
                <w:highlight w:val="none"/>
              </w:rPr>
            </w:pPr>
          </w:p>
        </w:tc>
      </w:tr>
      <w:tr w14:paraId="3ED326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4D9ECC86">
            <w:pPr>
              <w:pStyle w:val="7"/>
              <w:rPr>
                <w:color w:val="auto"/>
                <w:highlight w:val="none"/>
              </w:rPr>
            </w:pPr>
          </w:p>
        </w:tc>
        <w:tc>
          <w:tcPr>
            <w:tcW w:w="2457" w:type="dxa"/>
            <w:vMerge w:val="continue"/>
            <w:tcBorders>
              <w:top w:val="nil"/>
              <w:bottom w:val="nil"/>
            </w:tcBorders>
            <w:vAlign w:val="top"/>
          </w:tcPr>
          <w:p w14:paraId="4BAD6B47">
            <w:pPr>
              <w:pStyle w:val="7"/>
              <w:rPr>
                <w:color w:val="auto"/>
                <w:highlight w:val="none"/>
              </w:rPr>
            </w:pPr>
          </w:p>
        </w:tc>
        <w:tc>
          <w:tcPr>
            <w:tcW w:w="867" w:type="dxa"/>
            <w:vMerge w:val="continue"/>
            <w:tcBorders>
              <w:top w:val="nil"/>
              <w:bottom w:val="nil"/>
            </w:tcBorders>
            <w:vAlign w:val="top"/>
          </w:tcPr>
          <w:p w14:paraId="29368080">
            <w:pPr>
              <w:pStyle w:val="7"/>
              <w:rPr>
                <w:color w:val="auto"/>
                <w:highlight w:val="none"/>
              </w:rPr>
            </w:pPr>
          </w:p>
        </w:tc>
        <w:tc>
          <w:tcPr>
            <w:tcW w:w="1484" w:type="dxa"/>
            <w:vAlign w:val="top"/>
          </w:tcPr>
          <w:p w14:paraId="37496AB2">
            <w:pPr>
              <w:pStyle w:val="7"/>
              <w:rPr>
                <w:color w:val="auto"/>
                <w:highlight w:val="none"/>
              </w:rPr>
            </w:pPr>
          </w:p>
        </w:tc>
        <w:tc>
          <w:tcPr>
            <w:tcW w:w="1484" w:type="dxa"/>
            <w:vAlign w:val="top"/>
          </w:tcPr>
          <w:p w14:paraId="10BFCF04">
            <w:pPr>
              <w:pStyle w:val="7"/>
              <w:rPr>
                <w:color w:val="auto"/>
                <w:highlight w:val="none"/>
              </w:rPr>
            </w:pPr>
          </w:p>
        </w:tc>
        <w:tc>
          <w:tcPr>
            <w:tcW w:w="1493" w:type="dxa"/>
            <w:vAlign w:val="top"/>
          </w:tcPr>
          <w:p w14:paraId="3294AC07">
            <w:pPr>
              <w:pStyle w:val="7"/>
              <w:rPr>
                <w:color w:val="auto"/>
                <w:highlight w:val="none"/>
              </w:rPr>
            </w:pPr>
          </w:p>
        </w:tc>
      </w:tr>
      <w:tr w14:paraId="608888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85591CE">
            <w:pPr>
              <w:pStyle w:val="7"/>
              <w:rPr>
                <w:color w:val="auto"/>
                <w:highlight w:val="none"/>
              </w:rPr>
            </w:pPr>
          </w:p>
        </w:tc>
        <w:tc>
          <w:tcPr>
            <w:tcW w:w="2457" w:type="dxa"/>
            <w:vMerge w:val="continue"/>
            <w:tcBorders>
              <w:top w:val="nil"/>
              <w:bottom w:val="nil"/>
            </w:tcBorders>
            <w:vAlign w:val="top"/>
          </w:tcPr>
          <w:p w14:paraId="7DEC27C2">
            <w:pPr>
              <w:pStyle w:val="7"/>
              <w:rPr>
                <w:color w:val="auto"/>
                <w:highlight w:val="none"/>
              </w:rPr>
            </w:pPr>
          </w:p>
        </w:tc>
        <w:tc>
          <w:tcPr>
            <w:tcW w:w="867" w:type="dxa"/>
            <w:vMerge w:val="continue"/>
            <w:tcBorders>
              <w:top w:val="nil"/>
              <w:bottom w:val="nil"/>
            </w:tcBorders>
            <w:vAlign w:val="top"/>
          </w:tcPr>
          <w:p w14:paraId="1639701C">
            <w:pPr>
              <w:pStyle w:val="7"/>
              <w:rPr>
                <w:color w:val="auto"/>
                <w:highlight w:val="none"/>
              </w:rPr>
            </w:pPr>
          </w:p>
        </w:tc>
        <w:tc>
          <w:tcPr>
            <w:tcW w:w="1484" w:type="dxa"/>
            <w:vAlign w:val="top"/>
          </w:tcPr>
          <w:p w14:paraId="63B50C8A">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801ECAB">
            <w:pPr>
              <w:pStyle w:val="7"/>
              <w:rPr>
                <w:color w:val="auto"/>
                <w:highlight w:val="none"/>
              </w:rPr>
            </w:pPr>
          </w:p>
        </w:tc>
        <w:tc>
          <w:tcPr>
            <w:tcW w:w="1493" w:type="dxa"/>
            <w:vAlign w:val="top"/>
          </w:tcPr>
          <w:p w14:paraId="0BC62FA9">
            <w:pPr>
              <w:pStyle w:val="7"/>
              <w:rPr>
                <w:color w:val="auto"/>
                <w:highlight w:val="none"/>
              </w:rPr>
            </w:pPr>
          </w:p>
        </w:tc>
      </w:tr>
      <w:tr w14:paraId="11C27D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56C9E496">
            <w:pPr>
              <w:pStyle w:val="7"/>
              <w:rPr>
                <w:color w:val="auto"/>
                <w:highlight w:val="none"/>
              </w:rPr>
            </w:pPr>
          </w:p>
        </w:tc>
        <w:tc>
          <w:tcPr>
            <w:tcW w:w="2457" w:type="dxa"/>
            <w:vMerge w:val="continue"/>
            <w:tcBorders>
              <w:top w:val="nil"/>
            </w:tcBorders>
            <w:vAlign w:val="top"/>
          </w:tcPr>
          <w:p w14:paraId="76E3E57A">
            <w:pPr>
              <w:pStyle w:val="7"/>
              <w:rPr>
                <w:color w:val="auto"/>
                <w:highlight w:val="none"/>
              </w:rPr>
            </w:pPr>
          </w:p>
        </w:tc>
        <w:tc>
          <w:tcPr>
            <w:tcW w:w="867" w:type="dxa"/>
            <w:vMerge w:val="continue"/>
            <w:tcBorders>
              <w:top w:val="nil"/>
            </w:tcBorders>
            <w:vAlign w:val="top"/>
          </w:tcPr>
          <w:p w14:paraId="4C1CD4D7">
            <w:pPr>
              <w:pStyle w:val="7"/>
              <w:rPr>
                <w:color w:val="auto"/>
                <w:highlight w:val="none"/>
              </w:rPr>
            </w:pPr>
          </w:p>
        </w:tc>
        <w:tc>
          <w:tcPr>
            <w:tcW w:w="1484" w:type="dxa"/>
            <w:vAlign w:val="top"/>
          </w:tcPr>
          <w:p w14:paraId="5EC8B6EA">
            <w:pPr>
              <w:pStyle w:val="7"/>
              <w:rPr>
                <w:color w:val="auto"/>
                <w:highlight w:val="none"/>
              </w:rPr>
            </w:pPr>
          </w:p>
        </w:tc>
        <w:tc>
          <w:tcPr>
            <w:tcW w:w="1484" w:type="dxa"/>
            <w:vAlign w:val="top"/>
          </w:tcPr>
          <w:p w14:paraId="7693E2F2">
            <w:pPr>
              <w:pStyle w:val="7"/>
              <w:rPr>
                <w:color w:val="auto"/>
                <w:highlight w:val="none"/>
              </w:rPr>
            </w:pPr>
          </w:p>
        </w:tc>
        <w:tc>
          <w:tcPr>
            <w:tcW w:w="1493" w:type="dxa"/>
            <w:vAlign w:val="top"/>
          </w:tcPr>
          <w:p w14:paraId="667B47AE">
            <w:pPr>
              <w:pStyle w:val="7"/>
              <w:rPr>
                <w:color w:val="auto"/>
                <w:highlight w:val="none"/>
              </w:rPr>
            </w:pPr>
          </w:p>
        </w:tc>
      </w:tr>
      <w:tr w14:paraId="3A8B13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37243E2C">
            <w:pPr>
              <w:spacing w:before="182" w:line="182" w:lineRule="auto"/>
              <w:ind w:left="326"/>
              <w:rPr>
                <w:rFonts w:ascii="宋体" w:hAnsi="宋体" w:eastAsia="宋体" w:cs="宋体"/>
                <w:color w:val="auto"/>
                <w:sz w:val="18"/>
                <w:szCs w:val="18"/>
                <w:highlight w:val="none"/>
              </w:rPr>
            </w:pPr>
            <w:r>
              <w:rPr>
                <w:rFonts w:ascii="宋体" w:hAnsi="宋体" w:eastAsia="宋体" w:cs="宋体"/>
                <w:color w:val="auto"/>
                <w:sz w:val="18"/>
                <w:szCs w:val="18"/>
                <w:highlight w:val="none"/>
              </w:rPr>
              <w:t>5</w:t>
            </w:r>
          </w:p>
        </w:tc>
        <w:tc>
          <w:tcPr>
            <w:tcW w:w="2457" w:type="dxa"/>
            <w:vAlign w:val="top"/>
          </w:tcPr>
          <w:p w14:paraId="6D359FD7">
            <w:pPr>
              <w:spacing w:before="92" w:line="219" w:lineRule="auto"/>
              <w:ind w:left="143"/>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微机型高压启备变装置保护</w:t>
            </w:r>
          </w:p>
        </w:tc>
        <w:tc>
          <w:tcPr>
            <w:tcW w:w="867" w:type="dxa"/>
            <w:vAlign w:val="top"/>
          </w:tcPr>
          <w:p w14:paraId="0CE7EC0A">
            <w:pPr>
              <w:pStyle w:val="7"/>
              <w:rPr>
                <w:color w:val="auto"/>
                <w:highlight w:val="none"/>
              </w:rPr>
            </w:pPr>
          </w:p>
        </w:tc>
        <w:tc>
          <w:tcPr>
            <w:tcW w:w="1484" w:type="dxa"/>
            <w:vAlign w:val="top"/>
          </w:tcPr>
          <w:p w14:paraId="7CCB91F3">
            <w:pPr>
              <w:pStyle w:val="7"/>
              <w:rPr>
                <w:color w:val="auto"/>
                <w:highlight w:val="none"/>
              </w:rPr>
            </w:pPr>
          </w:p>
        </w:tc>
        <w:tc>
          <w:tcPr>
            <w:tcW w:w="1484" w:type="dxa"/>
            <w:vAlign w:val="top"/>
          </w:tcPr>
          <w:p w14:paraId="13BED45B">
            <w:pPr>
              <w:pStyle w:val="7"/>
              <w:rPr>
                <w:color w:val="auto"/>
                <w:highlight w:val="none"/>
              </w:rPr>
            </w:pPr>
          </w:p>
        </w:tc>
        <w:tc>
          <w:tcPr>
            <w:tcW w:w="1493" w:type="dxa"/>
            <w:vAlign w:val="top"/>
          </w:tcPr>
          <w:p w14:paraId="35E1EB8A">
            <w:pPr>
              <w:pStyle w:val="7"/>
              <w:rPr>
                <w:color w:val="auto"/>
                <w:highlight w:val="none"/>
              </w:rPr>
            </w:pPr>
          </w:p>
        </w:tc>
      </w:tr>
      <w:tr w14:paraId="08AE57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570B310C">
            <w:pPr>
              <w:pStyle w:val="7"/>
              <w:spacing w:line="282" w:lineRule="auto"/>
              <w:rPr>
                <w:color w:val="auto"/>
                <w:highlight w:val="none"/>
              </w:rPr>
            </w:pPr>
          </w:p>
          <w:p w14:paraId="17187363">
            <w:pPr>
              <w:pStyle w:val="7"/>
              <w:spacing w:line="283" w:lineRule="auto"/>
              <w:rPr>
                <w:color w:val="auto"/>
                <w:highlight w:val="none"/>
              </w:rPr>
            </w:pPr>
          </w:p>
          <w:p w14:paraId="41F43DA7">
            <w:pPr>
              <w:pStyle w:val="7"/>
              <w:spacing w:line="283" w:lineRule="auto"/>
              <w:rPr>
                <w:color w:val="auto"/>
                <w:highlight w:val="none"/>
              </w:rPr>
            </w:pPr>
          </w:p>
          <w:p w14:paraId="3DF44CAC">
            <w:pPr>
              <w:spacing w:before="59" w:line="184" w:lineRule="auto"/>
              <w:ind w:left="235"/>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5_1</w:t>
            </w:r>
          </w:p>
        </w:tc>
        <w:tc>
          <w:tcPr>
            <w:tcW w:w="2457" w:type="dxa"/>
            <w:vMerge w:val="restart"/>
            <w:tcBorders>
              <w:bottom w:val="nil"/>
            </w:tcBorders>
            <w:vAlign w:val="top"/>
          </w:tcPr>
          <w:p w14:paraId="4A640C45">
            <w:pPr>
              <w:pStyle w:val="7"/>
              <w:spacing w:line="254" w:lineRule="auto"/>
              <w:rPr>
                <w:color w:val="auto"/>
                <w:highlight w:val="none"/>
              </w:rPr>
            </w:pPr>
          </w:p>
          <w:p w14:paraId="7BFDE017">
            <w:pPr>
              <w:pStyle w:val="7"/>
              <w:spacing w:line="255" w:lineRule="auto"/>
              <w:rPr>
                <w:color w:val="auto"/>
                <w:highlight w:val="none"/>
              </w:rPr>
            </w:pPr>
          </w:p>
          <w:p w14:paraId="7D616199">
            <w:pPr>
              <w:pStyle w:val="7"/>
              <w:spacing w:line="255" w:lineRule="auto"/>
              <w:rPr>
                <w:color w:val="auto"/>
                <w:highlight w:val="none"/>
              </w:rPr>
            </w:pPr>
          </w:p>
          <w:p w14:paraId="7FE3729F">
            <w:pPr>
              <w:spacing w:before="58" w:line="220" w:lineRule="auto"/>
              <w:ind w:left="59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启备变差动保护</w:t>
            </w:r>
          </w:p>
        </w:tc>
        <w:tc>
          <w:tcPr>
            <w:tcW w:w="867" w:type="dxa"/>
            <w:vMerge w:val="restart"/>
            <w:tcBorders>
              <w:bottom w:val="nil"/>
            </w:tcBorders>
            <w:vAlign w:val="top"/>
          </w:tcPr>
          <w:p w14:paraId="673B4900">
            <w:pPr>
              <w:pStyle w:val="7"/>
              <w:rPr>
                <w:color w:val="auto"/>
                <w:highlight w:val="none"/>
              </w:rPr>
            </w:pPr>
          </w:p>
        </w:tc>
        <w:tc>
          <w:tcPr>
            <w:tcW w:w="1484" w:type="dxa"/>
            <w:vAlign w:val="top"/>
          </w:tcPr>
          <w:p w14:paraId="40A9B0CF">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49EA9C31">
            <w:pPr>
              <w:pStyle w:val="7"/>
              <w:rPr>
                <w:color w:val="auto"/>
                <w:highlight w:val="none"/>
              </w:rPr>
            </w:pPr>
          </w:p>
        </w:tc>
        <w:tc>
          <w:tcPr>
            <w:tcW w:w="1493" w:type="dxa"/>
            <w:vAlign w:val="top"/>
          </w:tcPr>
          <w:p w14:paraId="51B19DD5">
            <w:pPr>
              <w:pStyle w:val="7"/>
              <w:rPr>
                <w:color w:val="auto"/>
                <w:highlight w:val="none"/>
              </w:rPr>
            </w:pPr>
          </w:p>
        </w:tc>
      </w:tr>
      <w:tr w14:paraId="33298C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0122E9DD">
            <w:pPr>
              <w:pStyle w:val="7"/>
              <w:rPr>
                <w:color w:val="auto"/>
                <w:highlight w:val="none"/>
              </w:rPr>
            </w:pPr>
          </w:p>
        </w:tc>
        <w:tc>
          <w:tcPr>
            <w:tcW w:w="2457" w:type="dxa"/>
            <w:vMerge w:val="continue"/>
            <w:tcBorders>
              <w:top w:val="nil"/>
              <w:bottom w:val="nil"/>
            </w:tcBorders>
            <w:vAlign w:val="top"/>
          </w:tcPr>
          <w:p w14:paraId="2C33128B">
            <w:pPr>
              <w:pStyle w:val="7"/>
              <w:rPr>
                <w:color w:val="auto"/>
                <w:highlight w:val="none"/>
              </w:rPr>
            </w:pPr>
          </w:p>
        </w:tc>
        <w:tc>
          <w:tcPr>
            <w:tcW w:w="867" w:type="dxa"/>
            <w:vMerge w:val="continue"/>
            <w:tcBorders>
              <w:top w:val="nil"/>
              <w:bottom w:val="nil"/>
            </w:tcBorders>
            <w:vAlign w:val="top"/>
          </w:tcPr>
          <w:p w14:paraId="1C96AE4C">
            <w:pPr>
              <w:pStyle w:val="7"/>
              <w:rPr>
                <w:color w:val="auto"/>
                <w:highlight w:val="none"/>
              </w:rPr>
            </w:pPr>
          </w:p>
        </w:tc>
        <w:tc>
          <w:tcPr>
            <w:tcW w:w="1484" w:type="dxa"/>
            <w:vAlign w:val="top"/>
          </w:tcPr>
          <w:p w14:paraId="6D748A11">
            <w:pPr>
              <w:pStyle w:val="7"/>
              <w:rPr>
                <w:color w:val="auto"/>
                <w:highlight w:val="none"/>
              </w:rPr>
            </w:pPr>
          </w:p>
        </w:tc>
        <w:tc>
          <w:tcPr>
            <w:tcW w:w="1484" w:type="dxa"/>
            <w:vAlign w:val="top"/>
          </w:tcPr>
          <w:p w14:paraId="40DDE458">
            <w:pPr>
              <w:pStyle w:val="7"/>
              <w:rPr>
                <w:color w:val="auto"/>
                <w:highlight w:val="none"/>
              </w:rPr>
            </w:pPr>
          </w:p>
        </w:tc>
        <w:tc>
          <w:tcPr>
            <w:tcW w:w="1493" w:type="dxa"/>
            <w:vAlign w:val="top"/>
          </w:tcPr>
          <w:p w14:paraId="3B3EC74E">
            <w:pPr>
              <w:pStyle w:val="7"/>
              <w:rPr>
                <w:color w:val="auto"/>
                <w:highlight w:val="none"/>
              </w:rPr>
            </w:pPr>
          </w:p>
        </w:tc>
      </w:tr>
      <w:tr w14:paraId="5BC2EA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3DF1082F">
            <w:pPr>
              <w:pStyle w:val="7"/>
              <w:rPr>
                <w:color w:val="auto"/>
                <w:highlight w:val="none"/>
              </w:rPr>
            </w:pPr>
          </w:p>
        </w:tc>
        <w:tc>
          <w:tcPr>
            <w:tcW w:w="2457" w:type="dxa"/>
            <w:vMerge w:val="continue"/>
            <w:tcBorders>
              <w:top w:val="nil"/>
              <w:bottom w:val="nil"/>
            </w:tcBorders>
            <w:vAlign w:val="top"/>
          </w:tcPr>
          <w:p w14:paraId="6D622CEE">
            <w:pPr>
              <w:pStyle w:val="7"/>
              <w:rPr>
                <w:color w:val="auto"/>
                <w:highlight w:val="none"/>
              </w:rPr>
            </w:pPr>
          </w:p>
        </w:tc>
        <w:tc>
          <w:tcPr>
            <w:tcW w:w="867" w:type="dxa"/>
            <w:vMerge w:val="continue"/>
            <w:tcBorders>
              <w:top w:val="nil"/>
              <w:bottom w:val="nil"/>
            </w:tcBorders>
            <w:vAlign w:val="top"/>
          </w:tcPr>
          <w:p w14:paraId="2A071829">
            <w:pPr>
              <w:pStyle w:val="7"/>
              <w:rPr>
                <w:color w:val="auto"/>
                <w:highlight w:val="none"/>
              </w:rPr>
            </w:pPr>
          </w:p>
        </w:tc>
        <w:tc>
          <w:tcPr>
            <w:tcW w:w="1484" w:type="dxa"/>
            <w:vAlign w:val="top"/>
          </w:tcPr>
          <w:p w14:paraId="3F6FC969">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E5A1D34">
            <w:pPr>
              <w:pStyle w:val="7"/>
              <w:rPr>
                <w:color w:val="auto"/>
                <w:highlight w:val="none"/>
              </w:rPr>
            </w:pPr>
          </w:p>
        </w:tc>
        <w:tc>
          <w:tcPr>
            <w:tcW w:w="1493" w:type="dxa"/>
            <w:vAlign w:val="top"/>
          </w:tcPr>
          <w:p w14:paraId="7B9BC470">
            <w:pPr>
              <w:pStyle w:val="7"/>
              <w:rPr>
                <w:color w:val="auto"/>
                <w:highlight w:val="none"/>
              </w:rPr>
            </w:pPr>
          </w:p>
        </w:tc>
      </w:tr>
      <w:tr w14:paraId="256EEB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4898E75F">
            <w:pPr>
              <w:pStyle w:val="7"/>
              <w:rPr>
                <w:color w:val="auto"/>
                <w:highlight w:val="none"/>
              </w:rPr>
            </w:pPr>
          </w:p>
        </w:tc>
        <w:tc>
          <w:tcPr>
            <w:tcW w:w="2457" w:type="dxa"/>
            <w:vMerge w:val="continue"/>
            <w:tcBorders>
              <w:top w:val="nil"/>
            </w:tcBorders>
            <w:vAlign w:val="top"/>
          </w:tcPr>
          <w:p w14:paraId="39571906">
            <w:pPr>
              <w:pStyle w:val="7"/>
              <w:rPr>
                <w:color w:val="auto"/>
                <w:highlight w:val="none"/>
              </w:rPr>
            </w:pPr>
          </w:p>
        </w:tc>
        <w:tc>
          <w:tcPr>
            <w:tcW w:w="867" w:type="dxa"/>
            <w:vMerge w:val="continue"/>
            <w:tcBorders>
              <w:top w:val="nil"/>
            </w:tcBorders>
            <w:vAlign w:val="top"/>
          </w:tcPr>
          <w:p w14:paraId="2DD5EDFA">
            <w:pPr>
              <w:pStyle w:val="7"/>
              <w:rPr>
                <w:color w:val="auto"/>
                <w:highlight w:val="none"/>
              </w:rPr>
            </w:pPr>
          </w:p>
        </w:tc>
        <w:tc>
          <w:tcPr>
            <w:tcW w:w="1484" w:type="dxa"/>
            <w:vAlign w:val="top"/>
          </w:tcPr>
          <w:p w14:paraId="4FEF24EA">
            <w:pPr>
              <w:pStyle w:val="7"/>
              <w:rPr>
                <w:color w:val="auto"/>
                <w:highlight w:val="none"/>
              </w:rPr>
            </w:pPr>
          </w:p>
        </w:tc>
        <w:tc>
          <w:tcPr>
            <w:tcW w:w="1484" w:type="dxa"/>
            <w:vAlign w:val="top"/>
          </w:tcPr>
          <w:p w14:paraId="502A7A78">
            <w:pPr>
              <w:pStyle w:val="7"/>
              <w:rPr>
                <w:color w:val="auto"/>
                <w:highlight w:val="none"/>
              </w:rPr>
            </w:pPr>
          </w:p>
        </w:tc>
        <w:tc>
          <w:tcPr>
            <w:tcW w:w="1493" w:type="dxa"/>
            <w:vAlign w:val="top"/>
          </w:tcPr>
          <w:p w14:paraId="639F6818">
            <w:pPr>
              <w:pStyle w:val="7"/>
              <w:rPr>
                <w:color w:val="auto"/>
                <w:highlight w:val="none"/>
              </w:rPr>
            </w:pPr>
          </w:p>
        </w:tc>
      </w:tr>
      <w:tr w14:paraId="1A1041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Align w:val="top"/>
          </w:tcPr>
          <w:p w14:paraId="43895815">
            <w:pPr>
              <w:spacing w:before="181"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5_2</w:t>
            </w:r>
          </w:p>
        </w:tc>
        <w:tc>
          <w:tcPr>
            <w:tcW w:w="2457" w:type="dxa"/>
            <w:vAlign w:val="top"/>
          </w:tcPr>
          <w:p w14:paraId="1369A52B">
            <w:pPr>
              <w:spacing w:before="95" w:line="219" w:lineRule="auto"/>
              <w:ind w:left="59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启备变速断保护</w:t>
            </w:r>
          </w:p>
        </w:tc>
        <w:tc>
          <w:tcPr>
            <w:tcW w:w="867" w:type="dxa"/>
            <w:vAlign w:val="top"/>
          </w:tcPr>
          <w:p w14:paraId="2792B0BD">
            <w:pPr>
              <w:pStyle w:val="7"/>
              <w:rPr>
                <w:color w:val="auto"/>
                <w:highlight w:val="none"/>
              </w:rPr>
            </w:pPr>
          </w:p>
        </w:tc>
        <w:tc>
          <w:tcPr>
            <w:tcW w:w="1484" w:type="dxa"/>
            <w:vAlign w:val="top"/>
          </w:tcPr>
          <w:p w14:paraId="37F64D53">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104B73FD">
            <w:pPr>
              <w:pStyle w:val="7"/>
              <w:rPr>
                <w:color w:val="auto"/>
                <w:highlight w:val="none"/>
              </w:rPr>
            </w:pPr>
          </w:p>
        </w:tc>
        <w:tc>
          <w:tcPr>
            <w:tcW w:w="1493" w:type="dxa"/>
            <w:vAlign w:val="top"/>
          </w:tcPr>
          <w:p w14:paraId="40466C57">
            <w:pPr>
              <w:pStyle w:val="7"/>
              <w:rPr>
                <w:color w:val="auto"/>
                <w:highlight w:val="none"/>
              </w:rPr>
            </w:pPr>
          </w:p>
        </w:tc>
      </w:tr>
    </w:tbl>
    <w:p w14:paraId="1B2970F4">
      <w:pPr>
        <w:pStyle w:val="3"/>
        <w:rPr>
          <w:color w:val="auto"/>
          <w:highlight w:val="none"/>
        </w:rPr>
      </w:pPr>
    </w:p>
    <w:p w14:paraId="298F4C1E">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54B0F2FA">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444097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4CCEC8D9">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17521EF1">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558A6FF1">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4AD57424">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28159EC8">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00744274">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23BDE0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FDE1412">
            <w:pPr>
              <w:pStyle w:val="7"/>
              <w:rPr>
                <w:color w:val="auto"/>
                <w:highlight w:val="none"/>
              </w:rPr>
            </w:pPr>
          </w:p>
        </w:tc>
        <w:tc>
          <w:tcPr>
            <w:tcW w:w="2457" w:type="dxa"/>
            <w:vMerge w:val="restart"/>
            <w:tcBorders>
              <w:bottom w:val="nil"/>
            </w:tcBorders>
            <w:vAlign w:val="top"/>
          </w:tcPr>
          <w:p w14:paraId="6D293A45">
            <w:pPr>
              <w:pStyle w:val="7"/>
              <w:rPr>
                <w:color w:val="auto"/>
                <w:highlight w:val="none"/>
              </w:rPr>
            </w:pPr>
          </w:p>
        </w:tc>
        <w:tc>
          <w:tcPr>
            <w:tcW w:w="867" w:type="dxa"/>
            <w:vMerge w:val="restart"/>
            <w:tcBorders>
              <w:bottom w:val="nil"/>
            </w:tcBorders>
            <w:vAlign w:val="top"/>
          </w:tcPr>
          <w:p w14:paraId="1DB55288">
            <w:pPr>
              <w:pStyle w:val="7"/>
              <w:rPr>
                <w:color w:val="auto"/>
                <w:highlight w:val="none"/>
              </w:rPr>
            </w:pPr>
          </w:p>
        </w:tc>
        <w:tc>
          <w:tcPr>
            <w:tcW w:w="1484" w:type="dxa"/>
            <w:vAlign w:val="top"/>
          </w:tcPr>
          <w:p w14:paraId="15A60C43">
            <w:pPr>
              <w:pStyle w:val="7"/>
              <w:rPr>
                <w:color w:val="auto"/>
                <w:highlight w:val="none"/>
              </w:rPr>
            </w:pPr>
          </w:p>
        </w:tc>
        <w:tc>
          <w:tcPr>
            <w:tcW w:w="1484" w:type="dxa"/>
            <w:vAlign w:val="top"/>
          </w:tcPr>
          <w:p w14:paraId="57DC3B64">
            <w:pPr>
              <w:pStyle w:val="7"/>
              <w:rPr>
                <w:color w:val="auto"/>
                <w:highlight w:val="none"/>
              </w:rPr>
            </w:pPr>
          </w:p>
        </w:tc>
        <w:tc>
          <w:tcPr>
            <w:tcW w:w="1493" w:type="dxa"/>
            <w:vAlign w:val="top"/>
          </w:tcPr>
          <w:p w14:paraId="50DD6CD5">
            <w:pPr>
              <w:pStyle w:val="7"/>
              <w:rPr>
                <w:color w:val="auto"/>
                <w:highlight w:val="none"/>
              </w:rPr>
            </w:pPr>
          </w:p>
        </w:tc>
      </w:tr>
      <w:tr w14:paraId="19F14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DA1EDF5">
            <w:pPr>
              <w:pStyle w:val="7"/>
              <w:rPr>
                <w:color w:val="auto"/>
                <w:highlight w:val="none"/>
              </w:rPr>
            </w:pPr>
          </w:p>
        </w:tc>
        <w:tc>
          <w:tcPr>
            <w:tcW w:w="2457" w:type="dxa"/>
            <w:vMerge w:val="continue"/>
            <w:tcBorders>
              <w:top w:val="nil"/>
              <w:bottom w:val="nil"/>
            </w:tcBorders>
            <w:vAlign w:val="top"/>
          </w:tcPr>
          <w:p w14:paraId="7D66704D">
            <w:pPr>
              <w:pStyle w:val="7"/>
              <w:rPr>
                <w:color w:val="auto"/>
                <w:highlight w:val="none"/>
              </w:rPr>
            </w:pPr>
          </w:p>
        </w:tc>
        <w:tc>
          <w:tcPr>
            <w:tcW w:w="867" w:type="dxa"/>
            <w:vMerge w:val="continue"/>
            <w:tcBorders>
              <w:top w:val="nil"/>
              <w:bottom w:val="nil"/>
            </w:tcBorders>
            <w:vAlign w:val="top"/>
          </w:tcPr>
          <w:p w14:paraId="48AC080D">
            <w:pPr>
              <w:pStyle w:val="7"/>
              <w:rPr>
                <w:color w:val="auto"/>
                <w:highlight w:val="none"/>
              </w:rPr>
            </w:pPr>
          </w:p>
        </w:tc>
        <w:tc>
          <w:tcPr>
            <w:tcW w:w="1484" w:type="dxa"/>
            <w:vAlign w:val="top"/>
          </w:tcPr>
          <w:p w14:paraId="73B5CF49">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517CC701">
            <w:pPr>
              <w:pStyle w:val="7"/>
              <w:rPr>
                <w:color w:val="auto"/>
                <w:highlight w:val="none"/>
              </w:rPr>
            </w:pPr>
          </w:p>
        </w:tc>
        <w:tc>
          <w:tcPr>
            <w:tcW w:w="1493" w:type="dxa"/>
            <w:vAlign w:val="top"/>
          </w:tcPr>
          <w:p w14:paraId="677B17AB">
            <w:pPr>
              <w:pStyle w:val="7"/>
              <w:rPr>
                <w:color w:val="auto"/>
                <w:highlight w:val="none"/>
              </w:rPr>
            </w:pPr>
          </w:p>
        </w:tc>
      </w:tr>
      <w:tr w14:paraId="677904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467C30AF">
            <w:pPr>
              <w:pStyle w:val="7"/>
              <w:rPr>
                <w:color w:val="auto"/>
                <w:highlight w:val="none"/>
              </w:rPr>
            </w:pPr>
          </w:p>
        </w:tc>
        <w:tc>
          <w:tcPr>
            <w:tcW w:w="2457" w:type="dxa"/>
            <w:vMerge w:val="continue"/>
            <w:tcBorders>
              <w:top w:val="nil"/>
            </w:tcBorders>
            <w:vAlign w:val="top"/>
          </w:tcPr>
          <w:p w14:paraId="0132D183">
            <w:pPr>
              <w:pStyle w:val="7"/>
              <w:rPr>
                <w:color w:val="auto"/>
                <w:highlight w:val="none"/>
              </w:rPr>
            </w:pPr>
          </w:p>
        </w:tc>
        <w:tc>
          <w:tcPr>
            <w:tcW w:w="867" w:type="dxa"/>
            <w:vMerge w:val="continue"/>
            <w:tcBorders>
              <w:top w:val="nil"/>
            </w:tcBorders>
            <w:vAlign w:val="top"/>
          </w:tcPr>
          <w:p w14:paraId="52A9797D">
            <w:pPr>
              <w:pStyle w:val="7"/>
              <w:rPr>
                <w:color w:val="auto"/>
                <w:highlight w:val="none"/>
              </w:rPr>
            </w:pPr>
          </w:p>
        </w:tc>
        <w:tc>
          <w:tcPr>
            <w:tcW w:w="1484" w:type="dxa"/>
            <w:vAlign w:val="top"/>
          </w:tcPr>
          <w:p w14:paraId="7EF81608">
            <w:pPr>
              <w:pStyle w:val="7"/>
              <w:rPr>
                <w:color w:val="auto"/>
                <w:highlight w:val="none"/>
              </w:rPr>
            </w:pPr>
          </w:p>
        </w:tc>
        <w:tc>
          <w:tcPr>
            <w:tcW w:w="1484" w:type="dxa"/>
            <w:vAlign w:val="top"/>
          </w:tcPr>
          <w:p w14:paraId="2CAE1A04">
            <w:pPr>
              <w:pStyle w:val="7"/>
              <w:rPr>
                <w:color w:val="auto"/>
                <w:highlight w:val="none"/>
              </w:rPr>
            </w:pPr>
          </w:p>
        </w:tc>
        <w:tc>
          <w:tcPr>
            <w:tcW w:w="1493" w:type="dxa"/>
            <w:vAlign w:val="top"/>
          </w:tcPr>
          <w:p w14:paraId="44A77BCC">
            <w:pPr>
              <w:pStyle w:val="7"/>
              <w:rPr>
                <w:color w:val="auto"/>
                <w:highlight w:val="none"/>
              </w:rPr>
            </w:pPr>
          </w:p>
        </w:tc>
      </w:tr>
      <w:tr w14:paraId="0D9856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054325BE">
            <w:pPr>
              <w:pStyle w:val="7"/>
              <w:spacing w:line="280" w:lineRule="auto"/>
              <w:rPr>
                <w:color w:val="auto"/>
                <w:highlight w:val="none"/>
              </w:rPr>
            </w:pPr>
          </w:p>
          <w:p w14:paraId="52D49280">
            <w:pPr>
              <w:pStyle w:val="7"/>
              <w:spacing w:line="280" w:lineRule="auto"/>
              <w:rPr>
                <w:color w:val="auto"/>
                <w:highlight w:val="none"/>
              </w:rPr>
            </w:pPr>
          </w:p>
          <w:p w14:paraId="059DD54F">
            <w:pPr>
              <w:pStyle w:val="7"/>
              <w:spacing w:line="280" w:lineRule="auto"/>
              <w:rPr>
                <w:color w:val="auto"/>
                <w:highlight w:val="none"/>
              </w:rPr>
            </w:pPr>
          </w:p>
          <w:p w14:paraId="40065708">
            <w:pPr>
              <w:spacing w:before="58"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5_3</w:t>
            </w:r>
          </w:p>
        </w:tc>
        <w:tc>
          <w:tcPr>
            <w:tcW w:w="2457" w:type="dxa"/>
            <w:vMerge w:val="restart"/>
            <w:tcBorders>
              <w:bottom w:val="nil"/>
            </w:tcBorders>
            <w:vAlign w:val="top"/>
          </w:tcPr>
          <w:p w14:paraId="7AE535CC">
            <w:pPr>
              <w:pStyle w:val="7"/>
              <w:spacing w:line="250" w:lineRule="auto"/>
              <w:rPr>
                <w:color w:val="auto"/>
                <w:highlight w:val="none"/>
              </w:rPr>
            </w:pPr>
          </w:p>
          <w:p w14:paraId="53D2D84F">
            <w:pPr>
              <w:pStyle w:val="7"/>
              <w:spacing w:line="251" w:lineRule="auto"/>
              <w:rPr>
                <w:color w:val="auto"/>
                <w:highlight w:val="none"/>
              </w:rPr>
            </w:pPr>
          </w:p>
          <w:p w14:paraId="275A182A">
            <w:pPr>
              <w:pStyle w:val="7"/>
              <w:spacing w:line="251" w:lineRule="auto"/>
              <w:rPr>
                <w:color w:val="auto"/>
                <w:highlight w:val="none"/>
              </w:rPr>
            </w:pPr>
          </w:p>
          <w:p w14:paraId="3DB8138C">
            <w:pPr>
              <w:spacing w:before="59" w:line="220" w:lineRule="auto"/>
              <w:ind w:left="14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启备变低电压闭锁过流保护</w:t>
            </w:r>
          </w:p>
        </w:tc>
        <w:tc>
          <w:tcPr>
            <w:tcW w:w="867" w:type="dxa"/>
            <w:vMerge w:val="restart"/>
            <w:tcBorders>
              <w:bottom w:val="nil"/>
            </w:tcBorders>
            <w:vAlign w:val="top"/>
          </w:tcPr>
          <w:p w14:paraId="362893E7">
            <w:pPr>
              <w:pStyle w:val="7"/>
              <w:rPr>
                <w:color w:val="auto"/>
                <w:highlight w:val="none"/>
              </w:rPr>
            </w:pPr>
          </w:p>
        </w:tc>
        <w:tc>
          <w:tcPr>
            <w:tcW w:w="1484" w:type="dxa"/>
            <w:vAlign w:val="top"/>
          </w:tcPr>
          <w:p w14:paraId="1BD742D5">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0F937494">
            <w:pPr>
              <w:pStyle w:val="7"/>
              <w:rPr>
                <w:color w:val="auto"/>
                <w:highlight w:val="none"/>
              </w:rPr>
            </w:pPr>
          </w:p>
        </w:tc>
        <w:tc>
          <w:tcPr>
            <w:tcW w:w="1493" w:type="dxa"/>
            <w:vAlign w:val="top"/>
          </w:tcPr>
          <w:p w14:paraId="0D615795">
            <w:pPr>
              <w:pStyle w:val="7"/>
              <w:rPr>
                <w:color w:val="auto"/>
                <w:highlight w:val="none"/>
              </w:rPr>
            </w:pPr>
          </w:p>
        </w:tc>
      </w:tr>
      <w:tr w14:paraId="5A1BA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BB791FC">
            <w:pPr>
              <w:pStyle w:val="7"/>
              <w:rPr>
                <w:color w:val="auto"/>
                <w:highlight w:val="none"/>
              </w:rPr>
            </w:pPr>
          </w:p>
        </w:tc>
        <w:tc>
          <w:tcPr>
            <w:tcW w:w="2457" w:type="dxa"/>
            <w:vMerge w:val="continue"/>
            <w:tcBorders>
              <w:top w:val="nil"/>
              <w:bottom w:val="nil"/>
            </w:tcBorders>
            <w:vAlign w:val="top"/>
          </w:tcPr>
          <w:p w14:paraId="39062555">
            <w:pPr>
              <w:pStyle w:val="7"/>
              <w:rPr>
                <w:color w:val="auto"/>
                <w:highlight w:val="none"/>
              </w:rPr>
            </w:pPr>
          </w:p>
        </w:tc>
        <w:tc>
          <w:tcPr>
            <w:tcW w:w="867" w:type="dxa"/>
            <w:vMerge w:val="continue"/>
            <w:tcBorders>
              <w:top w:val="nil"/>
              <w:bottom w:val="nil"/>
            </w:tcBorders>
            <w:vAlign w:val="top"/>
          </w:tcPr>
          <w:p w14:paraId="562ED8CC">
            <w:pPr>
              <w:pStyle w:val="7"/>
              <w:rPr>
                <w:color w:val="auto"/>
                <w:highlight w:val="none"/>
              </w:rPr>
            </w:pPr>
          </w:p>
        </w:tc>
        <w:tc>
          <w:tcPr>
            <w:tcW w:w="1484" w:type="dxa"/>
            <w:vAlign w:val="top"/>
          </w:tcPr>
          <w:p w14:paraId="3698E5CD">
            <w:pPr>
              <w:pStyle w:val="7"/>
              <w:rPr>
                <w:color w:val="auto"/>
                <w:highlight w:val="none"/>
              </w:rPr>
            </w:pPr>
          </w:p>
        </w:tc>
        <w:tc>
          <w:tcPr>
            <w:tcW w:w="1484" w:type="dxa"/>
            <w:vAlign w:val="top"/>
          </w:tcPr>
          <w:p w14:paraId="53D76B8C">
            <w:pPr>
              <w:pStyle w:val="7"/>
              <w:rPr>
                <w:color w:val="auto"/>
                <w:highlight w:val="none"/>
              </w:rPr>
            </w:pPr>
          </w:p>
        </w:tc>
        <w:tc>
          <w:tcPr>
            <w:tcW w:w="1493" w:type="dxa"/>
            <w:vAlign w:val="top"/>
          </w:tcPr>
          <w:p w14:paraId="161FC3BC">
            <w:pPr>
              <w:pStyle w:val="7"/>
              <w:rPr>
                <w:color w:val="auto"/>
                <w:highlight w:val="none"/>
              </w:rPr>
            </w:pPr>
          </w:p>
        </w:tc>
      </w:tr>
      <w:tr w14:paraId="146797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1338EF6C">
            <w:pPr>
              <w:pStyle w:val="7"/>
              <w:rPr>
                <w:color w:val="auto"/>
                <w:highlight w:val="none"/>
              </w:rPr>
            </w:pPr>
          </w:p>
        </w:tc>
        <w:tc>
          <w:tcPr>
            <w:tcW w:w="2457" w:type="dxa"/>
            <w:vMerge w:val="continue"/>
            <w:tcBorders>
              <w:top w:val="nil"/>
              <w:bottom w:val="nil"/>
            </w:tcBorders>
            <w:vAlign w:val="top"/>
          </w:tcPr>
          <w:p w14:paraId="53930F5D">
            <w:pPr>
              <w:pStyle w:val="7"/>
              <w:rPr>
                <w:color w:val="auto"/>
                <w:highlight w:val="none"/>
              </w:rPr>
            </w:pPr>
          </w:p>
        </w:tc>
        <w:tc>
          <w:tcPr>
            <w:tcW w:w="867" w:type="dxa"/>
            <w:vMerge w:val="continue"/>
            <w:tcBorders>
              <w:top w:val="nil"/>
              <w:bottom w:val="nil"/>
            </w:tcBorders>
            <w:vAlign w:val="top"/>
          </w:tcPr>
          <w:p w14:paraId="12FD59A2">
            <w:pPr>
              <w:pStyle w:val="7"/>
              <w:rPr>
                <w:color w:val="auto"/>
                <w:highlight w:val="none"/>
              </w:rPr>
            </w:pPr>
          </w:p>
        </w:tc>
        <w:tc>
          <w:tcPr>
            <w:tcW w:w="1484" w:type="dxa"/>
            <w:vAlign w:val="top"/>
          </w:tcPr>
          <w:p w14:paraId="2F248A93">
            <w:pPr>
              <w:spacing w:before="14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4F84DDA">
            <w:pPr>
              <w:pStyle w:val="7"/>
              <w:rPr>
                <w:color w:val="auto"/>
                <w:highlight w:val="none"/>
              </w:rPr>
            </w:pPr>
          </w:p>
        </w:tc>
        <w:tc>
          <w:tcPr>
            <w:tcW w:w="1493" w:type="dxa"/>
            <w:vAlign w:val="top"/>
          </w:tcPr>
          <w:p w14:paraId="3F7AC20D">
            <w:pPr>
              <w:pStyle w:val="7"/>
              <w:rPr>
                <w:color w:val="auto"/>
                <w:highlight w:val="none"/>
              </w:rPr>
            </w:pPr>
          </w:p>
        </w:tc>
      </w:tr>
      <w:tr w14:paraId="4C5512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3C26025B">
            <w:pPr>
              <w:pStyle w:val="7"/>
              <w:rPr>
                <w:color w:val="auto"/>
                <w:highlight w:val="none"/>
              </w:rPr>
            </w:pPr>
          </w:p>
        </w:tc>
        <w:tc>
          <w:tcPr>
            <w:tcW w:w="2457" w:type="dxa"/>
            <w:vMerge w:val="continue"/>
            <w:tcBorders>
              <w:top w:val="nil"/>
            </w:tcBorders>
            <w:vAlign w:val="top"/>
          </w:tcPr>
          <w:p w14:paraId="44C9FDF9">
            <w:pPr>
              <w:pStyle w:val="7"/>
              <w:rPr>
                <w:color w:val="auto"/>
                <w:highlight w:val="none"/>
              </w:rPr>
            </w:pPr>
          </w:p>
        </w:tc>
        <w:tc>
          <w:tcPr>
            <w:tcW w:w="867" w:type="dxa"/>
            <w:vMerge w:val="continue"/>
            <w:tcBorders>
              <w:top w:val="nil"/>
            </w:tcBorders>
            <w:vAlign w:val="top"/>
          </w:tcPr>
          <w:p w14:paraId="10B1BFBC">
            <w:pPr>
              <w:pStyle w:val="7"/>
              <w:rPr>
                <w:color w:val="auto"/>
                <w:highlight w:val="none"/>
              </w:rPr>
            </w:pPr>
          </w:p>
        </w:tc>
        <w:tc>
          <w:tcPr>
            <w:tcW w:w="1484" w:type="dxa"/>
            <w:vAlign w:val="top"/>
          </w:tcPr>
          <w:p w14:paraId="41E0E14D">
            <w:pPr>
              <w:pStyle w:val="7"/>
              <w:rPr>
                <w:color w:val="auto"/>
                <w:highlight w:val="none"/>
              </w:rPr>
            </w:pPr>
          </w:p>
        </w:tc>
        <w:tc>
          <w:tcPr>
            <w:tcW w:w="1484" w:type="dxa"/>
            <w:vAlign w:val="top"/>
          </w:tcPr>
          <w:p w14:paraId="69A929F8">
            <w:pPr>
              <w:pStyle w:val="7"/>
              <w:rPr>
                <w:color w:val="auto"/>
                <w:highlight w:val="none"/>
              </w:rPr>
            </w:pPr>
          </w:p>
        </w:tc>
        <w:tc>
          <w:tcPr>
            <w:tcW w:w="1493" w:type="dxa"/>
            <w:vAlign w:val="top"/>
          </w:tcPr>
          <w:p w14:paraId="0E2C0656">
            <w:pPr>
              <w:pStyle w:val="7"/>
              <w:rPr>
                <w:color w:val="auto"/>
                <w:highlight w:val="none"/>
              </w:rPr>
            </w:pPr>
          </w:p>
        </w:tc>
      </w:tr>
      <w:tr w14:paraId="312828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ECC7396">
            <w:pPr>
              <w:pStyle w:val="7"/>
              <w:spacing w:line="280" w:lineRule="auto"/>
              <w:rPr>
                <w:color w:val="auto"/>
                <w:highlight w:val="none"/>
              </w:rPr>
            </w:pPr>
          </w:p>
          <w:p w14:paraId="122C7E22">
            <w:pPr>
              <w:pStyle w:val="7"/>
              <w:spacing w:line="280" w:lineRule="auto"/>
              <w:rPr>
                <w:color w:val="auto"/>
                <w:highlight w:val="none"/>
              </w:rPr>
            </w:pPr>
          </w:p>
          <w:p w14:paraId="4E14FC84">
            <w:pPr>
              <w:pStyle w:val="7"/>
              <w:spacing w:line="280" w:lineRule="auto"/>
              <w:rPr>
                <w:color w:val="auto"/>
                <w:highlight w:val="none"/>
              </w:rPr>
            </w:pPr>
          </w:p>
          <w:p w14:paraId="500448DD">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5_4</w:t>
            </w:r>
          </w:p>
        </w:tc>
        <w:tc>
          <w:tcPr>
            <w:tcW w:w="2457" w:type="dxa"/>
            <w:vMerge w:val="restart"/>
            <w:tcBorders>
              <w:bottom w:val="nil"/>
            </w:tcBorders>
            <w:vAlign w:val="top"/>
          </w:tcPr>
          <w:p w14:paraId="6AEA9BF0">
            <w:pPr>
              <w:pStyle w:val="7"/>
              <w:spacing w:line="251" w:lineRule="auto"/>
              <w:rPr>
                <w:color w:val="auto"/>
                <w:highlight w:val="none"/>
              </w:rPr>
            </w:pPr>
          </w:p>
          <w:p w14:paraId="2527D9FC">
            <w:pPr>
              <w:pStyle w:val="7"/>
              <w:spacing w:line="252" w:lineRule="auto"/>
              <w:rPr>
                <w:color w:val="auto"/>
                <w:highlight w:val="none"/>
              </w:rPr>
            </w:pPr>
          </w:p>
          <w:p w14:paraId="2372555B">
            <w:pPr>
              <w:pStyle w:val="7"/>
              <w:spacing w:line="252" w:lineRule="auto"/>
              <w:rPr>
                <w:color w:val="auto"/>
                <w:highlight w:val="none"/>
              </w:rPr>
            </w:pPr>
          </w:p>
          <w:p w14:paraId="7AC52F0E">
            <w:pPr>
              <w:spacing w:before="59" w:line="219" w:lineRule="auto"/>
              <w:ind w:left="32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启备变高压侧接地保护</w:t>
            </w:r>
          </w:p>
        </w:tc>
        <w:tc>
          <w:tcPr>
            <w:tcW w:w="867" w:type="dxa"/>
            <w:vMerge w:val="restart"/>
            <w:tcBorders>
              <w:bottom w:val="nil"/>
            </w:tcBorders>
            <w:vAlign w:val="top"/>
          </w:tcPr>
          <w:p w14:paraId="5976E7CA">
            <w:pPr>
              <w:pStyle w:val="7"/>
              <w:rPr>
                <w:color w:val="auto"/>
                <w:highlight w:val="none"/>
              </w:rPr>
            </w:pPr>
          </w:p>
        </w:tc>
        <w:tc>
          <w:tcPr>
            <w:tcW w:w="1484" w:type="dxa"/>
            <w:vAlign w:val="top"/>
          </w:tcPr>
          <w:p w14:paraId="28C92F10">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CE15403">
            <w:pPr>
              <w:pStyle w:val="7"/>
              <w:rPr>
                <w:color w:val="auto"/>
                <w:highlight w:val="none"/>
              </w:rPr>
            </w:pPr>
          </w:p>
        </w:tc>
        <w:tc>
          <w:tcPr>
            <w:tcW w:w="1493" w:type="dxa"/>
            <w:vAlign w:val="top"/>
          </w:tcPr>
          <w:p w14:paraId="082B63B2">
            <w:pPr>
              <w:pStyle w:val="7"/>
              <w:rPr>
                <w:color w:val="auto"/>
                <w:highlight w:val="none"/>
              </w:rPr>
            </w:pPr>
          </w:p>
        </w:tc>
      </w:tr>
      <w:tr w14:paraId="6ED127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043BC280">
            <w:pPr>
              <w:pStyle w:val="7"/>
              <w:rPr>
                <w:color w:val="auto"/>
                <w:highlight w:val="none"/>
              </w:rPr>
            </w:pPr>
          </w:p>
        </w:tc>
        <w:tc>
          <w:tcPr>
            <w:tcW w:w="2457" w:type="dxa"/>
            <w:vMerge w:val="continue"/>
            <w:tcBorders>
              <w:top w:val="nil"/>
              <w:bottom w:val="nil"/>
            </w:tcBorders>
            <w:vAlign w:val="top"/>
          </w:tcPr>
          <w:p w14:paraId="5B4DF6F1">
            <w:pPr>
              <w:pStyle w:val="7"/>
              <w:rPr>
                <w:color w:val="auto"/>
                <w:highlight w:val="none"/>
              </w:rPr>
            </w:pPr>
          </w:p>
        </w:tc>
        <w:tc>
          <w:tcPr>
            <w:tcW w:w="867" w:type="dxa"/>
            <w:vMerge w:val="continue"/>
            <w:tcBorders>
              <w:top w:val="nil"/>
              <w:bottom w:val="nil"/>
            </w:tcBorders>
            <w:vAlign w:val="top"/>
          </w:tcPr>
          <w:p w14:paraId="06A1EAC4">
            <w:pPr>
              <w:pStyle w:val="7"/>
              <w:rPr>
                <w:color w:val="auto"/>
                <w:highlight w:val="none"/>
              </w:rPr>
            </w:pPr>
          </w:p>
        </w:tc>
        <w:tc>
          <w:tcPr>
            <w:tcW w:w="1484" w:type="dxa"/>
            <w:vAlign w:val="top"/>
          </w:tcPr>
          <w:p w14:paraId="749836D0">
            <w:pPr>
              <w:pStyle w:val="7"/>
              <w:rPr>
                <w:color w:val="auto"/>
                <w:highlight w:val="none"/>
              </w:rPr>
            </w:pPr>
          </w:p>
        </w:tc>
        <w:tc>
          <w:tcPr>
            <w:tcW w:w="1484" w:type="dxa"/>
            <w:vAlign w:val="top"/>
          </w:tcPr>
          <w:p w14:paraId="0E6F1A6D">
            <w:pPr>
              <w:pStyle w:val="7"/>
              <w:rPr>
                <w:color w:val="auto"/>
                <w:highlight w:val="none"/>
              </w:rPr>
            </w:pPr>
          </w:p>
        </w:tc>
        <w:tc>
          <w:tcPr>
            <w:tcW w:w="1493" w:type="dxa"/>
            <w:vAlign w:val="top"/>
          </w:tcPr>
          <w:p w14:paraId="266B7207">
            <w:pPr>
              <w:pStyle w:val="7"/>
              <w:rPr>
                <w:color w:val="auto"/>
                <w:highlight w:val="none"/>
              </w:rPr>
            </w:pPr>
          </w:p>
        </w:tc>
      </w:tr>
      <w:tr w14:paraId="4FC97F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F12EC7C">
            <w:pPr>
              <w:pStyle w:val="7"/>
              <w:rPr>
                <w:color w:val="auto"/>
                <w:highlight w:val="none"/>
              </w:rPr>
            </w:pPr>
          </w:p>
        </w:tc>
        <w:tc>
          <w:tcPr>
            <w:tcW w:w="2457" w:type="dxa"/>
            <w:vMerge w:val="continue"/>
            <w:tcBorders>
              <w:top w:val="nil"/>
              <w:bottom w:val="nil"/>
            </w:tcBorders>
            <w:vAlign w:val="top"/>
          </w:tcPr>
          <w:p w14:paraId="792C676E">
            <w:pPr>
              <w:pStyle w:val="7"/>
              <w:rPr>
                <w:color w:val="auto"/>
                <w:highlight w:val="none"/>
              </w:rPr>
            </w:pPr>
          </w:p>
        </w:tc>
        <w:tc>
          <w:tcPr>
            <w:tcW w:w="867" w:type="dxa"/>
            <w:vMerge w:val="continue"/>
            <w:tcBorders>
              <w:top w:val="nil"/>
              <w:bottom w:val="nil"/>
            </w:tcBorders>
            <w:vAlign w:val="top"/>
          </w:tcPr>
          <w:p w14:paraId="58EA7903">
            <w:pPr>
              <w:pStyle w:val="7"/>
              <w:rPr>
                <w:color w:val="auto"/>
                <w:highlight w:val="none"/>
              </w:rPr>
            </w:pPr>
          </w:p>
        </w:tc>
        <w:tc>
          <w:tcPr>
            <w:tcW w:w="1484" w:type="dxa"/>
            <w:vAlign w:val="top"/>
          </w:tcPr>
          <w:p w14:paraId="381CED1D">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31F3B947">
            <w:pPr>
              <w:pStyle w:val="7"/>
              <w:rPr>
                <w:color w:val="auto"/>
                <w:highlight w:val="none"/>
              </w:rPr>
            </w:pPr>
          </w:p>
        </w:tc>
        <w:tc>
          <w:tcPr>
            <w:tcW w:w="1493" w:type="dxa"/>
            <w:vAlign w:val="top"/>
          </w:tcPr>
          <w:p w14:paraId="0EE3CDE0">
            <w:pPr>
              <w:pStyle w:val="7"/>
              <w:rPr>
                <w:color w:val="auto"/>
                <w:highlight w:val="none"/>
              </w:rPr>
            </w:pPr>
          </w:p>
        </w:tc>
      </w:tr>
      <w:tr w14:paraId="58693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16C89758">
            <w:pPr>
              <w:pStyle w:val="7"/>
              <w:rPr>
                <w:color w:val="auto"/>
                <w:highlight w:val="none"/>
              </w:rPr>
            </w:pPr>
          </w:p>
        </w:tc>
        <w:tc>
          <w:tcPr>
            <w:tcW w:w="2457" w:type="dxa"/>
            <w:vMerge w:val="continue"/>
            <w:tcBorders>
              <w:top w:val="nil"/>
            </w:tcBorders>
            <w:vAlign w:val="top"/>
          </w:tcPr>
          <w:p w14:paraId="03598BDD">
            <w:pPr>
              <w:pStyle w:val="7"/>
              <w:rPr>
                <w:color w:val="auto"/>
                <w:highlight w:val="none"/>
              </w:rPr>
            </w:pPr>
          </w:p>
        </w:tc>
        <w:tc>
          <w:tcPr>
            <w:tcW w:w="867" w:type="dxa"/>
            <w:vMerge w:val="continue"/>
            <w:tcBorders>
              <w:top w:val="nil"/>
            </w:tcBorders>
            <w:vAlign w:val="top"/>
          </w:tcPr>
          <w:p w14:paraId="323167D5">
            <w:pPr>
              <w:pStyle w:val="7"/>
              <w:rPr>
                <w:color w:val="auto"/>
                <w:highlight w:val="none"/>
              </w:rPr>
            </w:pPr>
          </w:p>
        </w:tc>
        <w:tc>
          <w:tcPr>
            <w:tcW w:w="1484" w:type="dxa"/>
            <w:vAlign w:val="top"/>
          </w:tcPr>
          <w:p w14:paraId="0637BF4E">
            <w:pPr>
              <w:pStyle w:val="7"/>
              <w:rPr>
                <w:color w:val="auto"/>
                <w:highlight w:val="none"/>
              </w:rPr>
            </w:pPr>
          </w:p>
        </w:tc>
        <w:tc>
          <w:tcPr>
            <w:tcW w:w="1484" w:type="dxa"/>
            <w:vAlign w:val="top"/>
          </w:tcPr>
          <w:p w14:paraId="46FBAC9A">
            <w:pPr>
              <w:pStyle w:val="7"/>
              <w:rPr>
                <w:color w:val="auto"/>
                <w:highlight w:val="none"/>
              </w:rPr>
            </w:pPr>
          </w:p>
        </w:tc>
        <w:tc>
          <w:tcPr>
            <w:tcW w:w="1493" w:type="dxa"/>
            <w:vAlign w:val="top"/>
          </w:tcPr>
          <w:p w14:paraId="77F9EA48">
            <w:pPr>
              <w:pStyle w:val="7"/>
              <w:rPr>
                <w:color w:val="auto"/>
                <w:highlight w:val="none"/>
              </w:rPr>
            </w:pPr>
          </w:p>
        </w:tc>
      </w:tr>
      <w:tr w14:paraId="3F01C0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5061390F">
            <w:pPr>
              <w:pStyle w:val="7"/>
              <w:spacing w:line="280" w:lineRule="auto"/>
              <w:rPr>
                <w:color w:val="auto"/>
                <w:highlight w:val="none"/>
              </w:rPr>
            </w:pPr>
          </w:p>
          <w:p w14:paraId="0F72A1FB">
            <w:pPr>
              <w:pStyle w:val="7"/>
              <w:spacing w:line="281" w:lineRule="auto"/>
              <w:rPr>
                <w:color w:val="auto"/>
                <w:highlight w:val="none"/>
              </w:rPr>
            </w:pPr>
          </w:p>
          <w:p w14:paraId="0EEE8CB5">
            <w:pPr>
              <w:pStyle w:val="7"/>
              <w:spacing w:line="281" w:lineRule="auto"/>
              <w:rPr>
                <w:color w:val="auto"/>
                <w:highlight w:val="none"/>
              </w:rPr>
            </w:pPr>
          </w:p>
          <w:p w14:paraId="02F033D7">
            <w:pPr>
              <w:spacing w:before="59" w:line="182"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5_5</w:t>
            </w:r>
          </w:p>
        </w:tc>
        <w:tc>
          <w:tcPr>
            <w:tcW w:w="2457" w:type="dxa"/>
            <w:vMerge w:val="restart"/>
            <w:tcBorders>
              <w:bottom w:val="nil"/>
            </w:tcBorders>
            <w:vAlign w:val="top"/>
          </w:tcPr>
          <w:p w14:paraId="65842EAB">
            <w:pPr>
              <w:pStyle w:val="7"/>
              <w:spacing w:line="252" w:lineRule="auto"/>
              <w:rPr>
                <w:color w:val="auto"/>
                <w:highlight w:val="none"/>
              </w:rPr>
            </w:pPr>
          </w:p>
          <w:p w14:paraId="35B983EF">
            <w:pPr>
              <w:pStyle w:val="7"/>
              <w:spacing w:line="252" w:lineRule="auto"/>
              <w:rPr>
                <w:color w:val="auto"/>
                <w:highlight w:val="none"/>
              </w:rPr>
            </w:pPr>
          </w:p>
          <w:p w14:paraId="5A94E802">
            <w:pPr>
              <w:pStyle w:val="7"/>
              <w:spacing w:line="252" w:lineRule="auto"/>
              <w:rPr>
                <w:color w:val="auto"/>
                <w:highlight w:val="none"/>
              </w:rPr>
            </w:pPr>
          </w:p>
          <w:p w14:paraId="7B33395C">
            <w:pPr>
              <w:spacing w:before="58" w:line="220" w:lineRule="auto"/>
              <w:ind w:left="32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启备变中性点过流保护</w:t>
            </w:r>
          </w:p>
        </w:tc>
        <w:tc>
          <w:tcPr>
            <w:tcW w:w="867" w:type="dxa"/>
            <w:vMerge w:val="restart"/>
            <w:tcBorders>
              <w:bottom w:val="nil"/>
            </w:tcBorders>
            <w:vAlign w:val="top"/>
          </w:tcPr>
          <w:p w14:paraId="69C118FF">
            <w:pPr>
              <w:pStyle w:val="7"/>
              <w:rPr>
                <w:color w:val="auto"/>
                <w:highlight w:val="none"/>
              </w:rPr>
            </w:pPr>
          </w:p>
        </w:tc>
        <w:tc>
          <w:tcPr>
            <w:tcW w:w="1484" w:type="dxa"/>
            <w:vAlign w:val="top"/>
          </w:tcPr>
          <w:p w14:paraId="2FD8CF29">
            <w:pPr>
              <w:spacing w:before="145"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8CBE3BC">
            <w:pPr>
              <w:pStyle w:val="7"/>
              <w:rPr>
                <w:color w:val="auto"/>
                <w:highlight w:val="none"/>
              </w:rPr>
            </w:pPr>
          </w:p>
        </w:tc>
        <w:tc>
          <w:tcPr>
            <w:tcW w:w="1493" w:type="dxa"/>
            <w:vAlign w:val="top"/>
          </w:tcPr>
          <w:p w14:paraId="5B71F80F">
            <w:pPr>
              <w:pStyle w:val="7"/>
              <w:rPr>
                <w:color w:val="auto"/>
                <w:highlight w:val="none"/>
              </w:rPr>
            </w:pPr>
          </w:p>
        </w:tc>
      </w:tr>
      <w:tr w14:paraId="0E81F0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40B40ECC">
            <w:pPr>
              <w:pStyle w:val="7"/>
              <w:rPr>
                <w:color w:val="auto"/>
                <w:highlight w:val="none"/>
              </w:rPr>
            </w:pPr>
          </w:p>
        </w:tc>
        <w:tc>
          <w:tcPr>
            <w:tcW w:w="2457" w:type="dxa"/>
            <w:vMerge w:val="continue"/>
            <w:tcBorders>
              <w:top w:val="nil"/>
              <w:bottom w:val="nil"/>
            </w:tcBorders>
            <w:vAlign w:val="top"/>
          </w:tcPr>
          <w:p w14:paraId="5B077BFF">
            <w:pPr>
              <w:pStyle w:val="7"/>
              <w:rPr>
                <w:color w:val="auto"/>
                <w:highlight w:val="none"/>
              </w:rPr>
            </w:pPr>
          </w:p>
        </w:tc>
        <w:tc>
          <w:tcPr>
            <w:tcW w:w="867" w:type="dxa"/>
            <w:vMerge w:val="continue"/>
            <w:tcBorders>
              <w:top w:val="nil"/>
              <w:bottom w:val="nil"/>
            </w:tcBorders>
            <w:vAlign w:val="top"/>
          </w:tcPr>
          <w:p w14:paraId="7C6F842B">
            <w:pPr>
              <w:pStyle w:val="7"/>
              <w:rPr>
                <w:color w:val="auto"/>
                <w:highlight w:val="none"/>
              </w:rPr>
            </w:pPr>
          </w:p>
        </w:tc>
        <w:tc>
          <w:tcPr>
            <w:tcW w:w="1484" w:type="dxa"/>
            <w:vAlign w:val="top"/>
          </w:tcPr>
          <w:p w14:paraId="4AFBD28A">
            <w:pPr>
              <w:pStyle w:val="7"/>
              <w:rPr>
                <w:color w:val="auto"/>
                <w:highlight w:val="none"/>
              </w:rPr>
            </w:pPr>
          </w:p>
        </w:tc>
        <w:tc>
          <w:tcPr>
            <w:tcW w:w="1484" w:type="dxa"/>
            <w:vAlign w:val="top"/>
          </w:tcPr>
          <w:p w14:paraId="6DE2C898">
            <w:pPr>
              <w:pStyle w:val="7"/>
              <w:rPr>
                <w:color w:val="auto"/>
                <w:highlight w:val="none"/>
              </w:rPr>
            </w:pPr>
          </w:p>
        </w:tc>
        <w:tc>
          <w:tcPr>
            <w:tcW w:w="1493" w:type="dxa"/>
            <w:vAlign w:val="top"/>
          </w:tcPr>
          <w:p w14:paraId="62FD494B">
            <w:pPr>
              <w:pStyle w:val="7"/>
              <w:rPr>
                <w:color w:val="auto"/>
                <w:highlight w:val="none"/>
              </w:rPr>
            </w:pPr>
          </w:p>
        </w:tc>
      </w:tr>
      <w:tr w14:paraId="34C43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2E4A7C7">
            <w:pPr>
              <w:pStyle w:val="7"/>
              <w:rPr>
                <w:color w:val="auto"/>
                <w:highlight w:val="none"/>
              </w:rPr>
            </w:pPr>
          </w:p>
        </w:tc>
        <w:tc>
          <w:tcPr>
            <w:tcW w:w="2457" w:type="dxa"/>
            <w:vMerge w:val="continue"/>
            <w:tcBorders>
              <w:top w:val="nil"/>
              <w:bottom w:val="nil"/>
            </w:tcBorders>
            <w:vAlign w:val="top"/>
          </w:tcPr>
          <w:p w14:paraId="1A2B9967">
            <w:pPr>
              <w:pStyle w:val="7"/>
              <w:rPr>
                <w:color w:val="auto"/>
                <w:highlight w:val="none"/>
              </w:rPr>
            </w:pPr>
          </w:p>
        </w:tc>
        <w:tc>
          <w:tcPr>
            <w:tcW w:w="867" w:type="dxa"/>
            <w:vMerge w:val="continue"/>
            <w:tcBorders>
              <w:top w:val="nil"/>
              <w:bottom w:val="nil"/>
            </w:tcBorders>
            <w:vAlign w:val="top"/>
          </w:tcPr>
          <w:p w14:paraId="6B247884">
            <w:pPr>
              <w:pStyle w:val="7"/>
              <w:rPr>
                <w:color w:val="auto"/>
                <w:highlight w:val="none"/>
              </w:rPr>
            </w:pPr>
          </w:p>
        </w:tc>
        <w:tc>
          <w:tcPr>
            <w:tcW w:w="1484" w:type="dxa"/>
            <w:vAlign w:val="top"/>
          </w:tcPr>
          <w:p w14:paraId="39A303F9">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60CD7FEC">
            <w:pPr>
              <w:pStyle w:val="7"/>
              <w:rPr>
                <w:color w:val="auto"/>
                <w:highlight w:val="none"/>
              </w:rPr>
            </w:pPr>
          </w:p>
        </w:tc>
        <w:tc>
          <w:tcPr>
            <w:tcW w:w="1493" w:type="dxa"/>
            <w:vAlign w:val="top"/>
          </w:tcPr>
          <w:p w14:paraId="5A937410">
            <w:pPr>
              <w:pStyle w:val="7"/>
              <w:rPr>
                <w:color w:val="auto"/>
                <w:highlight w:val="none"/>
              </w:rPr>
            </w:pPr>
          </w:p>
        </w:tc>
      </w:tr>
      <w:tr w14:paraId="2CEF1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1FD93232">
            <w:pPr>
              <w:pStyle w:val="7"/>
              <w:rPr>
                <w:color w:val="auto"/>
                <w:highlight w:val="none"/>
              </w:rPr>
            </w:pPr>
          </w:p>
        </w:tc>
        <w:tc>
          <w:tcPr>
            <w:tcW w:w="2457" w:type="dxa"/>
            <w:vMerge w:val="continue"/>
            <w:tcBorders>
              <w:top w:val="nil"/>
            </w:tcBorders>
            <w:vAlign w:val="top"/>
          </w:tcPr>
          <w:p w14:paraId="1EBA129F">
            <w:pPr>
              <w:pStyle w:val="7"/>
              <w:rPr>
                <w:color w:val="auto"/>
                <w:highlight w:val="none"/>
              </w:rPr>
            </w:pPr>
          </w:p>
        </w:tc>
        <w:tc>
          <w:tcPr>
            <w:tcW w:w="867" w:type="dxa"/>
            <w:vMerge w:val="continue"/>
            <w:tcBorders>
              <w:top w:val="nil"/>
            </w:tcBorders>
            <w:vAlign w:val="top"/>
          </w:tcPr>
          <w:p w14:paraId="4F1D5C3D">
            <w:pPr>
              <w:pStyle w:val="7"/>
              <w:rPr>
                <w:color w:val="auto"/>
                <w:highlight w:val="none"/>
              </w:rPr>
            </w:pPr>
          </w:p>
        </w:tc>
        <w:tc>
          <w:tcPr>
            <w:tcW w:w="1484" w:type="dxa"/>
            <w:vAlign w:val="top"/>
          </w:tcPr>
          <w:p w14:paraId="0C314BFC">
            <w:pPr>
              <w:pStyle w:val="7"/>
              <w:rPr>
                <w:color w:val="auto"/>
                <w:highlight w:val="none"/>
              </w:rPr>
            </w:pPr>
          </w:p>
        </w:tc>
        <w:tc>
          <w:tcPr>
            <w:tcW w:w="1484" w:type="dxa"/>
            <w:vAlign w:val="top"/>
          </w:tcPr>
          <w:p w14:paraId="236D8730">
            <w:pPr>
              <w:pStyle w:val="7"/>
              <w:rPr>
                <w:color w:val="auto"/>
                <w:highlight w:val="none"/>
              </w:rPr>
            </w:pPr>
          </w:p>
        </w:tc>
        <w:tc>
          <w:tcPr>
            <w:tcW w:w="1493" w:type="dxa"/>
            <w:vAlign w:val="top"/>
          </w:tcPr>
          <w:p w14:paraId="1DFF3CA4">
            <w:pPr>
              <w:pStyle w:val="7"/>
              <w:rPr>
                <w:color w:val="auto"/>
                <w:highlight w:val="none"/>
              </w:rPr>
            </w:pPr>
          </w:p>
        </w:tc>
      </w:tr>
      <w:tr w14:paraId="67B2C0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44F3D35A">
            <w:pPr>
              <w:pStyle w:val="7"/>
              <w:spacing w:line="282" w:lineRule="auto"/>
              <w:rPr>
                <w:color w:val="auto"/>
                <w:highlight w:val="none"/>
              </w:rPr>
            </w:pPr>
          </w:p>
          <w:p w14:paraId="4E933DA8">
            <w:pPr>
              <w:pStyle w:val="7"/>
              <w:spacing w:line="282" w:lineRule="auto"/>
              <w:rPr>
                <w:color w:val="auto"/>
                <w:highlight w:val="none"/>
              </w:rPr>
            </w:pPr>
          </w:p>
          <w:p w14:paraId="45291F96">
            <w:pPr>
              <w:pStyle w:val="7"/>
              <w:spacing w:line="283" w:lineRule="auto"/>
              <w:rPr>
                <w:color w:val="auto"/>
                <w:highlight w:val="none"/>
              </w:rPr>
            </w:pPr>
          </w:p>
          <w:p w14:paraId="49040208">
            <w:pPr>
              <w:spacing w:before="58"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5_6</w:t>
            </w:r>
          </w:p>
        </w:tc>
        <w:tc>
          <w:tcPr>
            <w:tcW w:w="2457" w:type="dxa"/>
            <w:vMerge w:val="restart"/>
            <w:tcBorders>
              <w:bottom w:val="nil"/>
            </w:tcBorders>
            <w:vAlign w:val="top"/>
          </w:tcPr>
          <w:p w14:paraId="6E78DFB3">
            <w:pPr>
              <w:pStyle w:val="7"/>
              <w:spacing w:line="253" w:lineRule="auto"/>
              <w:rPr>
                <w:color w:val="auto"/>
                <w:highlight w:val="none"/>
              </w:rPr>
            </w:pPr>
          </w:p>
          <w:p w14:paraId="619AA51B">
            <w:pPr>
              <w:pStyle w:val="7"/>
              <w:spacing w:line="253" w:lineRule="auto"/>
              <w:rPr>
                <w:color w:val="auto"/>
                <w:highlight w:val="none"/>
              </w:rPr>
            </w:pPr>
          </w:p>
          <w:p w14:paraId="3D359119">
            <w:pPr>
              <w:pStyle w:val="7"/>
              <w:spacing w:line="253" w:lineRule="auto"/>
              <w:rPr>
                <w:color w:val="auto"/>
                <w:highlight w:val="none"/>
              </w:rPr>
            </w:pPr>
          </w:p>
          <w:p w14:paraId="0A99CE3A">
            <w:pPr>
              <w:spacing w:before="59" w:line="220" w:lineRule="auto"/>
              <w:ind w:left="59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启备变过流保护</w:t>
            </w:r>
          </w:p>
        </w:tc>
        <w:tc>
          <w:tcPr>
            <w:tcW w:w="867" w:type="dxa"/>
            <w:vMerge w:val="restart"/>
            <w:tcBorders>
              <w:bottom w:val="nil"/>
            </w:tcBorders>
            <w:vAlign w:val="top"/>
          </w:tcPr>
          <w:p w14:paraId="5E30D336">
            <w:pPr>
              <w:pStyle w:val="7"/>
              <w:rPr>
                <w:color w:val="auto"/>
                <w:highlight w:val="none"/>
              </w:rPr>
            </w:pPr>
          </w:p>
        </w:tc>
        <w:tc>
          <w:tcPr>
            <w:tcW w:w="1484" w:type="dxa"/>
            <w:vAlign w:val="top"/>
          </w:tcPr>
          <w:p w14:paraId="371A4EDE">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5CBD8DA">
            <w:pPr>
              <w:pStyle w:val="7"/>
              <w:rPr>
                <w:color w:val="auto"/>
                <w:highlight w:val="none"/>
              </w:rPr>
            </w:pPr>
          </w:p>
        </w:tc>
        <w:tc>
          <w:tcPr>
            <w:tcW w:w="1493" w:type="dxa"/>
            <w:vAlign w:val="top"/>
          </w:tcPr>
          <w:p w14:paraId="076FD546">
            <w:pPr>
              <w:pStyle w:val="7"/>
              <w:rPr>
                <w:color w:val="auto"/>
                <w:highlight w:val="none"/>
              </w:rPr>
            </w:pPr>
          </w:p>
        </w:tc>
      </w:tr>
      <w:tr w14:paraId="7A60BC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3A09441">
            <w:pPr>
              <w:pStyle w:val="7"/>
              <w:rPr>
                <w:color w:val="auto"/>
                <w:highlight w:val="none"/>
              </w:rPr>
            </w:pPr>
          </w:p>
        </w:tc>
        <w:tc>
          <w:tcPr>
            <w:tcW w:w="2457" w:type="dxa"/>
            <w:vMerge w:val="continue"/>
            <w:tcBorders>
              <w:top w:val="nil"/>
              <w:bottom w:val="nil"/>
            </w:tcBorders>
            <w:vAlign w:val="top"/>
          </w:tcPr>
          <w:p w14:paraId="2AAD9C68">
            <w:pPr>
              <w:pStyle w:val="7"/>
              <w:rPr>
                <w:color w:val="auto"/>
                <w:highlight w:val="none"/>
              </w:rPr>
            </w:pPr>
          </w:p>
        </w:tc>
        <w:tc>
          <w:tcPr>
            <w:tcW w:w="867" w:type="dxa"/>
            <w:vMerge w:val="continue"/>
            <w:tcBorders>
              <w:top w:val="nil"/>
              <w:bottom w:val="nil"/>
            </w:tcBorders>
            <w:vAlign w:val="top"/>
          </w:tcPr>
          <w:p w14:paraId="0C16FB82">
            <w:pPr>
              <w:pStyle w:val="7"/>
              <w:rPr>
                <w:color w:val="auto"/>
                <w:highlight w:val="none"/>
              </w:rPr>
            </w:pPr>
          </w:p>
        </w:tc>
        <w:tc>
          <w:tcPr>
            <w:tcW w:w="1484" w:type="dxa"/>
            <w:vAlign w:val="top"/>
          </w:tcPr>
          <w:p w14:paraId="224683B3">
            <w:pPr>
              <w:pStyle w:val="7"/>
              <w:rPr>
                <w:color w:val="auto"/>
                <w:highlight w:val="none"/>
              </w:rPr>
            </w:pPr>
          </w:p>
        </w:tc>
        <w:tc>
          <w:tcPr>
            <w:tcW w:w="1484" w:type="dxa"/>
            <w:vAlign w:val="top"/>
          </w:tcPr>
          <w:p w14:paraId="1E13C050">
            <w:pPr>
              <w:pStyle w:val="7"/>
              <w:rPr>
                <w:color w:val="auto"/>
                <w:highlight w:val="none"/>
              </w:rPr>
            </w:pPr>
          </w:p>
        </w:tc>
        <w:tc>
          <w:tcPr>
            <w:tcW w:w="1493" w:type="dxa"/>
            <w:vAlign w:val="top"/>
          </w:tcPr>
          <w:p w14:paraId="79756411">
            <w:pPr>
              <w:pStyle w:val="7"/>
              <w:rPr>
                <w:color w:val="auto"/>
                <w:highlight w:val="none"/>
              </w:rPr>
            </w:pPr>
          </w:p>
        </w:tc>
      </w:tr>
      <w:tr w14:paraId="11E571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4613E172">
            <w:pPr>
              <w:pStyle w:val="7"/>
              <w:rPr>
                <w:color w:val="auto"/>
                <w:highlight w:val="none"/>
              </w:rPr>
            </w:pPr>
          </w:p>
        </w:tc>
        <w:tc>
          <w:tcPr>
            <w:tcW w:w="2457" w:type="dxa"/>
            <w:vMerge w:val="continue"/>
            <w:tcBorders>
              <w:top w:val="nil"/>
              <w:bottom w:val="nil"/>
            </w:tcBorders>
            <w:vAlign w:val="top"/>
          </w:tcPr>
          <w:p w14:paraId="4973E70E">
            <w:pPr>
              <w:pStyle w:val="7"/>
              <w:rPr>
                <w:color w:val="auto"/>
                <w:highlight w:val="none"/>
              </w:rPr>
            </w:pPr>
          </w:p>
        </w:tc>
        <w:tc>
          <w:tcPr>
            <w:tcW w:w="867" w:type="dxa"/>
            <w:vMerge w:val="continue"/>
            <w:tcBorders>
              <w:top w:val="nil"/>
            </w:tcBorders>
            <w:vAlign w:val="top"/>
          </w:tcPr>
          <w:p w14:paraId="75D99818">
            <w:pPr>
              <w:pStyle w:val="7"/>
              <w:rPr>
                <w:color w:val="auto"/>
                <w:highlight w:val="none"/>
              </w:rPr>
            </w:pPr>
          </w:p>
        </w:tc>
        <w:tc>
          <w:tcPr>
            <w:tcW w:w="1484" w:type="dxa"/>
            <w:vAlign w:val="top"/>
          </w:tcPr>
          <w:p w14:paraId="3BA032B0">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51C408E">
            <w:pPr>
              <w:pStyle w:val="7"/>
              <w:rPr>
                <w:color w:val="auto"/>
                <w:highlight w:val="none"/>
              </w:rPr>
            </w:pPr>
          </w:p>
        </w:tc>
        <w:tc>
          <w:tcPr>
            <w:tcW w:w="1493" w:type="dxa"/>
            <w:vAlign w:val="top"/>
          </w:tcPr>
          <w:p w14:paraId="0D97EDC6">
            <w:pPr>
              <w:pStyle w:val="7"/>
              <w:rPr>
                <w:color w:val="auto"/>
                <w:highlight w:val="none"/>
              </w:rPr>
            </w:pPr>
          </w:p>
        </w:tc>
      </w:tr>
      <w:tr w14:paraId="68CC5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5A08E53C">
            <w:pPr>
              <w:pStyle w:val="7"/>
              <w:rPr>
                <w:color w:val="auto"/>
                <w:highlight w:val="none"/>
              </w:rPr>
            </w:pPr>
          </w:p>
        </w:tc>
        <w:tc>
          <w:tcPr>
            <w:tcW w:w="2457" w:type="dxa"/>
            <w:vMerge w:val="continue"/>
            <w:tcBorders>
              <w:top w:val="nil"/>
            </w:tcBorders>
            <w:vAlign w:val="top"/>
          </w:tcPr>
          <w:p w14:paraId="5C514050">
            <w:pPr>
              <w:pStyle w:val="7"/>
              <w:rPr>
                <w:color w:val="auto"/>
                <w:highlight w:val="none"/>
              </w:rPr>
            </w:pPr>
          </w:p>
        </w:tc>
        <w:tc>
          <w:tcPr>
            <w:tcW w:w="867" w:type="dxa"/>
            <w:vAlign w:val="top"/>
          </w:tcPr>
          <w:p w14:paraId="7F7E5C62">
            <w:pPr>
              <w:pStyle w:val="7"/>
              <w:rPr>
                <w:color w:val="auto"/>
                <w:highlight w:val="none"/>
              </w:rPr>
            </w:pPr>
          </w:p>
        </w:tc>
        <w:tc>
          <w:tcPr>
            <w:tcW w:w="1484" w:type="dxa"/>
            <w:vAlign w:val="top"/>
          </w:tcPr>
          <w:p w14:paraId="119AAC35">
            <w:pPr>
              <w:pStyle w:val="7"/>
              <w:rPr>
                <w:color w:val="auto"/>
                <w:highlight w:val="none"/>
              </w:rPr>
            </w:pPr>
          </w:p>
        </w:tc>
        <w:tc>
          <w:tcPr>
            <w:tcW w:w="1484" w:type="dxa"/>
            <w:vAlign w:val="top"/>
          </w:tcPr>
          <w:p w14:paraId="29BB9DC2">
            <w:pPr>
              <w:pStyle w:val="7"/>
              <w:rPr>
                <w:color w:val="auto"/>
                <w:highlight w:val="none"/>
              </w:rPr>
            </w:pPr>
          </w:p>
        </w:tc>
        <w:tc>
          <w:tcPr>
            <w:tcW w:w="1493" w:type="dxa"/>
            <w:vAlign w:val="top"/>
          </w:tcPr>
          <w:p w14:paraId="0706A502">
            <w:pPr>
              <w:pStyle w:val="7"/>
              <w:rPr>
                <w:color w:val="auto"/>
                <w:highlight w:val="none"/>
              </w:rPr>
            </w:pPr>
          </w:p>
        </w:tc>
      </w:tr>
      <w:tr w14:paraId="38DFF3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4FA0ECAD">
            <w:pPr>
              <w:pStyle w:val="7"/>
              <w:spacing w:line="282" w:lineRule="auto"/>
              <w:rPr>
                <w:color w:val="auto"/>
                <w:highlight w:val="none"/>
              </w:rPr>
            </w:pPr>
          </w:p>
          <w:p w14:paraId="690EF5DE">
            <w:pPr>
              <w:pStyle w:val="7"/>
              <w:spacing w:line="283" w:lineRule="auto"/>
              <w:rPr>
                <w:color w:val="auto"/>
                <w:highlight w:val="none"/>
              </w:rPr>
            </w:pPr>
          </w:p>
          <w:p w14:paraId="538285B3">
            <w:pPr>
              <w:pStyle w:val="7"/>
              <w:spacing w:line="283" w:lineRule="auto"/>
              <w:rPr>
                <w:color w:val="auto"/>
                <w:highlight w:val="none"/>
              </w:rPr>
            </w:pPr>
          </w:p>
          <w:p w14:paraId="74DA10E9">
            <w:pPr>
              <w:spacing w:before="59" w:line="182" w:lineRule="auto"/>
              <w:ind w:left="235"/>
              <w:rPr>
                <w:rFonts w:ascii="宋体" w:hAnsi="宋体" w:eastAsia="宋体" w:cs="宋体"/>
                <w:color w:val="auto"/>
                <w:sz w:val="18"/>
                <w:szCs w:val="18"/>
                <w:highlight w:val="none"/>
              </w:rPr>
            </w:pPr>
            <w:r>
              <w:rPr>
                <w:rFonts w:ascii="宋体" w:hAnsi="宋体" w:eastAsia="宋体" w:cs="宋体"/>
                <w:color w:val="auto"/>
                <w:sz w:val="18"/>
                <w:szCs w:val="18"/>
                <w:highlight w:val="none"/>
              </w:rPr>
              <w:t>5_7</w:t>
            </w:r>
          </w:p>
        </w:tc>
        <w:tc>
          <w:tcPr>
            <w:tcW w:w="2457" w:type="dxa"/>
            <w:vMerge w:val="restart"/>
            <w:tcBorders>
              <w:bottom w:val="nil"/>
            </w:tcBorders>
            <w:vAlign w:val="top"/>
          </w:tcPr>
          <w:p w14:paraId="1F1A7515">
            <w:pPr>
              <w:pStyle w:val="7"/>
              <w:spacing w:line="254" w:lineRule="auto"/>
              <w:rPr>
                <w:color w:val="auto"/>
                <w:highlight w:val="none"/>
              </w:rPr>
            </w:pPr>
          </w:p>
          <w:p w14:paraId="51547B4C">
            <w:pPr>
              <w:pStyle w:val="7"/>
              <w:spacing w:line="254" w:lineRule="auto"/>
              <w:rPr>
                <w:color w:val="auto"/>
                <w:highlight w:val="none"/>
              </w:rPr>
            </w:pPr>
          </w:p>
          <w:p w14:paraId="0BD60AEE">
            <w:pPr>
              <w:pStyle w:val="7"/>
              <w:spacing w:line="254" w:lineRule="auto"/>
              <w:rPr>
                <w:color w:val="auto"/>
                <w:highlight w:val="none"/>
              </w:rPr>
            </w:pPr>
          </w:p>
          <w:p w14:paraId="126CE83D">
            <w:pPr>
              <w:spacing w:before="58" w:line="220" w:lineRule="auto"/>
              <w:ind w:left="5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启备变过激磁保护</w:t>
            </w:r>
          </w:p>
        </w:tc>
        <w:tc>
          <w:tcPr>
            <w:tcW w:w="867" w:type="dxa"/>
            <w:vMerge w:val="restart"/>
            <w:tcBorders>
              <w:bottom w:val="nil"/>
            </w:tcBorders>
            <w:vAlign w:val="top"/>
          </w:tcPr>
          <w:p w14:paraId="34D24916">
            <w:pPr>
              <w:pStyle w:val="7"/>
              <w:rPr>
                <w:color w:val="auto"/>
                <w:highlight w:val="none"/>
              </w:rPr>
            </w:pPr>
          </w:p>
        </w:tc>
        <w:tc>
          <w:tcPr>
            <w:tcW w:w="1484" w:type="dxa"/>
            <w:vAlign w:val="top"/>
          </w:tcPr>
          <w:p w14:paraId="542432D7">
            <w:pPr>
              <w:spacing w:before="15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4D0F3F4">
            <w:pPr>
              <w:pStyle w:val="7"/>
              <w:rPr>
                <w:color w:val="auto"/>
                <w:highlight w:val="none"/>
              </w:rPr>
            </w:pPr>
          </w:p>
        </w:tc>
        <w:tc>
          <w:tcPr>
            <w:tcW w:w="1493" w:type="dxa"/>
            <w:vAlign w:val="top"/>
          </w:tcPr>
          <w:p w14:paraId="396F5D5A">
            <w:pPr>
              <w:pStyle w:val="7"/>
              <w:rPr>
                <w:color w:val="auto"/>
                <w:highlight w:val="none"/>
              </w:rPr>
            </w:pPr>
          </w:p>
        </w:tc>
      </w:tr>
      <w:tr w14:paraId="359B89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8ED2060">
            <w:pPr>
              <w:pStyle w:val="7"/>
              <w:rPr>
                <w:color w:val="auto"/>
                <w:highlight w:val="none"/>
              </w:rPr>
            </w:pPr>
          </w:p>
        </w:tc>
        <w:tc>
          <w:tcPr>
            <w:tcW w:w="2457" w:type="dxa"/>
            <w:vMerge w:val="continue"/>
            <w:tcBorders>
              <w:top w:val="nil"/>
              <w:bottom w:val="nil"/>
            </w:tcBorders>
            <w:vAlign w:val="top"/>
          </w:tcPr>
          <w:p w14:paraId="2F2E0684">
            <w:pPr>
              <w:pStyle w:val="7"/>
              <w:rPr>
                <w:color w:val="auto"/>
                <w:highlight w:val="none"/>
              </w:rPr>
            </w:pPr>
          </w:p>
        </w:tc>
        <w:tc>
          <w:tcPr>
            <w:tcW w:w="867" w:type="dxa"/>
            <w:vMerge w:val="continue"/>
            <w:tcBorders>
              <w:top w:val="nil"/>
              <w:bottom w:val="nil"/>
            </w:tcBorders>
            <w:vAlign w:val="top"/>
          </w:tcPr>
          <w:p w14:paraId="4B200FDC">
            <w:pPr>
              <w:pStyle w:val="7"/>
              <w:rPr>
                <w:color w:val="auto"/>
                <w:highlight w:val="none"/>
              </w:rPr>
            </w:pPr>
          </w:p>
        </w:tc>
        <w:tc>
          <w:tcPr>
            <w:tcW w:w="1484" w:type="dxa"/>
            <w:vAlign w:val="top"/>
          </w:tcPr>
          <w:p w14:paraId="317D8B79">
            <w:pPr>
              <w:pStyle w:val="7"/>
              <w:rPr>
                <w:color w:val="auto"/>
                <w:highlight w:val="none"/>
              </w:rPr>
            </w:pPr>
          </w:p>
        </w:tc>
        <w:tc>
          <w:tcPr>
            <w:tcW w:w="1484" w:type="dxa"/>
            <w:vAlign w:val="top"/>
          </w:tcPr>
          <w:p w14:paraId="22FBD765">
            <w:pPr>
              <w:pStyle w:val="7"/>
              <w:rPr>
                <w:color w:val="auto"/>
                <w:highlight w:val="none"/>
              </w:rPr>
            </w:pPr>
          </w:p>
        </w:tc>
        <w:tc>
          <w:tcPr>
            <w:tcW w:w="1493" w:type="dxa"/>
            <w:vAlign w:val="top"/>
          </w:tcPr>
          <w:p w14:paraId="258493A8">
            <w:pPr>
              <w:pStyle w:val="7"/>
              <w:rPr>
                <w:color w:val="auto"/>
                <w:highlight w:val="none"/>
              </w:rPr>
            </w:pPr>
          </w:p>
        </w:tc>
      </w:tr>
      <w:tr w14:paraId="4BB154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6334B0A">
            <w:pPr>
              <w:pStyle w:val="7"/>
              <w:rPr>
                <w:color w:val="auto"/>
                <w:highlight w:val="none"/>
              </w:rPr>
            </w:pPr>
          </w:p>
        </w:tc>
        <w:tc>
          <w:tcPr>
            <w:tcW w:w="2457" w:type="dxa"/>
            <w:vMerge w:val="continue"/>
            <w:tcBorders>
              <w:top w:val="nil"/>
              <w:bottom w:val="nil"/>
            </w:tcBorders>
            <w:vAlign w:val="top"/>
          </w:tcPr>
          <w:p w14:paraId="21B3F75C">
            <w:pPr>
              <w:pStyle w:val="7"/>
              <w:rPr>
                <w:color w:val="auto"/>
                <w:highlight w:val="none"/>
              </w:rPr>
            </w:pPr>
          </w:p>
        </w:tc>
        <w:tc>
          <w:tcPr>
            <w:tcW w:w="867" w:type="dxa"/>
            <w:vMerge w:val="continue"/>
            <w:tcBorders>
              <w:top w:val="nil"/>
              <w:bottom w:val="nil"/>
            </w:tcBorders>
            <w:vAlign w:val="top"/>
          </w:tcPr>
          <w:p w14:paraId="5F8B4F63">
            <w:pPr>
              <w:pStyle w:val="7"/>
              <w:rPr>
                <w:color w:val="auto"/>
                <w:highlight w:val="none"/>
              </w:rPr>
            </w:pPr>
          </w:p>
        </w:tc>
        <w:tc>
          <w:tcPr>
            <w:tcW w:w="1484" w:type="dxa"/>
            <w:vAlign w:val="top"/>
          </w:tcPr>
          <w:p w14:paraId="69564B4B">
            <w:pPr>
              <w:spacing w:before="15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EEC6F7A">
            <w:pPr>
              <w:pStyle w:val="7"/>
              <w:rPr>
                <w:color w:val="auto"/>
                <w:highlight w:val="none"/>
              </w:rPr>
            </w:pPr>
          </w:p>
        </w:tc>
        <w:tc>
          <w:tcPr>
            <w:tcW w:w="1493" w:type="dxa"/>
            <w:vAlign w:val="top"/>
          </w:tcPr>
          <w:p w14:paraId="0FC1291C">
            <w:pPr>
              <w:pStyle w:val="7"/>
              <w:rPr>
                <w:color w:val="auto"/>
                <w:highlight w:val="none"/>
              </w:rPr>
            </w:pPr>
          </w:p>
        </w:tc>
      </w:tr>
      <w:tr w14:paraId="750DE4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24F99CF8">
            <w:pPr>
              <w:pStyle w:val="7"/>
              <w:rPr>
                <w:color w:val="auto"/>
                <w:highlight w:val="none"/>
              </w:rPr>
            </w:pPr>
          </w:p>
        </w:tc>
        <w:tc>
          <w:tcPr>
            <w:tcW w:w="2457" w:type="dxa"/>
            <w:vMerge w:val="continue"/>
            <w:tcBorders>
              <w:top w:val="nil"/>
            </w:tcBorders>
            <w:vAlign w:val="top"/>
          </w:tcPr>
          <w:p w14:paraId="32B0CB46">
            <w:pPr>
              <w:pStyle w:val="7"/>
              <w:rPr>
                <w:color w:val="auto"/>
                <w:highlight w:val="none"/>
              </w:rPr>
            </w:pPr>
          </w:p>
        </w:tc>
        <w:tc>
          <w:tcPr>
            <w:tcW w:w="867" w:type="dxa"/>
            <w:vMerge w:val="continue"/>
            <w:tcBorders>
              <w:top w:val="nil"/>
            </w:tcBorders>
            <w:vAlign w:val="top"/>
          </w:tcPr>
          <w:p w14:paraId="2A242A2C">
            <w:pPr>
              <w:pStyle w:val="7"/>
              <w:rPr>
                <w:color w:val="auto"/>
                <w:highlight w:val="none"/>
              </w:rPr>
            </w:pPr>
          </w:p>
        </w:tc>
        <w:tc>
          <w:tcPr>
            <w:tcW w:w="1484" w:type="dxa"/>
            <w:vAlign w:val="top"/>
          </w:tcPr>
          <w:p w14:paraId="28163A79">
            <w:pPr>
              <w:pStyle w:val="7"/>
              <w:rPr>
                <w:color w:val="auto"/>
                <w:highlight w:val="none"/>
              </w:rPr>
            </w:pPr>
          </w:p>
        </w:tc>
        <w:tc>
          <w:tcPr>
            <w:tcW w:w="1484" w:type="dxa"/>
            <w:vAlign w:val="top"/>
          </w:tcPr>
          <w:p w14:paraId="04693809">
            <w:pPr>
              <w:pStyle w:val="7"/>
              <w:rPr>
                <w:color w:val="auto"/>
                <w:highlight w:val="none"/>
              </w:rPr>
            </w:pPr>
          </w:p>
        </w:tc>
        <w:tc>
          <w:tcPr>
            <w:tcW w:w="1493" w:type="dxa"/>
            <w:vAlign w:val="top"/>
          </w:tcPr>
          <w:p w14:paraId="78AEE49E">
            <w:pPr>
              <w:pStyle w:val="7"/>
              <w:rPr>
                <w:color w:val="auto"/>
                <w:highlight w:val="none"/>
              </w:rPr>
            </w:pPr>
          </w:p>
        </w:tc>
      </w:tr>
      <w:tr w14:paraId="034F1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418F2A83">
            <w:pPr>
              <w:pStyle w:val="7"/>
              <w:spacing w:line="282" w:lineRule="auto"/>
              <w:rPr>
                <w:color w:val="auto"/>
                <w:highlight w:val="none"/>
              </w:rPr>
            </w:pPr>
          </w:p>
          <w:p w14:paraId="771F1B9C">
            <w:pPr>
              <w:pStyle w:val="7"/>
              <w:spacing w:line="283" w:lineRule="auto"/>
              <w:rPr>
                <w:color w:val="auto"/>
                <w:highlight w:val="none"/>
              </w:rPr>
            </w:pPr>
          </w:p>
          <w:p w14:paraId="7F5D4D87">
            <w:pPr>
              <w:pStyle w:val="7"/>
              <w:spacing w:line="283" w:lineRule="auto"/>
              <w:rPr>
                <w:color w:val="auto"/>
                <w:highlight w:val="none"/>
              </w:rPr>
            </w:pPr>
          </w:p>
          <w:p w14:paraId="4001AF15">
            <w:pPr>
              <w:spacing w:before="59" w:line="183" w:lineRule="auto"/>
              <w:ind w:left="235"/>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5_8</w:t>
            </w:r>
          </w:p>
        </w:tc>
        <w:tc>
          <w:tcPr>
            <w:tcW w:w="2457" w:type="dxa"/>
            <w:vMerge w:val="restart"/>
            <w:tcBorders>
              <w:bottom w:val="nil"/>
            </w:tcBorders>
            <w:vAlign w:val="top"/>
          </w:tcPr>
          <w:p w14:paraId="07B1636F">
            <w:pPr>
              <w:pStyle w:val="7"/>
              <w:spacing w:line="254" w:lineRule="auto"/>
              <w:rPr>
                <w:color w:val="auto"/>
                <w:highlight w:val="none"/>
              </w:rPr>
            </w:pPr>
          </w:p>
          <w:p w14:paraId="030355E4">
            <w:pPr>
              <w:pStyle w:val="7"/>
              <w:spacing w:line="254" w:lineRule="auto"/>
              <w:rPr>
                <w:color w:val="auto"/>
                <w:highlight w:val="none"/>
              </w:rPr>
            </w:pPr>
          </w:p>
          <w:p w14:paraId="068052EC">
            <w:pPr>
              <w:pStyle w:val="7"/>
              <w:spacing w:line="254" w:lineRule="auto"/>
              <w:rPr>
                <w:color w:val="auto"/>
                <w:highlight w:val="none"/>
              </w:rPr>
            </w:pPr>
          </w:p>
          <w:p w14:paraId="7B1C7E41">
            <w:pPr>
              <w:spacing w:before="59" w:line="219" w:lineRule="auto"/>
              <w:ind w:left="59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启备变本体保护</w:t>
            </w:r>
          </w:p>
        </w:tc>
        <w:tc>
          <w:tcPr>
            <w:tcW w:w="867" w:type="dxa"/>
            <w:vMerge w:val="restart"/>
            <w:tcBorders>
              <w:bottom w:val="nil"/>
            </w:tcBorders>
            <w:vAlign w:val="top"/>
          </w:tcPr>
          <w:p w14:paraId="1F47BEB4">
            <w:pPr>
              <w:pStyle w:val="7"/>
              <w:rPr>
                <w:color w:val="auto"/>
                <w:highlight w:val="none"/>
              </w:rPr>
            </w:pPr>
          </w:p>
        </w:tc>
        <w:tc>
          <w:tcPr>
            <w:tcW w:w="1484" w:type="dxa"/>
            <w:vAlign w:val="top"/>
          </w:tcPr>
          <w:p w14:paraId="64940BE6">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250BFEF7">
            <w:pPr>
              <w:pStyle w:val="7"/>
              <w:rPr>
                <w:color w:val="auto"/>
                <w:highlight w:val="none"/>
              </w:rPr>
            </w:pPr>
          </w:p>
        </w:tc>
        <w:tc>
          <w:tcPr>
            <w:tcW w:w="1493" w:type="dxa"/>
            <w:vAlign w:val="top"/>
          </w:tcPr>
          <w:p w14:paraId="6A738C0A">
            <w:pPr>
              <w:pStyle w:val="7"/>
              <w:rPr>
                <w:color w:val="auto"/>
                <w:highlight w:val="none"/>
              </w:rPr>
            </w:pPr>
          </w:p>
        </w:tc>
      </w:tr>
      <w:tr w14:paraId="0DD858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1947ADCD">
            <w:pPr>
              <w:pStyle w:val="7"/>
              <w:rPr>
                <w:color w:val="auto"/>
                <w:highlight w:val="none"/>
              </w:rPr>
            </w:pPr>
          </w:p>
        </w:tc>
        <w:tc>
          <w:tcPr>
            <w:tcW w:w="2457" w:type="dxa"/>
            <w:vMerge w:val="continue"/>
            <w:tcBorders>
              <w:top w:val="nil"/>
              <w:bottom w:val="nil"/>
            </w:tcBorders>
            <w:vAlign w:val="top"/>
          </w:tcPr>
          <w:p w14:paraId="0B5BB1F6">
            <w:pPr>
              <w:pStyle w:val="7"/>
              <w:rPr>
                <w:color w:val="auto"/>
                <w:highlight w:val="none"/>
              </w:rPr>
            </w:pPr>
          </w:p>
        </w:tc>
        <w:tc>
          <w:tcPr>
            <w:tcW w:w="867" w:type="dxa"/>
            <w:vMerge w:val="continue"/>
            <w:tcBorders>
              <w:top w:val="nil"/>
              <w:bottom w:val="nil"/>
            </w:tcBorders>
            <w:vAlign w:val="top"/>
          </w:tcPr>
          <w:p w14:paraId="1C1AB50D">
            <w:pPr>
              <w:pStyle w:val="7"/>
              <w:rPr>
                <w:color w:val="auto"/>
                <w:highlight w:val="none"/>
              </w:rPr>
            </w:pPr>
          </w:p>
        </w:tc>
        <w:tc>
          <w:tcPr>
            <w:tcW w:w="1484" w:type="dxa"/>
            <w:vAlign w:val="top"/>
          </w:tcPr>
          <w:p w14:paraId="6559D4CA">
            <w:pPr>
              <w:pStyle w:val="7"/>
              <w:rPr>
                <w:color w:val="auto"/>
                <w:highlight w:val="none"/>
              </w:rPr>
            </w:pPr>
          </w:p>
        </w:tc>
        <w:tc>
          <w:tcPr>
            <w:tcW w:w="1484" w:type="dxa"/>
            <w:vAlign w:val="top"/>
          </w:tcPr>
          <w:p w14:paraId="71FC7A3F">
            <w:pPr>
              <w:pStyle w:val="7"/>
              <w:rPr>
                <w:color w:val="auto"/>
                <w:highlight w:val="none"/>
              </w:rPr>
            </w:pPr>
          </w:p>
        </w:tc>
        <w:tc>
          <w:tcPr>
            <w:tcW w:w="1493" w:type="dxa"/>
            <w:vAlign w:val="top"/>
          </w:tcPr>
          <w:p w14:paraId="665324A6">
            <w:pPr>
              <w:pStyle w:val="7"/>
              <w:rPr>
                <w:color w:val="auto"/>
                <w:highlight w:val="none"/>
              </w:rPr>
            </w:pPr>
          </w:p>
        </w:tc>
      </w:tr>
      <w:tr w14:paraId="5BC43D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28A50F8">
            <w:pPr>
              <w:pStyle w:val="7"/>
              <w:rPr>
                <w:color w:val="auto"/>
                <w:highlight w:val="none"/>
              </w:rPr>
            </w:pPr>
          </w:p>
        </w:tc>
        <w:tc>
          <w:tcPr>
            <w:tcW w:w="2457" w:type="dxa"/>
            <w:vMerge w:val="continue"/>
            <w:tcBorders>
              <w:top w:val="nil"/>
              <w:bottom w:val="nil"/>
            </w:tcBorders>
            <w:vAlign w:val="top"/>
          </w:tcPr>
          <w:p w14:paraId="7726A867">
            <w:pPr>
              <w:pStyle w:val="7"/>
              <w:rPr>
                <w:color w:val="auto"/>
                <w:highlight w:val="none"/>
              </w:rPr>
            </w:pPr>
          </w:p>
        </w:tc>
        <w:tc>
          <w:tcPr>
            <w:tcW w:w="867" w:type="dxa"/>
            <w:vMerge w:val="continue"/>
            <w:tcBorders>
              <w:top w:val="nil"/>
              <w:bottom w:val="nil"/>
            </w:tcBorders>
            <w:vAlign w:val="top"/>
          </w:tcPr>
          <w:p w14:paraId="5645D751">
            <w:pPr>
              <w:pStyle w:val="7"/>
              <w:rPr>
                <w:color w:val="auto"/>
                <w:highlight w:val="none"/>
              </w:rPr>
            </w:pPr>
          </w:p>
        </w:tc>
        <w:tc>
          <w:tcPr>
            <w:tcW w:w="1484" w:type="dxa"/>
            <w:vAlign w:val="top"/>
          </w:tcPr>
          <w:p w14:paraId="493696F6">
            <w:pPr>
              <w:spacing w:before="15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1CB92C31">
            <w:pPr>
              <w:pStyle w:val="7"/>
              <w:rPr>
                <w:color w:val="auto"/>
                <w:highlight w:val="none"/>
              </w:rPr>
            </w:pPr>
          </w:p>
        </w:tc>
        <w:tc>
          <w:tcPr>
            <w:tcW w:w="1493" w:type="dxa"/>
            <w:vAlign w:val="top"/>
          </w:tcPr>
          <w:p w14:paraId="1BC49DBE">
            <w:pPr>
              <w:pStyle w:val="7"/>
              <w:rPr>
                <w:color w:val="auto"/>
                <w:highlight w:val="none"/>
              </w:rPr>
            </w:pPr>
          </w:p>
        </w:tc>
      </w:tr>
      <w:tr w14:paraId="3E3FD2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Merge w:val="continue"/>
            <w:tcBorders>
              <w:top w:val="nil"/>
            </w:tcBorders>
            <w:vAlign w:val="top"/>
          </w:tcPr>
          <w:p w14:paraId="5ACD8832">
            <w:pPr>
              <w:pStyle w:val="7"/>
              <w:rPr>
                <w:color w:val="auto"/>
                <w:highlight w:val="none"/>
              </w:rPr>
            </w:pPr>
          </w:p>
        </w:tc>
        <w:tc>
          <w:tcPr>
            <w:tcW w:w="2457" w:type="dxa"/>
            <w:vMerge w:val="continue"/>
            <w:tcBorders>
              <w:top w:val="nil"/>
            </w:tcBorders>
            <w:vAlign w:val="top"/>
          </w:tcPr>
          <w:p w14:paraId="09837CBD">
            <w:pPr>
              <w:pStyle w:val="7"/>
              <w:rPr>
                <w:color w:val="auto"/>
                <w:highlight w:val="none"/>
              </w:rPr>
            </w:pPr>
          </w:p>
        </w:tc>
        <w:tc>
          <w:tcPr>
            <w:tcW w:w="867" w:type="dxa"/>
            <w:vMerge w:val="continue"/>
            <w:tcBorders>
              <w:top w:val="nil"/>
            </w:tcBorders>
            <w:vAlign w:val="top"/>
          </w:tcPr>
          <w:p w14:paraId="27F5C661">
            <w:pPr>
              <w:pStyle w:val="7"/>
              <w:rPr>
                <w:color w:val="auto"/>
                <w:highlight w:val="none"/>
              </w:rPr>
            </w:pPr>
          </w:p>
        </w:tc>
        <w:tc>
          <w:tcPr>
            <w:tcW w:w="1484" w:type="dxa"/>
            <w:vAlign w:val="top"/>
          </w:tcPr>
          <w:p w14:paraId="06128B2C">
            <w:pPr>
              <w:pStyle w:val="7"/>
              <w:rPr>
                <w:color w:val="auto"/>
                <w:highlight w:val="none"/>
              </w:rPr>
            </w:pPr>
          </w:p>
        </w:tc>
        <w:tc>
          <w:tcPr>
            <w:tcW w:w="1484" w:type="dxa"/>
            <w:vAlign w:val="top"/>
          </w:tcPr>
          <w:p w14:paraId="4869D404">
            <w:pPr>
              <w:pStyle w:val="7"/>
              <w:rPr>
                <w:color w:val="auto"/>
                <w:highlight w:val="none"/>
              </w:rPr>
            </w:pPr>
          </w:p>
        </w:tc>
        <w:tc>
          <w:tcPr>
            <w:tcW w:w="1493" w:type="dxa"/>
            <w:vAlign w:val="top"/>
          </w:tcPr>
          <w:p w14:paraId="5E038FB2">
            <w:pPr>
              <w:pStyle w:val="7"/>
              <w:rPr>
                <w:color w:val="auto"/>
                <w:highlight w:val="none"/>
              </w:rPr>
            </w:pPr>
          </w:p>
        </w:tc>
      </w:tr>
    </w:tbl>
    <w:p w14:paraId="1E38056D">
      <w:pPr>
        <w:pStyle w:val="3"/>
        <w:rPr>
          <w:color w:val="auto"/>
          <w:highlight w:val="none"/>
        </w:rPr>
      </w:pPr>
    </w:p>
    <w:p w14:paraId="7E382CF8">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6B04BEC5">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56792A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533D4FFC">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37315F6B">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4DD4C6CF">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0390088A">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12DF5898">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406C3591">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6FCE4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4DDD03E6">
            <w:pPr>
              <w:pStyle w:val="7"/>
              <w:spacing w:line="279" w:lineRule="auto"/>
              <w:rPr>
                <w:color w:val="auto"/>
                <w:highlight w:val="none"/>
              </w:rPr>
            </w:pPr>
          </w:p>
          <w:p w14:paraId="391ACCB2">
            <w:pPr>
              <w:pStyle w:val="7"/>
              <w:spacing w:line="279" w:lineRule="auto"/>
              <w:rPr>
                <w:color w:val="auto"/>
                <w:highlight w:val="none"/>
              </w:rPr>
            </w:pPr>
          </w:p>
          <w:p w14:paraId="032F37C0">
            <w:pPr>
              <w:pStyle w:val="7"/>
              <w:spacing w:line="279" w:lineRule="auto"/>
              <w:rPr>
                <w:color w:val="auto"/>
                <w:highlight w:val="none"/>
              </w:rPr>
            </w:pPr>
          </w:p>
          <w:p w14:paraId="69C0E80F">
            <w:pPr>
              <w:spacing w:before="59" w:line="183" w:lineRule="auto"/>
              <w:ind w:left="324"/>
              <w:rPr>
                <w:rFonts w:ascii="宋体" w:hAnsi="宋体" w:eastAsia="宋体" w:cs="宋体"/>
                <w:color w:val="auto"/>
                <w:sz w:val="18"/>
                <w:szCs w:val="18"/>
                <w:highlight w:val="none"/>
              </w:rPr>
            </w:pPr>
            <w:r>
              <w:rPr>
                <w:rFonts w:ascii="宋体" w:hAnsi="宋体" w:eastAsia="宋体" w:cs="宋体"/>
                <w:color w:val="auto"/>
                <w:sz w:val="18"/>
                <w:szCs w:val="18"/>
                <w:highlight w:val="none"/>
              </w:rPr>
              <w:t>6</w:t>
            </w:r>
          </w:p>
        </w:tc>
        <w:tc>
          <w:tcPr>
            <w:tcW w:w="2457" w:type="dxa"/>
            <w:vMerge w:val="restart"/>
            <w:tcBorders>
              <w:bottom w:val="nil"/>
            </w:tcBorders>
            <w:vAlign w:val="top"/>
          </w:tcPr>
          <w:p w14:paraId="3E0BE81A">
            <w:pPr>
              <w:pStyle w:val="7"/>
              <w:spacing w:line="269" w:lineRule="auto"/>
              <w:rPr>
                <w:color w:val="auto"/>
                <w:highlight w:val="none"/>
              </w:rPr>
            </w:pPr>
          </w:p>
          <w:p w14:paraId="35F60E47">
            <w:pPr>
              <w:pStyle w:val="7"/>
              <w:spacing w:line="270" w:lineRule="auto"/>
              <w:rPr>
                <w:color w:val="auto"/>
                <w:highlight w:val="none"/>
              </w:rPr>
            </w:pPr>
          </w:p>
          <w:p w14:paraId="48EA0215">
            <w:pPr>
              <w:pStyle w:val="7"/>
              <w:spacing w:line="270" w:lineRule="auto"/>
              <w:rPr>
                <w:color w:val="auto"/>
                <w:highlight w:val="none"/>
              </w:rPr>
            </w:pPr>
          </w:p>
          <w:p w14:paraId="12BA2FC3">
            <w:pPr>
              <w:spacing w:before="59" w:line="219" w:lineRule="auto"/>
              <w:ind w:left="863"/>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事件记录</w:t>
            </w:r>
          </w:p>
        </w:tc>
        <w:tc>
          <w:tcPr>
            <w:tcW w:w="867" w:type="dxa"/>
            <w:vMerge w:val="restart"/>
            <w:tcBorders>
              <w:bottom w:val="nil"/>
            </w:tcBorders>
            <w:vAlign w:val="top"/>
          </w:tcPr>
          <w:p w14:paraId="63888B2B">
            <w:pPr>
              <w:pStyle w:val="7"/>
              <w:rPr>
                <w:color w:val="auto"/>
                <w:highlight w:val="none"/>
              </w:rPr>
            </w:pPr>
          </w:p>
        </w:tc>
        <w:tc>
          <w:tcPr>
            <w:tcW w:w="1484" w:type="dxa"/>
            <w:vAlign w:val="top"/>
          </w:tcPr>
          <w:p w14:paraId="25EBC69F">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5F01F3A5">
            <w:pPr>
              <w:pStyle w:val="7"/>
              <w:rPr>
                <w:color w:val="auto"/>
                <w:highlight w:val="none"/>
              </w:rPr>
            </w:pPr>
          </w:p>
        </w:tc>
        <w:tc>
          <w:tcPr>
            <w:tcW w:w="1493" w:type="dxa"/>
            <w:vAlign w:val="top"/>
          </w:tcPr>
          <w:p w14:paraId="0DD2D316">
            <w:pPr>
              <w:pStyle w:val="7"/>
              <w:rPr>
                <w:color w:val="auto"/>
                <w:highlight w:val="none"/>
              </w:rPr>
            </w:pPr>
          </w:p>
        </w:tc>
      </w:tr>
      <w:tr w14:paraId="5DC71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6EE6855">
            <w:pPr>
              <w:pStyle w:val="7"/>
              <w:rPr>
                <w:color w:val="auto"/>
                <w:highlight w:val="none"/>
              </w:rPr>
            </w:pPr>
          </w:p>
        </w:tc>
        <w:tc>
          <w:tcPr>
            <w:tcW w:w="2457" w:type="dxa"/>
            <w:vMerge w:val="continue"/>
            <w:tcBorders>
              <w:top w:val="nil"/>
              <w:bottom w:val="nil"/>
            </w:tcBorders>
            <w:vAlign w:val="top"/>
          </w:tcPr>
          <w:p w14:paraId="5823EEE3">
            <w:pPr>
              <w:pStyle w:val="7"/>
              <w:rPr>
                <w:color w:val="auto"/>
                <w:highlight w:val="none"/>
              </w:rPr>
            </w:pPr>
          </w:p>
        </w:tc>
        <w:tc>
          <w:tcPr>
            <w:tcW w:w="867" w:type="dxa"/>
            <w:vMerge w:val="continue"/>
            <w:tcBorders>
              <w:top w:val="nil"/>
              <w:bottom w:val="nil"/>
            </w:tcBorders>
            <w:vAlign w:val="top"/>
          </w:tcPr>
          <w:p w14:paraId="24CF96DE">
            <w:pPr>
              <w:pStyle w:val="7"/>
              <w:rPr>
                <w:color w:val="auto"/>
                <w:highlight w:val="none"/>
              </w:rPr>
            </w:pPr>
          </w:p>
        </w:tc>
        <w:tc>
          <w:tcPr>
            <w:tcW w:w="1484" w:type="dxa"/>
            <w:vAlign w:val="top"/>
          </w:tcPr>
          <w:p w14:paraId="37AC8D55">
            <w:pPr>
              <w:pStyle w:val="7"/>
              <w:rPr>
                <w:color w:val="auto"/>
                <w:highlight w:val="none"/>
              </w:rPr>
            </w:pPr>
          </w:p>
        </w:tc>
        <w:tc>
          <w:tcPr>
            <w:tcW w:w="1484" w:type="dxa"/>
            <w:vAlign w:val="top"/>
          </w:tcPr>
          <w:p w14:paraId="1BBB77D6">
            <w:pPr>
              <w:pStyle w:val="7"/>
              <w:rPr>
                <w:color w:val="auto"/>
                <w:highlight w:val="none"/>
              </w:rPr>
            </w:pPr>
          </w:p>
        </w:tc>
        <w:tc>
          <w:tcPr>
            <w:tcW w:w="1493" w:type="dxa"/>
            <w:vAlign w:val="top"/>
          </w:tcPr>
          <w:p w14:paraId="74CDCDB2">
            <w:pPr>
              <w:pStyle w:val="7"/>
              <w:rPr>
                <w:color w:val="auto"/>
                <w:highlight w:val="none"/>
              </w:rPr>
            </w:pPr>
          </w:p>
        </w:tc>
      </w:tr>
      <w:tr w14:paraId="28326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B63D86D">
            <w:pPr>
              <w:pStyle w:val="7"/>
              <w:rPr>
                <w:color w:val="auto"/>
                <w:highlight w:val="none"/>
              </w:rPr>
            </w:pPr>
          </w:p>
        </w:tc>
        <w:tc>
          <w:tcPr>
            <w:tcW w:w="2457" w:type="dxa"/>
            <w:vMerge w:val="continue"/>
            <w:tcBorders>
              <w:top w:val="nil"/>
              <w:bottom w:val="nil"/>
            </w:tcBorders>
            <w:vAlign w:val="top"/>
          </w:tcPr>
          <w:p w14:paraId="59C6858A">
            <w:pPr>
              <w:pStyle w:val="7"/>
              <w:rPr>
                <w:color w:val="auto"/>
                <w:highlight w:val="none"/>
              </w:rPr>
            </w:pPr>
          </w:p>
        </w:tc>
        <w:tc>
          <w:tcPr>
            <w:tcW w:w="867" w:type="dxa"/>
            <w:vMerge w:val="continue"/>
            <w:tcBorders>
              <w:top w:val="nil"/>
              <w:bottom w:val="nil"/>
            </w:tcBorders>
            <w:vAlign w:val="top"/>
          </w:tcPr>
          <w:p w14:paraId="626B2F5B">
            <w:pPr>
              <w:pStyle w:val="7"/>
              <w:rPr>
                <w:color w:val="auto"/>
                <w:highlight w:val="none"/>
              </w:rPr>
            </w:pPr>
          </w:p>
        </w:tc>
        <w:tc>
          <w:tcPr>
            <w:tcW w:w="1484" w:type="dxa"/>
            <w:vAlign w:val="top"/>
          </w:tcPr>
          <w:p w14:paraId="3A39A5E3">
            <w:pPr>
              <w:spacing w:before="141"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99FB987">
            <w:pPr>
              <w:pStyle w:val="7"/>
              <w:rPr>
                <w:color w:val="auto"/>
                <w:highlight w:val="none"/>
              </w:rPr>
            </w:pPr>
          </w:p>
        </w:tc>
        <w:tc>
          <w:tcPr>
            <w:tcW w:w="1493" w:type="dxa"/>
            <w:vAlign w:val="top"/>
          </w:tcPr>
          <w:p w14:paraId="6B463DE7">
            <w:pPr>
              <w:pStyle w:val="7"/>
              <w:rPr>
                <w:color w:val="auto"/>
                <w:highlight w:val="none"/>
              </w:rPr>
            </w:pPr>
          </w:p>
        </w:tc>
      </w:tr>
      <w:tr w14:paraId="7A550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3444EBE8">
            <w:pPr>
              <w:pStyle w:val="7"/>
              <w:rPr>
                <w:color w:val="auto"/>
                <w:highlight w:val="none"/>
              </w:rPr>
            </w:pPr>
          </w:p>
        </w:tc>
        <w:tc>
          <w:tcPr>
            <w:tcW w:w="2457" w:type="dxa"/>
            <w:vMerge w:val="continue"/>
            <w:tcBorders>
              <w:top w:val="nil"/>
            </w:tcBorders>
            <w:vAlign w:val="top"/>
          </w:tcPr>
          <w:p w14:paraId="10634B60">
            <w:pPr>
              <w:pStyle w:val="7"/>
              <w:rPr>
                <w:color w:val="auto"/>
                <w:highlight w:val="none"/>
              </w:rPr>
            </w:pPr>
          </w:p>
        </w:tc>
        <w:tc>
          <w:tcPr>
            <w:tcW w:w="867" w:type="dxa"/>
            <w:vMerge w:val="continue"/>
            <w:tcBorders>
              <w:top w:val="nil"/>
            </w:tcBorders>
            <w:vAlign w:val="top"/>
          </w:tcPr>
          <w:p w14:paraId="3F55D860">
            <w:pPr>
              <w:pStyle w:val="7"/>
              <w:rPr>
                <w:color w:val="auto"/>
                <w:highlight w:val="none"/>
              </w:rPr>
            </w:pPr>
          </w:p>
        </w:tc>
        <w:tc>
          <w:tcPr>
            <w:tcW w:w="1484" w:type="dxa"/>
            <w:vAlign w:val="top"/>
          </w:tcPr>
          <w:p w14:paraId="0B477874">
            <w:pPr>
              <w:pStyle w:val="7"/>
              <w:rPr>
                <w:color w:val="auto"/>
                <w:highlight w:val="none"/>
              </w:rPr>
            </w:pPr>
          </w:p>
        </w:tc>
        <w:tc>
          <w:tcPr>
            <w:tcW w:w="1484" w:type="dxa"/>
            <w:vAlign w:val="top"/>
          </w:tcPr>
          <w:p w14:paraId="4033A857">
            <w:pPr>
              <w:pStyle w:val="7"/>
              <w:rPr>
                <w:color w:val="auto"/>
                <w:highlight w:val="none"/>
              </w:rPr>
            </w:pPr>
          </w:p>
        </w:tc>
        <w:tc>
          <w:tcPr>
            <w:tcW w:w="1493" w:type="dxa"/>
            <w:vAlign w:val="top"/>
          </w:tcPr>
          <w:p w14:paraId="1EBAC27B">
            <w:pPr>
              <w:pStyle w:val="7"/>
              <w:rPr>
                <w:color w:val="auto"/>
                <w:highlight w:val="none"/>
              </w:rPr>
            </w:pPr>
          </w:p>
        </w:tc>
      </w:tr>
      <w:tr w14:paraId="0AC717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495DEA26">
            <w:pPr>
              <w:pStyle w:val="7"/>
              <w:spacing w:line="280" w:lineRule="auto"/>
              <w:rPr>
                <w:color w:val="auto"/>
                <w:highlight w:val="none"/>
              </w:rPr>
            </w:pPr>
          </w:p>
          <w:p w14:paraId="0F675812">
            <w:pPr>
              <w:pStyle w:val="7"/>
              <w:spacing w:line="280" w:lineRule="auto"/>
              <w:rPr>
                <w:color w:val="auto"/>
                <w:highlight w:val="none"/>
              </w:rPr>
            </w:pPr>
          </w:p>
          <w:p w14:paraId="339A37B1">
            <w:pPr>
              <w:pStyle w:val="7"/>
              <w:spacing w:line="280" w:lineRule="auto"/>
              <w:rPr>
                <w:color w:val="auto"/>
                <w:highlight w:val="none"/>
              </w:rPr>
            </w:pPr>
          </w:p>
          <w:p w14:paraId="0C83D477">
            <w:pPr>
              <w:spacing w:before="59" w:line="182" w:lineRule="auto"/>
              <w:ind w:left="327"/>
              <w:rPr>
                <w:rFonts w:ascii="宋体" w:hAnsi="宋体" w:eastAsia="宋体" w:cs="宋体"/>
                <w:color w:val="auto"/>
                <w:sz w:val="18"/>
                <w:szCs w:val="18"/>
                <w:highlight w:val="none"/>
              </w:rPr>
            </w:pPr>
            <w:r>
              <w:rPr>
                <w:rFonts w:ascii="宋体" w:hAnsi="宋体" w:eastAsia="宋体" w:cs="宋体"/>
                <w:color w:val="auto"/>
                <w:sz w:val="18"/>
                <w:szCs w:val="18"/>
                <w:highlight w:val="none"/>
              </w:rPr>
              <w:t>7</w:t>
            </w:r>
          </w:p>
        </w:tc>
        <w:tc>
          <w:tcPr>
            <w:tcW w:w="2457" w:type="dxa"/>
            <w:vMerge w:val="restart"/>
            <w:tcBorders>
              <w:bottom w:val="nil"/>
            </w:tcBorders>
            <w:vAlign w:val="top"/>
          </w:tcPr>
          <w:p w14:paraId="38069414">
            <w:pPr>
              <w:pStyle w:val="7"/>
              <w:spacing w:line="270" w:lineRule="auto"/>
              <w:rPr>
                <w:color w:val="auto"/>
                <w:highlight w:val="none"/>
              </w:rPr>
            </w:pPr>
          </w:p>
          <w:p w14:paraId="426E358D">
            <w:pPr>
              <w:pStyle w:val="7"/>
              <w:spacing w:line="270" w:lineRule="auto"/>
              <w:rPr>
                <w:color w:val="auto"/>
                <w:highlight w:val="none"/>
              </w:rPr>
            </w:pPr>
          </w:p>
          <w:p w14:paraId="6DEC25CE">
            <w:pPr>
              <w:pStyle w:val="7"/>
              <w:spacing w:line="271" w:lineRule="auto"/>
              <w:rPr>
                <w:color w:val="auto"/>
                <w:highlight w:val="none"/>
              </w:rPr>
            </w:pPr>
          </w:p>
          <w:p w14:paraId="64A17E89">
            <w:pPr>
              <w:spacing w:before="59" w:line="219" w:lineRule="auto"/>
              <w:ind w:left="866"/>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故障录波</w:t>
            </w:r>
          </w:p>
        </w:tc>
        <w:tc>
          <w:tcPr>
            <w:tcW w:w="867" w:type="dxa"/>
            <w:vMerge w:val="restart"/>
            <w:tcBorders>
              <w:bottom w:val="nil"/>
            </w:tcBorders>
            <w:vAlign w:val="top"/>
          </w:tcPr>
          <w:p w14:paraId="59B8DDCA">
            <w:pPr>
              <w:pStyle w:val="7"/>
              <w:rPr>
                <w:color w:val="auto"/>
                <w:highlight w:val="none"/>
              </w:rPr>
            </w:pPr>
          </w:p>
        </w:tc>
        <w:tc>
          <w:tcPr>
            <w:tcW w:w="1484" w:type="dxa"/>
            <w:vAlign w:val="top"/>
          </w:tcPr>
          <w:p w14:paraId="3E5734E8">
            <w:pPr>
              <w:spacing w:before="143"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78482E20">
            <w:pPr>
              <w:pStyle w:val="7"/>
              <w:rPr>
                <w:color w:val="auto"/>
                <w:highlight w:val="none"/>
              </w:rPr>
            </w:pPr>
          </w:p>
        </w:tc>
        <w:tc>
          <w:tcPr>
            <w:tcW w:w="1493" w:type="dxa"/>
            <w:vAlign w:val="top"/>
          </w:tcPr>
          <w:p w14:paraId="38F560AF">
            <w:pPr>
              <w:pStyle w:val="7"/>
              <w:rPr>
                <w:color w:val="auto"/>
                <w:highlight w:val="none"/>
              </w:rPr>
            </w:pPr>
          </w:p>
        </w:tc>
      </w:tr>
      <w:tr w14:paraId="5CB56F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3481DC66">
            <w:pPr>
              <w:pStyle w:val="7"/>
              <w:rPr>
                <w:color w:val="auto"/>
                <w:highlight w:val="none"/>
              </w:rPr>
            </w:pPr>
          </w:p>
        </w:tc>
        <w:tc>
          <w:tcPr>
            <w:tcW w:w="2457" w:type="dxa"/>
            <w:vMerge w:val="continue"/>
            <w:tcBorders>
              <w:top w:val="nil"/>
              <w:bottom w:val="nil"/>
            </w:tcBorders>
            <w:vAlign w:val="top"/>
          </w:tcPr>
          <w:p w14:paraId="1BEE7351">
            <w:pPr>
              <w:pStyle w:val="7"/>
              <w:rPr>
                <w:color w:val="auto"/>
                <w:highlight w:val="none"/>
              </w:rPr>
            </w:pPr>
          </w:p>
        </w:tc>
        <w:tc>
          <w:tcPr>
            <w:tcW w:w="867" w:type="dxa"/>
            <w:vMerge w:val="continue"/>
            <w:tcBorders>
              <w:top w:val="nil"/>
              <w:bottom w:val="nil"/>
            </w:tcBorders>
            <w:vAlign w:val="top"/>
          </w:tcPr>
          <w:p w14:paraId="6F4D331B">
            <w:pPr>
              <w:pStyle w:val="7"/>
              <w:rPr>
                <w:color w:val="auto"/>
                <w:highlight w:val="none"/>
              </w:rPr>
            </w:pPr>
          </w:p>
        </w:tc>
        <w:tc>
          <w:tcPr>
            <w:tcW w:w="1484" w:type="dxa"/>
            <w:vAlign w:val="top"/>
          </w:tcPr>
          <w:p w14:paraId="596A321D">
            <w:pPr>
              <w:pStyle w:val="7"/>
              <w:rPr>
                <w:color w:val="auto"/>
                <w:highlight w:val="none"/>
              </w:rPr>
            </w:pPr>
          </w:p>
        </w:tc>
        <w:tc>
          <w:tcPr>
            <w:tcW w:w="1484" w:type="dxa"/>
            <w:vAlign w:val="top"/>
          </w:tcPr>
          <w:p w14:paraId="6C29DF9E">
            <w:pPr>
              <w:pStyle w:val="7"/>
              <w:rPr>
                <w:color w:val="auto"/>
                <w:highlight w:val="none"/>
              </w:rPr>
            </w:pPr>
          </w:p>
        </w:tc>
        <w:tc>
          <w:tcPr>
            <w:tcW w:w="1493" w:type="dxa"/>
            <w:vAlign w:val="top"/>
          </w:tcPr>
          <w:p w14:paraId="213D8D54">
            <w:pPr>
              <w:pStyle w:val="7"/>
              <w:rPr>
                <w:color w:val="auto"/>
                <w:highlight w:val="none"/>
              </w:rPr>
            </w:pPr>
          </w:p>
        </w:tc>
      </w:tr>
      <w:tr w14:paraId="58BA0D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705D2351">
            <w:pPr>
              <w:pStyle w:val="7"/>
              <w:rPr>
                <w:color w:val="auto"/>
                <w:highlight w:val="none"/>
              </w:rPr>
            </w:pPr>
          </w:p>
        </w:tc>
        <w:tc>
          <w:tcPr>
            <w:tcW w:w="2457" w:type="dxa"/>
            <w:vMerge w:val="continue"/>
            <w:tcBorders>
              <w:top w:val="nil"/>
              <w:bottom w:val="nil"/>
            </w:tcBorders>
            <w:vAlign w:val="top"/>
          </w:tcPr>
          <w:p w14:paraId="6330628B">
            <w:pPr>
              <w:pStyle w:val="7"/>
              <w:rPr>
                <w:color w:val="auto"/>
                <w:highlight w:val="none"/>
              </w:rPr>
            </w:pPr>
          </w:p>
        </w:tc>
        <w:tc>
          <w:tcPr>
            <w:tcW w:w="867" w:type="dxa"/>
            <w:vMerge w:val="continue"/>
            <w:tcBorders>
              <w:top w:val="nil"/>
              <w:bottom w:val="nil"/>
            </w:tcBorders>
            <w:vAlign w:val="top"/>
          </w:tcPr>
          <w:p w14:paraId="3A03A926">
            <w:pPr>
              <w:pStyle w:val="7"/>
              <w:rPr>
                <w:color w:val="auto"/>
                <w:highlight w:val="none"/>
              </w:rPr>
            </w:pPr>
          </w:p>
        </w:tc>
        <w:tc>
          <w:tcPr>
            <w:tcW w:w="1484" w:type="dxa"/>
            <w:vAlign w:val="top"/>
          </w:tcPr>
          <w:p w14:paraId="22BFA5BE">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5BA02FEF">
            <w:pPr>
              <w:pStyle w:val="7"/>
              <w:rPr>
                <w:color w:val="auto"/>
                <w:highlight w:val="none"/>
              </w:rPr>
            </w:pPr>
          </w:p>
        </w:tc>
        <w:tc>
          <w:tcPr>
            <w:tcW w:w="1493" w:type="dxa"/>
            <w:vAlign w:val="top"/>
          </w:tcPr>
          <w:p w14:paraId="2B488110">
            <w:pPr>
              <w:pStyle w:val="7"/>
              <w:rPr>
                <w:color w:val="auto"/>
                <w:highlight w:val="none"/>
              </w:rPr>
            </w:pPr>
          </w:p>
        </w:tc>
      </w:tr>
      <w:tr w14:paraId="0448A8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3CCC12B3">
            <w:pPr>
              <w:pStyle w:val="7"/>
              <w:rPr>
                <w:color w:val="auto"/>
                <w:highlight w:val="none"/>
              </w:rPr>
            </w:pPr>
          </w:p>
        </w:tc>
        <w:tc>
          <w:tcPr>
            <w:tcW w:w="2457" w:type="dxa"/>
            <w:vMerge w:val="continue"/>
            <w:tcBorders>
              <w:top w:val="nil"/>
            </w:tcBorders>
            <w:vAlign w:val="top"/>
          </w:tcPr>
          <w:p w14:paraId="2C1517B3">
            <w:pPr>
              <w:pStyle w:val="7"/>
              <w:rPr>
                <w:color w:val="auto"/>
                <w:highlight w:val="none"/>
              </w:rPr>
            </w:pPr>
          </w:p>
        </w:tc>
        <w:tc>
          <w:tcPr>
            <w:tcW w:w="867" w:type="dxa"/>
            <w:vMerge w:val="continue"/>
            <w:tcBorders>
              <w:top w:val="nil"/>
            </w:tcBorders>
            <w:vAlign w:val="top"/>
          </w:tcPr>
          <w:p w14:paraId="2E3430F9">
            <w:pPr>
              <w:pStyle w:val="7"/>
              <w:rPr>
                <w:color w:val="auto"/>
                <w:highlight w:val="none"/>
              </w:rPr>
            </w:pPr>
          </w:p>
        </w:tc>
        <w:tc>
          <w:tcPr>
            <w:tcW w:w="1484" w:type="dxa"/>
            <w:vAlign w:val="top"/>
          </w:tcPr>
          <w:p w14:paraId="3D4CD8AA">
            <w:pPr>
              <w:pStyle w:val="7"/>
              <w:rPr>
                <w:color w:val="auto"/>
                <w:highlight w:val="none"/>
              </w:rPr>
            </w:pPr>
          </w:p>
        </w:tc>
        <w:tc>
          <w:tcPr>
            <w:tcW w:w="1484" w:type="dxa"/>
            <w:vAlign w:val="top"/>
          </w:tcPr>
          <w:p w14:paraId="6C95EFB8">
            <w:pPr>
              <w:pStyle w:val="7"/>
              <w:rPr>
                <w:color w:val="auto"/>
                <w:highlight w:val="none"/>
              </w:rPr>
            </w:pPr>
          </w:p>
        </w:tc>
        <w:tc>
          <w:tcPr>
            <w:tcW w:w="1493" w:type="dxa"/>
            <w:vAlign w:val="top"/>
          </w:tcPr>
          <w:p w14:paraId="7C211B88">
            <w:pPr>
              <w:pStyle w:val="7"/>
              <w:rPr>
                <w:color w:val="auto"/>
                <w:highlight w:val="none"/>
              </w:rPr>
            </w:pPr>
          </w:p>
        </w:tc>
      </w:tr>
      <w:tr w14:paraId="338720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restart"/>
            <w:tcBorders>
              <w:bottom w:val="nil"/>
            </w:tcBorders>
            <w:vAlign w:val="top"/>
          </w:tcPr>
          <w:p w14:paraId="314D8F06">
            <w:pPr>
              <w:pStyle w:val="7"/>
              <w:spacing w:line="280" w:lineRule="auto"/>
              <w:rPr>
                <w:color w:val="auto"/>
                <w:highlight w:val="none"/>
              </w:rPr>
            </w:pPr>
          </w:p>
          <w:p w14:paraId="7CEAD6E7">
            <w:pPr>
              <w:pStyle w:val="7"/>
              <w:spacing w:line="280" w:lineRule="auto"/>
              <w:rPr>
                <w:color w:val="auto"/>
                <w:highlight w:val="none"/>
              </w:rPr>
            </w:pPr>
          </w:p>
          <w:p w14:paraId="29E13674">
            <w:pPr>
              <w:pStyle w:val="7"/>
              <w:spacing w:line="280" w:lineRule="auto"/>
              <w:rPr>
                <w:color w:val="auto"/>
                <w:highlight w:val="none"/>
              </w:rPr>
            </w:pPr>
          </w:p>
          <w:p w14:paraId="04ED1842">
            <w:pPr>
              <w:spacing w:before="59" w:line="183" w:lineRule="auto"/>
              <w:ind w:left="323"/>
              <w:rPr>
                <w:rFonts w:ascii="宋体" w:hAnsi="宋体" w:eastAsia="宋体" w:cs="宋体"/>
                <w:color w:val="auto"/>
                <w:sz w:val="18"/>
                <w:szCs w:val="18"/>
                <w:highlight w:val="none"/>
              </w:rPr>
            </w:pPr>
            <w:r>
              <w:rPr>
                <w:rFonts w:ascii="宋体" w:hAnsi="宋体" w:eastAsia="宋体" w:cs="宋体"/>
                <w:color w:val="auto"/>
                <w:sz w:val="18"/>
                <w:szCs w:val="18"/>
                <w:highlight w:val="none"/>
              </w:rPr>
              <w:t>8</w:t>
            </w:r>
          </w:p>
        </w:tc>
        <w:tc>
          <w:tcPr>
            <w:tcW w:w="2457" w:type="dxa"/>
            <w:vMerge w:val="restart"/>
            <w:tcBorders>
              <w:bottom w:val="nil"/>
            </w:tcBorders>
            <w:vAlign w:val="top"/>
          </w:tcPr>
          <w:p w14:paraId="5FEA7345">
            <w:pPr>
              <w:pStyle w:val="7"/>
              <w:spacing w:line="270" w:lineRule="auto"/>
              <w:rPr>
                <w:color w:val="auto"/>
                <w:highlight w:val="none"/>
              </w:rPr>
            </w:pPr>
          </w:p>
          <w:p w14:paraId="5425A140">
            <w:pPr>
              <w:pStyle w:val="7"/>
              <w:spacing w:line="271" w:lineRule="auto"/>
              <w:rPr>
                <w:color w:val="auto"/>
                <w:highlight w:val="none"/>
              </w:rPr>
            </w:pPr>
          </w:p>
          <w:p w14:paraId="591A3236">
            <w:pPr>
              <w:pStyle w:val="7"/>
              <w:spacing w:line="271" w:lineRule="auto"/>
              <w:rPr>
                <w:color w:val="auto"/>
                <w:highlight w:val="none"/>
              </w:rPr>
            </w:pPr>
          </w:p>
          <w:p w14:paraId="2401C2D9">
            <w:pPr>
              <w:spacing w:before="58" w:line="221" w:lineRule="auto"/>
              <w:ind w:left="863"/>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通讯接口</w:t>
            </w:r>
          </w:p>
        </w:tc>
        <w:tc>
          <w:tcPr>
            <w:tcW w:w="867" w:type="dxa"/>
            <w:vMerge w:val="restart"/>
            <w:tcBorders>
              <w:bottom w:val="nil"/>
            </w:tcBorders>
            <w:vAlign w:val="top"/>
          </w:tcPr>
          <w:p w14:paraId="549A9E51">
            <w:pPr>
              <w:pStyle w:val="7"/>
              <w:rPr>
                <w:color w:val="auto"/>
                <w:highlight w:val="none"/>
              </w:rPr>
            </w:pPr>
          </w:p>
        </w:tc>
        <w:tc>
          <w:tcPr>
            <w:tcW w:w="1484" w:type="dxa"/>
            <w:vAlign w:val="top"/>
          </w:tcPr>
          <w:p w14:paraId="02A151CF">
            <w:pPr>
              <w:spacing w:before="144"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AA0EACB">
            <w:pPr>
              <w:pStyle w:val="7"/>
              <w:rPr>
                <w:color w:val="auto"/>
                <w:highlight w:val="none"/>
              </w:rPr>
            </w:pPr>
          </w:p>
        </w:tc>
        <w:tc>
          <w:tcPr>
            <w:tcW w:w="1493" w:type="dxa"/>
            <w:vAlign w:val="top"/>
          </w:tcPr>
          <w:p w14:paraId="7B306EF7">
            <w:pPr>
              <w:pStyle w:val="7"/>
              <w:rPr>
                <w:color w:val="auto"/>
                <w:highlight w:val="none"/>
              </w:rPr>
            </w:pPr>
          </w:p>
        </w:tc>
      </w:tr>
      <w:tr w14:paraId="6FBE29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9D853DC">
            <w:pPr>
              <w:pStyle w:val="7"/>
              <w:rPr>
                <w:color w:val="auto"/>
                <w:highlight w:val="none"/>
              </w:rPr>
            </w:pPr>
          </w:p>
        </w:tc>
        <w:tc>
          <w:tcPr>
            <w:tcW w:w="2457" w:type="dxa"/>
            <w:vMerge w:val="continue"/>
            <w:tcBorders>
              <w:top w:val="nil"/>
              <w:bottom w:val="nil"/>
            </w:tcBorders>
            <w:vAlign w:val="top"/>
          </w:tcPr>
          <w:p w14:paraId="4C46D1BB">
            <w:pPr>
              <w:pStyle w:val="7"/>
              <w:rPr>
                <w:color w:val="auto"/>
                <w:highlight w:val="none"/>
              </w:rPr>
            </w:pPr>
          </w:p>
        </w:tc>
        <w:tc>
          <w:tcPr>
            <w:tcW w:w="867" w:type="dxa"/>
            <w:vMerge w:val="continue"/>
            <w:tcBorders>
              <w:top w:val="nil"/>
              <w:bottom w:val="nil"/>
            </w:tcBorders>
            <w:vAlign w:val="top"/>
          </w:tcPr>
          <w:p w14:paraId="03D894EC">
            <w:pPr>
              <w:pStyle w:val="7"/>
              <w:rPr>
                <w:color w:val="auto"/>
                <w:highlight w:val="none"/>
              </w:rPr>
            </w:pPr>
          </w:p>
        </w:tc>
        <w:tc>
          <w:tcPr>
            <w:tcW w:w="1484" w:type="dxa"/>
            <w:vAlign w:val="top"/>
          </w:tcPr>
          <w:p w14:paraId="5217E14B">
            <w:pPr>
              <w:pStyle w:val="7"/>
              <w:rPr>
                <w:color w:val="auto"/>
                <w:highlight w:val="none"/>
              </w:rPr>
            </w:pPr>
          </w:p>
        </w:tc>
        <w:tc>
          <w:tcPr>
            <w:tcW w:w="1484" w:type="dxa"/>
            <w:vAlign w:val="top"/>
          </w:tcPr>
          <w:p w14:paraId="51196B52">
            <w:pPr>
              <w:pStyle w:val="7"/>
              <w:rPr>
                <w:color w:val="auto"/>
                <w:highlight w:val="none"/>
              </w:rPr>
            </w:pPr>
          </w:p>
        </w:tc>
        <w:tc>
          <w:tcPr>
            <w:tcW w:w="1493" w:type="dxa"/>
            <w:vAlign w:val="top"/>
          </w:tcPr>
          <w:p w14:paraId="2FCC9E0E">
            <w:pPr>
              <w:pStyle w:val="7"/>
              <w:rPr>
                <w:color w:val="auto"/>
                <w:highlight w:val="none"/>
              </w:rPr>
            </w:pPr>
          </w:p>
        </w:tc>
      </w:tr>
      <w:tr w14:paraId="2FCD28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6ADA33B5">
            <w:pPr>
              <w:pStyle w:val="7"/>
              <w:rPr>
                <w:color w:val="auto"/>
                <w:highlight w:val="none"/>
              </w:rPr>
            </w:pPr>
          </w:p>
        </w:tc>
        <w:tc>
          <w:tcPr>
            <w:tcW w:w="2457" w:type="dxa"/>
            <w:vMerge w:val="continue"/>
            <w:tcBorders>
              <w:top w:val="nil"/>
              <w:bottom w:val="nil"/>
            </w:tcBorders>
            <w:vAlign w:val="top"/>
          </w:tcPr>
          <w:p w14:paraId="1EFFB7DB">
            <w:pPr>
              <w:pStyle w:val="7"/>
              <w:rPr>
                <w:color w:val="auto"/>
                <w:highlight w:val="none"/>
              </w:rPr>
            </w:pPr>
          </w:p>
        </w:tc>
        <w:tc>
          <w:tcPr>
            <w:tcW w:w="867" w:type="dxa"/>
            <w:vMerge w:val="continue"/>
            <w:tcBorders>
              <w:top w:val="nil"/>
              <w:bottom w:val="nil"/>
            </w:tcBorders>
            <w:vAlign w:val="top"/>
          </w:tcPr>
          <w:p w14:paraId="76C0A9A1">
            <w:pPr>
              <w:pStyle w:val="7"/>
              <w:rPr>
                <w:color w:val="auto"/>
                <w:highlight w:val="none"/>
              </w:rPr>
            </w:pPr>
          </w:p>
        </w:tc>
        <w:tc>
          <w:tcPr>
            <w:tcW w:w="1484" w:type="dxa"/>
            <w:vAlign w:val="top"/>
          </w:tcPr>
          <w:p w14:paraId="6D6BB872">
            <w:pPr>
              <w:spacing w:before="146"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02C57475">
            <w:pPr>
              <w:pStyle w:val="7"/>
              <w:rPr>
                <w:color w:val="auto"/>
                <w:highlight w:val="none"/>
              </w:rPr>
            </w:pPr>
          </w:p>
        </w:tc>
        <w:tc>
          <w:tcPr>
            <w:tcW w:w="1493" w:type="dxa"/>
            <w:vAlign w:val="top"/>
          </w:tcPr>
          <w:p w14:paraId="4076352A">
            <w:pPr>
              <w:pStyle w:val="7"/>
              <w:rPr>
                <w:color w:val="auto"/>
                <w:highlight w:val="none"/>
              </w:rPr>
            </w:pPr>
          </w:p>
        </w:tc>
      </w:tr>
      <w:tr w14:paraId="17FC2B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3DD29483">
            <w:pPr>
              <w:pStyle w:val="7"/>
              <w:rPr>
                <w:color w:val="auto"/>
                <w:highlight w:val="none"/>
              </w:rPr>
            </w:pPr>
          </w:p>
        </w:tc>
        <w:tc>
          <w:tcPr>
            <w:tcW w:w="2457" w:type="dxa"/>
            <w:vMerge w:val="continue"/>
            <w:tcBorders>
              <w:top w:val="nil"/>
            </w:tcBorders>
            <w:vAlign w:val="top"/>
          </w:tcPr>
          <w:p w14:paraId="218873B5">
            <w:pPr>
              <w:pStyle w:val="7"/>
              <w:rPr>
                <w:color w:val="auto"/>
                <w:highlight w:val="none"/>
              </w:rPr>
            </w:pPr>
          </w:p>
        </w:tc>
        <w:tc>
          <w:tcPr>
            <w:tcW w:w="867" w:type="dxa"/>
            <w:vMerge w:val="continue"/>
            <w:tcBorders>
              <w:top w:val="nil"/>
            </w:tcBorders>
            <w:vAlign w:val="top"/>
          </w:tcPr>
          <w:p w14:paraId="4A72A8BB">
            <w:pPr>
              <w:pStyle w:val="7"/>
              <w:rPr>
                <w:color w:val="auto"/>
                <w:highlight w:val="none"/>
              </w:rPr>
            </w:pPr>
          </w:p>
        </w:tc>
        <w:tc>
          <w:tcPr>
            <w:tcW w:w="1484" w:type="dxa"/>
            <w:vAlign w:val="top"/>
          </w:tcPr>
          <w:p w14:paraId="5C72A66F">
            <w:pPr>
              <w:pStyle w:val="7"/>
              <w:rPr>
                <w:color w:val="auto"/>
                <w:highlight w:val="none"/>
              </w:rPr>
            </w:pPr>
          </w:p>
        </w:tc>
        <w:tc>
          <w:tcPr>
            <w:tcW w:w="1484" w:type="dxa"/>
            <w:vAlign w:val="top"/>
          </w:tcPr>
          <w:p w14:paraId="14C38A89">
            <w:pPr>
              <w:pStyle w:val="7"/>
              <w:rPr>
                <w:color w:val="auto"/>
                <w:highlight w:val="none"/>
              </w:rPr>
            </w:pPr>
          </w:p>
        </w:tc>
        <w:tc>
          <w:tcPr>
            <w:tcW w:w="1493" w:type="dxa"/>
            <w:vAlign w:val="top"/>
          </w:tcPr>
          <w:p w14:paraId="3F183AE6">
            <w:pPr>
              <w:pStyle w:val="7"/>
              <w:rPr>
                <w:color w:val="auto"/>
                <w:highlight w:val="none"/>
              </w:rPr>
            </w:pPr>
          </w:p>
        </w:tc>
      </w:tr>
      <w:tr w14:paraId="6331C4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1F736AE5">
            <w:pPr>
              <w:pStyle w:val="7"/>
              <w:spacing w:line="281" w:lineRule="auto"/>
              <w:rPr>
                <w:color w:val="auto"/>
                <w:highlight w:val="none"/>
              </w:rPr>
            </w:pPr>
          </w:p>
          <w:p w14:paraId="4B7061BD">
            <w:pPr>
              <w:pStyle w:val="7"/>
              <w:spacing w:line="281" w:lineRule="auto"/>
              <w:rPr>
                <w:color w:val="auto"/>
                <w:highlight w:val="none"/>
              </w:rPr>
            </w:pPr>
          </w:p>
          <w:p w14:paraId="543BBF9D">
            <w:pPr>
              <w:pStyle w:val="7"/>
              <w:spacing w:line="282" w:lineRule="auto"/>
              <w:rPr>
                <w:color w:val="auto"/>
                <w:highlight w:val="none"/>
              </w:rPr>
            </w:pPr>
          </w:p>
          <w:p w14:paraId="0E2219AA">
            <w:pPr>
              <w:spacing w:before="59" w:line="183" w:lineRule="auto"/>
              <w:ind w:left="323"/>
              <w:rPr>
                <w:rFonts w:ascii="宋体" w:hAnsi="宋体" w:eastAsia="宋体" w:cs="宋体"/>
                <w:color w:val="auto"/>
                <w:sz w:val="18"/>
                <w:szCs w:val="18"/>
                <w:highlight w:val="none"/>
              </w:rPr>
            </w:pPr>
            <w:r>
              <w:rPr>
                <w:rFonts w:ascii="宋体" w:hAnsi="宋体" w:eastAsia="宋体" w:cs="宋体"/>
                <w:color w:val="auto"/>
                <w:sz w:val="18"/>
                <w:szCs w:val="18"/>
                <w:highlight w:val="none"/>
              </w:rPr>
              <w:t>9</w:t>
            </w:r>
          </w:p>
        </w:tc>
        <w:tc>
          <w:tcPr>
            <w:tcW w:w="2457" w:type="dxa"/>
            <w:vMerge w:val="restart"/>
            <w:tcBorders>
              <w:bottom w:val="nil"/>
            </w:tcBorders>
            <w:vAlign w:val="top"/>
          </w:tcPr>
          <w:p w14:paraId="5C8F3C29">
            <w:pPr>
              <w:pStyle w:val="7"/>
              <w:spacing w:line="272" w:lineRule="auto"/>
              <w:rPr>
                <w:color w:val="auto"/>
                <w:highlight w:val="none"/>
              </w:rPr>
            </w:pPr>
          </w:p>
          <w:p w14:paraId="326FCF19">
            <w:pPr>
              <w:pStyle w:val="7"/>
              <w:spacing w:line="272" w:lineRule="auto"/>
              <w:rPr>
                <w:color w:val="auto"/>
                <w:highlight w:val="none"/>
              </w:rPr>
            </w:pPr>
          </w:p>
          <w:p w14:paraId="539E0EAF">
            <w:pPr>
              <w:pStyle w:val="7"/>
              <w:spacing w:line="272" w:lineRule="auto"/>
              <w:rPr>
                <w:color w:val="auto"/>
                <w:highlight w:val="none"/>
              </w:rPr>
            </w:pPr>
          </w:p>
          <w:p w14:paraId="44725BB8">
            <w:pPr>
              <w:spacing w:before="59" w:line="219" w:lineRule="auto"/>
              <w:ind w:left="50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保护装置输出接点</w:t>
            </w:r>
          </w:p>
        </w:tc>
        <w:tc>
          <w:tcPr>
            <w:tcW w:w="867" w:type="dxa"/>
            <w:vMerge w:val="restart"/>
            <w:tcBorders>
              <w:bottom w:val="nil"/>
            </w:tcBorders>
            <w:vAlign w:val="top"/>
          </w:tcPr>
          <w:p w14:paraId="78B5E532">
            <w:pPr>
              <w:pStyle w:val="7"/>
              <w:rPr>
                <w:color w:val="auto"/>
                <w:highlight w:val="none"/>
              </w:rPr>
            </w:pPr>
          </w:p>
        </w:tc>
        <w:tc>
          <w:tcPr>
            <w:tcW w:w="1484" w:type="dxa"/>
            <w:vAlign w:val="top"/>
          </w:tcPr>
          <w:p w14:paraId="6AB3A433">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67BF8A15">
            <w:pPr>
              <w:pStyle w:val="7"/>
              <w:rPr>
                <w:color w:val="auto"/>
                <w:highlight w:val="none"/>
              </w:rPr>
            </w:pPr>
          </w:p>
        </w:tc>
        <w:tc>
          <w:tcPr>
            <w:tcW w:w="1493" w:type="dxa"/>
            <w:vAlign w:val="top"/>
          </w:tcPr>
          <w:p w14:paraId="0AA1A483">
            <w:pPr>
              <w:pStyle w:val="7"/>
              <w:rPr>
                <w:color w:val="auto"/>
                <w:highlight w:val="none"/>
              </w:rPr>
            </w:pPr>
          </w:p>
        </w:tc>
      </w:tr>
      <w:tr w14:paraId="581B78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5C0C03BC">
            <w:pPr>
              <w:pStyle w:val="7"/>
              <w:rPr>
                <w:color w:val="auto"/>
                <w:highlight w:val="none"/>
              </w:rPr>
            </w:pPr>
          </w:p>
        </w:tc>
        <w:tc>
          <w:tcPr>
            <w:tcW w:w="2457" w:type="dxa"/>
            <w:vMerge w:val="continue"/>
            <w:tcBorders>
              <w:top w:val="nil"/>
              <w:bottom w:val="nil"/>
            </w:tcBorders>
            <w:vAlign w:val="top"/>
          </w:tcPr>
          <w:p w14:paraId="4B5E0ED8">
            <w:pPr>
              <w:pStyle w:val="7"/>
              <w:rPr>
                <w:color w:val="auto"/>
                <w:highlight w:val="none"/>
              </w:rPr>
            </w:pPr>
          </w:p>
        </w:tc>
        <w:tc>
          <w:tcPr>
            <w:tcW w:w="867" w:type="dxa"/>
            <w:vMerge w:val="continue"/>
            <w:tcBorders>
              <w:top w:val="nil"/>
              <w:bottom w:val="nil"/>
            </w:tcBorders>
            <w:vAlign w:val="top"/>
          </w:tcPr>
          <w:p w14:paraId="7FB231C2">
            <w:pPr>
              <w:pStyle w:val="7"/>
              <w:rPr>
                <w:color w:val="auto"/>
                <w:highlight w:val="none"/>
              </w:rPr>
            </w:pPr>
          </w:p>
        </w:tc>
        <w:tc>
          <w:tcPr>
            <w:tcW w:w="1484" w:type="dxa"/>
            <w:vAlign w:val="top"/>
          </w:tcPr>
          <w:p w14:paraId="48952CFE">
            <w:pPr>
              <w:pStyle w:val="7"/>
              <w:rPr>
                <w:color w:val="auto"/>
                <w:highlight w:val="none"/>
              </w:rPr>
            </w:pPr>
          </w:p>
        </w:tc>
        <w:tc>
          <w:tcPr>
            <w:tcW w:w="1484" w:type="dxa"/>
            <w:vAlign w:val="top"/>
          </w:tcPr>
          <w:p w14:paraId="275D1C26">
            <w:pPr>
              <w:pStyle w:val="7"/>
              <w:rPr>
                <w:color w:val="auto"/>
                <w:highlight w:val="none"/>
              </w:rPr>
            </w:pPr>
          </w:p>
        </w:tc>
        <w:tc>
          <w:tcPr>
            <w:tcW w:w="1493" w:type="dxa"/>
            <w:vAlign w:val="top"/>
          </w:tcPr>
          <w:p w14:paraId="6A9713BA">
            <w:pPr>
              <w:pStyle w:val="7"/>
              <w:rPr>
                <w:color w:val="auto"/>
                <w:highlight w:val="none"/>
              </w:rPr>
            </w:pPr>
          </w:p>
        </w:tc>
      </w:tr>
      <w:tr w14:paraId="07E997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bottom w:val="nil"/>
            </w:tcBorders>
            <w:vAlign w:val="top"/>
          </w:tcPr>
          <w:p w14:paraId="091C2A61">
            <w:pPr>
              <w:pStyle w:val="7"/>
              <w:rPr>
                <w:color w:val="auto"/>
                <w:highlight w:val="none"/>
              </w:rPr>
            </w:pPr>
          </w:p>
        </w:tc>
        <w:tc>
          <w:tcPr>
            <w:tcW w:w="2457" w:type="dxa"/>
            <w:vMerge w:val="continue"/>
            <w:tcBorders>
              <w:top w:val="nil"/>
              <w:bottom w:val="nil"/>
            </w:tcBorders>
            <w:vAlign w:val="top"/>
          </w:tcPr>
          <w:p w14:paraId="2E9528A2">
            <w:pPr>
              <w:pStyle w:val="7"/>
              <w:rPr>
                <w:color w:val="auto"/>
                <w:highlight w:val="none"/>
              </w:rPr>
            </w:pPr>
          </w:p>
        </w:tc>
        <w:tc>
          <w:tcPr>
            <w:tcW w:w="867" w:type="dxa"/>
            <w:vMerge w:val="continue"/>
            <w:tcBorders>
              <w:top w:val="nil"/>
              <w:bottom w:val="nil"/>
            </w:tcBorders>
            <w:vAlign w:val="top"/>
          </w:tcPr>
          <w:p w14:paraId="378303A8">
            <w:pPr>
              <w:pStyle w:val="7"/>
              <w:rPr>
                <w:color w:val="auto"/>
                <w:highlight w:val="none"/>
              </w:rPr>
            </w:pPr>
          </w:p>
        </w:tc>
        <w:tc>
          <w:tcPr>
            <w:tcW w:w="1484" w:type="dxa"/>
            <w:vAlign w:val="top"/>
          </w:tcPr>
          <w:p w14:paraId="1B57D203">
            <w:pPr>
              <w:spacing w:before="148"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4C8B21C3">
            <w:pPr>
              <w:pStyle w:val="7"/>
              <w:rPr>
                <w:color w:val="auto"/>
                <w:highlight w:val="none"/>
              </w:rPr>
            </w:pPr>
          </w:p>
        </w:tc>
        <w:tc>
          <w:tcPr>
            <w:tcW w:w="1493" w:type="dxa"/>
            <w:vAlign w:val="top"/>
          </w:tcPr>
          <w:p w14:paraId="0C5CF363">
            <w:pPr>
              <w:pStyle w:val="7"/>
              <w:rPr>
                <w:color w:val="auto"/>
                <w:highlight w:val="none"/>
              </w:rPr>
            </w:pPr>
          </w:p>
        </w:tc>
      </w:tr>
      <w:tr w14:paraId="743C9F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tcBorders>
            <w:vAlign w:val="top"/>
          </w:tcPr>
          <w:p w14:paraId="4BBE938D">
            <w:pPr>
              <w:pStyle w:val="7"/>
              <w:rPr>
                <w:color w:val="auto"/>
                <w:highlight w:val="none"/>
              </w:rPr>
            </w:pPr>
          </w:p>
        </w:tc>
        <w:tc>
          <w:tcPr>
            <w:tcW w:w="2457" w:type="dxa"/>
            <w:vMerge w:val="continue"/>
            <w:tcBorders>
              <w:top w:val="nil"/>
            </w:tcBorders>
            <w:vAlign w:val="top"/>
          </w:tcPr>
          <w:p w14:paraId="41E297C1">
            <w:pPr>
              <w:pStyle w:val="7"/>
              <w:rPr>
                <w:color w:val="auto"/>
                <w:highlight w:val="none"/>
              </w:rPr>
            </w:pPr>
          </w:p>
        </w:tc>
        <w:tc>
          <w:tcPr>
            <w:tcW w:w="867" w:type="dxa"/>
            <w:vMerge w:val="continue"/>
            <w:tcBorders>
              <w:top w:val="nil"/>
            </w:tcBorders>
            <w:vAlign w:val="top"/>
          </w:tcPr>
          <w:p w14:paraId="51C5606E">
            <w:pPr>
              <w:pStyle w:val="7"/>
              <w:rPr>
                <w:color w:val="auto"/>
                <w:highlight w:val="none"/>
              </w:rPr>
            </w:pPr>
          </w:p>
        </w:tc>
        <w:tc>
          <w:tcPr>
            <w:tcW w:w="1484" w:type="dxa"/>
            <w:vAlign w:val="top"/>
          </w:tcPr>
          <w:p w14:paraId="01154A2E">
            <w:pPr>
              <w:pStyle w:val="7"/>
              <w:rPr>
                <w:color w:val="auto"/>
                <w:highlight w:val="none"/>
              </w:rPr>
            </w:pPr>
          </w:p>
        </w:tc>
        <w:tc>
          <w:tcPr>
            <w:tcW w:w="1484" w:type="dxa"/>
            <w:vAlign w:val="top"/>
          </w:tcPr>
          <w:p w14:paraId="4A51F667">
            <w:pPr>
              <w:pStyle w:val="7"/>
              <w:rPr>
                <w:color w:val="auto"/>
                <w:highlight w:val="none"/>
              </w:rPr>
            </w:pPr>
          </w:p>
        </w:tc>
        <w:tc>
          <w:tcPr>
            <w:tcW w:w="1493" w:type="dxa"/>
            <w:vAlign w:val="top"/>
          </w:tcPr>
          <w:p w14:paraId="4EFD0C73">
            <w:pPr>
              <w:pStyle w:val="7"/>
              <w:rPr>
                <w:color w:val="auto"/>
                <w:highlight w:val="none"/>
              </w:rPr>
            </w:pPr>
          </w:p>
        </w:tc>
      </w:tr>
      <w:tr w14:paraId="3C5D1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25DF516E">
            <w:pPr>
              <w:pStyle w:val="7"/>
              <w:spacing w:line="281" w:lineRule="auto"/>
              <w:rPr>
                <w:color w:val="auto"/>
                <w:highlight w:val="none"/>
              </w:rPr>
            </w:pPr>
          </w:p>
          <w:p w14:paraId="3A9B40A1">
            <w:pPr>
              <w:pStyle w:val="7"/>
              <w:spacing w:line="282" w:lineRule="auto"/>
              <w:rPr>
                <w:color w:val="auto"/>
                <w:highlight w:val="none"/>
              </w:rPr>
            </w:pPr>
          </w:p>
          <w:p w14:paraId="0FA29537">
            <w:pPr>
              <w:pStyle w:val="7"/>
              <w:spacing w:line="282" w:lineRule="auto"/>
              <w:rPr>
                <w:color w:val="auto"/>
                <w:highlight w:val="none"/>
              </w:rPr>
            </w:pPr>
          </w:p>
          <w:p w14:paraId="1CD7CEA5">
            <w:pPr>
              <w:spacing w:before="59" w:line="184" w:lineRule="auto"/>
              <w:ind w:left="290"/>
              <w:rPr>
                <w:rFonts w:ascii="宋体" w:hAnsi="宋体" w:eastAsia="宋体" w:cs="宋体"/>
                <w:color w:val="auto"/>
                <w:sz w:val="18"/>
                <w:szCs w:val="18"/>
                <w:highlight w:val="none"/>
              </w:rPr>
            </w:pPr>
            <w:r>
              <w:rPr>
                <w:rFonts w:ascii="宋体" w:hAnsi="宋体" w:eastAsia="宋体" w:cs="宋体"/>
                <w:color w:val="auto"/>
                <w:spacing w:val="-10"/>
                <w:sz w:val="18"/>
                <w:szCs w:val="18"/>
                <w:highlight w:val="none"/>
              </w:rPr>
              <w:t>10</w:t>
            </w:r>
          </w:p>
        </w:tc>
        <w:tc>
          <w:tcPr>
            <w:tcW w:w="2457" w:type="dxa"/>
            <w:vMerge w:val="restart"/>
            <w:tcBorders>
              <w:bottom w:val="nil"/>
            </w:tcBorders>
            <w:vAlign w:val="top"/>
          </w:tcPr>
          <w:p w14:paraId="67915892">
            <w:pPr>
              <w:pStyle w:val="7"/>
              <w:spacing w:line="272" w:lineRule="auto"/>
              <w:rPr>
                <w:color w:val="auto"/>
                <w:highlight w:val="none"/>
              </w:rPr>
            </w:pPr>
          </w:p>
          <w:p w14:paraId="18A29A99">
            <w:pPr>
              <w:pStyle w:val="7"/>
              <w:spacing w:line="273" w:lineRule="auto"/>
              <w:rPr>
                <w:color w:val="auto"/>
                <w:highlight w:val="none"/>
              </w:rPr>
            </w:pPr>
          </w:p>
          <w:p w14:paraId="71E3C845">
            <w:pPr>
              <w:pStyle w:val="7"/>
              <w:spacing w:line="273" w:lineRule="auto"/>
              <w:rPr>
                <w:color w:val="auto"/>
                <w:highlight w:val="none"/>
              </w:rPr>
            </w:pPr>
          </w:p>
          <w:p w14:paraId="18BA139D">
            <w:pPr>
              <w:spacing w:before="58" w:line="223" w:lineRule="auto"/>
              <w:ind w:left="788"/>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出口继电器</w:t>
            </w:r>
          </w:p>
        </w:tc>
        <w:tc>
          <w:tcPr>
            <w:tcW w:w="867" w:type="dxa"/>
            <w:vMerge w:val="restart"/>
            <w:tcBorders>
              <w:bottom w:val="nil"/>
            </w:tcBorders>
            <w:vAlign w:val="top"/>
          </w:tcPr>
          <w:p w14:paraId="1A73627C">
            <w:pPr>
              <w:pStyle w:val="7"/>
              <w:rPr>
                <w:color w:val="auto"/>
                <w:highlight w:val="none"/>
              </w:rPr>
            </w:pPr>
          </w:p>
        </w:tc>
        <w:tc>
          <w:tcPr>
            <w:tcW w:w="1484" w:type="dxa"/>
            <w:vAlign w:val="top"/>
          </w:tcPr>
          <w:p w14:paraId="411CA05F">
            <w:pPr>
              <w:spacing w:before="150"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技术特点</w:t>
            </w:r>
          </w:p>
        </w:tc>
        <w:tc>
          <w:tcPr>
            <w:tcW w:w="1484" w:type="dxa"/>
            <w:vAlign w:val="top"/>
          </w:tcPr>
          <w:p w14:paraId="0618C87B">
            <w:pPr>
              <w:pStyle w:val="7"/>
              <w:rPr>
                <w:color w:val="auto"/>
                <w:highlight w:val="none"/>
              </w:rPr>
            </w:pPr>
          </w:p>
        </w:tc>
        <w:tc>
          <w:tcPr>
            <w:tcW w:w="1493" w:type="dxa"/>
            <w:vAlign w:val="top"/>
          </w:tcPr>
          <w:p w14:paraId="7893AFB1">
            <w:pPr>
              <w:pStyle w:val="7"/>
              <w:rPr>
                <w:color w:val="auto"/>
                <w:highlight w:val="none"/>
              </w:rPr>
            </w:pPr>
          </w:p>
        </w:tc>
      </w:tr>
      <w:tr w14:paraId="263283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07E9701">
            <w:pPr>
              <w:pStyle w:val="7"/>
              <w:rPr>
                <w:color w:val="auto"/>
                <w:highlight w:val="none"/>
              </w:rPr>
            </w:pPr>
          </w:p>
        </w:tc>
        <w:tc>
          <w:tcPr>
            <w:tcW w:w="2457" w:type="dxa"/>
            <w:vMerge w:val="continue"/>
            <w:tcBorders>
              <w:top w:val="nil"/>
              <w:bottom w:val="nil"/>
            </w:tcBorders>
            <w:vAlign w:val="top"/>
          </w:tcPr>
          <w:p w14:paraId="5546A06B">
            <w:pPr>
              <w:pStyle w:val="7"/>
              <w:rPr>
                <w:color w:val="auto"/>
                <w:highlight w:val="none"/>
              </w:rPr>
            </w:pPr>
          </w:p>
        </w:tc>
        <w:tc>
          <w:tcPr>
            <w:tcW w:w="867" w:type="dxa"/>
            <w:vMerge w:val="continue"/>
            <w:tcBorders>
              <w:top w:val="nil"/>
              <w:bottom w:val="nil"/>
            </w:tcBorders>
            <w:vAlign w:val="top"/>
          </w:tcPr>
          <w:p w14:paraId="714EC4FC">
            <w:pPr>
              <w:pStyle w:val="7"/>
              <w:rPr>
                <w:color w:val="auto"/>
                <w:highlight w:val="none"/>
              </w:rPr>
            </w:pPr>
          </w:p>
        </w:tc>
        <w:tc>
          <w:tcPr>
            <w:tcW w:w="1484" w:type="dxa"/>
            <w:vAlign w:val="top"/>
          </w:tcPr>
          <w:p w14:paraId="7321D958">
            <w:pPr>
              <w:pStyle w:val="7"/>
              <w:rPr>
                <w:color w:val="auto"/>
                <w:highlight w:val="none"/>
              </w:rPr>
            </w:pPr>
          </w:p>
        </w:tc>
        <w:tc>
          <w:tcPr>
            <w:tcW w:w="1484" w:type="dxa"/>
            <w:vAlign w:val="top"/>
          </w:tcPr>
          <w:p w14:paraId="7195B9E1">
            <w:pPr>
              <w:pStyle w:val="7"/>
              <w:rPr>
                <w:color w:val="auto"/>
                <w:highlight w:val="none"/>
              </w:rPr>
            </w:pPr>
          </w:p>
        </w:tc>
        <w:tc>
          <w:tcPr>
            <w:tcW w:w="1493" w:type="dxa"/>
            <w:vAlign w:val="top"/>
          </w:tcPr>
          <w:p w14:paraId="1BA0407A">
            <w:pPr>
              <w:pStyle w:val="7"/>
              <w:rPr>
                <w:color w:val="auto"/>
                <w:highlight w:val="none"/>
              </w:rPr>
            </w:pPr>
          </w:p>
        </w:tc>
      </w:tr>
      <w:tr w14:paraId="25034C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280BCF6A">
            <w:pPr>
              <w:pStyle w:val="7"/>
              <w:rPr>
                <w:color w:val="auto"/>
                <w:highlight w:val="none"/>
              </w:rPr>
            </w:pPr>
          </w:p>
        </w:tc>
        <w:tc>
          <w:tcPr>
            <w:tcW w:w="2457" w:type="dxa"/>
            <w:vMerge w:val="continue"/>
            <w:tcBorders>
              <w:top w:val="nil"/>
              <w:bottom w:val="nil"/>
            </w:tcBorders>
            <w:vAlign w:val="top"/>
          </w:tcPr>
          <w:p w14:paraId="0F5971EF">
            <w:pPr>
              <w:pStyle w:val="7"/>
              <w:rPr>
                <w:color w:val="auto"/>
                <w:highlight w:val="none"/>
              </w:rPr>
            </w:pPr>
          </w:p>
        </w:tc>
        <w:tc>
          <w:tcPr>
            <w:tcW w:w="867" w:type="dxa"/>
            <w:vMerge w:val="continue"/>
            <w:tcBorders>
              <w:top w:val="nil"/>
              <w:bottom w:val="nil"/>
            </w:tcBorders>
            <w:vAlign w:val="top"/>
          </w:tcPr>
          <w:p w14:paraId="67039FD3">
            <w:pPr>
              <w:pStyle w:val="7"/>
              <w:rPr>
                <w:color w:val="auto"/>
                <w:highlight w:val="none"/>
              </w:rPr>
            </w:pPr>
          </w:p>
        </w:tc>
        <w:tc>
          <w:tcPr>
            <w:tcW w:w="1484" w:type="dxa"/>
            <w:vAlign w:val="top"/>
          </w:tcPr>
          <w:p w14:paraId="383A4256">
            <w:pPr>
              <w:spacing w:before="152" w:line="219" w:lineRule="auto"/>
              <w:ind w:left="38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技术参数</w:t>
            </w:r>
          </w:p>
        </w:tc>
        <w:tc>
          <w:tcPr>
            <w:tcW w:w="1484" w:type="dxa"/>
            <w:vAlign w:val="top"/>
          </w:tcPr>
          <w:p w14:paraId="3E76C44B">
            <w:pPr>
              <w:pStyle w:val="7"/>
              <w:rPr>
                <w:color w:val="auto"/>
                <w:highlight w:val="none"/>
              </w:rPr>
            </w:pPr>
          </w:p>
        </w:tc>
        <w:tc>
          <w:tcPr>
            <w:tcW w:w="1493" w:type="dxa"/>
            <w:vAlign w:val="top"/>
          </w:tcPr>
          <w:p w14:paraId="4097E90E">
            <w:pPr>
              <w:pStyle w:val="7"/>
              <w:rPr>
                <w:color w:val="auto"/>
                <w:highlight w:val="none"/>
              </w:rPr>
            </w:pPr>
          </w:p>
        </w:tc>
      </w:tr>
      <w:tr w14:paraId="768A7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57BC371C">
            <w:pPr>
              <w:pStyle w:val="7"/>
              <w:rPr>
                <w:color w:val="auto"/>
                <w:highlight w:val="none"/>
              </w:rPr>
            </w:pPr>
          </w:p>
        </w:tc>
        <w:tc>
          <w:tcPr>
            <w:tcW w:w="2457" w:type="dxa"/>
            <w:vMerge w:val="continue"/>
            <w:tcBorders>
              <w:top w:val="nil"/>
            </w:tcBorders>
            <w:vAlign w:val="top"/>
          </w:tcPr>
          <w:p w14:paraId="118C3D60">
            <w:pPr>
              <w:pStyle w:val="7"/>
              <w:rPr>
                <w:color w:val="auto"/>
                <w:highlight w:val="none"/>
              </w:rPr>
            </w:pPr>
          </w:p>
        </w:tc>
        <w:tc>
          <w:tcPr>
            <w:tcW w:w="867" w:type="dxa"/>
            <w:vMerge w:val="continue"/>
            <w:tcBorders>
              <w:top w:val="nil"/>
            </w:tcBorders>
            <w:vAlign w:val="top"/>
          </w:tcPr>
          <w:p w14:paraId="61A74958">
            <w:pPr>
              <w:pStyle w:val="7"/>
              <w:rPr>
                <w:color w:val="auto"/>
                <w:highlight w:val="none"/>
              </w:rPr>
            </w:pPr>
          </w:p>
        </w:tc>
        <w:tc>
          <w:tcPr>
            <w:tcW w:w="1484" w:type="dxa"/>
            <w:vAlign w:val="top"/>
          </w:tcPr>
          <w:p w14:paraId="2CCDA116">
            <w:pPr>
              <w:pStyle w:val="7"/>
              <w:rPr>
                <w:color w:val="auto"/>
                <w:highlight w:val="none"/>
              </w:rPr>
            </w:pPr>
          </w:p>
        </w:tc>
        <w:tc>
          <w:tcPr>
            <w:tcW w:w="1484" w:type="dxa"/>
            <w:vAlign w:val="top"/>
          </w:tcPr>
          <w:p w14:paraId="77AE0D87">
            <w:pPr>
              <w:pStyle w:val="7"/>
              <w:rPr>
                <w:color w:val="auto"/>
                <w:highlight w:val="none"/>
              </w:rPr>
            </w:pPr>
          </w:p>
        </w:tc>
        <w:tc>
          <w:tcPr>
            <w:tcW w:w="1493" w:type="dxa"/>
            <w:vAlign w:val="top"/>
          </w:tcPr>
          <w:p w14:paraId="057F8F21">
            <w:pPr>
              <w:pStyle w:val="7"/>
              <w:rPr>
                <w:color w:val="auto"/>
                <w:highlight w:val="none"/>
              </w:rPr>
            </w:pPr>
          </w:p>
        </w:tc>
      </w:tr>
      <w:tr w14:paraId="53CEFE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69CF127D">
            <w:pPr>
              <w:spacing w:before="178" w:line="184" w:lineRule="auto"/>
              <w:ind w:left="290"/>
              <w:rPr>
                <w:rFonts w:ascii="宋体" w:hAnsi="宋体" w:eastAsia="宋体" w:cs="宋体"/>
                <w:color w:val="auto"/>
                <w:sz w:val="18"/>
                <w:szCs w:val="18"/>
                <w:highlight w:val="none"/>
              </w:rPr>
            </w:pPr>
            <w:r>
              <w:rPr>
                <w:rFonts w:ascii="宋体" w:hAnsi="宋体" w:eastAsia="宋体" w:cs="宋体"/>
                <w:color w:val="auto"/>
                <w:spacing w:val="-11"/>
                <w:sz w:val="18"/>
                <w:szCs w:val="18"/>
                <w:highlight w:val="none"/>
              </w:rPr>
              <w:t>11</w:t>
            </w:r>
          </w:p>
        </w:tc>
        <w:tc>
          <w:tcPr>
            <w:tcW w:w="7785" w:type="dxa"/>
            <w:gridSpan w:val="5"/>
            <w:vAlign w:val="top"/>
          </w:tcPr>
          <w:p w14:paraId="24D2C408">
            <w:pPr>
              <w:spacing w:before="151" w:line="219" w:lineRule="auto"/>
              <w:ind w:left="10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保护装置的功率消耗</w:t>
            </w:r>
          </w:p>
        </w:tc>
      </w:tr>
      <w:tr w14:paraId="0068C0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40" w:hRule="atLeast"/>
        </w:trPr>
        <w:tc>
          <w:tcPr>
            <w:tcW w:w="741" w:type="dxa"/>
            <w:vAlign w:val="top"/>
          </w:tcPr>
          <w:p w14:paraId="4A737AE7">
            <w:pPr>
              <w:pStyle w:val="7"/>
              <w:spacing w:line="352" w:lineRule="auto"/>
              <w:rPr>
                <w:color w:val="auto"/>
                <w:highlight w:val="none"/>
              </w:rPr>
            </w:pPr>
          </w:p>
          <w:p w14:paraId="395D87D4">
            <w:pPr>
              <w:spacing w:before="58" w:line="184" w:lineRule="auto"/>
              <w:ind w:left="199"/>
              <w:rPr>
                <w:rFonts w:ascii="宋体" w:hAnsi="宋体" w:eastAsia="宋体" w:cs="宋体"/>
                <w:color w:val="auto"/>
                <w:sz w:val="18"/>
                <w:szCs w:val="18"/>
                <w:highlight w:val="none"/>
              </w:rPr>
            </w:pPr>
            <w:r>
              <w:rPr>
                <w:rFonts w:ascii="宋体" w:hAnsi="宋体" w:eastAsia="宋体" w:cs="宋体"/>
                <w:color w:val="auto"/>
                <w:sz w:val="18"/>
                <w:szCs w:val="18"/>
                <w:highlight w:val="none"/>
              </w:rPr>
              <w:t>11_1</w:t>
            </w:r>
          </w:p>
        </w:tc>
        <w:tc>
          <w:tcPr>
            <w:tcW w:w="2457" w:type="dxa"/>
            <w:vAlign w:val="top"/>
          </w:tcPr>
          <w:p w14:paraId="74E7370E">
            <w:pPr>
              <w:spacing w:before="153" w:line="219" w:lineRule="auto"/>
              <w:ind w:left="104"/>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交流电流回路</w:t>
            </w:r>
            <w:r>
              <w:rPr>
                <w:rFonts w:ascii="宋体" w:hAnsi="宋体" w:eastAsia="宋体" w:cs="宋体"/>
                <w:color w:val="auto"/>
                <w:spacing w:val="-28"/>
                <w:sz w:val="18"/>
                <w:szCs w:val="18"/>
                <w:highlight w:val="none"/>
              </w:rPr>
              <w:t xml:space="preserve"> </w:t>
            </w:r>
            <w:r>
              <w:rPr>
                <w:rFonts w:ascii="宋体" w:hAnsi="宋体" w:eastAsia="宋体" w:cs="宋体"/>
                <w:color w:val="auto"/>
                <w:spacing w:val="-3"/>
                <w:sz w:val="18"/>
                <w:szCs w:val="18"/>
                <w:highlight w:val="none"/>
              </w:rPr>
              <w:t>In=5A</w:t>
            </w:r>
            <w:r>
              <w:rPr>
                <w:rFonts w:ascii="宋体" w:hAnsi="宋体" w:eastAsia="宋体" w:cs="宋体"/>
                <w:color w:val="auto"/>
                <w:spacing w:val="-33"/>
                <w:sz w:val="18"/>
                <w:szCs w:val="18"/>
                <w:highlight w:val="none"/>
              </w:rPr>
              <w:t xml:space="preserve"> </w:t>
            </w:r>
            <w:r>
              <w:rPr>
                <w:rFonts w:ascii="宋体" w:hAnsi="宋体" w:eastAsia="宋体" w:cs="宋体"/>
                <w:color w:val="auto"/>
                <w:spacing w:val="-3"/>
                <w:sz w:val="18"/>
                <w:szCs w:val="18"/>
                <w:highlight w:val="none"/>
              </w:rPr>
              <w:t>时(每相</w:t>
            </w:r>
          </w:p>
          <w:p w14:paraId="3C2B544A">
            <w:pPr>
              <w:spacing w:before="254" w:line="220" w:lineRule="auto"/>
              <w:ind w:left="912"/>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不大于)</w:t>
            </w:r>
          </w:p>
        </w:tc>
        <w:tc>
          <w:tcPr>
            <w:tcW w:w="867" w:type="dxa"/>
            <w:vAlign w:val="top"/>
          </w:tcPr>
          <w:p w14:paraId="3CC064DD">
            <w:pPr>
              <w:pStyle w:val="7"/>
              <w:spacing w:line="352" w:lineRule="auto"/>
              <w:rPr>
                <w:color w:val="auto"/>
                <w:highlight w:val="none"/>
              </w:rPr>
            </w:pPr>
          </w:p>
          <w:p w14:paraId="17298883">
            <w:pPr>
              <w:spacing w:before="58" w:line="184" w:lineRule="auto"/>
              <w:ind w:left="33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VA</w:t>
            </w:r>
          </w:p>
        </w:tc>
        <w:tc>
          <w:tcPr>
            <w:tcW w:w="1484" w:type="dxa"/>
            <w:vAlign w:val="top"/>
          </w:tcPr>
          <w:p w14:paraId="2352327F">
            <w:pPr>
              <w:pStyle w:val="7"/>
              <w:rPr>
                <w:color w:val="auto"/>
                <w:highlight w:val="none"/>
              </w:rPr>
            </w:pPr>
          </w:p>
        </w:tc>
        <w:tc>
          <w:tcPr>
            <w:tcW w:w="1484" w:type="dxa"/>
            <w:vAlign w:val="top"/>
          </w:tcPr>
          <w:p w14:paraId="78320AE3">
            <w:pPr>
              <w:pStyle w:val="7"/>
              <w:rPr>
                <w:color w:val="auto"/>
                <w:highlight w:val="none"/>
              </w:rPr>
            </w:pPr>
          </w:p>
        </w:tc>
        <w:tc>
          <w:tcPr>
            <w:tcW w:w="1493" w:type="dxa"/>
            <w:vAlign w:val="top"/>
          </w:tcPr>
          <w:p w14:paraId="1FAB5CE9">
            <w:pPr>
              <w:pStyle w:val="7"/>
              <w:rPr>
                <w:color w:val="auto"/>
                <w:highlight w:val="none"/>
              </w:rPr>
            </w:pPr>
          </w:p>
        </w:tc>
      </w:tr>
      <w:tr w14:paraId="270E4D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7C246743">
            <w:pPr>
              <w:spacing w:before="180" w:line="184" w:lineRule="auto"/>
              <w:ind w:left="19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11_2</w:t>
            </w:r>
          </w:p>
        </w:tc>
        <w:tc>
          <w:tcPr>
            <w:tcW w:w="2457" w:type="dxa"/>
            <w:vAlign w:val="top"/>
          </w:tcPr>
          <w:p w14:paraId="49896A54">
            <w:pPr>
              <w:spacing w:before="153" w:line="219" w:lineRule="auto"/>
              <w:ind w:left="14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交流电压回路(每相不大于)</w:t>
            </w:r>
          </w:p>
        </w:tc>
        <w:tc>
          <w:tcPr>
            <w:tcW w:w="867" w:type="dxa"/>
            <w:vAlign w:val="top"/>
          </w:tcPr>
          <w:p w14:paraId="2DC638E6">
            <w:pPr>
              <w:spacing w:before="180" w:line="184" w:lineRule="auto"/>
              <w:ind w:left="33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VA</w:t>
            </w:r>
          </w:p>
        </w:tc>
        <w:tc>
          <w:tcPr>
            <w:tcW w:w="1484" w:type="dxa"/>
            <w:vAlign w:val="top"/>
          </w:tcPr>
          <w:p w14:paraId="5B0D6B01">
            <w:pPr>
              <w:pStyle w:val="7"/>
              <w:rPr>
                <w:color w:val="auto"/>
                <w:highlight w:val="none"/>
              </w:rPr>
            </w:pPr>
          </w:p>
        </w:tc>
        <w:tc>
          <w:tcPr>
            <w:tcW w:w="1484" w:type="dxa"/>
            <w:vAlign w:val="top"/>
          </w:tcPr>
          <w:p w14:paraId="08CCEA9F">
            <w:pPr>
              <w:pStyle w:val="7"/>
              <w:rPr>
                <w:color w:val="auto"/>
                <w:highlight w:val="none"/>
              </w:rPr>
            </w:pPr>
          </w:p>
        </w:tc>
        <w:tc>
          <w:tcPr>
            <w:tcW w:w="1493" w:type="dxa"/>
            <w:vAlign w:val="top"/>
          </w:tcPr>
          <w:p w14:paraId="2CAA4DAC">
            <w:pPr>
              <w:pStyle w:val="7"/>
              <w:rPr>
                <w:color w:val="auto"/>
                <w:highlight w:val="none"/>
              </w:rPr>
            </w:pPr>
          </w:p>
        </w:tc>
      </w:tr>
      <w:tr w14:paraId="37C7D2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09ED451B">
            <w:pPr>
              <w:pStyle w:val="7"/>
              <w:spacing w:line="303" w:lineRule="auto"/>
              <w:rPr>
                <w:color w:val="auto"/>
                <w:highlight w:val="none"/>
              </w:rPr>
            </w:pPr>
          </w:p>
          <w:p w14:paraId="13132CD9">
            <w:pPr>
              <w:pStyle w:val="7"/>
              <w:spacing w:line="303" w:lineRule="auto"/>
              <w:rPr>
                <w:color w:val="auto"/>
                <w:highlight w:val="none"/>
              </w:rPr>
            </w:pPr>
          </w:p>
          <w:p w14:paraId="0AA4A289">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11_3</w:t>
            </w:r>
          </w:p>
        </w:tc>
        <w:tc>
          <w:tcPr>
            <w:tcW w:w="2457" w:type="dxa"/>
            <w:vAlign w:val="top"/>
          </w:tcPr>
          <w:p w14:paraId="61E06EBC">
            <w:pPr>
              <w:spacing w:before="152" w:line="219" w:lineRule="auto"/>
              <w:ind w:left="68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直流电源回路</w:t>
            </w:r>
          </w:p>
        </w:tc>
        <w:tc>
          <w:tcPr>
            <w:tcW w:w="867" w:type="dxa"/>
            <w:vAlign w:val="top"/>
          </w:tcPr>
          <w:p w14:paraId="197430F0">
            <w:pPr>
              <w:pStyle w:val="7"/>
              <w:rPr>
                <w:color w:val="auto"/>
                <w:highlight w:val="none"/>
              </w:rPr>
            </w:pPr>
          </w:p>
        </w:tc>
        <w:tc>
          <w:tcPr>
            <w:tcW w:w="1484" w:type="dxa"/>
            <w:vAlign w:val="top"/>
          </w:tcPr>
          <w:p w14:paraId="3937FB66">
            <w:pPr>
              <w:pStyle w:val="7"/>
              <w:rPr>
                <w:color w:val="auto"/>
                <w:highlight w:val="none"/>
              </w:rPr>
            </w:pPr>
          </w:p>
        </w:tc>
        <w:tc>
          <w:tcPr>
            <w:tcW w:w="1484" w:type="dxa"/>
            <w:vAlign w:val="top"/>
          </w:tcPr>
          <w:p w14:paraId="6045E9EE">
            <w:pPr>
              <w:pStyle w:val="7"/>
              <w:rPr>
                <w:color w:val="auto"/>
                <w:highlight w:val="none"/>
              </w:rPr>
            </w:pPr>
          </w:p>
        </w:tc>
        <w:tc>
          <w:tcPr>
            <w:tcW w:w="1493" w:type="dxa"/>
            <w:vAlign w:val="top"/>
          </w:tcPr>
          <w:p w14:paraId="366A1331">
            <w:pPr>
              <w:pStyle w:val="7"/>
              <w:rPr>
                <w:color w:val="auto"/>
                <w:highlight w:val="none"/>
              </w:rPr>
            </w:pPr>
          </w:p>
        </w:tc>
      </w:tr>
      <w:tr w14:paraId="217AC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Merge w:val="continue"/>
            <w:tcBorders>
              <w:top w:val="nil"/>
              <w:bottom w:val="nil"/>
            </w:tcBorders>
            <w:vAlign w:val="top"/>
          </w:tcPr>
          <w:p w14:paraId="54F26DE3">
            <w:pPr>
              <w:pStyle w:val="7"/>
              <w:rPr>
                <w:color w:val="auto"/>
                <w:highlight w:val="none"/>
              </w:rPr>
            </w:pPr>
          </w:p>
        </w:tc>
        <w:tc>
          <w:tcPr>
            <w:tcW w:w="2457" w:type="dxa"/>
            <w:vAlign w:val="top"/>
          </w:tcPr>
          <w:p w14:paraId="481CF9CF">
            <w:pPr>
              <w:spacing w:before="154" w:line="220" w:lineRule="auto"/>
              <w:ind w:left="33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当正常工作时(不大于)</w:t>
            </w:r>
          </w:p>
        </w:tc>
        <w:tc>
          <w:tcPr>
            <w:tcW w:w="867" w:type="dxa"/>
            <w:vAlign w:val="top"/>
          </w:tcPr>
          <w:p w14:paraId="684D1F8B">
            <w:pPr>
              <w:spacing w:before="184" w:line="182" w:lineRule="auto"/>
              <w:ind w:left="381"/>
              <w:rPr>
                <w:rFonts w:ascii="宋体" w:hAnsi="宋体" w:eastAsia="宋体" w:cs="宋体"/>
                <w:color w:val="auto"/>
                <w:sz w:val="18"/>
                <w:szCs w:val="18"/>
                <w:highlight w:val="none"/>
              </w:rPr>
            </w:pPr>
            <w:r>
              <w:rPr>
                <w:rFonts w:ascii="宋体" w:hAnsi="宋体" w:eastAsia="宋体" w:cs="宋体"/>
                <w:color w:val="auto"/>
                <w:sz w:val="18"/>
                <w:szCs w:val="18"/>
                <w:highlight w:val="none"/>
              </w:rPr>
              <w:t>W</w:t>
            </w:r>
          </w:p>
        </w:tc>
        <w:tc>
          <w:tcPr>
            <w:tcW w:w="1484" w:type="dxa"/>
            <w:vAlign w:val="top"/>
          </w:tcPr>
          <w:p w14:paraId="5DD1ED69">
            <w:pPr>
              <w:pStyle w:val="7"/>
              <w:rPr>
                <w:color w:val="auto"/>
                <w:highlight w:val="none"/>
              </w:rPr>
            </w:pPr>
          </w:p>
        </w:tc>
        <w:tc>
          <w:tcPr>
            <w:tcW w:w="1484" w:type="dxa"/>
            <w:vAlign w:val="top"/>
          </w:tcPr>
          <w:p w14:paraId="303FB1F7">
            <w:pPr>
              <w:pStyle w:val="7"/>
              <w:rPr>
                <w:color w:val="auto"/>
                <w:highlight w:val="none"/>
              </w:rPr>
            </w:pPr>
          </w:p>
        </w:tc>
        <w:tc>
          <w:tcPr>
            <w:tcW w:w="1493" w:type="dxa"/>
            <w:vAlign w:val="top"/>
          </w:tcPr>
          <w:p w14:paraId="321EBD63">
            <w:pPr>
              <w:pStyle w:val="7"/>
              <w:rPr>
                <w:color w:val="auto"/>
                <w:highlight w:val="none"/>
              </w:rPr>
            </w:pPr>
          </w:p>
        </w:tc>
      </w:tr>
      <w:tr w14:paraId="2A2FD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0" w:hRule="atLeast"/>
        </w:trPr>
        <w:tc>
          <w:tcPr>
            <w:tcW w:w="741" w:type="dxa"/>
            <w:vMerge w:val="continue"/>
            <w:tcBorders>
              <w:top w:val="nil"/>
            </w:tcBorders>
            <w:vAlign w:val="top"/>
          </w:tcPr>
          <w:p w14:paraId="725C0691">
            <w:pPr>
              <w:pStyle w:val="7"/>
              <w:rPr>
                <w:color w:val="auto"/>
                <w:highlight w:val="none"/>
              </w:rPr>
            </w:pPr>
          </w:p>
        </w:tc>
        <w:tc>
          <w:tcPr>
            <w:tcW w:w="2457" w:type="dxa"/>
            <w:vAlign w:val="top"/>
          </w:tcPr>
          <w:p w14:paraId="775C82C0">
            <w:pPr>
              <w:spacing w:before="154" w:line="220" w:lineRule="auto"/>
              <w:ind w:left="33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当保护工作时(不大于)</w:t>
            </w:r>
          </w:p>
        </w:tc>
        <w:tc>
          <w:tcPr>
            <w:tcW w:w="867" w:type="dxa"/>
            <w:vAlign w:val="top"/>
          </w:tcPr>
          <w:p w14:paraId="1B475EDA">
            <w:pPr>
              <w:spacing w:before="183" w:line="182" w:lineRule="auto"/>
              <w:ind w:left="381"/>
              <w:rPr>
                <w:rFonts w:ascii="宋体" w:hAnsi="宋体" w:eastAsia="宋体" w:cs="宋体"/>
                <w:color w:val="auto"/>
                <w:sz w:val="18"/>
                <w:szCs w:val="18"/>
                <w:highlight w:val="none"/>
              </w:rPr>
            </w:pPr>
            <w:r>
              <w:rPr>
                <w:rFonts w:ascii="宋体" w:hAnsi="宋体" w:eastAsia="宋体" w:cs="宋体"/>
                <w:color w:val="auto"/>
                <w:sz w:val="18"/>
                <w:szCs w:val="18"/>
                <w:highlight w:val="none"/>
              </w:rPr>
              <w:t>W</w:t>
            </w:r>
          </w:p>
        </w:tc>
        <w:tc>
          <w:tcPr>
            <w:tcW w:w="1484" w:type="dxa"/>
            <w:vAlign w:val="top"/>
          </w:tcPr>
          <w:p w14:paraId="437D131D">
            <w:pPr>
              <w:pStyle w:val="7"/>
              <w:rPr>
                <w:color w:val="auto"/>
                <w:highlight w:val="none"/>
              </w:rPr>
            </w:pPr>
          </w:p>
        </w:tc>
        <w:tc>
          <w:tcPr>
            <w:tcW w:w="1484" w:type="dxa"/>
            <w:vAlign w:val="top"/>
          </w:tcPr>
          <w:p w14:paraId="2450A292">
            <w:pPr>
              <w:pStyle w:val="7"/>
              <w:rPr>
                <w:color w:val="auto"/>
                <w:highlight w:val="none"/>
              </w:rPr>
            </w:pPr>
          </w:p>
        </w:tc>
        <w:tc>
          <w:tcPr>
            <w:tcW w:w="1493" w:type="dxa"/>
            <w:vAlign w:val="top"/>
          </w:tcPr>
          <w:p w14:paraId="4FDE54B5">
            <w:pPr>
              <w:pStyle w:val="7"/>
              <w:rPr>
                <w:color w:val="auto"/>
                <w:highlight w:val="none"/>
              </w:rPr>
            </w:pPr>
          </w:p>
        </w:tc>
      </w:tr>
    </w:tbl>
    <w:p w14:paraId="5389334F">
      <w:pPr>
        <w:pStyle w:val="3"/>
        <w:rPr>
          <w:color w:val="auto"/>
          <w:highlight w:val="none"/>
        </w:rPr>
      </w:pPr>
    </w:p>
    <w:p w14:paraId="4A69678F">
      <w:pPr>
        <w:rPr>
          <w:color w:val="auto"/>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1CAEBB3F">
      <w:pPr>
        <w:spacing w:line="91" w:lineRule="auto"/>
        <w:rPr>
          <w:rFonts w:ascii="Arial"/>
          <w:color w:val="auto"/>
          <w:sz w:val="2"/>
          <w:highlight w:val="none"/>
        </w:rPr>
      </w:pPr>
    </w:p>
    <w:tbl>
      <w:tblPr>
        <w:tblStyle w:val="6"/>
        <w:tblW w:w="852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41"/>
        <w:gridCol w:w="2457"/>
        <w:gridCol w:w="867"/>
        <w:gridCol w:w="1484"/>
        <w:gridCol w:w="1484"/>
        <w:gridCol w:w="1493"/>
      </w:tblGrid>
      <w:tr w14:paraId="312FEC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00D11313">
            <w:pPr>
              <w:spacing w:before="147"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57" w:type="dxa"/>
            <w:vAlign w:val="top"/>
          </w:tcPr>
          <w:p w14:paraId="4FB0BE56">
            <w:pPr>
              <w:spacing w:before="148" w:line="221" w:lineRule="auto"/>
              <w:ind w:left="104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867" w:type="dxa"/>
            <w:vAlign w:val="top"/>
          </w:tcPr>
          <w:p w14:paraId="29350A06">
            <w:pPr>
              <w:spacing w:before="148" w:line="220" w:lineRule="auto"/>
              <w:ind w:left="25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484" w:type="dxa"/>
            <w:vAlign w:val="top"/>
          </w:tcPr>
          <w:p w14:paraId="55DA4D9D">
            <w:pPr>
              <w:spacing w:before="148" w:line="219" w:lineRule="auto"/>
              <w:ind w:left="47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要求值</w:t>
            </w:r>
          </w:p>
        </w:tc>
        <w:tc>
          <w:tcPr>
            <w:tcW w:w="1484" w:type="dxa"/>
            <w:vAlign w:val="top"/>
          </w:tcPr>
          <w:p w14:paraId="0527BFF5">
            <w:pPr>
              <w:spacing w:before="147" w:line="219" w:lineRule="auto"/>
              <w:ind w:left="20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投标方提供值</w:t>
            </w:r>
          </w:p>
        </w:tc>
        <w:tc>
          <w:tcPr>
            <w:tcW w:w="1493" w:type="dxa"/>
            <w:vAlign w:val="top"/>
          </w:tcPr>
          <w:p w14:paraId="355DF3CF">
            <w:pPr>
              <w:spacing w:before="147" w:line="221" w:lineRule="auto"/>
              <w:ind w:left="56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58A38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6E9CD102">
            <w:pPr>
              <w:spacing w:before="168" w:line="184" w:lineRule="auto"/>
              <w:ind w:left="290"/>
              <w:rPr>
                <w:rFonts w:ascii="宋体" w:hAnsi="宋体" w:eastAsia="宋体" w:cs="宋体"/>
                <w:color w:val="auto"/>
                <w:sz w:val="18"/>
                <w:szCs w:val="18"/>
                <w:highlight w:val="none"/>
              </w:rPr>
            </w:pPr>
            <w:r>
              <w:rPr>
                <w:rFonts w:ascii="宋体" w:hAnsi="宋体" w:eastAsia="宋体" w:cs="宋体"/>
                <w:color w:val="auto"/>
                <w:spacing w:val="-11"/>
                <w:sz w:val="18"/>
                <w:szCs w:val="18"/>
                <w:highlight w:val="none"/>
              </w:rPr>
              <w:t>12</w:t>
            </w:r>
          </w:p>
        </w:tc>
        <w:tc>
          <w:tcPr>
            <w:tcW w:w="7785" w:type="dxa"/>
            <w:gridSpan w:val="5"/>
            <w:vAlign w:val="top"/>
          </w:tcPr>
          <w:p w14:paraId="3120DCA5">
            <w:pPr>
              <w:spacing w:before="141" w:line="219" w:lineRule="auto"/>
              <w:ind w:left="10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保护装置过载能力</w:t>
            </w:r>
          </w:p>
        </w:tc>
      </w:tr>
      <w:tr w14:paraId="2D6709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76A69A81">
            <w:pPr>
              <w:pStyle w:val="7"/>
              <w:spacing w:line="295" w:lineRule="auto"/>
              <w:rPr>
                <w:color w:val="auto"/>
                <w:highlight w:val="none"/>
              </w:rPr>
            </w:pPr>
          </w:p>
          <w:p w14:paraId="17E172D8">
            <w:pPr>
              <w:pStyle w:val="7"/>
              <w:spacing w:line="295" w:lineRule="auto"/>
              <w:rPr>
                <w:color w:val="auto"/>
                <w:highlight w:val="none"/>
              </w:rPr>
            </w:pPr>
          </w:p>
          <w:p w14:paraId="7C9CC029">
            <w:pPr>
              <w:pStyle w:val="7"/>
              <w:spacing w:line="296" w:lineRule="auto"/>
              <w:rPr>
                <w:color w:val="auto"/>
                <w:highlight w:val="none"/>
              </w:rPr>
            </w:pPr>
          </w:p>
          <w:p w14:paraId="652B8D0A">
            <w:pPr>
              <w:pStyle w:val="7"/>
              <w:spacing w:line="296" w:lineRule="auto"/>
              <w:rPr>
                <w:color w:val="auto"/>
                <w:highlight w:val="none"/>
              </w:rPr>
            </w:pPr>
          </w:p>
          <w:p w14:paraId="2448340D">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z w:val="18"/>
                <w:szCs w:val="18"/>
                <w:highlight w:val="none"/>
              </w:rPr>
              <w:t>12_1</w:t>
            </w:r>
          </w:p>
        </w:tc>
        <w:tc>
          <w:tcPr>
            <w:tcW w:w="2457" w:type="dxa"/>
            <w:vAlign w:val="top"/>
          </w:tcPr>
          <w:p w14:paraId="33A22093">
            <w:pPr>
              <w:spacing w:before="141" w:line="219" w:lineRule="auto"/>
              <w:ind w:left="68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交流电流回路</w:t>
            </w:r>
          </w:p>
        </w:tc>
        <w:tc>
          <w:tcPr>
            <w:tcW w:w="867" w:type="dxa"/>
            <w:vAlign w:val="top"/>
          </w:tcPr>
          <w:p w14:paraId="21A8A22A">
            <w:pPr>
              <w:pStyle w:val="7"/>
              <w:rPr>
                <w:color w:val="auto"/>
                <w:highlight w:val="none"/>
              </w:rPr>
            </w:pPr>
          </w:p>
        </w:tc>
        <w:tc>
          <w:tcPr>
            <w:tcW w:w="1484" w:type="dxa"/>
            <w:vAlign w:val="top"/>
          </w:tcPr>
          <w:p w14:paraId="76973EA7">
            <w:pPr>
              <w:pStyle w:val="7"/>
              <w:rPr>
                <w:color w:val="auto"/>
                <w:highlight w:val="none"/>
              </w:rPr>
            </w:pPr>
          </w:p>
        </w:tc>
        <w:tc>
          <w:tcPr>
            <w:tcW w:w="1484" w:type="dxa"/>
            <w:vAlign w:val="top"/>
          </w:tcPr>
          <w:p w14:paraId="031A9D88">
            <w:pPr>
              <w:pStyle w:val="7"/>
              <w:rPr>
                <w:color w:val="auto"/>
                <w:highlight w:val="none"/>
              </w:rPr>
            </w:pPr>
          </w:p>
        </w:tc>
        <w:tc>
          <w:tcPr>
            <w:tcW w:w="1493" w:type="dxa"/>
            <w:vAlign w:val="top"/>
          </w:tcPr>
          <w:p w14:paraId="49633E9C">
            <w:pPr>
              <w:pStyle w:val="7"/>
              <w:rPr>
                <w:color w:val="auto"/>
                <w:highlight w:val="none"/>
              </w:rPr>
            </w:pPr>
          </w:p>
        </w:tc>
      </w:tr>
      <w:tr w14:paraId="423EF2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4" w:hRule="atLeast"/>
        </w:trPr>
        <w:tc>
          <w:tcPr>
            <w:tcW w:w="741" w:type="dxa"/>
            <w:vMerge w:val="continue"/>
            <w:tcBorders>
              <w:top w:val="nil"/>
              <w:bottom w:val="nil"/>
            </w:tcBorders>
            <w:vAlign w:val="top"/>
          </w:tcPr>
          <w:p w14:paraId="60C0050B">
            <w:pPr>
              <w:pStyle w:val="7"/>
              <w:rPr>
                <w:color w:val="auto"/>
                <w:highlight w:val="none"/>
              </w:rPr>
            </w:pPr>
          </w:p>
        </w:tc>
        <w:tc>
          <w:tcPr>
            <w:tcW w:w="2457" w:type="dxa"/>
            <w:vAlign w:val="top"/>
          </w:tcPr>
          <w:p w14:paraId="166C6D6E">
            <w:pPr>
              <w:spacing w:before="258" w:line="220" w:lineRule="auto"/>
              <w:ind w:left="86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连续工作</w:t>
            </w:r>
          </w:p>
        </w:tc>
        <w:tc>
          <w:tcPr>
            <w:tcW w:w="867" w:type="dxa"/>
            <w:vAlign w:val="top"/>
          </w:tcPr>
          <w:p w14:paraId="0B1D6D65">
            <w:pPr>
              <w:pStyle w:val="7"/>
              <w:rPr>
                <w:color w:val="auto"/>
                <w:highlight w:val="none"/>
              </w:rPr>
            </w:pPr>
          </w:p>
        </w:tc>
        <w:tc>
          <w:tcPr>
            <w:tcW w:w="1484" w:type="dxa"/>
            <w:vAlign w:val="top"/>
          </w:tcPr>
          <w:p w14:paraId="6E4B3920">
            <w:pPr>
              <w:pStyle w:val="7"/>
              <w:rPr>
                <w:color w:val="auto"/>
                <w:highlight w:val="none"/>
              </w:rPr>
            </w:pPr>
          </w:p>
        </w:tc>
        <w:tc>
          <w:tcPr>
            <w:tcW w:w="1484" w:type="dxa"/>
            <w:vAlign w:val="top"/>
          </w:tcPr>
          <w:p w14:paraId="02F4624A">
            <w:pPr>
              <w:pStyle w:val="7"/>
              <w:rPr>
                <w:color w:val="auto"/>
                <w:highlight w:val="none"/>
              </w:rPr>
            </w:pPr>
          </w:p>
        </w:tc>
        <w:tc>
          <w:tcPr>
            <w:tcW w:w="1493" w:type="dxa"/>
            <w:vAlign w:val="top"/>
          </w:tcPr>
          <w:p w14:paraId="61E66265">
            <w:pPr>
              <w:spacing w:before="25" w:line="343" w:lineRule="auto"/>
              <w:ind w:left="298" w:right="106" w:hanging="17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几倍额定电流下</w:t>
            </w:r>
            <w:r>
              <w:rPr>
                <w:rFonts w:ascii="宋体" w:hAnsi="宋体" w:eastAsia="宋体" w:cs="宋体"/>
                <w:color w:val="auto"/>
                <w:spacing w:val="2"/>
                <w:sz w:val="18"/>
                <w:szCs w:val="18"/>
                <w:highlight w:val="none"/>
              </w:rPr>
              <w:t xml:space="preserve"> </w:t>
            </w:r>
            <w:r>
              <w:rPr>
                <w:rFonts w:ascii="宋体" w:hAnsi="宋体" w:eastAsia="宋体" w:cs="宋体"/>
                <w:color w:val="auto"/>
                <w:spacing w:val="-2"/>
                <w:sz w:val="18"/>
                <w:szCs w:val="18"/>
                <w:highlight w:val="none"/>
              </w:rPr>
              <w:t>可连续工作</w:t>
            </w:r>
          </w:p>
        </w:tc>
      </w:tr>
      <w:tr w14:paraId="253B4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5" w:hRule="atLeast"/>
        </w:trPr>
        <w:tc>
          <w:tcPr>
            <w:tcW w:w="741" w:type="dxa"/>
            <w:vMerge w:val="continue"/>
            <w:tcBorders>
              <w:top w:val="nil"/>
              <w:bottom w:val="nil"/>
            </w:tcBorders>
            <w:vAlign w:val="top"/>
          </w:tcPr>
          <w:p w14:paraId="6CEBE96D">
            <w:pPr>
              <w:pStyle w:val="7"/>
              <w:rPr>
                <w:color w:val="auto"/>
                <w:highlight w:val="none"/>
              </w:rPr>
            </w:pPr>
          </w:p>
        </w:tc>
        <w:tc>
          <w:tcPr>
            <w:tcW w:w="2457" w:type="dxa"/>
            <w:vAlign w:val="top"/>
          </w:tcPr>
          <w:p w14:paraId="10F54281">
            <w:pPr>
              <w:spacing w:before="260" w:line="219" w:lineRule="auto"/>
              <w:ind w:left="711"/>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允许工作</w:t>
            </w:r>
            <w:r>
              <w:rPr>
                <w:rFonts w:ascii="宋体" w:hAnsi="宋体" w:eastAsia="宋体" w:cs="宋体"/>
                <w:color w:val="auto"/>
                <w:spacing w:val="-23"/>
                <w:sz w:val="18"/>
                <w:szCs w:val="18"/>
                <w:highlight w:val="none"/>
              </w:rPr>
              <w:t xml:space="preserve"> </w:t>
            </w:r>
            <w:r>
              <w:rPr>
                <w:rFonts w:ascii="宋体" w:hAnsi="宋体" w:eastAsia="宋体" w:cs="宋体"/>
                <w:color w:val="auto"/>
                <w:spacing w:val="-5"/>
                <w:sz w:val="18"/>
                <w:szCs w:val="18"/>
                <w:highlight w:val="none"/>
              </w:rPr>
              <w:t>10s</w:t>
            </w:r>
          </w:p>
        </w:tc>
        <w:tc>
          <w:tcPr>
            <w:tcW w:w="867" w:type="dxa"/>
            <w:vAlign w:val="top"/>
          </w:tcPr>
          <w:p w14:paraId="5C39C02C">
            <w:pPr>
              <w:pStyle w:val="7"/>
              <w:rPr>
                <w:color w:val="auto"/>
                <w:highlight w:val="none"/>
              </w:rPr>
            </w:pPr>
          </w:p>
        </w:tc>
        <w:tc>
          <w:tcPr>
            <w:tcW w:w="1484" w:type="dxa"/>
            <w:vAlign w:val="top"/>
          </w:tcPr>
          <w:p w14:paraId="44BC21DB">
            <w:pPr>
              <w:pStyle w:val="7"/>
              <w:rPr>
                <w:color w:val="auto"/>
                <w:highlight w:val="none"/>
              </w:rPr>
            </w:pPr>
          </w:p>
        </w:tc>
        <w:tc>
          <w:tcPr>
            <w:tcW w:w="1484" w:type="dxa"/>
            <w:vAlign w:val="top"/>
          </w:tcPr>
          <w:p w14:paraId="68960661">
            <w:pPr>
              <w:pStyle w:val="7"/>
              <w:rPr>
                <w:color w:val="auto"/>
                <w:highlight w:val="none"/>
              </w:rPr>
            </w:pPr>
          </w:p>
        </w:tc>
        <w:tc>
          <w:tcPr>
            <w:tcW w:w="1493" w:type="dxa"/>
            <w:vAlign w:val="top"/>
          </w:tcPr>
          <w:p w14:paraId="20C060F5">
            <w:pPr>
              <w:spacing w:before="26" w:line="343" w:lineRule="auto"/>
              <w:ind w:left="392" w:right="106" w:hanging="271"/>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几倍额定电流下</w:t>
            </w:r>
            <w:r>
              <w:rPr>
                <w:rFonts w:ascii="宋体" w:hAnsi="宋体" w:eastAsia="宋体" w:cs="宋体"/>
                <w:color w:val="auto"/>
                <w:spacing w:val="2"/>
                <w:sz w:val="18"/>
                <w:szCs w:val="18"/>
                <w:highlight w:val="none"/>
              </w:rPr>
              <w:t xml:space="preserve"> </w:t>
            </w:r>
            <w:r>
              <w:rPr>
                <w:rFonts w:ascii="宋体" w:hAnsi="宋体" w:eastAsia="宋体" w:cs="宋体"/>
                <w:color w:val="auto"/>
                <w:spacing w:val="-4"/>
                <w:sz w:val="18"/>
                <w:szCs w:val="18"/>
                <w:highlight w:val="none"/>
              </w:rPr>
              <w:t>允许工作</w:t>
            </w:r>
          </w:p>
        </w:tc>
      </w:tr>
      <w:tr w14:paraId="3860E6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4" w:hRule="atLeast"/>
        </w:trPr>
        <w:tc>
          <w:tcPr>
            <w:tcW w:w="741" w:type="dxa"/>
            <w:vMerge w:val="continue"/>
            <w:tcBorders>
              <w:top w:val="nil"/>
            </w:tcBorders>
            <w:vAlign w:val="top"/>
          </w:tcPr>
          <w:p w14:paraId="3EEA0603">
            <w:pPr>
              <w:pStyle w:val="7"/>
              <w:rPr>
                <w:color w:val="auto"/>
                <w:highlight w:val="none"/>
              </w:rPr>
            </w:pPr>
          </w:p>
        </w:tc>
        <w:tc>
          <w:tcPr>
            <w:tcW w:w="2457" w:type="dxa"/>
            <w:vAlign w:val="top"/>
          </w:tcPr>
          <w:p w14:paraId="074B3B47">
            <w:pPr>
              <w:spacing w:before="260" w:line="219" w:lineRule="auto"/>
              <w:ind w:left="757"/>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允许工作</w:t>
            </w:r>
            <w:r>
              <w:rPr>
                <w:rFonts w:ascii="宋体" w:hAnsi="宋体" w:eastAsia="宋体" w:cs="宋体"/>
                <w:color w:val="auto"/>
                <w:spacing w:val="-25"/>
                <w:sz w:val="18"/>
                <w:szCs w:val="18"/>
                <w:highlight w:val="none"/>
              </w:rPr>
              <w:t xml:space="preserve"> </w:t>
            </w:r>
            <w:r>
              <w:rPr>
                <w:rFonts w:ascii="宋体" w:hAnsi="宋体" w:eastAsia="宋体" w:cs="宋体"/>
                <w:color w:val="auto"/>
                <w:spacing w:val="-3"/>
                <w:sz w:val="18"/>
                <w:szCs w:val="18"/>
                <w:highlight w:val="none"/>
              </w:rPr>
              <w:t>1s</w:t>
            </w:r>
          </w:p>
        </w:tc>
        <w:tc>
          <w:tcPr>
            <w:tcW w:w="867" w:type="dxa"/>
            <w:vAlign w:val="top"/>
          </w:tcPr>
          <w:p w14:paraId="58371D8F">
            <w:pPr>
              <w:pStyle w:val="7"/>
              <w:rPr>
                <w:color w:val="auto"/>
                <w:highlight w:val="none"/>
              </w:rPr>
            </w:pPr>
          </w:p>
        </w:tc>
        <w:tc>
          <w:tcPr>
            <w:tcW w:w="1484" w:type="dxa"/>
            <w:vAlign w:val="top"/>
          </w:tcPr>
          <w:p w14:paraId="5518A544">
            <w:pPr>
              <w:pStyle w:val="7"/>
              <w:rPr>
                <w:color w:val="auto"/>
                <w:highlight w:val="none"/>
              </w:rPr>
            </w:pPr>
          </w:p>
        </w:tc>
        <w:tc>
          <w:tcPr>
            <w:tcW w:w="1484" w:type="dxa"/>
            <w:vAlign w:val="top"/>
          </w:tcPr>
          <w:p w14:paraId="71FA2BE2">
            <w:pPr>
              <w:pStyle w:val="7"/>
              <w:rPr>
                <w:color w:val="auto"/>
                <w:highlight w:val="none"/>
              </w:rPr>
            </w:pPr>
          </w:p>
        </w:tc>
        <w:tc>
          <w:tcPr>
            <w:tcW w:w="1493" w:type="dxa"/>
            <w:vAlign w:val="top"/>
          </w:tcPr>
          <w:p w14:paraId="490CAA6A">
            <w:pPr>
              <w:spacing w:before="27" w:line="342" w:lineRule="auto"/>
              <w:ind w:left="392" w:right="106" w:hanging="271"/>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几倍额定电流下</w:t>
            </w:r>
            <w:r>
              <w:rPr>
                <w:rFonts w:ascii="宋体" w:hAnsi="宋体" w:eastAsia="宋体" w:cs="宋体"/>
                <w:color w:val="auto"/>
                <w:spacing w:val="2"/>
                <w:sz w:val="18"/>
                <w:szCs w:val="18"/>
                <w:highlight w:val="none"/>
              </w:rPr>
              <w:t xml:space="preserve"> </w:t>
            </w:r>
            <w:r>
              <w:rPr>
                <w:rFonts w:ascii="宋体" w:hAnsi="宋体" w:eastAsia="宋体" w:cs="宋体"/>
                <w:color w:val="auto"/>
                <w:spacing w:val="-4"/>
                <w:sz w:val="18"/>
                <w:szCs w:val="18"/>
                <w:highlight w:val="none"/>
              </w:rPr>
              <w:t>允许工作</w:t>
            </w:r>
          </w:p>
        </w:tc>
      </w:tr>
      <w:tr w14:paraId="5DA042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restart"/>
            <w:tcBorders>
              <w:bottom w:val="nil"/>
            </w:tcBorders>
            <w:vAlign w:val="top"/>
          </w:tcPr>
          <w:p w14:paraId="3CD51BED">
            <w:pPr>
              <w:pStyle w:val="7"/>
              <w:spacing w:line="356" w:lineRule="auto"/>
              <w:rPr>
                <w:color w:val="auto"/>
                <w:highlight w:val="none"/>
              </w:rPr>
            </w:pPr>
          </w:p>
          <w:p w14:paraId="704F51B9">
            <w:pPr>
              <w:pStyle w:val="7"/>
              <w:spacing w:line="356" w:lineRule="auto"/>
              <w:rPr>
                <w:color w:val="auto"/>
                <w:highlight w:val="none"/>
              </w:rPr>
            </w:pPr>
          </w:p>
          <w:p w14:paraId="5906488E">
            <w:pPr>
              <w:spacing w:before="58" w:line="184" w:lineRule="auto"/>
              <w:ind w:left="19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12_2</w:t>
            </w:r>
          </w:p>
        </w:tc>
        <w:tc>
          <w:tcPr>
            <w:tcW w:w="2457" w:type="dxa"/>
            <w:vAlign w:val="top"/>
          </w:tcPr>
          <w:p w14:paraId="04686D21">
            <w:pPr>
              <w:spacing w:before="143" w:line="219" w:lineRule="auto"/>
              <w:ind w:left="68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交流电压回路</w:t>
            </w:r>
          </w:p>
        </w:tc>
        <w:tc>
          <w:tcPr>
            <w:tcW w:w="867" w:type="dxa"/>
            <w:vAlign w:val="top"/>
          </w:tcPr>
          <w:p w14:paraId="59421869">
            <w:pPr>
              <w:pStyle w:val="7"/>
              <w:rPr>
                <w:color w:val="auto"/>
                <w:highlight w:val="none"/>
              </w:rPr>
            </w:pPr>
          </w:p>
        </w:tc>
        <w:tc>
          <w:tcPr>
            <w:tcW w:w="1484" w:type="dxa"/>
            <w:vAlign w:val="top"/>
          </w:tcPr>
          <w:p w14:paraId="09A1E537">
            <w:pPr>
              <w:pStyle w:val="7"/>
              <w:rPr>
                <w:color w:val="auto"/>
                <w:highlight w:val="none"/>
              </w:rPr>
            </w:pPr>
          </w:p>
        </w:tc>
        <w:tc>
          <w:tcPr>
            <w:tcW w:w="1484" w:type="dxa"/>
            <w:vAlign w:val="top"/>
          </w:tcPr>
          <w:p w14:paraId="1B058ED6">
            <w:pPr>
              <w:pStyle w:val="7"/>
              <w:rPr>
                <w:color w:val="auto"/>
                <w:highlight w:val="none"/>
              </w:rPr>
            </w:pPr>
          </w:p>
        </w:tc>
        <w:tc>
          <w:tcPr>
            <w:tcW w:w="1493" w:type="dxa"/>
            <w:vAlign w:val="top"/>
          </w:tcPr>
          <w:p w14:paraId="361C970C">
            <w:pPr>
              <w:pStyle w:val="7"/>
              <w:rPr>
                <w:color w:val="auto"/>
                <w:highlight w:val="none"/>
              </w:rPr>
            </w:pPr>
          </w:p>
        </w:tc>
      </w:tr>
      <w:tr w14:paraId="35C159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4" w:hRule="atLeast"/>
        </w:trPr>
        <w:tc>
          <w:tcPr>
            <w:tcW w:w="741" w:type="dxa"/>
            <w:vMerge w:val="continue"/>
            <w:tcBorders>
              <w:top w:val="nil"/>
              <w:bottom w:val="nil"/>
            </w:tcBorders>
            <w:vAlign w:val="top"/>
          </w:tcPr>
          <w:p w14:paraId="27B7BA97">
            <w:pPr>
              <w:pStyle w:val="7"/>
              <w:rPr>
                <w:color w:val="auto"/>
                <w:highlight w:val="none"/>
              </w:rPr>
            </w:pPr>
          </w:p>
        </w:tc>
        <w:tc>
          <w:tcPr>
            <w:tcW w:w="2457" w:type="dxa"/>
            <w:vMerge w:val="restart"/>
            <w:tcBorders>
              <w:bottom w:val="nil"/>
            </w:tcBorders>
            <w:vAlign w:val="top"/>
          </w:tcPr>
          <w:p w14:paraId="4157E075">
            <w:pPr>
              <w:pStyle w:val="7"/>
              <w:spacing w:line="444" w:lineRule="auto"/>
              <w:rPr>
                <w:color w:val="auto"/>
                <w:highlight w:val="none"/>
              </w:rPr>
            </w:pPr>
          </w:p>
          <w:p w14:paraId="66861D9B">
            <w:pPr>
              <w:spacing w:before="59" w:line="220" w:lineRule="auto"/>
              <w:ind w:left="86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连续工作</w:t>
            </w:r>
          </w:p>
        </w:tc>
        <w:tc>
          <w:tcPr>
            <w:tcW w:w="867" w:type="dxa"/>
            <w:vMerge w:val="restart"/>
            <w:tcBorders>
              <w:bottom w:val="nil"/>
            </w:tcBorders>
            <w:vAlign w:val="top"/>
          </w:tcPr>
          <w:p w14:paraId="25F3A544">
            <w:pPr>
              <w:pStyle w:val="7"/>
              <w:rPr>
                <w:color w:val="auto"/>
                <w:highlight w:val="none"/>
              </w:rPr>
            </w:pPr>
          </w:p>
        </w:tc>
        <w:tc>
          <w:tcPr>
            <w:tcW w:w="1484" w:type="dxa"/>
            <w:vMerge w:val="restart"/>
            <w:tcBorders>
              <w:bottom w:val="nil"/>
            </w:tcBorders>
            <w:vAlign w:val="top"/>
          </w:tcPr>
          <w:p w14:paraId="04AF108F">
            <w:pPr>
              <w:pStyle w:val="7"/>
              <w:rPr>
                <w:color w:val="auto"/>
                <w:highlight w:val="none"/>
              </w:rPr>
            </w:pPr>
          </w:p>
        </w:tc>
        <w:tc>
          <w:tcPr>
            <w:tcW w:w="1484" w:type="dxa"/>
            <w:vMerge w:val="restart"/>
            <w:tcBorders>
              <w:bottom w:val="nil"/>
            </w:tcBorders>
            <w:vAlign w:val="top"/>
          </w:tcPr>
          <w:p w14:paraId="5FF785D5">
            <w:pPr>
              <w:pStyle w:val="7"/>
              <w:rPr>
                <w:color w:val="auto"/>
                <w:highlight w:val="none"/>
              </w:rPr>
            </w:pPr>
          </w:p>
        </w:tc>
        <w:tc>
          <w:tcPr>
            <w:tcW w:w="1493" w:type="dxa"/>
            <w:vAlign w:val="top"/>
          </w:tcPr>
          <w:p w14:paraId="2CCBB113">
            <w:pPr>
              <w:spacing w:before="29" w:line="341" w:lineRule="auto"/>
              <w:ind w:left="298" w:right="106" w:hanging="17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几倍额定电压下</w:t>
            </w:r>
            <w:r>
              <w:rPr>
                <w:rFonts w:ascii="宋体" w:hAnsi="宋体" w:eastAsia="宋体" w:cs="宋体"/>
                <w:color w:val="auto"/>
                <w:spacing w:val="2"/>
                <w:sz w:val="18"/>
                <w:szCs w:val="18"/>
                <w:highlight w:val="none"/>
              </w:rPr>
              <w:t xml:space="preserve"> </w:t>
            </w:r>
            <w:r>
              <w:rPr>
                <w:rFonts w:ascii="宋体" w:hAnsi="宋体" w:eastAsia="宋体" w:cs="宋体"/>
                <w:color w:val="auto"/>
                <w:spacing w:val="-2"/>
                <w:sz w:val="18"/>
                <w:szCs w:val="18"/>
                <w:highlight w:val="none"/>
              </w:rPr>
              <w:t>可连续工作</w:t>
            </w:r>
          </w:p>
        </w:tc>
      </w:tr>
      <w:tr w14:paraId="31B68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Merge w:val="continue"/>
            <w:tcBorders>
              <w:top w:val="nil"/>
            </w:tcBorders>
            <w:vAlign w:val="top"/>
          </w:tcPr>
          <w:p w14:paraId="6A120784">
            <w:pPr>
              <w:pStyle w:val="7"/>
              <w:rPr>
                <w:color w:val="auto"/>
                <w:highlight w:val="none"/>
              </w:rPr>
            </w:pPr>
          </w:p>
        </w:tc>
        <w:tc>
          <w:tcPr>
            <w:tcW w:w="2457" w:type="dxa"/>
            <w:vMerge w:val="continue"/>
            <w:tcBorders>
              <w:top w:val="nil"/>
            </w:tcBorders>
            <w:vAlign w:val="top"/>
          </w:tcPr>
          <w:p w14:paraId="7D70C0CC">
            <w:pPr>
              <w:pStyle w:val="7"/>
              <w:rPr>
                <w:color w:val="auto"/>
                <w:highlight w:val="none"/>
              </w:rPr>
            </w:pPr>
          </w:p>
        </w:tc>
        <w:tc>
          <w:tcPr>
            <w:tcW w:w="867" w:type="dxa"/>
            <w:vMerge w:val="continue"/>
            <w:tcBorders>
              <w:top w:val="nil"/>
            </w:tcBorders>
            <w:vAlign w:val="top"/>
          </w:tcPr>
          <w:p w14:paraId="42DD2603">
            <w:pPr>
              <w:pStyle w:val="7"/>
              <w:rPr>
                <w:color w:val="auto"/>
                <w:highlight w:val="none"/>
              </w:rPr>
            </w:pPr>
          </w:p>
        </w:tc>
        <w:tc>
          <w:tcPr>
            <w:tcW w:w="1484" w:type="dxa"/>
            <w:vMerge w:val="continue"/>
            <w:tcBorders>
              <w:top w:val="nil"/>
            </w:tcBorders>
            <w:vAlign w:val="top"/>
          </w:tcPr>
          <w:p w14:paraId="62996C18">
            <w:pPr>
              <w:pStyle w:val="7"/>
              <w:rPr>
                <w:color w:val="auto"/>
                <w:highlight w:val="none"/>
              </w:rPr>
            </w:pPr>
          </w:p>
        </w:tc>
        <w:tc>
          <w:tcPr>
            <w:tcW w:w="1484" w:type="dxa"/>
            <w:vMerge w:val="continue"/>
            <w:tcBorders>
              <w:top w:val="nil"/>
            </w:tcBorders>
            <w:vAlign w:val="top"/>
          </w:tcPr>
          <w:p w14:paraId="1D7BC20A">
            <w:pPr>
              <w:pStyle w:val="7"/>
              <w:rPr>
                <w:color w:val="auto"/>
                <w:highlight w:val="none"/>
              </w:rPr>
            </w:pPr>
          </w:p>
        </w:tc>
        <w:tc>
          <w:tcPr>
            <w:tcW w:w="1493" w:type="dxa"/>
            <w:vAlign w:val="top"/>
          </w:tcPr>
          <w:p w14:paraId="434B0BBF">
            <w:pPr>
              <w:pStyle w:val="7"/>
              <w:rPr>
                <w:color w:val="auto"/>
                <w:highlight w:val="none"/>
              </w:rPr>
            </w:pPr>
          </w:p>
        </w:tc>
      </w:tr>
      <w:tr w14:paraId="2F42DD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7" w:hRule="atLeast"/>
        </w:trPr>
        <w:tc>
          <w:tcPr>
            <w:tcW w:w="741" w:type="dxa"/>
            <w:vAlign w:val="top"/>
          </w:tcPr>
          <w:p w14:paraId="16E53140">
            <w:pPr>
              <w:pStyle w:val="7"/>
              <w:spacing w:line="291" w:lineRule="auto"/>
              <w:rPr>
                <w:color w:val="auto"/>
                <w:highlight w:val="none"/>
              </w:rPr>
            </w:pPr>
          </w:p>
          <w:p w14:paraId="00470986">
            <w:pPr>
              <w:pStyle w:val="7"/>
              <w:spacing w:line="291" w:lineRule="auto"/>
              <w:rPr>
                <w:color w:val="auto"/>
                <w:highlight w:val="none"/>
              </w:rPr>
            </w:pPr>
          </w:p>
          <w:p w14:paraId="4D5DF7CC">
            <w:pPr>
              <w:spacing w:before="59" w:line="184" w:lineRule="auto"/>
              <w:ind w:left="19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12_3</w:t>
            </w:r>
          </w:p>
        </w:tc>
        <w:tc>
          <w:tcPr>
            <w:tcW w:w="2457" w:type="dxa"/>
            <w:vAlign w:val="top"/>
          </w:tcPr>
          <w:p w14:paraId="73495FB0">
            <w:pPr>
              <w:pStyle w:val="7"/>
              <w:spacing w:line="277" w:lineRule="auto"/>
              <w:rPr>
                <w:color w:val="auto"/>
                <w:highlight w:val="none"/>
              </w:rPr>
            </w:pPr>
          </w:p>
          <w:p w14:paraId="7AF442B5">
            <w:pPr>
              <w:pStyle w:val="7"/>
              <w:spacing w:line="278" w:lineRule="auto"/>
              <w:rPr>
                <w:color w:val="auto"/>
                <w:highlight w:val="none"/>
              </w:rPr>
            </w:pPr>
          </w:p>
          <w:p w14:paraId="6C8EC37F">
            <w:pPr>
              <w:spacing w:before="59" w:line="219" w:lineRule="auto"/>
              <w:ind w:left="68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直流电源回路</w:t>
            </w:r>
          </w:p>
        </w:tc>
        <w:tc>
          <w:tcPr>
            <w:tcW w:w="867" w:type="dxa"/>
            <w:vAlign w:val="top"/>
          </w:tcPr>
          <w:p w14:paraId="00FAEA51">
            <w:pPr>
              <w:pStyle w:val="7"/>
              <w:rPr>
                <w:color w:val="auto"/>
                <w:highlight w:val="none"/>
              </w:rPr>
            </w:pPr>
          </w:p>
        </w:tc>
        <w:tc>
          <w:tcPr>
            <w:tcW w:w="1484" w:type="dxa"/>
            <w:vAlign w:val="top"/>
          </w:tcPr>
          <w:p w14:paraId="4BBE90FA">
            <w:pPr>
              <w:pStyle w:val="7"/>
              <w:rPr>
                <w:color w:val="auto"/>
                <w:highlight w:val="none"/>
              </w:rPr>
            </w:pPr>
          </w:p>
        </w:tc>
        <w:tc>
          <w:tcPr>
            <w:tcW w:w="1484" w:type="dxa"/>
            <w:vAlign w:val="top"/>
          </w:tcPr>
          <w:p w14:paraId="03D8E472">
            <w:pPr>
              <w:pStyle w:val="7"/>
              <w:rPr>
                <w:color w:val="auto"/>
                <w:highlight w:val="none"/>
              </w:rPr>
            </w:pPr>
          </w:p>
        </w:tc>
        <w:tc>
          <w:tcPr>
            <w:tcW w:w="1493" w:type="dxa"/>
            <w:vAlign w:val="top"/>
          </w:tcPr>
          <w:p w14:paraId="080765AC">
            <w:pPr>
              <w:spacing w:before="149" w:line="219" w:lineRule="auto"/>
              <w:ind w:left="117"/>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在</w:t>
            </w:r>
            <w:r>
              <w:rPr>
                <w:rFonts w:ascii="宋体" w:hAnsi="宋体" w:eastAsia="宋体" w:cs="宋体"/>
                <w:color w:val="auto"/>
                <w:spacing w:val="89"/>
                <w:sz w:val="18"/>
                <w:szCs w:val="18"/>
                <w:highlight w:val="none"/>
                <w:u w:val="single" w:color="auto"/>
              </w:rPr>
              <w:t xml:space="preserve"> </w:t>
            </w:r>
            <w:r>
              <w:rPr>
                <w:rFonts w:ascii="宋体" w:hAnsi="宋体" w:eastAsia="宋体" w:cs="宋体"/>
                <w:color w:val="auto"/>
                <w:spacing w:val="-62"/>
                <w:sz w:val="18"/>
                <w:szCs w:val="18"/>
                <w:highlight w:val="none"/>
              </w:rPr>
              <w:t xml:space="preserve"> </w:t>
            </w:r>
            <w:r>
              <w:rPr>
                <w:rFonts w:ascii="宋体" w:hAnsi="宋体" w:eastAsia="宋体" w:cs="宋体"/>
                <w:color w:val="auto"/>
                <w:spacing w:val="-17"/>
                <w:sz w:val="18"/>
                <w:szCs w:val="18"/>
                <w:highlight w:val="none"/>
              </w:rPr>
              <w:t>％～</w:t>
            </w:r>
            <w:r>
              <w:rPr>
                <w:rFonts w:ascii="宋体" w:hAnsi="宋体" w:eastAsia="宋体" w:cs="宋体"/>
                <w:color w:val="auto"/>
                <w:sz w:val="18"/>
                <w:szCs w:val="18"/>
                <w:highlight w:val="none"/>
                <w:u w:val="single" w:color="auto"/>
              </w:rPr>
              <w:t xml:space="preserve">  </w:t>
            </w:r>
            <w:r>
              <w:rPr>
                <w:rFonts w:ascii="宋体" w:hAnsi="宋体" w:eastAsia="宋体" w:cs="宋体"/>
                <w:color w:val="auto"/>
                <w:spacing w:val="-17"/>
                <w:sz w:val="18"/>
                <w:szCs w:val="18"/>
                <w:highlight w:val="none"/>
              </w:rPr>
              <w:t>％</w:t>
            </w:r>
            <w:r>
              <w:rPr>
                <w:rFonts w:ascii="宋体" w:hAnsi="宋体" w:eastAsia="宋体" w:cs="宋体"/>
                <w:color w:val="auto"/>
                <w:spacing w:val="8"/>
                <w:sz w:val="18"/>
                <w:szCs w:val="18"/>
                <w:highlight w:val="none"/>
              </w:rPr>
              <w:t>额</w:t>
            </w:r>
          </w:p>
          <w:p w14:paraId="492163C7">
            <w:pPr>
              <w:spacing w:before="254" w:line="220" w:lineRule="auto"/>
              <w:ind w:left="12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定电压可连续工</w:t>
            </w:r>
          </w:p>
          <w:p w14:paraId="296E4B14">
            <w:pPr>
              <w:spacing w:before="253" w:line="220" w:lineRule="auto"/>
              <w:ind w:left="658"/>
              <w:rPr>
                <w:rFonts w:ascii="宋体" w:hAnsi="宋体" w:eastAsia="宋体" w:cs="宋体"/>
                <w:color w:val="auto"/>
                <w:sz w:val="18"/>
                <w:szCs w:val="18"/>
                <w:highlight w:val="none"/>
              </w:rPr>
            </w:pPr>
            <w:r>
              <w:rPr>
                <w:rFonts w:ascii="宋体" w:hAnsi="宋体" w:eastAsia="宋体" w:cs="宋体"/>
                <w:color w:val="auto"/>
                <w:sz w:val="18"/>
                <w:szCs w:val="18"/>
                <w:highlight w:val="none"/>
              </w:rPr>
              <w:t>作</w:t>
            </w:r>
          </w:p>
        </w:tc>
      </w:tr>
      <w:tr w14:paraId="324D2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5" w:hRule="atLeast"/>
        </w:trPr>
        <w:tc>
          <w:tcPr>
            <w:tcW w:w="741" w:type="dxa"/>
            <w:vAlign w:val="top"/>
          </w:tcPr>
          <w:p w14:paraId="614B79FD">
            <w:pPr>
              <w:spacing w:before="293" w:line="184" w:lineRule="auto"/>
              <w:ind w:left="290"/>
              <w:rPr>
                <w:rFonts w:ascii="宋体" w:hAnsi="宋体" w:eastAsia="宋体" w:cs="宋体"/>
                <w:color w:val="auto"/>
                <w:sz w:val="18"/>
                <w:szCs w:val="18"/>
                <w:highlight w:val="none"/>
              </w:rPr>
            </w:pPr>
            <w:r>
              <w:rPr>
                <w:rFonts w:ascii="宋体" w:hAnsi="宋体" w:eastAsia="宋体" w:cs="宋体"/>
                <w:color w:val="auto"/>
                <w:spacing w:val="-11"/>
                <w:sz w:val="18"/>
                <w:szCs w:val="18"/>
                <w:highlight w:val="none"/>
              </w:rPr>
              <w:t>13</w:t>
            </w:r>
          </w:p>
        </w:tc>
        <w:tc>
          <w:tcPr>
            <w:tcW w:w="2457" w:type="dxa"/>
            <w:vAlign w:val="top"/>
          </w:tcPr>
          <w:p w14:paraId="18D4F0AF">
            <w:pPr>
              <w:spacing w:before="33" w:line="339" w:lineRule="auto"/>
              <w:ind w:left="1043" w:right="145" w:hanging="899"/>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保护装置测量元件特性的准</w:t>
            </w:r>
            <w:r>
              <w:rPr>
                <w:rFonts w:ascii="宋体" w:hAnsi="宋体" w:eastAsia="宋体" w:cs="宋体"/>
                <w:color w:val="auto"/>
                <w:spacing w:val="3"/>
                <w:sz w:val="18"/>
                <w:szCs w:val="18"/>
                <w:highlight w:val="none"/>
              </w:rPr>
              <w:t xml:space="preserve"> </w:t>
            </w:r>
            <w:r>
              <w:rPr>
                <w:rFonts w:ascii="宋体" w:hAnsi="宋体" w:eastAsia="宋体" w:cs="宋体"/>
                <w:color w:val="auto"/>
                <w:spacing w:val="-4"/>
                <w:sz w:val="18"/>
                <w:szCs w:val="18"/>
                <w:highlight w:val="none"/>
              </w:rPr>
              <w:t>确度</w:t>
            </w:r>
          </w:p>
        </w:tc>
        <w:tc>
          <w:tcPr>
            <w:tcW w:w="867" w:type="dxa"/>
            <w:vAlign w:val="top"/>
          </w:tcPr>
          <w:p w14:paraId="1A24CFDB">
            <w:pPr>
              <w:pStyle w:val="7"/>
              <w:rPr>
                <w:color w:val="auto"/>
                <w:highlight w:val="none"/>
              </w:rPr>
            </w:pPr>
          </w:p>
        </w:tc>
        <w:tc>
          <w:tcPr>
            <w:tcW w:w="1484" w:type="dxa"/>
            <w:vAlign w:val="top"/>
          </w:tcPr>
          <w:p w14:paraId="104CDA69">
            <w:pPr>
              <w:pStyle w:val="7"/>
              <w:rPr>
                <w:color w:val="auto"/>
                <w:highlight w:val="none"/>
              </w:rPr>
            </w:pPr>
          </w:p>
        </w:tc>
        <w:tc>
          <w:tcPr>
            <w:tcW w:w="1484" w:type="dxa"/>
            <w:vAlign w:val="top"/>
          </w:tcPr>
          <w:p w14:paraId="7DD8979A">
            <w:pPr>
              <w:pStyle w:val="7"/>
              <w:rPr>
                <w:color w:val="auto"/>
                <w:highlight w:val="none"/>
              </w:rPr>
            </w:pPr>
          </w:p>
        </w:tc>
        <w:tc>
          <w:tcPr>
            <w:tcW w:w="1493" w:type="dxa"/>
            <w:vAlign w:val="top"/>
          </w:tcPr>
          <w:p w14:paraId="46FDF340">
            <w:pPr>
              <w:pStyle w:val="7"/>
              <w:rPr>
                <w:color w:val="auto"/>
                <w:highlight w:val="none"/>
              </w:rPr>
            </w:pPr>
          </w:p>
        </w:tc>
      </w:tr>
      <w:tr w14:paraId="34F7D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2" w:hRule="atLeast"/>
        </w:trPr>
        <w:tc>
          <w:tcPr>
            <w:tcW w:w="741" w:type="dxa"/>
            <w:vAlign w:val="top"/>
          </w:tcPr>
          <w:p w14:paraId="792EFDD6">
            <w:pPr>
              <w:spacing w:before="177" w:line="184" w:lineRule="auto"/>
              <w:ind w:left="199"/>
              <w:rPr>
                <w:rFonts w:ascii="宋体" w:hAnsi="宋体" w:eastAsia="宋体" w:cs="宋体"/>
                <w:color w:val="auto"/>
                <w:sz w:val="18"/>
                <w:szCs w:val="18"/>
                <w:highlight w:val="none"/>
              </w:rPr>
            </w:pPr>
            <w:r>
              <w:rPr>
                <w:rFonts w:ascii="宋体" w:hAnsi="宋体" w:eastAsia="宋体" w:cs="宋体"/>
                <w:color w:val="auto"/>
                <w:sz w:val="18"/>
                <w:szCs w:val="18"/>
                <w:highlight w:val="none"/>
              </w:rPr>
              <w:t>13_1</w:t>
            </w:r>
          </w:p>
        </w:tc>
        <w:tc>
          <w:tcPr>
            <w:tcW w:w="2457" w:type="dxa"/>
            <w:vAlign w:val="top"/>
          </w:tcPr>
          <w:p w14:paraId="5595600F">
            <w:pPr>
              <w:spacing w:before="150" w:line="220" w:lineRule="auto"/>
              <w:ind w:left="278"/>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整定误差(不大于±</w:t>
            </w:r>
            <w:r>
              <w:rPr>
                <w:rFonts w:ascii="宋体" w:hAnsi="宋体" w:eastAsia="宋体" w:cs="宋体"/>
                <w:color w:val="auto"/>
                <w:spacing w:val="26"/>
                <w:sz w:val="18"/>
                <w:szCs w:val="18"/>
                <w:highlight w:val="none"/>
              </w:rPr>
              <w:t xml:space="preserve"> </w:t>
            </w:r>
            <w:r>
              <w:rPr>
                <w:rFonts w:ascii="宋体" w:hAnsi="宋体" w:eastAsia="宋体" w:cs="宋体"/>
                <w:color w:val="auto"/>
                <w:spacing w:val="5"/>
                <w:sz w:val="18"/>
                <w:szCs w:val="18"/>
                <w:highlight w:val="none"/>
              </w:rPr>
              <w:t>%)</w:t>
            </w:r>
          </w:p>
        </w:tc>
        <w:tc>
          <w:tcPr>
            <w:tcW w:w="867" w:type="dxa"/>
            <w:vAlign w:val="top"/>
          </w:tcPr>
          <w:p w14:paraId="48D0CB5A">
            <w:pPr>
              <w:spacing w:before="150"/>
              <w:ind w:left="361"/>
              <w:rPr>
                <w:rFonts w:ascii="宋体" w:hAnsi="宋体" w:eastAsia="宋体" w:cs="宋体"/>
                <w:color w:val="auto"/>
                <w:sz w:val="18"/>
                <w:szCs w:val="18"/>
                <w:highlight w:val="none"/>
              </w:rPr>
            </w:pPr>
            <w:r>
              <w:rPr>
                <w:rFonts w:ascii="宋体" w:hAnsi="宋体" w:eastAsia="宋体" w:cs="宋体"/>
                <w:color w:val="auto"/>
                <w:spacing w:val="8"/>
                <w:w w:val="134"/>
                <w:sz w:val="18"/>
                <w:szCs w:val="18"/>
                <w:highlight w:val="none"/>
              </w:rPr>
              <w:t>%</w:t>
            </w:r>
          </w:p>
        </w:tc>
        <w:tc>
          <w:tcPr>
            <w:tcW w:w="1484" w:type="dxa"/>
            <w:vAlign w:val="top"/>
          </w:tcPr>
          <w:p w14:paraId="1085A970">
            <w:pPr>
              <w:pStyle w:val="7"/>
              <w:rPr>
                <w:color w:val="auto"/>
                <w:highlight w:val="none"/>
              </w:rPr>
            </w:pPr>
          </w:p>
        </w:tc>
        <w:tc>
          <w:tcPr>
            <w:tcW w:w="1484" w:type="dxa"/>
            <w:vAlign w:val="top"/>
          </w:tcPr>
          <w:p w14:paraId="5C903CF7">
            <w:pPr>
              <w:pStyle w:val="7"/>
              <w:rPr>
                <w:color w:val="auto"/>
                <w:highlight w:val="none"/>
              </w:rPr>
            </w:pPr>
          </w:p>
        </w:tc>
        <w:tc>
          <w:tcPr>
            <w:tcW w:w="1493" w:type="dxa"/>
            <w:vAlign w:val="top"/>
          </w:tcPr>
          <w:p w14:paraId="2329707A">
            <w:pPr>
              <w:pStyle w:val="7"/>
              <w:rPr>
                <w:color w:val="auto"/>
                <w:highlight w:val="none"/>
              </w:rPr>
            </w:pPr>
          </w:p>
        </w:tc>
      </w:tr>
      <w:tr w14:paraId="5A937F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07" w:hRule="atLeast"/>
        </w:trPr>
        <w:tc>
          <w:tcPr>
            <w:tcW w:w="741" w:type="dxa"/>
            <w:vAlign w:val="top"/>
          </w:tcPr>
          <w:p w14:paraId="6BA44193">
            <w:pPr>
              <w:pStyle w:val="7"/>
              <w:spacing w:line="292" w:lineRule="auto"/>
              <w:rPr>
                <w:color w:val="auto"/>
                <w:highlight w:val="none"/>
              </w:rPr>
            </w:pPr>
          </w:p>
          <w:p w14:paraId="4074FE9F">
            <w:pPr>
              <w:pStyle w:val="7"/>
              <w:spacing w:line="292" w:lineRule="auto"/>
              <w:rPr>
                <w:color w:val="auto"/>
                <w:highlight w:val="none"/>
              </w:rPr>
            </w:pPr>
          </w:p>
          <w:p w14:paraId="00AB9BD6">
            <w:pPr>
              <w:spacing w:before="58" w:line="184" w:lineRule="auto"/>
              <w:ind w:left="19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13_2</w:t>
            </w:r>
          </w:p>
        </w:tc>
        <w:tc>
          <w:tcPr>
            <w:tcW w:w="2457" w:type="dxa"/>
            <w:vAlign w:val="top"/>
          </w:tcPr>
          <w:p w14:paraId="1E7C1AA4">
            <w:pPr>
              <w:spacing w:before="150" w:line="220" w:lineRule="auto"/>
              <w:ind w:left="19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温度变差(在工作环境温度</w:t>
            </w:r>
          </w:p>
          <w:p w14:paraId="2EF4025E">
            <w:pPr>
              <w:spacing w:before="239" w:line="406" w:lineRule="auto"/>
              <w:ind w:left="731" w:right="142" w:hanging="627"/>
              <w:rPr>
                <w:rFonts w:ascii="宋体" w:hAnsi="宋体" w:eastAsia="宋体" w:cs="宋体"/>
                <w:color w:val="auto"/>
                <w:sz w:val="18"/>
                <w:szCs w:val="18"/>
                <w:highlight w:val="none"/>
              </w:rPr>
            </w:pPr>
            <w:r>
              <w:rPr>
                <w:rFonts w:ascii="宋体" w:hAnsi="宋体" w:eastAsia="宋体" w:cs="宋体"/>
                <w:color w:val="auto"/>
                <w:spacing w:val="-7"/>
                <w:sz w:val="18"/>
                <w:szCs w:val="18"/>
                <w:highlight w:val="none"/>
              </w:rPr>
              <w:t>范围内相对于＋20</w:t>
            </w:r>
            <w:r>
              <w:rPr>
                <w:rFonts w:ascii="宋体" w:hAnsi="宋体" w:eastAsia="宋体" w:cs="宋体"/>
                <w:color w:val="auto"/>
                <w:spacing w:val="34"/>
                <w:sz w:val="18"/>
                <w:szCs w:val="18"/>
                <w:highlight w:val="none"/>
              </w:rPr>
              <w:t xml:space="preserve"> </w:t>
            </w:r>
            <w:r>
              <w:rPr>
                <w:rFonts w:ascii="宋体" w:hAnsi="宋体" w:eastAsia="宋体" w:cs="宋体"/>
                <w:color w:val="auto"/>
                <w:spacing w:val="-7"/>
                <w:sz w:val="18"/>
                <w:szCs w:val="18"/>
                <w:highlight w:val="none"/>
              </w:rPr>
              <w:t>±2</w:t>
            </w:r>
            <w:r>
              <w:rPr>
                <w:rFonts w:ascii="宋体" w:hAnsi="宋体" w:eastAsia="宋体" w:cs="宋体"/>
                <w:color w:val="auto"/>
                <w:spacing w:val="-7"/>
                <w:position w:val="8"/>
                <w:sz w:val="8"/>
                <w:szCs w:val="8"/>
                <w:highlight w:val="none"/>
              </w:rPr>
              <w:t>℃</w:t>
            </w:r>
            <w:r>
              <w:rPr>
                <w:rFonts w:ascii="宋体" w:hAnsi="宋体" w:eastAsia="宋体" w:cs="宋体"/>
                <w:color w:val="auto"/>
                <w:spacing w:val="-23"/>
                <w:position w:val="8"/>
                <w:sz w:val="8"/>
                <w:szCs w:val="8"/>
                <w:highlight w:val="none"/>
              </w:rPr>
              <w:t xml:space="preserve"> </w:t>
            </w:r>
            <w:r>
              <w:rPr>
                <w:rFonts w:ascii="宋体" w:hAnsi="宋体" w:eastAsia="宋体" w:cs="宋体"/>
                <w:color w:val="auto"/>
                <w:spacing w:val="-7"/>
                <w:sz w:val="18"/>
                <w:szCs w:val="18"/>
                <w:highlight w:val="none"/>
              </w:rPr>
              <w:t>时，</w:t>
            </w:r>
            <w:r>
              <w:rPr>
                <w:rFonts w:ascii="宋体" w:hAnsi="宋体" w:eastAsia="宋体" w:cs="宋体"/>
                <w:color w:val="auto"/>
                <w:sz w:val="18"/>
                <w:szCs w:val="18"/>
                <w:highlight w:val="none"/>
              </w:rPr>
              <w:t xml:space="preserve"> </w:t>
            </w:r>
            <w:r>
              <w:rPr>
                <w:rFonts w:ascii="宋体" w:hAnsi="宋体" w:eastAsia="宋体" w:cs="宋体"/>
                <w:color w:val="auto"/>
                <w:spacing w:val="13"/>
                <w:sz w:val="18"/>
                <w:szCs w:val="18"/>
                <w:highlight w:val="none"/>
              </w:rPr>
              <w:t>不大于±%)</w:t>
            </w:r>
          </w:p>
        </w:tc>
        <w:tc>
          <w:tcPr>
            <w:tcW w:w="867" w:type="dxa"/>
            <w:vAlign w:val="top"/>
          </w:tcPr>
          <w:p w14:paraId="431C550E">
            <w:pPr>
              <w:pStyle w:val="7"/>
              <w:rPr>
                <w:color w:val="auto"/>
                <w:highlight w:val="none"/>
              </w:rPr>
            </w:pPr>
          </w:p>
        </w:tc>
        <w:tc>
          <w:tcPr>
            <w:tcW w:w="1484" w:type="dxa"/>
            <w:vAlign w:val="top"/>
          </w:tcPr>
          <w:p w14:paraId="5E3E72A0">
            <w:pPr>
              <w:pStyle w:val="7"/>
              <w:rPr>
                <w:color w:val="auto"/>
                <w:highlight w:val="none"/>
              </w:rPr>
            </w:pPr>
          </w:p>
        </w:tc>
        <w:tc>
          <w:tcPr>
            <w:tcW w:w="1484" w:type="dxa"/>
            <w:vAlign w:val="top"/>
          </w:tcPr>
          <w:p w14:paraId="13CDB897">
            <w:pPr>
              <w:pStyle w:val="7"/>
              <w:rPr>
                <w:color w:val="auto"/>
                <w:highlight w:val="none"/>
              </w:rPr>
            </w:pPr>
          </w:p>
        </w:tc>
        <w:tc>
          <w:tcPr>
            <w:tcW w:w="1493" w:type="dxa"/>
            <w:vAlign w:val="top"/>
          </w:tcPr>
          <w:p w14:paraId="2EBB5219">
            <w:pPr>
              <w:pStyle w:val="7"/>
              <w:rPr>
                <w:color w:val="auto"/>
                <w:highlight w:val="none"/>
              </w:rPr>
            </w:pPr>
          </w:p>
        </w:tc>
      </w:tr>
      <w:tr w14:paraId="48D5DF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73" w:hRule="atLeast"/>
        </w:trPr>
        <w:tc>
          <w:tcPr>
            <w:tcW w:w="741" w:type="dxa"/>
            <w:vAlign w:val="top"/>
          </w:tcPr>
          <w:p w14:paraId="13B28AA6">
            <w:pPr>
              <w:spacing w:before="181" w:line="184" w:lineRule="auto"/>
              <w:ind w:left="290"/>
              <w:rPr>
                <w:rFonts w:ascii="宋体" w:hAnsi="宋体" w:eastAsia="宋体" w:cs="宋体"/>
                <w:color w:val="auto"/>
                <w:sz w:val="18"/>
                <w:szCs w:val="18"/>
                <w:highlight w:val="none"/>
              </w:rPr>
            </w:pPr>
            <w:r>
              <w:rPr>
                <w:rFonts w:ascii="宋体" w:hAnsi="宋体" w:eastAsia="宋体" w:cs="宋体"/>
                <w:color w:val="auto"/>
                <w:spacing w:val="-11"/>
                <w:sz w:val="18"/>
                <w:szCs w:val="18"/>
                <w:highlight w:val="none"/>
              </w:rPr>
              <w:t>14</w:t>
            </w:r>
          </w:p>
        </w:tc>
        <w:tc>
          <w:tcPr>
            <w:tcW w:w="2457" w:type="dxa"/>
            <w:vAlign w:val="top"/>
          </w:tcPr>
          <w:p w14:paraId="4238DCAB">
            <w:pPr>
              <w:spacing w:before="154" w:line="219" w:lineRule="auto"/>
              <w:ind w:left="773"/>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保护管理机</w:t>
            </w:r>
          </w:p>
        </w:tc>
        <w:tc>
          <w:tcPr>
            <w:tcW w:w="867" w:type="dxa"/>
            <w:vAlign w:val="top"/>
          </w:tcPr>
          <w:p w14:paraId="2CF43B8F">
            <w:pPr>
              <w:pStyle w:val="7"/>
              <w:rPr>
                <w:color w:val="auto"/>
                <w:highlight w:val="none"/>
              </w:rPr>
            </w:pPr>
          </w:p>
        </w:tc>
        <w:tc>
          <w:tcPr>
            <w:tcW w:w="1484" w:type="dxa"/>
            <w:vAlign w:val="top"/>
          </w:tcPr>
          <w:p w14:paraId="0369346A">
            <w:pPr>
              <w:pStyle w:val="7"/>
              <w:rPr>
                <w:color w:val="auto"/>
                <w:highlight w:val="none"/>
              </w:rPr>
            </w:pPr>
          </w:p>
        </w:tc>
        <w:tc>
          <w:tcPr>
            <w:tcW w:w="1484" w:type="dxa"/>
            <w:vAlign w:val="top"/>
          </w:tcPr>
          <w:p w14:paraId="783EB0EA">
            <w:pPr>
              <w:pStyle w:val="7"/>
              <w:rPr>
                <w:color w:val="auto"/>
                <w:highlight w:val="none"/>
              </w:rPr>
            </w:pPr>
          </w:p>
        </w:tc>
        <w:tc>
          <w:tcPr>
            <w:tcW w:w="1493" w:type="dxa"/>
            <w:vAlign w:val="top"/>
          </w:tcPr>
          <w:p w14:paraId="2714BC6B">
            <w:pPr>
              <w:pStyle w:val="7"/>
              <w:rPr>
                <w:color w:val="auto"/>
                <w:highlight w:val="none"/>
              </w:rPr>
            </w:pPr>
          </w:p>
        </w:tc>
      </w:tr>
      <w:tr w14:paraId="41EE03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2" w:hRule="atLeast"/>
        </w:trPr>
        <w:tc>
          <w:tcPr>
            <w:tcW w:w="741" w:type="dxa"/>
            <w:vAlign w:val="top"/>
          </w:tcPr>
          <w:p w14:paraId="522A01E9">
            <w:pPr>
              <w:spacing w:before="181" w:line="184" w:lineRule="auto"/>
              <w:ind w:left="290"/>
              <w:rPr>
                <w:rFonts w:ascii="宋体" w:hAnsi="宋体" w:eastAsia="宋体" w:cs="宋体"/>
                <w:color w:val="auto"/>
                <w:sz w:val="18"/>
                <w:szCs w:val="18"/>
                <w:highlight w:val="none"/>
              </w:rPr>
            </w:pPr>
            <w:r>
              <w:rPr>
                <w:rFonts w:ascii="宋体" w:hAnsi="宋体" w:eastAsia="宋体" w:cs="宋体"/>
                <w:color w:val="auto"/>
                <w:spacing w:val="-11"/>
                <w:sz w:val="18"/>
                <w:szCs w:val="18"/>
                <w:highlight w:val="none"/>
              </w:rPr>
              <w:t>15</w:t>
            </w:r>
          </w:p>
        </w:tc>
        <w:tc>
          <w:tcPr>
            <w:tcW w:w="2457" w:type="dxa"/>
            <w:vAlign w:val="top"/>
          </w:tcPr>
          <w:p w14:paraId="54961CD6">
            <w:pPr>
              <w:spacing w:before="153" w:line="220" w:lineRule="auto"/>
              <w:ind w:left="68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保护装置接地</w:t>
            </w:r>
          </w:p>
        </w:tc>
        <w:tc>
          <w:tcPr>
            <w:tcW w:w="867" w:type="dxa"/>
            <w:vAlign w:val="top"/>
          </w:tcPr>
          <w:p w14:paraId="02B5B8D3">
            <w:pPr>
              <w:pStyle w:val="7"/>
              <w:rPr>
                <w:color w:val="auto"/>
                <w:highlight w:val="none"/>
              </w:rPr>
            </w:pPr>
          </w:p>
        </w:tc>
        <w:tc>
          <w:tcPr>
            <w:tcW w:w="1484" w:type="dxa"/>
            <w:vAlign w:val="top"/>
          </w:tcPr>
          <w:p w14:paraId="7A58A7B1">
            <w:pPr>
              <w:pStyle w:val="7"/>
              <w:rPr>
                <w:color w:val="auto"/>
                <w:highlight w:val="none"/>
              </w:rPr>
            </w:pPr>
          </w:p>
        </w:tc>
        <w:tc>
          <w:tcPr>
            <w:tcW w:w="1484" w:type="dxa"/>
            <w:vAlign w:val="top"/>
          </w:tcPr>
          <w:p w14:paraId="54B85ADB">
            <w:pPr>
              <w:pStyle w:val="7"/>
              <w:rPr>
                <w:color w:val="auto"/>
                <w:highlight w:val="none"/>
              </w:rPr>
            </w:pPr>
          </w:p>
        </w:tc>
        <w:tc>
          <w:tcPr>
            <w:tcW w:w="1493" w:type="dxa"/>
            <w:vAlign w:val="top"/>
          </w:tcPr>
          <w:p w14:paraId="72317A9E">
            <w:pPr>
              <w:pStyle w:val="7"/>
              <w:rPr>
                <w:color w:val="auto"/>
                <w:highlight w:val="none"/>
              </w:rPr>
            </w:pPr>
          </w:p>
        </w:tc>
      </w:tr>
    </w:tbl>
    <w:p w14:paraId="7C89B7C1">
      <w:pPr>
        <w:spacing w:before="128" w:line="227" w:lineRule="auto"/>
        <w:ind w:left="128"/>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投标人应填写下列技术参数，并保证其提供设备的性能、特性与填写的内容一致。</w:t>
      </w:r>
    </w:p>
    <w:p w14:paraId="037E5214">
      <w:pPr>
        <w:pStyle w:val="3"/>
        <w:spacing w:line="466" w:lineRule="auto"/>
        <w:rPr>
          <w:color w:val="auto"/>
          <w:highlight w:val="none"/>
        </w:rPr>
      </w:pPr>
    </w:p>
    <w:p w14:paraId="38CE558C">
      <w:pPr>
        <w:spacing w:before="65" w:line="362" w:lineRule="auto"/>
        <w:ind w:left="131" w:right="119" w:firstLine="419"/>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投标人需在投标文件中提供各保护装置输入/输出接口用途表</w:t>
      </w:r>
      <w:r>
        <w:rPr>
          <w:rFonts w:ascii="宋体" w:hAnsi="宋体" w:eastAsia="宋体" w:cs="宋体"/>
          <w:color w:val="auto"/>
          <w:spacing w:val="9"/>
          <w:sz w:val="20"/>
          <w:szCs w:val="20"/>
          <w:highlight w:val="none"/>
        </w:rPr>
        <w:t>及保护装置功能块的使用</w:t>
      </w:r>
      <w:r>
        <w:rPr>
          <w:rFonts w:ascii="宋体" w:hAnsi="宋体" w:eastAsia="宋体" w:cs="宋体"/>
          <w:color w:val="auto"/>
          <w:sz w:val="20"/>
          <w:szCs w:val="20"/>
          <w:highlight w:val="none"/>
        </w:rPr>
        <w:t xml:space="preserve"> </w:t>
      </w:r>
      <w:bookmarkStart w:id="15" w:name="bookmark4"/>
      <w:bookmarkEnd w:id="15"/>
      <w:r>
        <w:rPr>
          <w:rFonts w:ascii="宋体" w:hAnsi="宋体" w:eastAsia="宋体" w:cs="宋体"/>
          <w:color w:val="auto"/>
          <w:spacing w:val="4"/>
          <w:sz w:val="20"/>
          <w:szCs w:val="20"/>
          <w:highlight w:val="none"/>
        </w:rPr>
        <w:t>一览表。</w:t>
      </w:r>
    </w:p>
    <w:p w14:paraId="68E8016A">
      <w:pPr>
        <w:spacing w:line="362" w:lineRule="auto"/>
        <w:rPr>
          <w:rFonts w:ascii="宋体" w:hAnsi="宋体" w:eastAsia="宋体" w:cs="宋体"/>
          <w:color w:val="auto"/>
          <w:sz w:val="20"/>
          <w:szCs w:val="20"/>
          <w:highlight w:val="none"/>
        </w:rPr>
        <w:sectPr>
          <w:pgSz w:w="11906" w:h="16839"/>
          <w:pgMar w:top="1431" w:right="1682" w:bottom="0" w:left="1682" w:header="0" w:footer="0" w:gutter="0"/>
          <w:pgBorders>
            <w:top w:val="none" w:sz="0" w:space="0"/>
            <w:left w:val="none" w:sz="0" w:space="0"/>
            <w:bottom w:val="none" w:sz="0" w:space="0"/>
            <w:right w:val="none" w:sz="0" w:space="0"/>
          </w:pgBorders>
          <w:cols w:space="720" w:num="1"/>
        </w:sectPr>
      </w:pPr>
    </w:p>
    <w:p w14:paraId="7C97443E">
      <w:pPr>
        <w:spacing w:before="162" w:line="224" w:lineRule="auto"/>
        <w:ind w:left="51"/>
        <w:outlineLvl w:val="0"/>
        <w:rPr>
          <w:rFonts w:ascii="宋体" w:hAnsi="宋体" w:eastAsia="宋体" w:cs="宋体"/>
          <w:color w:val="auto"/>
          <w:sz w:val="31"/>
          <w:szCs w:val="31"/>
          <w:highlight w:val="none"/>
        </w:rPr>
      </w:pPr>
      <w:bookmarkStart w:id="16" w:name="bookmark3"/>
      <w:bookmarkEnd w:id="16"/>
      <w:r>
        <w:rPr>
          <w:rFonts w:ascii="宋体" w:hAnsi="宋体" w:eastAsia="宋体" w:cs="宋体"/>
          <w:b/>
          <w:bCs/>
          <w:color w:val="auto"/>
          <w:spacing w:val="-3"/>
          <w:sz w:val="31"/>
          <w:szCs w:val="31"/>
          <w:highlight w:val="none"/>
        </w:rPr>
        <w:t>附件</w:t>
      </w:r>
      <w:r>
        <w:rPr>
          <w:rFonts w:ascii="宋体" w:hAnsi="宋体" w:eastAsia="宋体" w:cs="宋体"/>
          <w:color w:val="auto"/>
          <w:spacing w:val="-57"/>
          <w:sz w:val="31"/>
          <w:szCs w:val="31"/>
          <w:highlight w:val="none"/>
        </w:rPr>
        <w:t xml:space="preserve"> </w:t>
      </w:r>
      <w:r>
        <w:rPr>
          <w:rFonts w:ascii="宋体" w:hAnsi="宋体" w:eastAsia="宋体" w:cs="宋体"/>
          <w:b/>
          <w:bCs/>
          <w:color w:val="auto"/>
          <w:spacing w:val="-3"/>
          <w:sz w:val="31"/>
          <w:szCs w:val="31"/>
          <w:highlight w:val="none"/>
        </w:rPr>
        <w:t>2</w:t>
      </w:r>
      <w:r>
        <w:rPr>
          <w:rFonts w:ascii="宋体" w:hAnsi="宋体" w:eastAsia="宋体" w:cs="宋体"/>
          <w:color w:val="auto"/>
          <w:spacing w:val="12"/>
          <w:sz w:val="31"/>
          <w:szCs w:val="31"/>
          <w:highlight w:val="none"/>
        </w:rPr>
        <w:t xml:space="preserve">  </w:t>
      </w:r>
      <w:r>
        <w:rPr>
          <w:rFonts w:ascii="宋体" w:hAnsi="宋体" w:eastAsia="宋体" w:cs="宋体"/>
          <w:b/>
          <w:bCs/>
          <w:color w:val="auto"/>
          <w:spacing w:val="-3"/>
          <w:sz w:val="31"/>
          <w:szCs w:val="31"/>
          <w:highlight w:val="none"/>
        </w:rPr>
        <w:t>供货范围</w:t>
      </w:r>
    </w:p>
    <w:p w14:paraId="0389A578">
      <w:pPr>
        <w:pStyle w:val="3"/>
        <w:spacing w:line="283" w:lineRule="auto"/>
        <w:rPr>
          <w:color w:val="auto"/>
          <w:highlight w:val="none"/>
        </w:rPr>
      </w:pPr>
    </w:p>
    <w:p w14:paraId="52E4FB3F">
      <w:pPr>
        <w:spacing w:before="78" w:line="221" w:lineRule="auto"/>
        <w:ind w:left="41"/>
        <w:outlineLvl w:val="1"/>
        <w:rPr>
          <w:rFonts w:ascii="宋体" w:hAnsi="宋体" w:eastAsia="宋体" w:cs="宋体"/>
          <w:color w:val="auto"/>
          <w:sz w:val="24"/>
          <w:szCs w:val="24"/>
          <w:highlight w:val="none"/>
        </w:rPr>
      </w:pPr>
      <w:r>
        <w:rPr>
          <w:rFonts w:ascii="宋体" w:hAnsi="宋体" w:eastAsia="宋体" w:cs="宋体"/>
          <w:b/>
          <w:bCs/>
          <w:color w:val="auto"/>
          <w:spacing w:val="-11"/>
          <w:sz w:val="24"/>
          <w:szCs w:val="24"/>
          <w:highlight w:val="none"/>
        </w:rPr>
        <w:t>1</w:t>
      </w:r>
      <w:r>
        <w:rPr>
          <w:rFonts w:ascii="宋体" w:hAnsi="宋体" w:eastAsia="宋体" w:cs="宋体"/>
          <w:color w:val="auto"/>
          <w:spacing w:val="38"/>
          <w:sz w:val="24"/>
          <w:szCs w:val="24"/>
          <w:highlight w:val="none"/>
        </w:rPr>
        <w:t xml:space="preserve">  </w:t>
      </w:r>
      <w:r>
        <w:rPr>
          <w:rFonts w:ascii="宋体" w:hAnsi="宋体" w:eastAsia="宋体" w:cs="宋体"/>
          <w:b/>
          <w:bCs/>
          <w:color w:val="auto"/>
          <w:spacing w:val="-11"/>
          <w:sz w:val="24"/>
          <w:szCs w:val="24"/>
          <w:highlight w:val="none"/>
        </w:rPr>
        <w:t>一般要求</w:t>
      </w:r>
    </w:p>
    <w:p w14:paraId="339A8A26">
      <w:pPr>
        <w:spacing w:before="96" w:line="302" w:lineRule="auto"/>
        <w:ind w:left="26" w:right="122" w:firstLine="1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 xml:space="preserve">1.1  本附件规定了合同设备的供货范围，投标人应保证提供的装置设备及附件为全新的、 </w:t>
      </w:r>
      <w:r>
        <w:rPr>
          <w:rFonts w:ascii="宋体" w:hAnsi="宋体" w:eastAsia="宋体" w:cs="宋体"/>
          <w:color w:val="auto"/>
          <w:spacing w:val="9"/>
          <w:sz w:val="20"/>
          <w:szCs w:val="20"/>
          <w:highlight w:val="none"/>
        </w:rPr>
        <w:t>先进的、成熟的、完整的和安全可靠的，且设备的技术经济性能符合本卷的要求。</w:t>
      </w:r>
    </w:p>
    <w:p w14:paraId="0B9E783D">
      <w:pPr>
        <w:spacing w:before="164" w:line="327" w:lineRule="auto"/>
        <w:ind w:left="21" w:right="84" w:firstLine="1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1.2  投标人应提供详细供货清单，清单中依此说明型号、数量、产地、生产厂家等内容。</w:t>
      </w:r>
      <w:r>
        <w:rPr>
          <w:rFonts w:ascii="宋体" w:hAnsi="宋体" w:eastAsia="宋体" w:cs="宋体"/>
          <w:color w:val="auto"/>
          <w:spacing w:val="3"/>
          <w:sz w:val="20"/>
          <w:szCs w:val="20"/>
          <w:highlight w:val="none"/>
        </w:rPr>
        <w:t xml:space="preserve"> </w:t>
      </w:r>
      <w:r>
        <w:rPr>
          <w:rFonts w:ascii="宋体" w:hAnsi="宋体" w:eastAsia="宋体" w:cs="宋体"/>
          <w:color w:val="auto"/>
          <w:spacing w:val="10"/>
          <w:sz w:val="20"/>
          <w:szCs w:val="20"/>
          <w:highlight w:val="none"/>
        </w:rPr>
        <w:t>对于属于整套设备运行和施工所必需的部件，即使本规范书列出和/或数目不足，投标</w:t>
      </w:r>
      <w:r>
        <w:rPr>
          <w:rFonts w:ascii="宋体" w:hAnsi="宋体" w:eastAsia="宋体" w:cs="宋体"/>
          <w:color w:val="auto"/>
          <w:spacing w:val="9"/>
          <w:sz w:val="20"/>
          <w:szCs w:val="20"/>
          <w:highlight w:val="none"/>
        </w:rPr>
        <w:t>人仍</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须在执行的同时补足。</w:t>
      </w:r>
    </w:p>
    <w:p w14:paraId="0A27E62E">
      <w:pPr>
        <w:spacing w:before="162" w:line="227" w:lineRule="auto"/>
        <w:ind w:left="3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1.3  投标人应提供所有安装和调试所需专</w:t>
      </w:r>
      <w:r>
        <w:rPr>
          <w:rFonts w:ascii="宋体" w:hAnsi="宋体" w:eastAsia="宋体" w:cs="宋体"/>
          <w:color w:val="auto"/>
          <w:spacing w:val="8"/>
          <w:sz w:val="20"/>
          <w:szCs w:val="20"/>
          <w:highlight w:val="none"/>
        </w:rPr>
        <w:t>用工具和消耗材料等，并提供详细供货清单。</w:t>
      </w:r>
    </w:p>
    <w:p w14:paraId="2102EE1A">
      <w:pPr>
        <w:spacing w:before="164" w:line="227" w:lineRule="auto"/>
        <w:ind w:left="3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1.4  投标人应提供随机备品备件，并在投标书中给出具体清单。</w:t>
      </w:r>
    </w:p>
    <w:p w14:paraId="20197480">
      <w:pPr>
        <w:spacing w:before="163" w:line="302" w:lineRule="auto"/>
        <w:ind w:left="27" w:right="87" w:firstLine="1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1.5  提供所供设备中的主要部件清单及其它需要的清单。任何进口设备在交货时均应提供</w:t>
      </w:r>
      <w:r>
        <w:rPr>
          <w:rFonts w:ascii="宋体" w:hAnsi="宋体" w:eastAsia="宋体" w:cs="宋体"/>
          <w:color w:val="auto"/>
          <w:spacing w:val="1"/>
          <w:sz w:val="20"/>
          <w:szCs w:val="20"/>
          <w:highlight w:val="none"/>
        </w:rPr>
        <w:t xml:space="preserve"> </w:t>
      </w:r>
      <w:r>
        <w:rPr>
          <w:rFonts w:ascii="宋体" w:hAnsi="宋体" w:eastAsia="宋体" w:cs="宋体"/>
          <w:color w:val="auto"/>
          <w:spacing w:val="8"/>
          <w:sz w:val="20"/>
          <w:szCs w:val="20"/>
          <w:highlight w:val="none"/>
        </w:rPr>
        <w:t>原产地证明、进口报关等文件。</w:t>
      </w:r>
    </w:p>
    <w:p w14:paraId="75EEFB30">
      <w:pPr>
        <w:spacing w:before="161" w:line="303" w:lineRule="auto"/>
        <w:ind w:left="25" w:right="16" w:firstLine="1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1.6  对于本规范书及图纸要求的设备、元器件，附件的数量、参数及功能必须满足要求，</w:t>
      </w:r>
      <w:r>
        <w:rPr>
          <w:rFonts w:ascii="宋体" w:hAnsi="宋体" w:eastAsia="宋体" w:cs="宋体"/>
          <w:color w:val="auto"/>
          <w:spacing w:val="17"/>
          <w:sz w:val="20"/>
          <w:szCs w:val="20"/>
          <w:highlight w:val="none"/>
        </w:rPr>
        <w:t xml:space="preserve"> </w:t>
      </w:r>
      <w:r>
        <w:rPr>
          <w:rFonts w:ascii="宋体" w:hAnsi="宋体" w:eastAsia="宋体" w:cs="宋体"/>
          <w:color w:val="auto"/>
          <w:spacing w:val="4"/>
          <w:sz w:val="20"/>
          <w:szCs w:val="20"/>
          <w:highlight w:val="none"/>
        </w:rPr>
        <w:t>未列出的部分或数量不足、参数及功能不能满足要求的，投标人必须无条件免费提供或更</w:t>
      </w:r>
      <w:r>
        <w:rPr>
          <w:rFonts w:ascii="宋体" w:hAnsi="宋体" w:eastAsia="宋体" w:cs="宋体"/>
          <w:color w:val="auto"/>
          <w:spacing w:val="3"/>
          <w:sz w:val="20"/>
          <w:szCs w:val="20"/>
          <w:highlight w:val="none"/>
        </w:rPr>
        <w:t>换。</w:t>
      </w:r>
    </w:p>
    <w:p w14:paraId="4647AEB0">
      <w:pPr>
        <w:spacing w:before="243" w:line="219" w:lineRule="auto"/>
        <w:ind w:left="26"/>
        <w:outlineLvl w:val="1"/>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2</w:t>
      </w:r>
      <w:r>
        <w:rPr>
          <w:rFonts w:ascii="宋体" w:hAnsi="宋体" w:eastAsia="宋体" w:cs="宋体"/>
          <w:color w:val="auto"/>
          <w:spacing w:val="35"/>
          <w:sz w:val="24"/>
          <w:szCs w:val="24"/>
          <w:highlight w:val="none"/>
        </w:rPr>
        <w:t xml:space="preserve">  </w:t>
      </w:r>
      <w:r>
        <w:rPr>
          <w:rFonts w:ascii="宋体" w:hAnsi="宋体" w:eastAsia="宋体" w:cs="宋体"/>
          <w:b/>
          <w:bCs/>
          <w:color w:val="auto"/>
          <w:spacing w:val="-7"/>
          <w:sz w:val="24"/>
          <w:szCs w:val="24"/>
          <w:highlight w:val="none"/>
        </w:rPr>
        <w:t>供货范围</w:t>
      </w:r>
    </w:p>
    <w:p w14:paraId="78E09A2E">
      <w:pPr>
        <w:spacing w:before="101" w:line="367" w:lineRule="auto"/>
        <w:ind w:left="23" w:right="87" w:firstLine="490"/>
        <w:jc w:val="both"/>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投标人应确保供货范围完整，</w:t>
      </w:r>
      <w:r>
        <w:rPr>
          <w:rFonts w:ascii="宋体" w:hAnsi="宋体" w:eastAsia="宋体" w:cs="宋体"/>
          <w:color w:val="auto"/>
          <w:spacing w:val="-59"/>
          <w:sz w:val="20"/>
          <w:szCs w:val="20"/>
          <w:highlight w:val="none"/>
        </w:rPr>
        <w:t xml:space="preserve"> </w:t>
      </w:r>
      <w:r>
        <w:rPr>
          <w:rFonts w:ascii="宋体" w:hAnsi="宋体" w:eastAsia="宋体" w:cs="宋体"/>
          <w:color w:val="auto"/>
          <w:spacing w:val="10"/>
          <w:sz w:val="20"/>
          <w:szCs w:val="20"/>
          <w:highlight w:val="none"/>
        </w:rPr>
        <w:t>以能满足招标人安装、运行要求为</w:t>
      </w:r>
      <w:r>
        <w:rPr>
          <w:rFonts w:ascii="宋体" w:hAnsi="宋体" w:eastAsia="宋体" w:cs="宋体"/>
          <w:color w:val="auto"/>
          <w:spacing w:val="9"/>
          <w:sz w:val="20"/>
          <w:szCs w:val="20"/>
          <w:highlight w:val="none"/>
        </w:rPr>
        <w:t>原则。在技术规范中</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涉及的供货要求也作为本供货范围的补充，若在安装、调试、运行中发现缺项（属投标人供</w:t>
      </w:r>
      <w:r>
        <w:rPr>
          <w:rFonts w:ascii="宋体" w:hAnsi="宋体" w:eastAsia="宋体" w:cs="宋体"/>
          <w:color w:val="auto"/>
          <w:spacing w:val="13"/>
          <w:sz w:val="20"/>
          <w:szCs w:val="20"/>
          <w:highlight w:val="none"/>
        </w:rPr>
        <w:t xml:space="preserve"> </w:t>
      </w:r>
      <w:r>
        <w:rPr>
          <w:rFonts w:ascii="宋体" w:hAnsi="宋体" w:eastAsia="宋体" w:cs="宋体"/>
          <w:color w:val="auto"/>
          <w:spacing w:val="3"/>
          <w:sz w:val="20"/>
          <w:szCs w:val="20"/>
          <w:highlight w:val="none"/>
        </w:rPr>
        <w:t>货范围）</w:t>
      </w:r>
      <w:r>
        <w:rPr>
          <w:rFonts w:ascii="宋体" w:hAnsi="宋体" w:eastAsia="宋体" w:cs="宋体"/>
          <w:color w:val="auto"/>
          <w:spacing w:val="-47"/>
          <w:sz w:val="20"/>
          <w:szCs w:val="20"/>
          <w:highlight w:val="none"/>
        </w:rPr>
        <w:t xml:space="preserve"> </w:t>
      </w:r>
      <w:r>
        <w:rPr>
          <w:rFonts w:ascii="宋体" w:hAnsi="宋体" w:eastAsia="宋体" w:cs="宋体"/>
          <w:color w:val="auto"/>
          <w:spacing w:val="3"/>
          <w:sz w:val="20"/>
          <w:szCs w:val="20"/>
          <w:highlight w:val="none"/>
        </w:rPr>
        <w:t>由投标人补充。</w:t>
      </w:r>
    </w:p>
    <w:p w14:paraId="4E91F7E7">
      <w:pPr>
        <w:spacing w:before="37" w:line="220" w:lineRule="auto"/>
        <w:ind w:left="26"/>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2.1</w:t>
      </w:r>
      <w:r>
        <w:rPr>
          <w:rFonts w:ascii="宋体" w:hAnsi="宋体" w:eastAsia="宋体" w:cs="宋体"/>
          <w:color w:val="auto"/>
          <w:spacing w:val="7"/>
          <w:sz w:val="24"/>
          <w:szCs w:val="24"/>
          <w:highlight w:val="none"/>
        </w:rPr>
        <w:t xml:space="preserve">  </w:t>
      </w:r>
      <w:r>
        <w:rPr>
          <w:rFonts w:ascii="宋体" w:hAnsi="宋体" w:eastAsia="宋体" w:cs="宋体"/>
          <w:b/>
          <w:bCs/>
          <w:color w:val="auto"/>
          <w:spacing w:val="-6"/>
          <w:sz w:val="24"/>
          <w:szCs w:val="24"/>
          <w:highlight w:val="none"/>
        </w:rPr>
        <w:t>设备范围</w:t>
      </w:r>
    </w:p>
    <w:p w14:paraId="220E3FEF">
      <w:pPr>
        <w:spacing w:before="177" w:line="227" w:lineRule="auto"/>
        <w:jc w:val="right"/>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本工程所需的保护装置数量见供货范围专业表单，投标人应列</w:t>
      </w:r>
      <w:r>
        <w:rPr>
          <w:rFonts w:ascii="宋体" w:hAnsi="宋体" w:eastAsia="宋体" w:cs="宋体"/>
          <w:color w:val="auto"/>
          <w:spacing w:val="7"/>
          <w:sz w:val="20"/>
          <w:szCs w:val="20"/>
          <w:highlight w:val="none"/>
        </w:rPr>
        <w:t>出详细清单</w:t>
      </w:r>
      <w:r>
        <w:rPr>
          <w:rFonts w:ascii="宋体" w:hAnsi="宋体" w:eastAsia="宋体" w:cs="宋体"/>
          <w:color w:val="auto"/>
          <w:spacing w:val="-38"/>
          <w:w w:val="70"/>
          <w:sz w:val="20"/>
          <w:szCs w:val="20"/>
          <w:highlight w:val="none"/>
        </w:rPr>
        <w:t>：（</w:t>
      </w:r>
      <w:r>
        <w:rPr>
          <w:rFonts w:ascii="宋体" w:hAnsi="宋体" w:eastAsia="宋体" w:cs="宋体"/>
          <w:color w:val="auto"/>
          <w:spacing w:val="7"/>
          <w:sz w:val="20"/>
          <w:szCs w:val="20"/>
          <w:highlight w:val="none"/>
        </w:rPr>
        <w:t>不限于此）</w:t>
      </w:r>
    </w:p>
    <w:p w14:paraId="100AD665">
      <w:pPr>
        <w:spacing w:before="247" w:line="219" w:lineRule="auto"/>
        <w:ind w:left="26"/>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2.2</w:t>
      </w:r>
      <w:r>
        <w:rPr>
          <w:rFonts w:ascii="宋体" w:hAnsi="宋体" w:eastAsia="宋体" w:cs="宋体"/>
          <w:color w:val="auto"/>
          <w:spacing w:val="7"/>
          <w:sz w:val="24"/>
          <w:szCs w:val="24"/>
          <w:highlight w:val="none"/>
        </w:rPr>
        <w:t xml:space="preserve">  </w:t>
      </w:r>
      <w:r>
        <w:rPr>
          <w:rFonts w:ascii="宋体" w:hAnsi="宋体" w:eastAsia="宋体" w:cs="宋体"/>
          <w:b/>
          <w:bCs/>
          <w:color w:val="auto"/>
          <w:spacing w:val="-6"/>
          <w:sz w:val="24"/>
          <w:szCs w:val="24"/>
          <w:highlight w:val="none"/>
        </w:rPr>
        <w:t>备品备件</w:t>
      </w:r>
    </w:p>
    <w:p w14:paraId="5F48D70A">
      <w:pPr>
        <w:spacing w:before="98" w:line="362" w:lineRule="auto"/>
        <w:ind w:left="41" w:right="16" w:firstLine="473"/>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投标人应向招标人提供安装、调试、运行和维护所需的最低限度备品备件</w:t>
      </w:r>
      <w:r>
        <w:rPr>
          <w:rFonts w:ascii="宋体" w:hAnsi="宋体" w:eastAsia="宋体" w:cs="宋体"/>
          <w:color w:val="auto"/>
          <w:spacing w:val="10"/>
          <w:sz w:val="20"/>
          <w:szCs w:val="20"/>
          <w:highlight w:val="none"/>
        </w:rPr>
        <w:t>，按供货范</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围专业表单要求提供详细的备品备件清单（注明零部件</w:t>
      </w:r>
      <w:r>
        <w:rPr>
          <w:rFonts w:ascii="宋体" w:hAnsi="宋体" w:eastAsia="宋体" w:cs="宋体"/>
          <w:color w:val="auto"/>
          <w:spacing w:val="3"/>
          <w:sz w:val="20"/>
          <w:szCs w:val="20"/>
          <w:highlight w:val="none"/>
        </w:rPr>
        <w:t>的名称、型号或规格、生产厂家等）。</w:t>
      </w:r>
    </w:p>
    <w:p w14:paraId="1A126F69">
      <w:pPr>
        <w:spacing w:before="116" w:line="220" w:lineRule="auto"/>
        <w:ind w:left="26"/>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2.3</w:t>
      </w:r>
      <w:r>
        <w:rPr>
          <w:rFonts w:ascii="宋体" w:hAnsi="宋体" w:eastAsia="宋体" w:cs="宋体"/>
          <w:color w:val="auto"/>
          <w:spacing w:val="-3"/>
          <w:sz w:val="24"/>
          <w:szCs w:val="24"/>
          <w:highlight w:val="none"/>
        </w:rPr>
        <w:t xml:space="preserve">  </w:t>
      </w:r>
      <w:r>
        <w:rPr>
          <w:rFonts w:ascii="宋体" w:hAnsi="宋体" w:eastAsia="宋体" w:cs="宋体"/>
          <w:b/>
          <w:bCs/>
          <w:color w:val="auto"/>
          <w:spacing w:val="-3"/>
          <w:sz w:val="24"/>
          <w:szCs w:val="24"/>
          <w:highlight w:val="none"/>
        </w:rPr>
        <w:t>专用工具：</w:t>
      </w:r>
    </w:p>
    <w:p w14:paraId="799476D0">
      <w:pPr>
        <w:spacing w:before="99" w:line="364" w:lineRule="auto"/>
        <w:ind w:left="26" w:right="87" w:firstLine="487"/>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投标人应向招标人提供必要的专用工具，按供货范围专业表单要求提供详</w:t>
      </w:r>
      <w:r>
        <w:rPr>
          <w:rFonts w:ascii="宋体" w:hAnsi="宋体" w:eastAsia="宋体" w:cs="宋体"/>
          <w:color w:val="auto"/>
          <w:spacing w:val="10"/>
          <w:sz w:val="20"/>
          <w:szCs w:val="20"/>
          <w:highlight w:val="none"/>
        </w:rPr>
        <w:t>细的专用工</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具清单（注明零部件的名称、型号或规格、生产厂家等）。</w:t>
      </w:r>
    </w:p>
    <w:p w14:paraId="701F738D">
      <w:pPr>
        <w:spacing w:before="112" w:line="219" w:lineRule="auto"/>
        <w:ind w:left="26"/>
        <w:rPr>
          <w:rFonts w:ascii="宋体" w:hAnsi="宋体" w:eastAsia="宋体" w:cs="宋体"/>
          <w:color w:val="auto"/>
          <w:sz w:val="24"/>
          <w:szCs w:val="24"/>
          <w:highlight w:val="none"/>
        </w:rPr>
      </w:pPr>
      <w:r>
        <w:rPr>
          <w:rFonts w:ascii="宋体" w:hAnsi="宋体" w:eastAsia="宋体" w:cs="宋体"/>
          <w:b/>
          <w:bCs/>
          <w:color w:val="auto"/>
          <w:spacing w:val="-3"/>
          <w:sz w:val="24"/>
          <w:szCs w:val="24"/>
          <w:highlight w:val="none"/>
        </w:rPr>
        <w:t>2.4</w:t>
      </w:r>
      <w:r>
        <w:rPr>
          <w:rFonts w:ascii="宋体" w:hAnsi="宋体" w:eastAsia="宋体" w:cs="宋体"/>
          <w:color w:val="auto"/>
          <w:spacing w:val="-3"/>
          <w:sz w:val="24"/>
          <w:szCs w:val="24"/>
          <w:highlight w:val="none"/>
        </w:rPr>
        <w:t xml:space="preserve">  </w:t>
      </w:r>
      <w:r>
        <w:rPr>
          <w:rFonts w:ascii="宋体" w:hAnsi="宋体" w:eastAsia="宋体" w:cs="宋体"/>
          <w:b/>
          <w:bCs/>
          <w:color w:val="auto"/>
          <w:spacing w:val="-3"/>
          <w:sz w:val="24"/>
          <w:szCs w:val="24"/>
          <w:highlight w:val="none"/>
        </w:rPr>
        <w:t>进口材料及进口件清单</w:t>
      </w:r>
    </w:p>
    <w:p w14:paraId="7F680191">
      <w:pPr>
        <w:spacing w:line="219" w:lineRule="auto"/>
        <w:rPr>
          <w:rFonts w:ascii="宋体" w:hAnsi="宋体" w:eastAsia="宋体" w:cs="宋体"/>
          <w:color w:val="auto"/>
          <w:sz w:val="24"/>
          <w:szCs w:val="24"/>
          <w:highlight w:val="none"/>
        </w:rPr>
        <w:sectPr>
          <w:pgSz w:w="11906" w:h="16839"/>
          <w:pgMar w:top="1431" w:right="1714" w:bottom="0" w:left="1785" w:header="0" w:footer="0" w:gutter="0"/>
          <w:pgBorders>
            <w:top w:val="none" w:sz="0" w:space="0"/>
            <w:left w:val="none" w:sz="0" w:space="0"/>
            <w:bottom w:val="none" w:sz="0" w:space="0"/>
            <w:right w:val="none" w:sz="0" w:space="0"/>
          </w:pgBorders>
          <w:cols w:space="720" w:num="1"/>
        </w:sectPr>
      </w:pPr>
    </w:p>
    <w:p w14:paraId="6C22207A">
      <w:pPr>
        <w:spacing w:before="41" w:line="227" w:lineRule="auto"/>
        <w:ind w:left="61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投标人根据投标部件情况列出进口材料及进口件清单</w:t>
      </w:r>
    </w:p>
    <w:p w14:paraId="7D5B8E4B">
      <w:pPr>
        <w:spacing w:before="162" w:line="227" w:lineRule="auto"/>
        <w:ind w:left="159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保护装置供货范围专用表（适用于无发电机出口断路器</w:t>
      </w:r>
      <w:r>
        <w:rPr>
          <w:rFonts w:ascii="宋体" w:hAnsi="宋体" w:eastAsia="宋体" w:cs="宋体"/>
          <w:color w:val="auto"/>
          <w:spacing w:val="-48"/>
          <w:sz w:val="20"/>
          <w:szCs w:val="20"/>
          <w:highlight w:val="none"/>
        </w:rPr>
        <w:t>）：</w:t>
      </w:r>
    </w:p>
    <w:p w14:paraId="13CE0F5E">
      <w:pPr>
        <w:spacing w:line="132" w:lineRule="exact"/>
        <w:rPr>
          <w:color w:val="auto"/>
          <w:highlight w:val="none"/>
        </w:rPr>
      </w:pPr>
    </w:p>
    <w:tbl>
      <w:tblPr>
        <w:tblStyle w:val="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0"/>
        <w:gridCol w:w="2643"/>
        <w:gridCol w:w="1399"/>
        <w:gridCol w:w="779"/>
        <w:gridCol w:w="648"/>
        <w:gridCol w:w="645"/>
        <w:gridCol w:w="1039"/>
        <w:gridCol w:w="783"/>
      </w:tblGrid>
      <w:tr w14:paraId="24ECD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590" w:type="dxa"/>
            <w:vAlign w:val="top"/>
          </w:tcPr>
          <w:p w14:paraId="7979747E">
            <w:pPr>
              <w:spacing w:before="32" w:line="221" w:lineRule="auto"/>
              <w:ind w:left="118"/>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643" w:type="dxa"/>
            <w:vAlign w:val="top"/>
          </w:tcPr>
          <w:p w14:paraId="75EDB3E9">
            <w:pPr>
              <w:spacing w:before="32" w:line="221" w:lineRule="auto"/>
              <w:ind w:left="1146"/>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名称</w:t>
            </w:r>
          </w:p>
        </w:tc>
        <w:tc>
          <w:tcPr>
            <w:tcW w:w="1399" w:type="dxa"/>
            <w:vAlign w:val="top"/>
          </w:tcPr>
          <w:p w14:paraId="25CA6C6F">
            <w:pPr>
              <w:spacing w:before="32" w:line="219" w:lineRule="auto"/>
              <w:ind w:left="25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规格和型号</w:t>
            </w:r>
          </w:p>
        </w:tc>
        <w:tc>
          <w:tcPr>
            <w:tcW w:w="779" w:type="dxa"/>
            <w:vAlign w:val="top"/>
          </w:tcPr>
          <w:p w14:paraId="3A914309">
            <w:pPr>
              <w:spacing w:before="32" w:line="220" w:lineRule="auto"/>
              <w:ind w:left="217"/>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648" w:type="dxa"/>
            <w:vAlign w:val="top"/>
          </w:tcPr>
          <w:p w14:paraId="35F5FB24">
            <w:pPr>
              <w:spacing w:before="32" w:line="219" w:lineRule="auto"/>
              <w:ind w:left="15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数量</w:t>
            </w:r>
          </w:p>
        </w:tc>
        <w:tc>
          <w:tcPr>
            <w:tcW w:w="645" w:type="dxa"/>
            <w:vAlign w:val="top"/>
          </w:tcPr>
          <w:p w14:paraId="3A9D2952">
            <w:pPr>
              <w:spacing w:before="32" w:line="219" w:lineRule="auto"/>
              <w:ind w:left="147"/>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产地</w:t>
            </w:r>
          </w:p>
        </w:tc>
        <w:tc>
          <w:tcPr>
            <w:tcW w:w="1039" w:type="dxa"/>
            <w:vAlign w:val="top"/>
          </w:tcPr>
          <w:p w14:paraId="4311AB12">
            <w:pPr>
              <w:spacing w:before="32" w:line="219" w:lineRule="auto"/>
              <w:ind w:left="168"/>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生产厂家</w:t>
            </w:r>
          </w:p>
        </w:tc>
        <w:tc>
          <w:tcPr>
            <w:tcW w:w="783" w:type="dxa"/>
            <w:vAlign w:val="top"/>
          </w:tcPr>
          <w:p w14:paraId="32B00D1C">
            <w:pPr>
              <w:spacing w:before="32" w:line="221" w:lineRule="auto"/>
              <w:ind w:left="21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4657A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590" w:type="dxa"/>
            <w:vAlign w:val="top"/>
          </w:tcPr>
          <w:p w14:paraId="19567973">
            <w:pPr>
              <w:spacing w:before="182" w:line="184" w:lineRule="auto"/>
              <w:ind w:left="26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7936" w:type="dxa"/>
            <w:gridSpan w:val="7"/>
            <w:vAlign w:val="top"/>
          </w:tcPr>
          <w:p w14:paraId="1D755BF4">
            <w:pPr>
              <w:spacing w:before="154" w:line="220" w:lineRule="auto"/>
              <w:ind w:left="2803"/>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发变组保护、启备变保护设备</w:t>
            </w:r>
          </w:p>
        </w:tc>
      </w:tr>
      <w:tr w14:paraId="7A07D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9" w:hRule="atLeast"/>
        </w:trPr>
        <w:tc>
          <w:tcPr>
            <w:tcW w:w="590" w:type="dxa"/>
            <w:vAlign w:val="top"/>
          </w:tcPr>
          <w:p w14:paraId="7756B4D8">
            <w:pPr>
              <w:pStyle w:val="7"/>
              <w:spacing w:line="274" w:lineRule="auto"/>
              <w:rPr>
                <w:color w:val="auto"/>
                <w:highlight w:val="none"/>
              </w:rPr>
            </w:pPr>
          </w:p>
          <w:p w14:paraId="6819BA96">
            <w:pPr>
              <w:pStyle w:val="7"/>
              <w:spacing w:line="274" w:lineRule="auto"/>
              <w:rPr>
                <w:color w:val="auto"/>
                <w:highlight w:val="none"/>
              </w:rPr>
            </w:pPr>
          </w:p>
          <w:p w14:paraId="58D913E3">
            <w:pPr>
              <w:pStyle w:val="7"/>
              <w:spacing w:line="274" w:lineRule="auto"/>
              <w:rPr>
                <w:color w:val="auto"/>
                <w:highlight w:val="none"/>
              </w:rPr>
            </w:pPr>
          </w:p>
          <w:p w14:paraId="1E849DD7">
            <w:pPr>
              <w:pStyle w:val="7"/>
              <w:spacing w:line="274" w:lineRule="auto"/>
              <w:rPr>
                <w:color w:val="auto"/>
                <w:highlight w:val="none"/>
              </w:rPr>
            </w:pPr>
          </w:p>
          <w:p w14:paraId="6DF6BBB9">
            <w:pPr>
              <w:spacing w:before="58" w:line="184" w:lineRule="auto"/>
              <w:ind w:left="178"/>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1_1</w:t>
            </w:r>
          </w:p>
        </w:tc>
        <w:tc>
          <w:tcPr>
            <w:tcW w:w="2643" w:type="dxa"/>
            <w:vAlign w:val="top"/>
          </w:tcPr>
          <w:p w14:paraId="7838F582">
            <w:pPr>
              <w:spacing w:before="154" w:line="219" w:lineRule="auto"/>
              <w:ind w:right="14"/>
              <w:jc w:val="right"/>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发电机、主变压器、高压厂变、</w:t>
            </w:r>
          </w:p>
          <w:p w14:paraId="488B4813">
            <w:pPr>
              <w:spacing w:before="276" w:line="219" w:lineRule="auto"/>
              <w:ind w:left="15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励磁变保护</w:t>
            </w:r>
            <w:r>
              <w:rPr>
                <w:rFonts w:ascii="宋体" w:hAnsi="宋体" w:eastAsia="宋体" w:cs="宋体"/>
                <w:color w:val="auto"/>
                <w:spacing w:val="-35"/>
                <w:sz w:val="18"/>
                <w:szCs w:val="18"/>
                <w:highlight w:val="none"/>
              </w:rPr>
              <w:t xml:space="preserve"> </w:t>
            </w:r>
            <w:r>
              <w:rPr>
                <w:rFonts w:ascii="宋体" w:hAnsi="宋体" w:eastAsia="宋体" w:cs="宋体"/>
                <w:color w:val="auto"/>
                <w:spacing w:val="-2"/>
                <w:sz w:val="18"/>
                <w:szCs w:val="18"/>
                <w:highlight w:val="none"/>
              </w:rPr>
              <w:t>A</w:t>
            </w:r>
            <w:r>
              <w:rPr>
                <w:rFonts w:ascii="宋体" w:hAnsi="宋体" w:eastAsia="宋体" w:cs="宋体"/>
                <w:color w:val="auto"/>
                <w:spacing w:val="-37"/>
                <w:sz w:val="18"/>
                <w:szCs w:val="18"/>
                <w:highlight w:val="none"/>
              </w:rPr>
              <w:t xml:space="preserve"> </w:t>
            </w:r>
            <w:r>
              <w:rPr>
                <w:rFonts w:ascii="宋体" w:hAnsi="宋体" w:eastAsia="宋体" w:cs="宋体"/>
                <w:color w:val="auto"/>
                <w:spacing w:val="-2"/>
                <w:sz w:val="18"/>
                <w:szCs w:val="18"/>
                <w:highlight w:val="none"/>
              </w:rPr>
              <w:t>屏（含电气量保</w:t>
            </w:r>
          </w:p>
          <w:p w14:paraId="1F4F7A01">
            <w:pPr>
              <w:spacing w:before="275" w:line="220" w:lineRule="auto"/>
              <w:ind w:left="15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护装置一套，此外配置注入式</w:t>
            </w:r>
          </w:p>
          <w:p w14:paraId="44553F76">
            <w:pPr>
              <w:spacing w:before="272" w:line="219" w:lineRule="auto"/>
              <w:ind w:right="14"/>
              <w:jc w:val="right"/>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定子接地保护、操作继电器箱、</w:t>
            </w:r>
          </w:p>
          <w:p w14:paraId="470C0CDB">
            <w:pPr>
              <w:spacing w:before="276" w:line="219" w:lineRule="auto"/>
              <w:ind w:left="60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威图屏柜及附件）</w:t>
            </w:r>
          </w:p>
        </w:tc>
        <w:tc>
          <w:tcPr>
            <w:tcW w:w="1399" w:type="dxa"/>
            <w:vAlign w:val="top"/>
          </w:tcPr>
          <w:p w14:paraId="2236CF15">
            <w:pPr>
              <w:pStyle w:val="7"/>
              <w:rPr>
                <w:color w:val="auto"/>
                <w:highlight w:val="none"/>
              </w:rPr>
            </w:pPr>
          </w:p>
        </w:tc>
        <w:tc>
          <w:tcPr>
            <w:tcW w:w="779" w:type="dxa"/>
            <w:vAlign w:val="top"/>
          </w:tcPr>
          <w:p w14:paraId="0289F5DA">
            <w:pPr>
              <w:pStyle w:val="7"/>
              <w:spacing w:line="267" w:lineRule="auto"/>
              <w:rPr>
                <w:color w:val="auto"/>
                <w:highlight w:val="none"/>
              </w:rPr>
            </w:pPr>
          </w:p>
          <w:p w14:paraId="0CBD98FF">
            <w:pPr>
              <w:pStyle w:val="7"/>
              <w:spacing w:line="267" w:lineRule="auto"/>
              <w:rPr>
                <w:color w:val="auto"/>
                <w:highlight w:val="none"/>
              </w:rPr>
            </w:pPr>
          </w:p>
          <w:p w14:paraId="087A6551">
            <w:pPr>
              <w:pStyle w:val="7"/>
              <w:spacing w:line="267" w:lineRule="auto"/>
              <w:rPr>
                <w:color w:val="auto"/>
                <w:highlight w:val="none"/>
              </w:rPr>
            </w:pPr>
          </w:p>
          <w:p w14:paraId="6209B214">
            <w:pPr>
              <w:pStyle w:val="7"/>
              <w:spacing w:line="267" w:lineRule="auto"/>
              <w:rPr>
                <w:color w:val="auto"/>
                <w:highlight w:val="none"/>
              </w:rPr>
            </w:pPr>
          </w:p>
          <w:p w14:paraId="2B08BEDA">
            <w:pPr>
              <w:spacing w:before="59" w:line="221" w:lineRule="auto"/>
              <w:ind w:left="305"/>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616EC25E">
            <w:pPr>
              <w:pStyle w:val="7"/>
              <w:spacing w:line="274" w:lineRule="auto"/>
              <w:rPr>
                <w:color w:val="auto"/>
                <w:highlight w:val="none"/>
              </w:rPr>
            </w:pPr>
          </w:p>
          <w:p w14:paraId="26675998">
            <w:pPr>
              <w:pStyle w:val="7"/>
              <w:spacing w:line="274" w:lineRule="auto"/>
              <w:rPr>
                <w:color w:val="auto"/>
                <w:highlight w:val="none"/>
              </w:rPr>
            </w:pPr>
          </w:p>
          <w:p w14:paraId="1C54EED6">
            <w:pPr>
              <w:pStyle w:val="7"/>
              <w:spacing w:line="274" w:lineRule="auto"/>
              <w:rPr>
                <w:color w:val="auto"/>
                <w:highlight w:val="none"/>
              </w:rPr>
            </w:pPr>
          </w:p>
          <w:p w14:paraId="02ECCEFC">
            <w:pPr>
              <w:pStyle w:val="7"/>
              <w:spacing w:line="274" w:lineRule="auto"/>
              <w:rPr>
                <w:color w:val="auto"/>
                <w:highlight w:val="none"/>
              </w:rPr>
            </w:pPr>
          </w:p>
          <w:p w14:paraId="2B2A3405">
            <w:pPr>
              <w:spacing w:before="58" w:line="184" w:lineRule="auto"/>
              <w:ind w:left="29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4D483CD8">
            <w:pPr>
              <w:pStyle w:val="7"/>
              <w:rPr>
                <w:color w:val="auto"/>
                <w:highlight w:val="none"/>
              </w:rPr>
            </w:pPr>
          </w:p>
        </w:tc>
        <w:tc>
          <w:tcPr>
            <w:tcW w:w="1039" w:type="dxa"/>
            <w:vAlign w:val="top"/>
          </w:tcPr>
          <w:p w14:paraId="43F1DBC3">
            <w:pPr>
              <w:pStyle w:val="7"/>
              <w:rPr>
                <w:color w:val="auto"/>
                <w:highlight w:val="none"/>
              </w:rPr>
            </w:pPr>
          </w:p>
        </w:tc>
        <w:tc>
          <w:tcPr>
            <w:tcW w:w="783" w:type="dxa"/>
            <w:vAlign w:val="top"/>
          </w:tcPr>
          <w:p w14:paraId="383408DF">
            <w:pPr>
              <w:pStyle w:val="7"/>
              <w:rPr>
                <w:color w:val="auto"/>
                <w:highlight w:val="none"/>
              </w:rPr>
            </w:pPr>
          </w:p>
        </w:tc>
      </w:tr>
      <w:tr w14:paraId="00A7E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401E1064">
            <w:pPr>
              <w:pStyle w:val="7"/>
              <w:spacing w:line="284" w:lineRule="auto"/>
              <w:rPr>
                <w:color w:val="auto"/>
                <w:highlight w:val="none"/>
              </w:rPr>
            </w:pPr>
          </w:p>
          <w:p w14:paraId="74582187">
            <w:pPr>
              <w:pStyle w:val="7"/>
              <w:spacing w:line="284" w:lineRule="auto"/>
              <w:rPr>
                <w:color w:val="auto"/>
                <w:highlight w:val="none"/>
              </w:rPr>
            </w:pPr>
          </w:p>
          <w:p w14:paraId="39957780">
            <w:pPr>
              <w:pStyle w:val="7"/>
              <w:spacing w:line="284" w:lineRule="auto"/>
              <w:rPr>
                <w:color w:val="auto"/>
                <w:highlight w:val="none"/>
              </w:rPr>
            </w:pPr>
          </w:p>
          <w:p w14:paraId="25AB6390">
            <w:pPr>
              <w:spacing w:before="59" w:line="184" w:lineRule="auto"/>
              <w:ind w:left="178"/>
              <w:rPr>
                <w:rFonts w:hint="eastAsia" w:ascii="宋体" w:hAnsi="宋体" w:eastAsia="宋体" w:cs="宋体"/>
                <w:color w:val="auto"/>
                <w:sz w:val="18"/>
                <w:szCs w:val="18"/>
                <w:highlight w:val="none"/>
                <w:lang w:val="en-US" w:eastAsia="zh-CN"/>
              </w:rPr>
            </w:pPr>
            <w:r>
              <w:rPr>
                <w:rFonts w:ascii="宋体" w:hAnsi="宋体" w:eastAsia="宋体" w:cs="宋体"/>
                <w:color w:val="auto"/>
                <w:spacing w:val="-4"/>
                <w:sz w:val="18"/>
                <w:szCs w:val="18"/>
                <w:highlight w:val="none"/>
              </w:rPr>
              <w:t>1_</w:t>
            </w:r>
            <w:r>
              <w:rPr>
                <w:rFonts w:hint="eastAsia" w:ascii="宋体" w:hAnsi="宋体" w:eastAsia="宋体" w:cs="宋体"/>
                <w:color w:val="auto"/>
                <w:spacing w:val="-4"/>
                <w:sz w:val="18"/>
                <w:szCs w:val="18"/>
                <w:highlight w:val="none"/>
                <w:lang w:val="en-US" w:eastAsia="zh-CN"/>
              </w:rPr>
              <w:t>2</w:t>
            </w:r>
          </w:p>
        </w:tc>
        <w:tc>
          <w:tcPr>
            <w:tcW w:w="2643" w:type="dxa"/>
            <w:vAlign w:val="top"/>
          </w:tcPr>
          <w:p w14:paraId="16973D47">
            <w:pPr>
              <w:spacing w:before="157" w:line="493" w:lineRule="auto"/>
              <w:ind w:left="152" w:right="151" w:firstLine="3"/>
              <w:jc w:val="both"/>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发变组非电量保护C</w:t>
            </w:r>
            <w:r>
              <w:rPr>
                <w:rFonts w:ascii="宋体" w:hAnsi="宋体" w:eastAsia="宋体" w:cs="宋体"/>
                <w:color w:val="auto"/>
                <w:spacing w:val="-37"/>
                <w:sz w:val="18"/>
                <w:szCs w:val="18"/>
                <w:highlight w:val="none"/>
              </w:rPr>
              <w:t xml:space="preserve"> </w:t>
            </w:r>
            <w:r>
              <w:rPr>
                <w:rFonts w:ascii="宋体" w:hAnsi="宋体" w:eastAsia="宋体" w:cs="宋体"/>
                <w:color w:val="auto"/>
                <w:spacing w:val="2"/>
                <w:sz w:val="18"/>
                <w:szCs w:val="18"/>
                <w:highlight w:val="none"/>
              </w:rPr>
              <w:t>屏（含非</w:t>
            </w:r>
            <w:r>
              <w:rPr>
                <w:rFonts w:ascii="宋体" w:hAnsi="宋体" w:eastAsia="宋体" w:cs="宋体"/>
                <w:color w:val="auto"/>
                <w:sz w:val="18"/>
                <w:szCs w:val="18"/>
                <w:highlight w:val="none"/>
              </w:rPr>
              <w:t xml:space="preserve"> </w:t>
            </w:r>
            <w:r>
              <w:rPr>
                <w:rFonts w:ascii="宋体" w:hAnsi="宋体" w:eastAsia="宋体" w:cs="宋体"/>
                <w:color w:val="auto"/>
                <w:spacing w:val="-1"/>
                <w:sz w:val="18"/>
                <w:szCs w:val="18"/>
                <w:highlight w:val="none"/>
              </w:rPr>
              <w:t>电量保护装置一套，此外配置</w:t>
            </w:r>
            <w:r>
              <w:rPr>
                <w:rFonts w:ascii="宋体" w:hAnsi="宋体" w:eastAsia="宋体" w:cs="宋体"/>
                <w:color w:val="auto"/>
                <w:spacing w:val="5"/>
                <w:sz w:val="18"/>
                <w:szCs w:val="18"/>
                <w:highlight w:val="none"/>
              </w:rPr>
              <w:t xml:space="preserve"> </w:t>
            </w:r>
            <w:r>
              <w:rPr>
                <w:rFonts w:ascii="宋体" w:hAnsi="宋体" w:eastAsia="宋体" w:cs="宋体"/>
                <w:color w:val="auto"/>
                <w:spacing w:val="-1"/>
                <w:sz w:val="18"/>
                <w:szCs w:val="18"/>
                <w:highlight w:val="none"/>
              </w:rPr>
              <w:t>操作继电器箱、威图屏柜及附</w:t>
            </w:r>
          </w:p>
          <w:p w14:paraId="07E9B472">
            <w:pPr>
              <w:spacing w:before="24" w:line="219" w:lineRule="auto"/>
              <w:ind w:left="1144"/>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件）</w:t>
            </w:r>
          </w:p>
        </w:tc>
        <w:tc>
          <w:tcPr>
            <w:tcW w:w="1399" w:type="dxa"/>
            <w:vAlign w:val="top"/>
          </w:tcPr>
          <w:p w14:paraId="51741A38">
            <w:pPr>
              <w:pStyle w:val="7"/>
              <w:rPr>
                <w:color w:val="auto"/>
                <w:highlight w:val="none"/>
              </w:rPr>
            </w:pPr>
          </w:p>
        </w:tc>
        <w:tc>
          <w:tcPr>
            <w:tcW w:w="779" w:type="dxa"/>
            <w:vAlign w:val="top"/>
          </w:tcPr>
          <w:p w14:paraId="18F5F2B0">
            <w:pPr>
              <w:pStyle w:val="7"/>
              <w:spacing w:line="275" w:lineRule="auto"/>
              <w:rPr>
                <w:color w:val="auto"/>
                <w:highlight w:val="none"/>
              </w:rPr>
            </w:pPr>
          </w:p>
          <w:p w14:paraId="29E054E3">
            <w:pPr>
              <w:pStyle w:val="7"/>
              <w:spacing w:line="275" w:lineRule="auto"/>
              <w:rPr>
                <w:color w:val="auto"/>
                <w:highlight w:val="none"/>
              </w:rPr>
            </w:pPr>
          </w:p>
          <w:p w14:paraId="428DB4DA">
            <w:pPr>
              <w:pStyle w:val="7"/>
              <w:spacing w:line="275" w:lineRule="auto"/>
              <w:rPr>
                <w:color w:val="auto"/>
                <w:highlight w:val="none"/>
              </w:rPr>
            </w:pPr>
          </w:p>
          <w:p w14:paraId="6F625308">
            <w:pPr>
              <w:spacing w:before="58" w:line="221" w:lineRule="auto"/>
              <w:ind w:left="305"/>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5EC9A22E">
            <w:pPr>
              <w:pStyle w:val="7"/>
              <w:spacing w:line="284" w:lineRule="auto"/>
              <w:rPr>
                <w:color w:val="auto"/>
                <w:highlight w:val="none"/>
              </w:rPr>
            </w:pPr>
          </w:p>
          <w:p w14:paraId="096EEB00">
            <w:pPr>
              <w:pStyle w:val="7"/>
              <w:spacing w:line="284" w:lineRule="auto"/>
              <w:rPr>
                <w:color w:val="auto"/>
                <w:highlight w:val="none"/>
              </w:rPr>
            </w:pPr>
          </w:p>
          <w:p w14:paraId="23C74085">
            <w:pPr>
              <w:pStyle w:val="7"/>
              <w:spacing w:line="284" w:lineRule="auto"/>
              <w:rPr>
                <w:color w:val="auto"/>
                <w:highlight w:val="none"/>
              </w:rPr>
            </w:pPr>
          </w:p>
          <w:p w14:paraId="55355368">
            <w:pPr>
              <w:spacing w:before="59" w:line="184" w:lineRule="auto"/>
              <w:ind w:left="29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4009B270">
            <w:pPr>
              <w:pStyle w:val="7"/>
              <w:rPr>
                <w:color w:val="auto"/>
                <w:highlight w:val="none"/>
              </w:rPr>
            </w:pPr>
          </w:p>
        </w:tc>
        <w:tc>
          <w:tcPr>
            <w:tcW w:w="1039" w:type="dxa"/>
            <w:vAlign w:val="top"/>
          </w:tcPr>
          <w:p w14:paraId="11891B49">
            <w:pPr>
              <w:pStyle w:val="7"/>
              <w:rPr>
                <w:color w:val="auto"/>
                <w:highlight w:val="none"/>
              </w:rPr>
            </w:pPr>
          </w:p>
        </w:tc>
        <w:tc>
          <w:tcPr>
            <w:tcW w:w="783" w:type="dxa"/>
            <w:vAlign w:val="top"/>
          </w:tcPr>
          <w:p w14:paraId="2CF67421">
            <w:pPr>
              <w:pStyle w:val="7"/>
              <w:rPr>
                <w:color w:val="auto"/>
                <w:highlight w:val="none"/>
              </w:rPr>
            </w:pPr>
          </w:p>
        </w:tc>
      </w:tr>
      <w:tr w14:paraId="6145C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960" w:hRule="atLeast"/>
        </w:trPr>
        <w:tc>
          <w:tcPr>
            <w:tcW w:w="590" w:type="dxa"/>
            <w:vAlign w:val="top"/>
          </w:tcPr>
          <w:p w14:paraId="71663CA6">
            <w:pPr>
              <w:pStyle w:val="7"/>
              <w:spacing w:line="285" w:lineRule="auto"/>
              <w:rPr>
                <w:color w:val="auto"/>
                <w:highlight w:val="none"/>
              </w:rPr>
            </w:pPr>
          </w:p>
          <w:p w14:paraId="18964E21">
            <w:pPr>
              <w:pStyle w:val="7"/>
              <w:spacing w:line="285" w:lineRule="auto"/>
              <w:rPr>
                <w:color w:val="auto"/>
                <w:highlight w:val="none"/>
              </w:rPr>
            </w:pPr>
          </w:p>
          <w:p w14:paraId="178120DE">
            <w:pPr>
              <w:pStyle w:val="7"/>
              <w:spacing w:line="285" w:lineRule="auto"/>
              <w:rPr>
                <w:color w:val="auto"/>
                <w:highlight w:val="none"/>
              </w:rPr>
            </w:pPr>
          </w:p>
          <w:p w14:paraId="196F0977">
            <w:pPr>
              <w:spacing w:before="59" w:line="184" w:lineRule="auto"/>
              <w:ind w:left="178"/>
              <w:rPr>
                <w:rFonts w:hint="eastAsia" w:ascii="宋体" w:hAnsi="宋体" w:eastAsia="宋体" w:cs="宋体"/>
                <w:color w:val="auto"/>
                <w:sz w:val="18"/>
                <w:szCs w:val="18"/>
                <w:highlight w:val="none"/>
                <w:lang w:val="en-US" w:eastAsia="zh-CN"/>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3</w:t>
            </w:r>
          </w:p>
        </w:tc>
        <w:tc>
          <w:tcPr>
            <w:tcW w:w="2643" w:type="dxa"/>
            <w:vAlign w:val="top"/>
          </w:tcPr>
          <w:p w14:paraId="0BBB9706">
            <w:pPr>
              <w:spacing w:before="157" w:line="219" w:lineRule="auto"/>
              <w:ind w:left="156"/>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发变组保护管理机屏（配置主</w:t>
            </w:r>
          </w:p>
          <w:p w14:paraId="199BEB9B">
            <w:pPr>
              <w:spacing w:before="276" w:line="219" w:lineRule="auto"/>
              <w:ind w:right="14"/>
              <w:jc w:val="right"/>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机、液晶显示器、通讯管理机、</w:t>
            </w:r>
          </w:p>
          <w:p w14:paraId="31328893">
            <w:pPr>
              <w:spacing w:before="276" w:line="219" w:lineRule="auto"/>
              <w:ind w:left="15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交换机、打印机、威图屏柜及</w:t>
            </w:r>
          </w:p>
          <w:p w14:paraId="44F98CF8">
            <w:pPr>
              <w:spacing w:before="273" w:line="219" w:lineRule="auto"/>
              <w:ind w:left="1067"/>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附件）</w:t>
            </w:r>
          </w:p>
        </w:tc>
        <w:tc>
          <w:tcPr>
            <w:tcW w:w="1399" w:type="dxa"/>
            <w:vAlign w:val="top"/>
          </w:tcPr>
          <w:p w14:paraId="78A1A382">
            <w:pPr>
              <w:pStyle w:val="7"/>
              <w:rPr>
                <w:color w:val="auto"/>
                <w:highlight w:val="none"/>
              </w:rPr>
            </w:pPr>
          </w:p>
        </w:tc>
        <w:tc>
          <w:tcPr>
            <w:tcW w:w="779" w:type="dxa"/>
            <w:vAlign w:val="top"/>
          </w:tcPr>
          <w:p w14:paraId="45A9B3C4">
            <w:pPr>
              <w:pStyle w:val="7"/>
              <w:spacing w:line="276" w:lineRule="auto"/>
              <w:rPr>
                <w:color w:val="auto"/>
                <w:highlight w:val="none"/>
              </w:rPr>
            </w:pPr>
          </w:p>
          <w:p w14:paraId="7AB75AE1">
            <w:pPr>
              <w:pStyle w:val="7"/>
              <w:spacing w:line="276" w:lineRule="auto"/>
              <w:rPr>
                <w:color w:val="auto"/>
                <w:highlight w:val="none"/>
              </w:rPr>
            </w:pPr>
          </w:p>
          <w:p w14:paraId="5A1F591B">
            <w:pPr>
              <w:pStyle w:val="7"/>
              <w:spacing w:line="276" w:lineRule="auto"/>
              <w:rPr>
                <w:color w:val="auto"/>
                <w:highlight w:val="none"/>
              </w:rPr>
            </w:pPr>
          </w:p>
          <w:p w14:paraId="3268D6DB">
            <w:pPr>
              <w:spacing w:before="58" w:line="221" w:lineRule="auto"/>
              <w:ind w:left="305"/>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0D11C2C6">
            <w:pPr>
              <w:pStyle w:val="7"/>
              <w:spacing w:line="285" w:lineRule="auto"/>
              <w:rPr>
                <w:color w:val="auto"/>
                <w:highlight w:val="none"/>
              </w:rPr>
            </w:pPr>
          </w:p>
          <w:p w14:paraId="2C61CE07">
            <w:pPr>
              <w:pStyle w:val="7"/>
              <w:spacing w:line="285" w:lineRule="auto"/>
              <w:rPr>
                <w:color w:val="auto"/>
                <w:highlight w:val="none"/>
              </w:rPr>
            </w:pPr>
          </w:p>
          <w:p w14:paraId="49C6E8AC">
            <w:pPr>
              <w:pStyle w:val="7"/>
              <w:spacing w:line="285" w:lineRule="auto"/>
              <w:rPr>
                <w:color w:val="auto"/>
                <w:highlight w:val="none"/>
              </w:rPr>
            </w:pPr>
          </w:p>
          <w:p w14:paraId="61D239FA">
            <w:pPr>
              <w:spacing w:before="59" w:line="184" w:lineRule="auto"/>
              <w:ind w:left="29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22AD0684">
            <w:pPr>
              <w:pStyle w:val="7"/>
              <w:rPr>
                <w:color w:val="auto"/>
                <w:highlight w:val="none"/>
              </w:rPr>
            </w:pPr>
          </w:p>
        </w:tc>
        <w:tc>
          <w:tcPr>
            <w:tcW w:w="1039" w:type="dxa"/>
            <w:vAlign w:val="top"/>
          </w:tcPr>
          <w:p w14:paraId="7C542553">
            <w:pPr>
              <w:pStyle w:val="7"/>
              <w:rPr>
                <w:color w:val="auto"/>
                <w:highlight w:val="none"/>
              </w:rPr>
            </w:pPr>
          </w:p>
        </w:tc>
        <w:tc>
          <w:tcPr>
            <w:tcW w:w="783" w:type="dxa"/>
            <w:vAlign w:val="top"/>
          </w:tcPr>
          <w:p w14:paraId="64D361D7">
            <w:pPr>
              <w:pStyle w:val="7"/>
              <w:rPr>
                <w:color w:val="auto"/>
                <w:highlight w:val="none"/>
              </w:rPr>
            </w:pPr>
          </w:p>
        </w:tc>
      </w:tr>
      <w:tr w14:paraId="71650F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7FEB7CCC">
            <w:pPr>
              <w:pStyle w:val="7"/>
              <w:spacing w:line="285" w:lineRule="auto"/>
              <w:rPr>
                <w:color w:val="auto"/>
                <w:highlight w:val="none"/>
              </w:rPr>
            </w:pPr>
          </w:p>
          <w:p w14:paraId="4FA6C726">
            <w:pPr>
              <w:pStyle w:val="7"/>
              <w:spacing w:line="285" w:lineRule="auto"/>
              <w:rPr>
                <w:color w:val="auto"/>
                <w:highlight w:val="none"/>
              </w:rPr>
            </w:pPr>
          </w:p>
          <w:p w14:paraId="55574982">
            <w:pPr>
              <w:pStyle w:val="7"/>
              <w:spacing w:line="286" w:lineRule="auto"/>
              <w:rPr>
                <w:color w:val="auto"/>
                <w:highlight w:val="none"/>
              </w:rPr>
            </w:pPr>
          </w:p>
          <w:p w14:paraId="65E0606B">
            <w:pPr>
              <w:spacing w:before="58" w:line="184" w:lineRule="auto"/>
              <w:ind w:left="178"/>
              <w:rPr>
                <w:rFonts w:hint="eastAsia" w:ascii="宋体" w:hAnsi="宋体" w:eastAsia="宋体" w:cs="宋体"/>
                <w:color w:val="auto"/>
                <w:sz w:val="18"/>
                <w:szCs w:val="18"/>
                <w:highlight w:val="none"/>
                <w:lang w:val="en-US" w:eastAsia="zh-CN"/>
              </w:rPr>
            </w:pPr>
            <w:r>
              <w:rPr>
                <w:rFonts w:ascii="宋体" w:hAnsi="宋体" w:eastAsia="宋体" w:cs="宋体"/>
                <w:color w:val="auto"/>
                <w:spacing w:val="-4"/>
                <w:sz w:val="18"/>
                <w:szCs w:val="18"/>
                <w:highlight w:val="none"/>
              </w:rPr>
              <w:t>1_</w:t>
            </w:r>
            <w:r>
              <w:rPr>
                <w:rFonts w:hint="eastAsia" w:ascii="宋体" w:hAnsi="宋体" w:eastAsia="宋体" w:cs="宋体"/>
                <w:color w:val="auto"/>
                <w:spacing w:val="-4"/>
                <w:sz w:val="18"/>
                <w:szCs w:val="18"/>
                <w:highlight w:val="none"/>
                <w:lang w:val="en-US" w:eastAsia="zh-CN"/>
              </w:rPr>
              <w:t>4</w:t>
            </w:r>
          </w:p>
        </w:tc>
        <w:tc>
          <w:tcPr>
            <w:tcW w:w="2643" w:type="dxa"/>
            <w:vAlign w:val="top"/>
          </w:tcPr>
          <w:p w14:paraId="3F341271">
            <w:pPr>
              <w:spacing w:before="158" w:line="489" w:lineRule="auto"/>
              <w:ind w:left="174" w:right="151" w:hanging="1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高压启备变保护装置</w:t>
            </w:r>
            <w:r>
              <w:rPr>
                <w:rFonts w:ascii="宋体" w:hAnsi="宋体" w:eastAsia="宋体" w:cs="宋体"/>
                <w:color w:val="auto"/>
                <w:spacing w:val="-40"/>
                <w:sz w:val="18"/>
                <w:szCs w:val="18"/>
                <w:highlight w:val="none"/>
              </w:rPr>
              <w:t xml:space="preserve"> </w:t>
            </w:r>
            <w:r>
              <w:rPr>
                <w:rFonts w:ascii="宋体" w:hAnsi="宋体" w:eastAsia="宋体" w:cs="宋体"/>
                <w:color w:val="auto"/>
                <w:spacing w:val="-2"/>
                <w:sz w:val="18"/>
                <w:szCs w:val="18"/>
                <w:highlight w:val="none"/>
              </w:rPr>
              <w:t>A</w:t>
            </w:r>
            <w:r>
              <w:rPr>
                <w:rFonts w:ascii="宋体" w:hAnsi="宋体" w:eastAsia="宋体" w:cs="宋体"/>
                <w:color w:val="auto"/>
                <w:spacing w:val="-37"/>
                <w:sz w:val="18"/>
                <w:szCs w:val="18"/>
                <w:highlight w:val="none"/>
              </w:rPr>
              <w:t xml:space="preserve"> </w:t>
            </w:r>
            <w:r>
              <w:rPr>
                <w:rFonts w:ascii="宋体" w:hAnsi="宋体" w:eastAsia="宋体" w:cs="宋体"/>
                <w:color w:val="auto"/>
                <w:spacing w:val="-2"/>
                <w:sz w:val="18"/>
                <w:szCs w:val="18"/>
                <w:highlight w:val="none"/>
              </w:rPr>
              <w:t>屏（含</w:t>
            </w:r>
            <w:r>
              <w:rPr>
                <w:rFonts w:ascii="宋体" w:hAnsi="宋体" w:eastAsia="宋体" w:cs="宋体"/>
                <w:color w:val="auto"/>
                <w:sz w:val="18"/>
                <w:szCs w:val="18"/>
                <w:highlight w:val="none"/>
              </w:rPr>
              <w:t xml:space="preserve"> </w:t>
            </w:r>
            <w:r>
              <w:rPr>
                <w:rFonts w:ascii="宋体" w:hAnsi="宋体" w:eastAsia="宋体" w:cs="宋体"/>
                <w:color w:val="auto"/>
                <w:spacing w:val="-3"/>
                <w:sz w:val="18"/>
                <w:szCs w:val="18"/>
                <w:highlight w:val="none"/>
              </w:rPr>
              <w:t>电气量保护装置一套，此外配</w:t>
            </w:r>
          </w:p>
          <w:p w14:paraId="6EBD17DB">
            <w:pPr>
              <w:spacing w:before="25" w:line="219" w:lineRule="auto"/>
              <w:ind w:left="152"/>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置操作继电器箱、威图屏柜及</w:t>
            </w:r>
          </w:p>
          <w:p w14:paraId="2E696621">
            <w:pPr>
              <w:spacing w:before="275" w:line="219" w:lineRule="auto"/>
              <w:ind w:left="1067"/>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附件）</w:t>
            </w:r>
          </w:p>
        </w:tc>
        <w:tc>
          <w:tcPr>
            <w:tcW w:w="1399" w:type="dxa"/>
            <w:vAlign w:val="top"/>
          </w:tcPr>
          <w:p w14:paraId="2A14DE05">
            <w:pPr>
              <w:pStyle w:val="7"/>
              <w:rPr>
                <w:color w:val="auto"/>
                <w:highlight w:val="none"/>
              </w:rPr>
            </w:pPr>
          </w:p>
        </w:tc>
        <w:tc>
          <w:tcPr>
            <w:tcW w:w="779" w:type="dxa"/>
            <w:vAlign w:val="top"/>
          </w:tcPr>
          <w:p w14:paraId="4D3E3E3A">
            <w:pPr>
              <w:pStyle w:val="7"/>
              <w:spacing w:line="276" w:lineRule="auto"/>
              <w:rPr>
                <w:color w:val="auto"/>
                <w:highlight w:val="none"/>
              </w:rPr>
            </w:pPr>
          </w:p>
          <w:p w14:paraId="2FE76A2E">
            <w:pPr>
              <w:pStyle w:val="7"/>
              <w:spacing w:line="276" w:lineRule="auto"/>
              <w:rPr>
                <w:color w:val="auto"/>
                <w:highlight w:val="none"/>
              </w:rPr>
            </w:pPr>
          </w:p>
          <w:p w14:paraId="0B3BF685">
            <w:pPr>
              <w:pStyle w:val="7"/>
              <w:spacing w:line="276" w:lineRule="auto"/>
              <w:rPr>
                <w:color w:val="auto"/>
                <w:highlight w:val="none"/>
              </w:rPr>
            </w:pPr>
          </w:p>
          <w:p w14:paraId="611CB93A">
            <w:pPr>
              <w:spacing w:before="59" w:line="221" w:lineRule="auto"/>
              <w:ind w:left="305"/>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3283AE70">
            <w:pPr>
              <w:pStyle w:val="7"/>
              <w:spacing w:line="285" w:lineRule="auto"/>
              <w:rPr>
                <w:color w:val="auto"/>
                <w:highlight w:val="none"/>
              </w:rPr>
            </w:pPr>
          </w:p>
          <w:p w14:paraId="40E08A25">
            <w:pPr>
              <w:pStyle w:val="7"/>
              <w:spacing w:line="285" w:lineRule="auto"/>
              <w:rPr>
                <w:color w:val="auto"/>
                <w:highlight w:val="none"/>
              </w:rPr>
            </w:pPr>
          </w:p>
          <w:p w14:paraId="16B0399F">
            <w:pPr>
              <w:pStyle w:val="7"/>
              <w:spacing w:line="286" w:lineRule="auto"/>
              <w:rPr>
                <w:color w:val="auto"/>
                <w:highlight w:val="none"/>
              </w:rPr>
            </w:pPr>
          </w:p>
          <w:p w14:paraId="01BED0D2">
            <w:pPr>
              <w:spacing w:before="58" w:line="184" w:lineRule="auto"/>
              <w:ind w:left="29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7317A057">
            <w:pPr>
              <w:pStyle w:val="7"/>
              <w:rPr>
                <w:color w:val="auto"/>
                <w:highlight w:val="none"/>
              </w:rPr>
            </w:pPr>
          </w:p>
        </w:tc>
        <w:tc>
          <w:tcPr>
            <w:tcW w:w="1039" w:type="dxa"/>
            <w:vAlign w:val="top"/>
          </w:tcPr>
          <w:p w14:paraId="1126B129">
            <w:pPr>
              <w:pStyle w:val="7"/>
              <w:rPr>
                <w:color w:val="auto"/>
                <w:highlight w:val="none"/>
              </w:rPr>
            </w:pPr>
          </w:p>
        </w:tc>
        <w:tc>
          <w:tcPr>
            <w:tcW w:w="783" w:type="dxa"/>
            <w:vAlign w:val="top"/>
          </w:tcPr>
          <w:p w14:paraId="2D778882">
            <w:pPr>
              <w:pStyle w:val="7"/>
              <w:rPr>
                <w:color w:val="auto"/>
                <w:highlight w:val="none"/>
              </w:rPr>
            </w:pPr>
          </w:p>
        </w:tc>
      </w:tr>
      <w:tr w14:paraId="6E2B09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334DEBA5">
            <w:pPr>
              <w:pStyle w:val="7"/>
              <w:spacing w:line="284" w:lineRule="auto"/>
              <w:rPr>
                <w:color w:val="auto"/>
                <w:highlight w:val="none"/>
              </w:rPr>
            </w:pPr>
          </w:p>
          <w:p w14:paraId="07C20576">
            <w:pPr>
              <w:pStyle w:val="7"/>
              <w:spacing w:line="284" w:lineRule="auto"/>
              <w:rPr>
                <w:color w:val="auto"/>
                <w:highlight w:val="none"/>
              </w:rPr>
            </w:pPr>
          </w:p>
          <w:p w14:paraId="17CD09AF">
            <w:pPr>
              <w:pStyle w:val="7"/>
              <w:spacing w:line="285" w:lineRule="auto"/>
              <w:rPr>
                <w:color w:val="auto"/>
                <w:highlight w:val="none"/>
              </w:rPr>
            </w:pPr>
          </w:p>
          <w:p w14:paraId="2D09F53A">
            <w:pPr>
              <w:spacing w:before="58" w:line="184" w:lineRule="auto"/>
              <w:ind w:left="178" w:leftChars="0"/>
              <w:rPr>
                <w:rFonts w:ascii="宋体" w:hAnsi="宋体" w:eastAsia="宋体" w:cs="宋体"/>
                <w:color w:val="auto"/>
                <w:spacing w:val="-4"/>
                <w:sz w:val="18"/>
                <w:szCs w:val="18"/>
                <w:highlight w:val="none"/>
              </w:rPr>
            </w:pPr>
            <w:r>
              <w:rPr>
                <w:rFonts w:ascii="宋体" w:hAnsi="宋体" w:eastAsia="宋体" w:cs="宋体"/>
                <w:color w:val="auto"/>
                <w:spacing w:val="-4"/>
                <w:sz w:val="18"/>
                <w:szCs w:val="18"/>
                <w:highlight w:val="none"/>
              </w:rPr>
              <w:t>1_</w:t>
            </w:r>
            <w:r>
              <w:rPr>
                <w:rFonts w:hint="eastAsia" w:ascii="宋体" w:hAnsi="宋体" w:eastAsia="宋体" w:cs="宋体"/>
                <w:color w:val="auto"/>
                <w:spacing w:val="-4"/>
                <w:sz w:val="18"/>
                <w:szCs w:val="18"/>
                <w:highlight w:val="none"/>
                <w:lang w:val="en-US" w:eastAsia="zh-CN"/>
              </w:rPr>
              <w:t>5</w:t>
            </w:r>
          </w:p>
        </w:tc>
        <w:tc>
          <w:tcPr>
            <w:tcW w:w="2643" w:type="dxa"/>
            <w:vAlign w:val="top"/>
          </w:tcPr>
          <w:p w14:paraId="0CF1B5EE">
            <w:pPr>
              <w:spacing w:before="157" w:line="219" w:lineRule="auto"/>
              <w:ind w:left="115"/>
              <w:rPr>
                <w:rFonts w:ascii="宋体" w:hAnsi="宋体" w:eastAsia="宋体" w:cs="宋体"/>
                <w:color w:val="auto"/>
                <w:sz w:val="18"/>
                <w:szCs w:val="18"/>
                <w:highlight w:val="none"/>
              </w:rPr>
            </w:pPr>
            <w:r>
              <w:rPr>
                <w:rFonts w:ascii="宋体" w:hAnsi="宋体" w:eastAsia="宋体" w:cs="宋体"/>
                <w:color w:val="auto"/>
                <w:spacing w:val="-9"/>
                <w:sz w:val="18"/>
                <w:szCs w:val="18"/>
                <w:highlight w:val="none"/>
              </w:rPr>
              <w:t>高压启备变非电量保护</w:t>
            </w:r>
            <w:r>
              <w:rPr>
                <w:rFonts w:ascii="宋体" w:hAnsi="宋体" w:eastAsia="宋体" w:cs="宋体"/>
                <w:color w:val="auto"/>
                <w:spacing w:val="-34"/>
                <w:sz w:val="18"/>
                <w:szCs w:val="18"/>
                <w:highlight w:val="none"/>
              </w:rPr>
              <w:t xml:space="preserve"> </w:t>
            </w:r>
            <w:r>
              <w:rPr>
                <w:rFonts w:ascii="宋体" w:hAnsi="宋体" w:eastAsia="宋体" w:cs="宋体"/>
                <w:color w:val="auto"/>
                <w:spacing w:val="-9"/>
                <w:sz w:val="18"/>
                <w:szCs w:val="18"/>
                <w:highlight w:val="none"/>
              </w:rPr>
              <w:t>C</w:t>
            </w:r>
            <w:r>
              <w:rPr>
                <w:rFonts w:ascii="宋体" w:hAnsi="宋体" w:eastAsia="宋体" w:cs="宋体"/>
                <w:color w:val="auto"/>
                <w:spacing w:val="-35"/>
                <w:sz w:val="18"/>
                <w:szCs w:val="18"/>
                <w:highlight w:val="none"/>
              </w:rPr>
              <w:t xml:space="preserve"> </w:t>
            </w:r>
            <w:r>
              <w:rPr>
                <w:rFonts w:ascii="宋体" w:hAnsi="宋体" w:eastAsia="宋体" w:cs="宋体"/>
                <w:color w:val="auto"/>
                <w:spacing w:val="-9"/>
                <w:sz w:val="18"/>
                <w:szCs w:val="18"/>
                <w:highlight w:val="none"/>
              </w:rPr>
              <w:t>屏（含</w:t>
            </w:r>
          </w:p>
          <w:p w14:paraId="0052628C">
            <w:pPr>
              <w:spacing w:before="273" w:line="220" w:lineRule="auto"/>
              <w:ind w:left="156"/>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非电量保护装置一套，此外配</w:t>
            </w:r>
          </w:p>
          <w:p w14:paraId="4CAC2B92">
            <w:pPr>
              <w:spacing w:before="275" w:line="418" w:lineRule="auto"/>
              <w:ind w:left="426" w:leftChars="0" w:right="151" w:rightChars="0" w:hanging="274" w:firstLineChars="0"/>
              <w:rPr>
                <w:rFonts w:ascii="宋体" w:hAnsi="宋体" w:eastAsia="宋体" w:cs="宋体"/>
                <w:color w:val="auto"/>
                <w:spacing w:val="-8"/>
                <w:sz w:val="18"/>
                <w:szCs w:val="18"/>
                <w:highlight w:val="none"/>
              </w:rPr>
            </w:pPr>
            <w:r>
              <w:rPr>
                <w:rFonts w:ascii="宋体" w:hAnsi="宋体" w:eastAsia="宋体" w:cs="宋体"/>
                <w:color w:val="auto"/>
                <w:spacing w:val="-1"/>
                <w:sz w:val="18"/>
                <w:szCs w:val="18"/>
                <w:highlight w:val="none"/>
              </w:rPr>
              <w:t>置操作继电器箱、断路器操作</w:t>
            </w:r>
            <w:r>
              <w:rPr>
                <w:rFonts w:ascii="宋体" w:hAnsi="宋体" w:eastAsia="宋体" w:cs="宋体"/>
                <w:color w:val="auto"/>
                <w:spacing w:val="6"/>
                <w:sz w:val="18"/>
                <w:szCs w:val="18"/>
                <w:highlight w:val="none"/>
              </w:rPr>
              <w:t xml:space="preserve"> </w:t>
            </w:r>
            <w:r>
              <w:rPr>
                <w:rFonts w:ascii="宋体" w:hAnsi="宋体" w:eastAsia="宋体" w:cs="宋体"/>
                <w:color w:val="auto"/>
                <w:spacing w:val="-1"/>
                <w:sz w:val="18"/>
                <w:szCs w:val="18"/>
                <w:highlight w:val="none"/>
              </w:rPr>
              <w:t>箱、威图屏柜及附件）</w:t>
            </w:r>
          </w:p>
        </w:tc>
        <w:tc>
          <w:tcPr>
            <w:tcW w:w="1399" w:type="dxa"/>
            <w:vAlign w:val="top"/>
          </w:tcPr>
          <w:p w14:paraId="2B3F4A63">
            <w:pPr>
              <w:pStyle w:val="7"/>
              <w:rPr>
                <w:color w:val="auto"/>
                <w:highlight w:val="none"/>
              </w:rPr>
            </w:pPr>
          </w:p>
        </w:tc>
        <w:tc>
          <w:tcPr>
            <w:tcW w:w="779" w:type="dxa"/>
            <w:vAlign w:val="top"/>
          </w:tcPr>
          <w:p w14:paraId="5264EAD8">
            <w:pPr>
              <w:pStyle w:val="7"/>
              <w:spacing w:line="275" w:lineRule="auto"/>
              <w:rPr>
                <w:color w:val="auto"/>
                <w:highlight w:val="none"/>
              </w:rPr>
            </w:pPr>
          </w:p>
          <w:p w14:paraId="1C98A367">
            <w:pPr>
              <w:pStyle w:val="7"/>
              <w:spacing w:line="275" w:lineRule="auto"/>
              <w:rPr>
                <w:color w:val="auto"/>
                <w:highlight w:val="none"/>
              </w:rPr>
            </w:pPr>
          </w:p>
          <w:p w14:paraId="44E47D3C">
            <w:pPr>
              <w:pStyle w:val="7"/>
              <w:spacing w:line="275" w:lineRule="auto"/>
              <w:rPr>
                <w:color w:val="auto"/>
                <w:highlight w:val="none"/>
              </w:rPr>
            </w:pPr>
          </w:p>
          <w:p w14:paraId="48464A2B">
            <w:pPr>
              <w:spacing w:before="59" w:line="221"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7B056043">
            <w:pPr>
              <w:pStyle w:val="7"/>
              <w:spacing w:line="284" w:lineRule="auto"/>
              <w:rPr>
                <w:color w:val="auto"/>
                <w:highlight w:val="none"/>
              </w:rPr>
            </w:pPr>
          </w:p>
          <w:p w14:paraId="4CCE031D">
            <w:pPr>
              <w:pStyle w:val="7"/>
              <w:spacing w:line="284" w:lineRule="auto"/>
              <w:rPr>
                <w:color w:val="auto"/>
                <w:highlight w:val="none"/>
              </w:rPr>
            </w:pPr>
          </w:p>
          <w:p w14:paraId="00FE01E0">
            <w:pPr>
              <w:pStyle w:val="7"/>
              <w:spacing w:line="285" w:lineRule="auto"/>
              <w:rPr>
                <w:color w:val="auto"/>
                <w:highlight w:val="none"/>
              </w:rPr>
            </w:pPr>
          </w:p>
          <w:p w14:paraId="4AB13554">
            <w:pPr>
              <w:spacing w:before="58" w:line="184" w:lineRule="auto"/>
              <w:ind w:left="297"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7BC1D6EA">
            <w:pPr>
              <w:pStyle w:val="7"/>
              <w:rPr>
                <w:color w:val="auto"/>
                <w:highlight w:val="none"/>
              </w:rPr>
            </w:pPr>
          </w:p>
        </w:tc>
        <w:tc>
          <w:tcPr>
            <w:tcW w:w="1039" w:type="dxa"/>
            <w:vAlign w:val="top"/>
          </w:tcPr>
          <w:p w14:paraId="64B739EF">
            <w:pPr>
              <w:pStyle w:val="7"/>
              <w:rPr>
                <w:color w:val="auto"/>
                <w:highlight w:val="none"/>
              </w:rPr>
            </w:pPr>
          </w:p>
        </w:tc>
        <w:tc>
          <w:tcPr>
            <w:tcW w:w="783" w:type="dxa"/>
            <w:vAlign w:val="top"/>
          </w:tcPr>
          <w:p w14:paraId="3284A021">
            <w:pPr>
              <w:pStyle w:val="7"/>
              <w:rPr>
                <w:color w:val="auto"/>
                <w:highlight w:val="none"/>
              </w:rPr>
            </w:pPr>
          </w:p>
        </w:tc>
      </w:tr>
      <w:tr w14:paraId="0EEA27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48CA1489">
            <w:pPr>
              <w:pStyle w:val="7"/>
              <w:spacing w:line="284" w:lineRule="auto"/>
              <w:rPr>
                <w:color w:val="auto"/>
                <w:highlight w:val="none"/>
              </w:rPr>
            </w:pPr>
          </w:p>
          <w:p w14:paraId="1F4B18E8">
            <w:pPr>
              <w:pStyle w:val="7"/>
              <w:spacing w:line="284" w:lineRule="auto"/>
              <w:rPr>
                <w:color w:val="auto"/>
                <w:highlight w:val="none"/>
              </w:rPr>
            </w:pPr>
          </w:p>
          <w:p w14:paraId="13A5958E">
            <w:pPr>
              <w:pStyle w:val="7"/>
              <w:spacing w:line="285" w:lineRule="auto"/>
              <w:rPr>
                <w:color w:val="auto"/>
                <w:highlight w:val="none"/>
              </w:rPr>
            </w:pPr>
          </w:p>
          <w:p w14:paraId="5F45EF71">
            <w:pPr>
              <w:spacing w:before="59" w:line="184" w:lineRule="auto"/>
              <w:ind w:left="128" w:leftChars="0"/>
              <w:rPr>
                <w:rFonts w:ascii="宋体" w:hAnsi="宋体" w:eastAsia="宋体" w:cs="宋体"/>
                <w:color w:val="auto"/>
                <w:spacing w:val="-4"/>
                <w:sz w:val="18"/>
                <w:szCs w:val="18"/>
                <w:highlight w:val="none"/>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6</w:t>
            </w:r>
          </w:p>
        </w:tc>
        <w:tc>
          <w:tcPr>
            <w:tcW w:w="2643" w:type="dxa"/>
            <w:vAlign w:val="top"/>
          </w:tcPr>
          <w:p w14:paraId="0FC29A60">
            <w:pPr>
              <w:keepNext w:val="0"/>
              <w:keepLines w:val="0"/>
              <w:pageBreakBefore w:val="0"/>
              <w:widowControl/>
              <w:kinsoku w:val="0"/>
              <w:wordWrap/>
              <w:overflowPunct/>
              <w:topLinePunct w:val="0"/>
              <w:autoSpaceDE w:val="0"/>
              <w:autoSpaceDN w:val="0"/>
              <w:bidi w:val="0"/>
              <w:adjustRightInd w:val="0"/>
              <w:snapToGrid w:val="0"/>
              <w:spacing w:before="157" w:line="492" w:lineRule="auto"/>
              <w:ind w:left="153" w:leftChars="0" w:right="153" w:rightChars="0" w:firstLine="6" w:firstLineChars="0"/>
              <w:jc w:val="both"/>
              <w:textAlignment w:val="baseline"/>
              <w:rPr>
                <w:rFonts w:ascii="宋体" w:hAnsi="宋体" w:eastAsia="宋体" w:cs="宋体"/>
                <w:color w:val="auto"/>
                <w:spacing w:val="-8"/>
                <w:sz w:val="18"/>
                <w:szCs w:val="18"/>
                <w:highlight w:val="none"/>
              </w:rPr>
            </w:pPr>
            <w:r>
              <w:rPr>
                <w:rFonts w:ascii="宋体" w:hAnsi="宋体" w:eastAsia="宋体" w:cs="宋体"/>
                <w:color w:val="auto"/>
                <w:spacing w:val="-1"/>
                <w:sz w:val="18"/>
                <w:szCs w:val="18"/>
                <w:highlight w:val="none"/>
              </w:rPr>
              <w:t>高压启备变保护管理机屏（配置主机、液晶显示器、通讯管理机、交换机、打印机、威图</w:t>
            </w:r>
            <w:r>
              <w:rPr>
                <w:rFonts w:ascii="宋体" w:hAnsi="宋体" w:eastAsia="宋体" w:cs="宋体"/>
                <w:color w:val="auto"/>
                <w:spacing w:val="-2"/>
                <w:sz w:val="18"/>
                <w:szCs w:val="18"/>
                <w:highlight w:val="none"/>
              </w:rPr>
              <w:t>屏柜及附件）</w:t>
            </w:r>
          </w:p>
        </w:tc>
        <w:tc>
          <w:tcPr>
            <w:tcW w:w="1399" w:type="dxa"/>
            <w:vAlign w:val="top"/>
          </w:tcPr>
          <w:p w14:paraId="19530CA8">
            <w:pPr>
              <w:pStyle w:val="7"/>
              <w:rPr>
                <w:color w:val="auto"/>
                <w:highlight w:val="none"/>
              </w:rPr>
            </w:pPr>
          </w:p>
        </w:tc>
        <w:tc>
          <w:tcPr>
            <w:tcW w:w="779" w:type="dxa"/>
            <w:vAlign w:val="top"/>
          </w:tcPr>
          <w:p w14:paraId="6113AE46">
            <w:pPr>
              <w:pStyle w:val="7"/>
              <w:spacing w:line="275" w:lineRule="auto"/>
              <w:rPr>
                <w:color w:val="auto"/>
                <w:highlight w:val="none"/>
              </w:rPr>
            </w:pPr>
          </w:p>
          <w:p w14:paraId="49577B3B">
            <w:pPr>
              <w:pStyle w:val="7"/>
              <w:spacing w:line="275" w:lineRule="auto"/>
              <w:rPr>
                <w:color w:val="auto"/>
                <w:highlight w:val="none"/>
              </w:rPr>
            </w:pPr>
          </w:p>
          <w:p w14:paraId="2CA80AB2">
            <w:pPr>
              <w:pStyle w:val="7"/>
              <w:spacing w:line="276" w:lineRule="auto"/>
              <w:rPr>
                <w:color w:val="auto"/>
                <w:highlight w:val="none"/>
              </w:rPr>
            </w:pPr>
          </w:p>
          <w:p w14:paraId="19341AB8">
            <w:pPr>
              <w:spacing w:before="58" w:line="221"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面</w:t>
            </w:r>
          </w:p>
        </w:tc>
        <w:tc>
          <w:tcPr>
            <w:tcW w:w="648" w:type="dxa"/>
            <w:vAlign w:val="top"/>
          </w:tcPr>
          <w:p w14:paraId="5F06C830">
            <w:pPr>
              <w:pStyle w:val="7"/>
              <w:spacing w:line="284" w:lineRule="auto"/>
              <w:rPr>
                <w:color w:val="auto"/>
                <w:highlight w:val="none"/>
              </w:rPr>
            </w:pPr>
          </w:p>
          <w:p w14:paraId="6D3748A0">
            <w:pPr>
              <w:pStyle w:val="7"/>
              <w:spacing w:line="284" w:lineRule="auto"/>
              <w:rPr>
                <w:color w:val="auto"/>
                <w:highlight w:val="none"/>
              </w:rPr>
            </w:pPr>
          </w:p>
          <w:p w14:paraId="49434462">
            <w:pPr>
              <w:pStyle w:val="7"/>
              <w:spacing w:line="285" w:lineRule="auto"/>
              <w:rPr>
                <w:color w:val="auto"/>
                <w:highlight w:val="none"/>
              </w:rPr>
            </w:pPr>
          </w:p>
          <w:p w14:paraId="6D339855">
            <w:pPr>
              <w:spacing w:before="59" w:line="184" w:lineRule="auto"/>
              <w:ind w:left="297"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7BC42ADF">
            <w:pPr>
              <w:pStyle w:val="7"/>
              <w:rPr>
                <w:color w:val="auto"/>
                <w:highlight w:val="none"/>
              </w:rPr>
            </w:pPr>
          </w:p>
        </w:tc>
        <w:tc>
          <w:tcPr>
            <w:tcW w:w="1039" w:type="dxa"/>
            <w:vAlign w:val="top"/>
          </w:tcPr>
          <w:p w14:paraId="61CB0D94">
            <w:pPr>
              <w:pStyle w:val="7"/>
              <w:rPr>
                <w:color w:val="auto"/>
                <w:highlight w:val="none"/>
              </w:rPr>
            </w:pPr>
          </w:p>
        </w:tc>
        <w:tc>
          <w:tcPr>
            <w:tcW w:w="783" w:type="dxa"/>
            <w:vAlign w:val="top"/>
          </w:tcPr>
          <w:p w14:paraId="2727B92C">
            <w:pPr>
              <w:pStyle w:val="7"/>
              <w:rPr>
                <w:color w:val="auto"/>
                <w:highlight w:val="none"/>
              </w:rPr>
            </w:pPr>
          </w:p>
        </w:tc>
      </w:tr>
      <w:tr w14:paraId="4F94DD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4D07865B">
            <w:pPr>
              <w:pStyle w:val="7"/>
              <w:spacing w:line="370" w:lineRule="auto"/>
              <w:rPr>
                <w:color w:val="auto"/>
                <w:highlight w:val="none"/>
              </w:rPr>
            </w:pPr>
          </w:p>
          <w:p w14:paraId="03414794">
            <w:pPr>
              <w:spacing w:before="58" w:line="184" w:lineRule="auto"/>
              <w:ind w:left="178" w:leftChars="0"/>
              <w:rPr>
                <w:rFonts w:ascii="宋体" w:hAnsi="宋体" w:eastAsia="宋体" w:cs="宋体"/>
                <w:color w:val="auto"/>
                <w:spacing w:val="-4"/>
                <w:sz w:val="18"/>
                <w:szCs w:val="18"/>
                <w:highlight w:val="none"/>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7</w:t>
            </w:r>
          </w:p>
        </w:tc>
        <w:tc>
          <w:tcPr>
            <w:tcW w:w="2643" w:type="dxa"/>
            <w:vAlign w:val="top"/>
          </w:tcPr>
          <w:p w14:paraId="226AB8C5">
            <w:pPr>
              <w:spacing w:before="157" w:line="418" w:lineRule="auto"/>
              <w:ind w:left="154" w:leftChars="0" w:right="151" w:rightChars="0" w:hanging="1" w:firstLineChars="0"/>
              <w:rPr>
                <w:rFonts w:ascii="宋体" w:hAnsi="宋体" w:eastAsia="宋体" w:cs="宋体"/>
                <w:color w:val="auto"/>
                <w:spacing w:val="-8"/>
                <w:sz w:val="18"/>
                <w:szCs w:val="18"/>
                <w:highlight w:val="none"/>
              </w:rPr>
            </w:pPr>
            <w:r>
              <w:rPr>
                <w:rFonts w:ascii="宋体" w:hAnsi="宋体" w:eastAsia="宋体" w:cs="宋体"/>
                <w:color w:val="auto"/>
                <w:spacing w:val="-1"/>
                <w:sz w:val="18"/>
                <w:szCs w:val="18"/>
                <w:highlight w:val="none"/>
              </w:rPr>
              <w:t>配套光纤、网线及附件（包括</w:t>
            </w:r>
            <w:r>
              <w:rPr>
                <w:rFonts w:ascii="宋体" w:hAnsi="宋体" w:eastAsia="宋体" w:cs="宋体"/>
                <w:color w:val="auto"/>
                <w:spacing w:val="4"/>
                <w:sz w:val="18"/>
                <w:szCs w:val="18"/>
                <w:highlight w:val="none"/>
              </w:rPr>
              <w:t xml:space="preserve"> </w:t>
            </w:r>
            <w:r>
              <w:rPr>
                <w:rFonts w:ascii="宋体" w:hAnsi="宋体" w:eastAsia="宋体" w:cs="宋体"/>
                <w:color w:val="auto"/>
                <w:spacing w:val="-1"/>
                <w:sz w:val="18"/>
                <w:szCs w:val="18"/>
                <w:highlight w:val="none"/>
              </w:rPr>
              <w:t>光缆熔接工作及其通道测试）</w:t>
            </w:r>
          </w:p>
        </w:tc>
        <w:tc>
          <w:tcPr>
            <w:tcW w:w="1399" w:type="dxa"/>
            <w:vAlign w:val="top"/>
          </w:tcPr>
          <w:p w14:paraId="4AE0C1EC">
            <w:pPr>
              <w:pStyle w:val="7"/>
              <w:rPr>
                <w:color w:val="auto"/>
                <w:highlight w:val="none"/>
              </w:rPr>
            </w:pPr>
          </w:p>
        </w:tc>
        <w:tc>
          <w:tcPr>
            <w:tcW w:w="779" w:type="dxa"/>
            <w:vAlign w:val="top"/>
          </w:tcPr>
          <w:p w14:paraId="64866C8F">
            <w:pPr>
              <w:pStyle w:val="7"/>
              <w:spacing w:line="342" w:lineRule="auto"/>
              <w:rPr>
                <w:color w:val="auto"/>
                <w:highlight w:val="none"/>
              </w:rPr>
            </w:pPr>
          </w:p>
          <w:p w14:paraId="421A91AB">
            <w:pPr>
              <w:spacing w:before="59"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27FF3D78">
            <w:pPr>
              <w:pStyle w:val="7"/>
              <w:spacing w:line="371" w:lineRule="auto"/>
              <w:rPr>
                <w:color w:val="auto"/>
                <w:highlight w:val="none"/>
              </w:rPr>
            </w:pPr>
          </w:p>
          <w:p w14:paraId="20D365B9">
            <w:pPr>
              <w:spacing w:before="58" w:line="183" w:lineRule="auto"/>
              <w:ind w:left="28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645" w:type="dxa"/>
            <w:vAlign w:val="top"/>
          </w:tcPr>
          <w:p w14:paraId="32D118F4">
            <w:pPr>
              <w:pStyle w:val="7"/>
              <w:rPr>
                <w:color w:val="auto"/>
                <w:highlight w:val="none"/>
              </w:rPr>
            </w:pPr>
          </w:p>
        </w:tc>
        <w:tc>
          <w:tcPr>
            <w:tcW w:w="1039" w:type="dxa"/>
            <w:vAlign w:val="top"/>
          </w:tcPr>
          <w:p w14:paraId="3373F365">
            <w:pPr>
              <w:pStyle w:val="7"/>
              <w:rPr>
                <w:color w:val="auto"/>
                <w:highlight w:val="none"/>
              </w:rPr>
            </w:pPr>
          </w:p>
        </w:tc>
        <w:tc>
          <w:tcPr>
            <w:tcW w:w="783" w:type="dxa"/>
            <w:vAlign w:val="top"/>
          </w:tcPr>
          <w:p w14:paraId="0A4401DC">
            <w:pPr>
              <w:pStyle w:val="7"/>
              <w:rPr>
                <w:color w:val="auto"/>
                <w:highlight w:val="none"/>
              </w:rPr>
            </w:pPr>
          </w:p>
        </w:tc>
      </w:tr>
      <w:tr w14:paraId="492575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44ACB7D8">
            <w:pPr>
              <w:pStyle w:val="7"/>
              <w:spacing w:line="368" w:lineRule="auto"/>
              <w:rPr>
                <w:color w:val="auto"/>
                <w:highlight w:val="none"/>
              </w:rPr>
            </w:pPr>
          </w:p>
          <w:p w14:paraId="5801FBDD">
            <w:pPr>
              <w:spacing w:before="58" w:line="184" w:lineRule="auto"/>
              <w:ind w:left="132" w:leftChars="0"/>
              <w:rPr>
                <w:rFonts w:ascii="宋体" w:hAnsi="宋体" w:eastAsia="宋体" w:cs="宋体"/>
                <w:color w:val="auto"/>
                <w:spacing w:val="-4"/>
                <w:sz w:val="18"/>
                <w:szCs w:val="18"/>
                <w:highlight w:val="none"/>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8</w:t>
            </w:r>
          </w:p>
        </w:tc>
        <w:tc>
          <w:tcPr>
            <w:tcW w:w="2643" w:type="dxa"/>
            <w:vAlign w:val="top"/>
          </w:tcPr>
          <w:p w14:paraId="7F12A7B6">
            <w:pPr>
              <w:spacing w:before="158" w:line="417" w:lineRule="auto"/>
              <w:ind w:left="348" w:leftChars="0" w:right="45" w:rightChars="0" w:hanging="239" w:firstLineChars="0"/>
              <w:rPr>
                <w:rFonts w:ascii="宋体" w:hAnsi="宋体" w:eastAsia="宋体" w:cs="宋体"/>
                <w:color w:val="auto"/>
                <w:spacing w:val="-8"/>
                <w:sz w:val="18"/>
                <w:szCs w:val="18"/>
                <w:highlight w:val="none"/>
              </w:rPr>
            </w:pPr>
            <w:r>
              <w:rPr>
                <w:rFonts w:ascii="宋体" w:hAnsi="宋体" w:eastAsia="宋体" w:cs="宋体"/>
                <w:color w:val="auto"/>
                <w:spacing w:val="-3"/>
                <w:sz w:val="18"/>
                <w:szCs w:val="18"/>
                <w:highlight w:val="none"/>
              </w:rPr>
              <w:t>柜间连接用的专用电缆、网线、</w:t>
            </w:r>
            <w:r>
              <w:rPr>
                <w:rFonts w:ascii="宋体" w:hAnsi="宋体" w:eastAsia="宋体" w:cs="宋体"/>
                <w:color w:val="auto"/>
                <w:spacing w:val="3"/>
                <w:sz w:val="18"/>
                <w:szCs w:val="18"/>
                <w:highlight w:val="none"/>
              </w:rPr>
              <w:t xml:space="preserve"> </w:t>
            </w:r>
            <w:r>
              <w:rPr>
                <w:rFonts w:ascii="宋体" w:hAnsi="宋体" w:eastAsia="宋体" w:cs="宋体"/>
                <w:color w:val="auto"/>
                <w:spacing w:val="-3"/>
                <w:sz w:val="18"/>
                <w:szCs w:val="18"/>
                <w:highlight w:val="none"/>
              </w:rPr>
              <w:t>出口继电器等必须的附件</w:t>
            </w:r>
          </w:p>
        </w:tc>
        <w:tc>
          <w:tcPr>
            <w:tcW w:w="1399" w:type="dxa"/>
            <w:vAlign w:val="top"/>
          </w:tcPr>
          <w:p w14:paraId="77263DB6">
            <w:pPr>
              <w:pStyle w:val="7"/>
              <w:rPr>
                <w:color w:val="auto"/>
                <w:highlight w:val="none"/>
              </w:rPr>
            </w:pPr>
          </w:p>
        </w:tc>
        <w:tc>
          <w:tcPr>
            <w:tcW w:w="779" w:type="dxa"/>
            <w:vAlign w:val="top"/>
          </w:tcPr>
          <w:p w14:paraId="74C795CA">
            <w:pPr>
              <w:pStyle w:val="7"/>
              <w:spacing w:line="341" w:lineRule="auto"/>
              <w:rPr>
                <w:color w:val="auto"/>
                <w:highlight w:val="none"/>
              </w:rPr>
            </w:pPr>
          </w:p>
          <w:p w14:paraId="45CD4CAD">
            <w:pPr>
              <w:spacing w:before="58"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1BCC9807">
            <w:pPr>
              <w:pStyle w:val="7"/>
              <w:spacing w:line="369" w:lineRule="auto"/>
              <w:rPr>
                <w:color w:val="auto"/>
                <w:highlight w:val="none"/>
              </w:rPr>
            </w:pPr>
          </w:p>
          <w:p w14:paraId="004EE13C">
            <w:pPr>
              <w:spacing w:before="58" w:line="183" w:lineRule="auto"/>
              <w:ind w:left="28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645" w:type="dxa"/>
            <w:vAlign w:val="top"/>
          </w:tcPr>
          <w:p w14:paraId="496DF952">
            <w:pPr>
              <w:pStyle w:val="7"/>
              <w:rPr>
                <w:color w:val="auto"/>
                <w:highlight w:val="none"/>
              </w:rPr>
            </w:pPr>
          </w:p>
        </w:tc>
        <w:tc>
          <w:tcPr>
            <w:tcW w:w="1039" w:type="dxa"/>
            <w:vAlign w:val="top"/>
          </w:tcPr>
          <w:p w14:paraId="4A87D030">
            <w:pPr>
              <w:pStyle w:val="7"/>
              <w:rPr>
                <w:color w:val="auto"/>
                <w:highlight w:val="none"/>
              </w:rPr>
            </w:pPr>
          </w:p>
        </w:tc>
        <w:tc>
          <w:tcPr>
            <w:tcW w:w="783" w:type="dxa"/>
            <w:vAlign w:val="top"/>
          </w:tcPr>
          <w:p w14:paraId="4C937583">
            <w:pPr>
              <w:pStyle w:val="7"/>
              <w:rPr>
                <w:color w:val="auto"/>
                <w:highlight w:val="none"/>
              </w:rPr>
            </w:pPr>
          </w:p>
        </w:tc>
      </w:tr>
      <w:tr w14:paraId="0F4F2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590" w:type="dxa"/>
            <w:vAlign w:val="top"/>
          </w:tcPr>
          <w:p w14:paraId="301BB970">
            <w:pPr>
              <w:pStyle w:val="7"/>
              <w:spacing w:line="306" w:lineRule="auto"/>
              <w:rPr>
                <w:color w:val="auto"/>
                <w:highlight w:val="none"/>
              </w:rPr>
            </w:pPr>
          </w:p>
          <w:p w14:paraId="64BC9EFF">
            <w:pPr>
              <w:pStyle w:val="7"/>
              <w:spacing w:line="307" w:lineRule="auto"/>
              <w:rPr>
                <w:color w:val="auto"/>
                <w:highlight w:val="none"/>
              </w:rPr>
            </w:pPr>
          </w:p>
          <w:p w14:paraId="255074E2">
            <w:pPr>
              <w:spacing w:before="59" w:line="184" w:lineRule="auto"/>
              <w:ind w:left="132" w:leftChars="0"/>
              <w:rPr>
                <w:rFonts w:ascii="宋体" w:hAnsi="宋体" w:eastAsia="宋体" w:cs="宋体"/>
                <w:color w:val="auto"/>
                <w:spacing w:val="-4"/>
                <w:sz w:val="18"/>
                <w:szCs w:val="18"/>
                <w:highlight w:val="none"/>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9</w:t>
            </w:r>
          </w:p>
        </w:tc>
        <w:tc>
          <w:tcPr>
            <w:tcW w:w="2643" w:type="dxa"/>
            <w:vAlign w:val="top"/>
          </w:tcPr>
          <w:p w14:paraId="0FD88472">
            <w:pPr>
              <w:keepNext w:val="0"/>
              <w:keepLines w:val="0"/>
              <w:pageBreakBefore w:val="0"/>
              <w:widowControl/>
              <w:kinsoku w:val="0"/>
              <w:wordWrap/>
              <w:overflowPunct/>
              <w:topLinePunct w:val="0"/>
              <w:autoSpaceDE w:val="0"/>
              <w:autoSpaceDN w:val="0"/>
              <w:bidi w:val="0"/>
              <w:adjustRightInd w:val="0"/>
              <w:snapToGrid w:val="0"/>
              <w:spacing w:before="274" w:line="418" w:lineRule="auto"/>
              <w:ind w:left="153" w:leftChars="0"/>
              <w:textAlignment w:val="baseline"/>
              <w:rPr>
                <w:rFonts w:ascii="宋体" w:hAnsi="宋体" w:eastAsia="宋体" w:cs="宋体"/>
                <w:color w:val="auto"/>
                <w:spacing w:val="-8"/>
                <w:sz w:val="18"/>
                <w:szCs w:val="18"/>
                <w:highlight w:val="none"/>
              </w:rPr>
            </w:pPr>
            <w:r>
              <w:rPr>
                <w:rFonts w:ascii="宋体" w:hAnsi="宋体" w:eastAsia="宋体" w:cs="宋体"/>
                <w:color w:val="auto"/>
                <w:spacing w:val="-1"/>
                <w:sz w:val="18"/>
                <w:szCs w:val="18"/>
                <w:highlight w:val="none"/>
              </w:rPr>
              <w:t>发变组保护</w:t>
            </w:r>
            <w:r>
              <w:rPr>
                <w:rFonts w:hint="eastAsia" w:ascii="宋体" w:hAnsi="宋体" w:eastAsia="宋体" w:cs="宋体"/>
                <w:color w:val="auto"/>
                <w:spacing w:val="-1"/>
                <w:sz w:val="18"/>
                <w:szCs w:val="18"/>
                <w:highlight w:val="none"/>
                <w:lang w:val="en-US" w:eastAsia="zh-CN"/>
              </w:rPr>
              <w:t>可研初设报告编制、图纸设计（含</w:t>
            </w:r>
            <w:r>
              <w:rPr>
                <w:rFonts w:ascii="宋体" w:hAnsi="宋体" w:eastAsia="宋体" w:cs="宋体"/>
                <w:color w:val="auto"/>
                <w:spacing w:val="-1"/>
                <w:sz w:val="18"/>
                <w:szCs w:val="18"/>
                <w:highlight w:val="none"/>
              </w:rPr>
              <w:t>施工图、竣工图</w:t>
            </w:r>
            <w:r>
              <w:rPr>
                <w:rFonts w:hint="eastAsia" w:ascii="宋体" w:hAnsi="宋体" w:eastAsia="宋体" w:cs="宋体"/>
                <w:color w:val="auto"/>
                <w:spacing w:val="-1"/>
                <w:sz w:val="18"/>
                <w:szCs w:val="18"/>
                <w:highlight w:val="none"/>
                <w:lang w:val="en-US" w:eastAsia="zh-CN"/>
              </w:rPr>
              <w:t>）</w:t>
            </w:r>
            <w:r>
              <w:rPr>
                <w:rFonts w:hint="eastAsia" w:ascii="宋体" w:hAnsi="宋体" w:eastAsia="宋体" w:cs="宋体"/>
                <w:color w:val="auto"/>
                <w:spacing w:val="-1"/>
                <w:sz w:val="18"/>
                <w:szCs w:val="18"/>
                <w:highlight w:val="none"/>
                <w:lang w:eastAsia="zh-CN"/>
              </w:rPr>
              <w:t>、</w:t>
            </w:r>
            <w:r>
              <w:rPr>
                <w:rFonts w:ascii="宋体" w:hAnsi="宋体" w:eastAsia="宋体" w:cs="宋体"/>
                <w:color w:val="auto"/>
                <w:spacing w:val="-1"/>
                <w:sz w:val="18"/>
                <w:szCs w:val="18"/>
                <w:highlight w:val="none"/>
              </w:rPr>
              <w:t>启动方案编制及评审</w:t>
            </w:r>
            <w:r>
              <w:rPr>
                <w:rFonts w:hint="eastAsia" w:ascii="宋体" w:hAnsi="宋体" w:eastAsia="宋体" w:cs="宋体"/>
                <w:color w:val="auto"/>
                <w:spacing w:val="-1"/>
                <w:sz w:val="18"/>
                <w:szCs w:val="18"/>
                <w:highlight w:val="none"/>
                <w:lang w:eastAsia="zh-CN"/>
              </w:rPr>
              <w:t>、</w:t>
            </w:r>
            <w:r>
              <w:rPr>
                <w:rFonts w:hint="eastAsia" w:ascii="宋体" w:hAnsi="宋体" w:eastAsia="宋体" w:cs="宋体"/>
                <w:color w:val="auto"/>
                <w:spacing w:val="-1"/>
                <w:sz w:val="18"/>
                <w:szCs w:val="18"/>
                <w:highlight w:val="none"/>
                <w:lang w:val="en-US" w:eastAsia="zh-CN"/>
              </w:rPr>
              <w:t>定值评审。【备注：本部分包含双套电气量保护、非电量保护及保护管理机全套发变组保护内容】</w:t>
            </w:r>
          </w:p>
        </w:tc>
        <w:tc>
          <w:tcPr>
            <w:tcW w:w="1399" w:type="dxa"/>
            <w:vAlign w:val="top"/>
          </w:tcPr>
          <w:p w14:paraId="3D039046">
            <w:pPr>
              <w:pStyle w:val="7"/>
              <w:rPr>
                <w:color w:val="auto"/>
                <w:highlight w:val="none"/>
              </w:rPr>
            </w:pPr>
          </w:p>
        </w:tc>
        <w:tc>
          <w:tcPr>
            <w:tcW w:w="779" w:type="dxa"/>
            <w:vAlign w:val="top"/>
          </w:tcPr>
          <w:p w14:paraId="2A5B34BD">
            <w:pPr>
              <w:pStyle w:val="7"/>
              <w:spacing w:line="293" w:lineRule="auto"/>
              <w:rPr>
                <w:color w:val="auto"/>
                <w:highlight w:val="none"/>
              </w:rPr>
            </w:pPr>
          </w:p>
          <w:p w14:paraId="6B3E0AFA">
            <w:pPr>
              <w:pStyle w:val="7"/>
              <w:spacing w:line="293" w:lineRule="auto"/>
              <w:rPr>
                <w:color w:val="auto"/>
                <w:highlight w:val="none"/>
              </w:rPr>
            </w:pPr>
          </w:p>
          <w:p w14:paraId="334BD9E7">
            <w:pPr>
              <w:spacing w:before="58"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5396F736">
            <w:pPr>
              <w:pStyle w:val="7"/>
              <w:spacing w:line="306" w:lineRule="auto"/>
              <w:rPr>
                <w:color w:val="auto"/>
                <w:highlight w:val="none"/>
              </w:rPr>
            </w:pPr>
          </w:p>
          <w:p w14:paraId="24E0915E">
            <w:pPr>
              <w:pStyle w:val="7"/>
              <w:spacing w:line="307" w:lineRule="auto"/>
              <w:rPr>
                <w:color w:val="auto"/>
                <w:highlight w:val="none"/>
              </w:rPr>
            </w:pPr>
          </w:p>
          <w:p w14:paraId="56F5FC81">
            <w:pPr>
              <w:spacing w:before="59" w:line="184" w:lineRule="auto"/>
              <w:ind w:left="297" w:left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1</w:t>
            </w:r>
          </w:p>
        </w:tc>
        <w:tc>
          <w:tcPr>
            <w:tcW w:w="645" w:type="dxa"/>
            <w:vAlign w:val="top"/>
          </w:tcPr>
          <w:p w14:paraId="2B3CB15E">
            <w:pPr>
              <w:pStyle w:val="7"/>
              <w:rPr>
                <w:color w:val="auto"/>
                <w:highlight w:val="none"/>
              </w:rPr>
            </w:pPr>
          </w:p>
        </w:tc>
        <w:tc>
          <w:tcPr>
            <w:tcW w:w="1039" w:type="dxa"/>
            <w:vAlign w:val="top"/>
          </w:tcPr>
          <w:p w14:paraId="010011AA">
            <w:pPr>
              <w:pStyle w:val="7"/>
              <w:rPr>
                <w:color w:val="auto"/>
                <w:highlight w:val="none"/>
              </w:rPr>
            </w:pPr>
          </w:p>
        </w:tc>
        <w:tc>
          <w:tcPr>
            <w:tcW w:w="783" w:type="dxa"/>
            <w:vAlign w:val="top"/>
          </w:tcPr>
          <w:p w14:paraId="02513524">
            <w:pPr>
              <w:pStyle w:val="7"/>
              <w:rPr>
                <w:color w:val="auto"/>
                <w:highlight w:val="none"/>
              </w:rPr>
            </w:pPr>
          </w:p>
        </w:tc>
      </w:tr>
    </w:tbl>
    <w:p w14:paraId="567B6072">
      <w:pPr>
        <w:spacing w:line="91" w:lineRule="auto"/>
        <w:rPr>
          <w:rFonts w:ascii="Arial"/>
          <w:color w:val="auto"/>
          <w:sz w:val="2"/>
          <w:highlight w:val="none"/>
        </w:rPr>
      </w:pPr>
    </w:p>
    <w:tbl>
      <w:tblPr>
        <w:tblStyle w:val="6"/>
        <w:tblW w:w="8526"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0"/>
        <w:gridCol w:w="2643"/>
        <w:gridCol w:w="1399"/>
        <w:gridCol w:w="779"/>
        <w:gridCol w:w="648"/>
        <w:gridCol w:w="645"/>
        <w:gridCol w:w="1039"/>
        <w:gridCol w:w="783"/>
      </w:tblGrid>
      <w:tr w14:paraId="31A0C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60" w:hRule="atLeast"/>
        </w:trPr>
        <w:tc>
          <w:tcPr>
            <w:tcW w:w="590" w:type="dxa"/>
            <w:tcBorders>
              <w:tl2br w:val="nil"/>
              <w:tr2bl w:val="nil"/>
            </w:tcBorders>
            <w:vAlign w:val="top"/>
          </w:tcPr>
          <w:p w14:paraId="2241AF6D">
            <w:pPr>
              <w:pStyle w:val="7"/>
              <w:spacing w:line="306" w:lineRule="auto"/>
              <w:rPr>
                <w:color w:val="auto"/>
                <w:highlight w:val="none"/>
              </w:rPr>
            </w:pPr>
          </w:p>
          <w:p w14:paraId="01AEECC9">
            <w:pPr>
              <w:pStyle w:val="7"/>
              <w:spacing w:line="307" w:lineRule="auto"/>
              <w:rPr>
                <w:color w:val="auto"/>
                <w:highlight w:val="none"/>
              </w:rPr>
            </w:pPr>
          </w:p>
          <w:p w14:paraId="54791DF7">
            <w:pPr>
              <w:spacing w:before="59" w:line="184" w:lineRule="auto"/>
              <w:ind w:left="132" w:leftChars="0"/>
              <w:rPr>
                <w:rFonts w:hint="eastAsia" w:ascii="宋体" w:hAnsi="宋体" w:eastAsia="宋体" w:cs="宋体"/>
                <w:color w:val="auto"/>
                <w:sz w:val="18"/>
                <w:szCs w:val="18"/>
                <w:highlight w:val="none"/>
                <w:lang w:val="en-US" w:eastAsia="zh-CN"/>
              </w:rPr>
            </w:pPr>
            <w:r>
              <w:rPr>
                <w:rFonts w:ascii="宋体" w:hAnsi="宋体" w:eastAsia="宋体" w:cs="宋体"/>
                <w:color w:val="auto"/>
                <w:spacing w:val="-5"/>
                <w:sz w:val="18"/>
                <w:szCs w:val="18"/>
                <w:highlight w:val="none"/>
              </w:rPr>
              <w:t>1_</w:t>
            </w:r>
            <w:r>
              <w:rPr>
                <w:rFonts w:hint="eastAsia" w:ascii="宋体" w:hAnsi="宋体" w:eastAsia="宋体" w:cs="宋体"/>
                <w:color w:val="auto"/>
                <w:spacing w:val="-5"/>
                <w:sz w:val="18"/>
                <w:szCs w:val="18"/>
                <w:highlight w:val="none"/>
                <w:lang w:val="en-US" w:eastAsia="zh-CN"/>
              </w:rPr>
              <w:t>10</w:t>
            </w:r>
          </w:p>
        </w:tc>
        <w:tc>
          <w:tcPr>
            <w:tcW w:w="2643" w:type="dxa"/>
            <w:tcBorders>
              <w:tl2br w:val="nil"/>
              <w:tr2bl w:val="nil"/>
            </w:tcBorders>
            <w:vAlign w:val="top"/>
          </w:tcPr>
          <w:p w14:paraId="5F68FD96">
            <w:pPr>
              <w:keepNext w:val="0"/>
              <w:keepLines w:val="0"/>
              <w:pageBreakBefore w:val="0"/>
              <w:widowControl/>
              <w:kinsoku w:val="0"/>
              <w:wordWrap/>
              <w:overflowPunct/>
              <w:topLinePunct w:val="0"/>
              <w:autoSpaceDE w:val="0"/>
              <w:autoSpaceDN w:val="0"/>
              <w:bidi w:val="0"/>
              <w:adjustRightInd w:val="0"/>
              <w:snapToGrid w:val="0"/>
              <w:spacing w:before="274" w:line="418" w:lineRule="auto"/>
              <w:ind w:left="153" w:leftChars="0"/>
              <w:textAlignment w:val="baseline"/>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启备变保护</w:t>
            </w:r>
            <w:r>
              <w:rPr>
                <w:rFonts w:hint="eastAsia" w:ascii="宋体" w:hAnsi="宋体" w:eastAsia="宋体" w:cs="宋体"/>
                <w:color w:val="auto"/>
                <w:spacing w:val="-1"/>
                <w:sz w:val="18"/>
                <w:szCs w:val="18"/>
                <w:highlight w:val="none"/>
                <w:lang w:val="en-US" w:eastAsia="zh-CN"/>
              </w:rPr>
              <w:t>可研初设报告编制、图纸设计（含</w:t>
            </w:r>
            <w:r>
              <w:rPr>
                <w:rFonts w:ascii="宋体" w:hAnsi="宋体" w:eastAsia="宋体" w:cs="宋体"/>
                <w:color w:val="auto"/>
                <w:spacing w:val="-1"/>
                <w:sz w:val="18"/>
                <w:szCs w:val="18"/>
                <w:highlight w:val="none"/>
              </w:rPr>
              <w:t>施工图、竣工图</w:t>
            </w:r>
            <w:r>
              <w:rPr>
                <w:rFonts w:hint="eastAsia" w:ascii="宋体" w:hAnsi="宋体" w:eastAsia="宋体" w:cs="宋体"/>
                <w:color w:val="auto"/>
                <w:spacing w:val="-1"/>
                <w:sz w:val="18"/>
                <w:szCs w:val="18"/>
                <w:highlight w:val="none"/>
                <w:lang w:val="en-US" w:eastAsia="zh-CN"/>
              </w:rPr>
              <w:t>）</w:t>
            </w:r>
            <w:r>
              <w:rPr>
                <w:rFonts w:hint="eastAsia" w:ascii="宋体" w:hAnsi="宋体" w:eastAsia="宋体" w:cs="宋体"/>
                <w:color w:val="auto"/>
                <w:spacing w:val="-1"/>
                <w:sz w:val="18"/>
                <w:szCs w:val="18"/>
                <w:highlight w:val="none"/>
                <w:lang w:eastAsia="zh-CN"/>
              </w:rPr>
              <w:t>、</w:t>
            </w:r>
            <w:r>
              <w:rPr>
                <w:rFonts w:ascii="宋体" w:hAnsi="宋体" w:eastAsia="宋体" w:cs="宋体"/>
                <w:color w:val="auto"/>
                <w:spacing w:val="-1"/>
                <w:sz w:val="18"/>
                <w:szCs w:val="18"/>
                <w:highlight w:val="none"/>
              </w:rPr>
              <w:t>启动方案编制及评审</w:t>
            </w:r>
            <w:r>
              <w:rPr>
                <w:rFonts w:hint="eastAsia" w:ascii="宋体" w:hAnsi="宋体" w:eastAsia="宋体" w:cs="宋体"/>
                <w:color w:val="auto"/>
                <w:spacing w:val="-1"/>
                <w:sz w:val="18"/>
                <w:szCs w:val="18"/>
                <w:highlight w:val="none"/>
                <w:lang w:eastAsia="zh-CN"/>
              </w:rPr>
              <w:t>、</w:t>
            </w:r>
            <w:r>
              <w:rPr>
                <w:rFonts w:hint="eastAsia" w:ascii="宋体" w:hAnsi="宋体" w:eastAsia="宋体" w:cs="宋体"/>
                <w:color w:val="auto"/>
                <w:spacing w:val="-1"/>
                <w:sz w:val="18"/>
                <w:szCs w:val="18"/>
                <w:highlight w:val="none"/>
                <w:lang w:val="en-US" w:eastAsia="zh-CN"/>
              </w:rPr>
              <w:t>定值评审。【备注：本部分包含双套电气量保护、非电量保护及保护管理机全套</w:t>
            </w:r>
            <w:r>
              <w:rPr>
                <w:rFonts w:ascii="宋体" w:hAnsi="宋体" w:eastAsia="宋体" w:cs="宋体"/>
                <w:color w:val="auto"/>
                <w:spacing w:val="-1"/>
                <w:sz w:val="18"/>
                <w:szCs w:val="18"/>
                <w:highlight w:val="none"/>
              </w:rPr>
              <w:t>启备变</w:t>
            </w:r>
            <w:r>
              <w:rPr>
                <w:rFonts w:hint="eastAsia" w:ascii="宋体" w:hAnsi="宋体" w:eastAsia="宋体" w:cs="宋体"/>
                <w:color w:val="auto"/>
                <w:spacing w:val="-1"/>
                <w:sz w:val="18"/>
                <w:szCs w:val="18"/>
                <w:highlight w:val="none"/>
                <w:lang w:val="en-US" w:eastAsia="zh-CN"/>
              </w:rPr>
              <w:t>保护内容】</w:t>
            </w:r>
          </w:p>
        </w:tc>
        <w:tc>
          <w:tcPr>
            <w:tcW w:w="1399" w:type="dxa"/>
            <w:tcBorders>
              <w:tl2br w:val="nil"/>
              <w:tr2bl w:val="nil"/>
            </w:tcBorders>
            <w:vAlign w:val="top"/>
          </w:tcPr>
          <w:p w14:paraId="2941B857">
            <w:pPr>
              <w:pStyle w:val="7"/>
              <w:rPr>
                <w:color w:val="auto"/>
                <w:highlight w:val="none"/>
              </w:rPr>
            </w:pPr>
          </w:p>
        </w:tc>
        <w:tc>
          <w:tcPr>
            <w:tcW w:w="779" w:type="dxa"/>
            <w:tcBorders>
              <w:tl2br w:val="nil"/>
              <w:tr2bl w:val="nil"/>
            </w:tcBorders>
            <w:vAlign w:val="top"/>
          </w:tcPr>
          <w:p w14:paraId="2D0CD3E1">
            <w:pPr>
              <w:pStyle w:val="7"/>
              <w:spacing w:line="293" w:lineRule="auto"/>
              <w:rPr>
                <w:color w:val="auto"/>
                <w:highlight w:val="none"/>
              </w:rPr>
            </w:pPr>
          </w:p>
          <w:p w14:paraId="6AD7C2BC">
            <w:pPr>
              <w:pStyle w:val="7"/>
              <w:spacing w:line="293" w:lineRule="auto"/>
              <w:rPr>
                <w:color w:val="auto"/>
                <w:highlight w:val="none"/>
              </w:rPr>
            </w:pPr>
          </w:p>
          <w:p w14:paraId="16584A5F">
            <w:pPr>
              <w:spacing w:before="58"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tcBorders>
              <w:tl2br w:val="nil"/>
              <w:tr2bl w:val="nil"/>
            </w:tcBorders>
            <w:vAlign w:val="top"/>
          </w:tcPr>
          <w:p w14:paraId="52721D7C">
            <w:pPr>
              <w:pStyle w:val="7"/>
              <w:spacing w:line="306" w:lineRule="auto"/>
              <w:rPr>
                <w:color w:val="auto"/>
                <w:highlight w:val="none"/>
              </w:rPr>
            </w:pPr>
          </w:p>
          <w:p w14:paraId="56E64E98">
            <w:pPr>
              <w:pStyle w:val="7"/>
              <w:spacing w:line="307" w:lineRule="auto"/>
              <w:rPr>
                <w:color w:val="auto"/>
                <w:highlight w:val="none"/>
              </w:rPr>
            </w:pPr>
          </w:p>
          <w:p w14:paraId="5B95F19A">
            <w:pPr>
              <w:spacing w:before="59" w:line="184" w:lineRule="auto"/>
              <w:ind w:left="297" w:left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1</w:t>
            </w:r>
          </w:p>
        </w:tc>
        <w:tc>
          <w:tcPr>
            <w:tcW w:w="645" w:type="dxa"/>
            <w:tcBorders>
              <w:tl2br w:val="nil"/>
              <w:tr2bl w:val="nil"/>
            </w:tcBorders>
            <w:vAlign w:val="top"/>
          </w:tcPr>
          <w:p w14:paraId="3A961508">
            <w:pPr>
              <w:pStyle w:val="7"/>
              <w:rPr>
                <w:color w:val="auto"/>
                <w:highlight w:val="none"/>
              </w:rPr>
            </w:pPr>
          </w:p>
        </w:tc>
        <w:tc>
          <w:tcPr>
            <w:tcW w:w="1039" w:type="dxa"/>
            <w:tcBorders>
              <w:tl2br w:val="nil"/>
              <w:tr2bl w:val="nil"/>
            </w:tcBorders>
            <w:vAlign w:val="top"/>
          </w:tcPr>
          <w:p w14:paraId="7255638B">
            <w:pPr>
              <w:pStyle w:val="7"/>
              <w:rPr>
                <w:color w:val="auto"/>
                <w:highlight w:val="none"/>
              </w:rPr>
            </w:pPr>
          </w:p>
        </w:tc>
        <w:tc>
          <w:tcPr>
            <w:tcW w:w="783" w:type="dxa"/>
            <w:tcBorders>
              <w:tl2br w:val="nil"/>
              <w:tr2bl w:val="nil"/>
            </w:tcBorders>
            <w:vAlign w:val="top"/>
          </w:tcPr>
          <w:p w14:paraId="23FAE139">
            <w:pPr>
              <w:pStyle w:val="7"/>
              <w:rPr>
                <w:color w:val="auto"/>
                <w:highlight w:val="none"/>
              </w:rPr>
            </w:pPr>
          </w:p>
        </w:tc>
      </w:tr>
      <w:tr w14:paraId="7CF5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590" w:type="dxa"/>
            <w:tcBorders>
              <w:tl2br w:val="nil"/>
              <w:tr2bl w:val="nil"/>
            </w:tcBorders>
            <w:vAlign w:val="top"/>
          </w:tcPr>
          <w:p w14:paraId="1E1A624E">
            <w:pPr>
              <w:spacing w:before="188" w:line="184" w:lineRule="auto"/>
              <w:ind w:left="132" w:leftChars="0"/>
              <w:rPr>
                <w:rFonts w:hint="eastAsia" w:ascii="宋体" w:hAnsi="宋体" w:eastAsia="宋体" w:cs="宋体"/>
                <w:color w:val="auto"/>
                <w:sz w:val="18"/>
                <w:szCs w:val="18"/>
                <w:highlight w:val="none"/>
                <w:lang w:val="en-US" w:eastAsia="zh-CN"/>
              </w:rPr>
            </w:pPr>
            <w:r>
              <w:rPr>
                <w:rFonts w:ascii="宋体" w:hAnsi="宋体" w:eastAsia="宋体" w:cs="宋体"/>
                <w:color w:val="auto"/>
                <w:spacing w:val="-5"/>
                <w:sz w:val="18"/>
                <w:szCs w:val="18"/>
                <w:highlight w:val="none"/>
              </w:rPr>
              <w:t>1_1</w:t>
            </w:r>
            <w:r>
              <w:rPr>
                <w:rFonts w:hint="eastAsia" w:ascii="宋体" w:hAnsi="宋体" w:eastAsia="宋体" w:cs="宋体"/>
                <w:color w:val="auto"/>
                <w:spacing w:val="-5"/>
                <w:sz w:val="18"/>
                <w:szCs w:val="18"/>
                <w:highlight w:val="none"/>
                <w:lang w:val="en-US" w:eastAsia="zh-CN"/>
              </w:rPr>
              <w:t>1</w:t>
            </w:r>
          </w:p>
        </w:tc>
        <w:tc>
          <w:tcPr>
            <w:tcW w:w="2643" w:type="dxa"/>
            <w:tcBorders>
              <w:tl2br w:val="nil"/>
              <w:tr2bl w:val="nil"/>
            </w:tcBorders>
            <w:vAlign w:val="top"/>
          </w:tcPr>
          <w:p w14:paraId="06BE81B9">
            <w:pPr>
              <w:spacing w:before="160" w:line="221" w:lineRule="auto"/>
              <w:ind w:left="1145" w:leftChars="0"/>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其它</w:t>
            </w:r>
          </w:p>
        </w:tc>
        <w:tc>
          <w:tcPr>
            <w:tcW w:w="1399" w:type="dxa"/>
            <w:tcBorders>
              <w:tl2br w:val="nil"/>
              <w:tr2bl w:val="nil"/>
            </w:tcBorders>
            <w:vAlign w:val="top"/>
          </w:tcPr>
          <w:p w14:paraId="02BEC2FF">
            <w:pPr>
              <w:pStyle w:val="7"/>
              <w:rPr>
                <w:color w:val="auto"/>
                <w:highlight w:val="none"/>
              </w:rPr>
            </w:pPr>
          </w:p>
        </w:tc>
        <w:tc>
          <w:tcPr>
            <w:tcW w:w="779" w:type="dxa"/>
            <w:tcBorders>
              <w:tl2br w:val="nil"/>
              <w:tr2bl w:val="nil"/>
            </w:tcBorders>
            <w:vAlign w:val="top"/>
          </w:tcPr>
          <w:p w14:paraId="739E261E">
            <w:pPr>
              <w:pStyle w:val="7"/>
              <w:rPr>
                <w:rFonts w:ascii="宋体" w:hAnsi="宋体" w:eastAsia="宋体" w:cs="宋体"/>
                <w:color w:val="auto"/>
                <w:sz w:val="18"/>
                <w:szCs w:val="18"/>
                <w:highlight w:val="none"/>
              </w:rPr>
            </w:pPr>
          </w:p>
        </w:tc>
        <w:tc>
          <w:tcPr>
            <w:tcW w:w="648" w:type="dxa"/>
            <w:tcBorders>
              <w:tl2br w:val="nil"/>
              <w:tr2bl w:val="nil"/>
            </w:tcBorders>
            <w:vAlign w:val="top"/>
          </w:tcPr>
          <w:p w14:paraId="35786ADC">
            <w:pPr>
              <w:pStyle w:val="7"/>
              <w:rPr>
                <w:rFonts w:ascii="宋体" w:hAnsi="宋体" w:eastAsia="宋体" w:cs="宋体"/>
                <w:color w:val="auto"/>
                <w:sz w:val="18"/>
                <w:szCs w:val="18"/>
                <w:highlight w:val="none"/>
              </w:rPr>
            </w:pPr>
          </w:p>
        </w:tc>
        <w:tc>
          <w:tcPr>
            <w:tcW w:w="645" w:type="dxa"/>
            <w:tcBorders>
              <w:tl2br w:val="nil"/>
              <w:tr2bl w:val="nil"/>
            </w:tcBorders>
            <w:vAlign w:val="top"/>
          </w:tcPr>
          <w:p w14:paraId="30B487E1">
            <w:pPr>
              <w:pStyle w:val="7"/>
              <w:rPr>
                <w:color w:val="auto"/>
                <w:highlight w:val="none"/>
              </w:rPr>
            </w:pPr>
          </w:p>
        </w:tc>
        <w:tc>
          <w:tcPr>
            <w:tcW w:w="1039" w:type="dxa"/>
            <w:tcBorders>
              <w:tl2br w:val="nil"/>
              <w:tr2bl w:val="nil"/>
            </w:tcBorders>
            <w:vAlign w:val="top"/>
          </w:tcPr>
          <w:p w14:paraId="3CB48D59">
            <w:pPr>
              <w:pStyle w:val="7"/>
              <w:rPr>
                <w:color w:val="auto"/>
                <w:highlight w:val="none"/>
              </w:rPr>
            </w:pPr>
          </w:p>
        </w:tc>
        <w:tc>
          <w:tcPr>
            <w:tcW w:w="783" w:type="dxa"/>
            <w:tcBorders>
              <w:tl2br w:val="nil"/>
              <w:tr2bl w:val="nil"/>
            </w:tcBorders>
            <w:vAlign w:val="top"/>
          </w:tcPr>
          <w:p w14:paraId="02724E6C">
            <w:pPr>
              <w:pStyle w:val="7"/>
              <w:rPr>
                <w:color w:val="auto"/>
                <w:highlight w:val="none"/>
              </w:rPr>
            </w:pPr>
          </w:p>
        </w:tc>
      </w:tr>
      <w:tr w14:paraId="0A21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590" w:type="dxa"/>
            <w:tcBorders>
              <w:tl2br w:val="nil"/>
              <w:tr2bl w:val="nil"/>
            </w:tcBorders>
            <w:vAlign w:val="top"/>
          </w:tcPr>
          <w:p w14:paraId="3129AC64">
            <w:pPr>
              <w:spacing w:before="189" w:line="183" w:lineRule="auto"/>
              <w:ind w:left="256"/>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7936" w:type="dxa"/>
            <w:gridSpan w:val="7"/>
            <w:tcBorders>
              <w:tl2br w:val="nil"/>
              <w:tr2bl w:val="nil"/>
            </w:tcBorders>
            <w:vAlign w:val="top"/>
          </w:tcPr>
          <w:p w14:paraId="1C609106">
            <w:pPr>
              <w:spacing w:before="161" w:line="218" w:lineRule="auto"/>
              <w:ind w:left="3071"/>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备品备件（计入总价）</w:t>
            </w:r>
          </w:p>
        </w:tc>
      </w:tr>
      <w:tr w14:paraId="09A8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590" w:type="dxa"/>
            <w:tcBorders>
              <w:tl2br w:val="nil"/>
              <w:tr2bl w:val="nil"/>
            </w:tcBorders>
            <w:vAlign w:val="top"/>
          </w:tcPr>
          <w:p w14:paraId="54AFCDB9">
            <w:pPr>
              <w:spacing w:before="186" w:line="184" w:lineRule="auto"/>
              <w:ind w:left="167"/>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2_1</w:t>
            </w:r>
          </w:p>
        </w:tc>
        <w:tc>
          <w:tcPr>
            <w:tcW w:w="2643" w:type="dxa"/>
            <w:tcBorders>
              <w:tl2br w:val="nil"/>
              <w:tr2bl w:val="nil"/>
            </w:tcBorders>
            <w:vAlign w:val="top"/>
          </w:tcPr>
          <w:p w14:paraId="0256C7FB">
            <w:pPr>
              <w:spacing w:before="159" w:line="219" w:lineRule="auto"/>
              <w:ind w:left="985"/>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电源卡件</w:t>
            </w:r>
          </w:p>
        </w:tc>
        <w:tc>
          <w:tcPr>
            <w:tcW w:w="1399" w:type="dxa"/>
            <w:tcBorders>
              <w:tl2br w:val="nil"/>
              <w:tr2bl w:val="nil"/>
            </w:tcBorders>
            <w:vAlign w:val="top"/>
          </w:tcPr>
          <w:p w14:paraId="6B61FBDF">
            <w:pPr>
              <w:spacing w:before="159" w:line="219" w:lineRule="auto"/>
              <w:ind w:left="347"/>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各种规格</w:t>
            </w:r>
          </w:p>
        </w:tc>
        <w:tc>
          <w:tcPr>
            <w:tcW w:w="779" w:type="dxa"/>
            <w:tcBorders>
              <w:tl2br w:val="nil"/>
              <w:tr2bl w:val="nil"/>
            </w:tcBorders>
            <w:vAlign w:val="top"/>
          </w:tcPr>
          <w:p w14:paraId="6017C354">
            <w:pPr>
              <w:spacing w:before="159" w:line="220" w:lineRule="auto"/>
              <w:ind w:left="304"/>
              <w:rPr>
                <w:rFonts w:ascii="宋体" w:hAnsi="宋体" w:eastAsia="宋体" w:cs="宋体"/>
                <w:color w:val="auto"/>
                <w:sz w:val="18"/>
                <w:szCs w:val="18"/>
                <w:highlight w:val="none"/>
              </w:rPr>
            </w:pPr>
            <w:r>
              <w:rPr>
                <w:rFonts w:ascii="宋体" w:hAnsi="宋体" w:eastAsia="宋体" w:cs="宋体"/>
                <w:color w:val="auto"/>
                <w:sz w:val="18"/>
                <w:szCs w:val="18"/>
                <w:highlight w:val="none"/>
              </w:rPr>
              <w:t>块</w:t>
            </w:r>
          </w:p>
        </w:tc>
        <w:tc>
          <w:tcPr>
            <w:tcW w:w="648" w:type="dxa"/>
            <w:tcBorders>
              <w:tl2br w:val="nil"/>
              <w:tr2bl w:val="nil"/>
            </w:tcBorders>
            <w:vAlign w:val="top"/>
          </w:tcPr>
          <w:p w14:paraId="1349A929">
            <w:pPr>
              <w:spacing w:before="159" w:line="220" w:lineRule="auto"/>
              <w:ind w:left="17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各</w:t>
            </w:r>
            <w:r>
              <w:rPr>
                <w:rFonts w:ascii="宋体" w:hAnsi="宋体" w:eastAsia="宋体" w:cs="宋体"/>
                <w:color w:val="auto"/>
                <w:spacing w:val="-25"/>
                <w:sz w:val="18"/>
                <w:szCs w:val="18"/>
                <w:highlight w:val="none"/>
              </w:rPr>
              <w:t xml:space="preserve"> </w:t>
            </w:r>
            <w:r>
              <w:rPr>
                <w:rFonts w:ascii="宋体" w:hAnsi="宋体" w:eastAsia="宋体" w:cs="宋体"/>
                <w:color w:val="auto"/>
                <w:spacing w:val="-5"/>
                <w:sz w:val="18"/>
                <w:szCs w:val="18"/>
                <w:highlight w:val="none"/>
              </w:rPr>
              <w:t>1</w:t>
            </w:r>
          </w:p>
        </w:tc>
        <w:tc>
          <w:tcPr>
            <w:tcW w:w="645" w:type="dxa"/>
            <w:tcBorders>
              <w:tl2br w:val="nil"/>
              <w:tr2bl w:val="nil"/>
            </w:tcBorders>
            <w:vAlign w:val="top"/>
          </w:tcPr>
          <w:p w14:paraId="495F8533">
            <w:pPr>
              <w:pStyle w:val="7"/>
              <w:rPr>
                <w:color w:val="auto"/>
                <w:highlight w:val="none"/>
              </w:rPr>
            </w:pPr>
          </w:p>
        </w:tc>
        <w:tc>
          <w:tcPr>
            <w:tcW w:w="1039" w:type="dxa"/>
            <w:tcBorders>
              <w:tl2br w:val="nil"/>
              <w:tr2bl w:val="nil"/>
            </w:tcBorders>
            <w:vAlign w:val="top"/>
          </w:tcPr>
          <w:p w14:paraId="075A9E5A">
            <w:pPr>
              <w:pStyle w:val="7"/>
              <w:rPr>
                <w:color w:val="auto"/>
                <w:highlight w:val="none"/>
              </w:rPr>
            </w:pPr>
          </w:p>
        </w:tc>
        <w:tc>
          <w:tcPr>
            <w:tcW w:w="783" w:type="dxa"/>
            <w:tcBorders>
              <w:tl2br w:val="nil"/>
              <w:tr2bl w:val="nil"/>
            </w:tcBorders>
            <w:vAlign w:val="top"/>
          </w:tcPr>
          <w:p w14:paraId="6570945F">
            <w:pPr>
              <w:pStyle w:val="7"/>
              <w:rPr>
                <w:color w:val="auto"/>
                <w:highlight w:val="none"/>
              </w:rPr>
            </w:pPr>
          </w:p>
        </w:tc>
      </w:tr>
      <w:tr w14:paraId="7F63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rPr>
        <w:tc>
          <w:tcPr>
            <w:tcW w:w="590" w:type="dxa"/>
            <w:tcBorders>
              <w:tl2br w:val="nil"/>
              <w:tr2bl w:val="nil"/>
            </w:tcBorders>
            <w:vAlign w:val="top"/>
          </w:tcPr>
          <w:p w14:paraId="3B10C41D">
            <w:pPr>
              <w:spacing w:before="187" w:line="183" w:lineRule="auto"/>
              <w:ind w:left="167"/>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2_2</w:t>
            </w:r>
          </w:p>
        </w:tc>
        <w:tc>
          <w:tcPr>
            <w:tcW w:w="2643" w:type="dxa"/>
            <w:tcBorders>
              <w:tl2br w:val="nil"/>
              <w:tr2bl w:val="nil"/>
            </w:tcBorders>
            <w:vAlign w:val="top"/>
          </w:tcPr>
          <w:p w14:paraId="617E8F2B">
            <w:pPr>
              <w:spacing w:before="159" w:line="219" w:lineRule="auto"/>
              <w:ind w:left="78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交流采样卡件</w:t>
            </w:r>
          </w:p>
        </w:tc>
        <w:tc>
          <w:tcPr>
            <w:tcW w:w="1399" w:type="dxa"/>
            <w:tcBorders>
              <w:tl2br w:val="nil"/>
              <w:tr2bl w:val="nil"/>
            </w:tcBorders>
            <w:vAlign w:val="top"/>
          </w:tcPr>
          <w:p w14:paraId="41D341AD">
            <w:pPr>
              <w:spacing w:before="159" w:line="219" w:lineRule="auto"/>
              <w:ind w:left="347"/>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各种规格</w:t>
            </w:r>
          </w:p>
        </w:tc>
        <w:tc>
          <w:tcPr>
            <w:tcW w:w="779" w:type="dxa"/>
            <w:tcBorders>
              <w:tl2br w:val="nil"/>
              <w:tr2bl w:val="nil"/>
            </w:tcBorders>
            <w:vAlign w:val="top"/>
          </w:tcPr>
          <w:p w14:paraId="3B18A701">
            <w:pPr>
              <w:spacing w:before="159" w:line="220" w:lineRule="auto"/>
              <w:ind w:left="304"/>
              <w:rPr>
                <w:rFonts w:ascii="宋体" w:hAnsi="宋体" w:eastAsia="宋体" w:cs="宋体"/>
                <w:color w:val="auto"/>
                <w:sz w:val="18"/>
                <w:szCs w:val="18"/>
                <w:highlight w:val="none"/>
              </w:rPr>
            </w:pPr>
            <w:r>
              <w:rPr>
                <w:rFonts w:ascii="宋体" w:hAnsi="宋体" w:eastAsia="宋体" w:cs="宋体"/>
                <w:color w:val="auto"/>
                <w:sz w:val="18"/>
                <w:szCs w:val="18"/>
                <w:highlight w:val="none"/>
              </w:rPr>
              <w:t>块</w:t>
            </w:r>
          </w:p>
        </w:tc>
        <w:tc>
          <w:tcPr>
            <w:tcW w:w="648" w:type="dxa"/>
            <w:tcBorders>
              <w:tl2br w:val="nil"/>
              <w:tr2bl w:val="nil"/>
            </w:tcBorders>
            <w:vAlign w:val="top"/>
          </w:tcPr>
          <w:p w14:paraId="20311484">
            <w:pPr>
              <w:spacing w:before="159" w:line="220" w:lineRule="auto"/>
              <w:ind w:left="17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各</w:t>
            </w:r>
            <w:r>
              <w:rPr>
                <w:rFonts w:ascii="宋体" w:hAnsi="宋体" w:eastAsia="宋体" w:cs="宋体"/>
                <w:color w:val="auto"/>
                <w:spacing w:val="-25"/>
                <w:sz w:val="18"/>
                <w:szCs w:val="18"/>
                <w:highlight w:val="none"/>
              </w:rPr>
              <w:t xml:space="preserve"> </w:t>
            </w:r>
            <w:r>
              <w:rPr>
                <w:rFonts w:ascii="宋体" w:hAnsi="宋体" w:eastAsia="宋体" w:cs="宋体"/>
                <w:color w:val="auto"/>
                <w:spacing w:val="-5"/>
                <w:sz w:val="18"/>
                <w:szCs w:val="18"/>
                <w:highlight w:val="none"/>
              </w:rPr>
              <w:t>1</w:t>
            </w:r>
          </w:p>
        </w:tc>
        <w:tc>
          <w:tcPr>
            <w:tcW w:w="645" w:type="dxa"/>
            <w:tcBorders>
              <w:tl2br w:val="nil"/>
              <w:tr2bl w:val="nil"/>
            </w:tcBorders>
            <w:vAlign w:val="top"/>
          </w:tcPr>
          <w:p w14:paraId="2DAB5AC4">
            <w:pPr>
              <w:pStyle w:val="7"/>
              <w:rPr>
                <w:color w:val="auto"/>
                <w:highlight w:val="none"/>
              </w:rPr>
            </w:pPr>
          </w:p>
        </w:tc>
        <w:tc>
          <w:tcPr>
            <w:tcW w:w="1039" w:type="dxa"/>
            <w:tcBorders>
              <w:tl2br w:val="nil"/>
              <w:tr2bl w:val="nil"/>
            </w:tcBorders>
            <w:vAlign w:val="top"/>
          </w:tcPr>
          <w:p w14:paraId="7877DA2A">
            <w:pPr>
              <w:pStyle w:val="7"/>
              <w:rPr>
                <w:color w:val="auto"/>
                <w:highlight w:val="none"/>
              </w:rPr>
            </w:pPr>
          </w:p>
        </w:tc>
        <w:tc>
          <w:tcPr>
            <w:tcW w:w="783" w:type="dxa"/>
            <w:tcBorders>
              <w:tl2br w:val="nil"/>
              <w:tr2bl w:val="nil"/>
            </w:tcBorders>
            <w:vAlign w:val="top"/>
          </w:tcPr>
          <w:p w14:paraId="5BF5A5E0">
            <w:pPr>
              <w:pStyle w:val="7"/>
              <w:rPr>
                <w:color w:val="auto"/>
                <w:highlight w:val="none"/>
              </w:rPr>
            </w:pPr>
          </w:p>
        </w:tc>
      </w:tr>
      <w:tr w14:paraId="34629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3" w:hRule="atLeast"/>
        </w:trPr>
        <w:tc>
          <w:tcPr>
            <w:tcW w:w="590" w:type="dxa"/>
            <w:tcBorders>
              <w:tl2br w:val="nil"/>
              <w:tr2bl w:val="nil"/>
            </w:tcBorders>
            <w:vAlign w:val="top"/>
          </w:tcPr>
          <w:p w14:paraId="37A6FE5B">
            <w:pPr>
              <w:pStyle w:val="7"/>
              <w:spacing w:line="371" w:lineRule="auto"/>
              <w:rPr>
                <w:color w:val="auto"/>
                <w:highlight w:val="none"/>
              </w:rPr>
            </w:pPr>
          </w:p>
          <w:p w14:paraId="64FD1825">
            <w:pPr>
              <w:spacing w:before="59" w:line="183" w:lineRule="auto"/>
              <w:ind w:left="167"/>
              <w:rPr>
                <w:rFonts w:ascii="宋体" w:hAnsi="宋体" w:eastAsia="宋体" w:cs="宋体"/>
                <w:color w:val="auto"/>
                <w:sz w:val="18"/>
                <w:szCs w:val="18"/>
                <w:highlight w:val="none"/>
              </w:rPr>
            </w:pPr>
            <w:r>
              <w:rPr>
                <w:rFonts w:ascii="宋体" w:hAnsi="宋体" w:eastAsia="宋体" w:cs="宋体"/>
                <w:color w:val="auto"/>
                <w:sz w:val="18"/>
                <w:szCs w:val="18"/>
                <w:highlight w:val="none"/>
              </w:rPr>
              <w:t>2_3</w:t>
            </w:r>
          </w:p>
        </w:tc>
        <w:tc>
          <w:tcPr>
            <w:tcW w:w="2643" w:type="dxa"/>
            <w:tcBorders>
              <w:tl2br w:val="nil"/>
              <w:tr2bl w:val="nil"/>
            </w:tcBorders>
            <w:vAlign w:val="top"/>
          </w:tcPr>
          <w:p w14:paraId="6B1A4594">
            <w:pPr>
              <w:pStyle w:val="7"/>
              <w:spacing w:line="343" w:lineRule="auto"/>
              <w:rPr>
                <w:color w:val="auto"/>
                <w:highlight w:val="none"/>
              </w:rPr>
            </w:pPr>
          </w:p>
          <w:p w14:paraId="3B6D339D">
            <w:pPr>
              <w:spacing w:before="59" w:line="221" w:lineRule="auto"/>
              <w:ind w:left="11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其它</w:t>
            </w:r>
          </w:p>
        </w:tc>
        <w:tc>
          <w:tcPr>
            <w:tcW w:w="1399" w:type="dxa"/>
            <w:tcBorders>
              <w:tl2br w:val="nil"/>
              <w:tr2bl w:val="nil"/>
            </w:tcBorders>
            <w:vAlign w:val="top"/>
          </w:tcPr>
          <w:p w14:paraId="13DE6A66">
            <w:pPr>
              <w:pStyle w:val="7"/>
              <w:rPr>
                <w:color w:val="auto"/>
                <w:highlight w:val="none"/>
              </w:rPr>
            </w:pPr>
          </w:p>
        </w:tc>
        <w:tc>
          <w:tcPr>
            <w:tcW w:w="779" w:type="dxa"/>
            <w:tcBorders>
              <w:tl2br w:val="nil"/>
              <w:tr2bl w:val="nil"/>
            </w:tcBorders>
            <w:vAlign w:val="top"/>
          </w:tcPr>
          <w:p w14:paraId="4A010D1A">
            <w:pPr>
              <w:pStyle w:val="7"/>
              <w:rPr>
                <w:color w:val="auto"/>
                <w:highlight w:val="none"/>
              </w:rPr>
            </w:pPr>
          </w:p>
        </w:tc>
        <w:tc>
          <w:tcPr>
            <w:tcW w:w="648" w:type="dxa"/>
            <w:tcBorders>
              <w:tl2br w:val="nil"/>
              <w:tr2bl w:val="nil"/>
            </w:tcBorders>
            <w:vAlign w:val="top"/>
          </w:tcPr>
          <w:p w14:paraId="33B98875">
            <w:pPr>
              <w:pStyle w:val="7"/>
              <w:rPr>
                <w:color w:val="auto"/>
                <w:highlight w:val="none"/>
              </w:rPr>
            </w:pPr>
          </w:p>
        </w:tc>
        <w:tc>
          <w:tcPr>
            <w:tcW w:w="645" w:type="dxa"/>
            <w:tcBorders>
              <w:tl2br w:val="nil"/>
              <w:tr2bl w:val="nil"/>
            </w:tcBorders>
            <w:vAlign w:val="top"/>
          </w:tcPr>
          <w:p w14:paraId="687440FA">
            <w:pPr>
              <w:pStyle w:val="7"/>
              <w:rPr>
                <w:color w:val="auto"/>
                <w:highlight w:val="none"/>
              </w:rPr>
            </w:pPr>
          </w:p>
        </w:tc>
        <w:tc>
          <w:tcPr>
            <w:tcW w:w="1039" w:type="dxa"/>
            <w:tcBorders>
              <w:tl2br w:val="nil"/>
              <w:tr2bl w:val="nil"/>
            </w:tcBorders>
            <w:vAlign w:val="top"/>
          </w:tcPr>
          <w:p w14:paraId="637A5677">
            <w:pPr>
              <w:pStyle w:val="7"/>
              <w:rPr>
                <w:color w:val="auto"/>
                <w:highlight w:val="none"/>
              </w:rPr>
            </w:pPr>
          </w:p>
        </w:tc>
        <w:tc>
          <w:tcPr>
            <w:tcW w:w="783" w:type="dxa"/>
            <w:tcBorders>
              <w:tl2br w:val="nil"/>
              <w:tr2bl w:val="nil"/>
            </w:tcBorders>
            <w:vAlign w:val="top"/>
          </w:tcPr>
          <w:p w14:paraId="15D3020B">
            <w:pPr>
              <w:spacing w:before="159" w:line="417" w:lineRule="auto"/>
              <w:ind w:left="215" w:right="118" w:hanging="87"/>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投标人</w:t>
            </w:r>
            <w:r>
              <w:rPr>
                <w:rFonts w:ascii="宋体" w:hAnsi="宋体" w:eastAsia="宋体" w:cs="宋体"/>
                <w:color w:val="auto"/>
                <w:spacing w:val="1"/>
                <w:sz w:val="18"/>
                <w:szCs w:val="18"/>
                <w:highlight w:val="none"/>
              </w:rPr>
              <w:t xml:space="preserve"> </w:t>
            </w:r>
            <w:r>
              <w:rPr>
                <w:rFonts w:ascii="宋体" w:hAnsi="宋体" w:eastAsia="宋体" w:cs="宋体"/>
                <w:color w:val="auto"/>
                <w:spacing w:val="-4"/>
                <w:sz w:val="18"/>
                <w:szCs w:val="18"/>
                <w:highlight w:val="none"/>
              </w:rPr>
              <w:t>细化</w:t>
            </w:r>
          </w:p>
        </w:tc>
      </w:tr>
    </w:tbl>
    <w:p w14:paraId="16E848B3">
      <w:pPr>
        <w:spacing w:line="91" w:lineRule="auto"/>
        <w:rPr>
          <w:rFonts w:ascii="Arial"/>
          <w:color w:val="auto"/>
          <w:sz w:val="2"/>
          <w:highlight w:val="none"/>
        </w:rPr>
      </w:pPr>
    </w:p>
    <w:p w14:paraId="74D04B3A">
      <w:pPr>
        <w:spacing w:before="188" w:line="183" w:lineRule="auto"/>
        <w:ind w:left="257"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br w:type="page"/>
      </w:r>
    </w:p>
    <w:tbl>
      <w:tblPr>
        <w:tblStyle w:val="6"/>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0"/>
        <w:gridCol w:w="2643"/>
        <w:gridCol w:w="1399"/>
        <w:gridCol w:w="779"/>
        <w:gridCol w:w="648"/>
        <w:gridCol w:w="645"/>
        <w:gridCol w:w="1039"/>
        <w:gridCol w:w="783"/>
      </w:tblGrid>
      <w:tr w14:paraId="095836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6A9DC78D">
            <w:pPr>
              <w:spacing w:before="188" w:line="183" w:lineRule="auto"/>
              <w:ind w:left="257"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3</w:t>
            </w:r>
          </w:p>
        </w:tc>
        <w:tc>
          <w:tcPr>
            <w:tcW w:w="7936" w:type="dxa"/>
            <w:gridSpan w:val="7"/>
            <w:vAlign w:val="top"/>
          </w:tcPr>
          <w:p w14:paraId="66D2211B">
            <w:pPr>
              <w:spacing w:before="160" w:line="218" w:lineRule="auto"/>
              <w:ind w:left="2710" w:leftChars="0"/>
              <w:rPr>
                <w:color w:val="auto"/>
                <w:highlight w:val="none"/>
              </w:rPr>
            </w:pPr>
            <w:r>
              <w:rPr>
                <w:rFonts w:ascii="宋体" w:hAnsi="宋体" w:eastAsia="宋体" w:cs="宋体"/>
                <w:color w:val="auto"/>
                <w:spacing w:val="-1"/>
                <w:sz w:val="18"/>
                <w:szCs w:val="18"/>
                <w:highlight w:val="none"/>
              </w:rPr>
              <w:t>专用软件和工器具（计入总价）</w:t>
            </w:r>
          </w:p>
        </w:tc>
      </w:tr>
      <w:tr w14:paraId="08FAA1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2D8352CC">
            <w:pPr>
              <w:spacing w:before="293" w:line="184" w:lineRule="auto"/>
              <w:ind w:left="168" w:leftChars="0"/>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3_1</w:t>
            </w:r>
          </w:p>
        </w:tc>
        <w:tc>
          <w:tcPr>
            <w:tcW w:w="2643" w:type="dxa"/>
            <w:vAlign w:val="center"/>
          </w:tcPr>
          <w:p w14:paraId="197E6BA2">
            <w:pPr>
              <w:keepNext w:val="0"/>
              <w:keepLines w:val="0"/>
              <w:pageBreakBefore w:val="0"/>
              <w:widowControl/>
              <w:kinsoku w:val="0"/>
              <w:wordWrap/>
              <w:overflowPunct/>
              <w:topLinePunct w:val="0"/>
              <w:autoSpaceDE w:val="0"/>
              <w:autoSpaceDN w:val="0"/>
              <w:bidi w:val="0"/>
              <w:adjustRightInd w:val="0"/>
              <w:snapToGrid w:val="0"/>
              <w:spacing w:line="339" w:lineRule="auto"/>
              <w:ind w:left="0" w:leftChars="0" w:right="0" w:rightChars="0" w:firstLine="0" w:firstLineChars="0"/>
              <w:jc w:val="center"/>
              <w:textAlignment w:val="baseline"/>
              <w:outlineLvl w:val="9"/>
              <w:rPr>
                <w:rFonts w:ascii="宋体" w:hAnsi="宋体" w:eastAsia="宋体" w:cs="宋体"/>
                <w:color w:val="auto"/>
                <w:spacing w:val="-1"/>
                <w:sz w:val="18"/>
                <w:szCs w:val="18"/>
                <w:highlight w:val="none"/>
              </w:rPr>
            </w:pPr>
            <w:r>
              <w:rPr>
                <w:rFonts w:ascii="宋体" w:hAnsi="宋体" w:eastAsia="宋体" w:cs="宋体"/>
                <w:color w:val="auto"/>
                <w:spacing w:val="-1"/>
                <w:sz w:val="18"/>
                <w:szCs w:val="18"/>
                <w:highlight w:val="none"/>
              </w:rPr>
              <w:t>调试、整定和维护等可安装的 全套软件</w:t>
            </w:r>
          </w:p>
        </w:tc>
        <w:tc>
          <w:tcPr>
            <w:tcW w:w="1399" w:type="dxa"/>
            <w:vAlign w:val="top"/>
          </w:tcPr>
          <w:p w14:paraId="6EDF8CB2">
            <w:pPr>
              <w:pStyle w:val="7"/>
              <w:rPr>
                <w:color w:val="auto"/>
                <w:highlight w:val="none"/>
              </w:rPr>
            </w:pPr>
          </w:p>
        </w:tc>
        <w:tc>
          <w:tcPr>
            <w:tcW w:w="779" w:type="dxa"/>
            <w:vAlign w:val="top"/>
          </w:tcPr>
          <w:p w14:paraId="05870409">
            <w:pPr>
              <w:spacing w:before="206"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412124C6">
            <w:pPr>
              <w:spacing w:before="234" w:line="183" w:lineRule="auto"/>
              <w:ind w:left="28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645" w:type="dxa"/>
            <w:vAlign w:val="top"/>
          </w:tcPr>
          <w:p w14:paraId="0EE68D60">
            <w:pPr>
              <w:pStyle w:val="7"/>
              <w:rPr>
                <w:color w:val="auto"/>
                <w:highlight w:val="none"/>
              </w:rPr>
            </w:pPr>
          </w:p>
        </w:tc>
        <w:tc>
          <w:tcPr>
            <w:tcW w:w="1039" w:type="dxa"/>
            <w:vAlign w:val="top"/>
          </w:tcPr>
          <w:p w14:paraId="729780EA">
            <w:pPr>
              <w:pStyle w:val="7"/>
              <w:rPr>
                <w:color w:val="auto"/>
                <w:highlight w:val="none"/>
              </w:rPr>
            </w:pPr>
          </w:p>
        </w:tc>
        <w:tc>
          <w:tcPr>
            <w:tcW w:w="783" w:type="dxa"/>
            <w:vAlign w:val="top"/>
          </w:tcPr>
          <w:p w14:paraId="6DA0C9CB">
            <w:pPr>
              <w:pStyle w:val="7"/>
              <w:rPr>
                <w:color w:val="auto"/>
                <w:highlight w:val="none"/>
              </w:rPr>
            </w:pPr>
          </w:p>
        </w:tc>
      </w:tr>
      <w:tr w14:paraId="2DEC3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470E4C82">
            <w:pPr>
              <w:spacing w:before="189" w:line="183" w:lineRule="auto"/>
              <w:ind w:left="168" w:leftChars="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3_2</w:t>
            </w:r>
          </w:p>
        </w:tc>
        <w:tc>
          <w:tcPr>
            <w:tcW w:w="2643" w:type="dxa"/>
            <w:vAlign w:val="center"/>
          </w:tcPr>
          <w:p w14:paraId="15F174E8">
            <w:pPr>
              <w:keepNext w:val="0"/>
              <w:keepLines w:val="0"/>
              <w:pageBreakBefore w:val="0"/>
              <w:widowControl/>
              <w:kinsoku w:val="0"/>
              <w:wordWrap/>
              <w:overflowPunct/>
              <w:topLinePunct w:val="0"/>
              <w:autoSpaceDE w:val="0"/>
              <w:autoSpaceDN w:val="0"/>
              <w:bidi w:val="0"/>
              <w:adjustRightInd w:val="0"/>
              <w:snapToGrid w:val="0"/>
              <w:spacing w:line="339" w:lineRule="auto"/>
              <w:ind w:left="0" w:leftChars="0" w:right="0" w:rightChars="0" w:firstLine="0" w:firstLineChars="0"/>
              <w:jc w:val="center"/>
              <w:textAlignment w:val="baseline"/>
              <w:outlineLvl w:val="9"/>
              <w:rPr>
                <w:rFonts w:hint="eastAsia" w:ascii="宋体" w:hAnsi="宋体" w:eastAsia="宋体" w:cs="宋体"/>
                <w:color w:val="auto"/>
                <w:spacing w:val="-1"/>
                <w:sz w:val="18"/>
                <w:szCs w:val="18"/>
                <w:highlight w:val="none"/>
                <w:lang w:eastAsia="zh-CN"/>
              </w:rPr>
            </w:pPr>
            <w:r>
              <w:rPr>
                <w:rFonts w:ascii="宋体" w:hAnsi="宋体" w:eastAsia="宋体" w:cs="宋体"/>
                <w:color w:val="auto"/>
                <w:spacing w:val="-1"/>
                <w:sz w:val="18"/>
                <w:szCs w:val="18"/>
                <w:highlight w:val="none"/>
              </w:rPr>
              <w:t>便携式调试工器具</w:t>
            </w:r>
            <w:r>
              <w:rPr>
                <w:rFonts w:hint="eastAsia" w:ascii="宋体" w:hAnsi="宋体" w:eastAsia="宋体" w:cs="宋体"/>
                <w:color w:val="auto"/>
                <w:spacing w:val="-1"/>
                <w:sz w:val="18"/>
                <w:szCs w:val="18"/>
                <w:highlight w:val="none"/>
                <w:lang w:eastAsia="zh-CN"/>
              </w:rPr>
              <w:t>【</w:t>
            </w:r>
            <w:r>
              <w:rPr>
                <w:rFonts w:hint="eastAsia" w:ascii="宋体" w:hAnsi="宋体" w:eastAsia="宋体" w:cs="宋体"/>
                <w:color w:val="auto"/>
                <w:spacing w:val="-1"/>
                <w:sz w:val="18"/>
                <w:szCs w:val="18"/>
                <w:highlight w:val="none"/>
                <w:lang w:val="en-US" w:eastAsia="zh-CN"/>
              </w:rPr>
              <w:t>备注：调试试验时必须此专用工具</w:t>
            </w:r>
            <w:r>
              <w:rPr>
                <w:rFonts w:hint="eastAsia" w:ascii="宋体" w:hAnsi="宋体" w:eastAsia="宋体" w:cs="宋体"/>
                <w:color w:val="auto"/>
                <w:spacing w:val="-1"/>
                <w:sz w:val="18"/>
                <w:szCs w:val="18"/>
                <w:highlight w:val="none"/>
                <w:lang w:eastAsia="zh-CN"/>
              </w:rPr>
              <w:t>】</w:t>
            </w:r>
          </w:p>
        </w:tc>
        <w:tc>
          <w:tcPr>
            <w:tcW w:w="1399" w:type="dxa"/>
            <w:vAlign w:val="top"/>
          </w:tcPr>
          <w:p w14:paraId="2B53C23E">
            <w:pPr>
              <w:pStyle w:val="7"/>
              <w:rPr>
                <w:color w:val="auto"/>
                <w:highlight w:val="none"/>
              </w:rPr>
            </w:pPr>
          </w:p>
        </w:tc>
        <w:tc>
          <w:tcPr>
            <w:tcW w:w="779" w:type="dxa"/>
            <w:vAlign w:val="top"/>
          </w:tcPr>
          <w:p w14:paraId="236C4124">
            <w:pPr>
              <w:spacing w:before="161"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14D2D0FA">
            <w:pPr>
              <w:spacing w:before="189" w:line="183" w:lineRule="auto"/>
              <w:ind w:left="285" w:leftChars="0"/>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1</w:t>
            </w:r>
          </w:p>
        </w:tc>
        <w:tc>
          <w:tcPr>
            <w:tcW w:w="645" w:type="dxa"/>
            <w:vAlign w:val="top"/>
          </w:tcPr>
          <w:p w14:paraId="09E656D0">
            <w:pPr>
              <w:pStyle w:val="7"/>
              <w:rPr>
                <w:color w:val="auto"/>
                <w:highlight w:val="none"/>
              </w:rPr>
            </w:pPr>
          </w:p>
        </w:tc>
        <w:tc>
          <w:tcPr>
            <w:tcW w:w="1039" w:type="dxa"/>
            <w:vAlign w:val="top"/>
          </w:tcPr>
          <w:p w14:paraId="57816B6C">
            <w:pPr>
              <w:pStyle w:val="7"/>
              <w:rPr>
                <w:color w:val="auto"/>
                <w:highlight w:val="none"/>
              </w:rPr>
            </w:pPr>
          </w:p>
        </w:tc>
        <w:tc>
          <w:tcPr>
            <w:tcW w:w="783" w:type="dxa"/>
            <w:vAlign w:val="top"/>
          </w:tcPr>
          <w:p w14:paraId="1FCFCC06">
            <w:pPr>
              <w:pStyle w:val="7"/>
              <w:rPr>
                <w:color w:val="auto"/>
                <w:highlight w:val="none"/>
              </w:rPr>
            </w:pPr>
          </w:p>
        </w:tc>
      </w:tr>
      <w:tr w14:paraId="27EA8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2963F516">
            <w:pPr>
              <w:spacing w:before="189" w:line="183" w:lineRule="auto"/>
              <w:ind w:left="168" w:leftChars="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3_3</w:t>
            </w:r>
          </w:p>
        </w:tc>
        <w:tc>
          <w:tcPr>
            <w:tcW w:w="2643" w:type="dxa"/>
            <w:vAlign w:val="center"/>
          </w:tcPr>
          <w:p w14:paraId="6FB41C4F">
            <w:pPr>
              <w:keepNext w:val="0"/>
              <w:keepLines w:val="0"/>
              <w:pageBreakBefore w:val="0"/>
              <w:widowControl/>
              <w:kinsoku w:val="0"/>
              <w:wordWrap/>
              <w:overflowPunct/>
              <w:topLinePunct w:val="0"/>
              <w:autoSpaceDE w:val="0"/>
              <w:autoSpaceDN w:val="0"/>
              <w:bidi w:val="0"/>
              <w:adjustRightInd w:val="0"/>
              <w:snapToGrid w:val="0"/>
              <w:spacing w:line="339" w:lineRule="auto"/>
              <w:ind w:left="0" w:leftChars="0" w:right="0" w:rightChars="0" w:firstLine="0" w:firstLineChars="0"/>
              <w:jc w:val="center"/>
              <w:textAlignment w:val="baseline"/>
              <w:outlineLvl w:val="9"/>
              <w:rPr>
                <w:rFonts w:ascii="宋体" w:hAnsi="宋体" w:eastAsia="宋体" w:cs="宋体"/>
                <w:color w:val="auto"/>
                <w:spacing w:val="-1"/>
                <w:sz w:val="18"/>
                <w:szCs w:val="18"/>
                <w:highlight w:val="none"/>
              </w:rPr>
            </w:pPr>
            <w:r>
              <w:rPr>
                <w:rFonts w:ascii="宋体" w:hAnsi="宋体" w:eastAsia="宋体" w:cs="宋体"/>
                <w:color w:val="auto"/>
                <w:spacing w:val="-2"/>
                <w:sz w:val="18"/>
                <w:szCs w:val="18"/>
                <w:highlight w:val="none"/>
              </w:rPr>
              <w:t>调试专用通信连接线</w:t>
            </w:r>
          </w:p>
        </w:tc>
        <w:tc>
          <w:tcPr>
            <w:tcW w:w="1399" w:type="dxa"/>
            <w:vAlign w:val="top"/>
          </w:tcPr>
          <w:p w14:paraId="3A6A91C2">
            <w:pPr>
              <w:pStyle w:val="7"/>
              <w:rPr>
                <w:color w:val="auto"/>
                <w:highlight w:val="none"/>
              </w:rPr>
            </w:pPr>
          </w:p>
        </w:tc>
        <w:tc>
          <w:tcPr>
            <w:tcW w:w="779" w:type="dxa"/>
            <w:vAlign w:val="top"/>
          </w:tcPr>
          <w:p w14:paraId="50B68B06">
            <w:pPr>
              <w:spacing w:before="161"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4CDBB18A">
            <w:pPr>
              <w:spacing w:before="189" w:line="183" w:lineRule="auto"/>
              <w:ind w:left="28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645" w:type="dxa"/>
            <w:vAlign w:val="top"/>
          </w:tcPr>
          <w:p w14:paraId="0908F220">
            <w:pPr>
              <w:pStyle w:val="7"/>
              <w:rPr>
                <w:color w:val="auto"/>
                <w:highlight w:val="none"/>
              </w:rPr>
            </w:pPr>
          </w:p>
        </w:tc>
        <w:tc>
          <w:tcPr>
            <w:tcW w:w="1039" w:type="dxa"/>
            <w:vAlign w:val="top"/>
          </w:tcPr>
          <w:p w14:paraId="0FBC3E45">
            <w:pPr>
              <w:pStyle w:val="7"/>
              <w:rPr>
                <w:color w:val="auto"/>
                <w:highlight w:val="none"/>
              </w:rPr>
            </w:pPr>
          </w:p>
        </w:tc>
        <w:tc>
          <w:tcPr>
            <w:tcW w:w="783" w:type="dxa"/>
            <w:vAlign w:val="top"/>
          </w:tcPr>
          <w:p w14:paraId="3D0C1A97">
            <w:pPr>
              <w:pStyle w:val="7"/>
              <w:rPr>
                <w:color w:val="auto"/>
                <w:highlight w:val="none"/>
              </w:rPr>
            </w:pPr>
          </w:p>
        </w:tc>
      </w:tr>
      <w:tr w14:paraId="703F7E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1646DC5F">
            <w:pPr>
              <w:spacing w:before="188" w:line="183" w:lineRule="auto"/>
              <w:ind w:left="168" w:leftChars="0"/>
              <w:rPr>
                <w:rFonts w:ascii="宋体" w:hAnsi="宋体" w:eastAsia="宋体" w:cs="宋体"/>
                <w:color w:val="auto"/>
                <w:spacing w:val="-2"/>
                <w:sz w:val="18"/>
                <w:szCs w:val="18"/>
                <w:highlight w:val="none"/>
              </w:rPr>
            </w:pPr>
            <w:r>
              <w:rPr>
                <w:rFonts w:ascii="宋体" w:hAnsi="宋体" w:eastAsia="宋体" w:cs="宋体"/>
                <w:color w:val="auto"/>
                <w:spacing w:val="-2"/>
                <w:sz w:val="18"/>
                <w:szCs w:val="18"/>
                <w:highlight w:val="none"/>
              </w:rPr>
              <w:t>3_4</w:t>
            </w:r>
          </w:p>
        </w:tc>
        <w:tc>
          <w:tcPr>
            <w:tcW w:w="2643" w:type="dxa"/>
            <w:vAlign w:val="center"/>
          </w:tcPr>
          <w:p w14:paraId="3D69BED6">
            <w:pPr>
              <w:keepNext w:val="0"/>
              <w:keepLines w:val="0"/>
              <w:pageBreakBefore w:val="0"/>
              <w:widowControl/>
              <w:kinsoku w:val="0"/>
              <w:wordWrap/>
              <w:overflowPunct/>
              <w:topLinePunct w:val="0"/>
              <w:autoSpaceDE w:val="0"/>
              <w:autoSpaceDN w:val="0"/>
              <w:bidi w:val="0"/>
              <w:adjustRightInd w:val="0"/>
              <w:snapToGrid w:val="0"/>
              <w:spacing w:line="220" w:lineRule="auto"/>
              <w:ind w:left="0" w:leftChars="0" w:right="0" w:firstLine="0"/>
              <w:jc w:val="center"/>
              <w:textAlignment w:val="baseline"/>
              <w:outlineLvl w:val="9"/>
              <w:rPr>
                <w:rFonts w:ascii="宋体" w:hAnsi="宋体" w:eastAsia="宋体" w:cs="宋体"/>
                <w:color w:val="auto"/>
                <w:spacing w:val="-2"/>
                <w:sz w:val="18"/>
                <w:szCs w:val="18"/>
                <w:highlight w:val="none"/>
              </w:rPr>
            </w:pPr>
            <w:r>
              <w:rPr>
                <w:rFonts w:ascii="宋体" w:hAnsi="宋体" w:eastAsia="宋体" w:cs="宋体"/>
                <w:color w:val="auto"/>
                <w:spacing w:val="-2"/>
                <w:sz w:val="18"/>
                <w:szCs w:val="18"/>
                <w:highlight w:val="none"/>
              </w:rPr>
              <w:t>配套专用工具</w:t>
            </w:r>
          </w:p>
        </w:tc>
        <w:tc>
          <w:tcPr>
            <w:tcW w:w="1399" w:type="dxa"/>
            <w:vAlign w:val="top"/>
          </w:tcPr>
          <w:p w14:paraId="06EA2DEC">
            <w:pPr>
              <w:pStyle w:val="7"/>
              <w:rPr>
                <w:color w:val="auto"/>
                <w:highlight w:val="none"/>
              </w:rPr>
            </w:pPr>
          </w:p>
        </w:tc>
        <w:tc>
          <w:tcPr>
            <w:tcW w:w="779" w:type="dxa"/>
            <w:vAlign w:val="top"/>
          </w:tcPr>
          <w:p w14:paraId="313AC743">
            <w:pPr>
              <w:spacing w:before="160" w:line="220" w:lineRule="auto"/>
              <w:ind w:left="30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套</w:t>
            </w:r>
          </w:p>
        </w:tc>
        <w:tc>
          <w:tcPr>
            <w:tcW w:w="648" w:type="dxa"/>
            <w:vAlign w:val="top"/>
          </w:tcPr>
          <w:p w14:paraId="47F7DA81">
            <w:pPr>
              <w:spacing w:before="189" w:line="183" w:lineRule="auto"/>
              <w:ind w:left="285" w:leftChars="0"/>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645" w:type="dxa"/>
            <w:vAlign w:val="top"/>
          </w:tcPr>
          <w:p w14:paraId="18372F64">
            <w:pPr>
              <w:pStyle w:val="7"/>
              <w:rPr>
                <w:color w:val="auto"/>
                <w:highlight w:val="none"/>
              </w:rPr>
            </w:pPr>
          </w:p>
        </w:tc>
        <w:tc>
          <w:tcPr>
            <w:tcW w:w="1039" w:type="dxa"/>
            <w:vAlign w:val="top"/>
          </w:tcPr>
          <w:p w14:paraId="43996114">
            <w:pPr>
              <w:pStyle w:val="7"/>
              <w:rPr>
                <w:color w:val="auto"/>
                <w:highlight w:val="none"/>
              </w:rPr>
            </w:pPr>
          </w:p>
        </w:tc>
        <w:tc>
          <w:tcPr>
            <w:tcW w:w="783" w:type="dxa"/>
            <w:vAlign w:val="top"/>
          </w:tcPr>
          <w:p w14:paraId="244801F1">
            <w:pPr>
              <w:pStyle w:val="7"/>
              <w:rPr>
                <w:color w:val="auto"/>
                <w:highlight w:val="none"/>
              </w:rPr>
            </w:pPr>
          </w:p>
        </w:tc>
      </w:tr>
      <w:tr w14:paraId="76BAF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590" w:type="dxa"/>
            <w:vAlign w:val="top"/>
          </w:tcPr>
          <w:p w14:paraId="6950EA69">
            <w:pPr>
              <w:pStyle w:val="7"/>
              <w:spacing w:line="366" w:lineRule="auto"/>
              <w:rPr>
                <w:color w:val="auto"/>
                <w:highlight w:val="none"/>
              </w:rPr>
            </w:pPr>
          </w:p>
          <w:p w14:paraId="17476846">
            <w:pPr>
              <w:spacing w:before="59" w:line="183" w:lineRule="auto"/>
              <w:ind w:left="168"/>
              <w:rPr>
                <w:rFonts w:ascii="宋体" w:hAnsi="宋体" w:eastAsia="宋体" w:cs="宋体"/>
                <w:color w:val="auto"/>
                <w:sz w:val="18"/>
                <w:szCs w:val="18"/>
                <w:highlight w:val="none"/>
              </w:rPr>
            </w:pPr>
            <w:r>
              <w:rPr>
                <w:rFonts w:ascii="宋体" w:hAnsi="宋体" w:eastAsia="宋体" w:cs="宋体"/>
                <w:color w:val="auto"/>
                <w:sz w:val="18"/>
                <w:szCs w:val="18"/>
                <w:highlight w:val="none"/>
              </w:rPr>
              <w:t>3_5</w:t>
            </w:r>
          </w:p>
        </w:tc>
        <w:tc>
          <w:tcPr>
            <w:tcW w:w="2643" w:type="dxa"/>
            <w:vAlign w:val="top"/>
          </w:tcPr>
          <w:p w14:paraId="443477DC">
            <w:pPr>
              <w:pStyle w:val="7"/>
              <w:spacing w:line="338" w:lineRule="auto"/>
              <w:rPr>
                <w:color w:val="auto"/>
                <w:highlight w:val="none"/>
              </w:rPr>
            </w:pPr>
          </w:p>
          <w:p w14:paraId="1F076533">
            <w:pPr>
              <w:spacing w:before="58" w:line="221" w:lineRule="auto"/>
              <w:ind w:left="11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其它</w:t>
            </w:r>
          </w:p>
        </w:tc>
        <w:tc>
          <w:tcPr>
            <w:tcW w:w="1399" w:type="dxa"/>
            <w:vAlign w:val="top"/>
          </w:tcPr>
          <w:p w14:paraId="09C18EE4">
            <w:pPr>
              <w:pStyle w:val="7"/>
              <w:rPr>
                <w:color w:val="auto"/>
                <w:highlight w:val="none"/>
              </w:rPr>
            </w:pPr>
          </w:p>
        </w:tc>
        <w:tc>
          <w:tcPr>
            <w:tcW w:w="779" w:type="dxa"/>
            <w:vAlign w:val="top"/>
          </w:tcPr>
          <w:p w14:paraId="5FBD424E">
            <w:pPr>
              <w:pStyle w:val="7"/>
              <w:rPr>
                <w:color w:val="auto"/>
                <w:highlight w:val="none"/>
              </w:rPr>
            </w:pPr>
          </w:p>
        </w:tc>
        <w:tc>
          <w:tcPr>
            <w:tcW w:w="648" w:type="dxa"/>
            <w:vAlign w:val="top"/>
          </w:tcPr>
          <w:p w14:paraId="25FFE687">
            <w:pPr>
              <w:pStyle w:val="7"/>
              <w:spacing w:line="365" w:lineRule="auto"/>
              <w:rPr>
                <w:color w:val="auto"/>
                <w:highlight w:val="none"/>
              </w:rPr>
            </w:pPr>
          </w:p>
          <w:p w14:paraId="25B78E7A">
            <w:pPr>
              <w:spacing w:before="59" w:line="184" w:lineRule="auto"/>
              <w:ind w:left="297"/>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645" w:type="dxa"/>
            <w:vAlign w:val="top"/>
          </w:tcPr>
          <w:p w14:paraId="034DF625">
            <w:pPr>
              <w:pStyle w:val="7"/>
              <w:rPr>
                <w:color w:val="auto"/>
                <w:highlight w:val="none"/>
              </w:rPr>
            </w:pPr>
          </w:p>
        </w:tc>
        <w:tc>
          <w:tcPr>
            <w:tcW w:w="1039" w:type="dxa"/>
            <w:vAlign w:val="top"/>
          </w:tcPr>
          <w:p w14:paraId="5C246B44">
            <w:pPr>
              <w:pStyle w:val="7"/>
              <w:rPr>
                <w:color w:val="auto"/>
                <w:highlight w:val="none"/>
              </w:rPr>
            </w:pPr>
          </w:p>
        </w:tc>
        <w:tc>
          <w:tcPr>
            <w:tcW w:w="783" w:type="dxa"/>
            <w:vAlign w:val="top"/>
          </w:tcPr>
          <w:p w14:paraId="414469FB">
            <w:pPr>
              <w:spacing w:before="156" w:line="418" w:lineRule="auto"/>
              <w:ind w:left="215" w:right="118" w:hanging="87"/>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投标人</w:t>
            </w:r>
            <w:r>
              <w:rPr>
                <w:rFonts w:ascii="宋体" w:hAnsi="宋体" w:eastAsia="宋体" w:cs="宋体"/>
                <w:color w:val="auto"/>
                <w:spacing w:val="1"/>
                <w:sz w:val="18"/>
                <w:szCs w:val="18"/>
                <w:highlight w:val="none"/>
              </w:rPr>
              <w:t xml:space="preserve"> </w:t>
            </w:r>
            <w:r>
              <w:rPr>
                <w:rFonts w:ascii="宋体" w:hAnsi="宋体" w:eastAsia="宋体" w:cs="宋体"/>
                <w:color w:val="auto"/>
                <w:spacing w:val="-4"/>
                <w:sz w:val="18"/>
                <w:szCs w:val="18"/>
                <w:highlight w:val="none"/>
              </w:rPr>
              <w:t>细化</w:t>
            </w:r>
          </w:p>
        </w:tc>
      </w:tr>
      <w:tr w14:paraId="438EF1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590" w:type="dxa"/>
            <w:vAlign w:val="top"/>
          </w:tcPr>
          <w:p w14:paraId="0437B004">
            <w:pPr>
              <w:spacing w:before="184" w:line="183" w:lineRule="auto"/>
              <w:ind w:left="253"/>
              <w:rPr>
                <w:rFonts w:ascii="宋体" w:hAnsi="宋体" w:eastAsia="宋体" w:cs="宋体"/>
                <w:color w:val="auto"/>
                <w:sz w:val="18"/>
                <w:szCs w:val="18"/>
                <w:highlight w:val="none"/>
              </w:rPr>
            </w:pPr>
            <w:r>
              <w:rPr>
                <w:rFonts w:ascii="宋体" w:hAnsi="宋体" w:eastAsia="宋体" w:cs="宋体"/>
                <w:color w:val="auto"/>
                <w:sz w:val="18"/>
                <w:szCs w:val="18"/>
                <w:highlight w:val="none"/>
              </w:rPr>
              <w:t>4</w:t>
            </w:r>
          </w:p>
        </w:tc>
        <w:tc>
          <w:tcPr>
            <w:tcW w:w="7936" w:type="dxa"/>
            <w:gridSpan w:val="7"/>
            <w:vAlign w:val="top"/>
          </w:tcPr>
          <w:p w14:paraId="73FBA58D">
            <w:pPr>
              <w:spacing w:before="156" w:line="218" w:lineRule="auto"/>
              <w:ind w:left="2620"/>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三年随机备品备件（不计入总价）</w:t>
            </w:r>
          </w:p>
        </w:tc>
      </w:tr>
      <w:tr w14:paraId="6D539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590" w:type="dxa"/>
            <w:vAlign w:val="top"/>
          </w:tcPr>
          <w:p w14:paraId="06DA25B9">
            <w:pPr>
              <w:spacing w:before="184" w:line="184" w:lineRule="auto"/>
              <w:ind w:left="164"/>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4_1</w:t>
            </w:r>
          </w:p>
        </w:tc>
        <w:tc>
          <w:tcPr>
            <w:tcW w:w="2643" w:type="dxa"/>
            <w:vAlign w:val="top"/>
          </w:tcPr>
          <w:p w14:paraId="0B8FA757">
            <w:pPr>
              <w:spacing w:before="157" w:line="220" w:lineRule="auto"/>
              <w:ind w:left="87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投标人填写</w:t>
            </w:r>
          </w:p>
        </w:tc>
        <w:tc>
          <w:tcPr>
            <w:tcW w:w="1399" w:type="dxa"/>
            <w:vAlign w:val="top"/>
          </w:tcPr>
          <w:p w14:paraId="58E082F9">
            <w:pPr>
              <w:pStyle w:val="7"/>
              <w:rPr>
                <w:color w:val="auto"/>
                <w:highlight w:val="none"/>
              </w:rPr>
            </w:pPr>
          </w:p>
        </w:tc>
        <w:tc>
          <w:tcPr>
            <w:tcW w:w="779" w:type="dxa"/>
            <w:vAlign w:val="top"/>
          </w:tcPr>
          <w:p w14:paraId="02171644">
            <w:pPr>
              <w:pStyle w:val="7"/>
              <w:rPr>
                <w:color w:val="auto"/>
                <w:highlight w:val="none"/>
              </w:rPr>
            </w:pPr>
          </w:p>
        </w:tc>
        <w:tc>
          <w:tcPr>
            <w:tcW w:w="648" w:type="dxa"/>
            <w:vAlign w:val="top"/>
          </w:tcPr>
          <w:p w14:paraId="747AA142">
            <w:pPr>
              <w:pStyle w:val="7"/>
              <w:rPr>
                <w:color w:val="auto"/>
                <w:highlight w:val="none"/>
              </w:rPr>
            </w:pPr>
          </w:p>
        </w:tc>
        <w:tc>
          <w:tcPr>
            <w:tcW w:w="645" w:type="dxa"/>
            <w:vAlign w:val="top"/>
          </w:tcPr>
          <w:p w14:paraId="2B8AB9C9">
            <w:pPr>
              <w:pStyle w:val="7"/>
              <w:rPr>
                <w:color w:val="auto"/>
                <w:highlight w:val="none"/>
              </w:rPr>
            </w:pPr>
          </w:p>
        </w:tc>
        <w:tc>
          <w:tcPr>
            <w:tcW w:w="1039" w:type="dxa"/>
            <w:vAlign w:val="top"/>
          </w:tcPr>
          <w:p w14:paraId="03071DEF">
            <w:pPr>
              <w:pStyle w:val="7"/>
              <w:rPr>
                <w:color w:val="auto"/>
                <w:highlight w:val="none"/>
              </w:rPr>
            </w:pPr>
          </w:p>
        </w:tc>
        <w:tc>
          <w:tcPr>
            <w:tcW w:w="783" w:type="dxa"/>
            <w:vAlign w:val="top"/>
          </w:tcPr>
          <w:p w14:paraId="45B7B0D7">
            <w:pPr>
              <w:pStyle w:val="7"/>
              <w:rPr>
                <w:color w:val="auto"/>
                <w:highlight w:val="none"/>
              </w:rPr>
            </w:pPr>
          </w:p>
        </w:tc>
      </w:tr>
      <w:tr w14:paraId="0F42C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590" w:type="dxa"/>
            <w:vAlign w:val="top"/>
          </w:tcPr>
          <w:p w14:paraId="7BE072C4">
            <w:pPr>
              <w:spacing w:before="188" w:line="182" w:lineRule="auto"/>
              <w:ind w:left="257"/>
              <w:rPr>
                <w:rFonts w:ascii="宋体" w:hAnsi="宋体" w:eastAsia="宋体" w:cs="宋体"/>
                <w:color w:val="auto"/>
                <w:sz w:val="18"/>
                <w:szCs w:val="18"/>
                <w:highlight w:val="none"/>
              </w:rPr>
            </w:pPr>
            <w:r>
              <w:rPr>
                <w:rFonts w:ascii="宋体" w:hAnsi="宋体" w:eastAsia="宋体" w:cs="宋体"/>
                <w:color w:val="auto"/>
                <w:sz w:val="18"/>
                <w:szCs w:val="18"/>
                <w:highlight w:val="none"/>
              </w:rPr>
              <w:t>5</w:t>
            </w:r>
          </w:p>
        </w:tc>
        <w:tc>
          <w:tcPr>
            <w:tcW w:w="2643" w:type="dxa"/>
            <w:vAlign w:val="top"/>
          </w:tcPr>
          <w:p w14:paraId="65ED1B29">
            <w:pPr>
              <w:spacing w:before="158" w:line="219" w:lineRule="auto"/>
              <w:ind w:left="874"/>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技术服务费</w:t>
            </w:r>
          </w:p>
        </w:tc>
        <w:tc>
          <w:tcPr>
            <w:tcW w:w="1399" w:type="dxa"/>
            <w:vAlign w:val="top"/>
          </w:tcPr>
          <w:p w14:paraId="5B962F81">
            <w:pPr>
              <w:pStyle w:val="7"/>
              <w:rPr>
                <w:color w:val="auto"/>
                <w:highlight w:val="none"/>
              </w:rPr>
            </w:pPr>
          </w:p>
        </w:tc>
        <w:tc>
          <w:tcPr>
            <w:tcW w:w="779" w:type="dxa"/>
            <w:vAlign w:val="top"/>
          </w:tcPr>
          <w:p w14:paraId="1459C873">
            <w:pPr>
              <w:pStyle w:val="7"/>
              <w:rPr>
                <w:color w:val="auto"/>
                <w:highlight w:val="none"/>
              </w:rPr>
            </w:pPr>
          </w:p>
        </w:tc>
        <w:tc>
          <w:tcPr>
            <w:tcW w:w="648" w:type="dxa"/>
            <w:vAlign w:val="top"/>
          </w:tcPr>
          <w:p w14:paraId="15EF37D8">
            <w:pPr>
              <w:pStyle w:val="7"/>
              <w:rPr>
                <w:color w:val="auto"/>
                <w:highlight w:val="none"/>
              </w:rPr>
            </w:pPr>
          </w:p>
        </w:tc>
        <w:tc>
          <w:tcPr>
            <w:tcW w:w="645" w:type="dxa"/>
            <w:vAlign w:val="top"/>
          </w:tcPr>
          <w:p w14:paraId="6DFF4EF3">
            <w:pPr>
              <w:pStyle w:val="7"/>
              <w:rPr>
                <w:color w:val="auto"/>
                <w:highlight w:val="none"/>
              </w:rPr>
            </w:pPr>
          </w:p>
        </w:tc>
        <w:tc>
          <w:tcPr>
            <w:tcW w:w="1039" w:type="dxa"/>
            <w:vAlign w:val="top"/>
          </w:tcPr>
          <w:p w14:paraId="2EB9B4DA">
            <w:pPr>
              <w:pStyle w:val="7"/>
              <w:rPr>
                <w:color w:val="auto"/>
                <w:highlight w:val="none"/>
              </w:rPr>
            </w:pPr>
          </w:p>
        </w:tc>
        <w:tc>
          <w:tcPr>
            <w:tcW w:w="783" w:type="dxa"/>
            <w:vAlign w:val="top"/>
          </w:tcPr>
          <w:p w14:paraId="3591E002">
            <w:pPr>
              <w:pStyle w:val="7"/>
              <w:rPr>
                <w:color w:val="auto"/>
                <w:highlight w:val="none"/>
              </w:rPr>
            </w:pPr>
          </w:p>
        </w:tc>
      </w:tr>
      <w:tr w14:paraId="52D44A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590" w:type="dxa"/>
            <w:vAlign w:val="top"/>
          </w:tcPr>
          <w:p w14:paraId="0393F927">
            <w:pPr>
              <w:spacing w:before="188" w:line="183" w:lineRule="auto"/>
              <w:ind w:left="255"/>
              <w:rPr>
                <w:rFonts w:ascii="宋体" w:hAnsi="宋体" w:eastAsia="宋体" w:cs="宋体"/>
                <w:color w:val="auto"/>
                <w:sz w:val="18"/>
                <w:szCs w:val="18"/>
                <w:highlight w:val="none"/>
              </w:rPr>
            </w:pPr>
            <w:r>
              <w:rPr>
                <w:rFonts w:ascii="宋体" w:hAnsi="宋体" w:eastAsia="宋体" w:cs="宋体"/>
                <w:color w:val="auto"/>
                <w:sz w:val="18"/>
                <w:szCs w:val="18"/>
                <w:highlight w:val="none"/>
              </w:rPr>
              <w:t>6</w:t>
            </w:r>
          </w:p>
        </w:tc>
        <w:tc>
          <w:tcPr>
            <w:tcW w:w="2643" w:type="dxa"/>
            <w:vAlign w:val="top"/>
          </w:tcPr>
          <w:p w14:paraId="36487663">
            <w:pPr>
              <w:spacing w:before="159" w:line="220" w:lineRule="auto"/>
              <w:ind w:left="105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运保费</w:t>
            </w:r>
          </w:p>
        </w:tc>
        <w:tc>
          <w:tcPr>
            <w:tcW w:w="1399" w:type="dxa"/>
            <w:vAlign w:val="top"/>
          </w:tcPr>
          <w:p w14:paraId="2CFBE106">
            <w:pPr>
              <w:pStyle w:val="7"/>
              <w:rPr>
                <w:color w:val="auto"/>
                <w:highlight w:val="none"/>
              </w:rPr>
            </w:pPr>
          </w:p>
        </w:tc>
        <w:tc>
          <w:tcPr>
            <w:tcW w:w="779" w:type="dxa"/>
            <w:vAlign w:val="top"/>
          </w:tcPr>
          <w:p w14:paraId="1E0B75F3">
            <w:pPr>
              <w:pStyle w:val="7"/>
              <w:rPr>
                <w:color w:val="auto"/>
                <w:highlight w:val="none"/>
              </w:rPr>
            </w:pPr>
          </w:p>
        </w:tc>
        <w:tc>
          <w:tcPr>
            <w:tcW w:w="648" w:type="dxa"/>
            <w:vAlign w:val="top"/>
          </w:tcPr>
          <w:p w14:paraId="3C48158C">
            <w:pPr>
              <w:pStyle w:val="7"/>
              <w:rPr>
                <w:color w:val="auto"/>
                <w:highlight w:val="none"/>
              </w:rPr>
            </w:pPr>
          </w:p>
        </w:tc>
        <w:tc>
          <w:tcPr>
            <w:tcW w:w="645" w:type="dxa"/>
            <w:vAlign w:val="top"/>
          </w:tcPr>
          <w:p w14:paraId="00049AD2">
            <w:pPr>
              <w:pStyle w:val="7"/>
              <w:rPr>
                <w:color w:val="auto"/>
                <w:highlight w:val="none"/>
              </w:rPr>
            </w:pPr>
          </w:p>
        </w:tc>
        <w:tc>
          <w:tcPr>
            <w:tcW w:w="1039" w:type="dxa"/>
            <w:vAlign w:val="top"/>
          </w:tcPr>
          <w:p w14:paraId="7A887122">
            <w:pPr>
              <w:pStyle w:val="7"/>
              <w:rPr>
                <w:color w:val="auto"/>
                <w:highlight w:val="none"/>
              </w:rPr>
            </w:pPr>
          </w:p>
        </w:tc>
        <w:tc>
          <w:tcPr>
            <w:tcW w:w="783" w:type="dxa"/>
            <w:vAlign w:val="top"/>
          </w:tcPr>
          <w:p w14:paraId="6B98846E">
            <w:pPr>
              <w:pStyle w:val="7"/>
              <w:rPr>
                <w:color w:val="auto"/>
                <w:highlight w:val="none"/>
              </w:rPr>
            </w:pPr>
          </w:p>
        </w:tc>
      </w:tr>
    </w:tbl>
    <w:p w14:paraId="7879CBEF">
      <w:pPr>
        <w:pStyle w:val="3"/>
        <w:spacing w:line="280" w:lineRule="auto"/>
        <w:rPr>
          <w:color w:val="auto"/>
          <w:highlight w:val="none"/>
        </w:rPr>
      </w:pPr>
    </w:p>
    <w:p w14:paraId="59C02162">
      <w:pPr>
        <w:pStyle w:val="3"/>
        <w:spacing w:line="281" w:lineRule="auto"/>
        <w:rPr>
          <w:color w:val="auto"/>
          <w:highlight w:val="none"/>
        </w:rPr>
      </w:pPr>
    </w:p>
    <w:p w14:paraId="3CC49DE8">
      <w:pPr>
        <w:spacing w:before="65" w:line="226" w:lineRule="auto"/>
        <w:ind w:left="11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报价要求：</w:t>
      </w:r>
    </w:p>
    <w:p w14:paraId="20CC6D15">
      <w:pPr>
        <w:keepNext w:val="0"/>
        <w:keepLines w:val="0"/>
        <w:pageBreakBefore w:val="0"/>
        <w:widowControl/>
        <w:kinsoku w:val="0"/>
        <w:wordWrap/>
        <w:overflowPunct/>
        <w:topLinePunct w:val="0"/>
        <w:autoSpaceDE w:val="0"/>
        <w:autoSpaceDN w:val="0"/>
        <w:bidi w:val="0"/>
        <w:adjustRightInd w:val="0"/>
        <w:snapToGrid w:val="0"/>
        <w:spacing w:before="242" w:line="437" w:lineRule="auto"/>
        <w:ind w:left="123"/>
        <w:textAlignment w:val="baseline"/>
        <w:rPr>
          <w:rFonts w:ascii="宋体" w:hAnsi="宋体" w:eastAsia="宋体" w:cs="宋体"/>
          <w:b/>
          <w:bCs/>
          <w:color w:val="auto"/>
          <w:sz w:val="20"/>
          <w:szCs w:val="20"/>
          <w:highlight w:val="none"/>
        </w:rPr>
      </w:pPr>
      <w:r>
        <w:rPr>
          <w:rFonts w:hint="eastAsia" w:ascii="宋体" w:hAnsi="宋体" w:eastAsia="宋体" w:cs="宋体"/>
          <w:b/>
          <w:bCs/>
          <w:color w:val="auto"/>
          <w:spacing w:val="8"/>
          <w:sz w:val="20"/>
          <w:szCs w:val="20"/>
          <w:highlight w:val="none"/>
          <w:lang w:val="en-US" w:eastAsia="zh-CN"/>
        </w:rPr>
        <w:t>1</w:t>
      </w:r>
      <w:r>
        <w:rPr>
          <w:rFonts w:ascii="宋体" w:hAnsi="宋体" w:eastAsia="宋体" w:cs="宋体"/>
          <w:b/>
          <w:bCs/>
          <w:color w:val="auto"/>
          <w:spacing w:val="8"/>
          <w:sz w:val="20"/>
          <w:szCs w:val="20"/>
          <w:highlight w:val="none"/>
        </w:rPr>
        <w:t>）保护屏柜安装指导、调试配合及启动调试等。</w:t>
      </w:r>
    </w:p>
    <w:p w14:paraId="1628AF1E">
      <w:pPr>
        <w:keepNext w:val="0"/>
        <w:keepLines w:val="0"/>
        <w:pageBreakBefore w:val="0"/>
        <w:widowControl/>
        <w:kinsoku w:val="0"/>
        <w:wordWrap/>
        <w:overflowPunct/>
        <w:topLinePunct w:val="0"/>
        <w:autoSpaceDE w:val="0"/>
        <w:autoSpaceDN w:val="0"/>
        <w:bidi w:val="0"/>
        <w:adjustRightInd w:val="0"/>
        <w:snapToGrid w:val="0"/>
        <w:spacing w:before="243" w:line="437" w:lineRule="auto"/>
        <w:ind w:left="125"/>
        <w:textAlignment w:val="baseline"/>
        <w:rPr>
          <w:rFonts w:ascii="宋体" w:hAnsi="宋体" w:eastAsia="宋体" w:cs="宋体"/>
          <w:b/>
          <w:bCs/>
          <w:color w:val="auto"/>
          <w:sz w:val="20"/>
          <w:szCs w:val="20"/>
          <w:highlight w:val="none"/>
        </w:rPr>
      </w:pPr>
      <w:r>
        <w:rPr>
          <w:rFonts w:hint="eastAsia" w:ascii="宋体" w:hAnsi="宋体" w:eastAsia="宋体" w:cs="宋体"/>
          <w:b/>
          <w:bCs/>
          <w:color w:val="auto"/>
          <w:spacing w:val="10"/>
          <w:sz w:val="20"/>
          <w:szCs w:val="20"/>
          <w:highlight w:val="none"/>
          <w:lang w:val="en-US" w:eastAsia="zh-CN"/>
        </w:rPr>
        <w:t>2</w:t>
      </w:r>
      <w:r>
        <w:rPr>
          <w:rFonts w:ascii="宋体" w:hAnsi="宋体" w:eastAsia="宋体" w:cs="宋体"/>
          <w:b/>
          <w:bCs/>
          <w:color w:val="auto"/>
          <w:spacing w:val="10"/>
          <w:sz w:val="20"/>
          <w:szCs w:val="20"/>
          <w:highlight w:val="none"/>
        </w:rPr>
        <w:t>）保</w:t>
      </w:r>
      <w:r>
        <w:rPr>
          <w:rFonts w:hint="eastAsia" w:ascii="宋体" w:hAnsi="宋体" w:eastAsia="宋体" w:cs="宋体"/>
          <w:b/>
          <w:bCs/>
          <w:color w:val="auto"/>
          <w:spacing w:val="10"/>
          <w:sz w:val="20"/>
          <w:szCs w:val="20"/>
          <w:highlight w:val="none"/>
          <w:lang w:val="en-US" w:eastAsia="zh-CN"/>
        </w:rPr>
        <w:t>护可研初设报告编制、图纸设计（含</w:t>
      </w:r>
      <w:r>
        <w:rPr>
          <w:rFonts w:ascii="宋体" w:hAnsi="宋体" w:eastAsia="宋体" w:cs="宋体"/>
          <w:b/>
          <w:bCs/>
          <w:color w:val="auto"/>
          <w:spacing w:val="10"/>
          <w:sz w:val="20"/>
          <w:szCs w:val="20"/>
          <w:highlight w:val="none"/>
        </w:rPr>
        <w:t>施工图、竣工</w:t>
      </w:r>
      <w:r>
        <w:rPr>
          <w:rFonts w:ascii="宋体" w:hAnsi="宋体" w:eastAsia="宋体" w:cs="宋体"/>
          <w:b/>
          <w:bCs/>
          <w:color w:val="auto"/>
          <w:spacing w:val="9"/>
          <w:sz w:val="20"/>
          <w:szCs w:val="20"/>
          <w:highlight w:val="none"/>
        </w:rPr>
        <w:t>图</w:t>
      </w:r>
      <w:r>
        <w:rPr>
          <w:rFonts w:hint="eastAsia" w:ascii="宋体" w:hAnsi="宋体" w:eastAsia="宋体" w:cs="宋体"/>
          <w:b/>
          <w:bCs/>
          <w:color w:val="auto"/>
          <w:spacing w:val="10"/>
          <w:sz w:val="20"/>
          <w:szCs w:val="20"/>
          <w:highlight w:val="none"/>
          <w:lang w:val="en-US" w:eastAsia="zh-CN"/>
        </w:rPr>
        <w:t>）</w:t>
      </w:r>
      <w:r>
        <w:rPr>
          <w:rFonts w:ascii="宋体" w:hAnsi="宋体" w:eastAsia="宋体" w:cs="宋体"/>
          <w:b/>
          <w:bCs/>
          <w:color w:val="auto"/>
          <w:spacing w:val="9"/>
          <w:sz w:val="20"/>
          <w:szCs w:val="20"/>
          <w:highlight w:val="none"/>
        </w:rPr>
        <w:t>及启动方案编制均由中国电力工程顾问集团</w:t>
      </w:r>
      <w:r>
        <w:rPr>
          <w:rFonts w:ascii="宋体" w:hAnsi="宋体" w:eastAsia="宋体" w:cs="宋体"/>
          <w:b/>
          <w:bCs/>
          <w:color w:val="auto"/>
          <w:spacing w:val="7"/>
          <w:sz w:val="20"/>
          <w:szCs w:val="20"/>
          <w:highlight w:val="none"/>
        </w:rPr>
        <w:t>华东电力设计院完成。</w:t>
      </w:r>
    </w:p>
    <w:p w14:paraId="0B05C5BB">
      <w:pPr>
        <w:keepNext w:val="0"/>
        <w:keepLines w:val="0"/>
        <w:pageBreakBefore w:val="0"/>
        <w:widowControl/>
        <w:kinsoku w:val="0"/>
        <w:wordWrap/>
        <w:overflowPunct/>
        <w:topLinePunct w:val="0"/>
        <w:autoSpaceDE w:val="0"/>
        <w:autoSpaceDN w:val="0"/>
        <w:bidi w:val="0"/>
        <w:adjustRightInd w:val="0"/>
        <w:snapToGrid w:val="0"/>
        <w:spacing w:before="32" w:line="437" w:lineRule="auto"/>
        <w:ind w:left="125"/>
        <w:textAlignment w:val="baseline"/>
        <w:rPr>
          <w:rFonts w:ascii="宋体" w:hAnsi="宋体" w:eastAsia="宋体" w:cs="宋体"/>
          <w:color w:val="auto"/>
          <w:sz w:val="20"/>
          <w:szCs w:val="20"/>
          <w:highlight w:val="none"/>
        </w:rPr>
      </w:pPr>
      <w:r>
        <w:rPr>
          <w:rFonts w:hint="eastAsia" w:ascii="宋体" w:hAnsi="宋体" w:eastAsia="宋体" w:cs="宋体"/>
          <w:color w:val="auto"/>
          <w:spacing w:val="7"/>
          <w:sz w:val="20"/>
          <w:szCs w:val="20"/>
          <w:highlight w:val="none"/>
          <w:lang w:val="en-US" w:eastAsia="zh-CN"/>
        </w:rPr>
        <w:t>3</w:t>
      </w:r>
      <w:r>
        <w:rPr>
          <w:rFonts w:ascii="宋体" w:hAnsi="宋体" w:eastAsia="宋体" w:cs="宋体"/>
          <w:color w:val="auto"/>
          <w:spacing w:val="7"/>
          <w:sz w:val="20"/>
          <w:szCs w:val="20"/>
          <w:highlight w:val="none"/>
        </w:rPr>
        <w:t>）根据供货范围分项报价。</w:t>
      </w:r>
    </w:p>
    <w:p w14:paraId="5883453A">
      <w:pPr>
        <w:spacing w:line="227" w:lineRule="auto"/>
        <w:rPr>
          <w:rFonts w:ascii="宋体" w:hAnsi="宋体" w:eastAsia="宋体" w:cs="宋体"/>
          <w:color w:val="auto"/>
          <w:sz w:val="20"/>
          <w:szCs w:val="20"/>
          <w:highlight w:val="none"/>
        </w:rPr>
        <w:sectPr>
          <w:pgSz w:w="11906" w:h="16839"/>
          <w:pgMar w:top="1431" w:right="1687" w:bottom="0" w:left="1687" w:header="0" w:footer="0" w:gutter="0"/>
          <w:pgBorders>
            <w:top w:val="none" w:sz="0" w:space="0"/>
            <w:left w:val="none" w:sz="0" w:space="0"/>
            <w:bottom w:val="none" w:sz="0" w:space="0"/>
            <w:right w:val="none" w:sz="0" w:space="0"/>
          </w:pgBorders>
          <w:cols w:space="720" w:num="1"/>
        </w:sectPr>
      </w:pPr>
    </w:p>
    <w:p w14:paraId="3FB530EC">
      <w:pPr>
        <w:spacing w:before="172" w:line="224" w:lineRule="auto"/>
        <w:ind w:left="51"/>
        <w:outlineLvl w:val="0"/>
        <w:rPr>
          <w:rFonts w:ascii="宋体" w:hAnsi="宋体" w:eastAsia="宋体" w:cs="宋体"/>
          <w:color w:val="auto"/>
          <w:sz w:val="31"/>
          <w:szCs w:val="31"/>
          <w:highlight w:val="none"/>
        </w:rPr>
      </w:pPr>
      <w:bookmarkStart w:id="17" w:name="bookmark5"/>
      <w:bookmarkEnd w:id="17"/>
      <w:bookmarkStart w:id="18" w:name="bookmark6"/>
      <w:bookmarkEnd w:id="18"/>
      <w:r>
        <w:rPr>
          <w:rFonts w:ascii="宋体" w:hAnsi="宋体" w:eastAsia="宋体" w:cs="宋体"/>
          <w:b/>
          <w:bCs/>
          <w:color w:val="auto"/>
          <w:spacing w:val="3"/>
          <w:sz w:val="31"/>
          <w:szCs w:val="31"/>
          <w:highlight w:val="none"/>
        </w:rPr>
        <w:t>附件</w:t>
      </w:r>
      <w:r>
        <w:rPr>
          <w:rFonts w:ascii="宋体" w:hAnsi="宋体" w:eastAsia="宋体" w:cs="宋体"/>
          <w:color w:val="auto"/>
          <w:spacing w:val="-55"/>
          <w:sz w:val="31"/>
          <w:szCs w:val="31"/>
          <w:highlight w:val="none"/>
        </w:rPr>
        <w:t xml:space="preserve"> </w:t>
      </w:r>
      <w:r>
        <w:rPr>
          <w:rFonts w:ascii="宋体" w:hAnsi="宋体" w:eastAsia="宋体" w:cs="宋体"/>
          <w:b/>
          <w:bCs/>
          <w:color w:val="auto"/>
          <w:spacing w:val="3"/>
          <w:sz w:val="31"/>
          <w:szCs w:val="31"/>
          <w:highlight w:val="none"/>
        </w:rPr>
        <w:t>3</w:t>
      </w:r>
      <w:r>
        <w:rPr>
          <w:rFonts w:ascii="宋体" w:hAnsi="宋体" w:eastAsia="宋体" w:cs="宋体"/>
          <w:color w:val="auto"/>
          <w:spacing w:val="3"/>
          <w:sz w:val="31"/>
          <w:szCs w:val="31"/>
          <w:highlight w:val="none"/>
        </w:rPr>
        <w:t xml:space="preserve">  </w:t>
      </w:r>
      <w:r>
        <w:rPr>
          <w:rFonts w:ascii="宋体" w:hAnsi="宋体" w:eastAsia="宋体" w:cs="宋体"/>
          <w:b/>
          <w:bCs/>
          <w:color w:val="auto"/>
          <w:spacing w:val="3"/>
          <w:sz w:val="31"/>
          <w:szCs w:val="31"/>
          <w:highlight w:val="none"/>
        </w:rPr>
        <w:t>技术资料及交付进度</w:t>
      </w:r>
    </w:p>
    <w:p w14:paraId="4D314C12">
      <w:pPr>
        <w:spacing w:before="219" w:line="221" w:lineRule="auto"/>
        <w:ind w:left="41"/>
        <w:outlineLvl w:val="1"/>
        <w:rPr>
          <w:rFonts w:ascii="宋体" w:hAnsi="宋体" w:eastAsia="宋体" w:cs="宋体"/>
          <w:color w:val="auto"/>
          <w:sz w:val="24"/>
          <w:szCs w:val="24"/>
          <w:highlight w:val="none"/>
        </w:rPr>
      </w:pPr>
      <w:r>
        <w:rPr>
          <w:rFonts w:ascii="宋体" w:hAnsi="宋体" w:eastAsia="宋体" w:cs="宋体"/>
          <w:b/>
          <w:bCs/>
          <w:color w:val="auto"/>
          <w:spacing w:val="-11"/>
          <w:sz w:val="24"/>
          <w:szCs w:val="24"/>
          <w:highlight w:val="none"/>
        </w:rPr>
        <w:t>1</w:t>
      </w:r>
      <w:r>
        <w:rPr>
          <w:rFonts w:ascii="宋体" w:hAnsi="宋体" w:eastAsia="宋体" w:cs="宋体"/>
          <w:color w:val="auto"/>
          <w:spacing w:val="38"/>
          <w:sz w:val="24"/>
          <w:szCs w:val="24"/>
          <w:highlight w:val="none"/>
        </w:rPr>
        <w:t xml:space="preserve">  </w:t>
      </w:r>
      <w:r>
        <w:rPr>
          <w:rFonts w:ascii="宋体" w:hAnsi="宋体" w:eastAsia="宋体" w:cs="宋体"/>
          <w:b/>
          <w:bCs/>
          <w:color w:val="auto"/>
          <w:spacing w:val="-11"/>
          <w:sz w:val="24"/>
          <w:szCs w:val="24"/>
          <w:highlight w:val="none"/>
        </w:rPr>
        <w:t>一般要求</w:t>
      </w:r>
    </w:p>
    <w:p w14:paraId="6EEBFC40">
      <w:pPr>
        <w:spacing w:before="194" w:line="364" w:lineRule="auto"/>
        <w:ind w:left="22" w:right="58" w:firstLine="15"/>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1.1 投标人提供的资料应使用国家法定单位制</w:t>
      </w:r>
      <w:r>
        <w:rPr>
          <w:rFonts w:ascii="宋体" w:hAnsi="宋体" w:eastAsia="宋体" w:cs="宋体"/>
          <w:color w:val="auto"/>
          <w:spacing w:val="64"/>
          <w:sz w:val="20"/>
          <w:szCs w:val="20"/>
          <w:highlight w:val="none"/>
        </w:rPr>
        <w:t xml:space="preserve"> </w:t>
      </w:r>
      <w:r>
        <w:rPr>
          <w:rFonts w:ascii="宋体" w:hAnsi="宋体" w:eastAsia="宋体" w:cs="宋体"/>
          <w:color w:val="auto"/>
          <w:spacing w:val="5"/>
          <w:sz w:val="20"/>
          <w:szCs w:val="20"/>
          <w:highlight w:val="none"/>
        </w:rPr>
        <w:t>(语言为中文) ，进口部件的外文图纸及文件</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应由投标人免费翻译成中文。图纸资料除提供书面文件外还应提供光盘形式电子文件。图纸</w:t>
      </w:r>
      <w:r>
        <w:rPr>
          <w:rFonts w:ascii="宋体" w:hAnsi="宋体" w:eastAsia="宋体" w:cs="宋体"/>
          <w:color w:val="auto"/>
          <w:spacing w:val="15"/>
          <w:sz w:val="20"/>
          <w:szCs w:val="20"/>
          <w:highlight w:val="none"/>
        </w:rPr>
        <w:t xml:space="preserve"> </w:t>
      </w:r>
      <w:r>
        <w:rPr>
          <w:rFonts w:ascii="宋体" w:hAnsi="宋体" w:eastAsia="宋体" w:cs="宋体"/>
          <w:color w:val="auto"/>
          <w:spacing w:val="12"/>
          <w:sz w:val="20"/>
          <w:szCs w:val="20"/>
          <w:highlight w:val="none"/>
        </w:rPr>
        <w:t>应为</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AutoCAD</w:t>
      </w:r>
      <w:r>
        <w:rPr>
          <w:rFonts w:ascii="宋体" w:hAnsi="宋体" w:eastAsia="宋体" w:cs="宋体"/>
          <w:color w:val="auto"/>
          <w:spacing w:val="-41"/>
          <w:sz w:val="20"/>
          <w:szCs w:val="20"/>
          <w:highlight w:val="none"/>
        </w:rPr>
        <w:t xml:space="preserve"> </w:t>
      </w:r>
      <w:r>
        <w:rPr>
          <w:rFonts w:ascii="宋体" w:hAnsi="宋体" w:eastAsia="宋体" w:cs="宋体"/>
          <w:color w:val="auto"/>
          <w:spacing w:val="12"/>
          <w:sz w:val="20"/>
          <w:szCs w:val="20"/>
          <w:highlight w:val="none"/>
        </w:rPr>
        <w:t>格式，文本文件应为</w:t>
      </w:r>
      <w:r>
        <w:rPr>
          <w:rFonts w:ascii="宋体" w:hAnsi="宋体" w:eastAsia="宋体" w:cs="宋体"/>
          <w:color w:val="auto"/>
          <w:spacing w:val="-45"/>
          <w:sz w:val="20"/>
          <w:szCs w:val="20"/>
          <w:highlight w:val="none"/>
        </w:rPr>
        <w:t xml:space="preserve"> </w:t>
      </w:r>
      <w:r>
        <w:rPr>
          <w:rFonts w:ascii="宋体" w:hAnsi="宋体" w:eastAsia="宋体" w:cs="宋体"/>
          <w:color w:val="auto"/>
          <w:sz w:val="20"/>
          <w:szCs w:val="20"/>
          <w:highlight w:val="none"/>
        </w:rPr>
        <w:t>Word</w:t>
      </w:r>
      <w:r>
        <w:rPr>
          <w:rFonts w:ascii="宋体" w:hAnsi="宋体" w:eastAsia="宋体" w:cs="宋体"/>
          <w:color w:val="auto"/>
          <w:spacing w:val="12"/>
          <w:sz w:val="20"/>
          <w:szCs w:val="20"/>
          <w:highlight w:val="none"/>
        </w:rPr>
        <w:t>/</w:t>
      </w:r>
      <w:r>
        <w:rPr>
          <w:rFonts w:ascii="宋体" w:hAnsi="宋体" w:eastAsia="宋体" w:cs="宋体"/>
          <w:color w:val="auto"/>
          <w:sz w:val="20"/>
          <w:szCs w:val="20"/>
          <w:highlight w:val="none"/>
        </w:rPr>
        <w:t>Excel</w:t>
      </w:r>
      <w:r>
        <w:rPr>
          <w:rFonts w:ascii="宋体" w:hAnsi="宋体" w:eastAsia="宋体" w:cs="宋体"/>
          <w:color w:val="auto"/>
          <w:spacing w:val="-38"/>
          <w:sz w:val="20"/>
          <w:szCs w:val="20"/>
          <w:highlight w:val="none"/>
        </w:rPr>
        <w:t xml:space="preserve"> </w:t>
      </w:r>
      <w:r>
        <w:rPr>
          <w:rFonts w:ascii="宋体" w:hAnsi="宋体" w:eastAsia="宋体" w:cs="宋体"/>
          <w:color w:val="auto"/>
          <w:spacing w:val="12"/>
          <w:sz w:val="20"/>
          <w:szCs w:val="20"/>
          <w:highlight w:val="none"/>
        </w:rPr>
        <w:t>格式。</w:t>
      </w:r>
    </w:p>
    <w:p w14:paraId="3F27B348">
      <w:pPr>
        <w:spacing w:before="221" w:line="331" w:lineRule="auto"/>
        <w:ind w:left="23" w:right="56" w:firstLine="1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 资料的组织结构清晰、逻辑性强。资料内容正确、准确、</w:t>
      </w:r>
      <w:r>
        <w:rPr>
          <w:rFonts w:ascii="宋体" w:hAnsi="宋体" w:eastAsia="宋体" w:cs="宋体"/>
          <w:color w:val="auto"/>
          <w:spacing w:val="6"/>
          <w:sz w:val="20"/>
          <w:szCs w:val="20"/>
          <w:highlight w:val="none"/>
        </w:rPr>
        <w:t>一致、清晰完整，满足工程要</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求。</w:t>
      </w:r>
    </w:p>
    <w:p w14:paraId="5C280354">
      <w:pPr>
        <w:spacing w:before="219" w:line="330" w:lineRule="auto"/>
        <w:ind w:left="39" w:right="58" w:hanging="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1.3 投标人资料的提交应及时、充分，正确，满足工程进度要求。在合同签</w:t>
      </w:r>
      <w:r>
        <w:rPr>
          <w:rFonts w:ascii="宋体" w:hAnsi="宋体" w:eastAsia="宋体" w:cs="宋体"/>
          <w:color w:val="auto"/>
          <w:spacing w:val="8"/>
          <w:sz w:val="20"/>
          <w:szCs w:val="20"/>
          <w:highlight w:val="none"/>
        </w:rPr>
        <w:t>订后 5 天内给</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出配合工程设计的全部技术资料和交付进度清单</w:t>
      </w:r>
      <w:r>
        <w:rPr>
          <w:rFonts w:ascii="宋体" w:hAnsi="宋体" w:eastAsia="宋体" w:cs="宋体"/>
          <w:color w:val="auto"/>
          <w:spacing w:val="8"/>
          <w:sz w:val="20"/>
          <w:szCs w:val="20"/>
          <w:highlight w:val="none"/>
        </w:rPr>
        <w:t>，并经招标人确认。</w:t>
      </w:r>
    </w:p>
    <w:p w14:paraId="395DB0F0">
      <w:pPr>
        <w:spacing w:before="221" w:line="330" w:lineRule="auto"/>
        <w:ind w:left="24" w:firstLine="1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1.4 投标人提供的技术资料分为投标阶段，配合设计阶段，设备监造检验、施工调试试运、</w:t>
      </w:r>
      <w:r>
        <w:rPr>
          <w:rFonts w:ascii="宋体" w:hAnsi="宋体" w:eastAsia="宋体" w:cs="宋体"/>
          <w:color w:val="auto"/>
          <w:spacing w:val="2"/>
          <w:sz w:val="20"/>
          <w:szCs w:val="20"/>
          <w:highlight w:val="none"/>
        </w:rPr>
        <w:t xml:space="preserve"> </w:t>
      </w:r>
      <w:r>
        <w:rPr>
          <w:rFonts w:ascii="宋体" w:hAnsi="宋体" w:eastAsia="宋体" w:cs="宋体"/>
          <w:color w:val="auto"/>
          <w:spacing w:val="9"/>
          <w:sz w:val="20"/>
          <w:szCs w:val="20"/>
          <w:highlight w:val="none"/>
        </w:rPr>
        <w:t>性能试验验收和运行维护等四个方面。投标人须满足以上四个方面的具体要求。</w:t>
      </w:r>
    </w:p>
    <w:p w14:paraId="1D469A53">
      <w:pPr>
        <w:spacing w:before="220" w:line="364" w:lineRule="auto"/>
        <w:ind w:left="22" w:right="56" w:firstLine="15"/>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1.5 对于其它没有列入合同技术资料清单，却是工程所必需文</w:t>
      </w:r>
      <w:r>
        <w:rPr>
          <w:rFonts w:ascii="宋体" w:hAnsi="宋体" w:eastAsia="宋体" w:cs="宋体"/>
          <w:color w:val="auto"/>
          <w:spacing w:val="6"/>
          <w:sz w:val="20"/>
          <w:szCs w:val="20"/>
          <w:highlight w:val="none"/>
        </w:rPr>
        <w:t>件和资料，一经发现，投标人</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应及时免费提供。本期工程为多台设备构成，如后续设备有改进时，投标人也应及时免费提</w:t>
      </w:r>
      <w:r>
        <w:rPr>
          <w:rFonts w:ascii="宋体" w:hAnsi="宋体" w:eastAsia="宋体" w:cs="宋体"/>
          <w:color w:val="auto"/>
          <w:spacing w:val="17"/>
          <w:sz w:val="20"/>
          <w:szCs w:val="20"/>
          <w:highlight w:val="none"/>
        </w:rPr>
        <w:t xml:space="preserve"> </w:t>
      </w:r>
      <w:r>
        <w:rPr>
          <w:rFonts w:ascii="宋体" w:hAnsi="宋体" w:eastAsia="宋体" w:cs="宋体"/>
          <w:color w:val="auto"/>
          <w:spacing w:val="7"/>
          <w:sz w:val="20"/>
          <w:szCs w:val="20"/>
          <w:highlight w:val="none"/>
        </w:rPr>
        <w:t>供新的技术资料。</w:t>
      </w:r>
    </w:p>
    <w:p w14:paraId="71D02A00">
      <w:pPr>
        <w:spacing w:before="222" w:line="227" w:lineRule="auto"/>
        <w:ind w:left="3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1.6 招标人要及时提供与合同设备设计制造有关的</w:t>
      </w:r>
      <w:r>
        <w:rPr>
          <w:rFonts w:ascii="宋体" w:hAnsi="宋体" w:eastAsia="宋体" w:cs="宋体"/>
          <w:color w:val="auto"/>
          <w:spacing w:val="7"/>
          <w:sz w:val="20"/>
          <w:szCs w:val="20"/>
          <w:highlight w:val="none"/>
        </w:rPr>
        <w:t>资料。</w:t>
      </w:r>
    </w:p>
    <w:p w14:paraId="5AB23A8D">
      <w:pPr>
        <w:spacing w:before="222" w:line="330" w:lineRule="auto"/>
        <w:ind w:left="23" w:right="57" w:firstLine="14"/>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1.7 投标人应在合同签订后</w:t>
      </w:r>
      <w:r>
        <w:rPr>
          <w:rFonts w:ascii="宋体" w:hAnsi="宋体" w:eastAsia="宋体" w:cs="宋体"/>
          <w:color w:val="auto"/>
          <w:spacing w:val="-32"/>
          <w:sz w:val="20"/>
          <w:szCs w:val="20"/>
          <w:highlight w:val="none"/>
        </w:rPr>
        <w:t xml:space="preserve"> </w:t>
      </w:r>
      <w:r>
        <w:rPr>
          <w:rFonts w:ascii="宋体" w:hAnsi="宋体" w:eastAsia="宋体" w:cs="宋体"/>
          <w:color w:val="auto"/>
          <w:spacing w:val="10"/>
          <w:sz w:val="20"/>
          <w:szCs w:val="20"/>
          <w:highlight w:val="none"/>
        </w:rPr>
        <w:t>20</w:t>
      </w:r>
      <w:r>
        <w:rPr>
          <w:rFonts w:ascii="宋体" w:hAnsi="宋体" w:eastAsia="宋体" w:cs="宋体"/>
          <w:color w:val="auto"/>
          <w:spacing w:val="-29"/>
          <w:sz w:val="20"/>
          <w:szCs w:val="20"/>
          <w:highlight w:val="none"/>
        </w:rPr>
        <w:t xml:space="preserve"> </w:t>
      </w:r>
      <w:r>
        <w:rPr>
          <w:rFonts w:ascii="宋体" w:hAnsi="宋体" w:eastAsia="宋体" w:cs="宋体"/>
          <w:color w:val="auto"/>
          <w:spacing w:val="10"/>
          <w:sz w:val="20"/>
          <w:szCs w:val="20"/>
          <w:highlight w:val="none"/>
        </w:rPr>
        <w:t>天内，</w:t>
      </w:r>
      <w:r>
        <w:rPr>
          <w:rFonts w:ascii="宋体" w:hAnsi="宋体" w:eastAsia="宋体" w:cs="宋体"/>
          <w:color w:val="auto"/>
          <w:spacing w:val="-60"/>
          <w:sz w:val="20"/>
          <w:szCs w:val="20"/>
          <w:highlight w:val="none"/>
        </w:rPr>
        <w:t xml:space="preserve"> </w:t>
      </w:r>
      <w:r>
        <w:rPr>
          <w:rFonts w:ascii="宋体" w:hAnsi="宋体" w:eastAsia="宋体" w:cs="宋体"/>
          <w:color w:val="auto"/>
          <w:spacing w:val="10"/>
          <w:sz w:val="20"/>
          <w:szCs w:val="20"/>
          <w:highlight w:val="none"/>
        </w:rPr>
        <w:t>向招标人提供满足设计院初步设计需要的资料共</w:t>
      </w:r>
      <w:r>
        <w:rPr>
          <w:rFonts w:ascii="宋体" w:hAnsi="宋体" w:eastAsia="宋体" w:cs="宋体"/>
          <w:color w:val="auto"/>
          <w:spacing w:val="-19"/>
          <w:sz w:val="20"/>
          <w:szCs w:val="20"/>
          <w:highlight w:val="none"/>
        </w:rPr>
        <w:t xml:space="preserve"> </w:t>
      </w:r>
      <w:r>
        <w:rPr>
          <w:rFonts w:ascii="宋体" w:hAnsi="宋体" w:eastAsia="宋体" w:cs="宋体"/>
          <w:color w:val="auto"/>
          <w:spacing w:val="10"/>
          <w:sz w:val="20"/>
          <w:szCs w:val="20"/>
          <w:highlight w:val="none"/>
        </w:rPr>
        <w:t>10</w:t>
      </w:r>
      <w:r>
        <w:rPr>
          <w:rFonts w:ascii="宋体" w:hAnsi="宋体" w:eastAsia="宋体" w:cs="宋体"/>
          <w:color w:val="auto"/>
          <w:sz w:val="20"/>
          <w:szCs w:val="20"/>
          <w:highlight w:val="none"/>
        </w:rPr>
        <w:t xml:space="preserve"> </w:t>
      </w:r>
      <w:r>
        <w:rPr>
          <w:rFonts w:ascii="宋体" w:hAnsi="宋体" w:eastAsia="宋体" w:cs="宋体"/>
          <w:color w:val="auto"/>
          <w:spacing w:val="3"/>
          <w:sz w:val="20"/>
          <w:szCs w:val="20"/>
          <w:highlight w:val="none"/>
        </w:rPr>
        <w:t>套（其中设计院</w:t>
      </w:r>
      <w:r>
        <w:rPr>
          <w:rFonts w:ascii="宋体" w:hAnsi="宋体" w:eastAsia="宋体" w:cs="宋体"/>
          <w:color w:val="auto"/>
          <w:spacing w:val="-35"/>
          <w:sz w:val="20"/>
          <w:szCs w:val="20"/>
          <w:highlight w:val="none"/>
        </w:rPr>
        <w:t xml:space="preserve"> </w:t>
      </w:r>
      <w:r>
        <w:rPr>
          <w:rFonts w:ascii="宋体" w:hAnsi="宋体" w:eastAsia="宋体" w:cs="宋体"/>
          <w:color w:val="auto"/>
          <w:spacing w:val="3"/>
          <w:sz w:val="20"/>
          <w:szCs w:val="20"/>
          <w:highlight w:val="none"/>
        </w:rPr>
        <w:t>3</w:t>
      </w:r>
      <w:r>
        <w:rPr>
          <w:rFonts w:ascii="宋体" w:hAnsi="宋体" w:eastAsia="宋体" w:cs="宋体"/>
          <w:color w:val="auto"/>
          <w:spacing w:val="-37"/>
          <w:sz w:val="20"/>
          <w:szCs w:val="20"/>
          <w:highlight w:val="none"/>
        </w:rPr>
        <w:t xml:space="preserve"> </w:t>
      </w:r>
      <w:r>
        <w:rPr>
          <w:rFonts w:ascii="宋体" w:hAnsi="宋体" w:eastAsia="宋体" w:cs="宋体"/>
          <w:color w:val="auto"/>
          <w:spacing w:val="3"/>
          <w:sz w:val="20"/>
          <w:szCs w:val="20"/>
          <w:highlight w:val="none"/>
        </w:rPr>
        <w:t>套，业主方</w:t>
      </w:r>
      <w:r>
        <w:rPr>
          <w:rFonts w:ascii="宋体" w:hAnsi="宋体" w:eastAsia="宋体" w:cs="宋体"/>
          <w:color w:val="auto"/>
          <w:spacing w:val="-34"/>
          <w:sz w:val="20"/>
          <w:szCs w:val="20"/>
          <w:highlight w:val="none"/>
        </w:rPr>
        <w:t xml:space="preserve"> </w:t>
      </w:r>
      <w:r>
        <w:rPr>
          <w:rFonts w:ascii="宋体" w:hAnsi="宋体" w:eastAsia="宋体" w:cs="宋体"/>
          <w:color w:val="auto"/>
          <w:spacing w:val="3"/>
          <w:sz w:val="20"/>
          <w:szCs w:val="20"/>
          <w:highlight w:val="none"/>
        </w:rPr>
        <w:t>7</w:t>
      </w:r>
      <w:r>
        <w:rPr>
          <w:rFonts w:ascii="宋体" w:hAnsi="宋体" w:eastAsia="宋体" w:cs="宋体"/>
          <w:color w:val="auto"/>
          <w:spacing w:val="-38"/>
          <w:sz w:val="20"/>
          <w:szCs w:val="20"/>
          <w:highlight w:val="none"/>
        </w:rPr>
        <w:t xml:space="preserve"> </w:t>
      </w:r>
      <w:r>
        <w:rPr>
          <w:rFonts w:ascii="宋体" w:hAnsi="宋体" w:eastAsia="宋体" w:cs="宋体"/>
          <w:color w:val="auto"/>
          <w:spacing w:val="3"/>
          <w:sz w:val="20"/>
          <w:szCs w:val="20"/>
          <w:highlight w:val="none"/>
        </w:rPr>
        <w:t>套</w:t>
      </w:r>
      <w:r>
        <w:rPr>
          <w:rFonts w:ascii="宋体" w:hAnsi="宋体" w:eastAsia="宋体" w:cs="宋体"/>
          <w:color w:val="auto"/>
          <w:spacing w:val="-27"/>
          <w:sz w:val="20"/>
          <w:szCs w:val="20"/>
          <w:highlight w:val="none"/>
        </w:rPr>
        <w:t>），</w:t>
      </w:r>
      <w:r>
        <w:rPr>
          <w:rFonts w:ascii="宋体" w:hAnsi="宋体" w:eastAsia="宋体" w:cs="宋体"/>
          <w:color w:val="auto"/>
          <w:spacing w:val="3"/>
          <w:sz w:val="20"/>
          <w:szCs w:val="20"/>
          <w:highlight w:val="none"/>
        </w:rPr>
        <w:t>另加</w:t>
      </w:r>
      <w:r>
        <w:rPr>
          <w:rFonts w:ascii="宋体" w:hAnsi="宋体" w:eastAsia="宋体" w:cs="宋体"/>
          <w:color w:val="auto"/>
          <w:spacing w:val="-36"/>
          <w:sz w:val="20"/>
          <w:szCs w:val="20"/>
          <w:highlight w:val="none"/>
        </w:rPr>
        <w:t xml:space="preserve"> </w:t>
      </w:r>
      <w:r>
        <w:rPr>
          <w:rFonts w:ascii="宋体" w:hAnsi="宋体" w:eastAsia="宋体" w:cs="宋体"/>
          <w:color w:val="auto"/>
          <w:spacing w:val="3"/>
          <w:sz w:val="20"/>
          <w:szCs w:val="20"/>
          <w:highlight w:val="none"/>
        </w:rPr>
        <w:t>2</w:t>
      </w:r>
      <w:r>
        <w:rPr>
          <w:rFonts w:ascii="宋体" w:hAnsi="宋体" w:eastAsia="宋体" w:cs="宋体"/>
          <w:color w:val="auto"/>
          <w:spacing w:val="-37"/>
          <w:sz w:val="20"/>
          <w:szCs w:val="20"/>
          <w:highlight w:val="none"/>
        </w:rPr>
        <w:t xml:space="preserve"> </w:t>
      </w:r>
      <w:r>
        <w:rPr>
          <w:rFonts w:ascii="宋体" w:hAnsi="宋体" w:eastAsia="宋体" w:cs="宋体"/>
          <w:color w:val="auto"/>
          <w:spacing w:val="3"/>
          <w:sz w:val="20"/>
          <w:szCs w:val="20"/>
          <w:highlight w:val="none"/>
        </w:rPr>
        <w:t>套电子文档（设计院和业主方各</w:t>
      </w:r>
      <w:r>
        <w:rPr>
          <w:rFonts w:ascii="宋体" w:hAnsi="宋体" w:eastAsia="宋体" w:cs="宋体"/>
          <w:color w:val="auto"/>
          <w:spacing w:val="-22"/>
          <w:sz w:val="20"/>
          <w:szCs w:val="20"/>
          <w:highlight w:val="none"/>
        </w:rPr>
        <w:t xml:space="preserve"> </w:t>
      </w:r>
      <w:r>
        <w:rPr>
          <w:rFonts w:ascii="宋体" w:hAnsi="宋体" w:eastAsia="宋体" w:cs="宋体"/>
          <w:color w:val="auto"/>
          <w:spacing w:val="3"/>
          <w:sz w:val="20"/>
          <w:szCs w:val="20"/>
          <w:highlight w:val="none"/>
        </w:rPr>
        <w:t>1</w:t>
      </w:r>
      <w:r>
        <w:rPr>
          <w:rFonts w:ascii="宋体" w:hAnsi="宋体" w:eastAsia="宋体" w:cs="宋体"/>
          <w:color w:val="auto"/>
          <w:spacing w:val="-37"/>
          <w:sz w:val="20"/>
          <w:szCs w:val="20"/>
          <w:highlight w:val="none"/>
        </w:rPr>
        <w:t xml:space="preserve"> </w:t>
      </w:r>
      <w:r>
        <w:rPr>
          <w:rFonts w:ascii="宋体" w:hAnsi="宋体" w:eastAsia="宋体" w:cs="宋体"/>
          <w:color w:val="auto"/>
          <w:spacing w:val="3"/>
          <w:sz w:val="20"/>
          <w:szCs w:val="20"/>
          <w:highlight w:val="none"/>
        </w:rPr>
        <w:t>套）。</w:t>
      </w:r>
    </w:p>
    <w:p w14:paraId="5F2632C8">
      <w:pPr>
        <w:spacing w:before="220" w:line="364" w:lineRule="auto"/>
        <w:ind w:left="21" w:right="55" w:firstLine="1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1.8 合同签订后</w:t>
      </w:r>
      <w:r>
        <w:rPr>
          <w:rFonts w:ascii="宋体" w:hAnsi="宋体" w:eastAsia="宋体" w:cs="宋体"/>
          <w:color w:val="auto"/>
          <w:spacing w:val="-20"/>
          <w:sz w:val="20"/>
          <w:szCs w:val="20"/>
          <w:highlight w:val="none"/>
        </w:rPr>
        <w:t xml:space="preserve"> </w:t>
      </w:r>
      <w:r>
        <w:rPr>
          <w:rFonts w:ascii="宋体" w:hAnsi="宋体" w:eastAsia="宋体" w:cs="宋体"/>
          <w:color w:val="auto"/>
          <w:spacing w:val="8"/>
          <w:sz w:val="20"/>
          <w:szCs w:val="20"/>
          <w:highlight w:val="none"/>
        </w:rPr>
        <w:t>30</w:t>
      </w:r>
      <w:r>
        <w:rPr>
          <w:rFonts w:ascii="宋体" w:hAnsi="宋体" w:eastAsia="宋体" w:cs="宋体"/>
          <w:color w:val="auto"/>
          <w:spacing w:val="-33"/>
          <w:sz w:val="20"/>
          <w:szCs w:val="20"/>
          <w:highlight w:val="none"/>
        </w:rPr>
        <w:t xml:space="preserve"> </w:t>
      </w:r>
      <w:r>
        <w:rPr>
          <w:rFonts w:ascii="宋体" w:hAnsi="宋体" w:eastAsia="宋体" w:cs="宋体"/>
          <w:color w:val="auto"/>
          <w:spacing w:val="8"/>
          <w:sz w:val="20"/>
          <w:szCs w:val="20"/>
          <w:highlight w:val="none"/>
        </w:rPr>
        <w:t>天投标人提供的与设备设计、制造、监造、检验、施工、安装、调试、</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验收等有关的技术资料，为每台机组</w:t>
      </w:r>
      <w:r>
        <w:rPr>
          <w:rFonts w:ascii="宋体" w:hAnsi="宋体" w:eastAsia="宋体" w:cs="宋体"/>
          <w:color w:val="auto"/>
          <w:spacing w:val="-18"/>
          <w:sz w:val="20"/>
          <w:szCs w:val="20"/>
          <w:highlight w:val="none"/>
        </w:rPr>
        <w:t xml:space="preserve"> </w:t>
      </w:r>
      <w:r>
        <w:rPr>
          <w:rFonts w:ascii="宋体" w:hAnsi="宋体" w:eastAsia="宋体" w:cs="宋体"/>
          <w:color w:val="auto"/>
          <w:spacing w:val="10"/>
          <w:sz w:val="20"/>
          <w:szCs w:val="20"/>
          <w:highlight w:val="none"/>
        </w:rPr>
        <w:t>18</w:t>
      </w:r>
      <w:r>
        <w:rPr>
          <w:rFonts w:ascii="宋体" w:hAnsi="宋体" w:eastAsia="宋体" w:cs="宋体"/>
          <w:color w:val="auto"/>
          <w:spacing w:val="-32"/>
          <w:sz w:val="20"/>
          <w:szCs w:val="20"/>
          <w:highlight w:val="none"/>
        </w:rPr>
        <w:t xml:space="preserve"> </w:t>
      </w:r>
      <w:r>
        <w:rPr>
          <w:rFonts w:ascii="宋体" w:hAnsi="宋体" w:eastAsia="宋体" w:cs="宋体"/>
          <w:color w:val="auto"/>
          <w:spacing w:val="10"/>
          <w:sz w:val="20"/>
          <w:szCs w:val="20"/>
          <w:highlight w:val="none"/>
        </w:rPr>
        <w:t>套纸质文件（随机</w:t>
      </w:r>
      <w:r>
        <w:rPr>
          <w:rFonts w:ascii="宋体" w:hAnsi="宋体" w:eastAsia="宋体" w:cs="宋体"/>
          <w:color w:val="auto"/>
          <w:spacing w:val="-32"/>
          <w:sz w:val="20"/>
          <w:szCs w:val="20"/>
          <w:highlight w:val="none"/>
        </w:rPr>
        <w:t xml:space="preserve"> </w:t>
      </w:r>
      <w:r>
        <w:rPr>
          <w:rFonts w:ascii="宋体" w:hAnsi="宋体" w:eastAsia="宋体" w:cs="宋体"/>
          <w:color w:val="auto"/>
          <w:spacing w:val="10"/>
          <w:sz w:val="20"/>
          <w:szCs w:val="20"/>
          <w:highlight w:val="none"/>
        </w:rPr>
        <w:t>2</w:t>
      </w:r>
      <w:r>
        <w:rPr>
          <w:rFonts w:ascii="宋体" w:hAnsi="宋体" w:eastAsia="宋体" w:cs="宋体"/>
          <w:color w:val="auto"/>
          <w:spacing w:val="-33"/>
          <w:sz w:val="20"/>
          <w:szCs w:val="20"/>
          <w:highlight w:val="none"/>
        </w:rPr>
        <w:t xml:space="preserve"> </w:t>
      </w:r>
      <w:r>
        <w:rPr>
          <w:rFonts w:ascii="宋体" w:hAnsi="宋体" w:eastAsia="宋体" w:cs="宋体"/>
          <w:color w:val="auto"/>
          <w:spacing w:val="10"/>
          <w:sz w:val="20"/>
          <w:szCs w:val="20"/>
          <w:highlight w:val="none"/>
        </w:rPr>
        <w:t>套，设计院</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4</w:t>
      </w:r>
      <w:r>
        <w:rPr>
          <w:rFonts w:ascii="宋体" w:hAnsi="宋体" w:eastAsia="宋体" w:cs="宋体"/>
          <w:color w:val="auto"/>
          <w:spacing w:val="-35"/>
          <w:sz w:val="20"/>
          <w:szCs w:val="20"/>
          <w:highlight w:val="none"/>
        </w:rPr>
        <w:t xml:space="preserve"> </w:t>
      </w:r>
      <w:r>
        <w:rPr>
          <w:rFonts w:ascii="宋体" w:hAnsi="宋体" w:eastAsia="宋体" w:cs="宋体"/>
          <w:color w:val="auto"/>
          <w:spacing w:val="10"/>
          <w:sz w:val="20"/>
          <w:szCs w:val="20"/>
          <w:highlight w:val="none"/>
        </w:rPr>
        <w:t>套，招标人</w:t>
      </w:r>
      <w:r>
        <w:rPr>
          <w:rFonts w:ascii="宋体" w:hAnsi="宋体" w:eastAsia="宋体" w:cs="宋体"/>
          <w:color w:val="auto"/>
          <w:spacing w:val="-16"/>
          <w:sz w:val="20"/>
          <w:szCs w:val="20"/>
          <w:highlight w:val="none"/>
        </w:rPr>
        <w:t xml:space="preserve"> </w:t>
      </w:r>
      <w:r>
        <w:rPr>
          <w:rFonts w:ascii="宋体" w:hAnsi="宋体" w:eastAsia="宋体" w:cs="宋体"/>
          <w:color w:val="auto"/>
          <w:spacing w:val="10"/>
          <w:sz w:val="20"/>
          <w:szCs w:val="20"/>
          <w:highlight w:val="none"/>
        </w:rPr>
        <w:t>12</w:t>
      </w:r>
      <w:r>
        <w:rPr>
          <w:rFonts w:ascii="宋体" w:hAnsi="宋体" w:eastAsia="宋体" w:cs="宋体"/>
          <w:color w:val="auto"/>
          <w:sz w:val="20"/>
          <w:szCs w:val="20"/>
          <w:highlight w:val="none"/>
        </w:rPr>
        <w:t xml:space="preserve"> </w:t>
      </w:r>
      <w:r>
        <w:rPr>
          <w:rFonts w:ascii="宋体" w:hAnsi="宋体" w:eastAsia="宋体" w:cs="宋体"/>
          <w:color w:val="auto"/>
          <w:spacing w:val="1"/>
          <w:sz w:val="20"/>
          <w:szCs w:val="20"/>
          <w:highlight w:val="none"/>
        </w:rPr>
        <w:t>套</w:t>
      </w:r>
      <w:r>
        <w:rPr>
          <w:rFonts w:ascii="宋体" w:hAnsi="宋体" w:eastAsia="宋体" w:cs="宋体"/>
          <w:color w:val="auto"/>
          <w:spacing w:val="-19"/>
          <w:sz w:val="20"/>
          <w:szCs w:val="20"/>
          <w:highlight w:val="none"/>
        </w:rPr>
        <w:t>），</w:t>
      </w:r>
      <w:r>
        <w:rPr>
          <w:rFonts w:ascii="宋体" w:hAnsi="宋体" w:eastAsia="宋体" w:cs="宋体"/>
          <w:color w:val="auto"/>
          <w:spacing w:val="1"/>
          <w:sz w:val="20"/>
          <w:szCs w:val="20"/>
          <w:highlight w:val="none"/>
        </w:rPr>
        <w:t>电子文件每台机组</w:t>
      </w:r>
      <w:r>
        <w:rPr>
          <w:rFonts w:ascii="宋体" w:hAnsi="宋体" w:eastAsia="宋体" w:cs="宋体"/>
          <w:color w:val="auto"/>
          <w:spacing w:val="-35"/>
          <w:sz w:val="20"/>
          <w:szCs w:val="20"/>
          <w:highlight w:val="none"/>
        </w:rPr>
        <w:t xml:space="preserve"> </w:t>
      </w:r>
      <w:r>
        <w:rPr>
          <w:rFonts w:ascii="宋体" w:hAnsi="宋体" w:eastAsia="宋体" w:cs="宋体"/>
          <w:color w:val="auto"/>
          <w:spacing w:val="1"/>
          <w:sz w:val="20"/>
          <w:szCs w:val="20"/>
          <w:highlight w:val="none"/>
        </w:rPr>
        <w:t>5</w:t>
      </w:r>
      <w:r>
        <w:rPr>
          <w:rFonts w:ascii="宋体" w:hAnsi="宋体" w:eastAsia="宋体" w:cs="宋体"/>
          <w:color w:val="auto"/>
          <w:spacing w:val="-37"/>
          <w:sz w:val="20"/>
          <w:szCs w:val="20"/>
          <w:highlight w:val="none"/>
        </w:rPr>
        <w:t xml:space="preserve"> </w:t>
      </w:r>
      <w:r>
        <w:rPr>
          <w:rFonts w:ascii="宋体" w:hAnsi="宋体" w:eastAsia="宋体" w:cs="宋体"/>
          <w:color w:val="auto"/>
          <w:spacing w:val="1"/>
          <w:sz w:val="20"/>
          <w:szCs w:val="20"/>
          <w:highlight w:val="none"/>
        </w:rPr>
        <w:t>套（设计院</w:t>
      </w:r>
      <w:r>
        <w:rPr>
          <w:rFonts w:ascii="宋体" w:hAnsi="宋体" w:eastAsia="宋体" w:cs="宋体"/>
          <w:color w:val="auto"/>
          <w:spacing w:val="-37"/>
          <w:sz w:val="20"/>
          <w:szCs w:val="20"/>
          <w:highlight w:val="none"/>
        </w:rPr>
        <w:t xml:space="preserve"> </w:t>
      </w:r>
      <w:r>
        <w:rPr>
          <w:rFonts w:ascii="宋体" w:hAnsi="宋体" w:eastAsia="宋体" w:cs="宋体"/>
          <w:color w:val="auto"/>
          <w:spacing w:val="1"/>
          <w:sz w:val="20"/>
          <w:szCs w:val="20"/>
          <w:highlight w:val="none"/>
        </w:rPr>
        <w:t>2</w:t>
      </w:r>
      <w:r>
        <w:rPr>
          <w:rFonts w:ascii="宋体" w:hAnsi="宋体" w:eastAsia="宋体" w:cs="宋体"/>
          <w:color w:val="auto"/>
          <w:spacing w:val="-37"/>
          <w:sz w:val="20"/>
          <w:szCs w:val="20"/>
          <w:highlight w:val="none"/>
        </w:rPr>
        <w:t xml:space="preserve"> </w:t>
      </w:r>
      <w:r>
        <w:rPr>
          <w:rFonts w:ascii="宋体" w:hAnsi="宋体" w:eastAsia="宋体" w:cs="宋体"/>
          <w:color w:val="auto"/>
          <w:spacing w:val="1"/>
          <w:sz w:val="20"/>
          <w:szCs w:val="20"/>
          <w:highlight w:val="none"/>
        </w:rPr>
        <w:t>套，招标人</w:t>
      </w:r>
      <w:r>
        <w:rPr>
          <w:rFonts w:ascii="宋体" w:hAnsi="宋体" w:eastAsia="宋体" w:cs="宋体"/>
          <w:color w:val="auto"/>
          <w:spacing w:val="-35"/>
          <w:sz w:val="20"/>
          <w:szCs w:val="20"/>
          <w:highlight w:val="none"/>
        </w:rPr>
        <w:t xml:space="preserve"> </w:t>
      </w:r>
      <w:r>
        <w:rPr>
          <w:rFonts w:ascii="宋体" w:hAnsi="宋体" w:eastAsia="宋体" w:cs="宋体"/>
          <w:color w:val="auto"/>
          <w:spacing w:val="1"/>
          <w:sz w:val="20"/>
          <w:szCs w:val="20"/>
          <w:highlight w:val="none"/>
        </w:rPr>
        <w:t>3</w:t>
      </w:r>
      <w:r>
        <w:rPr>
          <w:rFonts w:ascii="宋体" w:hAnsi="宋体" w:eastAsia="宋体" w:cs="宋体"/>
          <w:color w:val="auto"/>
          <w:spacing w:val="-37"/>
          <w:sz w:val="20"/>
          <w:szCs w:val="20"/>
          <w:highlight w:val="none"/>
        </w:rPr>
        <w:t xml:space="preserve"> </w:t>
      </w:r>
      <w:r>
        <w:rPr>
          <w:rFonts w:ascii="宋体" w:hAnsi="宋体" w:eastAsia="宋体" w:cs="宋体"/>
          <w:color w:val="auto"/>
          <w:spacing w:val="1"/>
          <w:sz w:val="20"/>
          <w:szCs w:val="20"/>
          <w:highlight w:val="none"/>
        </w:rPr>
        <w:t>套）。</w:t>
      </w:r>
    </w:p>
    <w:p w14:paraId="5BBAEBA8">
      <w:pPr>
        <w:spacing w:before="222" w:line="330" w:lineRule="auto"/>
        <w:ind w:left="23" w:right="53" w:firstLine="14"/>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1.9</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设备安装调试完毕后，投标人应按机组分别提供</w:t>
      </w:r>
      <w:r>
        <w:rPr>
          <w:rFonts w:ascii="宋体" w:hAnsi="宋体" w:eastAsia="宋体" w:cs="宋体"/>
          <w:color w:val="auto"/>
          <w:spacing w:val="-21"/>
          <w:sz w:val="20"/>
          <w:szCs w:val="20"/>
          <w:highlight w:val="none"/>
        </w:rPr>
        <w:t xml:space="preserve"> </w:t>
      </w:r>
      <w:r>
        <w:rPr>
          <w:rFonts w:ascii="宋体" w:hAnsi="宋体" w:eastAsia="宋体" w:cs="宋体"/>
          <w:color w:val="auto"/>
          <w:spacing w:val="5"/>
          <w:sz w:val="20"/>
          <w:szCs w:val="20"/>
          <w:highlight w:val="none"/>
        </w:rPr>
        <w:t>12</w:t>
      </w:r>
      <w:r>
        <w:rPr>
          <w:rFonts w:ascii="宋体" w:hAnsi="宋体" w:eastAsia="宋体" w:cs="宋体"/>
          <w:color w:val="auto"/>
          <w:spacing w:val="-39"/>
          <w:sz w:val="20"/>
          <w:szCs w:val="20"/>
          <w:highlight w:val="none"/>
        </w:rPr>
        <w:t xml:space="preserve"> </w:t>
      </w:r>
      <w:r>
        <w:rPr>
          <w:rFonts w:ascii="宋体" w:hAnsi="宋体" w:eastAsia="宋体" w:cs="宋体"/>
          <w:color w:val="auto"/>
          <w:spacing w:val="5"/>
          <w:sz w:val="20"/>
          <w:szCs w:val="20"/>
          <w:highlight w:val="none"/>
        </w:rPr>
        <w:t>套（设计院</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1</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套，招</w:t>
      </w:r>
      <w:r>
        <w:rPr>
          <w:rFonts w:ascii="宋体" w:hAnsi="宋体" w:eastAsia="宋体" w:cs="宋体"/>
          <w:color w:val="auto"/>
          <w:spacing w:val="4"/>
          <w:sz w:val="20"/>
          <w:szCs w:val="20"/>
          <w:highlight w:val="none"/>
        </w:rPr>
        <w:t>标人</w:t>
      </w:r>
      <w:r>
        <w:rPr>
          <w:rFonts w:ascii="宋体" w:hAnsi="宋体" w:eastAsia="宋体" w:cs="宋体"/>
          <w:color w:val="auto"/>
          <w:spacing w:val="-24"/>
          <w:sz w:val="20"/>
          <w:szCs w:val="20"/>
          <w:highlight w:val="none"/>
        </w:rPr>
        <w:t xml:space="preserve"> </w:t>
      </w:r>
      <w:r>
        <w:rPr>
          <w:rFonts w:ascii="宋体" w:hAnsi="宋体" w:eastAsia="宋体" w:cs="宋体"/>
          <w:color w:val="auto"/>
          <w:spacing w:val="4"/>
          <w:sz w:val="20"/>
          <w:szCs w:val="20"/>
          <w:highlight w:val="none"/>
        </w:rPr>
        <w:t>11</w:t>
      </w:r>
      <w:r>
        <w:rPr>
          <w:rFonts w:ascii="宋体" w:hAnsi="宋体" w:eastAsia="宋体" w:cs="宋体"/>
          <w:color w:val="auto"/>
          <w:spacing w:val="-37"/>
          <w:sz w:val="20"/>
          <w:szCs w:val="20"/>
          <w:highlight w:val="none"/>
        </w:rPr>
        <w:t xml:space="preserve"> </w:t>
      </w:r>
      <w:r>
        <w:rPr>
          <w:rFonts w:ascii="宋体" w:hAnsi="宋体" w:eastAsia="宋体" w:cs="宋体"/>
          <w:color w:val="auto"/>
          <w:spacing w:val="4"/>
          <w:sz w:val="20"/>
          <w:szCs w:val="20"/>
          <w:highlight w:val="none"/>
        </w:rPr>
        <w:t>套）完</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整的设备竣工图，另加</w:t>
      </w:r>
      <w:r>
        <w:rPr>
          <w:rFonts w:ascii="宋体" w:hAnsi="宋体" w:eastAsia="宋体" w:cs="宋体"/>
          <w:color w:val="auto"/>
          <w:spacing w:val="-20"/>
          <w:sz w:val="20"/>
          <w:szCs w:val="20"/>
          <w:highlight w:val="none"/>
        </w:rPr>
        <w:t xml:space="preserve"> </w:t>
      </w:r>
      <w:r>
        <w:rPr>
          <w:rFonts w:ascii="宋体" w:hAnsi="宋体" w:eastAsia="宋体" w:cs="宋体"/>
          <w:color w:val="auto"/>
          <w:spacing w:val="6"/>
          <w:sz w:val="20"/>
          <w:szCs w:val="20"/>
          <w:highlight w:val="none"/>
        </w:rPr>
        <w:t>3</w:t>
      </w:r>
      <w:r>
        <w:rPr>
          <w:rFonts w:ascii="宋体" w:hAnsi="宋体" w:eastAsia="宋体" w:cs="宋体"/>
          <w:color w:val="auto"/>
          <w:spacing w:val="-40"/>
          <w:sz w:val="20"/>
          <w:szCs w:val="20"/>
          <w:highlight w:val="none"/>
        </w:rPr>
        <w:t xml:space="preserve"> </w:t>
      </w:r>
      <w:r>
        <w:rPr>
          <w:rFonts w:ascii="宋体" w:hAnsi="宋体" w:eastAsia="宋体" w:cs="宋体"/>
          <w:color w:val="auto"/>
          <w:spacing w:val="6"/>
          <w:sz w:val="20"/>
          <w:szCs w:val="20"/>
          <w:highlight w:val="none"/>
        </w:rPr>
        <w:t>套电子版。</w:t>
      </w:r>
    </w:p>
    <w:p w14:paraId="151ADB78">
      <w:pPr>
        <w:spacing w:before="222" w:line="329" w:lineRule="auto"/>
        <w:ind w:left="23" w:right="56" w:firstLine="1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1.10</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投标人提供运行和维护手册、培训手册、技术说明</w:t>
      </w:r>
      <w:r>
        <w:rPr>
          <w:rFonts w:ascii="宋体" w:hAnsi="宋体" w:eastAsia="宋体" w:cs="宋体"/>
          <w:color w:val="auto"/>
          <w:spacing w:val="5"/>
          <w:sz w:val="20"/>
          <w:szCs w:val="20"/>
          <w:highlight w:val="none"/>
        </w:rPr>
        <w:t>书、使用说明书每台机组</w:t>
      </w:r>
      <w:r>
        <w:rPr>
          <w:rFonts w:ascii="宋体" w:hAnsi="宋体" w:eastAsia="宋体" w:cs="宋体"/>
          <w:color w:val="auto"/>
          <w:spacing w:val="-22"/>
          <w:sz w:val="20"/>
          <w:szCs w:val="20"/>
          <w:highlight w:val="none"/>
        </w:rPr>
        <w:t xml:space="preserve"> </w:t>
      </w:r>
      <w:r>
        <w:rPr>
          <w:rFonts w:ascii="宋体" w:hAnsi="宋体" w:eastAsia="宋体" w:cs="宋体"/>
          <w:color w:val="auto"/>
          <w:spacing w:val="5"/>
          <w:sz w:val="20"/>
          <w:szCs w:val="20"/>
          <w:highlight w:val="none"/>
        </w:rPr>
        <w:t>18 套纸质</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文件，另加</w:t>
      </w:r>
      <w:r>
        <w:rPr>
          <w:rFonts w:ascii="宋体" w:hAnsi="宋体" w:eastAsia="宋体" w:cs="宋体"/>
          <w:color w:val="auto"/>
          <w:spacing w:val="-37"/>
          <w:sz w:val="20"/>
          <w:szCs w:val="20"/>
          <w:highlight w:val="none"/>
        </w:rPr>
        <w:t xml:space="preserve"> </w:t>
      </w:r>
      <w:r>
        <w:rPr>
          <w:rFonts w:ascii="宋体" w:hAnsi="宋体" w:eastAsia="宋体" w:cs="宋体"/>
          <w:color w:val="auto"/>
          <w:spacing w:val="8"/>
          <w:sz w:val="20"/>
          <w:szCs w:val="20"/>
          <w:highlight w:val="none"/>
        </w:rPr>
        <w:t>2</w:t>
      </w:r>
      <w:r>
        <w:rPr>
          <w:rFonts w:ascii="宋体" w:hAnsi="宋体" w:eastAsia="宋体" w:cs="宋体"/>
          <w:color w:val="auto"/>
          <w:spacing w:val="-37"/>
          <w:sz w:val="20"/>
          <w:szCs w:val="20"/>
          <w:highlight w:val="none"/>
        </w:rPr>
        <w:t xml:space="preserve"> </w:t>
      </w:r>
      <w:r>
        <w:rPr>
          <w:rFonts w:ascii="宋体" w:hAnsi="宋体" w:eastAsia="宋体" w:cs="宋体"/>
          <w:color w:val="auto"/>
          <w:spacing w:val="8"/>
          <w:sz w:val="20"/>
          <w:szCs w:val="20"/>
          <w:highlight w:val="none"/>
        </w:rPr>
        <w:t>套电子版。其它资料（标准规范、质</w:t>
      </w:r>
      <w:r>
        <w:rPr>
          <w:rFonts w:ascii="宋体" w:hAnsi="宋体" w:eastAsia="宋体" w:cs="宋体"/>
          <w:color w:val="auto"/>
          <w:spacing w:val="7"/>
          <w:sz w:val="20"/>
          <w:szCs w:val="20"/>
          <w:highlight w:val="none"/>
        </w:rPr>
        <w:t>量计划等）提供</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6</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套。</w:t>
      </w:r>
    </w:p>
    <w:p w14:paraId="0D983DEB">
      <w:pPr>
        <w:spacing w:before="222" w:line="227" w:lineRule="auto"/>
        <w:ind w:left="3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1.11 投标人提供的图纸应清晰，不得提供缩微复印的</w:t>
      </w:r>
      <w:r>
        <w:rPr>
          <w:rFonts w:ascii="宋体" w:hAnsi="宋体" w:eastAsia="宋体" w:cs="宋体"/>
          <w:color w:val="auto"/>
          <w:spacing w:val="7"/>
          <w:sz w:val="20"/>
          <w:szCs w:val="20"/>
          <w:highlight w:val="none"/>
        </w:rPr>
        <w:t>图纸。</w:t>
      </w:r>
    </w:p>
    <w:p w14:paraId="21ADAA8B">
      <w:pPr>
        <w:spacing w:before="223" w:line="329" w:lineRule="auto"/>
        <w:ind w:left="45" w:right="58" w:hanging="8"/>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1.12</w:t>
      </w:r>
      <w:r>
        <w:rPr>
          <w:rFonts w:ascii="宋体" w:hAnsi="宋体" w:eastAsia="宋体" w:cs="宋体"/>
          <w:color w:val="auto"/>
          <w:spacing w:val="-31"/>
          <w:sz w:val="20"/>
          <w:szCs w:val="20"/>
          <w:highlight w:val="none"/>
        </w:rPr>
        <w:t xml:space="preserve"> </w:t>
      </w:r>
      <w:r>
        <w:rPr>
          <w:rFonts w:ascii="宋体" w:hAnsi="宋体" w:eastAsia="宋体" w:cs="宋体"/>
          <w:color w:val="auto"/>
          <w:spacing w:val="10"/>
          <w:sz w:val="20"/>
          <w:szCs w:val="20"/>
          <w:highlight w:val="none"/>
        </w:rPr>
        <w:t>投标人提供的所有资料（包括图纸）均应有本工程专用标识，即盖有“浙江浙能淮浙</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电力凤台发电分公司工程专用</w:t>
      </w:r>
      <w:r>
        <w:rPr>
          <w:rFonts w:ascii="宋体" w:hAnsi="宋体" w:eastAsia="宋体" w:cs="宋体"/>
          <w:color w:val="auto"/>
          <w:spacing w:val="-69"/>
          <w:sz w:val="20"/>
          <w:szCs w:val="20"/>
          <w:highlight w:val="none"/>
        </w:rPr>
        <w:t xml:space="preserve"> </w:t>
      </w:r>
      <w:r>
        <w:rPr>
          <w:rFonts w:ascii="宋体" w:hAnsi="宋体" w:eastAsia="宋体" w:cs="宋体"/>
          <w:color w:val="auto"/>
          <w:spacing w:val="8"/>
          <w:sz w:val="20"/>
          <w:szCs w:val="20"/>
          <w:highlight w:val="none"/>
        </w:rPr>
        <w:t>”图章，修改版资料对修改部分应有明显的标识或标注。</w:t>
      </w:r>
    </w:p>
    <w:p w14:paraId="51FD0F66">
      <w:pPr>
        <w:spacing w:before="222" w:line="227" w:lineRule="auto"/>
        <w:ind w:left="3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1.13 投标人按招标人的要求，编制所供设备的</w:t>
      </w:r>
      <w:r>
        <w:rPr>
          <w:rFonts w:ascii="宋体" w:hAnsi="宋体" w:eastAsia="宋体" w:cs="宋体"/>
          <w:color w:val="auto"/>
          <w:spacing w:val="-27"/>
          <w:sz w:val="20"/>
          <w:szCs w:val="20"/>
          <w:highlight w:val="none"/>
        </w:rPr>
        <w:t xml:space="preserve"> </w:t>
      </w:r>
      <w:r>
        <w:rPr>
          <w:rFonts w:ascii="宋体" w:hAnsi="宋体" w:eastAsia="宋体" w:cs="宋体"/>
          <w:color w:val="auto"/>
          <w:sz w:val="20"/>
          <w:szCs w:val="20"/>
          <w:highlight w:val="none"/>
        </w:rPr>
        <w:t>KKS</w:t>
      </w:r>
      <w:r>
        <w:rPr>
          <w:rFonts w:ascii="宋体" w:hAnsi="宋体" w:eastAsia="宋体" w:cs="宋体"/>
          <w:color w:val="auto"/>
          <w:spacing w:val="-37"/>
          <w:sz w:val="20"/>
          <w:szCs w:val="20"/>
          <w:highlight w:val="none"/>
        </w:rPr>
        <w:t xml:space="preserve"> </w:t>
      </w:r>
      <w:r>
        <w:rPr>
          <w:rFonts w:ascii="宋体" w:hAnsi="宋体" w:eastAsia="宋体" w:cs="宋体"/>
          <w:color w:val="auto"/>
          <w:spacing w:val="7"/>
          <w:sz w:val="20"/>
          <w:szCs w:val="20"/>
          <w:highlight w:val="none"/>
        </w:rPr>
        <w:t>编码。</w:t>
      </w:r>
    </w:p>
    <w:p w14:paraId="1BE0157E">
      <w:pPr>
        <w:spacing w:line="227" w:lineRule="auto"/>
        <w:rPr>
          <w:rFonts w:ascii="宋体" w:hAnsi="宋体" w:eastAsia="宋体" w:cs="宋体"/>
          <w:color w:val="auto"/>
          <w:sz w:val="20"/>
          <w:szCs w:val="20"/>
          <w:highlight w:val="none"/>
        </w:rPr>
        <w:sectPr>
          <w:pgSz w:w="11906" w:h="16839"/>
          <w:pgMar w:top="1431" w:right="1743" w:bottom="0" w:left="1785" w:header="0" w:footer="0" w:gutter="0"/>
          <w:pgBorders>
            <w:top w:val="none" w:sz="0" w:space="0"/>
            <w:left w:val="none" w:sz="0" w:space="0"/>
            <w:bottom w:val="none" w:sz="0" w:space="0"/>
            <w:right w:val="none" w:sz="0" w:space="0"/>
          </w:pgBorders>
          <w:cols w:space="720" w:num="1"/>
        </w:sectPr>
      </w:pPr>
    </w:p>
    <w:p w14:paraId="3B81DCD8">
      <w:pPr>
        <w:spacing w:before="122" w:line="219" w:lineRule="auto"/>
        <w:ind w:left="26"/>
        <w:outlineLvl w:val="1"/>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2</w:t>
      </w:r>
      <w:r>
        <w:rPr>
          <w:rFonts w:ascii="宋体" w:hAnsi="宋体" w:eastAsia="宋体" w:cs="宋体"/>
          <w:color w:val="auto"/>
          <w:spacing w:val="39"/>
          <w:sz w:val="24"/>
          <w:szCs w:val="24"/>
          <w:highlight w:val="none"/>
        </w:rPr>
        <w:t xml:space="preserve">  </w:t>
      </w:r>
      <w:r>
        <w:rPr>
          <w:rFonts w:ascii="宋体" w:hAnsi="宋体" w:eastAsia="宋体" w:cs="宋体"/>
          <w:b/>
          <w:bCs/>
          <w:color w:val="auto"/>
          <w:spacing w:val="-5"/>
          <w:sz w:val="24"/>
          <w:szCs w:val="24"/>
          <w:highlight w:val="none"/>
        </w:rPr>
        <w:t>资料提交的基本要求</w:t>
      </w:r>
    </w:p>
    <w:p w14:paraId="6557DC82">
      <w:pPr>
        <w:spacing w:before="198" w:line="227" w:lineRule="auto"/>
        <w:ind w:left="24"/>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2.1</w:t>
      </w:r>
      <w:r>
        <w:rPr>
          <w:rFonts w:ascii="宋体" w:hAnsi="宋体" w:eastAsia="宋体" w:cs="宋体"/>
          <w:color w:val="auto"/>
          <w:spacing w:val="23"/>
          <w:sz w:val="20"/>
          <w:szCs w:val="20"/>
          <w:highlight w:val="none"/>
        </w:rPr>
        <w:t xml:space="preserve">  </w:t>
      </w:r>
      <w:r>
        <w:rPr>
          <w:rFonts w:ascii="宋体" w:hAnsi="宋体" w:eastAsia="宋体" w:cs="宋体"/>
          <w:color w:val="auto"/>
          <w:spacing w:val="4"/>
          <w:sz w:val="20"/>
          <w:szCs w:val="20"/>
          <w:highlight w:val="none"/>
        </w:rPr>
        <w:t>电子文件提供要求</w:t>
      </w:r>
    </w:p>
    <w:p w14:paraId="1FC40C19">
      <w:pPr>
        <w:spacing w:before="222" w:line="227" w:lineRule="auto"/>
        <w:ind w:left="2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2.1.1 投标人所提供的电子文件必须以光</w:t>
      </w:r>
      <w:r>
        <w:rPr>
          <w:rFonts w:ascii="宋体" w:hAnsi="宋体" w:eastAsia="宋体" w:cs="宋体"/>
          <w:color w:val="auto"/>
          <w:spacing w:val="8"/>
          <w:sz w:val="20"/>
          <w:szCs w:val="20"/>
          <w:highlight w:val="none"/>
        </w:rPr>
        <w:t>盘形式提供，与纸质文件内容相一致。</w:t>
      </w:r>
    </w:p>
    <w:p w14:paraId="21382A64">
      <w:pPr>
        <w:spacing w:before="222" w:line="227" w:lineRule="auto"/>
        <w:ind w:left="2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2.1.2 投标人所提供的光盘数据不得加密、压缩，无计算机病毒。若出现光</w:t>
      </w:r>
      <w:r>
        <w:rPr>
          <w:rFonts w:ascii="宋体" w:hAnsi="宋体" w:eastAsia="宋体" w:cs="宋体"/>
          <w:color w:val="auto"/>
          <w:spacing w:val="6"/>
          <w:sz w:val="20"/>
          <w:szCs w:val="20"/>
          <w:highlight w:val="none"/>
        </w:rPr>
        <w:t>盘损坏、文件无</w:t>
      </w:r>
    </w:p>
    <w:p w14:paraId="1DC6B65A">
      <w:pPr>
        <w:spacing w:before="222" w:line="227" w:lineRule="auto"/>
        <w:ind w:left="65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法打开等情况，投标人应重新提供。</w:t>
      </w:r>
    </w:p>
    <w:p w14:paraId="620BDF5F">
      <w:pPr>
        <w:spacing w:before="222" w:line="422" w:lineRule="auto"/>
        <w:ind w:left="655" w:right="430" w:hanging="631"/>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2.1.3 光盘背面特制的书写面上必须有明显的、不易被擦除的标识，包括合同号、光盘</w:t>
      </w:r>
      <w:r>
        <w:rPr>
          <w:rFonts w:ascii="宋体" w:hAnsi="宋体" w:eastAsia="宋体" w:cs="宋体"/>
          <w:color w:val="auto"/>
          <w:spacing w:val="-17"/>
          <w:sz w:val="20"/>
          <w:szCs w:val="20"/>
          <w:highlight w:val="none"/>
        </w:rPr>
        <w:t xml:space="preserve"> </w:t>
      </w:r>
      <w:r>
        <w:rPr>
          <w:rFonts w:ascii="宋体" w:hAnsi="宋体" w:eastAsia="宋体" w:cs="宋体"/>
          <w:color w:val="auto"/>
          <w:sz w:val="20"/>
          <w:szCs w:val="20"/>
          <w:highlight w:val="none"/>
        </w:rPr>
        <w:t xml:space="preserve">ID </w:t>
      </w:r>
      <w:r>
        <w:rPr>
          <w:rFonts w:ascii="宋体" w:hAnsi="宋体" w:eastAsia="宋体" w:cs="宋体"/>
          <w:color w:val="auto"/>
          <w:spacing w:val="9"/>
          <w:sz w:val="20"/>
          <w:szCs w:val="20"/>
          <w:highlight w:val="none"/>
        </w:rPr>
        <w:t>号、资料清单号、提供日期、投标人标记及责任人的手写签名等，其中光盘</w:t>
      </w:r>
      <w:r>
        <w:rPr>
          <w:rFonts w:ascii="宋体" w:hAnsi="宋体" w:eastAsia="宋体" w:cs="宋体"/>
          <w:color w:val="auto"/>
          <w:spacing w:val="-19"/>
          <w:sz w:val="20"/>
          <w:szCs w:val="20"/>
          <w:highlight w:val="none"/>
        </w:rPr>
        <w:t xml:space="preserve"> </w:t>
      </w:r>
      <w:r>
        <w:rPr>
          <w:rFonts w:ascii="宋体" w:hAnsi="宋体" w:eastAsia="宋体" w:cs="宋体"/>
          <w:color w:val="auto"/>
          <w:sz w:val="20"/>
          <w:szCs w:val="20"/>
          <w:highlight w:val="none"/>
        </w:rPr>
        <w:t>ID</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号应</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同时作为光盘卷标刻录到光盘上，光盘</w:t>
      </w:r>
      <w:r>
        <w:rPr>
          <w:rFonts w:ascii="宋体" w:hAnsi="宋体" w:eastAsia="宋体" w:cs="宋体"/>
          <w:color w:val="auto"/>
          <w:spacing w:val="-20"/>
          <w:sz w:val="20"/>
          <w:szCs w:val="20"/>
          <w:highlight w:val="none"/>
        </w:rPr>
        <w:t xml:space="preserve"> </w:t>
      </w:r>
      <w:r>
        <w:rPr>
          <w:rFonts w:ascii="宋体" w:hAnsi="宋体" w:eastAsia="宋体" w:cs="宋体"/>
          <w:color w:val="auto"/>
          <w:sz w:val="20"/>
          <w:szCs w:val="20"/>
          <w:highlight w:val="none"/>
        </w:rPr>
        <w:t>ID</w:t>
      </w:r>
      <w:r>
        <w:rPr>
          <w:rFonts w:ascii="宋体" w:hAnsi="宋体" w:eastAsia="宋体" w:cs="宋体"/>
          <w:color w:val="auto"/>
          <w:spacing w:val="-35"/>
          <w:sz w:val="20"/>
          <w:szCs w:val="20"/>
          <w:highlight w:val="none"/>
        </w:rPr>
        <w:t xml:space="preserve"> </w:t>
      </w:r>
      <w:r>
        <w:rPr>
          <w:rFonts w:ascii="宋体" w:hAnsi="宋体" w:eastAsia="宋体" w:cs="宋体"/>
          <w:color w:val="auto"/>
          <w:spacing w:val="8"/>
          <w:sz w:val="20"/>
          <w:szCs w:val="20"/>
          <w:highlight w:val="none"/>
        </w:rPr>
        <w:t>号可与资料清单号一致。</w:t>
      </w:r>
    </w:p>
    <w:p w14:paraId="6380E48A">
      <w:pPr>
        <w:spacing w:before="31" w:line="422" w:lineRule="auto"/>
        <w:ind w:left="651" w:right="430" w:hanging="62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2.1.4 投标人所提供的电子文件格式应为</w:t>
      </w:r>
      <w:r>
        <w:rPr>
          <w:rFonts w:ascii="宋体" w:hAnsi="宋体" w:eastAsia="宋体" w:cs="宋体"/>
          <w:color w:val="auto"/>
          <w:sz w:val="20"/>
          <w:szCs w:val="20"/>
          <w:highlight w:val="none"/>
        </w:rPr>
        <w:t>Word</w:t>
      </w:r>
      <w:r>
        <w:rPr>
          <w:rFonts w:ascii="宋体" w:hAnsi="宋体" w:eastAsia="宋体" w:cs="宋体"/>
          <w:color w:val="auto"/>
          <w:spacing w:val="9"/>
          <w:sz w:val="20"/>
          <w:szCs w:val="20"/>
          <w:highlight w:val="none"/>
        </w:rPr>
        <w:t>、</w:t>
      </w:r>
      <w:r>
        <w:rPr>
          <w:rFonts w:ascii="宋体" w:hAnsi="宋体" w:eastAsia="宋体" w:cs="宋体"/>
          <w:color w:val="auto"/>
          <w:sz w:val="20"/>
          <w:szCs w:val="20"/>
          <w:highlight w:val="none"/>
        </w:rPr>
        <w:t>Excel</w:t>
      </w:r>
      <w:r>
        <w:rPr>
          <w:rFonts w:ascii="宋体" w:hAnsi="宋体" w:eastAsia="宋体" w:cs="宋体"/>
          <w:color w:val="auto"/>
          <w:spacing w:val="-26"/>
          <w:sz w:val="20"/>
          <w:szCs w:val="20"/>
          <w:highlight w:val="none"/>
        </w:rPr>
        <w:t xml:space="preserve"> </w:t>
      </w:r>
      <w:r>
        <w:rPr>
          <w:rFonts w:ascii="宋体" w:hAnsi="宋体" w:eastAsia="宋体" w:cs="宋体"/>
          <w:color w:val="auto"/>
          <w:spacing w:val="9"/>
          <w:sz w:val="20"/>
          <w:szCs w:val="20"/>
          <w:highlight w:val="none"/>
        </w:rPr>
        <w:t>和</w:t>
      </w:r>
      <w:r>
        <w:rPr>
          <w:rFonts w:ascii="宋体" w:hAnsi="宋体" w:eastAsia="宋体" w:cs="宋体"/>
          <w:color w:val="auto"/>
          <w:spacing w:val="-45"/>
          <w:sz w:val="20"/>
          <w:szCs w:val="20"/>
          <w:highlight w:val="none"/>
        </w:rPr>
        <w:t xml:space="preserve"> </w:t>
      </w:r>
      <w:r>
        <w:rPr>
          <w:rFonts w:ascii="宋体" w:hAnsi="宋体" w:eastAsia="宋体" w:cs="宋体"/>
          <w:color w:val="auto"/>
          <w:sz w:val="20"/>
          <w:szCs w:val="20"/>
          <w:highlight w:val="none"/>
        </w:rPr>
        <w:t>AutoCAD</w:t>
      </w:r>
      <w:r>
        <w:rPr>
          <w:rFonts w:ascii="宋体" w:hAnsi="宋体" w:eastAsia="宋体" w:cs="宋体"/>
          <w:color w:val="auto"/>
          <w:spacing w:val="-41"/>
          <w:sz w:val="20"/>
          <w:szCs w:val="20"/>
          <w:highlight w:val="none"/>
        </w:rPr>
        <w:t xml:space="preserve"> </w:t>
      </w:r>
      <w:r>
        <w:rPr>
          <w:rFonts w:ascii="宋体" w:hAnsi="宋体" w:eastAsia="宋体" w:cs="宋体"/>
          <w:color w:val="auto"/>
          <w:spacing w:val="9"/>
          <w:sz w:val="20"/>
          <w:szCs w:val="20"/>
          <w:highlight w:val="none"/>
        </w:rPr>
        <w:t>格式（或在本协议中明确</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的其他格式）。投标人提供的竣工资料的所有文件还应同时提供</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PDF</w:t>
      </w:r>
      <w:r>
        <w:rPr>
          <w:rFonts w:ascii="宋体" w:hAnsi="宋体" w:eastAsia="宋体" w:cs="宋体"/>
          <w:color w:val="auto"/>
          <w:spacing w:val="-38"/>
          <w:sz w:val="20"/>
          <w:szCs w:val="20"/>
          <w:highlight w:val="none"/>
        </w:rPr>
        <w:t xml:space="preserve"> </w:t>
      </w:r>
      <w:r>
        <w:rPr>
          <w:rFonts w:ascii="宋体" w:hAnsi="宋体" w:eastAsia="宋体" w:cs="宋体"/>
          <w:color w:val="auto"/>
          <w:spacing w:val="7"/>
          <w:sz w:val="20"/>
          <w:szCs w:val="20"/>
          <w:highlight w:val="none"/>
        </w:rPr>
        <w:t>或</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TIF</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格式的副</w:t>
      </w:r>
      <w:r>
        <w:rPr>
          <w:rFonts w:ascii="宋体" w:hAnsi="宋体" w:eastAsia="宋体" w:cs="宋体"/>
          <w:color w:val="auto"/>
          <w:sz w:val="20"/>
          <w:szCs w:val="20"/>
          <w:highlight w:val="none"/>
        </w:rPr>
        <w:t xml:space="preserve"> 本。</w:t>
      </w:r>
    </w:p>
    <w:p w14:paraId="3D75C2FF">
      <w:pPr>
        <w:spacing w:before="32" w:line="227" w:lineRule="auto"/>
        <w:ind w:left="24"/>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2.1.5 所提供电子文件所用语种为简体中文，中文汉字内码以</w:t>
      </w:r>
      <w:r>
        <w:rPr>
          <w:rFonts w:ascii="宋体" w:hAnsi="宋体" w:eastAsia="宋体" w:cs="宋体"/>
          <w:color w:val="auto"/>
          <w:spacing w:val="-23"/>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10"/>
          <w:sz w:val="20"/>
          <w:szCs w:val="20"/>
          <w:highlight w:val="none"/>
        </w:rPr>
        <w:t>2312</w:t>
      </w:r>
      <w:r>
        <w:rPr>
          <w:rFonts w:ascii="宋体" w:hAnsi="宋体" w:eastAsia="宋体" w:cs="宋体"/>
          <w:color w:val="auto"/>
          <w:spacing w:val="-36"/>
          <w:sz w:val="20"/>
          <w:szCs w:val="20"/>
          <w:highlight w:val="none"/>
        </w:rPr>
        <w:t xml:space="preserve"> </w:t>
      </w:r>
      <w:r>
        <w:rPr>
          <w:rFonts w:ascii="宋体" w:hAnsi="宋体" w:eastAsia="宋体" w:cs="宋体"/>
          <w:color w:val="auto"/>
          <w:spacing w:val="10"/>
          <w:sz w:val="20"/>
          <w:szCs w:val="20"/>
          <w:highlight w:val="none"/>
        </w:rPr>
        <w:t>为标准。</w:t>
      </w:r>
      <w:r>
        <w:rPr>
          <w:rFonts w:ascii="宋体" w:hAnsi="宋体" w:eastAsia="宋体" w:cs="宋体"/>
          <w:color w:val="auto"/>
          <w:sz w:val="20"/>
          <w:szCs w:val="20"/>
          <w:highlight w:val="none"/>
        </w:rPr>
        <w:t>AutoCAD</w:t>
      </w:r>
      <w:r>
        <w:rPr>
          <w:rFonts w:ascii="宋体" w:hAnsi="宋体" w:eastAsia="宋体" w:cs="宋体"/>
          <w:color w:val="auto"/>
          <w:spacing w:val="-36"/>
          <w:sz w:val="20"/>
          <w:szCs w:val="20"/>
          <w:highlight w:val="none"/>
        </w:rPr>
        <w:t xml:space="preserve"> </w:t>
      </w:r>
      <w:r>
        <w:rPr>
          <w:rFonts w:ascii="宋体" w:hAnsi="宋体" w:eastAsia="宋体" w:cs="宋体"/>
          <w:color w:val="auto"/>
          <w:spacing w:val="10"/>
          <w:sz w:val="20"/>
          <w:szCs w:val="20"/>
          <w:highlight w:val="none"/>
        </w:rPr>
        <w:t>文</w:t>
      </w:r>
    </w:p>
    <w:p w14:paraId="6354FB15">
      <w:pPr>
        <w:spacing w:before="223" w:line="227" w:lineRule="auto"/>
        <w:ind w:left="65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件应同时提供使用的字库文件。</w:t>
      </w:r>
    </w:p>
    <w:p w14:paraId="076FE666">
      <w:pPr>
        <w:spacing w:before="221" w:line="228" w:lineRule="auto"/>
        <w:ind w:left="2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2.1.6</w:t>
      </w:r>
      <w:r>
        <w:rPr>
          <w:rFonts w:ascii="宋体" w:hAnsi="宋体" w:eastAsia="宋体" w:cs="宋体"/>
          <w:color w:val="auto"/>
          <w:spacing w:val="50"/>
          <w:sz w:val="20"/>
          <w:szCs w:val="20"/>
          <w:highlight w:val="none"/>
        </w:rPr>
        <w:t xml:space="preserve"> </w:t>
      </w:r>
      <w:r>
        <w:rPr>
          <w:rFonts w:ascii="宋体" w:hAnsi="宋体" w:eastAsia="宋体" w:cs="宋体"/>
          <w:color w:val="auto"/>
          <w:spacing w:val="7"/>
          <w:sz w:val="20"/>
          <w:szCs w:val="20"/>
          <w:highlight w:val="none"/>
        </w:rPr>
        <w:t>电子文件用图号来命名，一个图号的图纸对应一个电子文件。</w:t>
      </w:r>
    </w:p>
    <w:p w14:paraId="18931B61">
      <w:pPr>
        <w:spacing w:before="221" w:line="228" w:lineRule="auto"/>
        <w:jc w:val="right"/>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2.1.7</w:t>
      </w:r>
      <w:r>
        <w:rPr>
          <w:rFonts w:ascii="宋体" w:hAnsi="宋体" w:eastAsia="宋体" w:cs="宋体"/>
          <w:color w:val="auto"/>
          <w:spacing w:val="33"/>
          <w:sz w:val="20"/>
          <w:szCs w:val="20"/>
          <w:highlight w:val="none"/>
        </w:rPr>
        <w:t xml:space="preserve"> </w:t>
      </w:r>
      <w:r>
        <w:rPr>
          <w:rFonts w:ascii="宋体" w:hAnsi="宋体" w:eastAsia="宋体" w:cs="宋体"/>
          <w:color w:val="auto"/>
          <w:spacing w:val="7"/>
          <w:sz w:val="20"/>
          <w:szCs w:val="20"/>
          <w:highlight w:val="none"/>
        </w:rPr>
        <w:t>同一套技术资料的电子文件必须存放在同一张光</w:t>
      </w:r>
      <w:r>
        <w:rPr>
          <w:rFonts w:ascii="宋体" w:hAnsi="宋体" w:eastAsia="宋体" w:cs="宋体"/>
          <w:color w:val="auto"/>
          <w:spacing w:val="6"/>
          <w:sz w:val="20"/>
          <w:szCs w:val="20"/>
          <w:highlight w:val="none"/>
        </w:rPr>
        <w:t>盘内，一张光盘内可存放多套技术资料。</w:t>
      </w:r>
    </w:p>
    <w:p w14:paraId="36E85E8A">
      <w:pPr>
        <w:spacing w:before="222" w:line="227" w:lineRule="auto"/>
        <w:ind w:left="65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在每张光盘根目录还应提供如下目录和文件：</w:t>
      </w:r>
    </w:p>
    <w:p w14:paraId="1B1E19AF">
      <w:pPr>
        <w:spacing w:before="221" w:line="228" w:lineRule="auto"/>
        <w:ind w:left="653"/>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说明文件</w:t>
      </w:r>
      <w:r>
        <w:rPr>
          <w:rFonts w:ascii="宋体" w:hAnsi="宋体" w:eastAsia="宋体" w:cs="宋体"/>
          <w:color w:val="auto"/>
          <w:spacing w:val="-39"/>
          <w:sz w:val="20"/>
          <w:szCs w:val="20"/>
          <w:highlight w:val="none"/>
        </w:rPr>
        <w:t xml:space="preserve"> </w:t>
      </w:r>
      <w:r>
        <w:rPr>
          <w:rFonts w:ascii="宋体" w:hAnsi="宋体" w:eastAsia="宋体" w:cs="宋体"/>
          <w:color w:val="auto"/>
          <w:sz w:val="20"/>
          <w:szCs w:val="20"/>
          <w:highlight w:val="none"/>
        </w:rPr>
        <w:t>Readme</w:t>
      </w:r>
      <w:r>
        <w:rPr>
          <w:rFonts w:ascii="宋体" w:hAnsi="宋体" w:eastAsia="宋体" w:cs="宋体"/>
          <w:color w:val="auto"/>
          <w:spacing w:val="11"/>
          <w:sz w:val="20"/>
          <w:szCs w:val="20"/>
          <w:highlight w:val="none"/>
        </w:rPr>
        <w:t>.</w:t>
      </w:r>
      <w:r>
        <w:rPr>
          <w:rFonts w:ascii="宋体" w:hAnsi="宋体" w:eastAsia="宋体" w:cs="宋体"/>
          <w:color w:val="auto"/>
          <w:sz w:val="20"/>
          <w:szCs w:val="20"/>
          <w:highlight w:val="none"/>
        </w:rPr>
        <w:t>txt</w:t>
      </w:r>
      <w:r>
        <w:rPr>
          <w:rFonts w:ascii="宋体" w:hAnsi="宋体" w:eastAsia="宋体" w:cs="宋体"/>
          <w:color w:val="auto"/>
          <w:spacing w:val="11"/>
          <w:sz w:val="20"/>
          <w:szCs w:val="20"/>
          <w:highlight w:val="none"/>
        </w:rPr>
        <w:t>/</w:t>
      </w:r>
      <w:r>
        <w:rPr>
          <w:rFonts w:ascii="宋体" w:hAnsi="宋体" w:eastAsia="宋体" w:cs="宋体"/>
          <w:color w:val="auto"/>
          <w:sz w:val="20"/>
          <w:szCs w:val="20"/>
          <w:highlight w:val="none"/>
        </w:rPr>
        <w:t>doc</w:t>
      </w:r>
      <w:r>
        <w:rPr>
          <w:rFonts w:ascii="宋体" w:hAnsi="宋体" w:eastAsia="宋体" w:cs="宋体"/>
          <w:color w:val="auto"/>
          <w:spacing w:val="11"/>
          <w:sz w:val="20"/>
          <w:szCs w:val="20"/>
          <w:highlight w:val="none"/>
        </w:rPr>
        <w:t>：用于说明该光盘的整体信息；</w:t>
      </w:r>
    </w:p>
    <w:p w14:paraId="4B285E83">
      <w:pPr>
        <w:spacing w:before="221" w:line="228" w:lineRule="auto"/>
        <w:ind w:left="652"/>
        <w:rPr>
          <w:rFonts w:ascii="宋体" w:hAnsi="宋体" w:eastAsia="宋体" w:cs="宋体"/>
          <w:color w:val="auto"/>
          <w:sz w:val="20"/>
          <w:szCs w:val="20"/>
          <w:highlight w:val="none"/>
        </w:rPr>
      </w:pPr>
      <w:r>
        <w:rPr>
          <w:rFonts w:ascii="宋体" w:hAnsi="宋体" w:eastAsia="宋体" w:cs="宋体"/>
          <w:color w:val="auto"/>
          <w:spacing w:val="12"/>
          <w:sz w:val="20"/>
          <w:szCs w:val="20"/>
          <w:highlight w:val="none"/>
        </w:rPr>
        <w:t>辅读信息文件</w:t>
      </w:r>
      <w:r>
        <w:rPr>
          <w:rFonts w:ascii="宋体" w:hAnsi="宋体" w:eastAsia="宋体" w:cs="宋体"/>
          <w:color w:val="auto"/>
          <w:sz w:val="20"/>
          <w:szCs w:val="20"/>
          <w:highlight w:val="none"/>
        </w:rPr>
        <w:t>Assist</w:t>
      </w:r>
      <w:r>
        <w:rPr>
          <w:rFonts w:ascii="宋体" w:hAnsi="宋体" w:eastAsia="宋体" w:cs="宋体"/>
          <w:color w:val="auto"/>
          <w:spacing w:val="12"/>
          <w:sz w:val="20"/>
          <w:szCs w:val="20"/>
          <w:highlight w:val="none"/>
        </w:rPr>
        <w:t>.</w:t>
      </w:r>
      <w:r>
        <w:rPr>
          <w:rFonts w:ascii="宋体" w:hAnsi="宋体" w:eastAsia="宋体" w:cs="宋体"/>
          <w:color w:val="auto"/>
          <w:sz w:val="20"/>
          <w:szCs w:val="20"/>
          <w:highlight w:val="none"/>
        </w:rPr>
        <w:t>txt</w:t>
      </w:r>
      <w:r>
        <w:rPr>
          <w:rFonts w:ascii="宋体" w:hAnsi="宋体" w:eastAsia="宋体" w:cs="宋体"/>
          <w:color w:val="auto"/>
          <w:spacing w:val="12"/>
          <w:sz w:val="20"/>
          <w:szCs w:val="20"/>
          <w:highlight w:val="none"/>
        </w:rPr>
        <w:t>/</w:t>
      </w:r>
      <w:r>
        <w:rPr>
          <w:rFonts w:ascii="宋体" w:hAnsi="宋体" w:eastAsia="宋体" w:cs="宋体"/>
          <w:color w:val="auto"/>
          <w:sz w:val="20"/>
          <w:szCs w:val="20"/>
          <w:highlight w:val="none"/>
        </w:rPr>
        <w:t>doc</w:t>
      </w:r>
      <w:r>
        <w:rPr>
          <w:rFonts w:ascii="宋体" w:hAnsi="宋体" w:eastAsia="宋体" w:cs="宋体"/>
          <w:color w:val="auto"/>
          <w:spacing w:val="12"/>
          <w:sz w:val="20"/>
          <w:szCs w:val="20"/>
          <w:highlight w:val="none"/>
        </w:rPr>
        <w:t>：用于说明该光盘内各种格式电子文件的环境信息；</w:t>
      </w:r>
    </w:p>
    <w:p w14:paraId="62A0C208">
      <w:pPr>
        <w:spacing w:before="221" w:line="417" w:lineRule="auto"/>
        <w:ind w:left="22" w:firstLine="632"/>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著录文件</w:t>
      </w:r>
      <w:r>
        <w:rPr>
          <w:rFonts w:ascii="宋体" w:hAnsi="宋体" w:eastAsia="宋体" w:cs="宋体"/>
          <w:color w:val="auto"/>
          <w:spacing w:val="-26"/>
          <w:sz w:val="20"/>
          <w:szCs w:val="20"/>
          <w:highlight w:val="none"/>
        </w:rPr>
        <w:t xml:space="preserve"> </w:t>
      </w:r>
      <w:r>
        <w:rPr>
          <w:rFonts w:ascii="宋体" w:hAnsi="宋体" w:eastAsia="宋体" w:cs="宋体"/>
          <w:color w:val="auto"/>
          <w:sz w:val="20"/>
          <w:szCs w:val="20"/>
          <w:highlight w:val="none"/>
        </w:rPr>
        <w:t>QD</w:t>
      </w:r>
      <w:r>
        <w:rPr>
          <w:rFonts w:ascii="宋体" w:hAnsi="宋体" w:eastAsia="宋体" w:cs="宋体"/>
          <w:color w:val="auto"/>
          <w:spacing w:val="6"/>
          <w:sz w:val="20"/>
          <w:szCs w:val="20"/>
          <w:highlight w:val="none"/>
        </w:rPr>
        <w:t>.</w:t>
      </w:r>
      <w:r>
        <w:rPr>
          <w:rFonts w:ascii="宋体" w:hAnsi="宋体" w:eastAsia="宋体" w:cs="宋体"/>
          <w:color w:val="auto"/>
          <w:sz w:val="20"/>
          <w:szCs w:val="20"/>
          <w:highlight w:val="none"/>
        </w:rPr>
        <w:t>xls</w:t>
      </w:r>
      <w:r>
        <w:rPr>
          <w:rFonts w:ascii="宋体" w:hAnsi="宋体" w:eastAsia="宋体" w:cs="宋体"/>
          <w:color w:val="auto"/>
          <w:spacing w:val="6"/>
          <w:sz w:val="20"/>
          <w:szCs w:val="20"/>
          <w:highlight w:val="none"/>
        </w:rPr>
        <w:t>；电子文件清单，用于表明电子文件数据信息，包括序号、电子文件名、</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格式、合同号、资料清单号、图号、图纸名称、幅面、张数、版次、</w:t>
      </w:r>
      <w:r>
        <w:rPr>
          <w:rFonts w:ascii="宋体" w:hAnsi="宋体" w:eastAsia="宋体" w:cs="宋体"/>
          <w:color w:val="auto"/>
          <w:spacing w:val="-48"/>
          <w:sz w:val="20"/>
          <w:szCs w:val="20"/>
          <w:highlight w:val="none"/>
        </w:rPr>
        <w:t xml:space="preserve"> </w:t>
      </w:r>
      <w:r>
        <w:rPr>
          <w:rFonts w:ascii="宋体" w:hAnsi="宋体" w:eastAsia="宋体" w:cs="宋体"/>
          <w:color w:val="auto"/>
          <w:spacing w:val="8"/>
          <w:sz w:val="20"/>
          <w:szCs w:val="20"/>
          <w:highlight w:val="none"/>
        </w:rPr>
        <w:t>日期、备注等；</w:t>
      </w:r>
    </w:p>
    <w:p w14:paraId="36FC575A">
      <w:pPr>
        <w:spacing w:before="34" w:line="417" w:lineRule="auto"/>
        <w:ind w:left="26" w:right="553" w:firstLine="625"/>
        <w:rPr>
          <w:rFonts w:ascii="宋体" w:hAnsi="宋体" w:eastAsia="宋体" w:cs="宋体"/>
          <w:color w:val="auto"/>
          <w:sz w:val="20"/>
          <w:szCs w:val="20"/>
          <w:highlight w:val="none"/>
        </w:rPr>
      </w:pPr>
      <w:r>
        <w:rPr>
          <w:rFonts w:ascii="宋体" w:hAnsi="宋体" w:eastAsia="宋体" w:cs="宋体"/>
          <w:color w:val="auto"/>
          <w:spacing w:val="14"/>
          <w:sz w:val="20"/>
          <w:szCs w:val="20"/>
          <w:highlight w:val="none"/>
        </w:rPr>
        <w:t>子目录</w:t>
      </w:r>
      <w:r>
        <w:rPr>
          <w:rFonts w:ascii="宋体" w:hAnsi="宋体" w:eastAsia="宋体" w:cs="宋体"/>
          <w:color w:val="auto"/>
          <w:spacing w:val="-22"/>
          <w:sz w:val="20"/>
          <w:szCs w:val="20"/>
          <w:highlight w:val="none"/>
        </w:rPr>
        <w:t xml:space="preserve"> </w:t>
      </w:r>
      <w:r>
        <w:rPr>
          <w:rFonts w:ascii="宋体" w:hAnsi="宋体" w:eastAsia="宋体" w:cs="宋体"/>
          <w:color w:val="auto"/>
          <w:sz w:val="20"/>
          <w:szCs w:val="20"/>
          <w:highlight w:val="none"/>
        </w:rPr>
        <w:t>DATA</w:t>
      </w:r>
      <w:r>
        <w:rPr>
          <w:rFonts w:ascii="宋体" w:hAnsi="宋体" w:eastAsia="宋体" w:cs="宋体"/>
          <w:color w:val="auto"/>
          <w:spacing w:val="14"/>
          <w:sz w:val="20"/>
          <w:szCs w:val="20"/>
          <w:highlight w:val="none"/>
        </w:rPr>
        <w:t>：用于存放</w:t>
      </w:r>
      <w:r>
        <w:rPr>
          <w:rFonts w:ascii="宋体" w:hAnsi="宋体" w:eastAsia="宋体" w:cs="宋体"/>
          <w:color w:val="auto"/>
          <w:spacing w:val="-43"/>
          <w:sz w:val="20"/>
          <w:szCs w:val="20"/>
          <w:highlight w:val="none"/>
        </w:rPr>
        <w:t xml:space="preserve"> </w:t>
      </w:r>
      <w:r>
        <w:rPr>
          <w:rFonts w:ascii="宋体" w:hAnsi="宋体" w:eastAsia="宋体" w:cs="宋体"/>
          <w:color w:val="auto"/>
          <w:sz w:val="20"/>
          <w:szCs w:val="20"/>
          <w:highlight w:val="none"/>
        </w:rPr>
        <w:t>Word</w:t>
      </w:r>
      <w:r>
        <w:rPr>
          <w:rFonts w:ascii="宋体" w:hAnsi="宋体" w:eastAsia="宋体" w:cs="宋体"/>
          <w:color w:val="auto"/>
          <w:spacing w:val="14"/>
          <w:sz w:val="20"/>
          <w:szCs w:val="20"/>
          <w:highlight w:val="none"/>
        </w:rPr>
        <w:t>、</w:t>
      </w:r>
      <w:r>
        <w:rPr>
          <w:rFonts w:ascii="宋体" w:hAnsi="宋体" w:eastAsia="宋体" w:cs="宋体"/>
          <w:color w:val="auto"/>
          <w:sz w:val="20"/>
          <w:szCs w:val="20"/>
          <w:highlight w:val="none"/>
        </w:rPr>
        <w:t>Excel</w:t>
      </w:r>
      <w:r>
        <w:rPr>
          <w:rFonts w:ascii="宋体" w:hAnsi="宋体" w:eastAsia="宋体" w:cs="宋体"/>
          <w:color w:val="auto"/>
          <w:spacing w:val="14"/>
          <w:sz w:val="20"/>
          <w:szCs w:val="20"/>
          <w:highlight w:val="none"/>
        </w:rPr>
        <w:t>、</w:t>
      </w:r>
      <w:r>
        <w:rPr>
          <w:rFonts w:ascii="宋体" w:hAnsi="宋体" w:eastAsia="宋体" w:cs="宋体"/>
          <w:color w:val="auto"/>
          <w:sz w:val="20"/>
          <w:szCs w:val="20"/>
          <w:highlight w:val="none"/>
        </w:rPr>
        <w:t>AutoCAD</w:t>
      </w:r>
      <w:r>
        <w:rPr>
          <w:rFonts w:ascii="宋体" w:hAnsi="宋体" w:eastAsia="宋体" w:cs="宋体"/>
          <w:color w:val="auto"/>
          <w:spacing w:val="-40"/>
          <w:sz w:val="20"/>
          <w:szCs w:val="20"/>
          <w:highlight w:val="none"/>
        </w:rPr>
        <w:t xml:space="preserve"> </w:t>
      </w:r>
      <w:r>
        <w:rPr>
          <w:rFonts w:ascii="宋体" w:hAnsi="宋体" w:eastAsia="宋体" w:cs="宋体"/>
          <w:color w:val="auto"/>
          <w:spacing w:val="14"/>
          <w:sz w:val="20"/>
          <w:szCs w:val="20"/>
          <w:highlight w:val="none"/>
        </w:rPr>
        <w:t>格式（或在本协议中明确的其他格</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式）的正式文件；</w:t>
      </w:r>
    </w:p>
    <w:p w14:paraId="112E8493">
      <w:pPr>
        <w:spacing w:before="32" w:line="227" w:lineRule="auto"/>
        <w:ind w:left="651"/>
        <w:rPr>
          <w:rFonts w:ascii="宋体" w:hAnsi="宋体" w:eastAsia="宋体" w:cs="宋体"/>
          <w:color w:val="auto"/>
          <w:sz w:val="20"/>
          <w:szCs w:val="20"/>
          <w:highlight w:val="none"/>
        </w:rPr>
      </w:pPr>
      <w:r>
        <w:rPr>
          <w:rFonts w:ascii="宋体" w:hAnsi="宋体" w:eastAsia="宋体" w:cs="宋体"/>
          <w:color w:val="auto"/>
          <w:spacing w:val="10"/>
          <w:sz w:val="20"/>
          <w:szCs w:val="20"/>
          <w:highlight w:val="none"/>
        </w:rPr>
        <w:t>子目录</w:t>
      </w:r>
      <w:r>
        <w:rPr>
          <w:rFonts w:ascii="宋体" w:hAnsi="宋体" w:eastAsia="宋体" w:cs="宋体"/>
          <w:color w:val="auto"/>
          <w:spacing w:val="-41"/>
          <w:sz w:val="20"/>
          <w:szCs w:val="20"/>
          <w:highlight w:val="none"/>
        </w:rPr>
        <w:t xml:space="preserve"> </w:t>
      </w:r>
      <w:r>
        <w:rPr>
          <w:rFonts w:ascii="宋体" w:hAnsi="宋体" w:eastAsia="宋体" w:cs="宋体"/>
          <w:color w:val="auto"/>
          <w:sz w:val="20"/>
          <w:szCs w:val="20"/>
          <w:highlight w:val="none"/>
        </w:rPr>
        <w:t>DATAB</w:t>
      </w:r>
      <w:r>
        <w:rPr>
          <w:rFonts w:ascii="宋体" w:hAnsi="宋体" w:eastAsia="宋体" w:cs="宋体"/>
          <w:color w:val="auto"/>
          <w:spacing w:val="10"/>
          <w:sz w:val="20"/>
          <w:szCs w:val="20"/>
          <w:highlight w:val="none"/>
        </w:rPr>
        <w:t>：用于存放</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PDF</w:t>
      </w:r>
      <w:r>
        <w:rPr>
          <w:rFonts w:ascii="宋体" w:hAnsi="宋体" w:eastAsia="宋体" w:cs="宋体"/>
          <w:color w:val="auto"/>
          <w:spacing w:val="-40"/>
          <w:sz w:val="20"/>
          <w:szCs w:val="20"/>
          <w:highlight w:val="none"/>
        </w:rPr>
        <w:t xml:space="preserve"> </w:t>
      </w:r>
      <w:r>
        <w:rPr>
          <w:rFonts w:ascii="宋体" w:hAnsi="宋体" w:eastAsia="宋体" w:cs="宋体"/>
          <w:color w:val="auto"/>
          <w:spacing w:val="10"/>
          <w:sz w:val="20"/>
          <w:szCs w:val="20"/>
          <w:highlight w:val="none"/>
        </w:rPr>
        <w:t>和</w:t>
      </w:r>
      <w:r>
        <w:rPr>
          <w:rFonts w:ascii="宋体" w:hAnsi="宋体" w:eastAsia="宋体" w:cs="宋体"/>
          <w:color w:val="auto"/>
          <w:spacing w:val="-41"/>
          <w:sz w:val="20"/>
          <w:szCs w:val="20"/>
          <w:highlight w:val="none"/>
        </w:rPr>
        <w:t xml:space="preserve"> </w:t>
      </w:r>
      <w:r>
        <w:rPr>
          <w:rFonts w:ascii="宋体" w:hAnsi="宋体" w:eastAsia="宋体" w:cs="宋体"/>
          <w:color w:val="auto"/>
          <w:sz w:val="20"/>
          <w:szCs w:val="20"/>
          <w:highlight w:val="none"/>
        </w:rPr>
        <w:t>TIF</w:t>
      </w:r>
      <w:r>
        <w:rPr>
          <w:rFonts w:ascii="宋体" w:hAnsi="宋体" w:eastAsia="宋体" w:cs="宋体"/>
          <w:color w:val="auto"/>
          <w:spacing w:val="-41"/>
          <w:sz w:val="20"/>
          <w:szCs w:val="20"/>
          <w:highlight w:val="none"/>
        </w:rPr>
        <w:t xml:space="preserve"> </w:t>
      </w:r>
      <w:r>
        <w:rPr>
          <w:rFonts w:ascii="宋体" w:hAnsi="宋体" w:eastAsia="宋体" w:cs="宋体"/>
          <w:color w:val="auto"/>
          <w:spacing w:val="10"/>
          <w:sz w:val="20"/>
          <w:szCs w:val="20"/>
          <w:highlight w:val="none"/>
        </w:rPr>
        <w:t>格式的文件副本（仅指竣工资料</w:t>
      </w:r>
      <w:r>
        <w:rPr>
          <w:rFonts w:ascii="宋体" w:hAnsi="宋体" w:eastAsia="宋体" w:cs="宋体"/>
          <w:color w:val="auto"/>
          <w:spacing w:val="-50"/>
          <w:sz w:val="20"/>
          <w:szCs w:val="20"/>
          <w:highlight w:val="none"/>
        </w:rPr>
        <w:t>）；</w:t>
      </w:r>
    </w:p>
    <w:p w14:paraId="2D6A99B9">
      <w:pPr>
        <w:spacing w:before="223" w:line="417" w:lineRule="auto"/>
        <w:ind w:left="21" w:right="548" w:firstLine="63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子目录</w:t>
      </w:r>
      <w:r>
        <w:rPr>
          <w:rFonts w:ascii="宋体" w:hAnsi="宋体" w:eastAsia="宋体" w:cs="宋体"/>
          <w:color w:val="auto"/>
          <w:spacing w:val="-37"/>
          <w:sz w:val="20"/>
          <w:szCs w:val="20"/>
          <w:highlight w:val="none"/>
        </w:rPr>
        <w:t xml:space="preserve"> </w:t>
      </w:r>
      <w:r>
        <w:rPr>
          <w:rFonts w:ascii="宋体" w:hAnsi="宋体" w:eastAsia="宋体" w:cs="宋体"/>
          <w:color w:val="auto"/>
          <w:sz w:val="20"/>
          <w:szCs w:val="20"/>
          <w:highlight w:val="none"/>
        </w:rPr>
        <w:t>OTHERS</w:t>
      </w:r>
      <w:r>
        <w:rPr>
          <w:rFonts w:ascii="宋体" w:hAnsi="宋体" w:eastAsia="宋体" w:cs="宋体"/>
          <w:color w:val="auto"/>
          <w:spacing w:val="9"/>
          <w:sz w:val="20"/>
          <w:szCs w:val="20"/>
          <w:highlight w:val="none"/>
        </w:rPr>
        <w:t>：用于存放相关字库、符号库、数据字典、外</w:t>
      </w:r>
      <w:r>
        <w:rPr>
          <w:rFonts w:ascii="宋体" w:hAnsi="宋体" w:eastAsia="宋体" w:cs="宋体"/>
          <w:color w:val="auto"/>
          <w:spacing w:val="8"/>
          <w:sz w:val="20"/>
          <w:szCs w:val="20"/>
          <w:highlight w:val="none"/>
        </w:rPr>
        <w:t>部参考等保证文件准确</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还原的环境文件及其它说明文件等。</w:t>
      </w:r>
    </w:p>
    <w:p w14:paraId="5663EFC7">
      <w:pPr>
        <w:spacing w:before="187" w:line="227" w:lineRule="auto"/>
        <w:ind w:left="2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2.2  需要配合工程初步设计进度提供资料与图纸</w:t>
      </w:r>
    </w:p>
    <w:p w14:paraId="65B209F5">
      <w:pPr>
        <w:pStyle w:val="3"/>
        <w:spacing w:line="311" w:lineRule="auto"/>
        <w:rPr>
          <w:color w:val="auto"/>
          <w:highlight w:val="none"/>
        </w:rPr>
      </w:pPr>
    </w:p>
    <w:p w14:paraId="62F29500">
      <w:pPr>
        <w:spacing w:before="65" w:line="227" w:lineRule="auto"/>
        <w:ind w:left="2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2.3  需要配合工程施工图设计进度提供资料与图纸</w:t>
      </w:r>
    </w:p>
    <w:p w14:paraId="31FCAD37">
      <w:pPr>
        <w:spacing w:before="223" w:line="227" w:lineRule="auto"/>
        <w:ind w:left="2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2.4  根据工程进展中的其它方面的需要，配</w:t>
      </w:r>
      <w:r>
        <w:rPr>
          <w:rFonts w:ascii="宋体" w:hAnsi="宋体" w:eastAsia="宋体" w:cs="宋体"/>
          <w:color w:val="auto"/>
          <w:spacing w:val="8"/>
          <w:sz w:val="20"/>
          <w:szCs w:val="20"/>
          <w:highlight w:val="none"/>
        </w:rPr>
        <w:t>合提供资料与图纸</w:t>
      </w:r>
    </w:p>
    <w:p w14:paraId="71E7A909">
      <w:pPr>
        <w:spacing w:line="227" w:lineRule="auto"/>
        <w:rPr>
          <w:rFonts w:ascii="宋体" w:hAnsi="宋体" w:eastAsia="宋体" w:cs="宋体"/>
          <w:color w:val="auto"/>
          <w:sz w:val="20"/>
          <w:szCs w:val="20"/>
          <w:highlight w:val="none"/>
        </w:rPr>
        <w:sectPr>
          <w:pgSz w:w="11906" w:h="16839"/>
          <w:pgMar w:top="1431" w:right="1368" w:bottom="0" w:left="1785" w:header="0" w:footer="0" w:gutter="0"/>
          <w:pgBorders>
            <w:top w:val="none" w:sz="0" w:space="0"/>
            <w:left w:val="none" w:sz="0" w:space="0"/>
            <w:bottom w:val="none" w:sz="0" w:space="0"/>
            <w:right w:val="none" w:sz="0" w:space="0"/>
          </w:pgBorders>
          <w:cols w:space="720" w:num="1"/>
        </w:sectPr>
      </w:pPr>
    </w:p>
    <w:p w14:paraId="13628488">
      <w:pPr>
        <w:spacing w:before="122" w:line="219" w:lineRule="auto"/>
        <w:ind w:left="28"/>
        <w:outlineLvl w:val="1"/>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3</w:t>
      </w:r>
      <w:r>
        <w:rPr>
          <w:rFonts w:ascii="宋体" w:hAnsi="宋体" w:eastAsia="宋体" w:cs="宋体"/>
          <w:color w:val="auto"/>
          <w:spacing w:val="43"/>
          <w:sz w:val="24"/>
          <w:szCs w:val="24"/>
          <w:highlight w:val="none"/>
        </w:rPr>
        <w:t xml:space="preserve">  </w:t>
      </w:r>
      <w:r>
        <w:rPr>
          <w:rFonts w:ascii="宋体" w:hAnsi="宋体" w:eastAsia="宋体" w:cs="宋体"/>
          <w:b/>
          <w:bCs/>
          <w:color w:val="auto"/>
          <w:spacing w:val="-6"/>
          <w:sz w:val="24"/>
          <w:szCs w:val="24"/>
          <w:highlight w:val="none"/>
        </w:rPr>
        <w:t>资料提交的基本内容</w:t>
      </w:r>
    </w:p>
    <w:p w14:paraId="2D4B1B59">
      <w:pPr>
        <w:spacing w:before="199" w:line="329" w:lineRule="auto"/>
        <w:ind w:left="23" w:right="16" w:firstLine="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3.1  投标人在投标阶段向招标人提供一般性资料如：鉴定证书、报价书、典型说明书、屏</w:t>
      </w:r>
      <w:r>
        <w:rPr>
          <w:rFonts w:ascii="宋体" w:hAnsi="宋体" w:eastAsia="宋体" w:cs="宋体"/>
          <w:color w:val="auto"/>
          <w:spacing w:val="12"/>
          <w:sz w:val="20"/>
          <w:szCs w:val="20"/>
          <w:highlight w:val="none"/>
        </w:rPr>
        <w:t xml:space="preserve"> </w:t>
      </w:r>
      <w:r>
        <w:rPr>
          <w:rFonts w:ascii="宋体" w:hAnsi="宋体" w:eastAsia="宋体" w:cs="宋体"/>
          <w:color w:val="auto"/>
          <w:spacing w:val="9"/>
          <w:sz w:val="20"/>
          <w:szCs w:val="20"/>
          <w:highlight w:val="none"/>
        </w:rPr>
        <w:t>面布置图、系统原理图、保护配置图和主要技术参数等。</w:t>
      </w:r>
    </w:p>
    <w:p w14:paraId="164F8448">
      <w:pPr>
        <w:spacing w:before="222"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3.2  在合同签定</w:t>
      </w:r>
      <w:r>
        <w:rPr>
          <w:rFonts w:ascii="宋体" w:hAnsi="宋体" w:eastAsia="宋体" w:cs="宋体"/>
          <w:color w:val="auto"/>
          <w:spacing w:val="-35"/>
          <w:sz w:val="20"/>
          <w:szCs w:val="20"/>
          <w:highlight w:val="none"/>
        </w:rPr>
        <w:t xml:space="preserve"> </w:t>
      </w:r>
      <w:r>
        <w:rPr>
          <w:rFonts w:ascii="宋体" w:hAnsi="宋体" w:eastAsia="宋体" w:cs="宋体"/>
          <w:color w:val="auto"/>
          <w:spacing w:val="8"/>
          <w:sz w:val="20"/>
          <w:szCs w:val="20"/>
          <w:highlight w:val="none"/>
        </w:rPr>
        <w:t>30</w:t>
      </w:r>
      <w:r>
        <w:rPr>
          <w:rFonts w:ascii="宋体" w:hAnsi="宋体" w:eastAsia="宋体" w:cs="宋体"/>
          <w:color w:val="auto"/>
          <w:spacing w:val="-36"/>
          <w:sz w:val="20"/>
          <w:szCs w:val="20"/>
          <w:highlight w:val="none"/>
        </w:rPr>
        <w:t xml:space="preserve"> </w:t>
      </w:r>
      <w:r>
        <w:rPr>
          <w:rFonts w:ascii="宋体" w:hAnsi="宋体" w:eastAsia="宋体" w:cs="宋体"/>
          <w:color w:val="auto"/>
          <w:spacing w:val="8"/>
          <w:sz w:val="20"/>
          <w:szCs w:val="20"/>
          <w:highlight w:val="none"/>
        </w:rPr>
        <w:t>天内，投标人向</w:t>
      </w:r>
      <w:r>
        <w:rPr>
          <w:rFonts w:ascii="宋体" w:hAnsi="宋体" w:eastAsia="宋体" w:cs="宋体"/>
          <w:color w:val="auto"/>
          <w:spacing w:val="7"/>
          <w:sz w:val="20"/>
          <w:szCs w:val="20"/>
          <w:highlight w:val="none"/>
        </w:rPr>
        <w:t>招标人提供下列技术文件以供确认。</w:t>
      </w:r>
    </w:p>
    <w:p w14:paraId="63009AA5">
      <w:pPr>
        <w:spacing w:before="221" w:line="228" w:lineRule="auto"/>
        <w:ind w:left="67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保护原理图及保护出口、信号回路图</w:t>
      </w:r>
    </w:p>
    <w:p w14:paraId="29263739">
      <w:pPr>
        <w:spacing w:before="221" w:line="227" w:lineRule="auto"/>
        <w:ind w:left="66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 保护柜柜面布置图、柜体重量、安装要求</w:t>
      </w:r>
    </w:p>
    <w:p w14:paraId="734ADC21">
      <w:pPr>
        <w:spacing w:before="221" w:line="228" w:lineRule="auto"/>
        <w:ind w:left="66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 保护柜交直流回路图</w:t>
      </w:r>
    </w:p>
    <w:p w14:paraId="0E48F96C">
      <w:pPr>
        <w:spacing w:before="221" w:line="228" w:lineRule="auto"/>
        <w:ind w:left="657"/>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  保护柜插件分配图</w:t>
      </w:r>
    </w:p>
    <w:p w14:paraId="040F0F16">
      <w:pPr>
        <w:spacing w:before="221" w:line="227" w:lineRule="auto"/>
        <w:ind w:left="65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5）保护柜背板接线图及端子排图</w:t>
      </w:r>
    </w:p>
    <w:p w14:paraId="1642BB0D">
      <w:pPr>
        <w:spacing w:before="223" w:line="228" w:lineRule="auto"/>
        <w:ind w:left="65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6）保护逻辑图</w:t>
      </w:r>
    </w:p>
    <w:p w14:paraId="0423E117">
      <w:pPr>
        <w:spacing w:before="221" w:line="228" w:lineRule="auto"/>
        <w:ind w:left="65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7）调试大纲</w:t>
      </w:r>
    </w:p>
    <w:p w14:paraId="772203E2">
      <w:pPr>
        <w:spacing w:before="221" w:line="227" w:lineRule="auto"/>
        <w:ind w:left="548"/>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8）机组的图纸应按每台机组出图并应标上高层代号、设备代号和</w:t>
      </w:r>
      <w:r>
        <w:rPr>
          <w:rFonts w:ascii="宋体" w:hAnsi="宋体" w:eastAsia="宋体" w:cs="宋体"/>
          <w:color w:val="auto"/>
          <w:sz w:val="20"/>
          <w:szCs w:val="20"/>
          <w:highlight w:val="none"/>
        </w:rPr>
        <w:t>KKS</w:t>
      </w:r>
      <w:r>
        <w:rPr>
          <w:rFonts w:ascii="宋体" w:hAnsi="宋体" w:eastAsia="宋体" w:cs="宋体"/>
          <w:color w:val="auto"/>
          <w:spacing w:val="-38"/>
          <w:sz w:val="20"/>
          <w:szCs w:val="20"/>
          <w:highlight w:val="none"/>
        </w:rPr>
        <w:t xml:space="preserve"> </w:t>
      </w:r>
      <w:r>
        <w:rPr>
          <w:rFonts w:ascii="宋体" w:hAnsi="宋体" w:eastAsia="宋体" w:cs="宋体"/>
          <w:color w:val="auto"/>
          <w:spacing w:val="10"/>
          <w:sz w:val="20"/>
          <w:szCs w:val="20"/>
          <w:highlight w:val="none"/>
        </w:rPr>
        <w:t>编码。</w:t>
      </w:r>
    </w:p>
    <w:p w14:paraId="7E4408CC">
      <w:pPr>
        <w:spacing w:before="222" w:line="417" w:lineRule="auto"/>
        <w:ind w:left="25" w:right="16" w:firstLine="419"/>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投标人应向招标人提供保护整定计算书，如某些保护装置整定范围或灵敏度不能满足运</w:t>
      </w:r>
      <w:r>
        <w:rPr>
          <w:rFonts w:ascii="宋体" w:hAnsi="宋体" w:eastAsia="宋体" w:cs="宋体"/>
          <w:color w:val="auto"/>
          <w:spacing w:val="6"/>
          <w:sz w:val="20"/>
          <w:szCs w:val="20"/>
          <w:highlight w:val="none"/>
        </w:rPr>
        <w:t xml:space="preserve"> </w:t>
      </w:r>
      <w:r>
        <w:rPr>
          <w:rFonts w:ascii="宋体" w:hAnsi="宋体" w:eastAsia="宋体" w:cs="宋体"/>
          <w:color w:val="auto"/>
          <w:spacing w:val="8"/>
          <w:sz w:val="20"/>
          <w:szCs w:val="20"/>
          <w:highlight w:val="none"/>
        </w:rPr>
        <w:t>行条件时，招标人有权要求投标人改进。</w:t>
      </w:r>
    </w:p>
    <w:p w14:paraId="65532752">
      <w:pPr>
        <w:spacing w:before="33" w:line="417" w:lineRule="auto"/>
        <w:ind w:left="21" w:right="15" w:firstLine="42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投标人在提供确认图纸时必须提供为审核该张图纸所需的资料。招标人有权要求投标人</w:t>
      </w:r>
      <w:r>
        <w:rPr>
          <w:rFonts w:ascii="宋体" w:hAnsi="宋体" w:eastAsia="宋体" w:cs="宋体"/>
          <w:color w:val="auto"/>
          <w:spacing w:val="6"/>
          <w:sz w:val="20"/>
          <w:szCs w:val="20"/>
          <w:highlight w:val="none"/>
        </w:rPr>
        <w:t xml:space="preserve"> </w:t>
      </w:r>
      <w:r>
        <w:rPr>
          <w:rFonts w:ascii="宋体" w:hAnsi="宋体" w:eastAsia="宋体" w:cs="宋体"/>
          <w:color w:val="auto"/>
          <w:spacing w:val="9"/>
          <w:sz w:val="20"/>
          <w:szCs w:val="20"/>
          <w:highlight w:val="none"/>
        </w:rPr>
        <w:t>对其图纸中的任一装置任一部件作必要修改，而招标人不需承担额外费用。</w:t>
      </w:r>
    </w:p>
    <w:p w14:paraId="77E36B5A">
      <w:pPr>
        <w:spacing w:before="32" w:line="417" w:lineRule="auto"/>
        <w:ind w:left="24" w:right="16" w:firstLine="41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在收到招标人最终认可图纸前，投标人所购买的材料或制造所发生的费用及其风险全由</w:t>
      </w:r>
      <w:r>
        <w:rPr>
          <w:rFonts w:ascii="宋体" w:hAnsi="宋体" w:eastAsia="宋体" w:cs="宋体"/>
          <w:color w:val="auto"/>
          <w:spacing w:val="9"/>
          <w:sz w:val="20"/>
          <w:szCs w:val="20"/>
          <w:highlight w:val="none"/>
        </w:rPr>
        <w:t xml:space="preserve"> </w:t>
      </w:r>
      <w:r>
        <w:rPr>
          <w:rFonts w:ascii="宋体" w:hAnsi="宋体" w:eastAsia="宋体" w:cs="宋体"/>
          <w:color w:val="auto"/>
          <w:spacing w:val="7"/>
          <w:sz w:val="20"/>
          <w:szCs w:val="20"/>
          <w:highlight w:val="none"/>
        </w:rPr>
        <w:t>投标人单独承担。</w:t>
      </w:r>
    </w:p>
    <w:p w14:paraId="5975434B">
      <w:pPr>
        <w:spacing w:before="33" w:line="417" w:lineRule="auto"/>
        <w:ind w:left="23" w:right="16" w:firstLine="42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 xml:space="preserve">生产的成品应符合合同的技术规范。招标人对图纸的确认并不能解除投标人对其图纸的 </w:t>
      </w:r>
      <w:r>
        <w:rPr>
          <w:rFonts w:ascii="宋体" w:hAnsi="宋体" w:eastAsia="宋体" w:cs="宋体"/>
          <w:color w:val="auto"/>
          <w:spacing w:val="8"/>
          <w:sz w:val="20"/>
          <w:szCs w:val="20"/>
          <w:highlight w:val="none"/>
        </w:rPr>
        <w:t>完善性和准确性应承担的责任。</w:t>
      </w:r>
    </w:p>
    <w:p w14:paraId="19BE4A03">
      <w:pPr>
        <w:spacing w:before="32" w:line="417" w:lineRule="auto"/>
        <w:ind w:left="32" w:right="13" w:firstLine="40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在设计联络会后</w:t>
      </w:r>
      <w:r>
        <w:rPr>
          <w:rFonts w:ascii="宋体" w:hAnsi="宋体" w:eastAsia="宋体" w:cs="宋体"/>
          <w:color w:val="auto"/>
          <w:spacing w:val="-23"/>
          <w:sz w:val="20"/>
          <w:szCs w:val="20"/>
          <w:highlight w:val="none"/>
        </w:rPr>
        <w:t xml:space="preserve"> </w:t>
      </w:r>
      <w:r>
        <w:rPr>
          <w:rFonts w:ascii="宋体" w:hAnsi="宋体" w:eastAsia="宋体" w:cs="宋体"/>
          <w:color w:val="auto"/>
          <w:spacing w:val="6"/>
          <w:sz w:val="20"/>
          <w:szCs w:val="20"/>
          <w:highlight w:val="none"/>
        </w:rPr>
        <w:t>30</w:t>
      </w:r>
      <w:r>
        <w:rPr>
          <w:rFonts w:ascii="宋体" w:hAnsi="宋体" w:eastAsia="宋体" w:cs="宋体"/>
          <w:color w:val="auto"/>
          <w:spacing w:val="-33"/>
          <w:sz w:val="20"/>
          <w:szCs w:val="20"/>
          <w:highlight w:val="none"/>
        </w:rPr>
        <w:t xml:space="preserve"> </w:t>
      </w:r>
      <w:r>
        <w:rPr>
          <w:rFonts w:ascii="宋体" w:hAnsi="宋体" w:eastAsia="宋体" w:cs="宋体"/>
          <w:color w:val="auto"/>
          <w:spacing w:val="6"/>
          <w:sz w:val="20"/>
          <w:szCs w:val="20"/>
          <w:highlight w:val="none"/>
        </w:rPr>
        <w:t>天内，投标人应提供全部正式图纸的最终图和所有图纸的</w:t>
      </w:r>
      <w:r>
        <w:rPr>
          <w:rFonts w:ascii="宋体" w:hAnsi="宋体" w:eastAsia="宋体" w:cs="宋体"/>
          <w:color w:val="auto"/>
          <w:spacing w:val="-44"/>
          <w:sz w:val="20"/>
          <w:szCs w:val="20"/>
          <w:highlight w:val="none"/>
        </w:rPr>
        <w:t xml:space="preserve"> </w:t>
      </w:r>
      <w:r>
        <w:rPr>
          <w:rFonts w:ascii="宋体" w:hAnsi="宋体" w:eastAsia="宋体" w:cs="宋体"/>
          <w:color w:val="auto"/>
          <w:sz w:val="20"/>
          <w:szCs w:val="20"/>
          <w:highlight w:val="none"/>
        </w:rPr>
        <w:t>ACAD</w:t>
      </w:r>
      <w:r>
        <w:rPr>
          <w:rFonts w:ascii="宋体" w:hAnsi="宋体" w:eastAsia="宋体" w:cs="宋体"/>
          <w:color w:val="auto"/>
          <w:spacing w:val="-38"/>
          <w:sz w:val="20"/>
          <w:szCs w:val="20"/>
          <w:highlight w:val="none"/>
        </w:rPr>
        <w:t xml:space="preserve"> </w:t>
      </w:r>
      <w:r>
        <w:rPr>
          <w:rFonts w:ascii="宋体" w:hAnsi="宋体" w:eastAsia="宋体" w:cs="宋体"/>
          <w:color w:val="auto"/>
          <w:spacing w:val="6"/>
          <w:sz w:val="20"/>
          <w:szCs w:val="20"/>
          <w:highlight w:val="none"/>
        </w:rPr>
        <w:t>光盘</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w:t>
      </w:r>
      <w:r>
        <w:rPr>
          <w:rFonts w:ascii="宋体" w:hAnsi="宋体" w:eastAsia="宋体" w:cs="宋体"/>
          <w:color w:val="auto"/>
          <w:sz w:val="20"/>
          <w:szCs w:val="20"/>
          <w:highlight w:val="none"/>
        </w:rPr>
        <w:t>AUTOCAD</w:t>
      </w:r>
      <w:r>
        <w:rPr>
          <w:rFonts w:ascii="宋体" w:hAnsi="宋体" w:eastAsia="宋体" w:cs="宋体"/>
          <w:color w:val="auto"/>
          <w:spacing w:val="9"/>
          <w:sz w:val="20"/>
          <w:szCs w:val="20"/>
          <w:highlight w:val="none"/>
        </w:rPr>
        <w:t>14）及其相关的支撑软件。</w:t>
      </w:r>
    </w:p>
    <w:p w14:paraId="6EB0EBC3">
      <w:pPr>
        <w:spacing w:before="32" w:line="227" w:lineRule="auto"/>
        <w:ind w:left="2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3.3  设备供货时提供下列资料:</w:t>
      </w:r>
    </w:p>
    <w:p w14:paraId="3EFD2D25">
      <w:pPr>
        <w:spacing w:before="221" w:line="417" w:lineRule="auto"/>
        <w:ind w:left="23" w:right="13" w:firstLine="421"/>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设备的开箱资料，除了</w:t>
      </w:r>
      <w:r>
        <w:rPr>
          <w:rFonts w:ascii="宋体" w:hAnsi="宋体" w:eastAsia="宋体" w:cs="宋体"/>
          <w:color w:val="auto"/>
          <w:spacing w:val="-20"/>
          <w:sz w:val="20"/>
          <w:szCs w:val="20"/>
          <w:highlight w:val="none"/>
        </w:rPr>
        <w:t xml:space="preserve"> </w:t>
      </w:r>
      <w:r>
        <w:rPr>
          <w:rFonts w:ascii="宋体" w:hAnsi="宋体" w:eastAsia="宋体" w:cs="宋体"/>
          <w:color w:val="auto"/>
          <w:spacing w:val="6"/>
          <w:sz w:val="20"/>
          <w:szCs w:val="20"/>
          <w:highlight w:val="none"/>
        </w:rPr>
        <w:t>3.2</w:t>
      </w:r>
      <w:r>
        <w:rPr>
          <w:rFonts w:ascii="宋体" w:hAnsi="宋体" w:eastAsia="宋体" w:cs="宋体"/>
          <w:color w:val="auto"/>
          <w:spacing w:val="-40"/>
          <w:sz w:val="20"/>
          <w:szCs w:val="20"/>
          <w:highlight w:val="none"/>
        </w:rPr>
        <w:t xml:space="preserve"> </w:t>
      </w:r>
      <w:r>
        <w:rPr>
          <w:rFonts w:ascii="宋体" w:hAnsi="宋体" w:eastAsia="宋体" w:cs="宋体"/>
          <w:color w:val="auto"/>
          <w:spacing w:val="6"/>
          <w:sz w:val="20"/>
          <w:szCs w:val="20"/>
          <w:highlight w:val="none"/>
        </w:rPr>
        <w:t>所述图纸还应包括安装、运行、维护、修理说明书，部件清</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单资料，工厂试验报告，产品合格证，产品原产地证明等。</w:t>
      </w:r>
    </w:p>
    <w:p w14:paraId="76E9EF0F">
      <w:pPr>
        <w:spacing w:line="417" w:lineRule="auto"/>
        <w:rPr>
          <w:rFonts w:ascii="宋体" w:hAnsi="宋体" w:eastAsia="宋体" w:cs="宋体"/>
          <w:color w:val="auto"/>
          <w:sz w:val="20"/>
          <w:szCs w:val="20"/>
          <w:highlight w:val="none"/>
        </w:rPr>
        <w:sectPr>
          <w:pgSz w:w="11906" w:h="16839"/>
          <w:pgMar w:top="1431" w:right="1785" w:bottom="0" w:left="1785" w:header="0" w:footer="0" w:gutter="0"/>
          <w:pgBorders>
            <w:top w:val="none" w:sz="0" w:space="0"/>
            <w:left w:val="none" w:sz="0" w:space="0"/>
            <w:bottom w:val="none" w:sz="0" w:space="0"/>
            <w:right w:val="none" w:sz="0" w:space="0"/>
          </w:pgBorders>
          <w:cols w:space="720" w:num="1"/>
        </w:sectPr>
      </w:pPr>
    </w:p>
    <w:p w14:paraId="6EE3464B">
      <w:pPr>
        <w:spacing w:before="318" w:line="224" w:lineRule="auto"/>
        <w:ind w:left="166"/>
        <w:outlineLvl w:val="0"/>
        <w:rPr>
          <w:rFonts w:ascii="宋体" w:hAnsi="宋体" w:eastAsia="宋体" w:cs="宋体"/>
          <w:color w:val="auto"/>
          <w:sz w:val="31"/>
          <w:szCs w:val="31"/>
          <w:highlight w:val="none"/>
        </w:rPr>
      </w:pPr>
      <w:bookmarkStart w:id="19" w:name="bookmark8"/>
      <w:bookmarkEnd w:id="19"/>
      <w:bookmarkStart w:id="20" w:name="bookmark7"/>
      <w:bookmarkEnd w:id="20"/>
      <w:r>
        <w:rPr>
          <w:rFonts w:ascii="宋体" w:hAnsi="宋体" w:eastAsia="宋体" w:cs="宋体"/>
          <w:b/>
          <w:bCs/>
          <w:color w:val="auto"/>
          <w:spacing w:val="-1"/>
          <w:sz w:val="31"/>
          <w:szCs w:val="31"/>
          <w:highlight w:val="none"/>
        </w:rPr>
        <w:t>附件</w:t>
      </w:r>
      <w:r>
        <w:rPr>
          <w:rFonts w:ascii="宋体" w:hAnsi="宋体" w:eastAsia="宋体" w:cs="宋体"/>
          <w:color w:val="auto"/>
          <w:spacing w:val="-60"/>
          <w:sz w:val="31"/>
          <w:szCs w:val="31"/>
          <w:highlight w:val="none"/>
        </w:rPr>
        <w:t xml:space="preserve"> </w:t>
      </w:r>
      <w:r>
        <w:rPr>
          <w:rFonts w:ascii="宋体" w:hAnsi="宋体" w:eastAsia="宋体" w:cs="宋体"/>
          <w:b/>
          <w:bCs/>
          <w:color w:val="auto"/>
          <w:spacing w:val="-1"/>
          <w:sz w:val="31"/>
          <w:szCs w:val="31"/>
          <w:highlight w:val="none"/>
        </w:rPr>
        <w:t>4</w:t>
      </w:r>
      <w:r>
        <w:rPr>
          <w:rFonts w:ascii="宋体" w:hAnsi="宋体" w:eastAsia="宋体" w:cs="宋体"/>
          <w:color w:val="auto"/>
          <w:spacing w:val="15"/>
          <w:sz w:val="31"/>
          <w:szCs w:val="31"/>
          <w:highlight w:val="none"/>
        </w:rPr>
        <w:t xml:space="preserve">  </w:t>
      </w:r>
      <w:r>
        <w:rPr>
          <w:rFonts w:ascii="宋体" w:hAnsi="宋体" w:eastAsia="宋体" w:cs="宋体"/>
          <w:b/>
          <w:bCs/>
          <w:color w:val="auto"/>
          <w:spacing w:val="-1"/>
          <w:sz w:val="31"/>
          <w:szCs w:val="31"/>
          <w:highlight w:val="none"/>
        </w:rPr>
        <w:t>设备交货进度</w:t>
      </w:r>
    </w:p>
    <w:p w14:paraId="67654EE5">
      <w:pPr>
        <w:pStyle w:val="3"/>
        <w:spacing w:line="310" w:lineRule="auto"/>
        <w:rPr>
          <w:color w:val="auto"/>
          <w:highlight w:val="none"/>
        </w:rPr>
      </w:pPr>
    </w:p>
    <w:p w14:paraId="53A9C83A">
      <w:pPr>
        <w:spacing w:before="65" w:line="373" w:lineRule="auto"/>
        <w:ind w:left="1984" w:right="1553" w:hanging="183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设备交货进度应按满足工程安装进度的要求，招标人要求的交货时间</w:t>
      </w:r>
      <w:r>
        <w:rPr>
          <w:rFonts w:ascii="宋体" w:hAnsi="宋体" w:eastAsia="宋体" w:cs="宋体"/>
          <w:color w:val="auto"/>
          <w:spacing w:val="-44"/>
          <w:sz w:val="20"/>
          <w:szCs w:val="20"/>
          <w:highlight w:val="none"/>
        </w:rPr>
        <w:t xml:space="preserve"> </w:t>
      </w:r>
      <w:r>
        <w:rPr>
          <w:rFonts w:ascii="宋体" w:hAnsi="宋体" w:eastAsia="宋体" w:cs="宋体"/>
          <w:color w:val="auto"/>
          <w:spacing w:val="7"/>
          <w:sz w:val="20"/>
          <w:szCs w:val="20"/>
          <w:highlight w:val="none"/>
        </w:rPr>
        <w:t>:</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交货进度表(包括设备、备品备件、进口件及专用工具)</w:t>
      </w:r>
    </w:p>
    <w:tbl>
      <w:tblPr>
        <w:tblStyle w:val="6"/>
        <w:tblW w:w="855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4"/>
        <w:gridCol w:w="2966"/>
        <w:gridCol w:w="2053"/>
        <w:gridCol w:w="2782"/>
      </w:tblGrid>
      <w:tr w14:paraId="5FC13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754" w:type="dxa"/>
            <w:vAlign w:val="top"/>
          </w:tcPr>
          <w:p w14:paraId="0DD2300E">
            <w:pPr>
              <w:spacing w:before="179" w:line="221" w:lineRule="auto"/>
              <w:ind w:left="202"/>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966" w:type="dxa"/>
            <w:vAlign w:val="top"/>
          </w:tcPr>
          <w:p w14:paraId="4AE894FB">
            <w:pPr>
              <w:spacing w:before="179" w:line="221" w:lineRule="auto"/>
              <w:ind w:left="103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名称、型号</w:t>
            </w:r>
          </w:p>
        </w:tc>
        <w:tc>
          <w:tcPr>
            <w:tcW w:w="2053" w:type="dxa"/>
            <w:vAlign w:val="top"/>
          </w:tcPr>
          <w:p w14:paraId="612993DA">
            <w:pPr>
              <w:spacing w:before="179" w:line="219" w:lineRule="auto"/>
              <w:ind w:left="672"/>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交货地点</w:t>
            </w:r>
          </w:p>
        </w:tc>
        <w:tc>
          <w:tcPr>
            <w:tcW w:w="2782" w:type="dxa"/>
            <w:vAlign w:val="top"/>
          </w:tcPr>
          <w:p w14:paraId="02015F05">
            <w:pPr>
              <w:spacing w:before="179" w:line="219" w:lineRule="auto"/>
              <w:ind w:left="102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交货时间</w:t>
            </w:r>
          </w:p>
        </w:tc>
      </w:tr>
      <w:tr w14:paraId="66D4F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754" w:type="dxa"/>
            <w:vAlign w:val="top"/>
          </w:tcPr>
          <w:p w14:paraId="7635DEB9">
            <w:pPr>
              <w:spacing w:before="249" w:line="184" w:lineRule="auto"/>
              <w:ind w:left="353"/>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2966" w:type="dxa"/>
            <w:vAlign w:val="top"/>
          </w:tcPr>
          <w:p w14:paraId="6DDE69BB">
            <w:pPr>
              <w:spacing w:before="221" w:line="219" w:lineRule="auto"/>
              <w:ind w:left="49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高压启备变保护设备本体</w:t>
            </w:r>
          </w:p>
        </w:tc>
        <w:tc>
          <w:tcPr>
            <w:tcW w:w="2053" w:type="dxa"/>
            <w:vAlign w:val="top"/>
          </w:tcPr>
          <w:p w14:paraId="768D288E">
            <w:pPr>
              <w:spacing w:before="222"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restart"/>
            <w:vAlign w:val="center"/>
          </w:tcPr>
          <w:p w14:paraId="2F5F80C5">
            <w:pPr>
              <w:spacing w:before="154" w:line="219" w:lineRule="auto"/>
              <w:ind w:left="846"/>
              <w:jc w:val="both"/>
              <w:rPr>
                <w:rFonts w:hint="default" w:ascii="宋体" w:hAnsi="宋体" w:eastAsia="宋体" w:cs="宋体"/>
                <w:color w:val="auto"/>
                <w:spacing w:val="-2"/>
                <w:sz w:val="18"/>
                <w:szCs w:val="18"/>
                <w:highlight w:val="none"/>
                <w:lang w:val="en-US" w:eastAsia="zh-CN"/>
              </w:rPr>
            </w:pPr>
            <w:r>
              <w:rPr>
                <w:rFonts w:hint="eastAsia" w:ascii="宋体" w:hAnsi="宋体" w:eastAsia="宋体" w:cs="宋体"/>
                <w:color w:val="auto"/>
                <w:spacing w:val="-2"/>
                <w:sz w:val="18"/>
                <w:szCs w:val="18"/>
                <w:highlight w:val="none"/>
                <w:lang w:val="en-US" w:eastAsia="zh-CN"/>
              </w:rPr>
              <w:t>合同签订后1个月内</w:t>
            </w:r>
          </w:p>
        </w:tc>
      </w:tr>
      <w:tr w14:paraId="1B662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54" w:type="dxa"/>
            <w:vAlign w:val="top"/>
          </w:tcPr>
          <w:p w14:paraId="0F5A00F7">
            <w:pPr>
              <w:spacing w:before="251" w:line="183" w:lineRule="auto"/>
              <w:ind w:left="342"/>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2966" w:type="dxa"/>
            <w:vAlign w:val="top"/>
          </w:tcPr>
          <w:p w14:paraId="3D794255">
            <w:pPr>
              <w:spacing w:before="222" w:line="219" w:lineRule="auto"/>
              <w:ind w:left="676"/>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发变组保护设备本体</w:t>
            </w:r>
          </w:p>
        </w:tc>
        <w:tc>
          <w:tcPr>
            <w:tcW w:w="2053" w:type="dxa"/>
            <w:vAlign w:val="top"/>
          </w:tcPr>
          <w:p w14:paraId="31D44F34">
            <w:pPr>
              <w:spacing w:before="222"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1F7281DE">
            <w:pPr>
              <w:spacing w:before="154" w:line="219" w:lineRule="auto"/>
              <w:ind w:left="846"/>
              <w:jc w:val="both"/>
              <w:rPr>
                <w:rFonts w:ascii="宋体" w:hAnsi="宋体" w:eastAsia="宋体" w:cs="宋体"/>
                <w:color w:val="auto"/>
                <w:spacing w:val="-2"/>
                <w:sz w:val="18"/>
                <w:szCs w:val="18"/>
                <w:highlight w:val="none"/>
              </w:rPr>
            </w:pPr>
          </w:p>
        </w:tc>
      </w:tr>
      <w:tr w14:paraId="7C5E3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754" w:type="dxa"/>
            <w:vAlign w:val="top"/>
          </w:tcPr>
          <w:p w14:paraId="0A89C2A0">
            <w:pPr>
              <w:spacing w:before="173" w:line="183" w:lineRule="auto"/>
              <w:ind w:left="343"/>
              <w:rPr>
                <w:rFonts w:ascii="宋体" w:hAnsi="宋体" w:eastAsia="宋体" w:cs="宋体"/>
                <w:color w:val="auto"/>
                <w:sz w:val="18"/>
                <w:szCs w:val="18"/>
                <w:highlight w:val="none"/>
              </w:rPr>
            </w:pPr>
            <w:r>
              <w:rPr>
                <w:rFonts w:ascii="宋体" w:hAnsi="宋体" w:eastAsia="宋体" w:cs="宋体"/>
                <w:color w:val="auto"/>
                <w:sz w:val="18"/>
                <w:szCs w:val="18"/>
                <w:highlight w:val="none"/>
              </w:rPr>
              <w:t>3</w:t>
            </w:r>
          </w:p>
        </w:tc>
        <w:tc>
          <w:tcPr>
            <w:tcW w:w="2966" w:type="dxa"/>
            <w:vAlign w:val="top"/>
          </w:tcPr>
          <w:p w14:paraId="39620F95">
            <w:pPr>
              <w:spacing w:before="145" w:line="219" w:lineRule="auto"/>
              <w:ind w:left="1124"/>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备品备件</w:t>
            </w:r>
          </w:p>
        </w:tc>
        <w:tc>
          <w:tcPr>
            <w:tcW w:w="2053" w:type="dxa"/>
            <w:vAlign w:val="top"/>
          </w:tcPr>
          <w:p w14:paraId="43154323">
            <w:pPr>
              <w:spacing w:before="145"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790C14E0">
            <w:pPr>
              <w:spacing w:before="154" w:line="219" w:lineRule="auto"/>
              <w:ind w:left="846"/>
              <w:jc w:val="both"/>
              <w:rPr>
                <w:rFonts w:ascii="宋体" w:hAnsi="宋体" w:eastAsia="宋体" w:cs="宋体"/>
                <w:color w:val="auto"/>
                <w:spacing w:val="-2"/>
                <w:sz w:val="18"/>
                <w:szCs w:val="18"/>
                <w:highlight w:val="none"/>
              </w:rPr>
            </w:pPr>
          </w:p>
        </w:tc>
      </w:tr>
      <w:tr w14:paraId="2278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754" w:type="dxa"/>
            <w:vAlign w:val="top"/>
          </w:tcPr>
          <w:p w14:paraId="7349FDF0">
            <w:pPr>
              <w:spacing w:before="178" w:line="183" w:lineRule="auto"/>
              <w:ind w:left="339"/>
              <w:rPr>
                <w:rFonts w:ascii="宋体" w:hAnsi="宋体" w:eastAsia="宋体" w:cs="宋体"/>
                <w:color w:val="auto"/>
                <w:sz w:val="18"/>
                <w:szCs w:val="18"/>
                <w:highlight w:val="none"/>
              </w:rPr>
            </w:pPr>
            <w:r>
              <w:rPr>
                <w:rFonts w:ascii="宋体" w:hAnsi="宋体" w:eastAsia="宋体" w:cs="宋体"/>
                <w:color w:val="auto"/>
                <w:sz w:val="18"/>
                <w:szCs w:val="18"/>
                <w:highlight w:val="none"/>
              </w:rPr>
              <w:t>4</w:t>
            </w:r>
          </w:p>
        </w:tc>
        <w:tc>
          <w:tcPr>
            <w:tcW w:w="2966" w:type="dxa"/>
            <w:vAlign w:val="top"/>
          </w:tcPr>
          <w:p w14:paraId="433230E8">
            <w:pPr>
              <w:spacing w:before="150" w:line="220" w:lineRule="auto"/>
              <w:ind w:left="112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专用工具</w:t>
            </w:r>
          </w:p>
        </w:tc>
        <w:tc>
          <w:tcPr>
            <w:tcW w:w="2053" w:type="dxa"/>
            <w:vAlign w:val="top"/>
          </w:tcPr>
          <w:p w14:paraId="40556EFB">
            <w:pPr>
              <w:spacing w:before="150"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56225F99">
            <w:pPr>
              <w:spacing w:before="154" w:line="219" w:lineRule="auto"/>
              <w:ind w:left="846"/>
              <w:jc w:val="both"/>
              <w:rPr>
                <w:rFonts w:ascii="宋体" w:hAnsi="宋体" w:eastAsia="宋体" w:cs="宋体"/>
                <w:color w:val="auto"/>
                <w:spacing w:val="-2"/>
                <w:sz w:val="18"/>
                <w:szCs w:val="18"/>
                <w:highlight w:val="none"/>
              </w:rPr>
            </w:pPr>
          </w:p>
        </w:tc>
      </w:tr>
      <w:tr w14:paraId="4BD9A4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754" w:type="dxa"/>
            <w:vAlign w:val="top"/>
          </w:tcPr>
          <w:p w14:paraId="1D6BF3C3">
            <w:pPr>
              <w:spacing w:before="181" w:line="182" w:lineRule="auto"/>
              <w:ind w:left="343"/>
              <w:rPr>
                <w:rFonts w:ascii="宋体" w:hAnsi="宋体" w:eastAsia="宋体" w:cs="宋体"/>
                <w:color w:val="auto"/>
                <w:sz w:val="18"/>
                <w:szCs w:val="18"/>
                <w:highlight w:val="none"/>
              </w:rPr>
            </w:pPr>
            <w:r>
              <w:rPr>
                <w:rFonts w:ascii="宋体" w:hAnsi="宋体" w:eastAsia="宋体" w:cs="宋体"/>
                <w:color w:val="auto"/>
                <w:sz w:val="18"/>
                <w:szCs w:val="18"/>
                <w:highlight w:val="none"/>
              </w:rPr>
              <w:t>5</w:t>
            </w:r>
          </w:p>
        </w:tc>
        <w:tc>
          <w:tcPr>
            <w:tcW w:w="2966" w:type="dxa"/>
            <w:vAlign w:val="top"/>
          </w:tcPr>
          <w:p w14:paraId="722225B9">
            <w:pPr>
              <w:spacing w:before="151" w:line="218" w:lineRule="auto"/>
              <w:ind w:left="674"/>
              <w:rPr>
                <w:rFonts w:ascii="宋体" w:hAnsi="宋体" w:eastAsia="宋体" w:cs="宋体"/>
                <w:color w:val="auto"/>
                <w:sz w:val="18"/>
                <w:szCs w:val="18"/>
                <w:highlight w:val="none"/>
              </w:rPr>
            </w:pPr>
            <w:r>
              <w:rPr>
                <w:rFonts w:ascii="宋体" w:hAnsi="宋体" w:eastAsia="宋体" w:cs="宋体"/>
                <w:color w:val="auto"/>
                <w:spacing w:val="-1"/>
                <w:sz w:val="18"/>
                <w:szCs w:val="18"/>
                <w:highlight w:val="none"/>
              </w:rPr>
              <w:t>可研报告、初设报告</w:t>
            </w:r>
          </w:p>
        </w:tc>
        <w:tc>
          <w:tcPr>
            <w:tcW w:w="2053" w:type="dxa"/>
            <w:vAlign w:val="top"/>
          </w:tcPr>
          <w:p w14:paraId="1B2B9DDC">
            <w:pPr>
              <w:spacing w:before="152"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03D25017">
            <w:pPr>
              <w:spacing w:before="154" w:line="219" w:lineRule="auto"/>
              <w:ind w:left="846"/>
              <w:jc w:val="both"/>
              <w:rPr>
                <w:rFonts w:ascii="宋体" w:hAnsi="宋体" w:eastAsia="宋体" w:cs="宋体"/>
                <w:color w:val="auto"/>
                <w:spacing w:val="-2"/>
                <w:sz w:val="18"/>
                <w:szCs w:val="18"/>
                <w:highlight w:val="none"/>
              </w:rPr>
            </w:pPr>
          </w:p>
        </w:tc>
      </w:tr>
      <w:tr w14:paraId="6F908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754" w:type="dxa"/>
            <w:vAlign w:val="top"/>
          </w:tcPr>
          <w:p w14:paraId="01075058">
            <w:pPr>
              <w:spacing w:before="179" w:line="183" w:lineRule="auto"/>
              <w:ind w:left="341"/>
              <w:rPr>
                <w:rFonts w:ascii="宋体" w:hAnsi="宋体" w:eastAsia="宋体" w:cs="宋体"/>
                <w:color w:val="auto"/>
                <w:sz w:val="18"/>
                <w:szCs w:val="18"/>
                <w:highlight w:val="none"/>
              </w:rPr>
            </w:pPr>
            <w:r>
              <w:rPr>
                <w:rFonts w:ascii="宋体" w:hAnsi="宋体" w:eastAsia="宋体" w:cs="宋体"/>
                <w:color w:val="auto"/>
                <w:sz w:val="18"/>
                <w:szCs w:val="18"/>
                <w:highlight w:val="none"/>
              </w:rPr>
              <w:t>6</w:t>
            </w:r>
          </w:p>
        </w:tc>
        <w:tc>
          <w:tcPr>
            <w:tcW w:w="2966" w:type="dxa"/>
            <w:vAlign w:val="top"/>
          </w:tcPr>
          <w:p w14:paraId="7988CA31">
            <w:pPr>
              <w:spacing w:before="150" w:line="221" w:lineRule="auto"/>
              <w:ind w:left="1212"/>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施工图</w:t>
            </w:r>
          </w:p>
        </w:tc>
        <w:tc>
          <w:tcPr>
            <w:tcW w:w="2053" w:type="dxa"/>
            <w:vAlign w:val="top"/>
          </w:tcPr>
          <w:p w14:paraId="5C5BBB29">
            <w:pPr>
              <w:spacing w:before="151"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5F6B37B2">
            <w:pPr>
              <w:spacing w:before="154" w:line="219" w:lineRule="auto"/>
              <w:ind w:left="846"/>
              <w:jc w:val="both"/>
              <w:rPr>
                <w:rFonts w:ascii="宋体" w:hAnsi="宋体" w:eastAsia="宋体" w:cs="宋体"/>
                <w:color w:val="auto"/>
                <w:spacing w:val="-2"/>
                <w:sz w:val="18"/>
                <w:szCs w:val="18"/>
                <w:highlight w:val="none"/>
              </w:rPr>
            </w:pPr>
          </w:p>
        </w:tc>
      </w:tr>
      <w:tr w14:paraId="6369C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754" w:type="dxa"/>
            <w:vAlign w:val="top"/>
          </w:tcPr>
          <w:p w14:paraId="31580B3C">
            <w:pPr>
              <w:spacing w:before="182" w:line="182" w:lineRule="auto"/>
              <w:ind w:left="344"/>
              <w:rPr>
                <w:rFonts w:ascii="宋体" w:hAnsi="宋体" w:eastAsia="宋体" w:cs="宋体"/>
                <w:color w:val="auto"/>
                <w:sz w:val="18"/>
                <w:szCs w:val="18"/>
                <w:highlight w:val="none"/>
              </w:rPr>
            </w:pPr>
            <w:r>
              <w:rPr>
                <w:rFonts w:ascii="宋体" w:hAnsi="宋体" w:eastAsia="宋体" w:cs="宋体"/>
                <w:color w:val="auto"/>
                <w:sz w:val="18"/>
                <w:szCs w:val="18"/>
                <w:highlight w:val="none"/>
              </w:rPr>
              <w:t>7</w:t>
            </w:r>
          </w:p>
        </w:tc>
        <w:tc>
          <w:tcPr>
            <w:tcW w:w="2966" w:type="dxa"/>
            <w:vAlign w:val="top"/>
          </w:tcPr>
          <w:p w14:paraId="0709C0AD">
            <w:pPr>
              <w:spacing w:before="152" w:line="220" w:lineRule="auto"/>
              <w:ind w:left="1125"/>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启动方案</w:t>
            </w:r>
          </w:p>
        </w:tc>
        <w:tc>
          <w:tcPr>
            <w:tcW w:w="2053" w:type="dxa"/>
            <w:vAlign w:val="top"/>
          </w:tcPr>
          <w:p w14:paraId="5CE8D7F5">
            <w:pPr>
              <w:spacing w:before="152"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Merge w:val="continue"/>
            <w:vAlign w:val="center"/>
          </w:tcPr>
          <w:p w14:paraId="47943319">
            <w:pPr>
              <w:spacing w:before="154" w:line="219" w:lineRule="auto"/>
              <w:ind w:left="846"/>
              <w:jc w:val="both"/>
              <w:rPr>
                <w:rFonts w:ascii="宋体" w:hAnsi="宋体" w:eastAsia="宋体" w:cs="宋体"/>
                <w:color w:val="auto"/>
                <w:spacing w:val="-2"/>
                <w:sz w:val="18"/>
                <w:szCs w:val="18"/>
                <w:highlight w:val="none"/>
              </w:rPr>
            </w:pPr>
          </w:p>
        </w:tc>
      </w:tr>
      <w:tr w14:paraId="6402E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54" w:type="dxa"/>
            <w:vAlign w:val="top"/>
          </w:tcPr>
          <w:p w14:paraId="3DD53F00">
            <w:pPr>
              <w:spacing w:before="182" w:line="183" w:lineRule="auto"/>
              <w:ind w:left="340"/>
              <w:rPr>
                <w:rFonts w:ascii="宋体" w:hAnsi="宋体" w:eastAsia="宋体" w:cs="宋体"/>
                <w:color w:val="auto"/>
                <w:sz w:val="18"/>
                <w:szCs w:val="18"/>
                <w:highlight w:val="none"/>
              </w:rPr>
            </w:pPr>
            <w:r>
              <w:rPr>
                <w:rFonts w:ascii="宋体" w:hAnsi="宋体" w:eastAsia="宋体" w:cs="宋体"/>
                <w:color w:val="auto"/>
                <w:sz w:val="18"/>
                <w:szCs w:val="18"/>
                <w:highlight w:val="none"/>
              </w:rPr>
              <w:t>8</w:t>
            </w:r>
          </w:p>
        </w:tc>
        <w:tc>
          <w:tcPr>
            <w:tcW w:w="2966" w:type="dxa"/>
            <w:vAlign w:val="top"/>
          </w:tcPr>
          <w:p w14:paraId="5EDD22DE">
            <w:pPr>
              <w:spacing w:before="154" w:line="219" w:lineRule="auto"/>
              <w:ind w:left="1214"/>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竣工图</w:t>
            </w:r>
          </w:p>
        </w:tc>
        <w:tc>
          <w:tcPr>
            <w:tcW w:w="2053" w:type="dxa"/>
            <w:vAlign w:val="top"/>
          </w:tcPr>
          <w:p w14:paraId="2C1C0101">
            <w:pPr>
              <w:spacing w:before="154" w:line="220" w:lineRule="auto"/>
              <w:ind w:left="51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电厂工地现场</w:t>
            </w:r>
          </w:p>
        </w:tc>
        <w:tc>
          <w:tcPr>
            <w:tcW w:w="2782" w:type="dxa"/>
            <w:vAlign w:val="center"/>
          </w:tcPr>
          <w:p w14:paraId="370719D9">
            <w:pPr>
              <w:spacing w:before="154" w:line="219" w:lineRule="auto"/>
              <w:ind w:left="846"/>
              <w:jc w:val="both"/>
              <w:rPr>
                <w:rFonts w:ascii="宋体" w:hAnsi="宋体" w:eastAsia="宋体" w:cs="宋体"/>
                <w:color w:val="auto"/>
                <w:spacing w:val="-2"/>
                <w:sz w:val="18"/>
                <w:szCs w:val="18"/>
                <w:highlight w:val="none"/>
              </w:rPr>
            </w:pPr>
            <w:r>
              <w:rPr>
                <w:rFonts w:ascii="宋体" w:hAnsi="宋体" w:eastAsia="宋体" w:cs="宋体"/>
                <w:color w:val="auto"/>
                <w:spacing w:val="-2"/>
                <w:sz w:val="18"/>
                <w:szCs w:val="18"/>
                <w:highlight w:val="none"/>
              </w:rPr>
              <w:t>竣工后半个月</w:t>
            </w:r>
          </w:p>
        </w:tc>
      </w:tr>
    </w:tbl>
    <w:p w14:paraId="34DAA5A5">
      <w:pPr>
        <w:pStyle w:val="3"/>
        <w:spacing w:line="265" w:lineRule="auto"/>
        <w:rPr>
          <w:color w:val="auto"/>
          <w:highlight w:val="none"/>
        </w:rPr>
      </w:pPr>
    </w:p>
    <w:p w14:paraId="790FD97A">
      <w:pPr>
        <w:pStyle w:val="3"/>
        <w:spacing w:line="265" w:lineRule="auto"/>
        <w:rPr>
          <w:color w:val="auto"/>
          <w:highlight w:val="none"/>
        </w:rPr>
      </w:pPr>
    </w:p>
    <w:p w14:paraId="310269C2">
      <w:pPr>
        <w:spacing w:before="65" w:line="227" w:lineRule="auto"/>
        <w:ind w:left="15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  本交货时间为暂定计划，投标人承诺满足工程进度的要求。</w:t>
      </w:r>
    </w:p>
    <w:p w14:paraId="0740C986">
      <w:pPr>
        <w:spacing w:before="222" w:line="226" w:lineRule="auto"/>
        <w:ind w:left="14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  投标人将上述设备发运至指定交货地点的运杂费</w:t>
      </w:r>
      <w:r>
        <w:rPr>
          <w:rFonts w:ascii="宋体" w:hAnsi="宋体" w:eastAsia="宋体" w:cs="宋体"/>
          <w:color w:val="auto"/>
          <w:spacing w:val="8"/>
          <w:sz w:val="20"/>
          <w:szCs w:val="20"/>
          <w:highlight w:val="none"/>
        </w:rPr>
        <w:t>包含在投标总价中。</w:t>
      </w:r>
    </w:p>
    <w:p w14:paraId="10203179">
      <w:pPr>
        <w:spacing w:before="223" w:line="227" w:lineRule="auto"/>
        <w:ind w:left="14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  如交货进度有变动，招标人提前</w:t>
      </w:r>
      <w:r>
        <w:rPr>
          <w:rFonts w:ascii="宋体" w:hAnsi="宋体" w:eastAsia="宋体" w:cs="宋体"/>
          <w:color w:val="auto"/>
          <w:spacing w:val="-22"/>
          <w:sz w:val="20"/>
          <w:szCs w:val="20"/>
          <w:highlight w:val="none"/>
        </w:rPr>
        <w:t xml:space="preserve"> </w:t>
      </w:r>
      <w:r>
        <w:rPr>
          <w:rFonts w:ascii="宋体" w:hAnsi="宋体" w:eastAsia="宋体" w:cs="宋体"/>
          <w:color w:val="auto"/>
          <w:spacing w:val="8"/>
          <w:sz w:val="20"/>
          <w:szCs w:val="20"/>
          <w:highlight w:val="none"/>
        </w:rPr>
        <w:t>1</w:t>
      </w:r>
      <w:r>
        <w:rPr>
          <w:rFonts w:ascii="宋体" w:hAnsi="宋体" w:eastAsia="宋体" w:cs="宋体"/>
          <w:color w:val="auto"/>
          <w:spacing w:val="-40"/>
          <w:sz w:val="20"/>
          <w:szCs w:val="20"/>
          <w:highlight w:val="none"/>
        </w:rPr>
        <w:t xml:space="preserve"> </w:t>
      </w:r>
      <w:r>
        <w:rPr>
          <w:rFonts w:ascii="宋体" w:hAnsi="宋体" w:eastAsia="宋体" w:cs="宋体"/>
          <w:color w:val="auto"/>
          <w:spacing w:val="8"/>
          <w:sz w:val="20"/>
          <w:szCs w:val="20"/>
          <w:highlight w:val="none"/>
        </w:rPr>
        <w:t>个月</w:t>
      </w:r>
      <w:r>
        <w:rPr>
          <w:rFonts w:ascii="宋体" w:hAnsi="宋体" w:eastAsia="宋体" w:cs="宋体"/>
          <w:color w:val="auto"/>
          <w:spacing w:val="7"/>
          <w:sz w:val="20"/>
          <w:szCs w:val="20"/>
          <w:highlight w:val="none"/>
        </w:rPr>
        <w:t>通知，投标人不产生额外费用。</w:t>
      </w:r>
    </w:p>
    <w:p w14:paraId="7C85C0A0">
      <w:pPr>
        <w:spacing w:line="227" w:lineRule="auto"/>
        <w:rPr>
          <w:rFonts w:ascii="宋体" w:hAnsi="宋体" w:eastAsia="宋体" w:cs="宋体"/>
          <w:color w:val="auto"/>
          <w:sz w:val="20"/>
          <w:szCs w:val="20"/>
          <w:highlight w:val="none"/>
        </w:rPr>
        <w:sectPr>
          <w:pgSz w:w="11906" w:h="16839"/>
          <w:pgMar w:top="1431" w:right="1670" w:bottom="0" w:left="1670" w:header="0" w:footer="0" w:gutter="0"/>
          <w:pgBorders>
            <w:top w:val="none" w:sz="0" w:space="0"/>
            <w:left w:val="none" w:sz="0" w:space="0"/>
            <w:bottom w:val="none" w:sz="0" w:space="0"/>
            <w:right w:val="none" w:sz="0" w:space="0"/>
          </w:pgBorders>
          <w:cols w:space="720" w:num="1"/>
        </w:sectPr>
      </w:pPr>
    </w:p>
    <w:p w14:paraId="523B5C55">
      <w:pPr>
        <w:spacing w:before="318" w:line="224" w:lineRule="auto"/>
        <w:ind w:left="637"/>
        <w:outlineLvl w:val="0"/>
        <w:rPr>
          <w:rFonts w:ascii="宋体" w:hAnsi="宋体" w:eastAsia="宋体" w:cs="宋体"/>
          <w:color w:val="auto"/>
          <w:sz w:val="31"/>
          <w:szCs w:val="31"/>
          <w:highlight w:val="none"/>
        </w:rPr>
      </w:pPr>
      <w:bookmarkStart w:id="21" w:name="bookmark9"/>
      <w:bookmarkEnd w:id="21"/>
      <w:bookmarkStart w:id="22" w:name="bookmark10"/>
      <w:bookmarkEnd w:id="22"/>
      <w:r>
        <w:rPr>
          <w:rFonts w:ascii="宋体" w:hAnsi="宋体" w:eastAsia="宋体" w:cs="宋体"/>
          <w:b/>
          <w:bCs/>
          <w:color w:val="auto"/>
          <w:spacing w:val="4"/>
          <w:sz w:val="31"/>
          <w:szCs w:val="31"/>
          <w:highlight w:val="none"/>
        </w:rPr>
        <w:t>附件</w:t>
      </w:r>
      <w:r>
        <w:rPr>
          <w:rFonts w:ascii="宋体" w:hAnsi="宋体" w:eastAsia="宋体" w:cs="宋体"/>
          <w:color w:val="auto"/>
          <w:spacing w:val="-50"/>
          <w:sz w:val="31"/>
          <w:szCs w:val="31"/>
          <w:highlight w:val="none"/>
        </w:rPr>
        <w:t xml:space="preserve"> </w:t>
      </w:r>
      <w:r>
        <w:rPr>
          <w:rFonts w:ascii="宋体" w:hAnsi="宋体" w:eastAsia="宋体" w:cs="宋体"/>
          <w:b/>
          <w:bCs/>
          <w:color w:val="auto"/>
          <w:spacing w:val="4"/>
          <w:sz w:val="31"/>
          <w:szCs w:val="31"/>
          <w:highlight w:val="none"/>
        </w:rPr>
        <w:t>5</w:t>
      </w:r>
      <w:r>
        <w:rPr>
          <w:rFonts w:ascii="宋体" w:hAnsi="宋体" w:eastAsia="宋体" w:cs="宋体"/>
          <w:color w:val="auto"/>
          <w:spacing w:val="4"/>
          <w:sz w:val="31"/>
          <w:szCs w:val="31"/>
          <w:highlight w:val="none"/>
        </w:rPr>
        <w:t xml:space="preserve">  </w:t>
      </w:r>
      <w:r>
        <w:rPr>
          <w:rFonts w:ascii="宋体" w:hAnsi="宋体" w:eastAsia="宋体" w:cs="宋体"/>
          <w:b/>
          <w:bCs/>
          <w:color w:val="auto"/>
          <w:spacing w:val="4"/>
          <w:sz w:val="31"/>
          <w:szCs w:val="31"/>
          <w:highlight w:val="none"/>
        </w:rPr>
        <w:t>设备监造、检验和性能验收试验</w:t>
      </w:r>
    </w:p>
    <w:p w14:paraId="0A796F9F">
      <w:pPr>
        <w:pStyle w:val="3"/>
        <w:spacing w:line="284" w:lineRule="auto"/>
        <w:rPr>
          <w:color w:val="auto"/>
          <w:highlight w:val="none"/>
        </w:rPr>
      </w:pPr>
    </w:p>
    <w:p w14:paraId="7555FCEC">
      <w:pPr>
        <w:spacing w:before="78" w:line="219" w:lineRule="auto"/>
        <w:ind w:left="627"/>
        <w:outlineLvl w:val="1"/>
        <w:rPr>
          <w:rFonts w:ascii="宋体" w:hAnsi="宋体" w:eastAsia="宋体" w:cs="宋体"/>
          <w:color w:val="auto"/>
          <w:sz w:val="24"/>
          <w:szCs w:val="24"/>
          <w:highlight w:val="none"/>
        </w:rPr>
      </w:pPr>
      <w:r>
        <w:rPr>
          <w:rFonts w:ascii="宋体" w:hAnsi="宋体" w:eastAsia="宋体" w:cs="宋体"/>
          <w:b/>
          <w:bCs/>
          <w:color w:val="auto"/>
          <w:spacing w:val="-15"/>
          <w:sz w:val="24"/>
          <w:szCs w:val="24"/>
          <w:highlight w:val="none"/>
        </w:rPr>
        <w:t>1</w:t>
      </w:r>
      <w:r>
        <w:rPr>
          <w:rFonts w:ascii="宋体" w:hAnsi="宋体" w:eastAsia="宋体" w:cs="宋体"/>
          <w:color w:val="auto"/>
          <w:spacing w:val="34"/>
          <w:sz w:val="24"/>
          <w:szCs w:val="24"/>
          <w:highlight w:val="none"/>
        </w:rPr>
        <w:t xml:space="preserve">  </w:t>
      </w:r>
      <w:r>
        <w:rPr>
          <w:rFonts w:ascii="宋体" w:hAnsi="宋体" w:eastAsia="宋体" w:cs="宋体"/>
          <w:b/>
          <w:bCs/>
          <w:color w:val="auto"/>
          <w:spacing w:val="-15"/>
          <w:sz w:val="24"/>
          <w:szCs w:val="24"/>
          <w:highlight w:val="none"/>
        </w:rPr>
        <w:t>概述</w:t>
      </w:r>
    </w:p>
    <w:p w14:paraId="4EF532D3">
      <w:pPr>
        <w:spacing w:before="198" w:line="329" w:lineRule="auto"/>
        <w:ind w:left="609" w:right="77" w:firstLine="1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1.1  本附件用于合同执行期间对投标方所提供的设备（包括对分包外购设备）进行检验、 监造和性能验收试验，确保投标方所提供的设备符合附件</w:t>
      </w:r>
      <w:r>
        <w:rPr>
          <w:rFonts w:ascii="宋体" w:hAnsi="宋体" w:eastAsia="宋体" w:cs="宋体"/>
          <w:color w:val="auto"/>
          <w:spacing w:val="-20"/>
          <w:sz w:val="20"/>
          <w:szCs w:val="20"/>
          <w:highlight w:val="none"/>
        </w:rPr>
        <w:t xml:space="preserve"> </w:t>
      </w:r>
      <w:r>
        <w:rPr>
          <w:rFonts w:ascii="宋体" w:hAnsi="宋体" w:eastAsia="宋体" w:cs="宋体"/>
          <w:color w:val="auto"/>
          <w:spacing w:val="8"/>
          <w:sz w:val="20"/>
          <w:szCs w:val="20"/>
          <w:highlight w:val="none"/>
        </w:rPr>
        <w:t>1</w:t>
      </w:r>
      <w:r>
        <w:rPr>
          <w:rFonts w:ascii="宋体" w:hAnsi="宋体" w:eastAsia="宋体" w:cs="宋体"/>
          <w:color w:val="auto"/>
          <w:spacing w:val="-38"/>
          <w:sz w:val="20"/>
          <w:szCs w:val="20"/>
          <w:highlight w:val="none"/>
        </w:rPr>
        <w:t xml:space="preserve"> </w:t>
      </w:r>
      <w:r>
        <w:rPr>
          <w:rFonts w:ascii="宋体" w:hAnsi="宋体" w:eastAsia="宋体" w:cs="宋体"/>
          <w:color w:val="auto"/>
          <w:spacing w:val="8"/>
          <w:sz w:val="20"/>
          <w:szCs w:val="20"/>
          <w:highlight w:val="none"/>
        </w:rPr>
        <w:t>规定的要求。</w:t>
      </w:r>
    </w:p>
    <w:p w14:paraId="397B62A0">
      <w:pPr>
        <w:spacing w:before="223" w:line="329" w:lineRule="auto"/>
        <w:ind w:left="610" w:right="77" w:firstLine="1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  投标方应在本合同生效后</w:t>
      </w:r>
      <w:r>
        <w:rPr>
          <w:rFonts w:ascii="宋体" w:hAnsi="宋体" w:eastAsia="宋体" w:cs="宋体"/>
          <w:color w:val="auto"/>
          <w:spacing w:val="-10"/>
          <w:sz w:val="20"/>
          <w:szCs w:val="20"/>
          <w:highlight w:val="none"/>
        </w:rPr>
        <w:t xml:space="preserve"> </w:t>
      </w:r>
      <w:r>
        <w:rPr>
          <w:rFonts w:ascii="宋体" w:hAnsi="宋体" w:eastAsia="宋体" w:cs="宋体"/>
          <w:color w:val="auto"/>
          <w:spacing w:val="7"/>
          <w:sz w:val="20"/>
          <w:szCs w:val="20"/>
          <w:highlight w:val="none"/>
        </w:rPr>
        <w:t>1</w:t>
      </w:r>
      <w:r>
        <w:rPr>
          <w:rFonts w:ascii="宋体" w:hAnsi="宋体" w:eastAsia="宋体" w:cs="宋体"/>
          <w:color w:val="auto"/>
          <w:spacing w:val="-40"/>
          <w:sz w:val="20"/>
          <w:szCs w:val="20"/>
          <w:highlight w:val="none"/>
        </w:rPr>
        <w:t xml:space="preserve"> </w:t>
      </w:r>
      <w:r>
        <w:rPr>
          <w:rFonts w:ascii="宋体" w:hAnsi="宋体" w:eastAsia="宋体" w:cs="宋体"/>
          <w:color w:val="auto"/>
          <w:spacing w:val="7"/>
          <w:sz w:val="20"/>
          <w:szCs w:val="20"/>
          <w:highlight w:val="none"/>
        </w:rPr>
        <w:t>个月内，向招标方提供与本合同设备有关的监造、检验、</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性能验收试验标准。有关标准应符合附件</w:t>
      </w:r>
      <w:r>
        <w:rPr>
          <w:rFonts w:ascii="宋体" w:hAnsi="宋体" w:eastAsia="宋体" w:cs="宋体"/>
          <w:color w:val="auto"/>
          <w:spacing w:val="-9"/>
          <w:sz w:val="20"/>
          <w:szCs w:val="20"/>
          <w:highlight w:val="none"/>
        </w:rPr>
        <w:t xml:space="preserve"> </w:t>
      </w:r>
      <w:r>
        <w:rPr>
          <w:rFonts w:ascii="宋体" w:hAnsi="宋体" w:eastAsia="宋体" w:cs="宋体"/>
          <w:color w:val="auto"/>
          <w:spacing w:val="6"/>
          <w:sz w:val="20"/>
          <w:szCs w:val="20"/>
          <w:highlight w:val="none"/>
        </w:rPr>
        <w:t>1</w:t>
      </w:r>
      <w:r>
        <w:rPr>
          <w:rFonts w:ascii="宋体" w:hAnsi="宋体" w:eastAsia="宋体" w:cs="宋体"/>
          <w:color w:val="auto"/>
          <w:spacing w:val="-23"/>
          <w:sz w:val="20"/>
          <w:szCs w:val="20"/>
          <w:highlight w:val="none"/>
        </w:rPr>
        <w:t xml:space="preserve"> </w:t>
      </w:r>
      <w:r>
        <w:rPr>
          <w:rFonts w:ascii="宋体" w:hAnsi="宋体" w:eastAsia="宋体" w:cs="宋体"/>
          <w:color w:val="auto"/>
          <w:spacing w:val="6"/>
          <w:sz w:val="20"/>
          <w:szCs w:val="20"/>
          <w:highlight w:val="none"/>
        </w:rPr>
        <w:t>的规定。</w:t>
      </w:r>
    </w:p>
    <w:p w14:paraId="798C85F2">
      <w:pPr>
        <w:spacing w:before="207" w:line="219" w:lineRule="auto"/>
        <w:ind w:left="612"/>
        <w:outlineLvl w:val="1"/>
        <w:rPr>
          <w:rFonts w:ascii="宋体" w:hAnsi="宋体" w:eastAsia="宋体" w:cs="宋体"/>
          <w:color w:val="auto"/>
          <w:sz w:val="24"/>
          <w:szCs w:val="24"/>
          <w:highlight w:val="none"/>
        </w:rPr>
      </w:pPr>
      <w:r>
        <w:rPr>
          <w:rFonts w:ascii="宋体" w:hAnsi="宋体" w:eastAsia="宋体" w:cs="宋体"/>
          <w:b/>
          <w:bCs/>
          <w:color w:val="auto"/>
          <w:spacing w:val="-5"/>
          <w:sz w:val="24"/>
          <w:szCs w:val="24"/>
          <w:highlight w:val="none"/>
        </w:rPr>
        <w:t>2</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5"/>
          <w:sz w:val="24"/>
          <w:szCs w:val="24"/>
          <w:highlight w:val="none"/>
        </w:rPr>
        <w:t>工厂检查和监造</w:t>
      </w:r>
    </w:p>
    <w:p w14:paraId="17F29CD9">
      <w:pPr>
        <w:spacing w:before="199" w:line="329" w:lineRule="auto"/>
        <w:ind w:left="606" w:right="52" w:firstLine="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2.1  招标方有权派遣其检验人员到投标方及其分包商的车间场所，对合同设备的加工制造</w:t>
      </w:r>
      <w:r>
        <w:rPr>
          <w:rFonts w:ascii="宋体" w:hAnsi="宋体" w:eastAsia="宋体" w:cs="宋体"/>
          <w:color w:val="auto"/>
          <w:spacing w:val="4"/>
          <w:sz w:val="20"/>
          <w:szCs w:val="20"/>
          <w:highlight w:val="none"/>
        </w:rPr>
        <w:t xml:space="preserve"> </w:t>
      </w:r>
      <w:r>
        <w:rPr>
          <w:rFonts w:ascii="宋体" w:hAnsi="宋体" w:eastAsia="宋体" w:cs="宋体"/>
          <w:color w:val="auto"/>
          <w:spacing w:val="9"/>
          <w:sz w:val="20"/>
          <w:szCs w:val="20"/>
          <w:highlight w:val="none"/>
        </w:rPr>
        <w:t>进行检验和监造。招标方将为此目的而派遣的代表的身份以书面形式通知投标方。</w:t>
      </w:r>
    </w:p>
    <w:p w14:paraId="3FBD10B0">
      <w:pPr>
        <w:spacing w:before="223" w:line="329" w:lineRule="auto"/>
        <w:ind w:left="607" w:right="52" w:firstLine="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2.2  如有合同设备经检验和试验不符合技术规范的要求,招标方可以拒收,投标</w:t>
      </w:r>
      <w:r>
        <w:rPr>
          <w:rFonts w:ascii="宋体" w:hAnsi="宋体" w:eastAsia="宋体" w:cs="宋体"/>
          <w:color w:val="auto"/>
          <w:spacing w:val="8"/>
          <w:sz w:val="20"/>
          <w:szCs w:val="20"/>
          <w:highlight w:val="none"/>
        </w:rPr>
        <w:t>方应更换被</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拒收的货物，或进行必要的改造使之符合技术规范的要求，招标方不承担上述的费用。</w:t>
      </w:r>
    </w:p>
    <w:p w14:paraId="2C1DDC24">
      <w:pPr>
        <w:spacing w:before="223" w:line="380" w:lineRule="auto"/>
        <w:ind w:left="609" w:right="52" w:firstLine="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2.3  招标方对货物运到招标方所在地以后进行检验、试验和拒收(如果必要时)</w:t>
      </w:r>
      <w:r>
        <w:rPr>
          <w:rFonts w:ascii="宋体" w:hAnsi="宋体" w:eastAsia="宋体" w:cs="宋体"/>
          <w:color w:val="auto"/>
          <w:spacing w:val="8"/>
          <w:sz w:val="20"/>
          <w:szCs w:val="20"/>
          <w:highlight w:val="none"/>
        </w:rPr>
        <w:t>的权利，不</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得因该货物在原产地发运以前已经由招标方或其代表进行过监</w:t>
      </w:r>
      <w:r>
        <w:rPr>
          <w:rFonts w:ascii="宋体" w:hAnsi="宋体" w:eastAsia="宋体" w:cs="宋体"/>
          <w:color w:val="auto"/>
          <w:spacing w:val="9"/>
          <w:sz w:val="20"/>
          <w:szCs w:val="20"/>
          <w:highlight w:val="none"/>
        </w:rPr>
        <w:t>造和检验并已通过作为理由</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而受到限制。招标方人员参加工厂试验,包括会签</w:t>
      </w:r>
      <w:r>
        <w:rPr>
          <w:rFonts w:ascii="宋体" w:hAnsi="宋体" w:eastAsia="宋体" w:cs="宋体"/>
          <w:color w:val="auto"/>
          <w:spacing w:val="9"/>
          <w:sz w:val="20"/>
          <w:szCs w:val="20"/>
          <w:highlight w:val="none"/>
        </w:rPr>
        <w:t>任何试验结果，既不免除投标方按合同规</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定应负的责任,也不能代替合同设备到达现场后招标方对其进行的检验。</w:t>
      </w:r>
    </w:p>
    <w:p w14:paraId="335EB435">
      <w:pPr>
        <w:spacing w:before="223" w:line="403" w:lineRule="auto"/>
        <w:ind w:left="607" w:firstLine="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2.4  投标方应在开始进行工厂试验前</w:t>
      </w:r>
      <w:r>
        <w:rPr>
          <w:rFonts w:ascii="宋体" w:hAnsi="宋体" w:eastAsia="宋体" w:cs="宋体"/>
          <w:color w:val="auto"/>
          <w:spacing w:val="-24"/>
          <w:sz w:val="20"/>
          <w:szCs w:val="20"/>
          <w:highlight w:val="none"/>
        </w:rPr>
        <w:t xml:space="preserve"> </w:t>
      </w:r>
      <w:r>
        <w:rPr>
          <w:rFonts w:ascii="宋体" w:hAnsi="宋体" w:eastAsia="宋体" w:cs="宋体"/>
          <w:color w:val="auto"/>
          <w:spacing w:val="7"/>
          <w:sz w:val="20"/>
          <w:szCs w:val="20"/>
          <w:highlight w:val="none"/>
        </w:rPr>
        <w:t>15</w:t>
      </w:r>
      <w:r>
        <w:rPr>
          <w:rFonts w:ascii="宋体" w:hAnsi="宋体" w:eastAsia="宋体" w:cs="宋体"/>
          <w:color w:val="auto"/>
          <w:spacing w:val="-33"/>
          <w:sz w:val="20"/>
          <w:szCs w:val="20"/>
          <w:highlight w:val="none"/>
        </w:rPr>
        <w:t xml:space="preserve"> </w:t>
      </w:r>
      <w:r>
        <w:rPr>
          <w:rFonts w:ascii="宋体" w:hAnsi="宋体" w:eastAsia="宋体" w:cs="宋体"/>
          <w:color w:val="auto"/>
          <w:spacing w:val="7"/>
          <w:sz w:val="20"/>
          <w:szCs w:val="20"/>
          <w:highlight w:val="none"/>
        </w:rPr>
        <w:t>天，通知招标方其日程安排。</w:t>
      </w:r>
      <w:r>
        <w:rPr>
          <w:rFonts w:ascii="宋体" w:hAnsi="宋体" w:eastAsia="宋体" w:cs="宋体"/>
          <w:color w:val="auto"/>
          <w:spacing w:val="6"/>
          <w:sz w:val="20"/>
          <w:szCs w:val="20"/>
          <w:highlight w:val="none"/>
        </w:rPr>
        <w:t>根据这个日程安排，</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招标方将确定对合同设备的那些试验项目和阶段要进行现场验证，并将在接到投标方关于安</w:t>
      </w:r>
      <w:r>
        <w:rPr>
          <w:rFonts w:ascii="宋体" w:hAnsi="宋体" w:eastAsia="宋体" w:cs="宋体"/>
          <w:color w:val="auto"/>
          <w:spacing w:val="15"/>
          <w:sz w:val="20"/>
          <w:szCs w:val="20"/>
          <w:highlight w:val="none"/>
        </w:rPr>
        <w:t xml:space="preserve"> </w:t>
      </w:r>
      <w:r>
        <w:rPr>
          <w:rFonts w:ascii="宋体" w:hAnsi="宋体" w:eastAsia="宋体" w:cs="宋体"/>
          <w:color w:val="auto"/>
          <w:spacing w:val="9"/>
          <w:sz w:val="20"/>
          <w:szCs w:val="20"/>
          <w:highlight w:val="none"/>
        </w:rPr>
        <w:t>装、试验和检验的日程安排通知后</w:t>
      </w:r>
      <w:r>
        <w:rPr>
          <w:rFonts w:ascii="宋体" w:hAnsi="宋体" w:eastAsia="宋体" w:cs="宋体"/>
          <w:color w:val="auto"/>
          <w:spacing w:val="-24"/>
          <w:sz w:val="20"/>
          <w:szCs w:val="20"/>
          <w:highlight w:val="none"/>
        </w:rPr>
        <w:t xml:space="preserve"> </w:t>
      </w:r>
      <w:r>
        <w:rPr>
          <w:rFonts w:ascii="宋体" w:hAnsi="宋体" w:eastAsia="宋体" w:cs="宋体"/>
          <w:color w:val="auto"/>
          <w:spacing w:val="9"/>
          <w:sz w:val="20"/>
          <w:szCs w:val="20"/>
          <w:highlight w:val="none"/>
        </w:rPr>
        <w:t>10</w:t>
      </w:r>
      <w:r>
        <w:rPr>
          <w:rFonts w:ascii="宋体" w:hAnsi="宋体" w:eastAsia="宋体" w:cs="宋体"/>
          <w:color w:val="auto"/>
          <w:spacing w:val="-33"/>
          <w:sz w:val="20"/>
          <w:szCs w:val="20"/>
          <w:highlight w:val="none"/>
        </w:rPr>
        <w:t xml:space="preserve"> </w:t>
      </w:r>
      <w:r>
        <w:rPr>
          <w:rFonts w:ascii="宋体" w:hAnsi="宋体" w:eastAsia="宋体" w:cs="宋体"/>
          <w:color w:val="auto"/>
          <w:spacing w:val="9"/>
          <w:sz w:val="20"/>
          <w:szCs w:val="20"/>
          <w:highlight w:val="none"/>
        </w:rPr>
        <w:t>天内通知投标</w:t>
      </w:r>
      <w:r>
        <w:rPr>
          <w:rFonts w:ascii="宋体" w:hAnsi="宋体" w:eastAsia="宋体" w:cs="宋体"/>
          <w:color w:val="auto"/>
          <w:spacing w:val="8"/>
          <w:sz w:val="20"/>
          <w:szCs w:val="20"/>
          <w:highlight w:val="none"/>
        </w:rPr>
        <w:t>方。然后招标方将派出技术人员前往投</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标方和(或)其分包商生产现场，以观察和了解该合同设备工厂试验的情况及其运输包装的情</w:t>
      </w:r>
      <w:r>
        <w:rPr>
          <w:rFonts w:ascii="宋体" w:hAnsi="宋体" w:eastAsia="宋体" w:cs="宋体"/>
          <w:color w:val="auto"/>
          <w:spacing w:val="8"/>
          <w:sz w:val="20"/>
          <w:szCs w:val="20"/>
          <w:highlight w:val="none"/>
        </w:rPr>
        <w:t xml:space="preserve"> </w:t>
      </w:r>
      <w:r>
        <w:rPr>
          <w:rFonts w:ascii="宋体" w:hAnsi="宋体" w:eastAsia="宋体" w:cs="宋体"/>
          <w:color w:val="auto"/>
          <w:spacing w:val="10"/>
          <w:sz w:val="20"/>
          <w:szCs w:val="20"/>
          <w:highlight w:val="none"/>
        </w:rPr>
        <w:t>况。若发现任一货物的质量不符合合同规定的标准，</w:t>
      </w:r>
      <w:r>
        <w:rPr>
          <w:rFonts w:ascii="宋体" w:hAnsi="宋体" w:eastAsia="宋体" w:cs="宋体"/>
          <w:color w:val="auto"/>
          <w:spacing w:val="9"/>
          <w:sz w:val="20"/>
          <w:szCs w:val="20"/>
          <w:highlight w:val="none"/>
        </w:rPr>
        <w:t>或包装不满足要求,招标方代表有权发</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表意见,投标方应认真考虑其意见，并采取必要措施</w:t>
      </w:r>
      <w:r>
        <w:rPr>
          <w:rFonts w:ascii="宋体" w:hAnsi="宋体" w:eastAsia="宋体" w:cs="宋体"/>
          <w:color w:val="auto"/>
          <w:spacing w:val="9"/>
          <w:sz w:val="20"/>
          <w:szCs w:val="20"/>
          <w:highlight w:val="none"/>
        </w:rPr>
        <w:t>以确保待运合同设备的质量，现场验证</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检验程序由双方代表共同协商决定。</w:t>
      </w:r>
    </w:p>
    <w:p w14:paraId="39356D96">
      <w:pPr>
        <w:spacing w:before="222" w:line="328" w:lineRule="auto"/>
        <w:ind w:left="609" w:right="156" w:firstLine="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2.5  若招标方不派代表参加上述试验,投标方应在接到招标方关于不派</w:t>
      </w:r>
      <w:r>
        <w:rPr>
          <w:rFonts w:ascii="宋体" w:hAnsi="宋体" w:eastAsia="宋体" w:cs="宋体"/>
          <w:color w:val="auto"/>
          <w:spacing w:val="8"/>
          <w:sz w:val="20"/>
          <w:szCs w:val="20"/>
          <w:highlight w:val="none"/>
        </w:rPr>
        <w:t>员到投标方和(或)</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其分包商工厂的通知后,或招标方未按时派遣人员参加的情况下，</w:t>
      </w:r>
      <w:r>
        <w:rPr>
          <w:rFonts w:ascii="宋体" w:hAnsi="宋体" w:eastAsia="宋体" w:cs="宋体"/>
          <w:color w:val="auto"/>
          <w:spacing w:val="-49"/>
          <w:sz w:val="20"/>
          <w:szCs w:val="20"/>
          <w:highlight w:val="none"/>
        </w:rPr>
        <w:t xml:space="preserve"> </w:t>
      </w:r>
      <w:r>
        <w:rPr>
          <w:rFonts w:ascii="宋体" w:hAnsi="宋体" w:eastAsia="宋体" w:cs="宋体"/>
          <w:color w:val="auto"/>
          <w:spacing w:val="8"/>
          <w:sz w:val="20"/>
          <w:szCs w:val="20"/>
          <w:highlight w:val="none"/>
        </w:rPr>
        <w:t>自</w:t>
      </w:r>
      <w:r>
        <w:rPr>
          <w:rFonts w:ascii="宋体" w:hAnsi="宋体" w:eastAsia="宋体" w:cs="宋体"/>
          <w:color w:val="auto"/>
          <w:spacing w:val="7"/>
          <w:sz w:val="20"/>
          <w:szCs w:val="20"/>
          <w:highlight w:val="none"/>
        </w:rPr>
        <w:t>行组织检验。</w:t>
      </w:r>
    </w:p>
    <w:p w14:paraId="074AB9FA">
      <w:pPr>
        <w:spacing w:before="224" w:line="364" w:lineRule="auto"/>
        <w:ind w:left="610" w:right="4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2.6  招标方将委托监造公司对本设备进行监造，监造公司将根据本技术协议附件五中的内</w:t>
      </w:r>
      <w:r>
        <w:rPr>
          <w:rFonts w:ascii="宋体" w:hAnsi="宋体" w:eastAsia="宋体" w:cs="宋体"/>
          <w:color w:val="auto"/>
          <w:spacing w:val="4"/>
          <w:sz w:val="20"/>
          <w:szCs w:val="20"/>
          <w:highlight w:val="none"/>
        </w:rPr>
        <w:t xml:space="preserve"> </w:t>
      </w:r>
      <w:r>
        <w:rPr>
          <w:rFonts w:ascii="宋体" w:hAnsi="宋体" w:eastAsia="宋体" w:cs="宋体"/>
          <w:color w:val="auto"/>
          <w:spacing w:val="7"/>
          <w:sz w:val="20"/>
          <w:szCs w:val="20"/>
          <w:highlight w:val="none"/>
        </w:rPr>
        <w:t>容与投标方签署一份监造协议，作为入厂对本设备监造的依据。监造者有权到生产合同设备</w:t>
      </w:r>
      <w:r>
        <w:rPr>
          <w:rFonts w:ascii="宋体" w:hAnsi="宋体" w:eastAsia="宋体" w:cs="宋体"/>
          <w:color w:val="auto"/>
          <w:spacing w:val="12"/>
          <w:sz w:val="20"/>
          <w:szCs w:val="20"/>
          <w:highlight w:val="none"/>
        </w:rPr>
        <w:t xml:space="preserve"> </w:t>
      </w:r>
      <w:r>
        <w:rPr>
          <w:rFonts w:ascii="宋体" w:hAnsi="宋体" w:eastAsia="宋体" w:cs="宋体"/>
          <w:color w:val="auto"/>
          <w:spacing w:val="9"/>
          <w:sz w:val="20"/>
          <w:szCs w:val="20"/>
          <w:highlight w:val="none"/>
        </w:rPr>
        <w:t>的车间和部门了解生产信息，并提出监造中发现的问题(如</w:t>
      </w:r>
      <w:r>
        <w:rPr>
          <w:rFonts w:ascii="宋体" w:hAnsi="宋体" w:eastAsia="宋体" w:cs="宋体"/>
          <w:color w:val="auto"/>
          <w:spacing w:val="8"/>
          <w:sz w:val="20"/>
          <w:szCs w:val="20"/>
          <w:highlight w:val="none"/>
        </w:rPr>
        <w:t>有)。</w:t>
      </w:r>
    </w:p>
    <w:p w14:paraId="557C0634">
      <w:pPr>
        <w:spacing w:line="159" w:lineRule="exact"/>
        <w:rPr>
          <w:color w:val="auto"/>
          <w:highlight w:val="none"/>
        </w:rPr>
      </w:pPr>
    </w:p>
    <w:p w14:paraId="33AFB514">
      <w:pPr>
        <w:spacing w:line="159" w:lineRule="exact"/>
        <w:rPr>
          <w:color w:val="auto"/>
          <w:highlight w:val="none"/>
        </w:rPr>
        <w:sectPr>
          <w:footerReference r:id="rId5" w:type="default"/>
          <w:pgSz w:w="11906" w:h="16839"/>
          <w:pgMar w:top="1431" w:right="1759" w:bottom="1697" w:left="1199" w:header="0" w:footer="1449" w:gutter="0"/>
          <w:pgBorders>
            <w:top w:val="none" w:sz="0" w:space="0"/>
            <w:left w:val="none" w:sz="0" w:space="0"/>
            <w:bottom w:val="none" w:sz="0" w:space="0"/>
            <w:right w:val="none" w:sz="0" w:space="0"/>
          </w:pgBorders>
          <w:cols w:equalWidth="0" w:num="1">
            <w:col w:w="8947"/>
          </w:cols>
        </w:sectPr>
      </w:pPr>
    </w:p>
    <w:p w14:paraId="46694DA5">
      <w:pPr>
        <w:spacing w:before="86" w:line="202" w:lineRule="exact"/>
        <w:ind w:left="614"/>
        <w:rPr>
          <w:rFonts w:ascii="宋体" w:hAnsi="宋体" w:eastAsia="宋体" w:cs="宋体"/>
          <w:color w:val="auto"/>
          <w:sz w:val="24"/>
          <w:szCs w:val="24"/>
          <w:highlight w:val="none"/>
        </w:rPr>
      </w:pPr>
      <w:r>
        <w:rPr>
          <w:rFonts w:ascii="宋体" w:hAnsi="宋体" w:eastAsia="宋体" w:cs="宋体"/>
          <w:b/>
          <w:bCs/>
          <w:color w:val="auto"/>
          <w:spacing w:val="-3"/>
          <w:position w:val="-2"/>
          <w:sz w:val="24"/>
          <w:szCs w:val="24"/>
          <w:highlight w:val="none"/>
        </w:rPr>
        <w:t>3</w:t>
      </w:r>
    </w:p>
    <w:p w14:paraId="0D8E969F">
      <w:pPr>
        <w:pStyle w:val="3"/>
        <w:spacing w:line="14" w:lineRule="auto"/>
        <w:rPr>
          <w:color w:val="auto"/>
          <w:sz w:val="2"/>
          <w:highlight w:val="none"/>
        </w:rPr>
      </w:pPr>
      <w:r>
        <w:rPr>
          <w:color w:val="auto"/>
          <w:sz w:val="2"/>
          <w:szCs w:val="2"/>
          <w:highlight w:val="none"/>
        </w:rPr>
        <w:br w:type="column"/>
      </w:r>
    </w:p>
    <w:p w14:paraId="0AB7CC88">
      <w:pPr>
        <w:spacing w:before="47" w:line="184" w:lineRule="auto"/>
        <w:outlineLvl w:val="1"/>
        <w:rPr>
          <w:rFonts w:ascii="宋体" w:hAnsi="宋体" w:eastAsia="宋体" w:cs="宋体"/>
          <w:color w:val="auto"/>
          <w:sz w:val="24"/>
          <w:szCs w:val="24"/>
          <w:highlight w:val="none"/>
        </w:rPr>
      </w:pPr>
      <w:r>
        <w:rPr>
          <w:rFonts w:ascii="宋体" w:hAnsi="宋体" w:eastAsia="宋体" w:cs="宋体"/>
          <w:b/>
          <w:bCs/>
          <w:color w:val="auto"/>
          <w:spacing w:val="-4"/>
          <w:sz w:val="24"/>
          <w:szCs w:val="24"/>
          <w:highlight w:val="none"/>
        </w:rPr>
        <w:t>性能验收试验</w:t>
      </w:r>
    </w:p>
    <w:p w14:paraId="22B9E3E8">
      <w:pPr>
        <w:spacing w:line="184" w:lineRule="auto"/>
        <w:rPr>
          <w:rFonts w:ascii="宋体" w:hAnsi="宋体" w:eastAsia="宋体" w:cs="宋体"/>
          <w:color w:val="auto"/>
          <w:sz w:val="24"/>
          <w:szCs w:val="24"/>
          <w:highlight w:val="none"/>
        </w:rPr>
        <w:sectPr>
          <w:type w:val="continuous"/>
          <w:pgSz w:w="11906" w:h="16839"/>
          <w:pgMar w:top="1431" w:right="1759" w:bottom="1697" w:left="1199" w:header="0" w:footer="1449" w:gutter="0"/>
          <w:pgBorders>
            <w:top w:val="none" w:sz="0" w:space="0"/>
            <w:left w:val="none" w:sz="0" w:space="0"/>
            <w:bottom w:val="none" w:sz="0" w:space="0"/>
            <w:right w:val="none" w:sz="0" w:space="0"/>
          </w:pgBorders>
          <w:cols w:equalWidth="0" w:num="2">
            <w:col w:w="933" w:space="100"/>
            <w:col w:w="7915"/>
          </w:cols>
        </w:sectPr>
      </w:pPr>
    </w:p>
    <w:p w14:paraId="1547C438">
      <w:pPr>
        <w:spacing w:before="137" w:line="227"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3.1.1 订购的新产品除应满足本规范书外，投标方还应提供产品的鉴定证书。</w:t>
      </w:r>
    </w:p>
    <w:p w14:paraId="6319D198">
      <w:pPr>
        <w:spacing w:before="223" w:line="329" w:lineRule="auto"/>
        <w:ind w:left="23" w:firstLine="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3.1.2 投标方应保证制造过程中的所有工艺、材料等（包括投标方</w:t>
      </w:r>
      <w:r>
        <w:rPr>
          <w:rFonts w:ascii="宋体" w:hAnsi="宋体" w:eastAsia="宋体" w:cs="宋体"/>
          <w:color w:val="auto"/>
          <w:spacing w:val="6"/>
          <w:sz w:val="20"/>
          <w:szCs w:val="20"/>
          <w:highlight w:val="none"/>
        </w:rPr>
        <w:t>的外购件在内）均应符合</w:t>
      </w:r>
      <w:r>
        <w:rPr>
          <w:rFonts w:ascii="宋体" w:hAnsi="宋体" w:eastAsia="宋体" w:cs="宋体"/>
          <w:color w:val="auto"/>
          <w:sz w:val="20"/>
          <w:szCs w:val="20"/>
          <w:highlight w:val="none"/>
        </w:rPr>
        <w:t xml:space="preserve"> </w:t>
      </w:r>
      <w:r>
        <w:rPr>
          <w:rFonts w:ascii="宋体" w:hAnsi="宋体" w:eastAsia="宋体" w:cs="宋体"/>
          <w:color w:val="auto"/>
          <w:spacing w:val="4"/>
          <w:sz w:val="20"/>
          <w:szCs w:val="20"/>
          <w:highlight w:val="none"/>
        </w:rPr>
        <w:t>规范书的规定。若招标方根据运行经验指定投标方提供某种外购零部件，投标方应积极配合。</w:t>
      </w:r>
    </w:p>
    <w:p w14:paraId="1314033B">
      <w:pPr>
        <w:spacing w:before="222" w:line="330" w:lineRule="auto"/>
        <w:ind w:left="25" w:right="8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3.1.3 投标方应遵守本规范书中各条款和工作</w:t>
      </w:r>
      <w:r>
        <w:rPr>
          <w:rFonts w:ascii="宋体" w:hAnsi="宋体" w:eastAsia="宋体" w:cs="宋体"/>
          <w:color w:val="auto"/>
          <w:spacing w:val="6"/>
          <w:sz w:val="20"/>
          <w:szCs w:val="20"/>
          <w:highlight w:val="none"/>
        </w:rPr>
        <w:t>项目的</w:t>
      </w:r>
      <w:r>
        <w:rPr>
          <w:rFonts w:ascii="宋体" w:hAnsi="宋体" w:eastAsia="宋体" w:cs="宋体"/>
          <w:color w:val="auto"/>
          <w:spacing w:val="-25"/>
          <w:sz w:val="20"/>
          <w:szCs w:val="20"/>
          <w:highlight w:val="none"/>
        </w:rPr>
        <w:t xml:space="preserve"> </w:t>
      </w:r>
      <w:r>
        <w:rPr>
          <w:rFonts w:ascii="宋体" w:hAnsi="宋体" w:eastAsia="宋体" w:cs="宋体"/>
          <w:color w:val="auto"/>
          <w:sz w:val="20"/>
          <w:szCs w:val="20"/>
          <w:highlight w:val="none"/>
        </w:rPr>
        <w:t>ISO</w:t>
      </w:r>
      <w:r>
        <w:rPr>
          <w:rFonts w:ascii="宋体" w:hAnsi="宋体" w:eastAsia="宋体" w:cs="宋体"/>
          <w:color w:val="auto"/>
          <w:spacing w:val="6"/>
          <w:sz w:val="20"/>
          <w:szCs w:val="20"/>
          <w:highlight w:val="none"/>
        </w:rPr>
        <w:t xml:space="preserve">900   </w:t>
      </w: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/T1900__质量保证体系，</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该质量保证体系经过国家认证和正常运转。</w:t>
      </w:r>
    </w:p>
    <w:p w14:paraId="5D263D28">
      <w:pPr>
        <w:spacing w:before="220" w:line="228"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3.2 试验条件</w:t>
      </w:r>
    </w:p>
    <w:p w14:paraId="36F0DB2D">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3.2.1 除另有规定外，各项试验均应在规定的试验的标准大气条件下进行。</w:t>
      </w:r>
    </w:p>
    <w:p w14:paraId="6411D9BF">
      <w:pPr>
        <w:spacing w:before="221" w:line="227" w:lineRule="auto"/>
        <w:jc w:val="right"/>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3.2.2 被试验装置和测试仪表必须良好接地，并考虑周围环境电磁干扰对测试结果的影响。</w:t>
      </w:r>
    </w:p>
    <w:p w14:paraId="766A5544">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3.3 结构和外观检查</w:t>
      </w:r>
    </w:p>
    <w:p w14:paraId="3D93C855">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3.4 主要功能及技术要求试验</w:t>
      </w:r>
    </w:p>
    <w:p w14:paraId="5FC61D44">
      <w:pPr>
        <w:spacing w:before="221" w:line="227"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3.4.1 基本功能试验</w:t>
      </w:r>
    </w:p>
    <w:p w14:paraId="2A4712F3">
      <w:pPr>
        <w:spacing w:before="223" w:line="422" w:lineRule="auto"/>
        <w:ind w:left="864" w:right="4439" w:hanging="2"/>
        <w:jc w:val="both"/>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装置中各种原理保护的定值试验；</w:t>
      </w:r>
      <w:r>
        <w:rPr>
          <w:rFonts w:ascii="宋体" w:hAnsi="宋体" w:eastAsia="宋体" w:cs="宋体"/>
          <w:color w:val="auto"/>
          <w:spacing w:val="11"/>
          <w:sz w:val="20"/>
          <w:szCs w:val="20"/>
          <w:highlight w:val="none"/>
        </w:rPr>
        <w:t xml:space="preserve"> </w:t>
      </w:r>
      <w:r>
        <w:rPr>
          <w:rFonts w:ascii="宋体" w:hAnsi="宋体" w:eastAsia="宋体" w:cs="宋体"/>
          <w:color w:val="auto"/>
          <w:spacing w:val="5"/>
          <w:sz w:val="20"/>
          <w:szCs w:val="20"/>
          <w:highlight w:val="none"/>
        </w:rPr>
        <w:t>各种原理保护动作时间特性试验；</w:t>
      </w:r>
      <w:r>
        <w:rPr>
          <w:rFonts w:ascii="宋体" w:hAnsi="宋体" w:eastAsia="宋体" w:cs="宋体"/>
          <w:color w:val="auto"/>
          <w:spacing w:val="8"/>
          <w:sz w:val="20"/>
          <w:szCs w:val="20"/>
          <w:highlight w:val="none"/>
        </w:rPr>
        <w:t xml:space="preserve"> 各种原理保护动作特性试验；</w:t>
      </w:r>
    </w:p>
    <w:p w14:paraId="63583247">
      <w:pPr>
        <w:spacing w:before="31" w:line="228" w:lineRule="auto"/>
        <w:ind w:left="861"/>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逻辑回路及其联合动作正确性检查；</w:t>
      </w:r>
    </w:p>
    <w:p w14:paraId="0F9E5E5C">
      <w:pPr>
        <w:spacing w:before="223" w:line="417" w:lineRule="auto"/>
        <w:ind w:left="862" w:right="401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微机保护的其它功能及技术要求试验；</w:t>
      </w:r>
      <w:r>
        <w:rPr>
          <w:rFonts w:ascii="宋体" w:hAnsi="宋体" w:eastAsia="宋体" w:cs="宋体"/>
          <w:color w:val="auto"/>
          <w:spacing w:val="4"/>
          <w:sz w:val="20"/>
          <w:szCs w:val="20"/>
          <w:highlight w:val="none"/>
        </w:rPr>
        <w:t xml:space="preserve"> </w:t>
      </w:r>
      <w:r>
        <w:rPr>
          <w:rFonts w:ascii="宋体" w:hAnsi="宋体" w:eastAsia="宋体" w:cs="宋体"/>
          <w:color w:val="auto"/>
          <w:spacing w:val="7"/>
          <w:sz w:val="20"/>
          <w:szCs w:val="20"/>
          <w:highlight w:val="none"/>
        </w:rPr>
        <w:t>硬件系统自检；</w:t>
      </w:r>
    </w:p>
    <w:p w14:paraId="0D9C2C80">
      <w:pPr>
        <w:spacing w:before="31" w:line="228" w:lineRule="auto"/>
        <w:ind w:left="86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硬件系统时钟校核；</w:t>
      </w:r>
    </w:p>
    <w:p w14:paraId="6336FF80">
      <w:pPr>
        <w:spacing w:before="222" w:line="417" w:lineRule="auto"/>
        <w:ind w:left="862" w:right="5070"/>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通信及信息输出功能试验；</w:t>
      </w:r>
      <w:r>
        <w:rPr>
          <w:rFonts w:ascii="宋体" w:hAnsi="宋体" w:eastAsia="宋体" w:cs="宋体"/>
          <w:color w:val="auto"/>
          <w:spacing w:val="7"/>
          <w:sz w:val="20"/>
          <w:szCs w:val="20"/>
          <w:highlight w:val="none"/>
        </w:rPr>
        <w:t xml:space="preserve"> </w:t>
      </w:r>
      <w:r>
        <w:rPr>
          <w:rFonts w:ascii="宋体" w:hAnsi="宋体" w:eastAsia="宋体" w:cs="宋体"/>
          <w:color w:val="auto"/>
          <w:spacing w:val="4"/>
          <w:sz w:val="20"/>
          <w:szCs w:val="20"/>
          <w:highlight w:val="none"/>
        </w:rPr>
        <w:t>开关量输入输出回路检查；</w:t>
      </w:r>
    </w:p>
    <w:p w14:paraId="21FAACF6">
      <w:pPr>
        <w:spacing w:before="32" w:line="227" w:lineRule="auto"/>
        <w:ind w:left="86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数据采集系统的精度和线性度范围试验；</w:t>
      </w:r>
    </w:p>
    <w:p w14:paraId="580F673F">
      <w:pPr>
        <w:spacing w:before="222" w:line="229" w:lineRule="auto"/>
        <w:ind w:left="26"/>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3.5</w:t>
      </w:r>
      <w:r>
        <w:rPr>
          <w:rFonts w:ascii="宋体" w:hAnsi="宋体" w:eastAsia="宋体" w:cs="宋体"/>
          <w:color w:val="auto"/>
          <w:spacing w:val="16"/>
          <w:sz w:val="20"/>
          <w:szCs w:val="20"/>
          <w:highlight w:val="none"/>
        </w:rPr>
        <w:t xml:space="preserve"> </w:t>
      </w:r>
      <w:r>
        <w:rPr>
          <w:rFonts w:ascii="宋体" w:hAnsi="宋体" w:eastAsia="宋体" w:cs="宋体"/>
          <w:color w:val="auto"/>
          <w:spacing w:val="4"/>
          <w:sz w:val="20"/>
          <w:szCs w:val="20"/>
          <w:highlight w:val="none"/>
        </w:rPr>
        <w:t>绝缘试验</w:t>
      </w:r>
    </w:p>
    <w:p w14:paraId="7FD32C93">
      <w:pPr>
        <w:spacing w:before="220" w:line="227" w:lineRule="auto"/>
        <w:jc w:val="right"/>
        <w:rPr>
          <w:rFonts w:ascii="宋体" w:hAnsi="宋体" w:eastAsia="宋体" w:cs="宋体"/>
          <w:color w:val="auto"/>
          <w:sz w:val="20"/>
          <w:szCs w:val="20"/>
          <w:highlight w:val="none"/>
        </w:rPr>
      </w:pPr>
      <w:r>
        <w:rPr>
          <w:rFonts w:ascii="宋体" w:hAnsi="宋体" w:eastAsia="宋体" w:cs="宋体"/>
          <w:color w:val="auto"/>
          <w:spacing w:val="2"/>
          <w:sz w:val="20"/>
          <w:szCs w:val="20"/>
          <w:highlight w:val="none"/>
        </w:rPr>
        <w:t>按</w:t>
      </w:r>
      <w:r>
        <w:rPr>
          <w:rFonts w:ascii="宋体" w:hAnsi="宋体" w:eastAsia="宋体" w:cs="宋体"/>
          <w:color w:val="auto"/>
          <w:spacing w:val="-34"/>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2"/>
          <w:sz w:val="20"/>
          <w:szCs w:val="20"/>
          <w:highlight w:val="none"/>
        </w:rPr>
        <w:t>7261－87</w:t>
      </w:r>
      <w:r>
        <w:rPr>
          <w:rFonts w:ascii="宋体" w:hAnsi="宋体" w:eastAsia="宋体" w:cs="宋体"/>
          <w:color w:val="auto"/>
          <w:spacing w:val="-37"/>
          <w:sz w:val="20"/>
          <w:szCs w:val="20"/>
          <w:highlight w:val="none"/>
        </w:rPr>
        <w:t xml:space="preserve"> </w:t>
      </w:r>
      <w:r>
        <w:rPr>
          <w:rFonts w:ascii="宋体" w:hAnsi="宋体" w:eastAsia="宋体" w:cs="宋体"/>
          <w:color w:val="auto"/>
          <w:spacing w:val="2"/>
          <w:sz w:val="20"/>
          <w:szCs w:val="20"/>
          <w:highlight w:val="none"/>
        </w:rPr>
        <w:t>和方法，第</w:t>
      </w:r>
      <w:r>
        <w:rPr>
          <w:rFonts w:ascii="宋体" w:hAnsi="宋体" w:eastAsia="宋体" w:cs="宋体"/>
          <w:color w:val="auto"/>
          <w:spacing w:val="-34"/>
          <w:sz w:val="20"/>
          <w:szCs w:val="20"/>
          <w:highlight w:val="none"/>
        </w:rPr>
        <w:t xml:space="preserve"> </w:t>
      </w:r>
      <w:r>
        <w:rPr>
          <w:rFonts w:ascii="宋体" w:hAnsi="宋体" w:eastAsia="宋体" w:cs="宋体"/>
          <w:color w:val="auto"/>
          <w:spacing w:val="2"/>
          <w:sz w:val="20"/>
          <w:szCs w:val="20"/>
          <w:highlight w:val="none"/>
        </w:rPr>
        <w:t>20</w:t>
      </w:r>
      <w:r>
        <w:rPr>
          <w:rFonts w:ascii="宋体" w:hAnsi="宋体" w:eastAsia="宋体" w:cs="宋体"/>
          <w:color w:val="auto"/>
          <w:spacing w:val="-33"/>
          <w:sz w:val="20"/>
          <w:szCs w:val="20"/>
          <w:highlight w:val="none"/>
        </w:rPr>
        <w:t xml:space="preserve"> </w:t>
      </w:r>
      <w:r>
        <w:rPr>
          <w:rFonts w:ascii="宋体" w:hAnsi="宋体" w:eastAsia="宋体" w:cs="宋体"/>
          <w:color w:val="auto"/>
          <w:spacing w:val="2"/>
          <w:sz w:val="20"/>
          <w:szCs w:val="20"/>
          <w:highlight w:val="none"/>
        </w:rPr>
        <w:t>章规定，分别进行绝缘电阻测量介质强度及冲击电压试验。</w:t>
      </w:r>
    </w:p>
    <w:p w14:paraId="508575C9">
      <w:pPr>
        <w:spacing w:before="222" w:line="229"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3.6 低温试验</w:t>
      </w:r>
    </w:p>
    <w:p w14:paraId="31ED2ABE">
      <w:pPr>
        <w:spacing w:before="220" w:line="227" w:lineRule="auto"/>
        <w:ind w:left="44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按</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7261－87</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第</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12</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章的规定和方法进</w:t>
      </w:r>
      <w:r>
        <w:rPr>
          <w:rFonts w:ascii="宋体" w:hAnsi="宋体" w:eastAsia="宋体" w:cs="宋体"/>
          <w:color w:val="auto"/>
          <w:spacing w:val="4"/>
          <w:sz w:val="20"/>
          <w:szCs w:val="20"/>
          <w:highlight w:val="none"/>
        </w:rPr>
        <w:t>行。</w:t>
      </w:r>
    </w:p>
    <w:p w14:paraId="2042FF0A">
      <w:pPr>
        <w:spacing w:before="222" w:line="228" w:lineRule="auto"/>
        <w:ind w:left="2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3.7</w:t>
      </w:r>
      <w:r>
        <w:rPr>
          <w:rFonts w:ascii="宋体" w:hAnsi="宋体" w:eastAsia="宋体" w:cs="宋体"/>
          <w:color w:val="auto"/>
          <w:spacing w:val="23"/>
          <w:sz w:val="20"/>
          <w:szCs w:val="20"/>
          <w:highlight w:val="none"/>
        </w:rPr>
        <w:t xml:space="preserve"> </w:t>
      </w:r>
      <w:r>
        <w:rPr>
          <w:rFonts w:ascii="宋体" w:hAnsi="宋体" w:eastAsia="宋体" w:cs="宋体"/>
          <w:color w:val="auto"/>
          <w:spacing w:val="3"/>
          <w:sz w:val="20"/>
          <w:szCs w:val="20"/>
          <w:highlight w:val="none"/>
        </w:rPr>
        <w:t>高温试验</w:t>
      </w:r>
    </w:p>
    <w:p w14:paraId="1C41251E">
      <w:pPr>
        <w:spacing w:before="221" w:line="227" w:lineRule="auto"/>
        <w:ind w:left="44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按</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7261－87</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第</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13</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章的规定和方法进</w:t>
      </w:r>
      <w:r>
        <w:rPr>
          <w:rFonts w:ascii="宋体" w:hAnsi="宋体" w:eastAsia="宋体" w:cs="宋体"/>
          <w:color w:val="auto"/>
          <w:spacing w:val="4"/>
          <w:sz w:val="20"/>
          <w:szCs w:val="20"/>
          <w:highlight w:val="none"/>
        </w:rPr>
        <w:t>行。</w:t>
      </w:r>
    </w:p>
    <w:p w14:paraId="1DA2B53E">
      <w:pPr>
        <w:spacing w:before="222" w:line="229"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3.8 湿热试验</w:t>
      </w:r>
    </w:p>
    <w:p w14:paraId="10195D3F">
      <w:pPr>
        <w:spacing w:before="220" w:line="227" w:lineRule="auto"/>
        <w:ind w:left="44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按</w:t>
      </w:r>
      <w:r>
        <w:rPr>
          <w:rFonts w:ascii="宋体" w:hAnsi="宋体" w:eastAsia="宋体" w:cs="宋体"/>
          <w:color w:val="auto"/>
          <w:spacing w:val="-34"/>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/T2423.9-89</w:t>
      </w:r>
      <w:r>
        <w:rPr>
          <w:rFonts w:ascii="宋体" w:hAnsi="宋体" w:eastAsia="宋体" w:cs="宋体"/>
          <w:color w:val="auto"/>
          <w:spacing w:val="-35"/>
          <w:sz w:val="20"/>
          <w:szCs w:val="20"/>
          <w:highlight w:val="none"/>
        </w:rPr>
        <w:t xml:space="preserve"> </w:t>
      </w:r>
      <w:r>
        <w:rPr>
          <w:rFonts w:ascii="宋体" w:hAnsi="宋体" w:eastAsia="宋体" w:cs="宋体"/>
          <w:color w:val="auto"/>
          <w:spacing w:val="5"/>
          <w:sz w:val="20"/>
          <w:szCs w:val="20"/>
          <w:highlight w:val="none"/>
        </w:rPr>
        <w:t>或</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7261－87</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第</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21</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章的规定和方法进行。</w:t>
      </w:r>
    </w:p>
    <w:p w14:paraId="34FDCCE9">
      <w:pPr>
        <w:spacing w:before="222" w:line="227" w:lineRule="auto"/>
        <w:ind w:left="2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3.9</w:t>
      </w:r>
      <w:r>
        <w:rPr>
          <w:rFonts w:ascii="宋体" w:hAnsi="宋体" w:eastAsia="宋体" w:cs="宋体"/>
          <w:color w:val="auto"/>
          <w:spacing w:val="37"/>
          <w:sz w:val="20"/>
          <w:szCs w:val="20"/>
          <w:highlight w:val="none"/>
        </w:rPr>
        <w:t xml:space="preserve"> </w:t>
      </w:r>
      <w:r>
        <w:rPr>
          <w:rFonts w:ascii="宋体" w:hAnsi="宋体" w:eastAsia="宋体" w:cs="宋体"/>
          <w:color w:val="auto"/>
          <w:spacing w:val="3"/>
          <w:sz w:val="20"/>
          <w:szCs w:val="20"/>
          <w:highlight w:val="none"/>
        </w:rPr>
        <w:t>电气干扰试验</w:t>
      </w:r>
    </w:p>
    <w:p w14:paraId="443A6781">
      <w:pPr>
        <w:spacing w:line="227" w:lineRule="auto"/>
        <w:rPr>
          <w:rFonts w:ascii="宋体" w:hAnsi="宋体" w:eastAsia="宋体" w:cs="宋体"/>
          <w:color w:val="auto"/>
          <w:sz w:val="20"/>
          <w:szCs w:val="20"/>
          <w:highlight w:val="none"/>
        </w:rPr>
        <w:sectPr>
          <w:footerReference r:id="rId6" w:type="default"/>
          <w:pgSz w:w="11906" w:h="16839"/>
          <w:pgMar w:top="1431" w:right="1731" w:bottom="400" w:left="1785" w:header="0" w:footer="0" w:gutter="0"/>
          <w:pgBorders>
            <w:top w:val="none" w:sz="0" w:space="0"/>
            <w:left w:val="none" w:sz="0" w:space="0"/>
            <w:bottom w:val="none" w:sz="0" w:space="0"/>
            <w:right w:val="none" w:sz="0" w:space="0"/>
          </w:pgBorders>
          <w:cols w:space="720" w:num="1"/>
        </w:sectPr>
      </w:pPr>
    </w:p>
    <w:p w14:paraId="217B645A">
      <w:pPr>
        <w:spacing w:before="137" w:line="227"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3.9.1 按</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7"/>
          <w:sz w:val="20"/>
          <w:szCs w:val="20"/>
          <w:highlight w:val="none"/>
        </w:rPr>
        <w:t>/T14598.13</w:t>
      </w:r>
      <w:r>
        <w:rPr>
          <w:rFonts w:ascii="宋体" w:hAnsi="宋体" w:eastAsia="宋体" w:cs="宋体"/>
          <w:color w:val="auto"/>
          <w:spacing w:val="-20"/>
          <w:sz w:val="20"/>
          <w:szCs w:val="20"/>
          <w:highlight w:val="none"/>
        </w:rPr>
        <w:t xml:space="preserve"> </w:t>
      </w:r>
      <w:r>
        <w:rPr>
          <w:rFonts w:ascii="宋体" w:hAnsi="宋体" w:eastAsia="宋体" w:cs="宋体"/>
          <w:color w:val="auto"/>
          <w:spacing w:val="7"/>
          <w:sz w:val="20"/>
          <w:szCs w:val="20"/>
          <w:highlight w:val="none"/>
        </w:rPr>
        <w:t>的规</w:t>
      </w:r>
      <w:r>
        <w:rPr>
          <w:rFonts w:ascii="宋体" w:hAnsi="宋体" w:eastAsia="宋体" w:cs="宋体"/>
          <w:color w:val="auto"/>
          <w:spacing w:val="6"/>
          <w:sz w:val="20"/>
          <w:szCs w:val="20"/>
          <w:highlight w:val="none"/>
        </w:rPr>
        <w:t>定和方法，对装置进行脉冲群干扰试验。</w:t>
      </w:r>
    </w:p>
    <w:p w14:paraId="714B6309">
      <w:pPr>
        <w:spacing w:before="222" w:line="227"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3.9.2 按</w:t>
      </w:r>
      <w:r>
        <w:rPr>
          <w:rFonts w:ascii="宋体" w:hAnsi="宋体" w:eastAsia="宋体" w:cs="宋体"/>
          <w:color w:val="auto"/>
          <w:spacing w:val="-26"/>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6"/>
          <w:sz w:val="20"/>
          <w:szCs w:val="20"/>
          <w:highlight w:val="none"/>
        </w:rPr>
        <w:t>/T14598.14</w:t>
      </w:r>
      <w:r>
        <w:rPr>
          <w:rFonts w:ascii="宋体" w:hAnsi="宋体" w:eastAsia="宋体" w:cs="宋体"/>
          <w:color w:val="auto"/>
          <w:spacing w:val="-21"/>
          <w:sz w:val="20"/>
          <w:szCs w:val="20"/>
          <w:highlight w:val="none"/>
        </w:rPr>
        <w:t xml:space="preserve"> </w:t>
      </w:r>
      <w:r>
        <w:rPr>
          <w:rFonts w:ascii="宋体" w:hAnsi="宋体" w:eastAsia="宋体" w:cs="宋体"/>
          <w:color w:val="auto"/>
          <w:spacing w:val="6"/>
          <w:sz w:val="20"/>
          <w:szCs w:val="20"/>
          <w:highlight w:val="none"/>
        </w:rPr>
        <w:t>的规定和方法，对装置进行静电放电试验。</w:t>
      </w:r>
    </w:p>
    <w:p w14:paraId="6E338CF8">
      <w:pPr>
        <w:spacing w:before="222" w:line="227"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3.9.3 按</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7"/>
          <w:sz w:val="20"/>
          <w:szCs w:val="20"/>
          <w:highlight w:val="none"/>
        </w:rPr>
        <w:t>/T14598.9</w:t>
      </w:r>
      <w:r>
        <w:rPr>
          <w:rFonts w:ascii="宋体" w:hAnsi="宋体" w:eastAsia="宋体" w:cs="宋体"/>
          <w:color w:val="auto"/>
          <w:spacing w:val="-23"/>
          <w:sz w:val="20"/>
          <w:szCs w:val="20"/>
          <w:highlight w:val="none"/>
        </w:rPr>
        <w:t xml:space="preserve"> </w:t>
      </w:r>
      <w:r>
        <w:rPr>
          <w:rFonts w:ascii="宋体" w:hAnsi="宋体" w:eastAsia="宋体" w:cs="宋体"/>
          <w:color w:val="auto"/>
          <w:spacing w:val="7"/>
          <w:sz w:val="20"/>
          <w:szCs w:val="20"/>
          <w:highlight w:val="none"/>
        </w:rPr>
        <w:t>的规定和方法，对装置进行辐射</w:t>
      </w:r>
      <w:r>
        <w:rPr>
          <w:rFonts w:ascii="宋体" w:hAnsi="宋体" w:eastAsia="宋体" w:cs="宋体"/>
          <w:color w:val="auto"/>
          <w:spacing w:val="6"/>
          <w:sz w:val="20"/>
          <w:szCs w:val="20"/>
          <w:highlight w:val="none"/>
        </w:rPr>
        <w:t>电磁场干扰试验。</w:t>
      </w:r>
    </w:p>
    <w:p w14:paraId="7453C15B">
      <w:pPr>
        <w:spacing w:before="222" w:line="227"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3.9.4 按</w:t>
      </w:r>
      <w:r>
        <w:rPr>
          <w:rFonts w:ascii="宋体" w:hAnsi="宋体" w:eastAsia="宋体" w:cs="宋体"/>
          <w:color w:val="auto"/>
          <w:spacing w:val="-40"/>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7"/>
          <w:sz w:val="20"/>
          <w:szCs w:val="20"/>
          <w:highlight w:val="none"/>
        </w:rPr>
        <w:t>/T14598.10</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的规定和方</w:t>
      </w:r>
      <w:r>
        <w:rPr>
          <w:rFonts w:ascii="宋体" w:hAnsi="宋体" w:eastAsia="宋体" w:cs="宋体"/>
          <w:color w:val="auto"/>
          <w:spacing w:val="6"/>
          <w:sz w:val="20"/>
          <w:szCs w:val="20"/>
          <w:highlight w:val="none"/>
        </w:rPr>
        <w:t>法，对装置进行快速瞬变干扰试验。</w:t>
      </w:r>
    </w:p>
    <w:p w14:paraId="49CD8353">
      <w:pPr>
        <w:spacing w:before="222" w:line="228"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3.10 连续通电试验</w:t>
      </w:r>
    </w:p>
    <w:p w14:paraId="4D5B31EC">
      <w:pPr>
        <w:spacing w:before="220"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3.10.1 装置在完成调试后应进行连续通电试验。</w:t>
      </w:r>
    </w:p>
    <w:p w14:paraId="10B9112E">
      <w:pPr>
        <w:spacing w:before="221" w:line="228" w:lineRule="auto"/>
        <w:jc w:val="right"/>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3.10.2 连续通电试验的被试装置只施加直流</w:t>
      </w:r>
      <w:r>
        <w:rPr>
          <w:rFonts w:ascii="宋体" w:hAnsi="宋体" w:eastAsia="宋体" w:cs="宋体"/>
          <w:color w:val="auto"/>
          <w:spacing w:val="5"/>
          <w:sz w:val="20"/>
          <w:szCs w:val="20"/>
          <w:highlight w:val="none"/>
        </w:rPr>
        <w:t>电源，必要时可施加其他激励量进行功能检测；</w:t>
      </w:r>
    </w:p>
    <w:p w14:paraId="2BB280F3">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3.10.3 连续通电试验时间不少于</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10</w:t>
      </w:r>
      <w:r>
        <w:rPr>
          <w:rFonts w:ascii="宋体" w:hAnsi="宋体" w:eastAsia="宋体" w:cs="宋体"/>
          <w:color w:val="auto"/>
          <w:spacing w:val="4"/>
          <w:sz w:val="20"/>
          <w:szCs w:val="20"/>
          <w:highlight w:val="none"/>
        </w:rPr>
        <w:t>0h</w:t>
      </w:r>
      <w:r>
        <w:rPr>
          <w:rFonts w:ascii="宋体" w:hAnsi="宋体" w:eastAsia="宋体" w:cs="宋体"/>
          <w:color w:val="auto"/>
          <w:spacing w:val="-38"/>
          <w:sz w:val="20"/>
          <w:szCs w:val="20"/>
          <w:highlight w:val="none"/>
        </w:rPr>
        <w:t xml:space="preserve"> </w:t>
      </w:r>
      <w:r>
        <w:rPr>
          <w:rFonts w:ascii="宋体" w:hAnsi="宋体" w:eastAsia="宋体" w:cs="宋体"/>
          <w:color w:val="auto"/>
          <w:spacing w:val="4"/>
          <w:sz w:val="20"/>
          <w:szCs w:val="20"/>
          <w:highlight w:val="none"/>
        </w:rPr>
        <w:t>或</w:t>
      </w:r>
      <w:r>
        <w:rPr>
          <w:rFonts w:ascii="宋体" w:hAnsi="宋体" w:eastAsia="宋体" w:cs="宋体"/>
          <w:color w:val="auto"/>
          <w:spacing w:val="-31"/>
          <w:sz w:val="20"/>
          <w:szCs w:val="20"/>
          <w:highlight w:val="none"/>
        </w:rPr>
        <w:t xml:space="preserve"> </w:t>
      </w:r>
      <w:r>
        <w:rPr>
          <w:rFonts w:ascii="宋体" w:hAnsi="宋体" w:eastAsia="宋体" w:cs="宋体"/>
          <w:color w:val="auto"/>
          <w:spacing w:val="4"/>
          <w:sz w:val="20"/>
          <w:szCs w:val="20"/>
          <w:highlight w:val="none"/>
        </w:rPr>
        <w:t>72h。</w:t>
      </w:r>
    </w:p>
    <w:p w14:paraId="43A62510">
      <w:pPr>
        <w:spacing w:before="220" w:line="330" w:lineRule="auto"/>
        <w:ind w:left="22" w:right="64" w:firstLine="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3.10.4 在连续通电试验过程中，装置应工作正常，信号指示正确，不</w:t>
      </w:r>
      <w:r>
        <w:rPr>
          <w:rFonts w:ascii="宋体" w:hAnsi="宋体" w:eastAsia="宋体" w:cs="宋体"/>
          <w:color w:val="auto"/>
          <w:spacing w:val="8"/>
          <w:sz w:val="20"/>
          <w:szCs w:val="20"/>
          <w:highlight w:val="none"/>
        </w:rPr>
        <w:t>应有元器件损坏或其</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他异常情况出现。</w:t>
      </w:r>
    </w:p>
    <w:p w14:paraId="4F15AF9D">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3.11 过负荷能力试验</w:t>
      </w:r>
    </w:p>
    <w:p w14:paraId="7D0ABC81">
      <w:pPr>
        <w:spacing w:before="221" w:line="227" w:lineRule="auto"/>
        <w:ind w:left="44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按</w:t>
      </w:r>
      <w:r>
        <w:rPr>
          <w:rFonts w:ascii="宋体" w:hAnsi="宋体" w:eastAsia="宋体" w:cs="宋体"/>
          <w:color w:val="auto"/>
          <w:spacing w:val="-31"/>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7261－87</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第</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23</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章的规定和方法进行。</w:t>
      </w:r>
    </w:p>
    <w:p w14:paraId="51432FCC">
      <w:pPr>
        <w:spacing w:before="222" w:line="229" w:lineRule="auto"/>
        <w:ind w:left="2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3.12</w:t>
      </w:r>
      <w:r>
        <w:rPr>
          <w:rFonts w:ascii="宋体" w:hAnsi="宋体" w:eastAsia="宋体" w:cs="宋体"/>
          <w:color w:val="auto"/>
          <w:spacing w:val="40"/>
          <w:sz w:val="20"/>
          <w:szCs w:val="20"/>
          <w:highlight w:val="none"/>
        </w:rPr>
        <w:t xml:space="preserve"> </w:t>
      </w:r>
      <w:r>
        <w:rPr>
          <w:rFonts w:ascii="宋体" w:hAnsi="宋体" w:eastAsia="宋体" w:cs="宋体"/>
          <w:color w:val="auto"/>
          <w:spacing w:val="3"/>
          <w:sz w:val="20"/>
          <w:szCs w:val="20"/>
          <w:highlight w:val="none"/>
        </w:rPr>
        <w:t>电源影响试验</w:t>
      </w:r>
    </w:p>
    <w:p w14:paraId="6A38E69D">
      <w:pPr>
        <w:spacing w:before="220" w:line="227" w:lineRule="auto"/>
        <w:ind w:left="443"/>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按</w:t>
      </w:r>
      <w:r>
        <w:rPr>
          <w:rFonts w:ascii="宋体" w:hAnsi="宋体" w:eastAsia="宋体" w:cs="宋体"/>
          <w:color w:val="auto"/>
          <w:spacing w:val="-42"/>
          <w:sz w:val="20"/>
          <w:szCs w:val="20"/>
          <w:highlight w:val="none"/>
        </w:rPr>
        <w:t xml:space="preserve"> </w:t>
      </w:r>
      <w:r>
        <w:rPr>
          <w:rFonts w:ascii="宋体" w:hAnsi="宋体" w:eastAsia="宋体" w:cs="宋体"/>
          <w:color w:val="auto"/>
          <w:sz w:val="20"/>
          <w:szCs w:val="20"/>
          <w:highlight w:val="none"/>
        </w:rPr>
        <w:t>GB</w:t>
      </w:r>
      <w:r>
        <w:rPr>
          <w:rFonts w:ascii="宋体" w:hAnsi="宋体" w:eastAsia="宋体" w:cs="宋体"/>
          <w:color w:val="auto"/>
          <w:spacing w:val="5"/>
          <w:sz w:val="20"/>
          <w:szCs w:val="20"/>
          <w:highlight w:val="none"/>
        </w:rPr>
        <w:t>7261－87</w:t>
      </w:r>
      <w:r>
        <w:rPr>
          <w:rFonts w:ascii="宋体" w:hAnsi="宋体" w:eastAsia="宋体" w:cs="宋体"/>
          <w:color w:val="auto"/>
          <w:spacing w:val="-38"/>
          <w:sz w:val="20"/>
          <w:szCs w:val="20"/>
          <w:highlight w:val="none"/>
        </w:rPr>
        <w:t xml:space="preserve"> </w:t>
      </w:r>
      <w:r>
        <w:rPr>
          <w:rFonts w:ascii="宋体" w:hAnsi="宋体" w:eastAsia="宋体" w:cs="宋体"/>
          <w:color w:val="auto"/>
          <w:spacing w:val="5"/>
          <w:sz w:val="20"/>
          <w:szCs w:val="20"/>
          <w:highlight w:val="none"/>
        </w:rPr>
        <w:t>第</w:t>
      </w:r>
      <w:r>
        <w:rPr>
          <w:rFonts w:ascii="宋体" w:hAnsi="宋体" w:eastAsia="宋体" w:cs="宋体"/>
          <w:color w:val="auto"/>
          <w:spacing w:val="-24"/>
          <w:sz w:val="20"/>
          <w:szCs w:val="20"/>
          <w:highlight w:val="none"/>
        </w:rPr>
        <w:t xml:space="preserve"> </w:t>
      </w:r>
      <w:r>
        <w:rPr>
          <w:rFonts w:ascii="宋体" w:hAnsi="宋体" w:eastAsia="宋体" w:cs="宋体"/>
          <w:color w:val="auto"/>
          <w:spacing w:val="5"/>
          <w:sz w:val="20"/>
          <w:szCs w:val="20"/>
          <w:highlight w:val="none"/>
        </w:rPr>
        <w:t>15</w:t>
      </w:r>
      <w:r>
        <w:rPr>
          <w:rFonts w:ascii="宋体" w:hAnsi="宋体" w:eastAsia="宋体" w:cs="宋体"/>
          <w:color w:val="auto"/>
          <w:spacing w:val="-33"/>
          <w:sz w:val="20"/>
          <w:szCs w:val="20"/>
          <w:highlight w:val="none"/>
        </w:rPr>
        <w:t xml:space="preserve"> </w:t>
      </w:r>
      <w:r>
        <w:rPr>
          <w:rFonts w:ascii="宋体" w:hAnsi="宋体" w:eastAsia="宋体" w:cs="宋体"/>
          <w:color w:val="auto"/>
          <w:spacing w:val="5"/>
          <w:sz w:val="20"/>
          <w:szCs w:val="20"/>
          <w:highlight w:val="none"/>
        </w:rPr>
        <w:t>章的规定和方法进</w:t>
      </w:r>
      <w:r>
        <w:rPr>
          <w:rFonts w:ascii="宋体" w:hAnsi="宋体" w:eastAsia="宋体" w:cs="宋体"/>
          <w:color w:val="auto"/>
          <w:spacing w:val="4"/>
          <w:sz w:val="20"/>
          <w:szCs w:val="20"/>
          <w:highlight w:val="none"/>
        </w:rPr>
        <w:t>行。</w:t>
      </w:r>
    </w:p>
    <w:p w14:paraId="67A474BB">
      <w:pPr>
        <w:spacing w:before="222" w:line="228" w:lineRule="auto"/>
        <w:ind w:left="26"/>
        <w:rPr>
          <w:rFonts w:ascii="宋体" w:hAnsi="宋体" w:eastAsia="宋体" w:cs="宋体"/>
          <w:color w:val="auto"/>
          <w:sz w:val="20"/>
          <w:szCs w:val="20"/>
          <w:highlight w:val="none"/>
        </w:rPr>
      </w:pPr>
      <w:r>
        <w:rPr>
          <w:rFonts w:ascii="宋体" w:hAnsi="宋体" w:eastAsia="宋体" w:cs="宋体"/>
          <w:color w:val="auto"/>
          <w:spacing w:val="2"/>
          <w:sz w:val="20"/>
          <w:szCs w:val="20"/>
          <w:highlight w:val="none"/>
        </w:rPr>
        <w:t>3.13</w:t>
      </w:r>
      <w:r>
        <w:rPr>
          <w:rFonts w:ascii="宋体" w:hAnsi="宋体" w:eastAsia="宋体" w:cs="宋体"/>
          <w:color w:val="auto"/>
          <w:spacing w:val="34"/>
          <w:sz w:val="20"/>
          <w:szCs w:val="20"/>
          <w:highlight w:val="none"/>
        </w:rPr>
        <w:t xml:space="preserve"> </w:t>
      </w:r>
      <w:r>
        <w:rPr>
          <w:rFonts w:ascii="宋体" w:hAnsi="宋体" w:eastAsia="宋体" w:cs="宋体"/>
          <w:color w:val="auto"/>
          <w:spacing w:val="2"/>
          <w:sz w:val="20"/>
          <w:szCs w:val="20"/>
          <w:highlight w:val="none"/>
        </w:rPr>
        <w:t>出厂检验</w:t>
      </w:r>
    </w:p>
    <w:p w14:paraId="633FADC5">
      <w:pPr>
        <w:spacing w:before="222" w:line="417" w:lineRule="auto"/>
        <w:ind w:left="21" w:right="52" w:firstLine="42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每台装置出厂前必须由制造厂的检验部门进行出厂检验，出厂检验在试验的标准大气条</w:t>
      </w:r>
      <w:r>
        <w:rPr>
          <w:rFonts w:ascii="宋体" w:hAnsi="宋体" w:eastAsia="宋体" w:cs="宋体"/>
          <w:color w:val="auto"/>
          <w:spacing w:val="8"/>
          <w:sz w:val="20"/>
          <w:szCs w:val="20"/>
          <w:highlight w:val="none"/>
        </w:rPr>
        <w:t xml:space="preserve"> </w:t>
      </w:r>
      <w:r>
        <w:rPr>
          <w:rFonts w:ascii="宋体" w:hAnsi="宋体" w:eastAsia="宋体" w:cs="宋体"/>
          <w:color w:val="auto"/>
          <w:spacing w:val="6"/>
          <w:sz w:val="20"/>
          <w:szCs w:val="20"/>
          <w:highlight w:val="none"/>
        </w:rPr>
        <w:t>件下进行。</w:t>
      </w:r>
    </w:p>
    <w:p w14:paraId="49575DC7">
      <w:pPr>
        <w:spacing w:before="31" w:line="228" w:lineRule="auto"/>
        <w:ind w:left="2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检验项目如下：</w:t>
      </w:r>
    </w:p>
    <w:p w14:paraId="62ECFF45">
      <w:pPr>
        <w:spacing w:before="222" w:line="228" w:lineRule="auto"/>
        <w:ind w:left="37"/>
        <w:rPr>
          <w:rFonts w:ascii="宋体" w:hAnsi="宋体" w:eastAsia="宋体" w:cs="宋体"/>
          <w:color w:val="auto"/>
          <w:sz w:val="20"/>
          <w:szCs w:val="20"/>
          <w:highlight w:val="none"/>
        </w:rPr>
      </w:pPr>
      <w:r>
        <w:rPr>
          <w:rFonts w:ascii="宋体" w:hAnsi="宋体" w:eastAsia="宋体" w:cs="宋体"/>
          <w:color w:val="auto"/>
          <w:spacing w:val="2"/>
          <w:sz w:val="20"/>
          <w:szCs w:val="20"/>
          <w:highlight w:val="none"/>
        </w:rPr>
        <w:t>1)</w:t>
      </w:r>
      <w:r>
        <w:rPr>
          <w:rFonts w:ascii="宋体" w:hAnsi="宋体" w:eastAsia="宋体" w:cs="宋体"/>
          <w:color w:val="auto"/>
          <w:spacing w:val="14"/>
          <w:sz w:val="20"/>
          <w:szCs w:val="20"/>
          <w:highlight w:val="none"/>
        </w:rPr>
        <w:t xml:space="preserve">  </w:t>
      </w:r>
      <w:r>
        <w:rPr>
          <w:rFonts w:ascii="宋体" w:hAnsi="宋体" w:eastAsia="宋体" w:cs="宋体"/>
          <w:color w:val="auto"/>
          <w:spacing w:val="2"/>
          <w:sz w:val="20"/>
          <w:szCs w:val="20"/>
          <w:highlight w:val="none"/>
        </w:rPr>
        <w:t>结构与外观；</w:t>
      </w:r>
    </w:p>
    <w:p w14:paraId="3D9CEF75">
      <w:pPr>
        <w:spacing w:before="220" w:line="228" w:lineRule="auto"/>
        <w:ind w:left="2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  主要功能及技术性能；</w:t>
      </w:r>
    </w:p>
    <w:p w14:paraId="331D4CE6">
      <w:pPr>
        <w:spacing w:before="222" w:line="229" w:lineRule="auto"/>
        <w:ind w:left="2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3)</w:t>
      </w:r>
      <w:r>
        <w:rPr>
          <w:rFonts w:ascii="宋体" w:hAnsi="宋体" w:eastAsia="宋体" w:cs="宋体"/>
          <w:color w:val="auto"/>
          <w:spacing w:val="11"/>
          <w:sz w:val="20"/>
          <w:szCs w:val="20"/>
          <w:highlight w:val="none"/>
        </w:rPr>
        <w:t xml:space="preserve">  </w:t>
      </w:r>
      <w:r>
        <w:rPr>
          <w:rFonts w:ascii="宋体" w:hAnsi="宋体" w:eastAsia="宋体" w:cs="宋体"/>
          <w:color w:val="auto"/>
          <w:spacing w:val="3"/>
          <w:sz w:val="20"/>
          <w:szCs w:val="20"/>
          <w:highlight w:val="none"/>
        </w:rPr>
        <w:t>绝缘电阻；</w:t>
      </w:r>
    </w:p>
    <w:p w14:paraId="62256B25">
      <w:pPr>
        <w:spacing w:before="220" w:line="227" w:lineRule="auto"/>
        <w:ind w:left="21"/>
        <w:rPr>
          <w:rFonts w:ascii="宋体" w:hAnsi="宋体" w:eastAsia="宋体" w:cs="宋体"/>
          <w:color w:val="auto"/>
          <w:sz w:val="20"/>
          <w:szCs w:val="20"/>
          <w:highlight w:val="none"/>
        </w:rPr>
      </w:pPr>
      <w:r>
        <w:rPr>
          <w:rFonts w:ascii="宋体" w:hAnsi="宋体" w:eastAsia="宋体" w:cs="宋体"/>
          <w:color w:val="auto"/>
          <w:spacing w:val="4"/>
          <w:sz w:val="20"/>
          <w:szCs w:val="20"/>
          <w:highlight w:val="none"/>
        </w:rPr>
        <w:t>4)</w:t>
      </w:r>
      <w:r>
        <w:rPr>
          <w:rFonts w:ascii="宋体" w:hAnsi="宋体" w:eastAsia="宋体" w:cs="宋体"/>
          <w:color w:val="auto"/>
          <w:spacing w:val="10"/>
          <w:sz w:val="20"/>
          <w:szCs w:val="20"/>
          <w:highlight w:val="none"/>
        </w:rPr>
        <w:t xml:space="preserve">  </w:t>
      </w:r>
      <w:r>
        <w:rPr>
          <w:rFonts w:ascii="宋体" w:hAnsi="宋体" w:eastAsia="宋体" w:cs="宋体"/>
          <w:color w:val="auto"/>
          <w:spacing w:val="4"/>
          <w:sz w:val="20"/>
          <w:szCs w:val="20"/>
          <w:highlight w:val="none"/>
        </w:rPr>
        <w:t>介质强度；</w:t>
      </w:r>
    </w:p>
    <w:p w14:paraId="652C0425">
      <w:pPr>
        <w:spacing w:before="222" w:line="228" w:lineRule="auto"/>
        <w:ind w:left="26"/>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5)</w:t>
      </w:r>
      <w:r>
        <w:rPr>
          <w:rFonts w:ascii="宋体" w:hAnsi="宋体" w:eastAsia="宋体" w:cs="宋体"/>
          <w:color w:val="auto"/>
          <w:spacing w:val="11"/>
          <w:sz w:val="20"/>
          <w:szCs w:val="20"/>
          <w:highlight w:val="none"/>
        </w:rPr>
        <w:t xml:space="preserve">  </w:t>
      </w:r>
      <w:r>
        <w:rPr>
          <w:rFonts w:ascii="宋体" w:hAnsi="宋体" w:eastAsia="宋体" w:cs="宋体"/>
          <w:color w:val="auto"/>
          <w:spacing w:val="3"/>
          <w:sz w:val="20"/>
          <w:szCs w:val="20"/>
          <w:highlight w:val="none"/>
        </w:rPr>
        <w:t>连续通电。</w:t>
      </w:r>
    </w:p>
    <w:p w14:paraId="330C81EE">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3.14 现场试验</w:t>
      </w:r>
    </w:p>
    <w:p w14:paraId="629E55F9">
      <w:pPr>
        <w:spacing w:line="228" w:lineRule="auto"/>
        <w:rPr>
          <w:rFonts w:ascii="宋体" w:hAnsi="宋体" w:eastAsia="宋体" w:cs="宋体"/>
          <w:color w:val="auto"/>
          <w:sz w:val="20"/>
          <w:szCs w:val="20"/>
          <w:highlight w:val="none"/>
        </w:rPr>
        <w:sectPr>
          <w:pgSz w:w="11906" w:h="16839"/>
          <w:pgMar w:top="1431" w:right="1749" w:bottom="400" w:left="1785" w:header="0" w:footer="0" w:gutter="0"/>
          <w:pgBorders>
            <w:top w:val="none" w:sz="0" w:space="0"/>
            <w:left w:val="none" w:sz="0" w:space="0"/>
            <w:bottom w:val="none" w:sz="0" w:space="0"/>
            <w:right w:val="none" w:sz="0" w:space="0"/>
          </w:pgBorders>
          <w:cols w:space="720" w:num="1"/>
        </w:sectPr>
      </w:pPr>
    </w:p>
    <w:p w14:paraId="32B8B46C">
      <w:pPr>
        <w:spacing w:before="318" w:line="224" w:lineRule="auto"/>
        <w:ind w:left="74"/>
        <w:outlineLvl w:val="0"/>
        <w:rPr>
          <w:rFonts w:ascii="宋体" w:hAnsi="宋体" w:eastAsia="宋体" w:cs="宋体"/>
          <w:color w:val="auto"/>
          <w:sz w:val="31"/>
          <w:szCs w:val="31"/>
          <w:highlight w:val="none"/>
        </w:rPr>
      </w:pPr>
      <w:bookmarkStart w:id="23" w:name="bookmark12"/>
      <w:bookmarkEnd w:id="23"/>
      <w:bookmarkStart w:id="24" w:name="bookmark11"/>
      <w:bookmarkEnd w:id="24"/>
      <w:r>
        <w:rPr>
          <w:rFonts w:ascii="宋体" w:hAnsi="宋体" w:eastAsia="宋体" w:cs="宋体"/>
          <w:b/>
          <w:bCs/>
          <w:color w:val="auto"/>
          <w:spacing w:val="2"/>
          <w:sz w:val="31"/>
          <w:szCs w:val="31"/>
          <w:highlight w:val="none"/>
        </w:rPr>
        <w:t>附件</w:t>
      </w:r>
      <w:r>
        <w:rPr>
          <w:rFonts w:ascii="宋体" w:hAnsi="宋体" w:eastAsia="宋体" w:cs="宋体"/>
          <w:color w:val="auto"/>
          <w:spacing w:val="-54"/>
          <w:sz w:val="31"/>
          <w:szCs w:val="31"/>
          <w:highlight w:val="none"/>
        </w:rPr>
        <w:t xml:space="preserve"> </w:t>
      </w:r>
      <w:r>
        <w:rPr>
          <w:rFonts w:ascii="宋体" w:hAnsi="宋体" w:eastAsia="宋体" w:cs="宋体"/>
          <w:b/>
          <w:bCs/>
          <w:color w:val="auto"/>
          <w:spacing w:val="2"/>
          <w:sz w:val="31"/>
          <w:szCs w:val="31"/>
          <w:highlight w:val="none"/>
        </w:rPr>
        <w:t>6</w:t>
      </w:r>
      <w:r>
        <w:rPr>
          <w:rFonts w:ascii="宋体" w:hAnsi="宋体" w:eastAsia="宋体" w:cs="宋体"/>
          <w:color w:val="auto"/>
          <w:spacing w:val="2"/>
          <w:sz w:val="31"/>
          <w:szCs w:val="31"/>
          <w:highlight w:val="none"/>
        </w:rPr>
        <w:t xml:space="preserve">  </w:t>
      </w:r>
      <w:r>
        <w:rPr>
          <w:rFonts w:ascii="宋体" w:hAnsi="宋体" w:eastAsia="宋体" w:cs="宋体"/>
          <w:b/>
          <w:bCs/>
          <w:color w:val="auto"/>
          <w:spacing w:val="2"/>
          <w:sz w:val="31"/>
          <w:szCs w:val="31"/>
          <w:highlight w:val="none"/>
        </w:rPr>
        <w:t>技术服务和联络</w:t>
      </w:r>
    </w:p>
    <w:p w14:paraId="705E5D4A">
      <w:pPr>
        <w:pStyle w:val="3"/>
        <w:spacing w:line="284" w:lineRule="auto"/>
        <w:rPr>
          <w:color w:val="auto"/>
          <w:highlight w:val="none"/>
        </w:rPr>
      </w:pPr>
    </w:p>
    <w:p w14:paraId="65F08624">
      <w:pPr>
        <w:spacing w:before="78" w:line="219" w:lineRule="auto"/>
        <w:ind w:left="64"/>
        <w:outlineLvl w:val="1"/>
        <w:rPr>
          <w:rFonts w:ascii="宋体" w:hAnsi="宋体" w:eastAsia="宋体" w:cs="宋体"/>
          <w:color w:val="auto"/>
          <w:sz w:val="24"/>
          <w:szCs w:val="24"/>
          <w:highlight w:val="none"/>
        </w:rPr>
      </w:pPr>
      <w:r>
        <w:rPr>
          <w:rFonts w:ascii="宋体" w:hAnsi="宋体" w:eastAsia="宋体" w:cs="宋体"/>
          <w:b/>
          <w:bCs/>
          <w:color w:val="auto"/>
          <w:spacing w:val="-6"/>
          <w:sz w:val="24"/>
          <w:szCs w:val="24"/>
          <w:highlight w:val="none"/>
        </w:rPr>
        <w:t>1</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6"/>
          <w:sz w:val="24"/>
          <w:szCs w:val="24"/>
          <w:highlight w:val="none"/>
        </w:rPr>
        <w:t>投标人现场技术服务</w:t>
      </w:r>
    </w:p>
    <w:p w14:paraId="47EA1799">
      <w:pPr>
        <w:spacing w:before="198" w:line="422" w:lineRule="auto"/>
        <w:ind w:left="45" w:right="39" w:firstLine="15"/>
        <w:jc w:val="both"/>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1.1  投标人现场服务人员的目的是使所供设备安全、正常投运。投标</w:t>
      </w:r>
      <w:r>
        <w:rPr>
          <w:rFonts w:ascii="宋体" w:hAnsi="宋体" w:eastAsia="宋体" w:cs="宋体"/>
          <w:color w:val="auto"/>
          <w:spacing w:val="8"/>
          <w:sz w:val="20"/>
          <w:szCs w:val="20"/>
          <w:highlight w:val="none"/>
        </w:rPr>
        <w:t>人要派合格的现场服</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务人员。在投标阶段应提供包括服务人月数的现场服务计划表（格式）。如果此人月数不能</w:t>
      </w:r>
      <w:r>
        <w:rPr>
          <w:rFonts w:ascii="宋体" w:hAnsi="宋体" w:eastAsia="宋体" w:cs="宋体"/>
          <w:color w:val="auto"/>
          <w:spacing w:val="15"/>
          <w:sz w:val="20"/>
          <w:szCs w:val="20"/>
          <w:highlight w:val="none"/>
        </w:rPr>
        <w:t xml:space="preserve"> </w:t>
      </w:r>
      <w:r>
        <w:rPr>
          <w:rFonts w:ascii="宋体" w:hAnsi="宋体" w:eastAsia="宋体" w:cs="宋体"/>
          <w:color w:val="auto"/>
          <w:spacing w:val="9"/>
          <w:sz w:val="20"/>
          <w:szCs w:val="20"/>
          <w:highlight w:val="none"/>
        </w:rPr>
        <w:t>满足工程需要，投标人要求追加人月数，且不发生费用。</w:t>
      </w:r>
    </w:p>
    <w:p w14:paraId="1E7C7BA5">
      <w:pPr>
        <w:spacing w:before="31" w:line="228" w:lineRule="auto"/>
        <w:ind w:left="346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现场服务计划表</w:t>
      </w:r>
    </w:p>
    <w:p w14:paraId="57F1C9D0">
      <w:pPr>
        <w:spacing w:line="92" w:lineRule="exact"/>
        <w:rPr>
          <w:color w:val="auto"/>
          <w:highlight w:val="none"/>
        </w:rPr>
      </w:pPr>
    </w:p>
    <w:tbl>
      <w:tblPr>
        <w:tblStyle w:val="6"/>
        <w:tblW w:w="8366" w:type="dxa"/>
        <w:tblInd w:w="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2"/>
        <w:gridCol w:w="2027"/>
        <w:gridCol w:w="1734"/>
        <w:gridCol w:w="1245"/>
        <w:gridCol w:w="1313"/>
        <w:gridCol w:w="1145"/>
      </w:tblGrid>
      <w:tr w14:paraId="11926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902" w:type="dxa"/>
            <w:vMerge w:val="restart"/>
            <w:tcBorders>
              <w:bottom w:val="nil"/>
            </w:tcBorders>
            <w:vAlign w:val="top"/>
          </w:tcPr>
          <w:p w14:paraId="60B2F1E4">
            <w:pPr>
              <w:pStyle w:val="7"/>
              <w:spacing w:line="330" w:lineRule="auto"/>
              <w:rPr>
                <w:color w:val="auto"/>
                <w:highlight w:val="none"/>
              </w:rPr>
            </w:pPr>
          </w:p>
          <w:p w14:paraId="337F52E1">
            <w:pPr>
              <w:spacing w:before="58" w:line="221" w:lineRule="auto"/>
              <w:ind w:left="271"/>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027" w:type="dxa"/>
            <w:vMerge w:val="restart"/>
            <w:tcBorders>
              <w:bottom w:val="nil"/>
            </w:tcBorders>
            <w:vAlign w:val="top"/>
          </w:tcPr>
          <w:p w14:paraId="0DC7F27E">
            <w:pPr>
              <w:pStyle w:val="7"/>
              <w:spacing w:line="330" w:lineRule="auto"/>
              <w:rPr>
                <w:color w:val="auto"/>
                <w:highlight w:val="none"/>
              </w:rPr>
            </w:pPr>
          </w:p>
          <w:p w14:paraId="73B65C66">
            <w:pPr>
              <w:spacing w:before="59" w:line="219" w:lineRule="auto"/>
              <w:ind w:left="47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技术服务内容</w:t>
            </w:r>
          </w:p>
        </w:tc>
        <w:tc>
          <w:tcPr>
            <w:tcW w:w="1734" w:type="dxa"/>
            <w:vMerge w:val="restart"/>
            <w:tcBorders>
              <w:bottom w:val="nil"/>
            </w:tcBorders>
            <w:vAlign w:val="top"/>
          </w:tcPr>
          <w:p w14:paraId="7795F8B2">
            <w:pPr>
              <w:pStyle w:val="7"/>
              <w:spacing w:line="330" w:lineRule="auto"/>
              <w:rPr>
                <w:color w:val="auto"/>
                <w:highlight w:val="none"/>
              </w:rPr>
            </w:pPr>
          </w:p>
          <w:p w14:paraId="63BA5B4B">
            <w:pPr>
              <w:spacing w:before="59" w:line="219" w:lineRule="auto"/>
              <w:ind w:left="417"/>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计划人月数</w:t>
            </w:r>
          </w:p>
        </w:tc>
        <w:tc>
          <w:tcPr>
            <w:tcW w:w="2558" w:type="dxa"/>
            <w:gridSpan w:val="2"/>
            <w:vAlign w:val="top"/>
          </w:tcPr>
          <w:p w14:paraId="0254CD77">
            <w:pPr>
              <w:spacing w:before="148" w:line="220" w:lineRule="auto"/>
              <w:ind w:left="95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派出人员构成</w:t>
            </w:r>
          </w:p>
        </w:tc>
        <w:tc>
          <w:tcPr>
            <w:tcW w:w="1145" w:type="dxa"/>
            <w:vMerge w:val="restart"/>
            <w:tcBorders>
              <w:bottom w:val="nil"/>
            </w:tcBorders>
            <w:vAlign w:val="top"/>
          </w:tcPr>
          <w:p w14:paraId="51EC5813">
            <w:pPr>
              <w:pStyle w:val="7"/>
              <w:spacing w:line="330" w:lineRule="auto"/>
              <w:rPr>
                <w:color w:val="auto"/>
                <w:highlight w:val="none"/>
              </w:rPr>
            </w:pPr>
          </w:p>
          <w:p w14:paraId="1E7FB7BA">
            <w:pPr>
              <w:spacing w:before="58" w:line="221" w:lineRule="auto"/>
              <w:ind w:left="397"/>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03F64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902" w:type="dxa"/>
            <w:vMerge w:val="continue"/>
            <w:tcBorders>
              <w:top w:val="nil"/>
            </w:tcBorders>
            <w:vAlign w:val="top"/>
          </w:tcPr>
          <w:p w14:paraId="4EAEB3AB">
            <w:pPr>
              <w:pStyle w:val="7"/>
              <w:rPr>
                <w:color w:val="auto"/>
                <w:highlight w:val="none"/>
              </w:rPr>
            </w:pPr>
          </w:p>
        </w:tc>
        <w:tc>
          <w:tcPr>
            <w:tcW w:w="2027" w:type="dxa"/>
            <w:vMerge w:val="continue"/>
            <w:tcBorders>
              <w:top w:val="nil"/>
            </w:tcBorders>
            <w:vAlign w:val="top"/>
          </w:tcPr>
          <w:p w14:paraId="168C7820">
            <w:pPr>
              <w:pStyle w:val="7"/>
              <w:rPr>
                <w:color w:val="auto"/>
                <w:highlight w:val="none"/>
              </w:rPr>
            </w:pPr>
          </w:p>
        </w:tc>
        <w:tc>
          <w:tcPr>
            <w:tcW w:w="1734" w:type="dxa"/>
            <w:vMerge w:val="continue"/>
            <w:tcBorders>
              <w:top w:val="nil"/>
            </w:tcBorders>
            <w:vAlign w:val="top"/>
          </w:tcPr>
          <w:p w14:paraId="448A1E85">
            <w:pPr>
              <w:pStyle w:val="7"/>
              <w:rPr>
                <w:color w:val="auto"/>
                <w:highlight w:val="none"/>
              </w:rPr>
            </w:pPr>
          </w:p>
        </w:tc>
        <w:tc>
          <w:tcPr>
            <w:tcW w:w="1245" w:type="dxa"/>
            <w:vAlign w:val="top"/>
          </w:tcPr>
          <w:p w14:paraId="514D4E8E">
            <w:pPr>
              <w:spacing w:before="145" w:line="221" w:lineRule="auto"/>
              <w:ind w:left="654"/>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职称</w:t>
            </w:r>
          </w:p>
        </w:tc>
        <w:tc>
          <w:tcPr>
            <w:tcW w:w="1313" w:type="dxa"/>
            <w:vAlign w:val="top"/>
          </w:tcPr>
          <w:p w14:paraId="093E0356">
            <w:pPr>
              <w:spacing w:before="145" w:line="219" w:lineRule="auto"/>
              <w:ind w:left="48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人数</w:t>
            </w:r>
          </w:p>
        </w:tc>
        <w:tc>
          <w:tcPr>
            <w:tcW w:w="1145" w:type="dxa"/>
            <w:vMerge w:val="continue"/>
            <w:tcBorders>
              <w:top w:val="nil"/>
            </w:tcBorders>
            <w:vAlign w:val="top"/>
          </w:tcPr>
          <w:p w14:paraId="607F4069">
            <w:pPr>
              <w:pStyle w:val="7"/>
              <w:rPr>
                <w:color w:val="auto"/>
                <w:highlight w:val="none"/>
              </w:rPr>
            </w:pPr>
          </w:p>
        </w:tc>
      </w:tr>
      <w:tr w14:paraId="1697D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902" w:type="dxa"/>
            <w:vAlign w:val="top"/>
          </w:tcPr>
          <w:p w14:paraId="2E8FBC96">
            <w:pPr>
              <w:pStyle w:val="7"/>
              <w:rPr>
                <w:color w:val="auto"/>
                <w:highlight w:val="none"/>
              </w:rPr>
            </w:pPr>
          </w:p>
        </w:tc>
        <w:tc>
          <w:tcPr>
            <w:tcW w:w="2027" w:type="dxa"/>
            <w:vAlign w:val="top"/>
          </w:tcPr>
          <w:p w14:paraId="0541A025">
            <w:pPr>
              <w:pStyle w:val="7"/>
              <w:rPr>
                <w:color w:val="auto"/>
                <w:highlight w:val="none"/>
              </w:rPr>
            </w:pPr>
          </w:p>
        </w:tc>
        <w:tc>
          <w:tcPr>
            <w:tcW w:w="1734" w:type="dxa"/>
            <w:vAlign w:val="top"/>
          </w:tcPr>
          <w:p w14:paraId="65EDFE81">
            <w:pPr>
              <w:pStyle w:val="7"/>
              <w:rPr>
                <w:color w:val="auto"/>
                <w:highlight w:val="none"/>
              </w:rPr>
            </w:pPr>
          </w:p>
        </w:tc>
        <w:tc>
          <w:tcPr>
            <w:tcW w:w="1245" w:type="dxa"/>
            <w:vAlign w:val="top"/>
          </w:tcPr>
          <w:p w14:paraId="5FBEF008">
            <w:pPr>
              <w:pStyle w:val="7"/>
              <w:rPr>
                <w:color w:val="auto"/>
                <w:highlight w:val="none"/>
              </w:rPr>
            </w:pPr>
          </w:p>
        </w:tc>
        <w:tc>
          <w:tcPr>
            <w:tcW w:w="1313" w:type="dxa"/>
            <w:vAlign w:val="top"/>
          </w:tcPr>
          <w:p w14:paraId="092A3B87">
            <w:pPr>
              <w:pStyle w:val="7"/>
              <w:rPr>
                <w:color w:val="auto"/>
                <w:highlight w:val="none"/>
              </w:rPr>
            </w:pPr>
          </w:p>
        </w:tc>
        <w:tc>
          <w:tcPr>
            <w:tcW w:w="1145" w:type="dxa"/>
            <w:vAlign w:val="top"/>
          </w:tcPr>
          <w:p w14:paraId="733A13EA">
            <w:pPr>
              <w:pStyle w:val="7"/>
              <w:rPr>
                <w:color w:val="auto"/>
                <w:highlight w:val="none"/>
              </w:rPr>
            </w:pPr>
          </w:p>
        </w:tc>
      </w:tr>
      <w:tr w14:paraId="365382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902" w:type="dxa"/>
            <w:vAlign w:val="top"/>
          </w:tcPr>
          <w:p w14:paraId="25893471">
            <w:pPr>
              <w:pStyle w:val="7"/>
              <w:rPr>
                <w:color w:val="auto"/>
                <w:highlight w:val="none"/>
              </w:rPr>
            </w:pPr>
          </w:p>
        </w:tc>
        <w:tc>
          <w:tcPr>
            <w:tcW w:w="2027" w:type="dxa"/>
            <w:vAlign w:val="top"/>
          </w:tcPr>
          <w:p w14:paraId="59621F3F">
            <w:pPr>
              <w:pStyle w:val="7"/>
              <w:rPr>
                <w:color w:val="auto"/>
                <w:highlight w:val="none"/>
              </w:rPr>
            </w:pPr>
          </w:p>
        </w:tc>
        <w:tc>
          <w:tcPr>
            <w:tcW w:w="1734" w:type="dxa"/>
            <w:vAlign w:val="top"/>
          </w:tcPr>
          <w:p w14:paraId="6C7D4ECF">
            <w:pPr>
              <w:pStyle w:val="7"/>
              <w:rPr>
                <w:color w:val="auto"/>
                <w:highlight w:val="none"/>
              </w:rPr>
            </w:pPr>
          </w:p>
        </w:tc>
        <w:tc>
          <w:tcPr>
            <w:tcW w:w="1245" w:type="dxa"/>
            <w:vAlign w:val="top"/>
          </w:tcPr>
          <w:p w14:paraId="62068038">
            <w:pPr>
              <w:pStyle w:val="7"/>
              <w:rPr>
                <w:color w:val="auto"/>
                <w:highlight w:val="none"/>
              </w:rPr>
            </w:pPr>
          </w:p>
        </w:tc>
        <w:tc>
          <w:tcPr>
            <w:tcW w:w="1313" w:type="dxa"/>
            <w:vAlign w:val="top"/>
          </w:tcPr>
          <w:p w14:paraId="5EB9EDB0">
            <w:pPr>
              <w:pStyle w:val="7"/>
              <w:rPr>
                <w:color w:val="auto"/>
                <w:highlight w:val="none"/>
              </w:rPr>
            </w:pPr>
          </w:p>
        </w:tc>
        <w:tc>
          <w:tcPr>
            <w:tcW w:w="1145" w:type="dxa"/>
            <w:vAlign w:val="top"/>
          </w:tcPr>
          <w:p w14:paraId="78F983FC">
            <w:pPr>
              <w:pStyle w:val="7"/>
              <w:rPr>
                <w:color w:val="auto"/>
                <w:highlight w:val="none"/>
              </w:rPr>
            </w:pPr>
          </w:p>
        </w:tc>
      </w:tr>
      <w:tr w14:paraId="42BE0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8" w:hRule="atLeast"/>
        </w:trPr>
        <w:tc>
          <w:tcPr>
            <w:tcW w:w="902" w:type="dxa"/>
            <w:vAlign w:val="top"/>
          </w:tcPr>
          <w:p w14:paraId="0611F127">
            <w:pPr>
              <w:pStyle w:val="7"/>
              <w:rPr>
                <w:color w:val="auto"/>
                <w:highlight w:val="none"/>
              </w:rPr>
            </w:pPr>
          </w:p>
        </w:tc>
        <w:tc>
          <w:tcPr>
            <w:tcW w:w="2027" w:type="dxa"/>
            <w:vAlign w:val="top"/>
          </w:tcPr>
          <w:p w14:paraId="5472E1F0">
            <w:pPr>
              <w:pStyle w:val="7"/>
              <w:rPr>
                <w:color w:val="auto"/>
                <w:highlight w:val="none"/>
              </w:rPr>
            </w:pPr>
          </w:p>
        </w:tc>
        <w:tc>
          <w:tcPr>
            <w:tcW w:w="1734" w:type="dxa"/>
            <w:vAlign w:val="top"/>
          </w:tcPr>
          <w:p w14:paraId="557BD4C1">
            <w:pPr>
              <w:pStyle w:val="7"/>
              <w:rPr>
                <w:color w:val="auto"/>
                <w:highlight w:val="none"/>
              </w:rPr>
            </w:pPr>
          </w:p>
        </w:tc>
        <w:tc>
          <w:tcPr>
            <w:tcW w:w="1245" w:type="dxa"/>
            <w:vAlign w:val="top"/>
          </w:tcPr>
          <w:p w14:paraId="688019E3">
            <w:pPr>
              <w:pStyle w:val="7"/>
              <w:rPr>
                <w:color w:val="auto"/>
                <w:highlight w:val="none"/>
              </w:rPr>
            </w:pPr>
          </w:p>
        </w:tc>
        <w:tc>
          <w:tcPr>
            <w:tcW w:w="1313" w:type="dxa"/>
            <w:vAlign w:val="top"/>
          </w:tcPr>
          <w:p w14:paraId="5AAB660E">
            <w:pPr>
              <w:pStyle w:val="7"/>
              <w:rPr>
                <w:color w:val="auto"/>
                <w:highlight w:val="none"/>
              </w:rPr>
            </w:pPr>
          </w:p>
        </w:tc>
        <w:tc>
          <w:tcPr>
            <w:tcW w:w="1145" w:type="dxa"/>
            <w:vAlign w:val="top"/>
          </w:tcPr>
          <w:p w14:paraId="1D77AE75">
            <w:pPr>
              <w:pStyle w:val="7"/>
              <w:rPr>
                <w:color w:val="auto"/>
                <w:highlight w:val="none"/>
              </w:rPr>
            </w:pPr>
          </w:p>
        </w:tc>
      </w:tr>
    </w:tbl>
    <w:p w14:paraId="52DA6B1D">
      <w:pPr>
        <w:spacing w:before="130" w:line="228" w:lineRule="auto"/>
        <w:ind w:left="6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  投标人现场服务人员应具有下列资质：</w:t>
      </w:r>
    </w:p>
    <w:p w14:paraId="6DADB7B8">
      <w:pPr>
        <w:spacing w:before="222" w:line="227" w:lineRule="auto"/>
        <w:ind w:left="6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1.2.1  遵守法纪，遵守现场的各项规章和制度</w:t>
      </w:r>
      <w:r>
        <w:rPr>
          <w:rFonts w:ascii="宋体" w:hAnsi="宋体" w:eastAsia="宋体" w:cs="宋体"/>
          <w:color w:val="auto"/>
          <w:spacing w:val="-53"/>
          <w:sz w:val="20"/>
          <w:szCs w:val="20"/>
          <w:highlight w:val="none"/>
        </w:rPr>
        <w:t xml:space="preserve"> </w:t>
      </w:r>
      <w:r>
        <w:rPr>
          <w:rFonts w:ascii="宋体" w:hAnsi="宋体" w:eastAsia="宋体" w:cs="宋体"/>
          <w:color w:val="auto"/>
          <w:spacing w:val="7"/>
          <w:sz w:val="20"/>
          <w:szCs w:val="20"/>
          <w:highlight w:val="none"/>
        </w:rPr>
        <w:t>;</w:t>
      </w:r>
    </w:p>
    <w:p w14:paraId="3A6D3B73">
      <w:pPr>
        <w:spacing w:before="221" w:line="228" w:lineRule="auto"/>
        <w:ind w:left="6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1.2.2  有较强的责任感和事业心，按时到位</w:t>
      </w:r>
      <w:r>
        <w:rPr>
          <w:rFonts w:ascii="宋体" w:hAnsi="宋体" w:eastAsia="宋体" w:cs="宋体"/>
          <w:color w:val="auto"/>
          <w:spacing w:val="-57"/>
          <w:sz w:val="20"/>
          <w:szCs w:val="20"/>
          <w:highlight w:val="none"/>
        </w:rPr>
        <w:t xml:space="preserve"> </w:t>
      </w:r>
      <w:r>
        <w:rPr>
          <w:rFonts w:ascii="宋体" w:hAnsi="宋体" w:eastAsia="宋体" w:cs="宋体"/>
          <w:color w:val="auto"/>
          <w:spacing w:val="7"/>
          <w:sz w:val="20"/>
          <w:szCs w:val="20"/>
          <w:highlight w:val="none"/>
        </w:rPr>
        <w:t>;</w:t>
      </w:r>
    </w:p>
    <w:p w14:paraId="0947A53B">
      <w:pPr>
        <w:spacing w:before="222" w:line="330" w:lineRule="auto"/>
        <w:ind w:left="45" w:right="51" w:firstLine="1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1.2.3  了解合同设备的设计，熟悉其结构，</w:t>
      </w:r>
      <w:r>
        <w:rPr>
          <w:rFonts w:ascii="宋体" w:hAnsi="宋体" w:eastAsia="宋体" w:cs="宋体"/>
          <w:color w:val="auto"/>
          <w:spacing w:val="8"/>
          <w:sz w:val="20"/>
          <w:szCs w:val="20"/>
          <w:highlight w:val="none"/>
        </w:rPr>
        <w:t>有相同或相近机组的现场工作经验，能够正确</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地进行现场指导</w:t>
      </w:r>
      <w:r>
        <w:rPr>
          <w:rFonts w:ascii="宋体" w:hAnsi="宋体" w:eastAsia="宋体" w:cs="宋体"/>
          <w:color w:val="auto"/>
          <w:spacing w:val="-55"/>
          <w:sz w:val="20"/>
          <w:szCs w:val="20"/>
          <w:highlight w:val="none"/>
        </w:rPr>
        <w:t xml:space="preserve"> </w:t>
      </w:r>
      <w:r>
        <w:rPr>
          <w:rFonts w:ascii="宋体" w:hAnsi="宋体" w:eastAsia="宋体" w:cs="宋体"/>
          <w:color w:val="auto"/>
          <w:spacing w:val="7"/>
          <w:sz w:val="20"/>
          <w:szCs w:val="20"/>
          <w:highlight w:val="none"/>
        </w:rPr>
        <w:t>;</w:t>
      </w:r>
    </w:p>
    <w:p w14:paraId="0D34F3A8">
      <w:pPr>
        <w:spacing w:before="220" w:line="228" w:lineRule="auto"/>
        <w:ind w:left="61"/>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1.2.4  身体健康，适应现场工作的条件。</w:t>
      </w:r>
    </w:p>
    <w:p w14:paraId="14E7CFB7">
      <w:pPr>
        <w:spacing w:before="222" w:line="372" w:lineRule="auto"/>
        <w:ind w:left="47" w:right="51" w:firstLine="420"/>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投标人要向招标人提供服务人员情况表(见下表格式）。投标人须更换不合格的投标人</w:t>
      </w:r>
      <w:r>
        <w:rPr>
          <w:rFonts w:ascii="宋体" w:hAnsi="宋体" w:eastAsia="宋体" w:cs="宋体"/>
          <w:color w:val="auto"/>
          <w:spacing w:val="18"/>
          <w:sz w:val="20"/>
          <w:szCs w:val="20"/>
          <w:highlight w:val="none"/>
        </w:rPr>
        <w:t xml:space="preserve"> </w:t>
      </w:r>
      <w:r>
        <w:rPr>
          <w:rFonts w:ascii="宋体" w:hAnsi="宋体" w:eastAsia="宋体" w:cs="宋体"/>
          <w:color w:val="auto"/>
          <w:spacing w:val="8"/>
          <w:sz w:val="20"/>
          <w:szCs w:val="20"/>
          <w:highlight w:val="none"/>
        </w:rPr>
        <w:t>现场服务人员。服务人员情况表：</w:t>
      </w:r>
    </w:p>
    <w:tbl>
      <w:tblPr>
        <w:tblStyle w:val="6"/>
        <w:tblW w:w="836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53"/>
        <w:gridCol w:w="1043"/>
        <w:gridCol w:w="1042"/>
        <w:gridCol w:w="1043"/>
        <w:gridCol w:w="1043"/>
        <w:gridCol w:w="1043"/>
        <w:gridCol w:w="1042"/>
        <w:gridCol w:w="1057"/>
      </w:tblGrid>
      <w:tr w14:paraId="6D0CE9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9" w:hRule="atLeast"/>
        </w:trPr>
        <w:tc>
          <w:tcPr>
            <w:tcW w:w="1053" w:type="dxa"/>
            <w:vAlign w:val="top"/>
          </w:tcPr>
          <w:p w14:paraId="27630246">
            <w:pPr>
              <w:spacing w:before="197" w:line="219" w:lineRule="auto"/>
              <w:ind w:left="449"/>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姓名</w:t>
            </w:r>
          </w:p>
        </w:tc>
        <w:tc>
          <w:tcPr>
            <w:tcW w:w="1043" w:type="dxa"/>
            <w:vAlign w:val="top"/>
          </w:tcPr>
          <w:p w14:paraId="4219F473">
            <w:pPr>
              <w:pStyle w:val="7"/>
              <w:rPr>
                <w:color w:val="auto"/>
                <w:highlight w:val="none"/>
              </w:rPr>
            </w:pPr>
          </w:p>
        </w:tc>
        <w:tc>
          <w:tcPr>
            <w:tcW w:w="1042" w:type="dxa"/>
            <w:vAlign w:val="top"/>
          </w:tcPr>
          <w:p w14:paraId="28CD7272">
            <w:pPr>
              <w:spacing w:before="197" w:line="220" w:lineRule="auto"/>
              <w:ind w:left="34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性别</w:t>
            </w:r>
          </w:p>
        </w:tc>
        <w:tc>
          <w:tcPr>
            <w:tcW w:w="1043" w:type="dxa"/>
            <w:vAlign w:val="top"/>
          </w:tcPr>
          <w:p w14:paraId="36DBA8FA">
            <w:pPr>
              <w:pStyle w:val="7"/>
              <w:rPr>
                <w:color w:val="auto"/>
                <w:highlight w:val="none"/>
              </w:rPr>
            </w:pPr>
          </w:p>
        </w:tc>
        <w:tc>
          <w:tcPr>
            <w:tcW w:w="1043" w:type="dxa"/>
            <w:vAlign w:val="top"/>
          </w:tcPr>
          <w:p w14:paraId="7D914DD4">
            <w:pPr>
              <w:spacing w:before="197" w:line="219" w:lineRule="auto"/>
              <w:ind w:left="342"/>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年龄</w:t>
            </w:r>
          </w:p>
        </w:tc>
        <w:tc>
          <w:tcPr>
            <w:tcW w:w="1043" w:type="dxa"/>
            <w:vAlign w:val="top"/>
          </w:tcPr>
          <w:p w14:paraId="650258DA">
            <w:pPr>
              <w:pStyle w:val="7"/>
              <w:rPr>
                <w:color w:val="auto"/>
                <w:highlight w:val="none"/>
              </w:rPr>
            </w:pPr>
          </w:p>
        </w:tc>
        <w:tc>
          <w:tcPr>
            <w:tcW w:w="1042" w:type="dxa"/>
            <w:vAlign w:val="top"/>
          </w:tcPr>
          <w:p w14:paraId="52661B4E">
            <w:pPr>
              <w:spacing w:before="197" w:line="221" w:lineRule="auto"/>
              <w:ind w:left="363"/>
              <w:rPr>
                <w:rFonts w:ascii="宋体" w:hAnsi="宋体" w:eastAsia="宋体" w:cs="宋体"/>
                <w:color w:val="auto"/>
                <w:sz w:val="18"/>
                <w:szCs w:val="18"/>
                <w:highlight w:val="none"/>
              </w:rPr>
            </w:pPr>
            <w:r>
              <w:rPr>
                <w:rFonts w:ascii="宋体" w:hAnsi="宋体" w:eastAsia="宋体" w:cs="宋体"/>
                <w:color w:val="auto"/>
                <w:spacing w:val="-13"/>
                <w:sz w:val="18"/>
                <w:szCs w:val="18"/>
                <w:highlight w:val="none"/>
              </w:rPr>
              <w:t>民族</w:t>
            </w:r>
          </w:p>
        </w:tc>
        <w:tc>
          <w:tcPr>
            <w:tcW w:w="1057" w:type="dxa"/>
            <w:vAlign w:val="top"/>
          </w:tcPr>
          <w:p w14:paraId="35287120">
            <w:pPr>
              <w:pStyle w:val="7"/>
              <w:rPr>
                <w:color w:val="auto"/>
                <w:highlight w:val="none"/>
              </w:rPr>
            </w:pPr>
          </w:p>
        </w:tc>
      </w:tr>
      <w:tr w14:paraId="787B08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trPr>
        <w:tc>
          <w:tcPr>
            <w:tcW w:w="1053" w:type="dxa"/>
            <w:vAlign w:val="top"/>
          </w:tcPr>
          <w:p w14:paraId="0BB2ED15">
            <w:pPr>
              <w:spacing w:before="191" w:line="220" w:lineRule="auto"/>
              <w:ind w:left="347"/>
              <w:rPr>
                <w:rFonts w:ascii="宋体" w:hAnsi="宋体" w:eastAsia="宋体" w:cs="宋体"/>
                <w:color w:val="auto"/>
                <w:sz w:val="18"/>
                <w:szCs w:val="18"/>
                <w:highlight w:val="none"/>
              </w:rPr>
            </w:pPr>
            <w:r>
              <w:rPr>
                <w:rFonts w:ascii="宋体" w:hAnsi="宋体" w:eastAsia="宋体" w:cs="宋体"/>
                <w:color w:val="auto"/>
                <w:spacing w:val="-6"/>
                <w:sz w:val="18"/>
                <w:szCs w:val="18"/>
                <w:highlight w:val="none"/>
              </w:rPr>
              <w:t>学校</w:t>
            </w:r>
          </w:p>
        </w:tc>
        <w:tc>
          <w:tcPr>
            <w:tcW w:w="1043" w:type="dxa"/>
            <w:vAlign w:val="top"/>
          </w:tcPr>
          <w:p w14:paraId="1EE51DC3">
            <w:pPr>
              <w:pStyle w:val="7"/>
              <w:rPr>
                <w:color w:val="auto"/>
                <w:highlight w:val="none"/>
              </w:rPr>
            </w:pPr>
          </w:p>
        </w:tc>
        <w:tc>
          <w:tcPr>
            <w:tcW w:w="1042" w:type="dxa"/>
            <w:vAlign w:val="top"/>
          </w:tcPr>
          <w:p w14:paraId="7E3616AB">
            <w:pPr>
              <w:spacing w:before="191" w:line="220" w:lineRule="auto"/>
              <w:ind w:left="339"/>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专业</w:t>
            </w:r>
          </w:p>
        </w:tc>
        <w:tc>
          <w:tcPr>
            <w:tcW w:w="1043" w:type="dxa"/>
            <w:vAlign w:val="top"/>
          </w:tcPr>
          <w:p w14:paraId="630FBE87">
            <w:pPr>
              <w:pStyle w:val="7"/>
              <w:rPr>
                <w:color w:val="auto"/>
                <w:highlight w:val="none"/>
              </w:rPr>
            </w:pPr>
          </w:p>
        </w:tc>
        <w:tc>
          <w:tcPr>
            <w:tcW w:w="1043" w:type="dxa"/>
            <w:vAlign w:val="top"/>
          </w:tcPr>
          <w:p w14:paraId="35FB4D5F">
            <w:pPr>
              <w:spacing w:before="191" w:line="219" w:lineRule="auto"/>
              <w:ind w:left="342"/>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职务</w:t>
            </w:r>
          </w:p>
        </w:tc>
        <w:tc>
          <w:tcPr>
            <w:tcW w:w="1043" w:type="dxa"/>
            <w:vAlign w:val="top"/>
          </w:tcPr>
          <w:p w14:paraId="3E469457">
            <w:pPr>
              <w:pStyle w:val="7"/>
              <w:rPr>
                <w:color w:val="auto"/>
                <w:highlight w:val="none"/>
              </w:rPr>
            </w:pPr>
          </w:p>
        </w:tc>
        <w:tc>
          <w:tcPr>
            <w:tcW w:w="1042" w:type="dxa"/>
            <w:vAlign w:val="top"/>
          </w:tcPr>
          <w:p w14:paraId="516D03D3">
            <w:pPr>
              <w:spacing w:before="191" w:line="221" w:lineRule="auto"/>
              <w:ind w:left="346"/>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职称</w:t>
            </w:r>
          </w:p>
        </w:tc>
        <w:tc>
          <w:tcPr>
            <w:tcW w:w="1057" w:type="dxa"/>
            <w:vAlign w:val="top"/>
          </w:tcPr>
          <w:p w14:paraId="01DF762E">
            <w:pPr>
              <w:pStyle w:val="7"/>
              <w:rPr>
                <w:color w:val="auto"/>
                <w:highlight w:val="none"/>
              </w:rPr>
            </w:pPr>
          </w:p>
        </w:tc>
      </w:tr>
      <w:tr w14:paraId="014F0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39" w:hRule="atLeast"/>
        </w:trPr>
        <w:tc>
          <w:tcPr>
            <w:tcW w:w="1053" w:type="dxa"/>
            <w:textDirection w:val="tbRlV"/>
            <w:vAlign w:val="top"/>
          </w:tcPr>
          <w:p w14:paraId="2612973E">
            <w:pPr>
              <w:pStyle w:val="7"/>
              <w:spacing w:line="365" w:lineRule="auto"/>
              <w:rPr>
                <w:color w:val="auto"/>
                <w:highlight w:val="none"/>
              </w:rPr>
            </w:pPr>
          </w:p>
          <w:p w14:paraId="3C65FF6F">
            <w:pPr>
              <w:spacing w:before="61" w:line="197" w:lineRule="auto"/>
              <w:ind w:left="1001"/>
              <w:rPr>
                <w:rFonts w:ascii="宋体" w:hAnsi="宋体" w:eastAsia="宋体" w:cs="宋体"/>
                <w:color w:val="auto"/>
                <w:sz w:val="18"/>
                <w:szCs w:val="18"/>
                <w:highlight w:val="none"/>
              </w:rPr>
            </w:pPr>
            <w:r>
              <w:rPr>
                <w:rFonts w:ascii="宋体" w:hAnsi="宋体" w:eastAsia="宋体" w:cs="宋体"/>
                <w:color w:val="auto"/>
                <w:sz w:val="18"/>
                <w:szCs w:val="18"/>
                <w:highlight w:val="none"/>
              </w:rPr>
              <w:t>工作简历</w:t>
            </w:r>
          </w:p>
        </w:tc>
        <w:tc>
          <w:tcPr>
            <w:tcW w:w="7313" w:type="dxa"/>
            <w:gridSpan w:val="7"/>
            <w:vAlign w:val="top"/>
          </w:tcPr>
          <w:p w14:paraId="7F824BE6">
            <w:pPr>
              <w:spacing w:before="144" w:line="219" w:lineRule="auto"/>
              <w:ind w:left="30"/>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（现场服务业绩）</w:t>
            </w:r>
          </w:p>
        </w:tc>
      </w:tr>
    </w:tbl>
    <w:p w14:paraId="06DD2C97">
      <w:pPr>
        <w:spacing w:before="130" w:line="228" w:lineRule="auto"/>
        <w:ind w:left="790"/>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（注：</w:t>
      </w:r>
      <w:r>
        <w:rPr>
          <w:rFonts w:ascii="宋体" w:hAnsi="宋体" w:eastAsia="宋体" w:cs="宋体"/>
          <w:color w:val="auto"/>
          <w:spacing w:val="28"/>
          <w:sz w:val="20"/>
          <w:szCs w:val="20"/>
          <w:highlight w:val="none"/>
        </w:rPr>
        <w:t xml:space="preserve"> </w:t>
      </w:r>
      <w:r>
        <w:rPr>
          <w:rFonts w:ascii="宋体" w:hAnsi="宋体" w:eastAsia="宋体" w:cs="宋体"/>
          <w:color w:val="auto"/>
          <w:spacing w:val="3"/>
          <w:sz w:val="20"/>
          <w:szCs w:val="20"/>
          <w:highlight w:val="none"/>
        </w:rPr>
        <w:t>每人一表）</w:t>
      </w:r>
    </w:p>
    <w:p w14:paraId="2C0FB742">
      <w:pPr>
        <w:spacing w:line="228" w:lineRule="auto"/>
        <w:rPr>
          <w:rFonts w:ascii="宋体" w:hAnsi="宋体" w:eastAsia="宋体" w:cs="宋体"/>
          <w:color w:val="auto"/>
          <w:sz w:val="20"/>
          <w:szCs w:val="20"/>
          <w:highlight w:val="none"/>
        </w:rPr>
        <w:sectPr>
          <w:pgSz w:w="11906" w:h="16839"/>
          <w:pgMar w:top="1431" w:right="1762" w:bottom="400" w:left="1762" w:header="0" w:footer="0" w:gutter="0"/>
          <w:pgBorders>
            <w:top w:val="none" w:sz="0" w:space="0"/>
            <w:left w:val="none" w:sz="0" w:space="0"/>
            <w:bottom w:val="none" w:sz="0" w:space="0"/>
            <w:right w:val="none" w:sz="0" w:space="0"/>
          </w:pgBorders>
          <w:cols w:space="720" w:num="1"/>
        </w:sectPr>
      </w:pPr>
    </w:p>
    <w:p w14:paraId="71DF5AEF">
      <w:pPr>
        <w:spacing w:before="137" w:line="228" w:lineRule="auto"/>
        <w:ind w:left="5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1.3  投标人现场服务人员的职责</w:t>
      </w:r>
    </w:p>
    <w:p w14:paraId="74F79265">
      <w:pPr>
        <w:spacing w:before="220" w:line="330" w:lineRule="auto"/>
        <w:ind w:left="47" w:right="49" w:firstLine="1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1.3.1  投标人现场服务人员的任务主要包括</w:t>
      </w:r>
      <w:r>
        <w:rPr>
          <w:rFonts w:ascii="宋体" w:hAnsi="宋体" w:eastAsia="宋体" w:cs="宋体"/>
          <w:color w:val="auto"/>
          <w:spacing w:val="8"/>
          <w:sz w:val="20"/>
          <w:szCs w:val="20"/>
          <w:highlight w:val="none"/>
        </w:rPr>
        <w:t>设备催交、货物的开箱检验、设备质量问题的</w:t>
      </w:r>
      <w:r>
        <w:rPr>
          <w:rFonts w:ascii="宋体" w:hAnsi="宋体" w:eastAsia="宋体" w:cs="宋体"/>
          <w:color w:val="auto"/>
          <w:sz w:val="20"/>
          <w:szCs w:val="20"/>
          <w:highlight w:val="none"/>
        </w:rPr>
        <w:t xml:space="preserve"> </w:t>
      </w:r>
      <w:r>
        <w:rPr>
          <w:rFonts w:ascii="宋体" w:hAnsi="宋体" w:eastAsia="宋体" w:cs="宋体"/>
          <w:color w:val="auto"/>
          <w:spacing w:val="9"/>
          <w:sz w:val="20"/>
          <w:szCs w:val="20"/>
          <w:highlight w:val="none"/>
        </w:rPr>
        <w:t>处理、指导安装和调试、参加试运和性能验收</w:t>
      </w:r>
      <w:r>
        <w:rPr>
          <w:rFonts w:ascii="宋体" w:hAnsi="宋体" w:eastAsia="宋体" w:cs="宋体"/>
          <w:color w:val="auto"/>
          <w:spacing w:val="8"/>
          <w:sz w:val="20"/>
          <w:szCs w:val="20"/>
          <w:highlight w:val="none"/>
        </w:rPr>
        <w:t>试验。</w:t>
      </w:r>
    </w:p>
    <w:p w14:paraId="237A67E3">
      <w:pPr>
        <w:spacing w:before="221" w:line="381" w:lineRule="auto"/>
        <w:ind w:left="42" w:right="37" w:firstLine="1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1.3.2</w:t>
      </w:r>
      <w:r>
        <w:rPr>
          <w:rFonts w:ascii="宋体" w:hAnsi="宋体" w:eastAsia="宋体" w:cs="宋体"/>
          <w:color w:val="auto"/>
          <w:spacing w:val="-41"/>
          <w:sz w:val="20"/>
          <w:szCs w:val="20"/>
          <w:highlight w:val="none"/>
        </w:rPr>
        <w:t xml:space="preserve"> </w:t>
      </w:r>
      <w:r>
        <w:rPr>
          <w:rFonts w:ascii="宋体" w:hAnsi="宋体" w:eastAsia="宋体" w:cs="宋体"/>
          <w:color w:val="auto"/>
          <w:spacing w:val="8"/>
          <w:sz w:val="20"/>
          <w:szCs w:val="20"/>
          <w:highlight w:val="none"/>
        </w:rPr>
        <w:t>在安装和调试前，投标人技术服务人员应向招标</w:t>
      </w:r>
      <w:r>
        <w:rPr>
          <w:rFonts w:ascii="宋体" w:hAnsi="宋体" w:eastAsia="宋体" w:cs="宋体"/>
          <w:color w:val="auto"/>
          <w:spacing w:val="7"/>
          <w:sz w:val="20"/>
          <w:szCs w:val="20"/>
          <w:highlight w:val="none"/>
        </w:rPr>
        <w:t>人技术交底，讲解和示范将要进行的</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程序和方法。对重要工序（见下表</w:t>
      </w:r>
      <w:r>
        <w:rPr>
          <w:rFonts w:ascii="宋体" w:hAnsi="宋体" w:eastAsia="宋体" w:cs="宋体"/>
          <w:color w:val="auto"/>
          <w:spacing w:val="-3"/>
          <w:sz w:val="20"/>
          <w:szCs w:val="20"/>
          <w:highlight w:val="none"/>
        </w:rPr>
        <w:t>），</w:t>
      </w:r>
      <w:r>
        <w:rPr>
          <w:rFonts w:ascii="宋体" w:hAnsi="宋体" w:eastAsia="宋体" w:cs="宋体"/>
          <w:color w:val="auto"/>
          <w:spacing w:val="8"/>
          <w:sz w:val="20"/>
          <w:szCs w:val="20"/>
          <w:highlight w:val="none"/>
        </w:rPr>
        <w:t>投标人技术人员要对施工情况进行确认和签证</w:t>
      </w:r>
      <w:r>
        <w:rPr>
          <w:rFonts w:ascii="宋体" w:hAnsi="宋体" w:eastAsia="宋体" w:cs="宋体"/>
          <w:color w:val="auto"/>
          <w:spacing w:val="7"/>
          <w:sz w:val="20"/>
          <w:szCs w:val="20"/>
          <w:highlight w:val="none"/>
        </w:rPr>
        <w:t>，否则</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招标人不能进行下一道工序。经投标人确认和签证的工序如因投标人技术服务人员指导错误</w:t>
      </w:r>
      <w:r>
        <w:rPr>
          <w:rFonts w:ascii="宋体" w:hAnsi="宋体" w:eastAsia="宋体" w:cs="宋体"/>
          <w:color w:val="auto"/>
          <w:spacing w:val="15"/>
          <w:sz w:val="20"/>
          <w:szCs w:val="20"/>
          <w:highlight w:val="none"/>
        </w:rPr>
        <w:t xml:space="preserve"> </w:t>
      </w:r>
      <w:r>
        <w:rPr>
          <w:rFonts w:ascii="宋体" w:hAnsi="宋体" w:eastAsia="宋体" w:cs="宋体"/>
          <w:color w:val="auto"/>
          <w:spacing w:val="8"/>
          <w:sz w:val="20"/>
          <w:szCs w:val="20"/>
          <w:highlight w:val="none"/>
        </w:rPr>
        <w:t>而发生问题，投标人负全部责任。</w:t>
      </w:r>
    </w:p>
    <w:p w14:paraId="7FA5868D">
      <w:pPr>
        <w:spacing w:before="221" w:line="228" w:lineRule="auto"/>
        <w:ind w:left="241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安装、调试重要工序表（投标人细化）</w:t>
      </w:r>
    </w:p>
    <w:p w14:paraId="1CC1ECBF">
      <w:pPr>
        <w:spacing w:line="91" w:lineRule="exact"/>
        <w:rPr>
          <w:color w:val="auto"/>
          <w:highlight w:val="none"/>
        </w:rPr>
      </w:pPr>
    </w:p>
    <w:tbl>
      <w:tblPr>
        <w:tblStyle w:val="6"/>
        <w:tblW w:w="83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90"/>
        <w:gridCol w:w="2432"/>
        <w:gridCol w:w="3201"/>
        <w:gridCol w:w="1543"/>
      </w:tblGrid>
      <w:tr w14:paraId="34C5CB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190" w:type="dxa"/>
            <w:vAlign w:val="top"/>
          </w:tcPr>
          <w:p w14:paraId="1BB3F33C">
            <w:pPr>
              <w:spacing w:before="148" w:line="221" w:lineRule="auto"/>
              <w:ind w:left="41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2432" w:type="dxa"/>
            <w:vAlign w:val="top"/>
          </w:tcPr>
          <w:p w14:paraId="0EDFC26D">
            <w:pPr>
              <w:spacing w:before="148" w:line="221" w:lineRule="auto"/>
              <w:ind w:left="857"/>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工序名称</w:t>
            </w:r>
          </w:p>
        </w:tc>
        <w:tc>
          <w:tcPr>
            <w:tcW w:w="3201" w:type="dxa"/>
            <w:vAlign w:val="top"/>
          </w:tcPr>
          <w:p w14:paraId="1DE65EB1">
            <w:pPr>
              <w:spacing w:before="148" w:line="219" w:lineRule="auto"/>
              <w:ind w:left="1065"/>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工序主要内容</w:t>
            </w:r>
          </w:p>
        </w:tc>
        <w:tc>
          <w:tcPr>
            <w:tcW w:w="1543" w:type="dxa"/>
            <w:vAlign w:val="top"/>
          </w:tcPr>
          <w:p w14:paraId="60645C69">
            <w:pPr>
              <w:spacing w:before="148" w:line="221" w:lineRule="auto"/>
              <w:ind w:left="596"/>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4996D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190" w:type="dxa"/>
            <w:vAlign w:val="top"/>
          </w:tcPr>
          <w:p w14:paraId="71D84CA1">
            <w:pPr>
              <w:pStyle w:val="7"/>
              <w:rPr>
                <w:color w:val="auto"/>
                <w:highlight w:val="none"/>
              </w:rPr>
            </w:pPr>
          </w:p>
        </w:tc>
        <w:tc>
          <w:tcPr>
            <w:tcW w:w="2432" w:type="dxa"/>
            <w:vAlign w:val="top"/>
          </w:tcPr>
          <w:p w14:paraId="7107BD83">
            <w:pPr>
              <w:pStyle w:val="7"/>
              <w:rPr>
                <w:color w:val="auto"/>
                <w:highlight w:val="none"/>
              </w:rPr>
            </w:pPr>
          </w:p>
        </w:tc>
        <w:tc>
          <w:tcPr>
            <w:tcW w:w="3201" w:type="dxa"/>
            <w:vAlign w:val="top"/>
          </w:tcPr>
          <w:p w14:paraId="7921FC34">
            <w:pPr>
              <w:pStyle w:val="7"/>
              <w:rPr>
                <w:color w:val="auto"/>
                <w:highlight w:val="none"/>
              </w:rPr>
            </w:pPr>
          </w:p>
        </w:tc>
        <w:tc>
          <w:tcPr>
            <w:tcW w:w="1543" w:type="dxa"/>
            <w:vAlign w:val="top"/>
          </w:tcPr>
          <w:p w14:paraId="03221B39">
            <w:pPr>
              <w:pStyle w:val="7"/>
              <w:rPr>
                <w:color w:val="auto"/>
                <w:highlight w:val="none"/>
              </w:rPr>
            </w:pPr>
          </w:p>
        </w:tc>
      </w:tr>
      <w:tr w14:paraId="39C341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1190" w:type="dxa"/>
            <w:vAlign w:val="top"/>
          </w:tcPr>
          <w:p w14:paraId="32F93054">
            <w:pPr>
              <w:pStyle w:val="7"/>
              <w:rPr>
                <w:color w:val="auto"/>
                <w:highlight w:val="none"/>
              </w:rPr>
            </w:pPr>
          </w:p>
        </w:tc>
        <w:tc>
          <w:tcPr>
            <w:tcW w:w="2432" w:type="dxa"/>
            <w:vAlign w:val="top"/>
          </w:tcPr>
          <w:p w14:paraId="07129C8D">
            <w:pPr>
              <w:pStyle w:val="7"/>
              <w:rPr>
                <w:color w:val="auto"/>
                <w:highlight w:val="none"/>
              </w:rPr>
            </w:pPr>
          </w:p>
        </w:tc>
        <w:tc>
          <w:tcPr>
            <w:tcW w:w="3201" w:type="dxa"/>
            <w:vAlign w:val="top"/>
          </w:tcPr>
          <w:p w14:paraId="44419748">
            <w:pPr>
              <w:pStyle w:val="7"/>
              <w:rPr>
                <w:color w:val="auto"/>
                <w:highlight w:val="none"/>
              </w:rPr>
            </w:pPr>
          </w:p>
        </w:tc>
        <w:tc>
          <w:tcPr>
            <w:tcW w:w="1543" w:type="dxa"/>
            <w:vAlign w:val="top"/>
          </w:tcPr>
          <w:p w14:paraId="12AC4AB6">
            <w:pPr>
              <w:pStyle w:val="7"/>
              <w:rPr>
                <w:color w:val="auto"/>
                <w:highlight w:val="none"/>
              </w:rPr>
            </w:pPr>
          </w:p>
        </w:tc>
      </w:tr>
    </w:tbl>
    <w:p w14:paraId="160DA13C">
      <w:pPr>
        <w:spacing w:before="128" w:line="364" w:lineRule="auto"/>
        <w:ind w:left="44" w:right="37" w:firstLine="1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1.3.3  投标人现场服务人员应有权全权处理</w:t>
      </w:r>
      <w:r>
        <w:rPr>
          <w:rFonts w:ascii="宋体" w:hAnsi="宋体" w:eastAsia="宋体" w:cs="宋体"/>
          <w:color w:val="auto"/>
          <w:spacing w:val="8"/>
          <w:sz w:val="20"/>
          <w:szCs w:val="20"/>
          <w:highlight w:val="none"/>
        </w:rPr>
        <w:t>现场出现的一切技术和商务问题。如现场发生</w:t>
      </w:r>
      <w:r>
        <w:rPr>
          <w:rFonts w:ascii="宋体" w:hAnsi="宋体" w:eastAsia="宋体" w:cs="宋体"/>
          <w:color w:val="auto"/>
          <w:sz w:val="20"/>
          <w:szCs w:val="20"/>
          <w:highlight w:val="none"/>
        </w:rPr>
        <w:t xml:space="preserve"> </w:t>
      </w:r>
      <w:r>
        <w:rPr>
          <w:rFonts w:ascii="宋体" w:hAnsi="宋体" w:eastAsia="宋体" w:cs="宋体"/>
          <w:color w:val="auto"/>
          <w:spacing w:val="7"/>
          <w:sz w:val="20"/>
          <w:szCs w:val="20"/>
          <w:highlight w:val="none"/>
        </w:rPr>
        <w:t>质量问题，投标人现场人员要在招标人规定的时间内处理解决。如投标人委托招标人进行处</w:t>
      </w:r>
      <w:r>
        <w:rPr>
          <w:rFonts w:ascii="宋体" w:hAnsi="宋体" w:eastAsia="宋体" w:cs="宋体"/>
          <w:color w:val="auto"/>
          <w:spacing w:val="14"/>
          <w:sz w:val="20"/>
          <w:szCs w:val="20"/>
          <w:highlight w:val="none"/>
        </w:rPr>
        <w:t xml:space="preserve"> </w:t>
      </w:r>
      <w:r>
        <w:rPr>
          <w:rFonts w:ascii="宋体" w:hAnsi="宋体" w:eastAsia="宋体" w:cs="宋体"/>
          <w:color w:val="auto"/>
          <w:spacing w:val="9"/>
          <w:sz w:val="20"/>
          <w:szCs w:val="20"/>
          <w:highlight w:val="none"/>
        </w:rPr>
        <w:t>理，投标人现场服务人员要出委托书并承担相应的经济责任。</w:t>
      </w:r>
    </w:p>
    <w:p w14:paraId="5F25A8C0">
      <w:pPr>
        <w:spacing w:before="222" w:line="228" w:lineRule="auto"/>
        <w:ind w:left="58"/>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1.3.4  投标人对其现场服务人员的一切行为负全部责任。</w:t>
      </w:r>
    </w:p>
    <w:p w14:paraId="0F4DDD3D">
      <w:pPr>
        <w:spacing w:before="221" w:line="228" w:lineRule="auto"/>
        <w:ind w:left="5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1.3.5  投标人现场服务人员的正常来去和更换事先与</w:t>
      </w:r>
      <w:r>
        <w:rPr>
          <w:rFonts w:ascii="宋体" w:hAnsi="宋体" w:eastAsia="宋体" w:cs="宋体"/>
          <w:color w:val="auto"/>
          <w:spacing w:val="7"/>
          <w:sz w:val="20"/>
          <w:szCs w:val="20"/>
          <w:highlight w:val="none"/>
        </w:rPr>
        <w:t>招标人协商。</w:t>
      </w:r>
    </w:p>
    <w:p w14:paraId="092A388B">
      <w:pPr>
        <w:spacing w:before="221" w:line="228" w:lineRule="auto"/>
        <w:ind w:left="58"/>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1.4 招标人的义务</w:t>
      </w:r>
    </w:p>
    <w:p w14:paraId="22850CBB">
      <w:pPr>
        <w:spacing w:before="221" w:line="227" w:lineRule="auto"/>
        <w:ind w:left="464"/>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招标人要配合投标人现场服务人员的工作，并在生活、交通和通讯上提供方便。</w:t>
      </w:r>
    </w:p>
    <w:p w14:paraId="274E531F">
      <w:pPr>
        <w:spacing w:before="208" w:line="220" w:lineRule="auto"/>
        <w:ind w:left="47"/>
        <w:outlineLvl w:val="1"/>
        <w:rPr>
          <w:rFonts w:ascii="宋体" w:hAnsi="宋体" w:eastAsia="宋体" w:cs="宋体"/>
          <w:color w:val="auto"/>
          <w:sz w:val="24"/>
          <w:szCs w:val="24"/>
          <w:highlight w:val="none"/>
        </w:rPr>
      </w:pPr>
      <w:r>
        <w:rPr>
          <w:rFonts w:ascii="宋体" w:hAnsi="宋体" w:eastAsia="宋体" w:cs="宋体"/>
          <w:b/>
          <w:bCs/>
          <w:color w:val="auto"/>
          <w:spacing w:val="-11"/>
          <w:sz w:val="24"/>
          <w:szCs w:val="24"/>
          <w:highlight w:val="none"/>
        </w:rPr>
        <w:t>2</w:t>
      </w:r>
      <w:r>
        <w:rPr>
          <w:rFonts w:ascii="宋体" w:hAnsi="宋体" w:eastAsia="宋体" w:cs="宋体"/>
          <w:color w:val="auto"/>
          <w:spacing w:val="36"/>
          <w:sz w:val="24"/>
          <w:szCs w:val="24"/>
          <w:highlight w:val="none"/>
        </w:rPr>
        <w:t xml:space="preserve">  </w:t>
      </w:r>
      <w:r>
        <w:rPr>
          <w:rFonts w:ascii="宋体" w:hAnsi="宋体" w:eastAsia="宋体" w:cs="宋体"/>
          <w:b/>
          <w:bCs/>
          <w:color w:val="auto"/>
          <w:spacing w:val="-11"/>
          <w:sz w:val="24"/>
          <w:szCs w:val="24"/>
          <w:highlight w:val="none"/>
        </w:rPr>
        <w:t>培训</w:t>
      </w:r>
    </w:p>
    <w:p w14:paraId="23891E96">
      <w:pPr>
        <w:spacing w:before="196" w:line="373" w:lineRule="auto"/>
        <w:ind w:left="45" w:right="46"/>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2.1  为使合同设备能正常安装和运行，投标人有责任提供相应的技术培训。培训内容应与</w:t>
      </w:r>
      <w:r>
        <w:rPr>
          <w:rFonts w:ascii="宋体" w:hAnsi="宋体" w:eastAsia="宋体" w:cs="宋体"/>
          <w:color w:val="auto"/>
          <w:spacing w:val="4"/>
          <w:sz w:val="20"/>
          <w:szCs w:val="20"/>
          <w:highlight w:val="none"/>
        </w:rPr>
        <w:t xml:space="preserve"> </w:t>
      </w:r>
      <w:r>
        <w:rPr>
          <w:rFonts w:ascii="宋体" w:hAnsi="宋体" w:eastAsia="宋体" w:cs="宋体"/>
          <w:color w:val="auto"/>
          <w:spacing w:val="7"/>
          <w:sz w:val="20"/>
          <w:szCs w:val="20"/>
          <w:highlight w:val="none"/>
        </w:rPr>
        <w:t>工程进度相一致。</w:t>
      </w:r>
    </w:p>
    <w:tbl>
      <w:tblPr>
        <w:tblStyle w:val="6"/>
        <w:tblW w:w="83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6"/>
        <w:gridCol w:w="1402"/>
        <w:gridCol w:w="1833"/>
        <w:gridCol w:w="1082"/>
        <w:gridCol w:w="1081"/>
        <w:gridCol w:w="1081"/>
        <w:gridCol w:w="1121"/>
      </w:tblGrid>
      <w:tr w14:paraId="00B2C0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766" w:type="dxa"/>
            <w:vMerge w:val="restart"/>
            <w:tcBorders>
              <w:bottom w:val="nil"/>
            </w:tcBorders>
            <w:vAlign w:val="top"/>
          </w:tcPr>
          <w:p w14:paraId="49C5EC97">
            <w:pPr>
              <w:pStyle w:val="7"/>
              <w:spacing w:line="330" w:lineRule="auto"/>
              <w:rPr>
                <w:color w:val="auto"/>
                <w:highlight w:val="none"/>
              </w:rPr>
            </w:pPr>
          </w:p>
          <w:p w14:paraId="2A0EC29B">
            <w:pPr>
              <w:spacing w:before="58" w:line="221" w:lineRule="auto"/>
              <w:ind w:left="204"/>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1402" w:type="dxa"/>
            <w:vMerge w:val="restart"/>
            <w:tcBorders>
              <w:bottom w:val="nil"/>
            </w:tcBorders>
            <w:vAlign w:val="top"/>
          </w:tcPr>
          <w:p w14:paraId="5AC81B21">
            <w:pPr>
              <w:pStyle w:val="7"/>
              <w:spacing w:line="330" w:lineRule="auto"/>
              <w:rPr>
                <w:color w:val="auto"/>
                <w:highlight w:val="none"/>
              </w:rPr>
            </w:pPr>
          </w:p>
          <w:p w14:paraId="7CC837C5">
            <w:pPr>
              <w:spacing w:before="59" w:line="219" w:lineRule="auto"/>
              <w:ind w:left="339"/>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培训内容</w:t>
            </w:r>
          </w:p>
        </w:tc>
        <w:tc>
          <w:tcPr>
            <w:tcW w:w="1833" w:type="dxa"/>
            <w:vMerge w:val="restart"/>
            <w:tcBorders>
              <w:bottom w:val="nil"/>
            </w:tcBorders>
            <w:vAlign w:val="top"/>
          </w:tcPr>
          <w:p w14:paraId="34B373F4">
            <w:pPr>
              <w:pStyle w:val="7"/>
              <w:spacing w:line="330" w:lineRule="auto"/>
              <w:rPr>
                <w:color w:val="auto"/>
                <w:highlight w:val="none"/>
              </w:rPr>
            </w:pPr>
          </w:p>
          <w:p w14:paraId="1B32BDDC">
            <w:pPr>
              <w:spacing w:before="59" w:line="219" w:lineRule="auto"/>
              <w:ind w:left="46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计划人天数</w:t>
            </w:r>
          </w:p>
        </w:tc>
        <w:tc>
          <w:tcPr>
            <w:tcW w:w="2163" w:type="dxa"/>
            <w:gridSpan w:val="2"/>
            <w:vAlign w:val="top"/>
          </w:tcPr>
          <w:p w14:paraId="5CF62ABA">
            <w:pPr>
              <w:spacing w:before="148" w:line="219" w:lineRule="auto"/>
              <w:ind w:left="543"/>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培训教师构成</w:t>
            </w:r>
          </w:p>
        </w:tc>
        <w:tc>
          <w:tcPr>
            <w:tcW w:w="1081" w:type="dxa"/>
            <w:vMerge w:val="restart"/>
            <w:tcBorders>
              <w:bottom w:val="nil"/>
            </w:tcBorders>
            <w:vAlign w:val="top"/>
          </w:tcPr>
          <w:p w14:paraId="32D5B57E">
            <w:pPr>
              <w:pStyle w:val="7"/>
              <w:spacing w:line="329" w:lineRule="auto"/>
              <w:rPr>
                <w:color w:val="auto"/>
                <w:highlight w:val="none"/>
              </w:rPr>
            </w:pPr>
          </w:p>
          <w:p w14:paraId="16EAFD65">
            <w:pPr>
              <w:spacing w:before="59" w:line="224" w:lineRule="auto"/>
              <w:ind w:left="36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地点</w:t>
            </w:r>
          </w:p>
        </w:tc>
        <w:tc>
          <w:tcPr>
            <w:tcW w:w="1121" w:type="dxa"/>
            <w:vMerge w:val="restart"/>
            <w:tcBorders>
              <w:bottom w:val="nil"/>
            </w:tcBorders>
            <w:vAlign w:val="top"/>
          </w:tcPr>
          <w:p w14:paraId="4E85B240">
            <w:pPr>
              <w:pStyle w:val="7"/>
              <w:spacing w:line="330" w:lineRule="auto"/>
              <w:rPr>
                <w:color w:val="auto"/>
                <w:highlight w:val="none"/>
              </w:rPr>
            </w:pPr>
          </w:p>
          <w:p w14:paraId="44ACB487">
            <w:pPr>
              <w:spacing w:before="58" w:line="221" w:lineRule="auto"/>
              <w:ind w:left="38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7999F7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766" w:type="dxa"/>
            <w:vMerge w:val="continue"/>
            <w:tcBorders>
              <w:top w:val="nil"/>
            </w:tcBorders>
            <w:vAlign w:val="top"/>
          </w:tcPr>
          <w:p w14:paraId="767C575F">
            <w:pPr>
              <w:pStyle w:val="7"/>
              <w:rPr>
                <w:color w:val="auto"/>
                <w:highlight w:val="none"/>
              </w:rPr>
            </w:pPr>
          </w:p>
        </w:tc>
        <w:tc>
          <w:tcPr>
            <w:tcW w:w="1402" w:type="dxa"/>
            <w:vMerge w:val="continue"/>
            <w:tcBorders>
              <w:top w:val="nil"/>
            </w:tcBorders>
            <w:vAlign w:val="top"/>
          </w:tcPr>
          <w:p w14:paraId="64D1C03A">
            <w:pPr>
              <w:pStyle w:val="7"/>
              <w:rPr>
                <w:color w:val="auto"/>
                <w:highlight w:val="none"/>
              </w:rPr>
            </w:pPr>
          </w:p>
        </w:tc>
        <w:tc>
          <w:tcPr>
            <w:tcW w:w="1833" w:type="dxa"/>
            <w:vMerge w:val="continue"/>
            <w:tcBorders>
              <w:top w:val="nil"/>
            </w:tcBorders>
            <w:vAlign w:val="top"/>
          </w:tcPr>
          <w:p w14:paraId="699D29F3">
            <w:pPr>
              <w:pStyle w:val="7"/>
              <w:rPr>
                <w:color w:val="auto"/>
                <w:highlight w:val="none"/>
              </w:rPr>
            </w:pPr>
          </w:p>
        </w:tc>
        <w:tc>
          <w:tcPr>
            <w:tcW w:w="1082" w:type="dxa"/>
            <w:vAlign w:val="top"/>
          </w:tcPr>
          <w:p w14:paraId="5F66BB0F">
            <w:pPr>
              <w:spacing w:before="144" w:line="221" w:lineRule="auto"/>
              <w:ind w:left="363"/>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职称</w:t>
            </w:r>
          </w:p>
        </w:tc>
        <w:tc>
          <w:tcPr>
            <w:tcW w:w="1081" w:type="dxa"/>
            <w:vAlign w:val="top"/>
          </w:tcPr>
          <w:p w14:paraId="5AC1A352">
            <w:pPr>
              <w:spacing w:before="144" w:line="219" w:lineRule="auto"/>
              <w:ind w:left="36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人数</w:t>
            </w:r>
          </w:p>
        </w:tc>
        <w:tc>
          <w:tcPr>
            <w:tcW w:w="1081" w:type="dxa"/>
            <w:vMerge w:val="continue"/>
            <w:tcBorders>
              <w:top w:val="nil"/>
            </w:tcBorders>
            <w:vAlign w:val="top"/>
          </w:tcPr>
          <w:p w14:paraId="2546DE21">
            <w:pPr>
              <w:pStyle w:val="7"/>
              <w:rPr>
                <w:color w:val="auto"/>
                <w:highlight w:val="none"/>
              </w:rPr>
            </w:pPr>
          </w:p>
        </w:tc>
        <w:tc>
          <w:tcPr>
            <w:tcW w:w="1121" w:type="dxa"/>
            <w:vMerge w:val="continue"/>
            <w:tcBorders>
              <w:top w:val="nil"/>
            </w:tcBorders>
            <w:vAlign w:val="top"/>
          </w:tcPr>
          <w:p w14:paraId="00641A0F">
            <w:pPr>
              <w:pStyle w:val="7"/>
              <w:rPr>
                <w:color w:val="auto"/>
                <w:highlight w:val="none"/>
              </w:rPr>
            </w:pPr>
          </w:p>
        </w:tc>
      </w:tr>
      <w:tr w14:paraId="751B2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8" w:hRule="atLeast"/>
        </w:trPr>
        <w:tc>
          <w:tcPr>
            <w:tcW w:w="766" w:type="dxa"/>
            <w:vAlign w:val="top"/>
          </w:tcPr>
          <w:p w14:paraId="5E155EA8">
            <w:pPr>
              <w:pStyle w:val="7"/>
              <w:spacing w:line="345" w:lineRule="auto"/>
              <w:rPr>
                <w:color w:val="auto"/>
                <w:highlight w:val="none"/>
              </w:rPr>
            </w:pPr>
          </w:p>
          <w:p w14:paraId="06AC4DC4">
            <w:pPr>
              <w:spacing w:before="58" w:line="184" w:lineRule="auto"/>
              <w:ind w:left="352"/>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1402" w:type="dxa"/>
            <w:vAlign w:val="top"/>
          </w:tcPr>
          <w:p w14:paraId="6808C41D">
            <w:pPr>
              <w:spacing w:before="146" w:line="401" w:lineRule="auto"/>
              <w:ind w:left="161" w:right="68" w:hanging="88"/>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发变组保护、启</w:t>
            </w:r>
            <w:r>
              <w:rPr>
                <w:rFonts w:ascii="宋体" w:hAnsi="宋体" w:eastAsia="宋体" w:cs="宋体"/>
                <w:color w:val="auto"/>
                <w:spacing w:val="3"/>
                <w:sz w:val="18"/>
                <w:szCs w:val="18"/>
                <w:highlight w:val="none"/>
              </w:rPr>
              <w:t xml:space="preserve"> </w:t>
            </w:r>
            <w:r>
              <w:rPr>
                <w:rFonts w:ascii="宋体" w:hAnsi="宋体" w:eastAsia="宋体" w:cs="宋体"/>
                <w:color w:val="auto"/>
                <w:spacing w:val="-2"/>
                <w:sz w:val="18"/>
                <w:szCs w:val="18"/>
                <w:highlight w:val="none"/>
              </w:rPr>
              <w:t>备变保护原理</w:t>
            </w:r>
          </w:p>
        </w:tc>
        <w:tc>
          <w:tcPr>
            <w:tcW w:w="1833" w:type="dxa"/>
            <w:vAlign w:val="top"/>
          </w:tcPr>
          <w:p w14:paraId="3D62FD10">
            <w:pPr>
              <w:pStyle w:val="7"/>
              <w:spacing w:line="317" w:lineRule="auto"/>
              <w:rPr>
                <w:color w:val="auto"/>
                <w:highlight w:val="none"/>
              </w:rPr>
            </w:pPr>
          </w:p>
          <w:p w14:paraId="4585A72F">
            <w:pPr>
              <w:spacing w:before="59" w:line="220" w:lineRule="auto"/>
              <w:ind w:left="515"/>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5</w:t>
            </w:r>
            <w:r>
              <w:rPr>
                <w:rFonts w:ascii="宋体" w:hAnsi="宋体" w:eastAsia="宋体" w:cs="宋体"/>
                <w:color w:val="auto"/>
                <w:spacing w:val="-35"/>
                <w:sz w:val="18"/>
                <w:szCs w:val="18"/>
                <w:highlight w:val="none"/>
              </w:rPr>
              <w:t xml:space="preserve"> </w:t>
            </w:r>
            <w:r>
              <w:rPr>
                <w:rFonts w:ascii="宋体" w:hAnsi="宋体" w:eastAsia="宋体" w:cs="宋体"/>
                <w:color w:val="auto"/>
                <w:spacing w:val="-8"/>
                <w:sz w:val="18"/>
                <w:szCs w:val="18"/>
                <w:highlight w:val="none"/>
              </w:rPr>
              <w:t>人</w:t>
            </w:r>
            <w:r>
              <w:rPr>
                <w:rFonts w:ascii="宋体" w:hAnsi="宋体" w:eastAsia="宋体" w:cs="宋体"/>
                <w:color w:val="auto"/>
                <w:spacing w:val="-70"/>
                <w:sz w:val="18"/>
                <w:szCs w:val="18"/>
                <w:highlight w:val="none"/>
              </w:rPr>
              <w:t xml:space="preserve"> </w:t>
            </w:r>
            <w:r>
              <w:rPr>
                <w:rFonts w:ascii="宋体" w:hAnsi="宋体" w:eastAsia="宋体" w:cs="宋体"/>
                <w:color w:val="auto"/>
                <w:spacing w:val="-8"/>
                <w:sz w:val="18"/>
                <w:szCs w:val="18"/>
                <w:highlight w:val="none"/>
              </w:rPr>
              <w:t>、5</w:t>
            </w:r>
            <w:r>
              <w:rPr>
                <w:rFonts w:ascii="宋体" w:hAnsi="宋体" w:eastAsia="宋体" w:cs="宋体"/>
                <w:color w:val="auto"/>
                <w:spacing w:val="-35"/>
                <w:sz w:val="18"/>
                <w:szCs w:val="18"/>
                <w:highlight w:val="none"/>
              </w:rPr>
              <w:t xml:space="preserve"> </w:t>
            </w:r>
            <w:r>
              <w:rPr>
                <w:rFonts w:ascii="宋体" w:hAnsi="宋体" w:eastAsia="宋体" w:cs="宋体"/>
                <w:color w:val="auto"/>
                <w:spacing w:val="-8"/>
                <w:sz w:val="18"/>
                <w:szCs w:val="18"/>
                <w:highlight w:val="none"/>
              </w:rPr>
              <w:t>天</w:t>
            </w:r>
          </w:p>
        </w:tc>
        <w:tc>
          <w:tcPr>
            <w:tcW w:w="1082" w:type="dxa"/>
            <w:vAlign w:val="top"/>
          </w:tcPr>
          <w:p w14:paraId="5E8777E5">
            <w:pPr>
              <w:pStyle w:val="7"/>
              <w:rPr>
                <w:color w:val="auto"/>
                <w:highlight w:val="none"/>
              </w:rPr>
            </w:pPr>
          </w:p>
        </w:tc>
        <w:tc>
          <w:tcPr>
            <w:tcW w:w="1081" w:type="dxa"/>
            <w:vAlign w:val="top"/>
          </w:tcPr>
          <w:p w14:paraId="60195E1E">
            <w:pPr>
              <w:pStyle w:val="7"/>
              <w:rPr>
                <w:color w:val="auto"/>
                <w:highlight w:val="none"/>
              </w:rPr>
            </w:pPr>
          </w:p>
        </w:tc>
        <w:tc>
          <w:tcPr>
            <w:tcW w:w="1081" w:type="dxa"/>
            <w:vAlign w:val="top"/>
          </w:tcPr>
          <w:p w14:paraId="4910BD8E">
            <w:pPr>
              <w:pStyle w:val="7"/>
              <w:rPr>
                <w:color w:val="auto"/>
                <w:highlight w:val="none"/>
              </w:rPr>
            </w:pPr>
          </w:p>
        </w:tc>
        <w:tc>
          <w:tcPr>
            <w:tcW w:w="1121" w:type="dxa"/>
            <w:vAlign w:val="top"/>
          </w:tcPr>
          <w:p w14:paraId="28046FC9">
            <w:pPr>
              <w:pStyle w:val="7"/>
              <w:rPr>
                <w:color w:val="auto"/>
                <w:highlight w:val="none"/>
              </w:rPr>
            </w:pPr>
          </w:p>
        </w:tc>
      </w:tr>
      <w:tr w14:paraId="2EC1CA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2" w:hRule="atLeast"/>
        </w:trPr>
        <w:tc>
          <w:tcPr>
            <w:tcW w:w="766" w:type="dxa"/>
            <w:vAlign w:val="top"/>
          </w:tcPr>
          <w:p w14:paraId="1E7DDA07">
            <w:pPr>
              <w:pStyle w:val="7"/>
              <w:spacing w:line="291" w:lineRule="auto"/>
              <w:rPr>
                <w:color w:val="auto"/>
                <w:highlight w:val="none"/>
              </w:rPr>
            </w:pPr>
          </w:p>
          <w:p w14:paraId="4DEF3777">
            <w:pPr>
              <w:pStyle w:val="7"/>
              <w:spacing w:line="291" w:lineRule="auto"/>
              <w:rPr>
                <w:color w:val="auto"/>
                <w:highlight w:val="none"/>
              </w:rPr>
            </w:pPr>
          </w:p>
          <w:p w14:paraId="74E33540">
            <w:pPr>
              <w:spacing w:before="58" w:line="183" w:lineRule="auto"/>
              <w:ind w:left="341"/>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1402" w:type="dxa"/>
            <w:vAlign w:val="top"/>
          </w:tcPr>
          <w:p w14:paraId="1665FC52">
            <w:pPr>
              <w:spacing w:before="148" w:line="220" w:lineRule="auto"/>
              <w:ind w:left="73"/>
              <w:rPr>
                <w:rFonts w:ascii="宋体" w:hAnsi="宋体" w:eastAsia="宋体" w:cs="宋体"/>
                <w:color w:val="auto"/>
                <w:sz w:val="18"/>
                <w:szCs w:val="18"/>
                <w:highlight w:val="none"/>
              </w:rPr>
            </w:pPr>
            <w:r>
              <w:rPr>
                <w:rFonts w:ascii="宋体" w:hAnsi="宋体" w:eastAsia="宋体" w:cs="宋体"/>
                <w:color w:val="auto"/>
                <w:sz w:val="18"/>
                <w:szCs w:val="18"/>
                <w:highlight w:val="none"/>
              </w:rPr>
              <w:t>发变组保护、启</w:t>
            </w:r>
          </w:p>
          <w:p w14:paraId="31690282">
            <w:pPr>
              <w:spacing w:before="253" w:line="220" w:lineRule="auto"/>
              <w:ind w:left="72"/>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备变保护调试方</w:t>
            </w:r>
          </w:p>
          <w:p w14:paraId="668101D1">
            <w:pPr>
              <w:spacing w:before="253" w:line="225" w:lineRule="auto"/>
              <w:ind w:left="610"/>
              <w:rPr>
                <w:rFonts w:ascii="宋体" w:hAnsi="宋体" w:eastAsia="宋体" w:cs="宋体"/>
                <w:color w:val="auto"/>
                <w:sz w:val="18"/>
                <w:szCs w:val="18"/>
                <w:highlight w:val="none"/>
              </w:rPr>
            </w:pPr>
            <w:r>
              <w:rPr>
                <w:rFonts w:ascii="宋体" w:hAnsi="宋体" w:eastAsia="宋体" w:cs="宋体"/>
                <w:color w:val="auto"/>
                <w:sz w:val="18"/>
                <w:szCs w:val="18"/>
                <w:highlight w:val="none"/>
              </w:rPr>
              <w:t>法</w:t>
            </w:r>
          </w:p>
        </w:tc>
        <w:tc>
          <w:tcPr>
            <w:tcW w:w="1833" w:type="dxa"/>
            <w:vAlign w:val="top"/>
          </w:tcPr>
          <w:p w14:paraId="0DFED56F">
            <w:pPr>
              <w:pStyle w:val="7"/>
              <w:spacing w:line="277" w:lineRule="auto"/>
              <w:rPr>
                <w:color w:val="auto"/>
                <w:highlight w:val="none"/>
              </w:rPr>
            </w:pPr>
          </w:p>
          <w:p w14:paraId="4AD8B9BA">
            <w:pPr>
              <w:pStyle w:val="7"/>
              <w:spacing w:line="277" w:lineRule="auto"/>
              <w:rPr>
                <w:color w:val="auto"/>
                <w:highlight w:val="none"/>
              </w:rPr>
            </w:pPr>
          </w:p>
          <w:p w14:paraId="23E21AA3">
            <w:pPr>
              <w:spacing w:before="58" w:line="220" w:lineRule="auto"/>
              <w:ind w:left="515"/>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5</w:t>
            </w:r>
            <w:r>
              <w:rPr>
                <w:rFonts w:ascii="宋体" w:hAnsi="宋体" w:eastAsia="宋体" w:cs="宋体"/>
                <w:color w:val="auto"/>
                <w:spacing w:val="-35"/>
                <w:sz w:val="18"/>
                <w:szCs w:val="18"/>
                <w:highlight w:val="none"/>
              </w:rPr>
              <w:t xml:space="preserve"> </w:t>
            </w:r>
            <w:r>
              <w:rPr>
                <w:rFonts w:ascii="宋体" w:hAnsi="宋体" w:eastAsia="宋体" w:cs="宋体"/>
                <w:color w:val="auto"/>
                <w:spacing w:val="-8"/>
                <w:sz w:val="18"/>
                <w:szCs w:val="18"/>
                <w:highlight w:val="none"/>
              </w:rPr>
              <w:t>人</w:t>
            </w:r>
            <w:r>
              <w:rPr>
                <w:rFonts w:ascii="宋体" w:hAnsi="宋体" w:eastAsia="宋体" w:cs="宋体"/>
                <w:color w:val="auto"/>
                <w:spacing w:val="-70"/>
                <w:sz w:val="18"/>
                <w:szCs w:val="18"/>
                <w:highlight w:val="none"/>
              </w:rPr>
              <w:t xml:space="preserve"> </w:t>
            </w:r>
            <w:r>
              <w:rPr>
                <w:rFonts w:ascii="宋体" w:hAnsi="宋体" w:eastAsia="宋体" w:cs="宋体"/>
                <w:color w:val="auto"/>
                <w:spacing w:val="-8"/>
                <w:sz w:val="18"/>
                <w:szCs w:val="18"/>
                <w:highlight w:val="none"/>
              </w:rPr>
              <w:t>、5</w:t>
            </w:r>
            <w:r>
              <w:rPr>
                <w:rFonts w:ascii="宋体" w:hAnsi="宋体" w:eastAsia="宋体" w:cs="宋体"/>
                <w:color w:val="auto"/>
                <w:spacing w:val="-35"/>
                <w:sz w:val="18"/>
                <w:szCs w:val="18"/>
                <w:highlight w:val="none"/>
              </w:rPr>
              <w:t xml:space="preserve"> </w:t>
            </w:r>
            <w:r>
              <w:rPr>
                <w:rFonts w:ascii="宋体" w:hAnsi="宋体" w:eastAsia="宋体" w:cs="宋体"/>
                <w:color w:val="auto"/>
                <w:spacing w:val="-8"/>
                <w:sz w:val="18"/>
                <w:szCs w:val="18"/>
                <w:highlight w:val="none"/>
              </w:rPr>
              <w:t>天</w:t>
            </w:r>
          </w:p>
        </w:tc>
        <w:tc>
          <w:tcPr>
            <w:tcW w:w="1082" w:type="dxa"/>
            <w:vAlign w:val="top"/>
          </w:tcPr>
          <w:p w14:paraId="2E72C05D">
            <w:pPr>
              <w:pStyle w:val="7"/>
              <w:rPr>
                <w:color w:val="auto"/>
                <w:highlight w:val="none"/>
              </w:rPr>
            </w:pPr>
          </w:p>
        </w:tc>
        <w:tc>
          <w:tcPr>
            <w:tcW w:w="1081" w:type="dxa"/>
            <w:vAlign w:val="top"/>
          </w:tcPr>
          <w:p w14:paraId="439A0CF5">
            <w:pPr>
              <w:pStyle w:val="7"/>
              <w:rPr>
                <w:color w:val="auto"/>
                <w:highlight w:val="none"/>
              </w:rPr>
            </w:pPr>
          </w:p>
        </w:tc>
        <w:tc>
          <w:tcPr>
            <w:tcW w:w="1081" w:type="dxa"/>
            <w:vAlign w:val="top"/>
          </w:tcPr>
          <w:p w14:paraId="1A2EA0AD">
            <w:pPr>
              <w:pStyle w:val="7"/>
              <w:rPr>
                <w:color w:val="auto"/>
                <w:highlight w:val="none"/>
              </w:rPr>
            </w:pPr>
          </w:p>
        </w:tc>
        <w:tc>
          <w:tcPr>
            <w:tcW w:w="1121" w:type="dxa"/>
            <w:vAlign w:val="top"/>
          </w:tcPr>
          <w:p w14:paraId="158A6C86">
            <w:pPr>
              <w:pStyle w:val="7"/>
              <w:rPr>
                <w:color w:val="auto"/>
                <w:highlight w:val="none"/>
              </w:rPr>
            </w:pPr>
          </w:p>
        </w:tc>
      </w:tr>
    </w:tbl>
    <w:p w14:paraId="3D1CB11F">
      <w:pPr>
        <w:spacing w:before="130" w:line="228" w:lineRule="auto"/>
        <w:ind w:left="4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2.2   培训的时间、人数、地点等具体内容由招投标双方商定。</w:t>
      </w:r>
    </w:p>
    <w:p w14:paraId="0DCAB5CC">
      <w:pPr>
        <w:spacing w:line="228" w:lineRule="auto"/>
        <w:rPr>
          <w:rFonts w:ascii="宋体" w:hAnsi="宋体" w:eastAsia="宋体" w:cs="宋体"/>
          <w:color w:val="auto"/>
          <w:sz w:val="20"/>
          <w:szCs w:val="20"/>
          <w:highlight w:val="none"/>
        </w:rPr>
        <w:sectPr>
          <w:pgSz w:w="11906" w:h="16839"/>
          <w:pgMar w:top="1431" w:right="1764" w:bottom="400" w:left="1764" w:header="0" w:footer="0" w:gutter="0"/>
          <w:pgBorders>
            <w:top w:val="none" w:sz="0" w:space="0"/>
            <w:left w:val="none" w:sz="0" w:space="0"/>
            <w:bottom w:val="none" w:sz="0" w:space="0"/>
            <w:right w:val="none" w:sz="0" w:space="0"/>
          </w:pgBorders>
          <w:cols w:space="720" w:num="1"/>
        </w:sectPr>
      </w:pPr>
    </w:p>
    <w:p w14:paraId="7A34EB2C">
      <w:pPr>
        <w:spacing w:before="138" w:line="417" w:lineRule="auto"/>
        <w:ind w:left="43" w:right="46" w:firstLine="2"/>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2.3  投标人为招标人培训人员提供设备、场地、资料等培训条件，并提供食宿和交通、通</w:t>
      </w:r>
      <w:r>
        <w:rPr>
          <w:rFonts w:ascii="宋体" w:hAnsi="宋体" w:eastAsia="宋体" w:cs="宋体"/>
          <w:color w:val="auto"/>
          <w:spacing w:val="4"/>
          <w:sz w:val="20"/>
          <w:szCs w:val="20"/>
          <w:highlight w:val="none"/>
        </w:rPr>
        <w:t xml:space="preserve"> </w:t>
      </w:r>
      <w:r>
        <w:rPr>
          <w:rFonts w:ascii="宋体" w:hAnsi="宋体" w:eastAsia="宋体" w:cs="宋体"/>
          <w:color w:val="auto"/>
          <w:spacing w:val="5"/>
          <w:sz w:val="20"/>
          <w:szCs w:val="20"/>
          <w:highlight w:val="none"/>
        </w:rPr>
        <w:t>信方便。</w:t>
      </w:r>
    </w:p>
    <w:p w14:paraId="45448DA0">
      <w:pPr>
        <w:spacing w:before="30" w:line="417" w:lineRule="auto"/>
        <w:ind w:left="45" w:right="37" w:firstLine="42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 xml:space="preserve">现场、工厂培训费用包含在合同总价中，如因工程实际的需要，招标方需培训人数和次 </w:t>
      </w:r>
      <w:r>
        <w:rPr>
          <w:rFonts w:ascii="宋体" w:hAnsi="宋体" w:eastAsia="宋体" w:cs="宋体"/>
          <w:color w:val="auto"/>
          <w:spacing w:val="8"/>
          <w:sz w:val="20"/>
          <w:szCs w:val="20"/>
          <w:highlight w:val="none"/>
        </w:rPr>
        <w:t>数的增加均不影响合同总价。</w:t>
      </w:r>
    </w:p>
    <w:p w14:paraId="72DB9475">
      <w:pPr>
        <w:spacing w:before="18" w:line="219" w:lineRule="auto"/>
        <w:ind w:left="49"/>
        <w:outlineLvl w:val="1"/>
        <w:rPr>
          <w:rFonts w:ascii="宋体" w:hAnsi="宋体" w:eastAsia="宋体" w:cs="宋体"/>
          <w:color w:val="auto"/>
          <w:sz w:val="24"/>
          <w:szCs w:val="24"/>
          <w:highlight w:val="none"/>
        </w:rPr>
      </w:pPr>
      <w:r>
        <w:rPr>
          <w:rFonts w:ascii="宋体" w:hAnsi="宋体" w:eastAsia="宋体" w:cs="宋体"/>
          <w:b/>
          <w:bCs/>
          <w:color w:val="auto"/>
          <w:spacing w:val="-7"/>
          <w:sz w:val="24"/>
          <w:szCs w:val="24"/>
          <w:highlight w:val="none"/>
        </w:rPr>
        <w:t>3</w:t>
      </w:r>
      <w:r>
        <w:rPr>
          <w:rFonts w:ascii="宋体" w:hAnsi="宋体" w:eastAsia="宋体" w:cs="宋体"/>
          <w:color w:val="auto"/>
          <w:spacing w:val="38"/>
          <w:sz w:val="24"/>
          <w:szCs w:val="24"/>
          <w:highlight w:val="none"/>
        </w:rPr>
        <w:t xml:space="preserve">  </w:t>
      </w:r>
      <w:r>
        <w:rPr>
          <w:rFonts w:ascii="宋体" w:hAnsi="宋体" w:eastAsia="宋体" w:cs="宋体"/>
          <w:b/>
          <w:bCs/>
          <w:color w:val="auto"/>
          <w:spacing w:val="-7"/>
          <w:sz w:val="24"/>
          <w:szCs w:val="24"/>
          <w:highlight w:val="none"/>
        </w:rPr>
        <w:t>设计联络会</w:t>
      </w:r>
    </w:p>
    <w:p w14:paraId="14C26E3B">
      <w:pPr>
        <w:spacing w:before="199" w:line="417" w:lineRule="auto"/>
        <w:ind w:left="77" w:right="37" w:firstLine="38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本设备的设计联络会</w:t>
      </w:r>
      <w:r>
        <w:rPr>
          <w:rFonts w:hint="eastAsia" w:ascii="宋体" w:hAnsi="宋体" w:eastAsia="宋体" w:cs="宋体"/>
          <w:color w:val="auto"/>
          <w:spacing w:val="7"/>
          <w:sz w:val="20"/>
          <w:szCs w:val="20"/>
          <w:highlight w:val="none"/>
          <w:lang w:val="en-US" w:eastAsia="zh-CN"/>
        </w:rPr>
        <w:t>发变组保护及启备变保护各</w:t>
      </w:r>
      <w:r>
        <w:rPr>
          <w:rFonts w:ascii="宋体" w:hAnsi="宋体" w:eastAsia="宋体" w:cs="宋体"/>
          <w:color w:val="auto"/>
          <w:spacing w:val="7"/>
          <w:sz w:val="20"/>
          <w:szCs w:val="20"/>
          <w:highlight w:val="none"/>
        </w:rPr>
        <w:t>安排</w:t>
      </w:r>
      <w:r>
        <w:rPr>
          <w:rFonts w:hint="eastAsia" w:ascii="宋体" w:hAnsi="宋体" w:eastAsia="宋体" w:cs="宋体"/>
          <w:color w:val="auto"/>
          <w:spacing w:val="7"/>
          <w:sz w:val="20"/>
          <w:szCs w:val="20"/>
          <w:highlight w:val="none"/>
          <w:lang w:val="en-US" w:eastAsia="zh-CN"/>
        </w:rPr>
        <w:t>两</w:t>
      </w:r>
      <w:r>
        <w:rPr>
          <w:rFonts w:ascii="宋体" w:hAnsi="宋体" w:eastAsia="宋体" w:cs="宋体"/>
          <w:color w:val="auto"/>
          <w:spacing w:val="7"/>
          <w:sz w:val="20"/>
          <w:szCs w:val="20"/>
          <w:highlight w:val="none"/>
        </w:rPr>
        <w:t>次，差旅费均各</w:t>
      </w:r>
      <w:r>
        <w:rPr>
          <w:rFonts w:ascii="宋体" w:hAnsi="宋体" w:eastAsia="宋体" w:cs="宋体"/>
          <w:color w:val="auto"/>
          <w:spacing w:val="8"/>
          <w:sz w:val="20"/>
          <w:szCs w:val="20"/>
          <w:highlight w:val="none"/>
        </w:rPr>
        <w:t>自理。有关设计联络的计划、时间、地点和内容要求由招标投标双方商定。</w:t>
      </w:r>
    </w:p>
    <w:p w14:paraId="5D3A8C4F">
      <w:pPr>
        <w:spacing w:before="31" w:line="229" w:lineRule="auto"/>
        <w:ind w:left="3464"/>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设计联络计划表</w:t>
      </w:r>
    </w:p>
    <w:p w14:paraId="2D93130D">
      <w:pPr>
        <w:spacing w:line="91" w:lineRule="exact"/>
        <w:rPr>
          <w:color w:val="auto"/>
          <w:highlight w:val="none"/>
        </w:rPr>
      </w:pPr>
    </w:p>
    <w:tbl>
      <w:tblPr>
        <w:tblStyle w:val="6"/>
        <w:tblW w:w="83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8"/>
        <w:gridCol w:w="710"/>
        <w:gridCol w:w="1949"/>
        <w:gridCol w:w="1503"/>
        <w:gridCol w:w="1503"/>
        <w:gridCol w:w="1973"/>
      </w:tblGrid>
      <w:tr w14:paraId="4BA77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728" w:type="dxa"/>
            <w:vAlign w:val="top"/>
          </w:tcPr>
          <w:p w14:paraId="126C771B">
            <w:pPr>
              <w:spacing w:before="148" w:line="221" w:lineRule="auto"/>
              <w:ind w:left="18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710" w:type="dxa"/>
            <w:vAlign w:val="top"/>
          </w:tcPr>
          <w:p w14:paraId="5021F189">
            <w:pPr>
              <w:spacing w:before="148" w:line="219" w:lineRule="auto"/>
              <w:ind w:left="177"/>
              <w:rPr>
                <w:rFonts w:ascii="宋体" w:hAnsi="宋体" w:eastAsia="宋体" w:cs="宋体"/>
                <w:color w:val="auto"/>
                <w:sz w:val="18"/>
                <w:szCs w:val="18"/>
                <w:highlight w:val="none"/>
              </w:rPr>
            </w:pPr>
            <w:r>
              <w:rPr>
                <w:rFonts w:ascii="宋体" w:hAnsi="宋体" w:eastAsia="宋体" w:cs="宋体"/>
                <w:color w:val="auto"/>
                <w:spacing w:val="-6"/>
                <w:sz w:val="18"/>
                <w:szCs w:val="18"/>
                <w:highlight w:val="none"/>
              </w:rPr>
              <w:t>次数</w:t>
            </w:r>
          </w:p>
        </w:tc>
        <w:tc>
          <w:tcPr>
            <w:tcW w:w="1949" w:type="dxa"/>
            <w:vAlign w:val="top"/>
          </w:tcPr>
          <w:p w14:paraId="58A2292F">
            <w:pPr>
              <w:spacing w:before="148" w:line="219" w:lineRule="auto"/>
              <w:ind w:left="816"/>
              <w:rPr>
                <w:rFonts w:ascii="宋体" w:hAnsi="宋体" w:eastAsia="宋体" w:cs="宋体"/>
                <w:color w:val="auto"/>
                <w:sz w:val="18"/>
                <w:szCs w:val="18"/>
                <w:highlight w:val="none"/>
              </w:rPr>
            </w:pPr>
            <w:r>
              <w:rPr>
                <w:rFonts w:ascii="宋体" w:hAnsi="宋体" w:eastAsia="宋体" w:cs="宋体"/>
                <w:color w:val="auto"/>
                <w:spacing w:val="-15"/>
                <w:sz w:val="18"/>
                <w:szCs w:val="18"/>
                <w:highlight w:val="none"/>
              </w:rPr>
              <w:t>内容</w:t>
            </w:r>
          </w:p>
        </w:tc>
        <w:tc>
          <w:tcPr>
            <w:tcW w:w="1503" w:type="dxa"/>
            <w:vAlign w:val="top"/>
          </w:tcPr>
          <w:p w14:paraId="5BF72B2B">
            <w:pPr>
              <w:spacing w:before="148" w:line="221" w:lineRule="auto"/>
              <w:ind w:left="582"/>
              <w:rPr>
                <w:rFonts w:ascii="宋体" w:hAnsi="宋体" w:eastAsia="宋体" w:cs="宋体"/>
                <w:color w:val="auto"/>
                <w:sz w:val="18"/>
                <w:szCs w:val="18"/>
                <w:highlight w:val="none"/>
              </w:rPr>
            </w:pPr>
            <w:r>
              <w:rPr>
                <w:rFonts w:ascii="宋体" w:hAnsi="宋体" w:eastAsia="宋体" w:cs="宋体"/>
                <w:color w:val="auto"/>
                <w:spacing w:val="-8"/>
                <w:sz w:val="18"/>
                <w:szCs w:val="18"/>
                <w:highlight w:val="none"/>
              </w:rPr>
              <w:t>时间</w:t>
            </w:r>
          </w:p>
        </w:tc>
        <w:tc>
          <w:tcPr>
            <w:tcW w:w="1503" w:type="dxa"/>
            <w:vAlign w:val="top"/>
          </w:tcPr>
          <w:p w14:paraId="6B24149C">
            <w:pPr>
              <w:spacing w:before="148" w:line="224" w:lineRule="auto"/>
              <w:ind w:left="57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地点</w:t>
            </w:r>
          </w:p>
        </w:tc>
        <w:tc>
          <w:tcPr>
            <w:tcW w:w="1973" w:type="dxa"/>
            <w:vAlign w:val="top"/>
          </w:tcPr>
          <w:p w14:paraId="2256BC2C">
            <w:pPr>
              <w:spacing w:before="148" w:line="219" w:lineRule="auto"/>
              <w:ind w:left="80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人数</w:t>
            </w:r>
          </w:p>
        </w:tc>
      </w:tr>
      <w:tr w14:paraId="0EE551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728" w:type="dxa"/>
            <w:vAlign w:val="top"/>
          </w:tcPr>
          <w:p w14:paraId="47CD47C2">
            <w:pPr>
              <w:spacing w:before="173" w:line="184" w:lineRule="auto"/>
              <w:ind w:left="333"/>
              <w:rPr>
                <w:rFonts w:ascii="宋体" w:hAnsi="宋体" w:eastAsia="宋体" w:cs="宋体"/>
                <w:color w:val="auto"/>
                <w:sz w:val="18"/>
                <w:szCs w:val="18"/>
                <w:highlight w:val="none"/>
              </w:rPr>
            </w:pPr>
            <w:r>
              <w:rPr>
                <w:rFonts w:ascii="宋体" w:hAnsi="宋体" w:eastAsia="宋体" w:cs="宋体"/>
                <w:color w:val="auto"/>
                <w:sz w:val="18"/>
                <w:szCs w:val="18"/>
                <w:highlight w:val="none"/>
              </w:rPr>
              <w:t>1</w:t>
            </w:r>
          </w:p>
        </w:tc>
        <w:tc>
          <w:tcPr>
            <w:tcW w:w="710" w:type="dxa"/>
            <w:vAlign w:val="top"/>
          </w:tcPr>
          <w:p w14:paraId="63DBC506">
            <w:pPr>
              <w:spacing w:before="174" w:line="183" w:lineRule="auto"/>
              <w:ind w:left="306"/>
              <w:rPr>
                <w:rFonts w:ascii="宋体" w:hAnsi="宋体" w:eastAsia="宋体" w:cs="宋体"/>
                <w:color w:val="auto"/>
                <w:sz w:val="18"/>
                <w:szCs w:val="18"/>
                <w:highlight w:val="none"/>
              </w:rPr>
            </w:pPr>
          </w:p>
        </w:tc>
        <w:tc>
          <w:tcPr>
            <w:tcW w:w="1949" w:type="dxa"/>
            <w:vAlign w:val="top"/>
          </w:tcPr>
          <w:p w14:paraId="4216CED1">
            <w:pPr>
              <w:pStyle w:val="7"/>
              <w:rPr>
                <w:color w:val="auto"/>
                <w:highlight w:val="none"/>
              </w:rPr>
            </w:pPr>
          </w:p>
        </w:tc>
        <w:tc>
          <w:tcPr>
            <w:tcW w:w="1503" w:type="dxa"/>
            <w:vAlign w:val="top"/>
          </w:tcPr>
          <w:p w14:paraId="66D62B11">
            <w:pPr>
              <w:pStyle w:val="7"/>
              <w:rPr>
                <w:color w:val="auto"/>
                <w:highlight w:val="none"/>
              </w:rPr>
            </w:pPr>
          </w:p>
        </w:tc>
        <w:tc>
          <w:tcPr>
            <w:tcW w:w="1503" w:type="dxa"/>
            <w:vAlign w:val="top"/>
          </w:tcPr>
          <w:p w14:paraId="72BF28AA">
            <w:pPr>
              <w:spacing w:before="146" w:line="220" w:lineRule="auto"/>
              <w:ind w:left="217"/>
              <w:rPr>
                <w:rFonts w:ascii="宋体" w:hAnsi="宋体" w:eastAsia="宋体" w:cs="宋体"/>
                <w:color w:val="auto"/>
                <w:sz w:val="18"/>
                <w:szCs w:val="18"/>
                <w:highlight w:val="none"/>
              </w:rPr>
            </w:pPr>
          </w:p>
        </w:tc>
        <w:tc>
          <w:tcPr>
            <w:tcW w:w="1973" w:type="dxa"/>
            <w:vAlign w:val="top"/>
          </w:tcPr>
          <w:p w14:paraId="1FA2C973">
            <w:pPr>
              <w:pStyle w:val="7"/>
              <w:rPr>
                <w:color w:val="auto"/>
                <w:highlight w:val="none"/>
              </w:rPr>
            </w:pPr>
          </w:p>
        </w:tc>
      </w:tr>
      <w:tr w14:paraId="22506D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728" w:type="dxa"/>
            <w:vAlign w:val="top"/>
          </w:tcPr>
          <w:p w14:paraId="34021A92">
            <w:pPr>
              <w:spacing w:before="178" w:line="183" w:lineRule="auto"/>
              <w:ind w:left="322"/>
              <w:rPr>
                <w:rFonts w:ascii="宋体" w:hAnsi="宋体" w:eastAsia="宋体" w:cs="宋体"/>
                <w:color w:val="auto"/>
                <w:sz w:val="18"/>
                <w:szCs w:val="18"/>
                <w:highlight w:val="none"/>
              </w:rPr>
            </w:pPr>
            <w:r>
              <w:rPr>
                <w:rFonts w:ascii="宋体" w:hAnsi="宋体" w:eastAsia="宋体" w:cs="宋体"/>
                <w:color w:val="auto"/>
                <w:sz w:val="18"/>
                <w:szCs w:val="18"/>
                <w:highlight w:val="none"/>
              </w:rPr>
              <w:t>2</w:t>
            </w:r>
          </w:p>
        </w:tc>
        <w:tc>
          <w:tcPr>
            <w:tcW w:w="710" w:type="dxa"/>
            <w:vAlign w:val="top"/>
          </w:tcPr>
          <w:p w14:paraId="69C93CC2">
            <w:pPr>
              <w:spacing w:before="178" w:line="183" w:lineRule="auto"/>
              <w:ind w:left="306"/>
              <w:rPr>
                <w:rFonts w:ascii="宋体" w:hAnsi="宋体" w:eastAsia="宋体" w:cs="宋体"/>
                <w:color w:val="auto"/>
                <w:sz w:val="18"/>
                <w:szCs w:val="18"/>
                <w:highlight w:val="none"/>
              </w:rPr>
            </w:pPr>
          </w:p>
        </w:tc>
        <w:tc>
          <w:tcPr>
            <w:tcW w:w="1949" w:type="dxa"/>
            <w:vAlign w:val="top"/>
          </w:tcPr>
          <w:p w14:paraId="243DA62F">
            <w:pPr>
              <w:pStyle w:val="7"/>
              <w:rPr>
                <w:color w:val="auto"/>
                <w:highlight w:val="none"/>
              </w:rPr>
            </w:pPr>
          </w:p>
        </w:tc>
        <w:tc>
          <w:tcPr>
            <w:tcW w:w="1503" w:type="dxa"/>
            <w:vAlign w:val="top"/>
          </w:tcPr>
          <w:p w14:paraId="47DF1271">
            <w:pPr>
              <w:pStyle w:val="7"/>
              <w:rPr>
                <w:color w:val="auto"/>
                <w:highlight w:val="none"/>
              </w:rPr>
            </w:pPr>
          </w:p>
        </w:tc>
        <w:tc>
          <w:tcPr>
            <w:tcW w:w="1503" w:type="dxa"/>
            <w:vAlign w:val="top"/>
          </w:tcPr>
          <w:p w14:paraId="2152A661">
            <w:pPr>
              <w:spacing w:before="149" w:line="220" w:lineRule="auto"/>
              <w:ind w:left="216"/>
              <w:rPr>
                <w:rFonts w:ascii="宋体" w:hAnsi="宋体" w:eastAsia="宋体" w:cs="宋体"/>
                <w:color w:val="auto"/>
                <w:sz w:val="18"/>
                <w:szCs w:val="18"/>
                <w:highlight w:val="none"/>
              </w:rPr>
            </w:pPr>
          </w:p>
        </w:tc>
        <w:tc>
          <w:tcPr>
            <w:tcW w:w="1973" w:type="dxa"/>
            <w:vAlign w:val="top"/>
          </w:tcPr>
          <w:p w14:paraId="20F50D96">
            <w:pPr>
              <w:pStyle w:val="7"/>
              <w:rPr>
                <w:color w:val="auto"/>
                <w:highlight w:val="none"/>
              </w:rPr>
            </w:pPr>
          </w:p>
        </w:tc>
      </w:tr>
    </w:tbl>
    <w:p w14:paraId="012A1DB8">
      <w:pPr>
        <w:pStyle w:val="3"/>
        <w:rPr>
          <w:color w:val="auto"/>
          <w:highlight w:val="none"/>
        </w:rPr>
      </w:pPr>
    </w:p>
    <w:p w14:paraId="2E7B7629">
      <w:pPr>
        <w:rPr>
          <w:color w:val="auto"/>
          <w:highlight w:val="none"/>
        </w:rPr>
        <w:sectPr>
          <w:pgSz w:w="11906" w:h="16839"/>
          <w:pgMar w:top="1431" w:right="1764" w:bottom="400" w:left="1764" w:header="0" w:footer="0" w:gutter="0"/>
          <w:pgBorders>
            <w:top w:val="none" w:sz="0" w:space="0"/>
            <w:left w:val="none" w:sz="0" w:space="0"/>
            <w:bottom w:val="none" w:sz="0" w:space="0"/>
            <w:right w:val="none" w:sz="0" w:space="0"/>
          </w:pgBorders>
          <w:cols w:space="720" w:num="1"/>
        </w:sectPr>
      </w:pPr>
    </w:p>
    <w:p w14:paraId="4BE1492C">
      <w:pPr>
        <w:spacing w:before="318" w:line="224" w:lineRule="auto"/>
        <w:ind w:left="150"/>
        <w:outlineLvl w:val="0"/>
        <w:rPr>
          <w:rFonts w:ascii="宋体" w:hAnsi="宋体" w:eastAsia="宋体" w:cs="宋体"/>
          <w:color w:val="auto"/>
          <w:sz w:val="31"/>
          <w:szCs w:val="31"/>
          <w:highlight w:val="none"/>
        </w:rPr>
      </w:pPr>
      <w:bookmarkStart w:id="25" w:name="bookmark13"/>
      <w:bookmarkEnd w:id="25"/>
      <w:bookmarkStart w:id="26" w:name="bookmark14"/>
      <w:bookmarkEnd w:id="26"/>
      <w:r>
        <w:rPr>
          <w:rFonts w:ascii="宋体" w:hAnsi="宋体" w:eastAsia="宋体" w:cs="宋体"/>
          <w:b/>
          <w:bCs/>
          <w:color w:val="auto"/>
          <w:spacing w:val="-3"/>
          <w:sz w:val="31"/>
          <w:szCs w:val="31"/>
          <w:highlight w:val="none"/>
        </w:rPr>
        <w:t>附件</w:t>
      </w:r>
      <w:r>
        <w:rPr>
          <w:rFonts w:ascii="宋体" w:hAnsi="宋体" w:eastAsia="宋体" w:cs="宋体"/>
          <w:color w:val="auto"/>
          <w:spacing w:val="-52"/>
          <w:sz w:val="31"/>
          <w:szCs w:val="31"/>
          <w:highlight w:val="none"/>
        </w:rPr>
        <w:t xml:space="preserve"> </w:t>
      </w:r>
      <w:r>
        <w:rPr>
          <w:rFonts w:ascii="宋体" w:hAnsi="宋体" w:eastAsia="宋体" w:cs="宋体"/>
          <w:b/>
          <w:bCs/>
          <w:color w:val="auto"/>
          <w:spacing w:val="-3"/>
          <w:sz w:val="31"/>
          <w:szCs w:val="31"/>
          <w:highlight w:val="none"/>
        </w:rPr>
        <w:t>7</w:t>
      </w:r>
      <w:r>
        <w:rPr>
          <w:rFonts w:ascii="宋体" w:hAnsi="宋体" w:eastAsia="宋体" w:cs="宋体"/>
          <w:color w:val="auto"/>
          <w:spacing w:val="14"/>
          <w:sz w:val="31"/>
          <w:szCs w:val="31"/>
          <w:highlight w:val="none"/>
        </w:rPr>
        <w:t xml:space="preserve">  </w:t>
      </w:r>
      <w:r>
        <w:rPr>
          <w:rFonts w:ascii="宋体" w:hAnsi="宋体" w:eastAsia="宋体" w:cs="宋体"/>
          <w:b/>
          <w:bCs/>
          <w:color w:val="auto"/>
          <w:spacing w:val="-3"/>
          <w:sz w:val="31"/>
          <w:szCs w:val="31"/>
          <w:highlight w:val="none"/>
        </w:rPr>
        <w:t>分包与外购</w:t>
      </w:r>
    </w:p>
    <w:p w14:paraId="76EB4663">
      <w:pPr>
        <w:pStyle w:val="3"/>
        <w:spacing w:line="310" w:lineRule="auto"/>
        <w:rPr>
          <w:color w:val="auto"/>
          <w:highlight w:val="none"/>
        </w:rPr>
      </w:pPr>
    </w:p>
    <w:p w14:paraId="32437A25">
      <w:pPr>
        <w:spacing w:before="65" w:line="418" w:lineRule="auto"/>
        <w:ind w:left="123" w:right="313" w:firstLine="480"/>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投标人要按下列表格填写分包情况表，并报各分包厂家的简要资质情况（包括与本设</w:t>
      </w:r>
      <w:r>
        <w:rPr>
          <w:rFonts w:ascii="宋体" w:hAnsi="宋体" w:eastAsia="宋体" w:cs="宋体"/>
          <w:color w:val="auto"/>
          <w:spacing w:val="5"/>
          <w:sz w:val="20"/>
          <w:szCs w:val="20"/>
          <w:highlight w:val="none"/>
        </w:rPr>
        <w:t xml:space="preserve"> </w:t>
      </w:r>
      <w:r>
        <w:rPr>
          <w:rFonts w:ascii="宋体" w:hAnsi="宋体" w:eastAsia="宋体" w:cs="宋体"/>
          <w:color w:val="auto"/>
          <w:spacing w:val="-3"/>
          <w:sz w:val="20"/>
          <w:szCs w:val="20"/>
          <w:highlight w:val="none"/>
        </w:rPr>
        <w:t>备的配套业绩）。</w:t>
      </w:r>
    </w:p>
    <w:p w14:paraId="07D3AB18">
      <w:pPr>
        <w:spacing w:before="30" w:line="227" w:lineRule="auto"/>
        <w:ind w:left="120"/>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注：下表中的序号和内容应与附件</w:t>
      </w:r>
      <w:r>
        <w:rPr>
          <w:rFonts w:ascii="宋体" w:hAnsi="宋体" w:eastAsia="宋体" w:cs="宋体"/>
          <w:color w:val="auto"/>
          <w:spacing w:val="-33"/>
          <w:sz w:val="20"/>
          <w:szCs w:val="20"/>
          <w:highlight w:val="none"/>
        </w:rPr>
        <w:t xml:space="preserve"> </w:t>
      </w:r>
      <w:r>
        <w:rPr>
          <w:rFonts w:ascii="宋体" w:hAnsi="宋体" w:eastAsia="宋体" w:cs="宋体"/>
          <w:color w:val="auto"/>
          <w:spacing w:val="7"/>
          <w:sz w:val="20"/>
          <w:szCs w:val="20"/>
          <w:highlight w:val="none"/>
        </w:rPr>
        <w:t>2</w:t>
      </w:r>
      <w:r>
        <w:rPr>
          <w:rFonts w:ascii="宋体" w:hAnsi="宋体" w:eastAsia="宋体" w:cs="宋体"/>
          <w:color w:val="auto"/>
          <w:spacing w:val="-21"/>
          <w:sz w:val="20"/>
          <w:szCs w:val="20"/>
          <w:highlight w:val="none"/>
        </w:rPr>
        <w:t xml:space="preserve"> </w:t>
      </w:r>
      <w:r>
        <w:rPr>
          <w:rFonts w:ascii="宋体" w:hAnsi="宋体" w:eastAsia="宋体" w:cs="宋体"/>
          <w:color w:val="auto"/>
          <w:spacing w:val="7"/>
          <w:sz w:val="20"/>
          <w:szCs w:val="20"/>
          <w:highlight w:val="none"/>
        </w:rPr>
        <w:t>的一致</w:t>
      </w:r>
    </w:p>
    <w:p w14:paraId="130DE167">
      <w:pPr>
        <w:spacing w:line="94" w:lineRule="exact"/>
        <w:rPr>
          <w:color w:val="auto"/>
          <w:highlight w:val="none"/>
        </w:rPr>
      </w:pPr>
    </w:p>
    <w:tbl>
      <w:tblPr>
        <w:tblStyle w:val="6"/>
        <w:tblW w:w="87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2"/>
        <w:gridCol w:w="1371"/>
        <w:gridCol w:w="1427"/>
        <w:gridCol w:w="980"/>
        <w:gridCol w:w="1119"/>
        <w:gridCol w:w="1259"/>
        <w:gridCol w:w="840"/>
        <w:gridCol w:w="916"/>
      </w:tblGrid>
      <w:tr w14:paraId="0B6134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2" w:type="dxa"/>
            <w:vAlign w:val="top"/>
          </w:tcPr>
          <w:p w14:paraId="5BE099BC">
            <w:pPr>
              <w:spacing w:before="148" w:line="221" w:lineRule="auto"/>
              <w:ind w:left="229"/>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1371" w:type="dxa"/>
            <w:vAlign w:val="top"/>
          </w:tcPr>
          <w:p w14:paraId="58FCD30C">
            <w:pPr>
              <w:spacing w:before="148" w:line="219" w:lineRule="auto"/>
              <w:ind w:left="330"/>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设备组件</w:t>
            </w:r>
          </w:p>
        </w:tc>
        <w:tc>
          <w:tcPr>
            <w:tcW w:w="1427" w:type="dxa"/>
            <w:vAlign w:val="top"/>
          </w:tcPr>
          <w:p w14:paraId="72BE5028">
            <w:pPr>
              <w:spacing w:before="148" w:line="220" w:lineRule="auto"/>
              <w:ind w:left="360"/>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厂家名称</w:t>
            </w:r>
          </w:p>
        </w:tc>
        <w:tc>
          <w:tcPr>
            <w:tcW w:w="980" w:type="dxa"/>
            <w:vAlign w:val="top"/>
          </w:tcPr>
          <w:p w14:paraId="593B64D3">
            <w:pPr>
              <w:spacing w:before="148" w:line="221" w:lineRule="auto"/>
              <w:ind w:left="319"/>
              <w:rPr>
                <w:rFonts w:ascii="宋体" w:hAnsi="宋体" w:eastAsia="宋体" w:cs="宋体"/>
                <w:color w:val="auto"/>
                <w:sz w:val="18"/>
                <w:szCs w:val="18"/>
                <w:highlight w:val="none"/>
              </w:rPr>
            </w:pPr>
            <w:r>
              <w:rPr>
                <w:rFonts w:ascii="宋体" w:hAnsi="宋体" w:eastAsia="宋体" w:cs="宋体"/>
                <w:color w:val="auto"/>
                <w:spacing w:val="-7"/>
                <w:sz w:val="18"/>
                <w:szCs w:val="18"/>
                <w:highlight w:val="none"/>
              </w:rPr>
              <w:t>型号</w:t>
            </w:r>
          </w:p>
        </w:tc>
        <w:tc>
          <w:tcPr>
            <w:tcW w:w="1119" w:type="dxa"/>
            <w:vAlign w:val="top"/>
          </w:tcPr>
          <w:p w14:paraId="29FDE8F3">
            <w:pPr>
              <w:spacing w:before="148" w:line="220" w:lineRule="auto"/>
              <w:ind w:left="386"/>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单位</w:t>
            </w:r>
          </w:p>
        </w:tc>
        <w:tc>
          <w:tcPr>
            <w:tcW w:w="1259" w:type="dxa"/>
            <w:vAlign w:val="top"/>
          </w:tcPr>
          <w:p w14:paraId="4320E0CE">
            <w:pPr>
              <w:spacing w:before="148" w:line="219" w:lineRule="auto"/>
              <w:ind w:left="457"/>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数量</w:t>
            </w:r>
          </w:p>
        </w:tc>
        <w:tc>
          <w:tcPr>
            <w:tcW w:w="840" w:type="dxa"/>
            <w:vAlign w:val="top"/>
          </w:tcPr>
          <w:p w14:paraId="12529C2F">
            <w:pPr>
              <w:spacing w:before="148" w:line="219" w:lineRule="auto"/>
              <w:ind w:left="24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产地</w:t>
            </w:r>
          </w:p>
        </w:tc>
        <w:tc>
          <w:tcPr>
            <w:tcW w:w="916" w:type="dxa"/>
            <w:vAlign w:val="top"/>
          </w:tcPr>
          <w:p w14:paraId="4B1BD7C3">
            <w:pPr>
              <w:spacing w:before="148" w:line="221" w:lineRule="auto"/>
              <w:ind w:left="284"/>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0A246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2" w:type="dxa"/>
            <w:vMerge w:val="restart"/>
            <w:tcBorders>
              <w:bottom w:val="nil"/>
            </w:tcBorders>
            <w:vAlign w:val="top"/>
          </w:tcPr>
          <w:p w14:paraId="39D32C4C">
            <w:pPr>
              <w:pStyle w:val="7"/>
              <w:rPr>
                <w:color w:val="auto"/>
                <w:highlight w:val="none"/>
              </w:rPr>
            </w:pPr>
          </w:p>
        </w:tc>
        <w:tc>
          <w:tcPr>
            <w:tcW w:w="1371" w:type="dxa"/>
            <w:vMerge w:val="restart"/>
            <w:tcBorders>
              <w:bottom w:val="nil"/>
            </w:tcBorders>
            <w:vAlign w:val="top"/>
          </w:tcPr>
          <w:p w14:paraId="213F82C3">
            <w:pPr>
              <w:pStyle w:val="7"/>
              <w:rPr>
                <w:color w:val="auto"/>
                <w:highlight w:val="none"/>
              </w:rPr>
            </w:pPr>
          </w:p>
        </w:tc>
        <w:tc>
          <w:tcPr>
            <w:tcW w:w="1427" w:type="dxa"/>
            <w:vAlign w:val="top"/>
          </w:tcPr>
          <w:p w14:paraId="5D14C585">
            <w:pPr>
              <w:pStyle w:val="7"/>
              <w:rPr>
                <w:color w:val="auto"/>
                <w:highlight w:val="none"/>
              </w:rPr>
            </w:pPr>
          </w:p>
        </w:tc>
        <w:tc>
          <w:tcPr>
            <w:tcW w:w="980" w:type="dxa"/>
            <w:vAlign w:val="top"/>
          </w:tcPr>
          <w:p w14:paraId="189F20F5">
            <w:pPr>
              <w:pStyle w:val="7"/>
              <w:rPr>
                <w:color w:val="auto"/>
                <w:highlight w:val="none"/>
              </w:rPr>
            </w:pPr>
          </w:p>
        </w:tc>
        <w:tc>
          <w:tcPr>
            <w:tcW w:w="1119" w:type="dxa"/>
            <w:vAlign w:val="top"/>
          </w:tcPr>
          <w:p w14:paraId="68A9D7E5">
            <w:pPr>
              <w:pStyle w:val="7"/>
              <w:rPr>
                <w:color w:val="auto"/>
                <w:highlight w:val="none"/>
              </w:rPr>
            </w:pPr>
          </w:p>
        </w:tc>
        <w:tc>
          <w:tcPr>
            <w:tcW w:w="1259" w:type="dxa"/>
            <w:vAlign w:val="top"/>
          </w:tcPr>
          <w:p w14:paraId="334502BC">
            <w:pPr>
              <w:pStyle w:val="7"/>
              <w:rPr>
                <w:color w:val="auto"/>
                <w:highlight w:val="none"/>
              </w:rPr>
            </w:pPr>
          </w:p>
        </w:tc>
        <w:tc>
          <w:tcPr>
            <w:tcW w:w="840" w:type="dxa"/>
            <w:vAlign w:val="top"/>
          </w:tcPr>
          <w:p w14:paraId="276E1AA3">
            <w:pPr>
              <w:pStyle w:val="7"/>
              <w:rPr>
                <w:color w:val="auto"/>
                <w:highlight w:val="none"/>
              </w:rPr>
            </w:pPr>
          </w:p>
        </w:tc>
        <w:tc>
          <w:tcPr>
            <w:tcW w:w="916" w:type="dxa"/>
            <w:vAlign w:val="top"/>
          </w:tcPr>
          <w:p w14:paraId="136EA0B7">
            <w:pPr>
              <w:pStyle w:val="7"/>
              <w:rPr>
                <w:color w:val="auto"/>
                <w:highlight w:val="none"/>
              </w:rPr>
            </w:pPr>
          </w:p>
        </w:tc>
      </w:tr>
      <w:tr w14:paraId="5E650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2" w:type="dxa"/>
            <w:vMerge w:val="continue"/>
            <w:tcBorders>
              <w:top w:val="nil"/>
              <w:bottom w:val="nil"/>
            </w:tcBorders>
            <w:vAlign w:val="top"/>
          </w:tcPr>
          <w:p w14:paraId="5E184A7F">
            <w:pPr>
              <w:pStyle w:val="7"/>
              <w:rPr>
                <w:color w:val="auto"/>
                <w:highlight w:val="none"/>
              </w:rPr>
            </w:pPr>
          </w:p>
        </w:tc>
        <w:tc>
          <w:tcPr>
            <w:tcW w:w="1371" w:type="dxa"/>
            <w:vMerge w:val="continue"/>
            <w:tcBorders>
              <w:top w:val="nil"/>
              <w:bottom w:val="nil"/>
            </w:tcBorders>
            <w:vAlign w:val="top"/>
          </w:tcPr>
          <w:p w14:paraId="66DF9A30">
            <w:pPr>
              <w:pStyle w:val="7"/>
              <w:rPr>
                <w:color w:val="auto"/>
                <w:highlight w:val="none"/>
              </w:rPr>
            </w:pPr>
          </w:p>
        </w:tc>
        <w:tc>
          <w:tcPr>
            <w:tcW w:w="1427" w:type="dxa"/>
            <w:vAlign w:val="top"/>
          </w:tcPr>
          <w:p w14:paraId="7AF26CEA">
            <w:pPr>
              <w:pStyle w:val="7"/>
              <w:rPr>
                <w:color w:val="auto"/>
                <w:highlight w:val="none"/>
              </w:rPr>
            </w:pPr>
          </w:p>
        </w:tc>
        <w:tc>
          <w:tcPr>
            <w:tcW w:w="980" w:type="dxa"/>
            <w:vAlign w:val="top"/>
          </w:tcPr>
          <w:p w14:paraId="1E2AF405">
            <w:pPr>
              <w:pStyle w:val="7"/>
              <w:rPr>
                <w:color w:val="auto"/>
                <w:highlight w:val="none"/>
              </w:rPr>
            </w:pPr>
          </w:p>
        </w:tc>
        <w:tc>
          <w:tcPr>
            <w:tcW w:w="1119" w:type="dxa"/>
            <w:vAlign w:val="top"/>
          </w:tcPr>
          <w:p w14:paraId="2E61E885">
            <w:pPr>
              <w:pStyle w:val="7"/>
              <w:rPr>
                <w:color w:val="auto"/>
                <w:highlight w:val="none"/>
              </w:rPr>
            </w:pPr>
          </w:p>
        </w:tc>
        <w:tc>
          <w:tcPr>
            <w:tcW w:w="1259" w:type="dxa"/>
            <w:vAlign w:val="top"/>
          </w:tcPr>
          <w:p w14:paraId="655E6B14">
            <w:pPr>
              <w:pStyle w:val="7"/>
              <w:rPr>
                <w:color w:val="auto"/>
                <w:highlight w:val="none"/>
              </w:rPr>
            </w:pPr>
          </w:p>
        </w:tc>
        <w:tc>
          <w:tcPr>
            <w:tcW w:w="840" w:type="dxa"/>
            <w:vAlign w:val="top"/>
          </w:tcPr>
          <w:p w14:paraId="32C81360">
            <w:pPr>
              <w:pStyle w:val="7"/>
              <w:rPr>
                <w:color w:val="auto"/>
                <w:highlight w:val="none"/>
              </w:rPr>
            </w:pPr>
          </w:p>
        </w:tc>
        <w:tc>
          <w:tcPr>
            <w:tcW w:w="916" w:type="dxa"/>
            <w:vAlign w:val="top"/>
          </w:tcPr>
          <w:p w14:paraId="5F489AE6">
            <w:pPr>
              <w:pStyle w:val="7"/>
              <w:rPr>
                <w:color w:val="auto"/>
                <w:highlight w:val="none"/>
              </w:rPr>
            </w:pPr>
          </w:p>
        </w:tc>
      </w:tr>
      <w:tr w14:paraId="084EF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2" w:type="dxa"/>
            <w:vMerge w:val="continue"/>
            <w:tcBorders>
              <w:top w:val="nil"/>
            </w:tcBorders>
            <w:vAlign w:val="top"/>
          </w:tcPr>
          <w:p w14:paraId="42F5DE0A">
            <w:pPr>
              <w:pStyle w:val="7"/>
              <w:rPr>
                <w:color w:val="auto"/>
                <w:highlight w:val="none"/>
              </w:rPr>
            </w:pPr>
          </w:p>
        </w:tc>
        <w:tc>
          <w:tcPr>
            <w:tcW w:w="1371" w:type="dxa"/>
            <w:vMerge w:val="continue"/>
            <w:tcBorders>
              <w:top w:val="nil"/>
            </w:tcBorders>
            <w:vAlign w:val="top"/>
          </w:tcPr>
          <w:p w14:paraId="13C8CDB4">
            <w:pPr>
              <w:pStyle w:val="7"/>
              <w:rPr>
                <w:color w:val="auto"/>
                <w:highlight w:val="none"/>
              </w:rPr>
            </w:pPr>
          </w:p>
        </w:tc>
        <w:tc>
          <w:tcPr>
            <w:tcW w:w="1427" w:type="dxa"/>
            <w:vAlign w:val="top"/>
          </w:tcPr>
          <w:p w14:paraId="0835916A">
            <w:pPr>
              <w:pStyle w:val="7"/>
              <w:rPr>
                <w:color w:val="auto"/>
                <w:highlight w:val="none"/>
              </w:rPr>
            </w:pPr>
          </w:p>
        </w:tc>
        <w:tc>
          <w:tcPr>
            <w:tcW w:w="980" w:type="dxa"/>
            <w:vAlign w:val="top"/>
          </w:tcPr>
          <w:p w14:paraId="09B19256">
            <w:pPr>
              <w:pStyle w:val="7"/>
              <w:rPr>
                <w:color w:val="auto"/>
                <w:highlight w:val="none"/>
              </w:rPr>
            </w:pPr>
          </w:p>
        </w:tc>
        <w:tc>
          <w:tcPr>
            <w:tcW w:w="1119" w:type="dxa"/>
            <w:vAlign w:val="top"/>
          </w:tcPr>
          <w:p w14:paraId="3D7097AF">
            <w:pPr>
              <w:pStyle w:val="7"/>
              <w:rPr>
                <w:color w:val="auto"/>
                <w:highlight w:val="none"/>
              </w:rPr>
            </w:pPr>
          </w:p>
        </w:tc>
        <w:tc>
          <w:tcPr>
            <w:tcW w:w="1259" w:type="dxa"/>
            <w:vAlign w:val="top"/>
          </w:tcPr>
          <w:p w14:paraId="72BD1D56">
            <w:pPr>
              <w:pStyle w:val="7"/>
              <w:rPr>
                <w:color w:val="auto"/>
                <w:highlight w:val="none"/>
              </w:rPr>
            </w:pPr>
          </w:p>
        </w:tc>
        <w:tc>
          <w:tcPr>
            <w:tcW w:w="840" w:type="dxa"/>
            <w:vAlign w:val="top"/>
          </w:tcPr>
          <w:p w14:paraId="35E3D8B1">
            <w:pPr>
              <w:pStyle w:val="7"/>
              <w:rPr>
                <w:color w:val="auto"/>
                <w:highlight w:val="none"/>
              </w:rPr>
            </w:pPr>
          </w:p>
        </w:tc>
        <w:tc>
          <w:tcPr>
            <w:tcW w:w="916" w:type="dxa"/>
            <w:vAlign w:val="top"/>
          </w:tcPr>
          <w:p w14:paraId="663C91FB">
            <w:pPr>
              <w:pStyle w:val="7"/>
              <w:rPr>
                <w:color w:val="auto"/>
                <w:highlight w:val="none"/>
              </w:rPr>
            </w:pPr>
          </w:p>
        </w:tc>
      </w:tr>
      <w:tr w14:paraId="05E92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2" w:type="dxa"/>
            <w:vMerge w:val="restart"/>
            <w:tcBorders>
              <w:bottom w:val="nil"/>
            </w:tcBorders>
            <w:vAlign w:val="top"/>
          </w:tcPr>
          <w:p w14:paraId="0CC25180">
            <w:pPr>
              <w:pStyle w:val="7"/>
              <w:rPr>
                <w:color w:val="auto"/>
                <w:highlight w:val="none"/>
              </w:rPr>
            </w:pPr>
          </w:p>
        </w:tc>
        <w:tc>
          <w:tcPr>
            <w:tcW w:w="1371" w:type="dxa"/>
            <w:vMerge w:val="restart"/>
            <w:tcBorders>
              <w:bottom w:val="nil"/>
            </w:tcBorders>
            <w:vAlign w:val="top"/>
          </w:tcPr>
          <w:p w14:paraId="4421FAE3">
            <w:pPr>
              <w:pStyle w:val="7"/>
              <w:rPr>
                <w:color w:val="auto"/>
                <w:highlight w:val="none"/>
              </w:rPr>
            </w:pPr>
          </w:p>
        </w:tc>
        <w:tc>
          <w:tcPr>
            <w:tcW w:w="1427" w:type="dxa"/>
            <w:vAlign w:val="top"/>
          </w:tcPr>
          <w:p w14:paraId="23C5A92D">
            <w:pPr>
              <w:pStyle w:val="7"/>
              <w:rPr>
                <w:color w:val="auto"/>
                <w:highlight w:val="none"/>
              </w:rPr>
            </w:pPr>
          </w:p>
        </w:tc>
        <w:tc>
          <w:tcPr>
            <w:tcW w:w="980" w:type="dxa"/>
            <w:vAlign w:val="top"/>
          </w:tcPr>
          <w:p w14:paraId="5379DD15">
            <w:pPr>
              <w:pStyle w:val="7"/>
              <w:rPr>
                <w:color w:val="auto"/>
                <w:highlight w:val="none"/>
              </w:rPr>
            </w:pPr>
          </w:p>
        </w:tc>
        <w:tc>
          <w:tcPr>
            <w:tcW w:w="1119" w:type="dxa"/>
            <w:vAlign w:val="top"/>
          </w:tcPr>
          <w:p w14:paraId="3D93122C">
            <w:pPr>
              <w:pStyle w:val="7"/>
              <w:rPr>
                <w:color w:val="auto"/>
                <w:highlight w:val="none"/>
              </w:rPr>
            </w:pPr>
          </w:p>
        </w:tc>
        <w:tc>
          <w:tcPr>
            <w:tcW w:w="1259" w:type="dxa"/>
            <w:vAlign w:val="top"/>
          </w:tcPr>
          <w:p w14:paraId="161EB6D0">
            <w:pPr>
              <w:pStyle w:val="7"/>
              <w:rPr>
                <w:color w:val="auto"/>
                <w:highlight w:val="none"/>
              </w:rPr>
            </w:pPr>
          </w:p>
        </w:tc>
        <w:tc>
          <w:tcPr>
            <w:tcW w:w="840" w:type="dxa"/>
            <w:vAlign w:val="top"/>
          </w:tcPr>
          <w:p w14:paraId="4FC283A0">
            <w:pPr>
              <w:pStyle w:val="7"/>
              <w:rPr>
                <w:color w:val="auto"/>
                <w:highlight w:val="none"/>
              </w:rPr>
            </w:pPr>
          </w:p>
        </w:tc>
        <w:tc>
          <w:tcPr>
            <w:tcW w:w="916" w:type="dxa"/>
            <w:vAlign w:val="top"/>
          </w:tcPr>
          <w:p w14:paraId="5235BF70">
            <w:pPr>
              <w:pStyle w:val="7"/>
              <w:rPr>
                <w:color w:val="auto"/>
                <w:highlight w:val="none"/>
              </w:rPr>
            </w:pPr>
          </w:p>
        </w:tc>
      </w:tr>
      <w:tr w14:paraId="79300A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2" w:type="dxa"/>
            <w:vMerge w:val="continue"/>
            <w:tcBorders>
              <w:top w:val="nil"/>
              <w:bottom w:val="nil"/>
            </w:tcBorders>
            <w:vAlign w:val="top"/>
          </w:tcPr>
          <w:p w14:paraId="301CFF5A">
            <w:pPr>
              <w:pStyle w:val="7"/>
              <w:rPr>
                <w:color w:val="auto"/>
                <w:highlight w:val="none"/>
              </w:rPr>
            </w:pPr>
          </w:p>
        </w:tc>
        <w:tc>
          <w:tcPr>
            <w:tcW w:w="1371" w:type="dxa"/>
            <w:vMerge w:val="continue"/>
            <w:tcBorders>
              <w:top w:val="nil"/>
              <w:bottom w:val="nil"/>
            </w:tcBorders>
            <w:vAlign w:val="top"/>
          </w:tcPr>
          <w:p w14:paraId="25BF2431">
            <w:pPr>
              <w:pStyle w:val="7"/>
              <w:rPr>
                <w:color w:val="auto"/>
                <w:highlight w:val="none"/>
              </w:rPr>
            </w:pPr>
          </w:p>
        </w:tc>
        <w:tc>
          <w:tcPr>
            <w:tcW w:w="1427" w:type="dxa"/>
            <w:vAlign w:val="top"/>
          </w:tcPr>
          <w:p w14:paraId="294AE8BC">
            <w:pPr>
              <w:pStyle w:val="7"/>
              <w:rPr>
                <w:color w:val="auto"/>
                <w:highlight w:val="none"/>
              </w:rPr>
            </w:pPr>
          </w:p>
        </w:tc>
        <w:tc>
          <w:tcPr>
            <w:tcW w:w="980" w:type="dxa"/>
            <w:vAlign w:val="top"/>
          </w:tcPr>
          <w:p w14:paraId="1D1F64F5">
            <w:pPr>
              <w:pStyle w:val="7"/>
              <w:rPr>
                <w:color w:val="auto"/>
                <w:highlight w:val="none"/>
              </w:rPr>
            </w:pPr>
          </w:p>
        </w:tc>
        <w:tc>
          <w:tcPr>
            <w:tcW w:w="1119" w:type="dxa"/>
            <w:vAlign w:val="top"/>
          </w:tcPr>
          <w:p w14:paraId="1447178F">
            <w:pPr>
              <w:pStyle w:val="7"/>
              <w:rPr>
                <w:color w:val="auto"/>
                <w:highlight w:val="none"/>
              </w:rPr>
            </w:pPr>
          </w:p>
        </w:tc>
        <w:tc>
          <w:tcPr>
            <w:tcW w:w="1259" w:type="dxa"/>
            <w:vAlign w:val="top"/>
          </w:tcPr>
          <w:p w14:paraId="1A8F4F12">
            <w:pPr>
              <w:pStyle w:val="7"/>
              <w:rPr>
                <w:color w:val="auto"/>
                <w:highlight w:val="none"/>
              </w:rPr>
            </w:pPr>
          </w:p>
        </w:tc>
        <w:tc>
          <w:tcPr>
            <w:tcW w:w="840" w:type="dxa"/>
            <w:vAlign w:val="top"/>
          </w:tcPr>
          <w:p w14:paraId="39791F40">
            <w:pPr>
              <w:pStyle w:val="7"/>
              <w:rPr>
                <w:color w:val="auto"/>
                <w:highlight w:val="none"/>
              </w:rPr>
            </w:pPr>
          </w:p>
        </w:tc>
        <w:tc>
          <w:tcPr>
            <w:tcW w:w="916" w:type="dxa"/>
            <w:vAlign w:val="top"/>
          </w:tcPr>
          <w:p w14:paraId="65F7C9B8">
            <w:pPr>
              <w:pStyle w:val="7"/>
              <w:rPr>
                <w:color w:val="auto"/>
                <w:highlight w:val="none"/>
              </w:rPr>
            </w:pPr>
          </w:p>
        </w:tc>
      </w:tr>
      <w:tr w14:paraId="0B2FE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2" w:type="dxa"/>
            <w:vMerge w:val="continue"/>
            <w:tcBorders>
              <w:top w:val="nil"/>
            </w:tcBorders>
            <w:vAlign w:val="top"/>
          </w:tcPr>
          <w:p w14:paraId="1EC34ECE">
            <w:pPr>
              <w:pStyle w:val="7"/>
              <w:rPr>
                <w:color w:val="auto"/>
                <w:highlight w:val="none"/>
              </w:rPr>
            </w:pPr>
          </w:p>
        </w:tc>
        <w:tc>
          <w:tcPr>
            <w:tcW w:w="1371" w:type="dxa"/>
            <w:vMerge w:val="continue"/>
            <w:tcBorders>
              <w:top w:val="nil"/>
            </w:tcBorders>
            <w:vAlign w:val="top"/>
          </w:tcPr>
          <w:p w14:paraId="105A0DB2">
            <w:pPr>
              <w:pStyle w:val="7"/>
              <w:rPr>
                <w:color w:val="auto"/>
                <w:highlight w:val="none"/>
              </w:rPr>
            </w:pPr>
          </w:p>
        </w:tc>
        <w:tc>
          <w:tcPr>
            <w:tcW w:w="1427" w:type="dxa"/>
            <w:vAlign w:val="top"/>
          </w:tcPr>
          <w:p w14:paraId="57A6A664">
            <w:pPr>
              <w:pStyle w:val="7"/>
              <w:rPr>
                <w:color w:val="auto"/>
                <w:highlight w:val="none"/>
              </w:rPr>
            </w:pPr>
          </w:p>
        </w:tc>
        <w:tc>
          <w:tcPr>
            <w:tcW w:w="980" w:type="dxa"/>
            <w:vAlign w:val="top"/>
          </w:tcPr>
          <w:p w14:paraId="38244371">
            <w:pPr>
              <w:pStyle w:val="7"/>
              <w:rPr>
                <w:color w:val="auto"/>
                <w:highlight w:val="none"/>
              </w:rPr>
            </w:pPr>
          </w:p>
        </w:tc>
        <w:tc>
          <w:tcPr>
            <w:tcW w:w="1119" w:type="dxa"/>
            <w:vAlign w:val="top"/>
          </w:tcPr>
          <w:p w14:paraId="3190638F">
            <w:pPr>
              <w:pStyle w:val="7"/>
              <w:rPr>
                <w:color w:val="auto"/>
                <w:highlight w:val="none"/>
              </w:rPr>
            </w:pPr>
          </w:p>
        </w:tc>
        <w:tc>
          <w:tcPr>
            <w:tcW w:w="1259" w:type="dxa"/>
            <w:vAlign w:val="top"/>
          </w:tcPr>
          <w:p w14:paraId="40419CEA">
            <w:pPr>
              <w:pStyle w:val="7"/>
              <w:rPr>
                <w:color w:val="auto"/>
                <w:highlight w:val="none"/>
              </w:rPr>
            </w:pPr>
          </w:p>
        </w:tc>
        <w:tc>
          <w:tcPr>
            <w:tcW w:w="840" w:type="dxa"/>
            <w:vAlign w:val="top"/>
          </w:tcPr>
          <w:p w14:paraId="1B9668FB">
            <w:pPr>
              <w:pStyle w:val="7"/>
              <w:rPr>
                <w:color w:val="auto"/>
                <w:highlight w:val="none"/>
              </w:rPr>
            </w:pPr>
          </w:p>
        </w:tc>
        <w:tc>
          <w:tcPr>
            <w:tcW w:w="916" w:type="dxa"/>
            <w:vAlign w:val="top"/>
          </w:tcPr>
          <w:p w14:paraId="7367918C">
            <w:pPr>
              <w:pStyle w:val="7"/>
              <w:rPr>
                <w:color w:val="auto"/>
                <w:highlight w:val="none"/>
              </w:rPr>
            </w:pPr>
          </w:p>
        </w:tc>
      </w:tr>
      <w:tr w14:paraId="0A5C5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812" w:type="dxa"/>
            <w:vMerge w:val="restart"/>
            <w:tcBorders>
              <w:bottom w:val="nil"/>
            </w:tcBorders>
            <w:vAlign w:val="top"/>
          </w:tcPr>
          <w:p w14:paraId="7B74633A">
            <w:pPr>
              <w:pStyle w:val="7"/>
              <w:rPr>
                <w:color w:val="auto"/>
                <w:highlight w:val="none"/>
              </w:rPr>
            </w:pPr>
          </w:p>
        </w:tc>
        <w:tc>
          <w:tcPr>
            <w:tcW w:w="1371" w:type="dxa"/>
            <w:vMerge w:val="restart"/>
            <w:tcBorders>
              <w:bottom w:val="nil"/>
            </w:tcBorders>
            <w:vAlign w:val="top"/>
          </w:tcPr>
          <w:p w14:paraId="1DC0B6B4">
            <w:pPr>
              <w:pStyle w:val="7"/>
              <w:rPr>
                <w:color w:val="auto"/>
                <w:highlight w:val="none"/>
              </w:rPr>
            </w:pPr>
          </w:p>
        </w:tc>
        <w:tc>
          <w:tcPr>
            <w:tcW w:w="1427" w:type="dxa"/>
            <w:vAlign w:val="top"/>
          </w:tcPr>
          <w:p w14:paraId="3F550AB7">
            <w:pPr>
              <w:pStyle w:val="7"/>
              <w:rPr>
                <w:color w:val="auto"/>
                <w:highlight w:val="none"/>
              </w:rPr>
            </w:pPr>
          </w:p>
        </w:tc>
        <w:tc>
          <w:tcPr>
            <w:tcW w:w="980" w:type="dxa"/>
            <w:vAlign w:val="top"/>
          </w:tcPr>
          <w:p w14:paraId="4673B001">
            <w:pPr>
              <w:pStyle w:val="7"/>
              <w:rPr>
                <w:color w:val="auto"/>
                <w:highlight w:val="none"/>
              </w:rPr>
            </w:pPr>
          </w:p>
        </w:tc>
        <w:tc>
          <w:tcPr>
            <w:tcW w:w="1119" w:type="dxa"/>
            <w:vAlign w:val="top"/>
          </w:tcPr>
          <w:p w14:paraId="2756E6CC">
            <w:pPr>
              <w:pStyle w:val="7"/>
              <w:rPr>
                <w:color w:val="auto"/>
                <w:highlight w:val="none"/>
              </w:rPr>
            </w:pPr>
          </w:p>
        </w:tc>
        <w:tc>
          <w:tcPr>
            <w:tcW w:w="1259" w:type="dxa"/>
            <w:vAlign w:val="top"/>
          </w:tcPr>
          <w:p w14:paraId="2057DA38">
            <w:pPr>
              <w:pStyle w:val="7"/>
              <w:rPr>
                <w:color w:val="auto"/>
                <w:highlight w:val="none"/>
              </w:rPr>
            </w:pPr>
          </w:p>
        </w:tc>
        <w:tc>
          <w:tcPr>
            <w:tcW w:w="840" w:type="dxa"/>
            <w:vAlign w:val="top"/>
          </w:tcPr>
          <w:p w14:paraId="4E45EDE7">
            <w:pPr>
              <w:pStyle w:val="7"/>
              <w:rPr>
                <w:color w:val="auto"/>
                <w:highlight w:val="none"/>
              </w:rPr>
            </w:pPr>
          </w:p>
        </w:tc>
        <w:tc>
          <w:tcPr>
            <w:tcW w:w="916" w:type="dxa"/>
            <w:vAlign w:val="top"/>
          </w:tcPr>
          <w:p w14:paraId="748F1133">
            <w:pPr>
              <w:pStyle w:val="7"/>
              <w:rPr>
                <w:color w:val="auto"/>
                <w:highlight w:val="none"/>
              </w:rPr>
            </w:pPr>
          </w:p>
        </w:tc>
      </w:tr>
      <w:tr w14:paraId="292B7D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812" w:type="dxa"/>
            <w:vMerge w:val="continue"/>
            <w:tcBorders>
              <w:top w:val="nil"/>
              <w:bottom w:val="nil"/>
            </w:tcBorders>
            <w:vAlign w:val="top"/>
          </w:tcPr>
          <w:p w14:paraId="43BFE41B">
            <w:pPr>
              <w:pStyle w:val="7"/>
              <w:rPr>
                <w:color w:val="auto"/>
                <w:highlight w:val="none"/>
              </w:rPr>
            </w:pPr>
          </w:p>
        </w:tc>
        <w:tc>
          <w:tcPr>
            <w:tcW w:w="1371" w:type="dxa"/>
            <w:vMerge w:val="continue"/>
            <w:tcBorders>
              <w:top w:val="nil"/>
              <w:bottom w:val="nil"/>
            </w:tcBorders>
            <w:vAlign w:val="top"/>
          </w:tcPr>
          <w:p w14:paraId="3878A8D4">
            <w:pPr>
              <w:pStyle w:val="7"/>
              <w:rPr>
                <w:color w:val="auto"/>
                <w:highlight w:val="none"/>
              </w:rPr>
            </w:pPr>
          </w:p>
        </w:tc>
        <w:tc>
          <w:tcPr>
            <w:tcW w:w="1427" w:type="dxa"/>
            <w:vAlign w:val="top"/>
          </w:tcPr>
          <w:p w14:paraId="430EEA82">
            <w:pPr>
              <w:pStyle w:val="7"/>
              <w:rPr>
                <w:color w:val="auto"/>
                <w:highlight w:val="none"/>
              </w:rPr>
            </w:pPr>
          </w:p>
        </w:tc>
        <w:tc>
          <w:tcPr>
            <w:tcW w:w="980" w:type="dxa"/>
            <w:vAlign w:val="top"/>
          </w:tcPr>
          <w:p w14:paraId="02B11248">
            <w:pPr>
              <w:pStyle w:val="7"/>
              <w:rPr>
                <w:color w:val="auto"/>
                <w:highlight w:val="none"/>
              </w:rPr>
            </w:pPr>
          </w:p>
        </w:tc>
        <w:tc>
          <w:tcPr>
            <w:tcW w:w="1119" w:type="dxa"/>
            <w:vAlign w:val="top"/>
          </w:tcPr>
          <w:p w14:paraId="5730BC6A">
            <w:pPr>
              <w:pStyle w:val="7"/>
              <w:rPr>
                <w:color w:val="auto"/>
                <w:highlight w:val="none"/>
              </w:rPr>
            </w:pPr>
          </w:p>
        </w:tc>
        <w:tc>
          <w:tcPr>
            <w:tcW w:w="1259" w:type="dxa"/>
            <w:vAlign w:val="top"/>
          </w:tcPr>
          <w:p w14:paraId="5456CC84">
            <w:pPr>
              <w:pStyle w:val="7"/>
              <w:rPr>
                <w:color w:val="auto"/>
                <w:highlight w:val="none"/>
              </w:rPr>
            </w:pPr>
          </w:p>
        </w:tc>
        <w:tc>
          <w:tcPr>
            <w:tcW w:w="840" w:type="dxa"/>
            <w:vAlign w:val="top"/>
          </w:tcPr>
          <w:p w14:paraId="3C3D6617">
            <w:pPr>
              <w:pStyle w:val="7"/>
              <w:rPr>
                <w:color w:val="auto"/>
                <w:highlight w:val="none"/>
              </w:rPr>
            </w:pPr>
          </w:p>
        </w:tc>
        <w:tc>
          <w:tcPr>
            <w:tcW w:w="916" w:type="dxa"/>
            <w:vAlign w:val="top"/>
          </w:tcPr>
          <w:p w14:paraId="4DDE04DC">
            <w:pPr>
              <w:pStyle w:val="7"/>
              <w:rPr>
                <w:color w:val="auto"/>
                <w:highlight w:val="none"/>
              </w:rPr>
            </w:pPr>
          </w:p>
        </w:tc>
      </w:tr>
      <w:tr w14:paraId="7CFA7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12" w:type="dxa"/>
            <w:vMerge w:val="continue"/>
            <w:tcBorders>
              <w:top w:val="nil"/>
            </w:tcBorders>
            <w:vAlign w:val="top"/>
          </w:tcPr>
          <w:p w14:paraId="19171E72">
            <w:pPr>
              <w:pStyle w:val="7"/>
              <w:rPr>
                <w:color w:val="auto"/>
                <w:highlight w:val="none"/>
              </w:rPr>
            </w:pPr>
          </w:p>
        </w:tc>
        <w:tc>
          <w:tcPr>
            <w:tcW w:w="1371" w:type="dxa"/>
            <w:vMerge w:val="continue"/>
            <w:tcBorders>
              <w:top w:val="nil"/>
            </w:tcBorders>
            <w:vAlign w:val="top"/>
          </w:tcPr>
          <w:p w14:paraId="2B3A517E">
            <w:pPr>
              <w:pStyle w:val="7"/>
              <w:rPr>
                <w:color w:val="auto"/>
                <w:highlight w:val="none"/>
              </w:rPr>
            </w:pPr>
          </w:p>
        </w:tc>
        <w:tc>
          <w:tcPr>
            <w:tcW w:w="1427" w:type="dxa"/>
            <w:vAlign w:val="top"/>
          </w:tcPr>
          <w:p w14:paraId="71272E1E">
            <w:pPr>
              <w:pStyle w:val="7"/>
              <w:rPr>
                <w:color w:val="auto"/>
                <w:highlight w:val="none"/>
              </w:rPr>
            </w:pPr>
          </w:p>
        </w:tc>
        <w:tc>
          <w:tcPr>
            <w:tcW w:w="980" w:type="dxa"/>
            <w:vAlign w:val="top"/>
          </w:tcPr>
          <w:p w14:paraId="1913774E">
            <w:pPr>
              <w:pStyle w:val="7"/>
              <w:rPr>
                <w:color w:val="auto"/>
                <w:highlight w:val="none"/>
              </w:rPr>
            </w:pPr>
          </w:p>
        </w:tc>
        <w:tc>
          <w:tcPr>
            <w:tcW w:w="1119" w:type="dxa"/>
            <w:vAlign w:val="top"/>
          </w:tcPr>
          <w:p w14:paraId="0E069A76">
            <w:pPr>
              <w:pStyle w:val="7"/>
              <w:rPr>
                <w:color w:val="auto"/>
                <w:highlight w:val="none"/>
              </w:rPr>
            </w:pPr>
          </w:p>
        </w:tc>
        <w:tc>
          <w:tcPr>
            <w:tcW w:w="1259" w:type="dxa"/>
            <w:vAlign w:val="top"/>
          </w:tcPr>
          <w:p w14:paraId="09154BA9">
            <w:pPr>
              <w:pStyle w:val="7"/>
              <w:rPr>
                <w:color w:val="auto"/>
                <w:highlight w:val="none"/>
              </w:rPr>
            </w:pPr>
          </w:p>
        </w:tc>
        <w:tc>
          <w:tcPr>
            <w:tcW w:w="840" w:type="dxa"/>
            <w:vAlign w:val="top"/>
          </w:tcPr>
          <w:p w14:paraId="218BD6CF">
            <w:pPr>
              <w:pStyle w:val="7"/>
              <w:rPr>
                <w:color w:val="auto"/>
                <w:highlight w:val="none"/>
              </w:rPr>
            </w:pPr>
          </w:p>
        </w:tc>
        <w:tc>
          <w:tcPr>
            <w:tcW w:w="916" w:type="dxa"/>
            <w:vAlign w:val="top"/>
          </w:tcPr>
          <w:p w14:paraId="0A077102">
            <w:pPr>
              <w:pStyle w:val="7"/>
              <w:rPr>
                <w:color w:val="auto"/>
                <w:highlight w:val="none"/>
              </w:rPr>
            </w:pPr>
          </w:p>
        </w:tc>
      </w:tr>
    </w:tbl>
    <w:p w14:paraId="317F4DD4">
      <w:pPr>
        <w:pStyle w:val="3"/>
        <w:rPr>
          <w:color w:val="auto"/>
          <w:highlight w:val="none"/>
        </w:rPr>
      </w:pPr>
    </w:p>
    <w:p w14:paraId="0ABCF7CE">
      <w:pPr>
        <w:rPr>
          <w:color w:val="auto"/>
          <w:highlight w:val="none"/>
        </w:rPr>
        <w:sectPr>
          <w:pgSz w:w="11906" w:h="16839"/>
          <w:pgMar w:top="1431" w:right="1489" w:bottom="400" w:left="1687" w:header="0" w:footer="0" w:gutter="0"/>
          <w:pgBorders>
            <w:top w:val="none" w:sz="0" w:space="0"/>
            <w:left w:val="none" w:sz="0" w:space="0"/>
            <w:bottom w:val="none" w:sz="0" w:space="0"/>
            <w:right w:val="none" w:sz="0" w:space="0"/>
          </w:pgBorders>
          <w:cols w:space="720" w:num="1"/>
        </w:sectPr>
      </w:pPr>
    </w:p>
    <w:p w14:paraId="69D01F59">
      <w:pPr>
        <w:spacing w:before="172" w:line="224" w:lineRule="auto"/>
        <w:ind w:left="51"/>
        <w:outlineLvl w:val="0"/>
        <w:rPr>
          <w:rFonts w:ascii="宋体" w:hAnsi="宋体" w:eastAsia="宋体" w:cs="宋体"/>
          <w:color w:val="auto"/>
          <w:sz w:val="31"/>
          <w:szCs w:val="31"/>
          <w:highlight w:val="none"/>
        </w:rPr>
      </w:pPr>
      <w:bookmarkStart w:id="27" w:name="bookmark15"/>
      <w:bookmarkEnd w:id="27"/>
      <w:r>
        <w:rPr>
          <w:rFonts w:ascii="宋体" w:hAnsi="宋体" w:eastAsia="宋体" w:cs="宋体"/>
          <w:b/>
          <w:bCs/>
          <w:color w:val="auto"/>
          <w:spacing w:val="2"/>
          <w:sz w:val="31"/>
          <w:szCs w:val="31"/>
          <w:highlight w:val="none"/>
        </w:rPr>
        <w:t>附件</w:t>
      </w:r>
      <w:r>
        <w:rPr>
          <w:rFonts w:ascii="宋体" w:hAnsi="宋体" w:eastAsia="宋体" w:cs="宋体"/>
          <w:color w:val="auto"/>
          <w:spacing w:val="-60"/>
          <w:sz w:val="31"/>
          <w:szCs w:val="31"/>
          <w:highlight w:val="none"/>
        </w:rPr>
        <w:t xml:space="preserve"> </w:t>
      </w:r>
      <w:r>
        <w:rPr>
          <w:rFonts w:ascii="宋体" w:hAnsi="宋体" w:eastAsia="宋体" w:cs="宋体"/>
          <w:b/>
          <w:bCs/>
          <w:color w:val="auto"/>
          <w:spacing w:val="2"/>
          <w:sz w:val="31"/>
          <w:szCs w:val="31"/>
          <w:highlight w:val="none"/>
        </w:rPr>
        <w:t>8</w:t>
      </w:r>
      <w:r>
        <w:rPr>
          <w:rFonts w:ascii="宋体" w:hAnsi="宋体" w:eastAsia="宋体" w:cs="宋体"/>
          <w:color w:val="auto"/>
          <w:spacing w:val="2"/>
          <w:sz w:val="31"/>
          <w:szCs w:val="31"/>
          <w:highlight w:val="none"/>
        </w:rPr>
        <w:t xml:space="preserve">  </w:t>
      </w:r>
      <w:r>
        <w:rPr>
          <w:rFonts w:ascii="宋体" w:hAnsi="宋体" w:eastAsia="宋体" w:cs="宋体"/>
          <w:b/>
          <w:bCs/>
          <w:color w:val="auto"/>
          <w:spacing w:val="2"/>
          <w:sz w:val="31"/>
          <w:szCs w:val="31"/>
          <w:highlight w:val="none"/>
        </w:rPr>
        <w:t>运行维护手册</w:t>
      </w:r>
    </w:p>
    <w:p w14:paraId="5C2BAA8F">
      <w:pPr>
        <w:spacing w:before="234" w:line="228" w:lineRule="auto"/>
        <w:ind w:left="2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运行维护手册格式要求如下：</w:t>
      </w:r>
    </w:p>
    <w:p w14:paraId="2609F860">
      <w:pPr>
        <w:pStyle w:val="3"/>
        <w:spacing w:line="254" w:lineRule="auto"/>
        <w:rPr>
          <w:color w:val="auto"/>
          <w:highlight w:val="none"/>
        </w:rPr>
      </w:pPr>
    </w:p>
    <w:p w14:paraId="41096DC9">
      <w:pPr>
        <w:pStyle w:val="3"/>
        <w:spacing w:line="255" w:lineRule="auto"/>
        <w:rPr>
          <w:color w:val="auto"/>
          <w:highlight w:val="none"/>
        </w:rPr>
      </w:pPr>
    </w:p>
    <w:p w14:paraId="147F9FBA">
      <w:pPr>
        <w:spacing w:before="140" w:line="224" w:lineRule="auto"/>
        <w:ind w:left="2420"/>
        <w:rPr>
          <w:rFonts w:ascii="宋体" w:hAnsi="宋体" w:eastAsia="宋体" w:cs="宋体"/>
          <w:color w:val="auto"/>
          <w:sz w:val="43"/>
          <w:szCs w:val="43"/>
          <w:highlight w:val="none"/>
        </w:rPr>
      </w:pPr>
      <w:bookmarkStart w:id="28" w:name="bookmark16"/>
      <w:bookmarkEnd w:id="28"/>
      <w:r>
        <w:rPr>
          <w:rFonts w:ascii="宋体" w:hAnsi="宋体" w:eastAsia="宋体" w:cs="宋体"/>
          <w:b/>
          <w:bCs/>
          <w:color w:val="auto"/>
          <w:spacing w:val="4"/>
          <w:sz w:val="43"/>
          <w:szCs w:val="43"/>
          <w:highlight w:val="none"/>
        </w:rPr>
        <w:t>浙能凤台电厂工程</w:t>
      </w:r>
    </w:p>
    <w:p w14:paraId="005F80D7">
      <w:pPr>
        <w:pStyle w:val="3"/>
        <w:spacing w:line="324" w:lineRule="auto"/>
        <w:rPr>
          <w:color w:val="auto"/>
          <w:highlight w:val="none"/>
        </w:rPr>
      </w:pPr>
    </w:p>
    <w:p w14:paraId="1A0C4F1B">
      <w:pPr>
        <w:pStyle w:val="3"/>
        <w:spacing w:line="324" w:lineRule="auto"/>
        <w:rPr>
          <w:color w:val="auto"/>
          <w:highlight w:val="none"/>
        </w:rPr>
      </w:pPr>
    </w:p>
    <w:p w14:paraId="1DA3B54C">
      <w:pPr>
        <w:spacing w:before="114" w:line="225" w:lineRule="auto"/>
        <w:ind w:left="1838"/>
        <w:rPr>
          <w:rFonts w:ascii="宋体" w:hAnsi="宋体" w:eastAsia="宋体" w:cs="宋体"/>
          <w:color w:val="auto"/>
          <w:sz w:val="35"/>
          <w:szCs w:val="35"/>
          <w:highlight w:val="none"/>
        </w:rPr>
      </w:pPr>
      <w:r>
        <w:rPr>
          <w:rFonts w:ascii="宋体" w:hAnsi="宋体" w:eastAsia="宋体" w:cs="宋体"/>
          <w:b/>
          <w:bCs/>
          <w:color w:val="auto"/>
          <w:spacing w:val="6"/>
          <w:sz w:val="35"/>
          <w:szCs w:val="35"/>
          <w:highlight w:val="none"/>
        </w:rPr>
        <w:t>发变组保护、启备变保护装置</w:t>
      </w:r>
    </w:p>
    <w:p w14:paraId="12C81546">
      <w:pPr>
        <w:pStyle w:val="3"/>
        <w:spacing w:line="245" w:lineRule="auto"/>
        <w:rPr>
          <w:color w:val="auto"/>
          <w:highlight w:val="none"/>
        </w:rPr>
      </w:pPr>
    </w:p>
    <w:p w14:paraId="11B3842B">
      <w:pPr>
        <w:pStyle w:val="3"/>
        <w:spacing w:line="246" w:lineRule="auto"/>
        <w:rPr>
          <w:color w:val="auto"/>
          <w:highlight w:val="none"/>
        </w:rPr>
      </w:pPr>
    </w:p>
    <w:p w14:paraId="70B3CA66">
      <w:pPr>
        <w:pStyle w:val="3"/>
        <w:spacing w:line="246" w:lineRule="auto"/>
        <w:rPr>
          <w:color w:val="auto"/>
          <w:highlight w:val="none"/>
        </w:rPr>
      </w:pPr>
    </w:p>
    <w:p w14:paraId="5CE03488">
      <w:pPr>
        <w:spacing w:before="100" w:line="225" w:lineRule="auto"/>
        <w:ind w:left="3057"/>
        <w:rPr>
          <w:rFonts w:ascii="宋体" w:hAnsi="宋体" w:eastAsia="宋体" w:cs="宋体"/>
          <w:color w:val="auto"/>
          <w:sz w:val="31"/>
          <w:szCs w:val="31"/>
          <w:highlight w:val="none"/>
        </w:rPr>
      </w:pPr>
      <w:r>
        <w:rPr>
          <w:rFonts w:ascii="宋体" w:hAnsi="宋体" w:eastAsia="宋体" w:cs="宋体"/>
          <w:b/>
          <w:bCs/>
          <w:color w:val="auto"/>
          <w:spacing w:val="-9"/>
          <w:sz w:val="31"/>
          <w:szCs w:val="31"/>
          <w:highlight w:val="none"/>
        </w:rPr>
        <w:t>运</w:t>
      </w:r>
      <w:r>
        <w:rPr>
          <w:rFonts w:ascii="宋体" w:hAnsi="宋体" w:eastAsia="宋体" w:cs="宋体"/>
          <w:color w:val="auto"/>
          <w:spacing w:val="15"/>
          <w:sz w:val="31"/>
          <w:szCs w:val="31"/>
          <w:highlight w:val="none"/>
        </w:rPr>
        <w:t xml:space="preserve">  </w:t>
      </w:r>
      <w:r>
        <w:rPr>
          <w:rFonts w:ascii="宋体" w:hAnsi="宋体" w:eastAsia="宋体" w:cs="宋体"/>
          <w:b/>
          <w:bCs/>
          <w:color w:val="auto"/>
          <w:spacing w:val="-9"/>
          <w:sz w:val="31"/>
          <w:szCs w:val="31"/>
          <w:highlight w:val="none"/>
        </w:rPr>
        <w:t>行</w:t>
      </w:r>
      <w:r>
        <w:rPr>
          <w:rFonts w:ascii="宋体" w:hAnsi="宋体" w:eastAsia="宋体" w:cs="宋体"/>
          <w:color w:val="auto"/>
          <w:spacing w:val="16"/>
          <w:sz w:val="31"/>
          <w:szCs w:val="31"/>
          <w:highlight w:val="none"/>
        </w:rPr>
        <w:t xml:space="preserve">  </w:t>
      </w:r>
      <w:r>
        <w:rPr>
          <w:rFonts w:ascii="宋体" w:hAnsi="宋体" w:eastAsia="宋体" w:cs="宋体"/>
          <w:b/>
          <w:bCs/>
          <w:color w:val="auto"/>
          <w:spacing w:val="-9"/>
          <w:sz w:val="31"/>
          <w:szCs w:val="31"/>
          <w:highlight w:val="none"/>
        </w:rPr>
        <w:t>维</w:t>
      </w:r>
      <w:r>
        <w:rPr>
          <w:rFonts w:ascii="宋体" w:hAnsi="宋体" w:eastAsia="宋体" w:cs="宋体"/>
          <w:color w:val="auto"/>
          <w:spacing w:val="14"/>
          <w:sz w:val="31"/>
          <w:szCs w:val="31"/>
          <w:highlight w:val="none"/>
        </w:rPr>
        <w:t xml:space="preserve">  </w:t>
      </w:r>
      <w:r>
        <w:rPr>
          <w:rFonts w:ascii="宋体" w:hAnsi="宋体" w:eastAsia="宋体" w:cs="宋体"/>
          <w:b/>
          <w:bCs/>
          <w:color w:val="auto"/>
          <w:spacing w:val="-9"/>
          <w:sz w:val="31"/>
          <w:szCs w:val="31"/>
          <w:highlight w:val="none"/>
        </w:rPr>
        <w:t>护</w:t>
      </w:r>
    </w:p>
    <w:p w14:paraId="6A1F274D">
      <w:pPr>
        <w:pStyle w:val="3"/>
        <w:spacing w:line="250" w:lineRule="auto"/>
        <w:rPr>
          <w:color w:val="auto"/>
          <w:highlight w:val="none"/>
        </w:rPr>
      </w:pPr>
    </w:p>
    <w:p w14:paraId="11582402">
      <w:pPr>
        <w:pStyle w:val="3"/>
        <w:spacing w:line="250" w:lineRule="auto"/>
        <w:rPr>
          <w:color w:val="auto"/>
          <w:highlight w:val="none"/>
        </w:rPr>
      </w:pPr>
    </w:p>
    <w:p w14:paraId="76A094A7">
      <w:pPr>
        <w:pStyle w:val="3"/>
        <w:spacing w:line="250" w:lineRule="auto"/>
        <w:rPr>
          <w:color w:val="auto"/>
          <w:highlight w:val="none"/>
        </w:rPr>
      </w:pPr>
    </w:p>
    <w:p w14:paraId="5A3E21B1">
      <w:pPr>
        <w:pStyle w:val="3"/>
        <w:spacing w:line="250" w:lineRule="auto"/>
        <w:rPr>
          <w:color w:val="auto"/>
          <w:highlight w:val="none"/>
        </w:rPr>
      </w:pPr>
      <w:r>
        <w:rPr>
          <w:color w:val="auto"/>
          <w:highlight w:val="none"/>
        </w:rPr>
        <w:pict>
          <v:shape id="_x0000_s1026" o:spid="_x0000_s1026" o:spt="202" type="#_x0000_t202" style="position:absolute;left:0pt;margin-left:196.75pt;margin-top:4.75pt;height:80.35pt;width:20.5pt;z-index:251659264;mso-width-relative:page;mso-height-relative:page;" filled="f" stroked="f" coordsize="21600,21600">
            <v:path/>
            <v:fill on="f" focussize="0,0"/>
            <v:stroke on="f"/>
            <v:imagedata o:title=""/>
            <o:lock v:ext="edit" aspectratio="f"/>
            <v:textbox inset="0mm,0mm,0mm,0mm" style="layout-flow:vertical-ideographic;">
              <w:txbxContent>
                <w:p w14:paraId="6E25390C">
                  <w:pPr>
                    <w:spacing w:before="19" w:line="214" w:lineRule="auto"/>
                    <w:ind w:left="20"/>
                    <w:rPr>
                      <w:rFonts w:ascii="宋体" w:hAnsi="宋体" w:eastAsia="宋体" w:cs="宋体"/>
                      <w:sz w:val="31"/>
                      <w:szCs w:val="31"/>
                    </w:rPr>
                  </w:pPr>
                  <w:r>
                    <w:rPr>
                      <w:rFonts w:ascii="宋体" w:hAnsi="宋体" w:eastAsia="宋体" w:cs="宋体"/>
                      <w:b/>
                      <w:bCs/>
                      <w:spacing w:val="5"/>
                      <w:sz w:val="31"/>
                      <w:szCs w:val="31"/>
                    </w:rPr>
                    <w:t>手</w:t>
                  </w:r>
                  <w:r>
                    <w:rPr>
                      <w:rFonts w:ascii="宋体" w:hAnsi="宋体" w:eastAsia="宋体" w:cs="宋体"/>
                      <w:spacing w:val="30"/>
                      <w:sz w:val="31"/>
                      <w:szCs w:val="31"/>
                    </w:rPr>
                    <w:t xml:space="preserve">     </w:t>
                  </w:r>
                  <w:r>
                    <w:rPr>
                      <w:rFonts w:ascii="宋体" w:hAnsi="宋体" w:eastAsia="宋体" w:cs="宋体"/>
                      <w:b/>
                      <w:bCs/>
                      <w:spacing w:val="5"/>
                      <w:sz w:val="31"/>
                      <w:szCs w:val="31"/>
                    </w:rPr>
                    <w:t>册</w:t>
                  </w:r>
                </w:p>
              </w:txbxContent>
            </v:textbox>
          </v:shape>
        </w:pict>
      </w:r>
    </w:p>
    <w:p w14:paraId="3C70EFE6">
      <w:pPr>
        <w:pStyle w:val="3"/>
        <w:spacing w:line="250" w:lineRule="auto"/>
        <w:rPr>
          <w:color w:val="auto"/>
          <w:highlight w:val="none"/>
        </w:rPr>
      </w:pPr>
    </w:p>
    <w:p w14:paraId="397A79B8">
      <w:pPr>
        <w:pStyle w:val="3"/>
        <w:spacing w:line="251" w:lineRule="auto"/>
        <w:rPr>
          <w:color w:val="auto"/>
          <w:highlight w:val="none"/>
        </w:rPr>
      </w:pPr>
    </w:p>
    <w:p w14:paraId="2B903E76">
      <w:pPr>
        <w:pStyle w:val="3"/>
        <w:spacing w:line="251" w:lineRule="auto"/>
        <w:rPr>
          <w:color w:val="auto"/>
          <w:highlight w:val="none"/>
        </w:rPr>
      </w:pPr>
    </w:p>
    <w:p w14:paraId="29728245">
      <w:pPr>
        <w:pStyle w:val="3"/>
        <w:spacing w:line="251" w:lineRule="auto"/>
        <w:rPr>
          <w:color w:val="auto"/>
          <w:highlight w:val="none"/>
        </w:rPr>
      </w:pPr>
    </w:p>
    <w:p w14:paraId="5FDD88EA">
      <w:pPr>
        <w:pStyle w:val="3"/>
        <w:spacing w:line="251" w:lineRule="auto"/>
        <w:rPr>
          <w:color w:val="auto"/>
          <w:highlight w:val="none"/>
        </w:rPr>
      </w:pPr>
    </w:p>
    <w:p w14:paraId="03F004CA">
      <w:pPr>
        <w:pStyle w:val="3"/>
        <w:spacing w:line="251" w:lineRule="auto"/>
        <w:rPr>
          <w:color w:val="auto"/>
          <w:highlight w:val="none"/>
        </w:rPr>
      </w:pPr>
    </w:p>
    <w:p w14:paraId="1CE97DAC">
      <w:pPr>
        <w:pStyle w:val="3"/>
        <w:spacing w:line="251" w:lineRule="auto"/>
        <w:rPr>
          <w:color w:val="auto"/>
          <w:highlight w:val="none"/>
        </w:rPr>
      </w:pPr>
    </w:p>
    <w:p w14:paraId="14663FA5">
      <w:pPr>
        <w:pStyle w:val="3"/>
        <w:spacing w:line="251" w:lineRule="auto"/>
        <w:rPr>
          <w:color w:val="auto"/>
          <w:highlight w:val="none"/>
        </w:rPr>
      </w:pPr>
    </w:p>
    <w:p w14:paraId="3A358538">
      <w:pPr>
        <w:pStyle w:val="3"/>
        <w:spacing w:line="251" w:lineRule="auto"/>
        <w:rPr>
          <w:color w:val="auto"/>
          <w:highlight w:val="none"/>
        </w:rPr>
      </w:pPr>
    </w:p>
    <w:p w14:paraId="71BF794D">
      <w:pPr>
        <w:spacing w:before="65" w:line="418" w:lineRule="auto"/>
        <w:ind w:left="23" w:right="6745"/>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要求：一式</w:t>
      </w:r>
      <w:r>
        <w:rPr>
          <w:rFonts w:ascii="宋体" w:hAnsi="宋体" w:eastAsia="宋体" w:cs="宋体"/>
          <w:color w:val="auto"/>
          <w:spacing w:val="-23"/>
          <w:sz w:val="20"/>
          <w:szCs w:val="20"/>
          <w:highlight w:val="none"/>
        </w:rPr>
        <w:t xml:space="preserve"> </w:t>
      </w:r>
      <w:r>
        <w:rPr>
          <w:rFonts w:ascii="宋体" w:hAnsi="宋体" w:eastAsia="宋体" w:cs="宋体"/>
          <w:color w:val="auto"/>
          <w:spacing w:val="3"/>
          <w:sz w:val="20"/>
          <w:szCs w:val="20"/>
          <w:highlight w:val="none"/>
        </w:rPr>
        <w:t>10</w:t>
      </w:r>
      <w:r>
        <w:rPr>
          <w:rFonts w:ascii="宋体" w:hAnsi="宋体" w:eastAsia="宋体" w:cs="宋体"/>
          <w:color w:val="auto"/>
          <w:spacing w:val="-37"/>
          <w:sz w:val="20"/>
          <w:szCs w:val="20"/>
          <w:highlight w:val="none"/>
        </w:rPr>
        <w:t xml:space="preserve"> </w:t>
      </w:r>
      <w:r>
        <w:rPr>
          <w:rFonts w:ascii="宋体" w:hAnsi="宋体" w:eastAsia="宋体" w:cs="宋体"/>
          <w:color w:val="auto"/>
          <w:spacing w:val="3"/>
          <w:sz w:val="20"/>
          <w:szCs w:val="20"/>
          <w:highlight w:val="none"/>
        </w:rPr>
        <w:t>套</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纸张：A4</w:t>
      </w:r>
    </w:p>
    <w:p w14:paraId="0D6B6C8B">
      <w:pPr>
        <w:spacing w:before="28" w:line="418" w:lineRule="auto"/>
        <w:ind w:left="25" w:right="6431" w:hanging="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字体：宋体，小四号</w:t>
      </w:r>
      <w:r>
        <w:rPr>
          <w:rFonts w:ascii="宋体" w:hAnsi="宋体" w:eastAsia="宋体" w:cs="宋体"/>
          <w:color w:val="auto"/>
          <w:spacing w:val="6"/>
          <w:sz w:val="20"/>
          <w:szCs w:val="20"/>
          <w:highlight w:val="none"/>
        </w:rPr>
        <w:t xml:space="preserve"> </w:t>
      </w:r>
      <w:r>
        <w:rPr>
          <w:rFonts w:ascii="宋体" w:hAnsi="宋体" w:eastAsia="宋体" w:cs="宋体"/>
          <w:color w:val="auto"/>
          <w:spacing w:val="5"/>
          <w:sz w:val="20"/>
          <w:szCs w:val="20"/>
          <w:highlight w:val="none"/>
        </w:rPr>
        <w:t>行间距：1.5</w:t>
      </w:r>
      <w:r>
        <w:rPr>
          <w:rFonts w:ascii="宋体" w:hAnsi="宋体" w:eastAsia="宋体" w:cs="宋体"/>
          <w:color w:val="auto"/>
          <w:spacing w:val="-37"/>
          <w:sz w:val="20"/>
          <w:szCs w:val="20"/>
          <w:highlight w:val="none"/>
        </w:rPr>
        <w:t xml:space="preserve"> </w:t>
      </w:r>
      <w:r>
        <w:rPr>
          <w:rFonts w:ascii="宋体" w:hAnsi="宋体" w:eastAsia="宋体" w:cs="宋体"/>
          <w:color w:val="auto"/>
          <w:spacing w:val="5"/>
          <w:sz w:val="20"/>
          <w:szCs w:val="20"/>
          <w:highlight w:val="none"/>
        </w:rPr>
        <w:t>倍</w:t>
      </w:r>
    </w:p>
    <w:p w14:paraId="219C2D72">
      <w:pPr>
        <w:spacing w:before="31" w:line="229" w:lineRule="auto"/>
        <w:ind w:left="27"/>
        <w:rPr>
          <w:rFonts w:ascii="宋体" w:hAnsi="宋体" w:eastAsia="宋体" w:cs="宋体"/>
          <w:color w:val="auto"/>
          <w:sz w:val="20"/>
          <w:szCs w:val="20"/>
          <w:highlight w:val="none"/>
        </w:rPr>
      </w:pPr>
      <w:r>
        <w:rPr>
          <w:rFonts w:ascii="宋体" w:hAnsi="宋体" w:eastAsia="宋体" w:cs="宋体"/>
          <w:color w:val="auto"/>
          <w:spacing w:val="5"/>
          <w:sz w:val="20"/>
          <w:szCs w:val="20"/>
          <w:highlight w:val="none"/>
        </w:rPr>
        <w:t>页边距（</w:t>
      </w:r>
      <w:r>
        <w:rPr>
          <w:rFonts w:ascii="宋体" w:hAnsi="宋体" w:eastAsia="宋体" w:cs="宋体"/>
          <w:color w:val="auto"/>
          <w:sz w:val="20"/>
          <w:szCs w:val="20"/>
          <w:highlight w:val="none"/>
        </w:rPr>
        <w:t>mm</w:t>
      </w:r>
      <w:r>
        <w:rPr>
          <w:rFonts w:ascii="宋体" w:hAnsi="宋体" w:eastAsia="宋体" w:cs="宋体"/>
          <w:color w:val="auto"/>
          <w:spacing w:val="-31"/>
          <w:sz w:val="20"/>
          <w:szCs w:val="20"/>
          <w:highlight w:val="none"/>
        </w:rPr>
        <w:t>）：</w:t>
      </w:r>
      <w:r>
        <w:rPr>
          <w:rFonts w:ascii="宋体" w:hAnsi="宋体" w:eastAsia="宋体" w:cs="宋体"/>
          <w:color w:val="auto"/>
          <w:spacing w:val="5"/>
          <w:sz w:val="20"/>
          <w:szCs w:val="20"/>
          <w:highlight w:val="none"/>
        </w:rPr>
        <w:t>左-30  右-25  上-30</w:t>
      </w:r>
      <w:r>
        <w:rPr>
          <w:rFonts w:ascii="宋体" w:hAnsi="宋体" w:eastAsia="宋体" w:cs="宋体"/>
          <w:color w:val="auto"/>
          <w:spacing w:val="11"/>
          <w:sz w:val="20"/>
          <w:szCs w:val="20"/>
          <w:highlight w:val="none"/>
        </w:rPr>
        <w:t xml:space="preserve">  </w:t>
      </w:r>
      <w:r>
        <w:rPr>
          <w:rFonts w:ascii="宋体" w:hAnsi="宋体" w:eastAsia="宋体" w:cs="宋体"/>
          <w:color w:val="auto"/>
          <w:spacing w:val="5"/>
          <w:sz w:val="20"/>
          <w:szCs w:val="20"/>
          <w:highlight w:val="none"/>
        </w:rPr>
        <w:t>下-40</w:t>
      </w:r>
    </w:p>
    <w:p w14:paraId="3399358C">
      <w:pPr>
        <w:spacing w:before="221" w:line="228" w:lineRule="auto"/>
        <w:ind w:left="27"/>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页眉：</w:t>
      </w:r>
      <w:r>
        <w:rPr>
          <w:rFonts w:ascii="宋体" w:hAnsi="宋体" w:eastAsia="宋体" w:cs="宋体"/>
          <w:color w:val="auto"/>
          <w:sz w:val="20"/>
          <w:szCs w:val="20"/>
          <w:highlight w:val="none"/>
        </w:rPr>
        <w:t>XX</w:t>
      </w:r>
      <w:r>
        <w:rPr>
          <w:rFonts w:ascii="宋体" w:hAnsi="宋体" w:eastAsia="宋体" w:cs="宋体"/>
          <w:color w:val="auto"/>
          <w:spacing w:val="-32"/>
          <w:sz w:val="20"/>
          <w:szCs w:val="20"/>
          <w:highlight w:val="none"/>
        </w:rPr>
        <w:t xml:space="preserve"> </w:t>
      </w:r>
      <w:r>
        <w:rPr>
          <w:rFonts w:ascii="宋体" w:hAnsi="宋体" w:eastAsia="宋体" w:cs="宋体"/>
          <w:color w:val="auto"/>
          <w:spacing w:val="8"/>
          <w:sz w:val="20"/>
          <w:szCs w:val="20"/>
          <w:highlight w:val="none"/>
        </w:rPr>
        <w:t>设备运行维护手册</w:t>
      </w:r>
    </w:p>
    <w:p w14:paraId="6F6F8FBC">
      <w:pPr>
        <w:spacing w:before="220" w:line="228" w:lineRule="auto"/>
        <w:ind w:left="22"/>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注：在正式提交前，先由招标人审定。</w:t>
      </w:r>
    </w:p>
    <w:p w14:paraId="7647CB56">
      <w:pPr>
        <w:spacing w:before="220" w:line="425" w:lineRule="auto"/>
        <w:ind w:left="22" w:right="13" w:firstLine="572"/>
        <w:jc w:val="both"/>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设备运行和维护手册的目的是能够把全部必要的数据和说明</w:t>
      </w:r>
      <w:r>
        <w:rPr>
          <w:rFonts w:ascii="宋体" w:hAnsi="宋体" w:eastAsia="宋体" w:cs="宋体"/>
          <w:color w:val="auto"/>
          <w:spacing w:val="8"/>
          <w:sz w:val="20"/>
          <w:szCs w:val="20"/>
          <w:highlight w:val="none"/>
        </w:rPr>
        <w:t>装订成册，这样，运行人</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员可以较好地查阅和理解最初调试及试运行工作、有效操作以及在正常、事故和</w:t>
      </w:r>
      <w:r>
        <w:rPr>
          <w:rFonts w:ascii="宋体" w:hAnsi="宋体" w:eastAsia="宋体" w:cs="宋体"/>
          <w:color w:val="auto"/>
          <w:spacing w:val="9"/>
          <w:sz w:val="20"/>
          <w:szCs w:val="20"/>
          <w:highlight w:val="none"/>
        </w:rPr>
        <w:t>异常(非设</w:t>
      </w:r>
      <w:r>
        <w:rPr>
          <w:rFonts w:ascii="宋体" w:hAnsi="宋体" w:eastAsia="宋体" w:cs="宋体"/>
          <w:color w:val="auto"/>
          <w:sz w:val="20"/>
          <w:szCs w:val="20"/>
          <w:highlight w:val="none"/>
        </w:rPr>
        <w:t xml:space="preserve"> </w:t>
      </w:r>
      <w:r>
        <w:rPr>
          <w:rFonts w:ascii="宋体" w:hAnsi="宋体" w:eastAsia="宋体" w:cs="宋体"/>
          <w:color w:val="auto"/>
          <w:spacing w:val="10"/>
          <w:sz w:val="20"/>
          <w:szCs w:val="20"/>
          <w:highlight w:val="none"/>
        </w:rPr>
        <w:t>计情况)下怎样正确操作设备和停机。在提交之前，双方应商定操作和维护手册的形</w:t>
      </w:r>
      <w:r>
        <w:rPr>
          <w:rFonts w:ascii="宋体" w:hAnsi="宋体" w:eastAsia="宋体" w:cs="宋体"/>
          <w:color w:val="auto"/>
          <w:spacing w:val="9"/>
          <w:sz w:val="20"/>
          <w:szCs w:val="20"/>
          <w:highlight w:val="none"/>
        </w:rPr>
        <w:t>式和内</w:t>
      </w:r>
      <w:r>
        <w:rPr>
          <w:rFonts w:ascii="宋体" w:hAnsi="宋体" w:eastAsia="宋体" w:cs="宋体"/>
          <w:color w:val="auto"/>
          <w:sz w:val="20"/>
          <w:szCs w:val="20"/>
          <w:highlight w:val="none"/>
        </w:rPr>
        <w:t xml:space="preserve"> 容。</w:t>
      </w:r>
    </w:p>
    <w:p w14:paraId="2D69D31A">
      <w:pPr>
        <w:spacing w:before="31" w:line="418" w:lineRule="auto"/>
        <w:ind w:left="39" w:right="16" w:firstLine="555"/>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该手册应详细地叙述和说明设备构造，使新来的操作和维护</w:t>
      </w:r>
      <w:r>
        <w:rPr>
          <w:rFonts w:ascii="宋体" w:hAnsi="宋体" w:eastAsia="宋体" w:cs="宋体"/>
          <w:color w:val="auto"/>
          <w:spacing w:val="8"/>
          <w:sz w:val="20"/>
          <w:szCs w:val="20"/>
          <w:highlight w:val="none"/>
        </w:rPr>
        <w:t>人员能够研究和理解设备</w:t>
      </w:r>
      <w:r>
        <w:rPr>
          <w:rFonts w:ascii="宋体" w:hAnsi="宋体" w:eastAsia="宋体" w:cs="宋体"/>
          <w:color w:val="auto"/>
          <w:sz w:val="20"/>
          <w:szCs w:val="20"/>
          <w:highlight w:val="none"/>
        </w:rPr>
        <w:t xml:space="preserve"> </w:t>
      </w:r>
      <w:r>
        <w:rPr>
          <w:rFonts w:ascii="宋体" w:hAnsi="宋体" w:eastAsia="宋体" w:cs="宋体"/>
          <w:color w:val="auto"/>
          <w:spacing w:val="5"/>
          <w:sz w:val="20"/>
          <w:szCs w:val="20"/>
          <w:highlight w:val="none"/>
        </w:rPr>
        <w:t>的功能的控制方法。</w:t>
      </w:r>
    </w:p>
    <w:p w14:paraId="6EC6D62C">
      <w:pPr>
        <w:spacing w:line="418" w:lineRule="auto"/>
        <w:rPr>
          <w:rFonts w:ascii="宋体" w:hAnsi="宋体" w:eastAsia="宋体" w:cs="宋体"/>
          <w:color w:val="auto"/>
          <w:sz w:val="20"/>
          <w:szCs w:val="20"/>
          <w:highlight w:val="none"/>
        </w:rPr>
        <w:sectPr>
          <w:pgSz w:w="11906" w:h="16839"/>
          <w:pgMar w:top="1431" w:right="1785" w:bottom="400" w:left="1785" w:header="0" w:footer="0" w:gutter="0"/>
          <w:pgBorders>
            <w:top w:val="none" w:sz="0" w:space="0"/>
            <w:left w:val="none" w:sz="0" w:space="0"/>
            <w:bottom w:val="none" w:sz="0" w:space="0"/>
            <w:right w:val="none" w:sz="0" w:space="0"/>
          </w:pgBorders>
          <w:cols w:space="720" w:num="1"/>
        </w:sectPr>
      </w:pPr>
    </w:p>
    <w:p w14:paraId="2C3D3B55">
      <w:pPr>
        <w:spacing w:before="138" w:line="417" w:lineRule="auto"/>
        <w:ind w:left="591" w:right="1068"/>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手册中应能够快速查阅运行参数、设备说明书、操作、维护和安全程度。</w:t>
      </w:r>
      <w:r>
        <w:rPr>
          <w:rFonts w:ascii="宋体" w:hAnsi="宋体" w:eastAsia="宋体" w:cs="宋体"/>
          <w:color w:val="auto"/>
          <w:spacing w:val="17"/>
          <w:sz w:val="20"/>
          <w:szCs w:val="20"/>
          <w:highlight w:val="none"/>
        </w:rPr>
        <w:t xml:space="preserve"> </w:t>
      </w:r>
      <w:r>
        <w:rPr>
          <w:rFonts w:ascii="宋体" w:hAnsi="宋体" w:eastAsia="宋体" w:cs="宋体"/>
          <w:color w:val="auto"/>
          <w:spacing w:val="9"/>
          <w:sz w:val="20"/>
          <w:szCs w:val="20"/>
          <w:highlight w:val="none"/>
        </w:rPr>
        <w:t>运行和维护手册应包括，但不限于下述内容：</w:t>
      </w:r>
    </w:p>
    <w:p w14:paraId="12C9B853">
      <w:pPr>
        <w:spacing w:before="31" w:line="228" w:lineRule="auto"/>
        <w:ind w:left="606"/>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1、</w:t>
      </w:r>
      <w:r>
        <w:rPr>
          <w:rFonts w:ascii="宋体" w:hAnsi="宋体" w:eastAsia="宋体" w:cs="宋体"/>
          <w:color w:val="auto"/>
          <w:spacing w:val="45"/>
          <w:sz w:val="20"/>
          <w:szCs w:val="20"/>
          <w:highlight w:val="none"/>
        </w:rPr>
        <w:t xml:space="preserve"> </w:t>
      </w:r>
      <w:r>
        <w:rPr>
          <w:rFonts w:ascii="宋体" w:hAnsi="宋体" w:eastAsia="宋体" w:cs="宋体"/>
          <w:color w:val="auto"/>
          <w:spacing w:val="8"/>
          <w:sz w:val="20"/>
          <w:szCs w:val="20"/>
          <w:highlight w:val="none"/>
        </w:rPr>
        <w:t>设备概述，包括设备、系统说明、设备结构、功能说明、技术规范等。</w:t>
      </w:r>
    </w:p>
    <w:p w14:paraId="10F1AA16">
      <w:pPr>
        <w:spacing w:before="221" w:line="228" w:lineRule="auto"/>
        <w:ind w:left="593"/>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2、</w:t>
      </w:r>
      <w:r>
        <w:rPr>
          <w:rFonts w:ascii="宋体" w:hAnsi="宋体" w:eastAsia="宋体" w:cs="宋体"/>
          <w:color w:val="auto"/>
          <w:spacing w:val="39"/>
          <w:sz w:val="20"/>
          <w:szCs w:val="20"/>
          <w:highlight w:val="none"/>
        </w:rPr>
        <w:t xml:space="preserve"> </w:t>
      </w:r>
      <w:r>
        <w:rPr>
          <w:rFonts w:ascii="宋体" w:hAnsi="宋体" w:eastAsia="宋体" w:cs="宋体"/>
          <w:color w:val="auto"/>
          <w:spacing w:val="8"/>
          <w:sz w:val="20"/>
          <w:szCs w:val="20"/>
          <w:highlight w:val="none"/>
        </w:rPr>
        <w:t>设备启动、运行和停运的操作程序及注意事项。</w:t>
      </w:r>
    </w:p>
    <w:p w14:paraId="71FB3E91">
      <w:pPr>
        <w:spacing w:before="221" w:line="228" w:lineRule="auto"/>
        <w:ind w:left="595"/>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3、</w:t>
      </w:r>
      <w:r>
        <w:rPr>
          <w:rFonts w:ascii="宋体" w:hAnsi="宋体" w:eastAsia="宋体" w:cs="宋体"/>
          <w:color w:val="auto"/>
          <w:spacing w:val="48"/>
          <w:sz w:val="20"/>
          <w:szCs w:val="20"/>
          <w:highlight w:val="none"/>
        </w:rPr>
        <w:t xml:space="preserve"> </w:t>
      </w:r>
      <w:r>
        <w:rPr>
          <w:rFonts w:ascii="宋体" w:hAnsi="宋体" w:eastAsia="宋体" w:cs="宋体"/>
          <w:color w:val="auto"/>
          <w:spacing w:val="6"/>
          <w:sz w:val="20"/>
          <w:szCs w:val="20"/>
          <w:highlight w:val="none"/>
        </w:rPr>
        <w:t>设备联锁和保护功能说明。</w:t>
      </w:r>
    </w:p>
    <w:p w14:paraId="44745D67">
      <w:pPr>
        <w:spacing w:before="221" w:line="228" w:lineRule="auto"/>
        <w:ind w:left="590"/>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4、</w:t>
      </w:r>
      <w:r>
        <w:rPr>
          <w:rFonts w:ascii="宋体" w:hAnsi="宋体" w:eastAsia="宋体" w:cs="宋体"/>
          <w:color w:val="auto"/>
          <w:spacing w:val="40"/>
          <w:sz w:val="20"/>
          <w:szCs w:val="20"/>
          <w:highlight w:val="none"/>
        </w:rPr>
        <w:t xml:space="preserve"> </w:t>
      </w:r>
      <w:r>
        <w:rPr>
          <w:rFonts w:ascii="宋体" w:hAnsi="宋体" w:eastAsia="宋体" w:cs="宋体"/>
          <w:color w:val="auto"/>
          <w:spacing w:val="8"/>
          <w:sz w:val="20"/>
          <w:szCs w:val="20"/>
          <w:highlight w:val="none"/>
        </w:rPr>
        <w:t>设备安装、拆卸、维护的程序及注意事</w:t>
      </w:r>
      <w:r>
        <w:rPr>
          <w:rFonts w:ascii="宋体" w:hAnsi="宋体" w:eastAsia="宋体" w:cs="宋体"/>
          <w:color w:val="auto"/>
          <w:spacing w:val="7"/>
          <w:sz w:val="20"/>
          <w:szCs w:val="20"/>
          <w:highlight w:val="none"/>
        </w:rPr>
        <w:t>项。</w:t>
      </w:r>
    </w:p>
    <w:p w14:paraId="0B6A90EE">
      <w:pPr>
        <w:spacing w:before="220" w:line="227" w:lineRule="auto"/>
        <w:ind w:left="59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5、</w:t>
      </w:r>
      <w:r>
        <w:rPr>
          <w:rFonts w:ascii="宋体" w:hAnsi="宋体" w:eastAsia="宋体" w:cs="宋体"/>
          <w:color w:val="auto"/>
          <w:spacing w:val="57"/>
          <w:sz w:val="20"/>
          <w:szCs w:val="20"/>
          <w:highlight w:val="none"/>
        </w:rPr>
        <w:t xml:space="preserve"> </w:t>
      </w:r>
      <w:r>
        <w:rPr>
          <w:rFonts w:ascii="宋体" w:hAnsi="宋体" w:eastAsia="宋体" w:cs="宋体"/>
          <w:color w:val="auto"/>
          <w:spacing w:val="8"/>
          <w:sz w:val="20"/>
          <w:szCs w:val="20"/>
          <w:highlight w:val="none"/>
        </w:rPr>
        <w:t>设备零、部件清单，包括名称、图号、规格、材质、制造厂家全称等。</w:t>
      </w:r>
    </w:p>
    <w:p w14:paraId="05ABEA2E">
      <w:pPr>
        <w:spacing w:before="221" w:line="330" w:lineRule="auto"/>
        <w:ind w:left="592" w:right="1013"/>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6、</w:t>
      </w:r>
      <w:r>
        <w:rPr>
          <w:rFonts w:ascii="宋体" w:hAnsi="宋体" w:eastAsia="宋体" w:cs="宋体"/>
          <w:color w:val="auto"/>
          <w:spacing w:val="39"/>
          <w:sz w:val="20"/>
          <w:szCs w:val="20"/>
          <w:highlight w:val="none"/>
        </w:rPr>
        <w:t xml:space="preserve"> </w:t>
      </w:r>
      <w:r>
        <w:rPr>
          <w:rFonts w:ascii="宋体" w:hAnsi="宋体" w:eastAsia="宋体" w:cs="宋体"/>
          <w:color w:val="auto"/>
          <w:spacing w:val="9"/>
          <w:sz w:val="20"/>
          <w:szCs w:val="20"/>
          <w:highlight w:val="none"/>
        </w:rPr>
        <w:t>设备易损件、消耗性材料清单，包括名称、规格、制造厂家全称等。</w:t>
      </w:r>
      <w:r>
        <w:rPr>
          <w:rFonts w:ascii="宋体" w:hAnsi="宋体" w:eastAsia="宋体" w:cs="宋体"/>
          <w:color w:val="auto"/>
          <w:sz w:val="20"/>
          <w:szCs w:val="20"/>
          <w:highlight w:val="none"/>
        </w:rPr>
        <w:t xml:space="preserve"> </w:t>
      </w:r>
      <w:r>
        <w:rPr>
          <w:rFonts w:ascii="宋体" w:hAnsi="宋体" w:eastAsia="宋体" w:cs="宋体"/>
          <w:color w:val="auto"/>
          <w:spacing w:val="8"/>
          <w:sz w:val="20"/>
          <w:szCs w:val="20"/>
          <w:highlight w:val="none"/>
        </w:rPr>
        <w:t>为便于使用和查阅，手册应分成卷，每一卷包括封面的最大厚度为</w:t>
      </w:r>
      <w:r>
        <w:rPr>
          <w:rFonts w:ascii="宋体" w:hAnsi="宋体" w:eastAsia="宋体" w:cs="宋体"/>
          <w:color w:val="auto"/>
          <w:spacing w:val="-30"/>
          <w:sz w:val="20"/>
          <w:szCs w:val="20"/>
          <w:highlight w:val="none"/>
        </w:rPr>
        <w:t xml:space="preserve"> </w:t>
      </w:r>
      <w:r>
        <w:rPr>
          <w:rFonts w:ascii="宋体" w:hAnsi="宋体" w:eastAsia="宋体" w:cs="宋体"/>
          <w:color w:val="auto"/>
          <w:spacing w:val="8"/>
          <w:sz w:val="20"/>
          <w:szCs w:val="20"/>
          <w:highlight w:val="none"/>
        </w:rPr>
        <w:t>50</w:t>
      </w:r>
      <w:r>
        <w:rPr>
          <w:rFonts w:ascii="宋体" w:hAnsi="宋体" w:eastAsia="宋体" w:cs="宋体"/>
          <w:color w:val="auto"/>
          <w:sz w:val="20"/>
          <w:szCs w:val="20"/>
          <w:highlight w:val="none"/>
        </w:rPr>
        <w:t>mm</w:t>
      </w:r>
      <w:r>
        <w:rPr>
          <w:rFonts w:ascii="宋体" w:hAnsi="宋体" w:eastAsia="宋体" w:cs="宋体"/>
          <w:color w:val="auto"/>
          <w:spacing w:val="8"/>
          <w:sz w:val="20"/>
          <w:szCs w:val="20"/>
          <w:highlight w:val="none"/>
        </w:rPr>
        <w:t>。</w:t>
      </w:r>
    </w:p>
    <w:p w14:paraId="2F3CA6C4">
      <w:pPr>
        <w:spacing w:before="221" w:line="228" w:lineRule="auto"/>
        <w:ind w:left="581"/>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每一卷的版式应尽可能地一致，每一部分的系统、设备等描述顺序也应一致。</w:t>
      </w:r>
    </w:p>
    <w:p w14:paraId="482494FD">
      <w:pPr>
        <w:spacing w:line="228" w:lineRule="auto"/>
        <w:rPr>
          <w:rFonts w:ascii="宋体" w:hAnsi="宋体" w:eastAsia="宋体" w:cs="宋体"/>
          <w:color w:val="auto"/>
          <w:sz w:val="20"/>
          <w:szCs w:val="20"/>
          <w:highlight w:val="none"/>
        </w:rPr>
        <w:sectPr>
          <w:pgSz w:w="11906" w:h="16839"/>
          <w:pgMar w:top="1431" w:right="1785" w:bottom="400" w:left="1785" w:header="0" w:footer="0" w:gutter="0"/>
          <w:pgBorders>
            <w:top w:val="none" w:sz="0" w:space="0"/>
            <w:left w:val="none" w:sz="0" w:space="0"/>
            <w:bottom w:val="none" w:sz="0" w:space="0"/>
            <w:right w:val="none" w:sz="0" w:space="0"/>
          </w:pgBorders>
          <w:cols w:space="720" w:num="1"/>
        </w:sectPr>
      </w:pPr>
    </w:p>
    <w:p w14:paraId="3D678106">
      <w:pPr>
        <w:spacing w:before="318" w:line="224" w:lineRule="auto"/>
        <w:ind w:left="72"/>
        <w:outlineLvl w:val="0"/>
        <w:rPr>
          <w:rFonts w:ascii="宋体" w:hAnsi="宋体" w:eastAsia="宋体" w:cs="宋体"/>
          <w:color w:val="auto"/>
          <w:sz w:val="31"/>
          <w:szCs w:val="31"/>
          <w:highlight w:val="none"/>
        </w:rPr>
      </w:pPr>
      <w:bookmarkStart w:id="29" w:name="bookmark17"/>
      <w:bookmarkEnd w:id="29"/>
      <w:bookmarkStart w:id="30" w:name="bookmark18"/>
      <w:bookmarkEnd w:id="30"/>
      <w:r>
        <w:rPr>
          <w:rFonts w:ascii="宋体" w:hAnsi="宋体" w:eastAsia="宋体" w:cs="宋体"/>
          <w:b/>
          <w:bCs/>
          <w:color w:val="auto"/>
          <w:spacing w:val="2"/>
          <w:sz w:val="31"/>
          <w:szCs w:val="31"/>
          <w:highlight w:val="none"/>
        </w:rPr>
        <w:t>附件</w:t>
      </w:r>
      <w:r>
        <w:rPr>
          <w:rFonts w:ascii="宋体" w:hAnsi="宋体" w:eastAsia="宋体" w:cs="宋体"/>
          <w:color w:val="auto"/>
          <w:spacing w:val="-54"/>
          <w:sz w:val="31"/>
          <w:szCs w:val="31"/>
          <w:highlight w:val="none"/>
        </w:rPr>
        <w:t xml:space="preserve"> </w:t>
      </w:r>
      <w:r>
        <w:rPr>
          <w:rFonts w:ascii="宋体" w:hAnsi="宋体" w:eastAsia="宋体" w:cs="宋体"/>
          <w:b/>
          <w:bCs/>
          <w:color w:val="auto"/>
          <w:spacing w:val="2"/>
          <w:sz w:val="31"/>
          <w:szCs w:val="31"/>
          <w:highlight w:val="none"/>
        </w:rPr>
        <w:t>9</w:t>
      </w:r>
      <w:r>
        <w:rPr>
          <w:rFonts w:ascii="宋体" w:hAnsi="宋体" w:eastAsia="宋体" w:cs="宋体"/>
          <w:color w:val="auto"/>
          <w:spacing w:val="2"/>
          <w:sz w:val="31"/>
          <w:szCs w:val="31"/>
          <w:highlight w:val="none"/>
        </w:rPr>
        <w:t xml:space="preserve">  </w:t>
      </w:r>
      <w:r>
        <w:rPr>
          <w:rFonts w:ascii="宋体" w:hAnsi="宋体" w:eastAsia="宋体" w:cs="宋体"/>
          <w:b/>
          <w:bCs/>
          <w:color w:val="auto"/>
          <w:spacing w:val="2"/>
          <w:sz w:val="31"/>
          <w:szCs w:val="31"/>
          <w:highlight w:val="none"/>
        </w:rPr>
        <w:t>大（部）件情况</w:t>
      </w:r>
    </w:p>
    <w:p w14:paraId="3BC2CA31">
      <w:pPr>
        <w:pStyle w:val="3"/>
        <w:spacing w:line="311" w:lineRule="auto"/>
        <w:rPr>
          <w:color w:val="auto"/>
          <w:highlight w:val="none"/>
        </w:rPr>
      </w:pPr>
    </w:p>
    <w:p w14:paraId="491890BF">
      <w:pPr>
        <w:spacing w:before="65" w:line="228" w:lineRule="auto"/>
        <w:ind w:left="465"/>
        <w:rPr>
          <w:rFonts w:ascii="宋体" w:hAnsi="宋体" w:eastAsia="宋体" w:cs="宋体"/>
          <w:color w:val="auto"/>
          <w:sz w:val="20"/>
          <w:szCs w:val="20"/>
          <w:highlight w:val="none"/>
        </w:rPr>
      </w:pPr>
      <w:r>
        <w:rPr>
          <w:rFonts w:ascii="宋体" w:hAnsi="宋体" w:eastAsia="宋体" w:cs="宋体"/>
          <w:color w:val="auto"/>
          <w:spacing w:val="8"/>
          <w:sz w:val="20"/>
          <w:szCs w:val="20"/>
          <w:highlight w:val="none"/>
        </w:rPr>
        <w:t>投标人应把超级超限的情况详细予以说明。</w:t>
      </w:r>
    </w:p>
    <w:p w14:paraId="291C4599">
      <w:pPr>
        <w:spacing w:line="92" w:lineRule="exact"/>
        <w:rPr>
          <w:color w:val="auto"/>
          <w:highlight w:val="none"/>
        </w:rPr>
      </w:pPr>
    </w:p>
    <w:tbl>
      <w:tblPr>
        <w:tblStyle w:val="6"/>
        <w:tblW w:w="83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1"/>
        <w:gridCol w:w="704"/>
        <w:gridCol w:w="562"/>
        <w:gridCol w:w="1011"/>
        <w:gridCol w:w="960"/>
        <w:gridCol w:w="851"/>
        <w:gridCol w:w="838"/>
        <w:gridCol w:w="704"/>
        <w:gridCol w:w="986"/>
        <w:gridCol w:w="703"/>
        <w:gridCol w:w="576"/>
      </w:tblGrid>
      <w:tr w14:paraId="21303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471" w:type="dxa"/>
            <w:vMerge w:val="restart"/>
            <w:tcBorders>
              <w:bottom w:val="nil"/>
            </w:tcBorders>
            <w:vAlign w:val="top"/>
          </w:tcPr>
          <w:p w14:paraId="07CBCB81">
            <w:pPr>
              <w:pStyle w:val="7"/>
              <w:spacing w:line="330" w:lineRule="auto"/>
              <w:rPr>
                <w:color w:val="auto"/>
                <w:highlight w:val="none"/>
              </w:rPr>
            </w:pPr>
          </w:p>
          <w:p w14:paraId="3F8AA899">
            <w:pPr>
              <w:spacing w:before="58" w:line="221" w:lineRule="auto"/>
              <w:ind w:left="5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704" w:type="dxa"/>
            <w:vMerge w:val="restart"/>
            <w:tcBorders>
              <w:bottom w:val="nil"/>
            </w:tcBorders>
            <w:vAlign w:val="top"/>
          </w:tcPr>
          <w:p w14:paraId="6C53AF61">
            <w:pPr>
              <w:spacing w:before="155" w:line="408" w:lineRule="auto"/>
              <w:ind w:left="170" w:right="172"/>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部件</w:t>
            </w:r>
            <w:r>
              <w:rPr>
                <w:rFonts w:ascii="宋体" w:hAnsi="宋体" w:eastAsia="宋体" w:cs="宋体"/>
                <w:color w:val="auto"/>
                <w:sz w:val="18"/>
                <w:szCs w:val="18"/>
                <w:highlight w:val="none"/>
              </w:rPr>
              <w:t xml:space="preserve"> </w:t>
            </w:r>
            <w:r>
              <w:rPr>
                <w:rFonts w:ascii="宋体" w:hAnsi="宋体" w:eastAsia="宋体" w:cs="宋体"/>
                <w:color w:val="auto"/>
                <w:spacing w:val="-5"/>
                <w:sz w:val="18"/>
                <w:szCs w:val="18"/>
                <w:highlight w:val="none"/>
              </w:rPr>
              <w:t>名称</w:t>
            </w:r>
          </w:p>
        </w:tc>
        <w:tc>
          <w:tcPr>
            <w:tcW w:w="562" w:type="dxa"/>
            <w:vMerge w:val="restart"/>
            <w:tcBorders>
              <w:bottom w:val="nil"/>
            </w:tcBorders>
            <w:vAlign w:val="top"/>
          </w:tcPr>
          <w:p w14:paraId="39625048">
            <w:pPr>
              <w:pStyle w:val="7"/>
              <w:spacing w:line="330" w:lineRule="auto"/>
              <w:rPr>
                <w:color w:val="auto"/>
                <w:highlight w:val="none"/>
              </w:rPr>
            </w:pPr>
          </w:p>
          <w:p w14:paraId="52C3AAA1">
            <w:pPr>
              <w:spacing w:before="59" w:line="219" w:lineRule="auto"/>
              <w:ind w:left="99"/>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数量</w:t>
            </w:r>
          </w:p>
        </w:tc>
        <w:tc>
          <w:tcPr>
            <w:tcW w:w="1971" w:type="dxa"/>
            <w:gridSpan w:val="2"/>
            <w:vAlign w:val="top"/>
          </w:tcPr>
          <w:p w14:paraId="0299E9DA">
            <w:pPr>
              <w:spacing w:before="148" w:line="219" w:lineRule="auto"/>
              <w:ind w:left="400"/>
              <w:rPr>
                <w:rFonts w:ascii="宋体" w:hAnsi="宋体" w:eastAsia="宋体" w:cs="宋体"/>
                <w:color w:val="auto"/>
                <w:sz w:val="18"/>
                <w:szCs w:val="18"/>
                <w:highlight w:val="none"/>
              </w:rPr>
            </w:pPr>
            <w:r>
              <w:rPr>
                <w:rFonts w:ascii="宋体" w:hAnsi="宋体" w:eastAsia="宋体" w:cs="宋体"/>
                <w:color w:val="auto"/>
                <w:spacing w:val="-18"/>
                <w:sz w:val="18"/>
                <w:szCs w:val="18"/>
                <w:highlight w:val="none"/>
              </w:rPr>
              <w:t>长</w:t>
            </w:r>
            <w:r>
              <w:rPr>
                <w:rFonts w:ascii="宋体" w:hAnsi="宋体" w:eastAsia="宋体" w:cs="宋体"/>
                <w:color w:val="auto"/>
                <w:spacing w:val="33"/>
                <w:sz w:val="18"/>
                <w:szCs w:val="18"/>
                <w:highlight w:val="none"/>
              </w:rPr>
              <w:t xml:space="preserve"> </w:t>
            </w:r>
            <w:r>
              <w:rPr>
                <w:rFonts w:ascii="宋体" w:hAnsi="宋体" w:eastAsia="宋体" w:cs="宋体"/>
                <w:color w:val="auto"/>
                <w:spacing w:val="-18"/>
                <w:sz w:val="18"/>
                <w:szCs w:val="18"/>
                <w:highlight w:val="none"/>
              </w:rPr>
              <w:t>×</w:t>
            </w:r>
            <w:r>
              <w:rPr>
                <w:rFonts w:ascii="宋体" w:hAnsi="宋体" w:eastAsia="宋体" w:cs="宋体"/>
                <w:color w:val="auto"/>
                <w:spacing w:val="15"/>
                <w:sz w:val="18"/>
                <w:szCs w:val="18"/>
                <w:highlight w:val="none"/>
              </w:rPr>
              <w:t xml:space="preserve"> </w:t>
            </w:r>
            <w:r>
              <w:rPr>
                <w:rFonts w:ascii="宋体" w:hAnsi="宋体" w:eastAsia="宋体" w:cs="宋体"/>
                <w:color w:val="auto"/>
                <w:spacing w:val="-18"/>
                <w:sz w:val="18"/>
                <w:szCs w:val="18"/>
                <w:highlight w:val="none"/>
              </w:rPr>
              <w:t>宽</w:t>
            </w:r>
            <w:r>
              <w:rPr>
                <w:rFonts w:ascii="宋体" w:hAnsi="宋体" w:eastAsia="宋体" w:cs="宋体"/>
                <w:color w:val="auto"/>
                <w:spacing w:val="-57"/>
                <w:sz w:val="18"/>
                <w:szCs w:val="18"/>
                <w:highlight w:val="none"/>
              </w:rPr>
              <w:t xml:space="preserve"> </w:t>
            </w:r>
            <w:r>
              <w:rPr>
                <w:rFonts w:ascii="宋体" w:hAnsi="宋体" w:eastAsia="宋体" w:cs="宋体"/>
                <w:color w:val="auto"/>
                <w:spacing w:val="-18"/>
                <w:sz w:val="18"/>
                <w:szCs w:val="18"/>
                <w:highlight w:val="none"/>
              </w:rPr>
              <w:t>×</w:t>
            </w:r>
            <w:r>
              <w:rPr>
                <w:rFonts w:ascii="宋体" w:hAnsi="宋体" w:eastAsia="宋体" w:cs="宋体"/>
                <w:color w:val="auto"/>
                <w:spacing w:val="13"/>
                <w:sz w:val="18"/>
                <w:szCs w:val="18"/>
                <w:highlight w:val="none"/>
              </w:rPr>
              <w:t xml:space="preserve"> </w:t>
            </w:r>
            <w:r>
              <w:rPr>
                <w:rFonts w:ascii="宋体" w:hAnsi="宋体" w:eastAsia="宋体" w:cs="宋体"/>
                <w:color w:val="auto"/>
                <w:spacing w:val="-18"/>
                <w:sz w:val="18"/>
                <w:szCs w:val="18"/>
                <w:highlight w:val="none"/>
              </w:rPr>
              <w:t>高</w:t>
            </w:r>
          </w:p>
        </w:tc>
        <w:tc>
          <w:tcPr>
            <w:tcW w:w="1689" w:type="dxa"/>
            <w:gridSpan w:val="2"/>
            <w:vAlign w:val="top"/>
          </w:tcPr>
          <w:p w14:paraId="3535C3AF">
            <w:pPr>
              <w:spacing w:before="148" w:line="225" w:lineRule="auto"/>
              <w:ind w:left="577"/>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重</w:t>
            </w:r>
            <w:r>
              <w:rPr>
                <w:rFonts w:ascii="宋体" w:hAnsi="宋体" w:eastAsia="宋体" w:cs="宋体"/>
                <w:color w:val="auto"/>
                <w:spacing w:val="3"/>
                <w:sz w:val="18"/>
                <w:szCs w:val="18"/>
                <w:highlight w:val="none"/>
              </w:rPr>
              <w:t xml:space="preserve">  </w:t>
            </w:r>
            <w:r>
              <w:rPr>
                <w:rFonts w:ascii="宋体" w:hAnsi="宋体" w:eastAsia="宋体" w:cs="宋体"/>
                <w:color w:val="auto"/>
                <w:spacing w:val="-4"/>
                <w:sz w:val="18"/>
                <w:szCs w:val="18"/>
                <w:highlight w:val="none"/>
              </w:rPr>
              <w:t>量</w:t>
            </w:r>
          </w:p>
        </w:tc>
        <w:tc>
          <w:tcPr>
            <w:tcW w:w="704" w:type="dxa"/>
            <w:vMerge w:val="restart"/>
            <w:tcBorders>
              <w:bottom w:val="nil"/>
            </w:tcBorders>
            <w:vAlign w:val="top"/>
          </w:tcPr>
          <w:p w14:paraId="45550A84">
            <w:pPr>
              <w:spacing w:before="155" w:line="408" w:lineRule="auto"/>
              <w:ind w:left="176" w:right="166"/>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厂家</w:t>
            </w:r>
            <w:r>
              <w:rPr>
                <w:rFonts w:ascii="宋体" w:hAnsi="宋体" w:eastAsia="宋体" w:cs="宋体"/>
                <w:color w:val="auto"/>
                <w:sz w:val="18"/>
                <w:szCs w:val="18"/>
                <w:highlight w:val="none"/>
              </w:rPr>
              <w:t xml:space="preserve"> </w:t>
            </w:r>
            <w:r>
              <w:rPr>
                <w:rFonts w:ascii="宋体" w:hAnsi="宋体" w:eastAsia="宋体" w:cs="宋体"/>
                <w:color w:val="auto"/>
                <w:spacing w:val="-5"/>
                <w:sz w:val="18"/>
                <w:szCs w:val="18"/>
                <w:highlight w:val="none"/>
              </w:rPr>
              <w:t>名称</w:t>
            </w:r>
          </w:p>
        </w:tc>
        <w:tc>
          <w:tcPr>
            <w:tcW w:w="986" w:type="dxa"/>
            <w:vMerge w:val="restart"/>
            <w:tcBorders>
              <w:bottom w:val="nil"/>
            </w:tcBorders>
            <w:vAlign w:val="top"/>
          </w:tcPr>
          <w:p w14:paraId="232CE33C">
            <w:pPr>
              <w:spacing w:before="155" w:line="408" w:lineRule="auto"/>
              <w:ind w:left="414" w:right="36" w:hanging="364"/>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货物发运地</w:t>
            </w:r>
            <w:r>
              <w:rPr>
                <w:rFonts w:ascii="宋体" w:hAnsi="宋体" w:eastAsia="宋体" w:cs="宋体"/>
                <w:color w:val="auto"/>
                <w:spacing w:val="2"/>
                <w:sz w:val="18"/>
                <w:szCs w:val="18"/>
                <w:highlight w:val="none"/>
              </w:rPr>
              <w:t xml:space="preserve"> </w:t>
            </w:r>
            <w:r>
              <w:rPr>
                <w:rFonts w:ascii="宋体" w:hAnsi="宋体" w:eastAsia="宋体" w:cs="宋体"/>
                <w:color w:val="auto"/>
                <w:sz w:val="18"/>
                <w:szCs w:val="18"/>
                <w:highlight w:val="none"/>
              </w:rPr>
              <w:t>点</w:t>
            </w:r>
          </w:p>
        </w:tc>
        <w:tc>
          <w:tcPr>
            <w:tcW w:w="703" w:type="dxa"/>
            <w:vMerge w:val="restart"/>
            <w:tcBorders>
              <w:bottom w:val="nil"/>
            </w:tcBorders>
            <w:vAlign w:val="top"/>
          </w:tcPr>
          <w:p w14:paraId="5746E778">
            <w:pPr>
              <w:spacing w:before="155" w:line="408" w:lineRule="auto"/>
              <w:ind w:left="270" w:right="72" w:hanging="183"/>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运输方</w:t>
            </w:r>
            <w:r>
              <w:rPr>
                <w:rFonts w:ascii="宋体" w:hAnsi="宋体" w:eastAsia="宋体" w:cs="宋体"/>
                <w:color w:val="auto"/>
                <w:sz w:val="18"/>
                <w:szCs w:val="18"/>
                <w:highlight w:val="none"/>
              </w:rPr>
              <w:t xml:space="preserve"> 式</w:t>
            </w:r>
          </w:p>
        </w:tc>
        <w:tc>
          <w:tcPr>
            <w:tcW w:w="576" w:type="dxa"/>
            <w:vMerge w:val="restart"/>
            <w:tcBorders>
              <w:bottom w:val="nil"/>
            </w:tcBorders>
            <w:vAlign w:val="top"/>
          </w:tcPr>
          <w:p w14:paraId="375E63B3">
            <w:pPr>
              <w:pStyle w:val="7"/>
              <w:spacing w:line="330" w:lineRule="auto"/>
              <w:rPr>
                <w:color w:val="auto"/>
                <w:highlight w:val="none"/>
              </w:rPr>
            </w:pPr>
          </w:p>
          <w:p w14:paraId="48845719">
            <w:pPr>
              <w:spacing w:before="58" w:line="221" w:lineRule="auto"/>
              <w:ind w:left="113"/>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备注</w:t>
            </w:r>
          </w:p>
        </w:tc>
      </w:tr>
      <w:tr w14:paraId="620B4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Merge w:val="continue"/>
            <w:tcBorders>
              <w:top w:val="nil"/>
            </w:tcBorders>
            <w:vAlign w:val="top"/>
          </w:tcPr>
          <w:p w14:paraId="4EC74CFE">
            <w:pPr>
              <w:pStyle w:val="7"/>
              <w:rPr>
                <w:color w:val="auto"/>
                <w:highlight w:val="none"/>
              </w:rPr>
            </w:pPr>
          </w:p>
        </w:tc>
        <w:tc>
          <w:tcPr>
            <w:tcW w:w="704" w:type="dxa"/>
            <w:vMerge w:val="continue"/>
            <w:tcBorders>
              <w:top w:val="nil"/>
            </w:tcBorders>
            <w:vAlign w:val="top"/>
          </w:tcPr>
          <w:p w14:paraId="5D79E057">
            <w:pPr>
              <w:pStyle w:val="7"/>
              <w:rPr>
                <w:color w:val="auto"/>
                <w:highlight w:val="none"/>
              </w:rPr>
            </w:pPr>
          </w:p>
        </w:tc>
        <w:tc>
          <w:tcPr>
            <w:tcW w:w="562" w:type="dxa"/>
            <w:vMerge w:val="continue"/>
            <w:tcBorders>
              <w:top w:val="nil"/>
            </w:tcBorders>
            <w:vAlign w:val="top"/>
          </w:tcPr>
          <w:p w14:paraId="031AF3AA">
            <w:pPr>
              <w:pStyle w:val="7"/>
              <w:rPr>
                <w:color w:val="auto"/>
                <w:highlight w:val="none"/>
              </w:rPr>
            </w:pPr>
          </w:p>
        </w:tc>
        <w:tc>
          <w:tcPr>
            <w:tcW w:w="1011" w:type="dxa"/>
            <w:vAlign w:val="top"/>
          </w:tcPr>
          <w:p w14:paraId="37468DBC">
            <w:pPr>
              <w:spacing w:before="144" w:line="220" w:lineRule="auto"/>
              <w:ind w:left="325"/>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包装</w:t>
            </w:r>
          </w:p>
        </w:tc>
        <w:tc>
          <w:tcPr>
            <w:tcW w:w="960" w:type="dxa"/>
            <w:vAlign w:val="top"/>
          </w:tcPr>
          <w:p w14:paraId="269CA1E6">
            <w:pPr>
              <w:spacing w:before="144" w:line="220" w:lineRule="auto"/>
              <w:ind w:left="212"/>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未包装</w:t>
            </w:r>
          </w:p>
        </w:tc>
        <w:tc>
          <w:tcPr>
            <w:tcW w:w="851" w:type="dxa"/>
            <w:vAlign w:val="top"/>
          </w:tcPr>
          <w:p w14:paraId="50691C6C">
            <w:pPr>
              <w:spacing w:before="144" w:line="220" w:lineRule="auto"/>
              <w:ind w:left="248"/>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包装</w:t>
            </w:r>
          </w:p>
        </w:tc>
        <w:tc>
          <w:tcPr>
            <w:tcW w:w="838" w:type="dxa"/>
            <w:vAlign w:val="top"/>
          </w:tcPr>
          <w:p w14:paraId="3D293454">
            <w:pPr>
              <w:spacing w:before="144" w:line="220" w:lineRule="auto"/>
              <w:ind w:left="153"/>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未包装</w:t>
            </w:r>
          </w:p>
        </w:tc>
        <w:tc>
          <w:tcPr>
            <w:tcW w:w="704" w:type="dxa"/>
            <w:vMerge w:val="continue"/>
            <w:tcBorders>
              <w:top w:val="nil"/>
            </w:tcBorders>
            <w:vAlign w:val="top"/>
          </w:tcPr>
          <w:p w14:paraId="27CDA411">
            <w:pPr>
              <w:pStyle w:val="7"/>
              <w:rPr>
                <w:color w:val="auto"/>
                <w:highlight w:val="none"/>
              </w:rPr>
            </w:pPr>
          </w:p>
        </w:tc>
        <w:tc>
          <w:tcPr>
            <w:tcW w:w="986" w:type="dxa"/>
            <w:vMerge w:val="continue"/>
            <w:tcBorders>
              <w:top w:val="nil"/>
            </w:tcBorders>
            <w:vAlign w:val="top"/>
          </w:tcPr>
          <w:p w14:paraId="5A121E37">
            <w:pPr>
              <w:pStyle w:val="7"/>
              <w:rPr>
                <w:color w:val="auto"/>
                <w:highlight w:val="none"/>
              </w:rPr>
            </w:pPr>
          </w:p>
        </w:tc>
        <w:tc>
          <w:tcPr>
            <w:tcW w:w="703" w:type="dxa"/>
            <w:vMerge w:val="continue"/>
            <w:tcBorders>
              <w:top w:val="nil"/>
            </w:tcBorders>
            <w:vAlign w:val="top"/>
          </w:tcPr>
          <w:p w14:paraId="5FF3A2FE">
            <w:pPr>
              <w:pStyle w:val="7"/>
              <w:rPr>
                <w:color w:val="auto"/>
                <w:highlight w:val="none"/>
              </w:rPr>
            </w:pPr>
          </w:p>
        </w:tc>
        <w:tc>
          <w:tcPr>
            <w:tcW w:w="576" w:type="dxa"/>
            <w:vMerge w:val="continue"/>
            <w:tcBorders>
              <w:top w:val="nil"/>
            </w:tcBorders>
            <w:vAlign w:val="top"/>
          </w:tcPr>
          <w:p w14:paraId="6E44CC67">
            <w:pPr>
              <w:pStyle w:val="7"/>
              <w:rPr>
                <w:color w:val="auto"/>
                <w:highlight w:val="none"/>
              </w:rPr>
            </w:pPr>
          </w:p>
        </w:tc>
      </w:tr>
      <w:tr w14:paraId="08C5E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60D494D1">
            <w:pPr>
              <w:pStyle w:val="7"/>
              <w:rPr>
                <w:color w:val="auto"/>
                <w:highlight w:val="none"/>
              </w:rPr>
            </w:pPr>
          </w:p>
        </w:tc>
        <w:tc>
          <w:tcPr>
            <w:tcW w:w="704" w:type="dxa"/>
            <w:vAlign w:val="top"/>
          </w:tcPr>
          <w:p w14:paraId="65732CEE">
            <w:pPr>
              <w:pStyle w:val="7"/>
              <w:rPr>
                <w:color w:val="auto"/>
                <w:highlight w:val="none"/>
              </w:rPr>
            </w:pPr>
          </w:p>
        </w:tc>
        <w:tc>
          <w:tcPr>
            <w:tcW w:w="562" w:type="dxa"/>
            <w:vAlign w:val="top"/>
          </w:tcPr>
          <w:p w14:paraId="0419D21F">
            <w:pPr>
              <w:pStyle w:val="7"/>
              <w:rPr>
                <w:color w:val="auto"/>
                <w:highlight w:val="none"/>
              </w:rPr>
            </w:pPr>
          </w:p>
        </w:tc>
        <w:tc>
          <w:tcPr>
            <w:tcW w:w="1011" w:type="dxa"/>
            <w:vAlign w:val="top"/>
          </w:tcPr>
          <w:p w14:paraId="0048A3AF">
            <w:pPr>
              <w:pStyle w:val="7"/>
              <w:rPr>
                <w:color w:val="auto"/>
                <w:highlight w:val="none"/>
              </w:rPr>
            </w:pPr>
          </w:p>
        </w:tc>
        <w:tc>
          <w:tcPr>
            <w:tcW w:w="960" w:type="dxa"/>
            <w:vAlign w:val="top"/>
          </w:tcPr>
          <w:p w14:paraId="63C4EF8B">
            <w:pPr>
              <w:pStyle w:val="7"/>
              <w:rPr>
                <w:color w:val="auto"/>
                <w:highlight w:val="none"/>
              </w:rPr>
            </w:pPr>
          </w:p>
        </w:tc>
        <w:tc>
          <w:tcPr>
            <w:tcW w:w="851" w:type="dxa"/>
            <w:vAlign w:val="top"/>
          </w:tcPr>
          <w:p w14:paraId="79D462B7">
            <w:pPr>
              <w:pStyle w:val="7"/>
              <w:rPr>
                <w:color w:val="auto"/>
                <w:highlight w:val="none"/>
              </w:rPr>
            </w:pPr>
          </w:p>
        </w:tc>
        <w:tc>
          <w:tcPr>
            <w:tcW w:w="838" w:type="dxa"/>
            <w:vAlign w:val="top"/>
          </w:tcPr>
          <w:p w14:paraId="67593AA2">
            <w:pPr>
              <w:pStyle w:val="7"/>
              <w:rPr>
                <w:color w:val="auto"/>
                <w:highlight w:val="none"/>
              </w:rPr>
            </w:pPr>
          </w:p>
        </w:tc>
        <w:tc>
          <w:tcPr>
            <w:tcW w:w="704" w:type="dxa"/>
            <w:vAlign w:val="top"/>
          </w:tcPr>
          <w:p w14:paraId="60CBF002">
            <w:pPr>
              <w:pStyle w:val="7"/>
              <w:rPr>
                <w:color w:val="auto"/>
                <w:highlight w:val="none"/>
              </w:rPr>
            </w:pPr>
          </w:p>
        </w:tc>
        <w:tc>
          <w:tcPr>
            <w:tcW w:w="986" w:type="dxa"/>
            <w:vAlign w:val="top"/>
          </w:tcPr>
          <w:p w14:paraId="3807C728">
            <w:pPr>
              <w:pStyle w:val="7"/>
              <w:rPr>
                <w:color w:val="auto"/>
                <w:highlight w:val="none"/>
              </w:rPr>
            </w:pPr>
          </w:p>
        </w:tc>
        <w:tc>
          <w:tcPr>
            <w:tcW w:w="703" w:type="dxa"/>
            <w:vAlign w:val="top"/>
          </w:tcPr>
          <w:p w14:paraId="0CEE40AB">
            <w:pPr>
              <w:pStyle w:val="7"/>
              <w:rPr>
                <w:color w:val="auto"/>
                <w:highlight w:val="none"/>
              </w:rPr>
            </w:pPr>
          </w:p>
        </w:tc>
        <w:tc>
          <w:tcPr>
            <w:tcW w:w="576" w:type="dxa"/>
            <w:vAlign w:val="top"/>
          </w:tcPr>
          <w:p w14:paraId="496BB685">
            <w:pPr>
              <w:pStyle w:val="7"/>
              <w:rPr>
                <w:color w:val="auto"/>
                <w:highlight w:val="none"/>
              </w:rPr>
            </w:pPr>
          </w:p>
        </w:tc>
      </w:tr>
      <w:tr w14:paraId="5E45E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146F1DC6">
            <w:pPr>
              <w:pStyle w:val="7"/>
              <w:rPr>
                <w:color w:val="auto"/>
                <w:highlight w:val="none"/>
              </w:rPr>
            </w:pPr>
          </w:p>
        </w:tc>
        <w:tc>
          <w:tcPr>
            <w:tcW w:w="704" w:type="dxa"/>
            <w:vAlign w:val="top"/>
          </w:tcPr>
          <w:p w14:paraId="3A4C2DA6">
            <w:pPr>
              <w:pStyle w:val="7"/>
              <w:rPr>
                <w:color w:val="auto"/>
                <w:highlight w:val="none"/>
              </w:rPr>
            </w:pPr>
          </w:p>
        </w:tc>
        <w:tc>
          <w:tcPr>
            <w:tcW w:w="562" w:type="dxa"/>
            <w:vAlign w:val="top"/>
          </w:tcPr>
          <w:p w14:paraId="01F5C1DE">
            <w:pPr>
              <w:pStyle w:val="7"/>
              <w:rPr>
                <w:color w:val="auto"/>
                <w:highlight w:val="none"/>
              </w:rPr>
            </w:pPr>
          </w:p>
        </w:tc>
        <w:tc>
          <w:tcPr>
            <w:tcW w:w="1011" w:type="dxa"/>
            <w:vAlign w:val="top"/>
          </w:tcPr>
          <w:p w14:paraId="486B4BD8">
            <w:pPr>
              <w:pStyle w:val="7"/>
              <w:rPr>
                <w:color w:val="auto"/>
                <w:highlight w:val="none"/>
              </w:rPr>
            </w:pPr>
          </w:p>
        </w:tc>
        <w:tc>
          <w:tcPr>
            <w:tcW w:w="960" w:type="dxa"/>
            <w:vAlign w:val="top"/>
          </w:tcPr>
          <w:p w14:paraId="4D1640C8">
            <w:pPr>
              <w:pStyle w:val="7"/>
              <w:rPr>
                <w:color w:val="auto"/>
                <w:highlight w:val="none"/>
              </w:rPr>
            </w:pPr>
          </w:p>
        </w:tc>
        <w:tc>
          <w:tcPr>
            <w:tcW w:w="851" w:type="dxa"/>
            <w:vAlign w:val="top"/>
          </w:tcPr>
          <w:p w14:paraId="23080940">
            <w:pPr>
              <w:pStyle w:val="7"/>
              <w:rPr>
                <w:color w:val="auto"/>
                <w:highlight w:val="none"/>
              </w:rPr>
            </w:pPr>
          </w:p>
        </w:tc>
        <w:tc>
          <w:tcPr>
            <w:tcW w:w="838" w:type="dxa"/>
            <w:vAlign w:val="top"/>
          </w:tcPr>
          <w:p w14:paraId="0C5D220E">
            <w:pPr>
              <w:pStyle w:val="7"/>
              <w:rPr>
                <w:color w:val="auto"/>
                <w:highlight w:val="none"/>
              </w:rPr>
            </w:pPr>
          </w:p>
        </w:tc>
        <w:tc>
          <w:tcPr>
            <w:tcW w:w="704" w:type="dxa"/>
            <w:vAlign w:val="top"/>
          </w:tcPr>
          <w:p w14:paraId="6BA29A9D">
            <w:pPr>
              <w:pStyle w:val="7"/>
              <w:rPr>
                <w:color w:val="auto"/>
                <w:highlight w:val="none"/>
              </w:rPr>
            </w:pPr>
          </w:p>
        </w:tc>
        <w:tc>
          <w:tcPr>
            <w:tcW w:w="986" w:type="dxa"/>
            <w:vAlign w:val="top"/>
          </w:tcPr>
          <w:p w14:paraId="6F9D737D">
            <w:pPr>
              <w:pStyle w:val="7"/>
              <w:rPr>
                <w:color w:val="auto"/>
                <w:highlight w:val="none"/>
              </w:rPr>
            </w:pPr>
          </w:p>
        </w:tc>
        <w:tc>
          <w:tcPr>
            <w:tcW w:w="703" w:type="dxa"/>
            <w:vAlign w:val="top"/>
          </w:tcPr>
          <w:p w14:paraId="3D540F3C">
            <w:pPr>
              <w:pStyle w:val="7"/>
              <w:rPr>
                <w:color w:val="auto"/>
                <w:highlight w:val="none"/>
              </w:rPr>
            </w:pPr>
          </w:p>
        </w:tc>
        <w:tc>
          <w:tcPr>
            <w:tcW w:w="576" w:type="dxa"/>
            <w:vAlign w:val="top"/>
          </w:tcPr>
          <w:p w14:paraId="11DD9F2B">
            <w:pPr>
              <w:pStyle w:val="7"/>
              <w:rPr>
                <w:color w:val="auto"/>
                <w:highlight w:val="none"/>
              </w:rPr>
            </w:pPr>
          </w:p>
        </w:tc>
      </w:tr>
      <w:tr w14:paraId="63781F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508EF3D2">
            <w:pPr>
              <w:pStyle w:val="7"/>
              <w:rPr>
                <w:color w:val="auto"/>
                <w:highlight w:val="none"/>
              </w:rPr>
            </w:pPr>
          </w:p>
        </w:tc>
        <w:tc>
          <w:tcPr>
            <w:tcW w:w="704" w:type="dxa"/>
            <w:vAlign w:val="top"/>
          </w:tcPr>
          <w:p w14:paraId="6D29166D">
            <w:pPr>
              <w:pStyle w:val="7"/>
              <w:rPr>
                <w:color w:val="auto"/>
                <w:highlight w:val="none"/>
              </w:rPr>
            </w:pPr>
          </w:p>
        </w:tc>
        <w:tc>
          <w:tcPr>
            <w:tcW w:w="562" w:type="dxa"/>
            <w:vAlign w:val="top"/>
          </w:tcPr>
          <w:p w14:paraId="70E564D0">
            <w:pPr>
              <w:pStyle w:val="7"/>
              <w:rPr>
                <w:color w:val="auto"/>
                <w:highlight w:val="none"/>
              </w:rPr>
            </w:pPr>
          </w:p>
        </w:tc>
        <w:tc>
          <w:tcPr>
            <w:tcW w:w="1011" w:type="dxa"/>
            <w:vAlign w:val="top"/>
          </w:tcPr>
          <w:p w14:paraId="73222D8B">
            <w:pPr>
              <w:pStyle w:val="7"/>
              <w:rPr>
                <w:color w:val="auto"/>
                <w:highlight w:val="none"/>
              </w:rPr>
            </w:pPr>
          </w:p>
        </w:tc>
        <w:tc>
          <w:tcPr>
            <w:tcW w:w="960" w:type="dxa"/>
            <w:vAlign w:val="top"/>
          </w:tcPr>
          <w:p w14:paraId="78D73521">
            <w:pPr>
              <w:pStyle w:val="7"/>
              <w:rPr>
                <w:color w:val="auto"/>
                <w:highlight w:val="none"/>
              </w:rPr>
            </w:pPr>
          </w:p>
        </w:tc>
        <w:tc>
          <w:tcPr>
            <w:tcW w:w="851" w:type="dxa"/>
            <w:vAlign w:val="top"/>
          </w:tcPr>
          <w:p w14:paraId="5150E928">
            <w:pPr>
              <w:pStyle w:val="7"/>
              <w:rPr>
                <w:color w:val="auto"/>
                <w:highlight w:val="none"/>
              </w:rPr>
            </w:pPr>
          </w:p>
        </w:tc>
        <w:tc>
          <w:tcPr>
            <w:tcW w:w="838" w:type="dxa"/>
            <w:vAlign w:val="top"/>
          </w:tcPr>
          <w:p w14:paraId="4CAF2231">
            <w:pPr>
              <w:pStyle w:val="7"/>
              <w:rPr>
                <w:color w:val="auto"/>
                <w:highlight w:val="none"/>
              </w:rPr>
            </w:pPr>
          </w:p>
        </w:tc>
        <w:tc>
          <w:tcPr>
            <w:tcW w:w="704" w:type="dxa"/>
            <w:vAlign w:val="top"/>
          </w:tcPr>
          <w:p w14:paraId="611CEA98">
            <w:pPr>
              <w:pStyle w:val="7"/>
              <w:rPr>
                <w:color w:val="auto"/>
                <w:highlight w:val="none"/>
              </w:rPr>
            </w:pPr>
          </w:p>
        </w:tc>
        <w:tc>
          <w:tcPr>
            <w:tcW w:w="986" w:type="dxa"/>
            <w:vAlign w:val="top"/>
          </w:tcPr>
          <w:p w14:paraId="359B67B7">
            <w:pPr>
              <w:pStyle w:val="7"/>
              <w:rPr>
                <w:color w:val="auto"/>
                <w:highlight w:val="none"/>
              </w:rPr>
            </w:pPr>
          </w:p>
        </w:tc>
        <w:tc>
          <w:tcPr>
            <w:tcW w:w="703" w:type="dxa"/>
            <w:vAlign w:val="top"/>
          </w:tcPr>
          <w:p w14:paraId="17EDB60C">
            <w:pPr>
              <w:pStyle w:val="7"/>
              <w:rPr>
                <w:color w:val="auto"/>
                <w:highlight w:val="none"/>
              </w:rPr>
            </w:pPr>
          </w:p>
        </w:tc>
        <w:tc>
          <w:tcPr>
            <w:tcW w:w="576" w:type="dxa"/>
            <w:vAlign w:val="top"/>
          </w:tcPr>
          <w:p w14:paraId="4723731B">
            <w:pPr>
              <w:pStyle w:val="7"/>
              <w:rPr>
                <w:color w:val="auto"/>
                <w:highlight w:val="none"/>
              </w:rPr>
            </w:pPr>
          </w:p>
        </w:tc>
      </w:tr>
      <w:tr w14:paraId="4DD0B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30B39832">
            <w:pPr>
              <w:pStyle w:val="7"/>
              <w:rPr>
                <w:color w:val="auto"/>
                <w:highlight w:val="none"/>
              </w:rPr>
            </w:pPr>
          </w:p>
        </w:tc>
        <w:tc>
          <w:tcPr>
            <w:tcW w:w="704" w:type="dxa"/>
            <w:vAlign w:val="top"/>
          </w:tcPr>
          <w:p w14:paraId="6E60CB58">
            <w:pPr>
              <w:pStyle w:val="7"/>
              <w:rPr>
                <w:color w:val="auto"/>
                <w:highlight w:val="none"/>
              </w:rPr>
            </w:pPr>
          </w:p>
        </w:tc>
        <w:tc>
          <w:tcPr>
            <w:tcW w:w="562" w:type="dxa"/>
            <w:vAlign w:val="top"/>
          </w:tcPr>
          <w:p w14:paraId="69D9D81C">
            <w:pPr>
              <w:pStyle w:val="7"/>
              <w:rPr>
                <w:color w:val="auto"/>
                <w:highlight w:val="none"/>
              </w:rPr>
            </w:pPr>
          </w:p>
        </w:tc>
        <w:tc>
          <w:tcPr>
            <w:tcW w:w="1011" w:type="dxa"/>
            <w:vAlign w:val="top"/>
          </w:tcPr>
          <w:p w14:paraId="6F9745C4">
            <w:pPr>
              <w:pStyle w:val="7"/>
              <w:rPr>
                <w:color w:val="auto"/>
                <w:highlight w:val="none"/>
              </w:rPr>
            </w:pPr>
          </w:p>
        </w:tc>
        <w:tc>
          <w:tcPr>
            <w:tcW w:w="960" w:type="dxa"/>
            <w:vAlign w:val="top"/>
          </w:tcPr>
          <w:p w14:paraId="59379244">
            <w:pPr>
              <w:pStyle w:val="7"/>
              <w:rPr>
                <w:color w:val="auto"/>
                <w:highlight w:val="none"/>
              </w:rPr>
            </w:pPr>
          </w:p>
        </w:tc>
        <w:tc>
          <w:tcPr>
            <w:tcW w:w="851" w:type="dxa"/>
            <w:vAlign w:val="top"/>
          </w:tcPr>
          <w:p w14:paraId="1C146BC5">
            <w:pPr>
              <w:pStyle w:val="7"/>
              <w:rPr>
                <w:color w:val="auto"/>
                <w:highlight w:val="none"/>
              </w:rPr>
            </w:pPr>
          </w:p>
        </w:tc>
        <w:tc>
          <w:tcPr>
            <w:tcW w:w="838" w:type="dxa"/>
            <w:vAlign w:val="top"/>
          </w:tcPr>
          <w:p w14:paraId="1D00D2D6">
            <w:pPr>
              <w:pStyle w:val="7"/>
              <w:rPr>
                <w:color w:val="auto"/>
                <w:highlight w:val="none"/>
              </w:rPr>
            </w:pPr>
          </w:p>
        </w:tc>
        <w:tc>
          <w:tcPr>
            <w:tcW w:w="704" w:type="dxa"/>
            <w:vAlign w:val="top"/>
          </w:tcPr>
          <w:p w14:paraId="24EA9302">
            <w:pPr>
              <w:pStyle w:val="7"/>
              <w:rPr>
                <w:color w:val="auto"/>
                <w:highlight w:val="none"/>
              </w:rPr>
            </w:pPr>
          </w:p>
        </w:tc>
        <w:tc>
          <w:tcPr>
            <w:tcW w:w="986" w:type="dxa"/>
            <w:vAlign w:val="top"/>
          </w:tcPr>
          <w:p w14:paraId="19C4119D">
            <w:pPr>
              <w:pStyle w:val="7"/>
              <w:rPr>
                <w:color w:val="auto"/>
                <w:highlight w:val="none"/>
              </w:rPr>
            </w:pPr>
          </w:p>
        </w:tc>
        <w:tc>
          <w:tcPr>
            <w:tcW w:w="703" w:type="dxa"/>
            <w:vAlign w:val="top"/>
          </w:tcPr>
          <w:p w14:paraId="4EBB9A02">
            <w:pPr>
              <w:pStyle w:val="7"/>
              <w:rPr>
                <w:color w:val="auto"/>
                <w:highlight w:val="none"/>
              </w:rPr>
            </w:pPr>
          </w:p>
        </w:tc>
        <w:tc>
          <w:tcPr>
            <w:tcW w:w="576" w:type="dxa"/>
            <w:vAlign w:val="top"/>
          </w:tcPr>
          <w:p w14:paraId="141232B9">
            <w:pPr>
              <w:pStyle w:val="7"/>
              <w:rPr>
                <w:color w:val="auto"/>
                <w:highlight w:val="none"/>
              </w:rPr>
            </w:pPr>
          </w:p>
        </w:tc>
      </w:tr>
      <w:tr w14:paraId="6FCB4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08272B36">
            <w:pPr>
              <w:pStyle w:val="7"/>
              <w:rPr>
                <w:color w:val="auto"/>
                <w:highlight w:val="none"/>
              </w:rPr>
            </w:pPr>
          </w:p>
        </w:tc>
        <w:tc>
          <w:tcPr>
            <w:tcW w:w="704" w:type="dxa"/>
            <w:vAlign w:val="top"/>
          </w:tcPr>
          <w:p w14:paraId="322794E6">
            <w:pPr>
              <w:pStyle w:val="7"/>
              <w:rPr>
                <w:color w:val="auto"/>
                <w:highlight w:val="none"/>
              </w:rPr>
            </w:pPr>
          </w:p>
        </w:tc>
        <w:tc>
          <w:tcPr>
            <w:tcW w:w="562" w:type="dxa"/>
            <w:vAlign w:val="top"/>
          </w:tcPr>
          <w:p w14:paraId="71C38D5B">
            <w:pPr>
              <w:pStyle w:val="7"/>
              <w:rPr>
                <w:color w:val="auto"/>
                <w:highlight w:val="none"/>
              </w:rPr>
            </w:pPr>
          </w:p>
        </w:tc>
        <w:tc>
          <w:tcPr>
            <w:tcW w:w="1011" w:type="dxa"/>
            <w:vAlign w:val="top"/>
          </w:tcPr>
          <w:p w14:paraId="3D626781">
            <w:pPr>
              <w:pStyle w:val="7"/>
              <w:rPr>
                <w:color w:val="auto"/>
                <w:highlight w:val="none"/>
              </w:rPr>
            </w:pPr>
          </w:p>
        </w:tc>
        <w:tc>
          <w:tcPr>
            <w:tcW w:w="960" w:type="dxa"/>
            <w:vAlign w:val="top"/>
          </w:tcPr>
          <w:p w14:paraId="7E8B2930">
            <w:pPr>
              <w:pStyle w:val="7"/>
              <w:rPr>
                <w:color w:val="auto"/>
                <w:highlight w:val="none"/>
              </w:rPr>
            </w:pPr>
          </w:p>
        </w:tc>
        <w:tc>
          <w:tcPr>
            <w:tcW w:w="851" w:type="dxa"/>
            <w:vAlign w:val="top"/>
          </w:tcPr>
          <w:p w14:paraId="0A7F6A1A">
            <w:pPr>
              <w:pStyle w:val="7"/>
              <w:rPr>
                <w:color w:val="auto"/>
                <w:highlight w:val="none"/>
              </w:rPr>
            </w:pPr>
          </w:p>
        </w:tc>
        <w:tc>
          <w:tcPr>
            <w:tcW w:w="838" w:type="dxa"/>
            <w:vAlign w:val="top"/>
          </w:tcPr>
          <w:p w14:paraId="3DCBAD53">
            <w:pPr>
              <w:pStyle w:val="7"/>
              <w:rPr>
                <w:color w:val="auto"/>
                <w:highlight w:val="none"/>
              </w:rPr>
            </w:pPr>
          </w:p>
        </w:tc>
        <w:tc>
          <w:tcPr>
            <w:tcW w:w="704" w:type="dxa"/>
            <w:vAlign w:val="top"/>
          </w:tcPr>
          <w:p w14:paraId="03A393AA">
            <w:pPr>
              <w:pStyle w:val="7"/>
              <w:rPr>
                <w:color w:val="auto"/>
                <w:highlight w:val="none"/>
              </w:rPr>
            </w:pPr>
          </w:p>
        </w:tc>
        <w:tc>
          <w:tcPr>
            <w:tcW w:w="986" w:type="dxa"/>
            <w:vAlign w:val="top"/>
          </w:tcPr>
          <w:p w14:paraId="36871027">
            <w:pPr>
              <w:pStyle w:val="7"/>
              <w:rPr>
                <w:color w:val="auto"/>
                <w:highlight w:val="none"/>
              </w:rPr>
            </w:pPr>
          </w:p>
        </w:tc>
        <w:tc>
          <w:tcPr>
            <w:tcW w:w="703" w:type="dxa"/>
            <w:vAlign w:val="top"/>
          </w:tcPr>
          <w:p w14:paraId="693306D4">
            <w:pPr>
              <w:pStyle w:val="7"/>
              <w:rPr>
                <w:color w:val="auto"/>
                <w:highlight w:val="none"/>
              </w:rPr>
            </w:pPr>
          </w:p>
        </w:tc>
        <w:tc>
          <w:tcPr>
            <w:tcW w:w="576" w:type="dxa"/>
            <w:vAlign w:val="top"/>
          </w:tcPr>
          <w:p w14:paraId="34F9DC4D">
            <w:pPr>
              <w:pStyle w:val="7"/>
              <w:rPr>
                <w:color w:val="auto"/>
                <w:highlight w:val="none"/>
              </w:rPr>
            </w:pPr>
          </w:p>
        </w:tc>
      </w:tr>
      <w:tr w14:paraId="4988A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037D2B0F">
            <w:pPr>
              <w:pStyle w:val="7"/>
              <w:rPr>
                <w:color w:val="auto"/>
                <w:highlight w:val="none"/>
              </w:rPr>
            </w:pPr>
          </w:p>
        </w:tc>
        <w:tc>
          <w:tcPr>
            <w:tcW w:w="704" w:type="dxa"/>
            <w:vAlign w:val="top"/>
          </w:tcPr>
          <w:p w14:paraId="52D4141B">
            <w:pPr>
              <w:pStyle w:val="7"/>
              <w:rPr>
                <w:color w:val="auto"/>
                <w:highlight w:val="none"/>
              </w:rPr>
            </w:pPr>
          </w:p>
        </w:tc>
        <w:tc>
          <w:tcPr>
            <w:tcW w:w="562" w:type="dxa"/>
            <w:vAlign w:val="top"/>
          </w:tcPr>
          <w:p w14:paraId="597DBBE6">
            <w:pPr>
              <w:pStyle w:val="7"/>
              <w:rPr>
                <w:color w:val="auto"/>
                <w:highlight w:val="none"/>
              </w:rPr>
            </w:pPr>
          </w:p>
        </w:tc>
        <w:tc>
          <w:tcPr>
            <w:tcW w:w="1011" w:type="dxa"/>
            <w:vAlign w:val="top"/>
          </w:tcPr>
          <w:p w14:paraId="5EAA2828">
            <w:pPr>
              <w:pStyle w:val="7"/>
              <w:rPr>
                <w:color w:val="auto"/>
                <w:highlight w:val="none"/>
              </w:rPr>
            </w:pPr>
          </w:p>
        </w:tc>
        <w:tc>
          <w:tcPr>
            <w:tcW w:w="960" w:type="dxa"/>
            <w:vAlign w:val="top"/>
          </w:tcPr>
          <w:p w14:paraId="6859C87E">
            <w:pPr>
              <w:pStyle w:val="7"/>
              <w:rPr>
                <w:color w:val="auto"/>
                <w:highlight w:val="none"/>
              </w:rPr>
            </w:pPr>
          </w:p>
        </w:tc>
        <w:tc>
          <w:tcPr>
            <w:tcW w:w="851" w:type="dxa"/>
            <w:vAlign w:val="top"/>
          </w:tcPr>
          <w:p w14:paraId="1DDA2AEF">
            <w:pPr>
              <w:pStyle w:val="7"/>
              <w:rPr>
                <w:color w:val="auto"/>
                <w:highlight w:val="none"/>
              </w:rPr>
            </w:pPr>
          </w:p>
        </w:tc>
        <w:tc>
          <w:tcPr>
            <w:tcW w:w="838" w:type="dxa"/>
            <w:vAlign w:val="top"/>
          </w:tcPr>
          <w:p w14:paraId="21EA7858">
            <w:pPr>
              <w:pStyle w:val="7"/>
              <w:rPr>
                <w:color w:val="auto"/>
                <w:highlight w:val="none"/>
              </w:rPr>
            </w:pPr>
          </w:p>
        </w:tc>
        <w:tc>
          <w:tcPr>
            <w:tcW w:w="704" w:type="dxa"/>
            <w:vAlign w:val="top"/>
          </w:tcPr>
          <w:p w14:paraId="65F6D0FC">
            <w:pPr>
              <w:pStyle w:val="7"/>
              <w:rPr>
                <w:color w:val="auto"/>
                <w:highlight w:val="none"/>
              </w:rPr>
            </w:pPr>
          </w:p>
        </w:tc>
        <w:tc>
          <w:tcPr>
            <w:tcW w:w="986" w:type="dxa"/>
            <w:vAlign w:val="top"/>
          </w:tcPr>
          <w:p w14:paraId="5B13133D">
            <w:pPr>
              <w:pStyle w:val="7"/>
              <w:rPr>
                <w:color w:val="auto"/>
                <w:highlight w:val="none"/>
              </w:rPr>
            </w:pPr>
          </w:p>
        </w:tc>
        <w:tc>
          <w:tcPr>
            <w:tcW w:w="703" w:type="dxa"/>
            <w:vAlign w:val="top"/>
          </w:tcPr>
          <w:p w14:paraId="682A5F61">
            <w:pPr>
              <w:pStyle w:val="7"/>
              <w:rPr>
                <w:color w:val="auto"/>
                <w:highlight w:val="none"/>
              </w:rPr>
            </w:pPr>
          </w:p>
        </w:tc>
        <w:tc>
          <w:tcPr>
            <w:tcW w:w="576" w:type="dxa"/>
            <w:vAlign w:val="top"/>
          </w:tcPr>
          <w:p w14:paraId="5226E9AC">
            <w:pPr>
              <w:pStyle w:val="7"/>
              <w:rPr>
                <w:color w:val="auto"/>
                <w:highlight w:val="none"/>
              </w:rPr>
            </w:pPr>
          </w:p>
        </w:tc>
      </w:tr>
      <w:tr w14:paraId="50A757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2C0EA8F9">
            <w:pPr>
              <w:pStyle w:val="7"/>
              <w:rPr>
                <w:color w:val="auto"/>
                <w:highlight w:val="none"/>
              </w:rPr>
            </w:pPr>
          </w:p>
        </w:tc>
        <w:tc>
          <w:tcPr>
            <w:tcW w:w="704" w:type="dxa"/>
            <w:vAlign w:val="top"/>
          </w:tcPr>
          <w:p w14:paraId="58C7E334">
            <w:pPr>
              <w:pStyle w:val="7"/>
              <w:rPr>
                <w:color w:val="auto"/>
                <w:highlight w:val="none"/>
              </w:rPr>
            </w:pPr>
          </w:p>
        </w:tc>
        <w:tc>
          <w:tcPr>
            <w:tcW w:w="562" w:type="dxa"/>
            <w:vAlign w:val="top"/>
          </w:tcPr>
          <w:p w14:paraId="5465097A">
            <w:pPr>
              <w:pStyle w:val="7"/>
              <w:rPr>
                <w:color w:val="auto"/>
                <w:highlight w:val="none"/>
              </w:rPr>
            </w:pPr>
          </w:p>
        </w:tc>
        <w:tc>
          <w:tcPr>
            <w:tcW w:w="1011" w:type="dxa"/>
            <w:vAlign w:val="top"/>
          </w:tcPr>
          <w:p w14:paraId="4ADF58CF">
            <w:pPr>
              <w:pStyle w:val="7"/>
              <w:rPr>
                <w:color w:val="auto"/>
                <w:highlight w:val="none"/>
              </w:rPr>
            </w:pPr>
          </w:p>
        </w:tc>
        <w:tc>
          <w:tcPr>
            <w:tcW w:w="960" w:type="dxa"/>
            <w:vAlign w:val="top"/>
          </w:tcPr>
          <w:p w14:paraId="236D38AF">
            <w:pPr>
              <w:pStyle w:val="7"/>
              <w:rPr>
                <w:color w:val="auto"/>
                <w:highlight w:val="none"/>
              </w:rPr>
            </w:pPr>
          </w:p>
        </w:tc>
        <w:tc>
          <w:tcPr>
            <w:tcW w:w="851" w:type="dxa"/>
            <w:vAlign w:val="top"/>
          </w:tcPr>
          <w:p w14:paraId="3EA44475">
            <w:pPr>
              <w:pStyle w:val="7"/>
              <w:rPr>
                <w:color w:val="auto"/>
                <w:highlight w:val="none"/>
              </w:rPr>
            </w:pPr>
          </w:p>
        </w:tc>
        <w:tc>
          <w:tcPr>
            <w:tcW w:w="838" w:type="dxa"/>
            <w:vAlign w:val="top"/>
          </w:tcPr>
          <w:p w14:paraId="482042EE">
            <w:pPr>
              <w:pStyle w:val="7"/>
              <w:rPr>
                <w:color w:val="auto"/>
                <w:highlight w:val="none"/>
              </w:rPr>
            </w:pPr>
          </w:p>
        </w:tc>
        <w:tc>
          <w:tcPr>
            <w:tcW w:w="704" w:type="dxa"/>
            <w:vAlign w:val="top"/>
          </w:tcPr>
          <w:p w14:paraId="2C1332F2">
            <w:pPr>
              <w:pStyle w:val="7"/>
              <w:rPr>
                <w:color w:val="auto"/>
                <w:highlight w:val="none"/>
              </w:rPr>
            </w:pPr>
          </w:p>
        </w:tc>
        <w:tc>
          <w:tcPr>
            <w:tcW w:w="986" w:type="dxa"/>
            <w:vAlign w:val="top"/>
          </w:tcPr>
          <w:p w14:paraId="3F4D8A84">
            <w:pPr>
              <w:pStyle w:val="7"/>
              <w:rPr>
                <w:color w:val="auto"/>
                <w:highlight w:val="none"/>
              </w:rPr>
            </w:pPr>
          </w:p>
        </w:tc>
        <w:tc>
          <w:tcPr>
            <w:tcW w:w="703" w:type="dxa"/>
            <w:vAlign w:val="top"/>
          </w:tcPr>
          <w:p w14:paraId="2B7F6744">
            <w:pPr>
              <w:pStyle w:val="7"/>
              <w:rPr>
                <w:color w:val="auto"/>
                <w:highlight w:val="none"/>
              </w:rPr>
            </w:pPr>
          </w:p>
        </w:tc>
        <w:tc>
          <w:tcPr>
            <w:tcW w:w="576" w:type="dxa"/>
            <w:vAlign w:val="top"/>
          </w:tcPr>
          <w:p w14:paraId="0B61A7F7">
            <w:pPr>
              <w:pStyle w:val="7"/>
              <w:rPr>
                <w:color w:val="auto"/>
                <w:highlight w:val="none"/>
              </w:rPr>
            </w:pPr>
          </w:p>
        </w:tc>
      </w:tr>
      <w:tr w14:paraId="6EB1A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471" w:type="dxa"/>
            <w:vAlign w:val="top"/>
          </w:tcPr>
          <w:p w14:paraId="17EBB6D0">
            <w:pPr>
              <w:pStyle w:val="7"/>
              <w:rPr>
                <w:color w:val="auto"/>
                <w:highlight w:val="none"/>
              </w:rPr>
            </w:pPr>
          </w:p>
        </w:tc>
        <w:tc>
          <w:tcPr>
            <w:tcW w:w="704" w:type="dxa"/>
            <w:vAlign w:val="top"/>
          </w:tcPr>
          <w:p w14:paraId="4FAAD872">
            <w:pPr>
              <w:pStyle w:val="7"/>
              <w:rPr>
                <w:color w:val="auto"/>
                <w:highlight w:val="none"/>
              </w:rPr>
            </w:pPr>
          </w:p>
        </w:tc>
        <w:tc>
          <w:tcPr>
            <w:tcW w:w="562" w:type="dxa"/>
            <w:vAlign w:val="top"/>
          </w:tcPr>
          <w:p w14:paraId="2C205A94">
            <w:pPr>
              <w:pStyle w:val="7"/>
              <w:rPr>
                <w:color w:val="auto"/>
                <w:highlight w:val="none"/>
              </w:rPr>
            </w:pPr>
          </w:p>
        </w:tc>
        <w:tc>
          <w:tcPr>
            <w:tcW w:w="1011" w:type="dxa"/>
            <w:vAlign w:val="top"/>
          </w:tcPr>
          <w:p w14:paraId="6C22CFE3">
            <w:pPr>
              <w:pStyle w:val="7"/>
              <w:rPr>
                <w:color w:val="auto"/>
                <w:highlight w:val="none"/>
              </w:rPr>
            </w:pPr>
          </w:p>
        </w:tc>
        <w:tc>
          <w:tcPr>
            <w:tcW w:w="960" w:type="dxa"/>
            <w:vAlign w:val="top"/>
          </w:tcPr>
          <w:p w14:paraId="278912C9">
            <w:pPr>
              <w:pStyle w:val="7"/>
              <w:rPr>
                <w:color w:val="auto"/>
                <w:highlight w:val="none"/>
              </w:rPr>
            </w:pPr>
          </w:p>
        </w:tc>
        <w:tc>
          <w:tcPr>
            <w:tcW w:w="851" w:type="dxa"/>
            <w:vAlign w:val="top"/>
          </w:tcPr>
          <w:p w14:paraId="4D692E74">
            <w:pPr>
              <w:pStyle w:val="7"/>
              <w:rPr>
                <w:color w:val="auto"/>
                <w:highlight w:val="none"/>
              </w:rPr>
            </w:pPr>
          </w:p>
        </w:tc>
        <w:tc>
          <w:tcPr>
            <w:tcW w:w="838" w:type="dxa"/>
            <w:vAlign w:val="top"/>
          </w:tcPr>
          <w:p w14:paraId="5AF7FC1A">
            <w:pPr>
              <w:pStyle w:val="7"/>
              <w:rPr>
                <w:color w:val="auto"/>
                <w:highlight w:val="none"/>
              </w:rPr>
            </w:pPr>
          </w:p>
        </w:tc>
        <w:tc>
          <w:tcPr>
            <w:tcW w:w="704" w:type="dxa"/>
            <w:vAlign w:val="top"/>
          </w:tcPr>
          <w:p w14:paraId="7F244BE6">
            <w:pPr>
              <w:pStyle w:val="7"/>
              <w:rPr>
                <w:color w:val="auto"/>
                <w:highlight w:val="none"/>
              </w:rPr>
            </w:pPr>
          </w:p>
        </w:tc>
        <w:tc>
          <w:tcPr>
            <w:tcW w:w="986" w:type="dxa"/>
            <w:vAlign w:val="top"/>
          </w:tcPr>
          <w:p w14:paraId="786E1E61">
            <w:pPr>
              <w:pStyle w:val="7"/>
              <w:rPr>
                <w:color w:val="auto"/>
                <w:highlight w:val="none"/>
              </w:rPr>
            </w:pPr>
          </w:p>
        </w:tc>
        <w:tc>
          <w:tcPr>
            <w:tcW w:w="703" w:type="dxa"/>
            <w:vAlign w:val="top"/>
          </w:tcPr>
          <w:p w14:paraId="06F4F265">
            <w:pPr>
              <w:pStyle w:val="7"/>
              <w:rPr>
                <w:color w:val="auto"/>
                <w:highlight w:val="none"/>
              </w:rPr>
            </w:pPr>
          </w:p>
        </w:tc>
        <w:tc>
          <w:tcPr>
            <w:tcW w:w="576" w:type="dxa"/>
            <w:vAlign w:val="top"/>
          </w:tcPr>
          <w:p w14:paraId="3292FFA4">
            <w:pPr>
              <w:pStyle w:val="7"/>
              <w:rPr>
                <w:color w:val="auto"/>
                <w:highlight w:val="none"/>
              </w:rPr>
            </w:pPr>
          </w:p>
        </w:tc>
      </w:tr>
      <w:tr w14:paraId="642B1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471" w:type="dxa"/>
            <w:vAlign w:val="top"/>
          </w:tcPr>
          <w:p w14:paraId="73493270">
            <w:pPr>
              <w:pStyle w:val="7"/>
              <w:rPr>
                <w:color w:val="auto"/>
                <w:highlight w:val="none"/>
              </w:rPr>
            </w:pPr>
          </w:p>
        </w:tc>
        <w:tc>
          <w:tcPr>
            <w:tcW w:w="704" w:type="dxa"/>
            <w:vAlign w:val="top"/>
          </w:tcPr>
          <w:p w14:paraId="208B0D9E">
            <w:pPr>
              <w:pStyle w:val="7"/>
              <w:rPr>
                <w:color w:val="auto"/>
                <w:highlight w:val="none"/>
              </w:rPr>
            </w:pPr>
          </w:p>
        </w:tc>
        <w:tc>
          <w:tcPr>
            <w:tcW w:w="562" w:type="dxa"/>
            <w:vAlign w:val="top"/>
          </w:tcPr>
          <w:p w14:paraId="0944D860">
            <w:pPr>
              <w:pStyle w:val="7"/>
              <w:rPr>
                <w:color w:val="auto"/>
                <w:highlight w:val="none"/>
              </w:rPr>
            </w:pPr>
          </w:p>
        </w:tc>
        <w:tc>
          <w:tcPr>
            <w:tcW w:w="1011" w:type="dxa"/>
            <w:vAlign w:val="top"/>
          </w:tcPr>
          <w:p w14:paraId="6FEC0FDE">
            <w:pPr>
              <w:pStyle w:val="7"/>
              <w:rPr>
                <w:color w:val="auto"/>
                <w:highlight w:val="none"/>
              </w:rPr>
            </w:pPr>
          </w:p>
        </w:tc>
        <w:tc>
          <w:tcPr>
            <w:tcW w:w="960" w:type="dxa"/>
            <w:vAlign w:val="top"/>
          </w:tcPr>
          <w:p w14:paraId="59C3550F">
            <w:pPr>
              <w:pStyle w:val="7"/>
              <w:rPr>
                <w:color w:val="auto"/>
                <w:highlight w:val="none"/>
              </w:rPr>
            </w:pPr>
          </w:p>
        </w:tc>
        <w:tc>
          <w:tcPr>
            <w:tcW w:w="851" w:type="dxa"/>
            <w:vAlign w:val="top"/>
          </w:tcPr>
          <w:p w14:paraId="37A0B421">
            <w:pPr>
              <w:pStyle w:val="7"/>
              <w:rPr>
                <w:color w:val="auto"/>
                <w:highlight w:val="none"/>
              </w:rPr>
            </w:pPr>
          </w:p>
        </w:tc>
        <w:tc>
          <w:tcPr>
            <w:tcW w:w="838" w:type="dxa"/>
            <w:vAlign w:val="top"/>
          </w:tcPr>
          <w:p w14:paraId="3E9DDC5A">
            <w:pPr>
              <w:pStyle w:val="7"/>
              <w:rPr>
                <w:color w:val="auto"/>
                <w:highlight w:val="none"/>
              </w:rPr>
            </w:pPr>
          </w:p>
        </w:tc>
        <w:tc>
          <w:tcPr>
            <w:tcW w:w="704" w:type="dxa"/>
            <w:vAlign w:val="top"/>
          </w:tcPr>
          <w:p w14:paraId="45C8D66A">
            <w:pPr>
              <w:pStyle w:val="7"/>
              <w:rPr>
                <w:color w:val="auto"/>
                <w:highlight w:val="none"/>
              </w:rPr>
            </w:pPr>
          </w:p>
        </w:tc>
        <w:tc>
          <w:tcPr>
            <w:tcW w:w="986" w:type="dxa"/>
            <w:vAlign w:val="top"/>
          </w:tcPr>
          <w:p w14:paraId="04525FB1">
            <w:pPr>
              <w:pStyle w:val="7"/>
              <w:rPr>
                <w:color w:val="auto"/>
                <w:highlight w:val="none"/>
              </w:rPr>
            </w:pPr>
          </w:p>
        </w:tc>
        <w:tc>
          <w:tcPr>
            <w:tcW w:w="703" w:type="dxa"/>
            <w:vAlign w:val="top"/>
          </w:tcPr>
          <w:p w14:paraId="7C08A337">
            <w:pPr>
              <w:pStyle w:val="7"/>
              <w:rPr>
                <w:color w:val="auto"/>
                <w:highlight w:val="none"/>
              </w:rPr>
            </w:pPr>
          </w:p>
        </w:tc>
        <w:tc>
          <w:tcPr>
            <w:tcW w:w="576" w:type="dxa"/>
            <w:vAlign w:val="top"/>
          </w:tcPr>
          <w:p w14:paraId="098E17D4">
            <w:pPr>
              <w:pStyle w:val="7"/>
              <w:rPr>
                <w:color w:val="auto"/>
                <w:highlight w:val="none"/>
              </w:rPr>
            </w:pPr>
          </w:p>
        </w:tc>
      </w:tr>
    </w:tbl>
    <w:p w14:paraId="7D5C9449">
      <w:pPr>
        <w:pStyle w:val="3"/>
        <w:rPr>
          <w:color w:val="auto"/>
          <w:highlight w:val="none"/>
        </w:rPr>
      </w:pPr>
    </w:p>
    <w:p w14:paraId="3455BFAF">
      <w:pPr>
        <w:rPr>
          <w:color w:val="auto"/>
          <w:highlight w:val="none"/>
        </w:rPr>
        <w:sectPr>
          <w:pgSz w:w="11906" w:h="16839"/>
          <w:pgMar w:top="1431" w:right="1764" w:bottom="400" w:left="1764" w:header="0" w:footer="0" w:gutter="0"/>
          <w:pgBorders>
            <w:top w:val="none" w:sz="0" w:space="0"/>
            <w:left w:val="none" w:sz="0" w:space="0"/>
            <w:bottom w:val="none" w:sz="0" w:space="0"/>
            <w:right w:val="none" w:sz="0" w:space="0"/>
          </w:pgBorders>
          <w:cols w:space="720" w:num="1"/>
        </w:sectPr>
      </w:pPr>
    </w:p>
    <w:p w14:paraId="24B0D131">
      <w:pPr>
        <w:spacing w:before="318" w:line="224" w:lineRule="auto"/>
        <w:ind w:left="72"/>
        <w:outlineLvl w:val="0"/>
        <w:rPr>
          <w:rFonts w:ascii="宋体" w:hAnsi="宋体" w:eastAsia="宋体" w:cs="宋体"/>
          <w:color w:val="auto"/>
          <w:sz w:val="31"/>
          <w:szCs w:val="31"/>
          <w:highlight w:val="none"/>
        </w:rPr>
      </w:pPr>
      <w:bookmarkStart w:id="31" w:name="bookmark19"/>
      <w:bookmarkEnd w:id="31"/>
      <w:bookmarkStart w:id="32" w:name="bookmark20"/>
      <w:bookmarkEnd w:id="32"/>
      <w:r>
        <w:rPr>
          <w:rFonts w:ascii="宋体" w:hAnsi="宋体" w:eastAsia="宋体" w:cs="宋体"/>
          <w:b/>
          <w:bCs/>
          <w:color w:val="auto"/>
          <w:spacing w:val="-1"/>
          <w:sz w:val="31"/>
          <w:szCs w:val="31"/>
          <w:highlight w:val="none"/>
        </w:rPr>
        <w:t>附件</w:t>
      </w:r>
      <w:r>
        <w:rPr>
          <w:rFonts w:ascii="宋体" w:hAnsi="宋体" w:eastAsia="宋体" w:cs="宋体"/>
          <w:color w:val="auto"/>
          <w:spacing w:val="-34"/>
          <w:sz w:val="31"/>
          <w:szCs w:val="31"/>
          <w:highlight w:val="none"/>
        </w:rPr>
        <w:t xml:space="preserve"> </w:t>
      </w:r>
      <w:r>
        <w:rPr>
          <w:rFonts w:ascii="宋体" w:hAnsi="宋体" w:eastAsia="宋体" w:cs="宋体"/>
          <w:b/>
          <w:bCs/>
          <w:color w:val="auto"/>
          <w:spacing w:val="-1"/>
          <w:sz w:val="31"/>
          <w:szCs w:val="31"/>
          <w:highlight w:val="none"/>
        </w:rPr>
        <w:t>10</w:t>
      </w:r>
      <w:r>
        <w:rPr>
          <w:rFonts w:ascii="宋体" w:hAnsi="宋体" w:eastAsia="宋体" w:cs="宋体"/>
          <w:color w:val="auto"/>
          <w:spacing w:val="-1"/>
          <w:sz w:val="31"/>
          <w:szCs w:val="31"/>
          <w:highlight w:val="none"/>
        </w:rPr>
        <w:t xml:space="preserve">  </w:t>
      </w:r>
      <w:r>
        <w:rPr>
          <w:rFonts w:ascii="宋体" w:hAnsi="宋体" w:eastAsia="宋体" w:cs="宋体"/>
          <w:b/>
          <w:bCs/>
          <w:color w:val="auto"/>
          <w:spacing w:val="-1"/>
          <w:sz w:val="31"/>
          <w:szCs w:val="31"/>
          <w:highlight w:val="none"/>
        </w:rPr>
        <w:t>技术差异表</w:t>
      </w:r>
    </w:p>
    <w:p w14:paraId="55521590">
      <w:pPr>
        <w:pStyle w:val="3"/>
        <w:spacing w:line="311" w:lineRule="auto"/>
        <w:rPr>
          <w:color w:val="auto"/>
          <w:highlight w:val="none"/>
        </w:rPr>
      </w:pPr>
    </w:p>
    <w:p w14:paraId="732E194C">
      <w:pPr>
        <w:spacing w:before="65" w:line="418" w:lineRule="auto"/>
        <w:ind w:left="42" w:right="37" w:firstLine="483"/>
        <w:rPr>
          <w:rFonts w:ascii="宋体" w:hAnsi="宋体" w:eastAsia="宋体" w:cs="宋体"/>
          <w:color w:val="auto"/>
          <w:sz w:val="20"/>
          <w:szCs w:val="20"/>
          <w:highlight w:val="none"/>
        </w:rPr>
      </w:pPr>
      <w:r>
        <w:rPr>
          <w:rFonts w:ascii="宋体" w:hAnsi="宋体" w:eastAsia="宋体" w:cs="宋体"/>
          <w:color w:val="auto"/>
          <w:spacing w:val="11"/>
          <w:sz w:val="20"/>
          <w:szCs w:val="20"/>
          <w:highlight w:val="none"/>
        </w:rPr>
        <w:t>投标人要将投标文件和招标文件的差异之处汇集成表。技术部分和商务部分要单独列</w:t>
      </w:r>
      <w:r>
        <w:rPr>
          <w:rFonts w:ascii="宋体" w:hAnsi="宋体" w:eastAsia="宋体" w:cs="宋体"/>
          <w:color w:val="auto"/>
          <w:spacing w:val="5"/>
          <w:sz w:val="20"/>
          <w:szCs w:val="20"/>
          <w:highlight w:val="none"/>
        </w:rPr>
        <w:t xml:space="preserve"> </w:t>
      </w:r>
      <w:r>
        <w:rPr>
          <w:rFonts w:ascii="宋体" w:hAnsi="宋体" w:eastAsia="宋体" w:cs="宋体"/>
          <w:color w:val="auto"/>
          <w:sz w:val="20"/>
          <w:szCs w:val="20"/>
          <w:highlight w:val="none"/>
        </w:rPr>
        <w:t>表。</w:t>
      </w:r>
    </w:p>
    <w:p w14:paraId="4CB6D9DB">
      <w:pPr>
        <w:spacing w:before="29" w:line="228" w:lineRule="auto"/>
        <w:ind w:left="3883"/>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差异表</w:t>
      </w:r>
    </w:p>
    <w:p w14:paraId="0625D1C2">
      <w:pPr>
        <w:spacing w:line="93" w:lineRule="exact"/>
        <w:rPr>
          <w:color w:val="auto"/>
          <w:highlight w:val="none"/>
        </w:rPr>
      </w:pPr>
    </w:p>
    <w:tbl>
      <w:tblPr>
        <w:tblStyle w:val="6"/>
        <w:tblW w:w="836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7"/>
        <w:gridCol w:w="1873"/>
        <w:gridCol w:w="1873"/>
        <w:gridCol w:w="1873"/>
        <w:gridCol w:w="1880"/>
      </w:tblGrid>
      <w:tr w14:paraId="00745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67" w:type="dxa"/>
            <w:vMerge w:val="restart"/>
            <w:tcBorders>
              <w:bottom w:val="nil"/>
            </w:tcBorders>
            <w:vAlign w:val="top"/>
          </w:tcPr>
          <w:p w14:paraId="1FFFB7F9">
            <w:pPr>
              <w:pStyle w:val="7"/>
              <w:spacing w:line="330" w:lineRule="auto"/>
              <w:rPr>
                <w:color w:val="auto"/>
                <w:highlight w:val="none"/>
              </w:rPr>
            </w:pPr>
          </w:p>
          <w:p w14:paraId="1CBDEEF5">
            <w:pPr>
              <w:spacing w:before="58" w:line="221" w:lineRule="auto"/>
              <w:ind w:left="252"/>
              <w:rPr>
                <w:rFonts w:ascii="宋体" w:hAnsi="宋体" w:eastAsia="宋体" w:cs="宋体"/>
                <w:color w:val="auto"/>
                <w:sz w:val="18"/>
                <w:szCs w:val="18"/>
                <w:highlight w:val="none"/>
              </w:rPr>
            </w:pPr>
            <w:r>
              <w:rPr>
                <w:rFonts w:ascii="宋体" w:hAnsi="宋体" w:eastAsia="宋体" w:cs="宋体"/>
                <w:color w:val="auto"/>
                <w:spacing w:val="-4"/>
                <w:sz w:val="18"/>
                <w:szCs w:val="18"/>
                <w:highlight w:val="none"/>
              </w:rPr>
              <w:t>序号</w:t>
            </w:r>
          </w:p>
        </w:tc>
        <w:tc>
          <w:tcPr>
            <w:tcW w:w="3746" w:type="dxa"/>
            <w:gridSpan w:val="2"/>
            <w:vAlign w:val="top"/>
          </w:tcPr>
          <w:p w14:paraId="353157C0">
            <w:pPr>
              <w:spacing w:before="148" w:line="219" w:lineRule="auto"/>
              <w:ind w:left="1513"/>
              <w:rPr>
                <w:rFonts w:ascii="宋体" w:hAnsi="宋体" w:eastAsia="宋体" w:cs="宋体"/>
                <w:color w:val="auto"/>
                <w:sz w:val="18"/>
                <w:szCs w:val="18"/>
                <w:highlight w:val="none"/>
              </w:rPr>
            </w:pPr>
            <w:r>
              <w:rPr>
                <w:rFonts w:ascii="宋体" w:hAnsi="宋体" w:eastAsia="宋体" w:cs="宋体"/>
                <w:color w:val="auto"/>
                <w:spacing w:val="-2"/>
                <w:sz w:val="18"/>
                <w:szCs w:val="18"/>
                <w:highlight w:val="none"/>
              </w:rPr>
              <w:t>招标文件</w:t>
            </w:r>
          </w:p>
        </w:tc>
        <w:tc>
          <w:tcPr>
            <w:tcW w:w="3753" w:type="dxa"/>
            <w:gridSpan w:val="2"/>
            <w:vAlign w:val="top"/>
          </w:tcPr>
          <w:p w14:paraId="577147B6">
            <w:pPr>
              <w:spacing w:before="148" w:line="219" w:lineRule="auto"/>
              <w:ind w:left="1519"/>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投标文件</w:t>
            </w:r>
          </w:p>
        </w:tc>
      </w:tr>
      <w:tr w14:paraId="0CA0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867" w:type="dxa"/>
            <w:vMerge w:val="continue"/>
            <w:tcBorders>
              <w:top w:val="nil"/>
            </w:tcBorders>
            <w:vAlign w:val="top"/>
          </w:tcPr>
          <w:p w14:paraId="1AF2FD83">
            <w:pPr>
              <w:pStyle w:val="7"/>
              <w:rPr>
                <w:color w:val="auto"/>
                <w:highlight w:val="none"/>
              </w:rPr>
            </w:pPr>
          </w:p>
        </w:tc>
        <w:tc>
          <w:tcPr>
            <w:tcW w:w="1873" w:type="dxa"/>
            <w:vAlign w:val="top"/>
          </w:tcPr>
          <w:p w14:paraId="09DD9C47">
            <w:pPr>
              <w:spacing w:before="144" w:line="219" w:lineRule="auto"/>
              <w:ind w:left="755"/>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条目</w:t>
            </w:r>
          </w:p>
        </w:tc>
        <w:tc>
          <w:tcPr>
            <w:tcW w:w="1873" w:type="dxa"/>
            <w:vAlign w:val="top"/>
          </w:tcPr>
          <w:p w14:paraId="31521B81">
            <w:pPr>
              <w:spacing w:before="143" w:line="219" w:lineRule="auto"/>
              <w:ind w:left="581"/>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简要内容</w:t>
            </w:r>
          </w:p>
        </w:tc>
        <w:tc>
          <w:tcPr>
            <w:tcW w:w="1873" w:type="dxa"/>
            <w:vAlign w:val="top"/>
          </w:tcPr>
          <w:p w14:paraId="5975BA08">
            <w:pPr>
              <w:spacing w:before="144" w:line="219" w:lineRule="auto"/>
              <w:ind w:left="760"/>
              <w:rPr>
                <w:rFonts w:ascii="宋体" w:hAnsi="宋体" w:eastAsia="宋体" w:cs="宋体"/>
                <w:color w:val="auto"/>
                <w:sz w:val="18"/>
                <w:szCs w:val="18"/>
                <w:highlight w:val="none"/>
              </w:rPr>
            </w:pPr>
            <w:r>
              <w:rPr>
                <w:rFonts w:ascii="宋体" w:hAnsi="宋体" w:eastAsia="宋体" w:cs="宋体"/>
                <w:color w:val="auto"/>
                <w:spacing w:val="-5"/>
                <w:sz w:val="18"/>
                <w:szCs w:val="18"/>
                <w:highlight w:val="none"/>
              </w:rPr>
              <w:t>条目</w:t>
            </w:r>
          </w:p>
        </w:tc>
        <w:tc>
          <w:tcPr>
            <w:tcW w:w="1880" w:type="dxa"/>
            <w:vAlign w:val="top"/>
          </w:tcPr>
          <w:p w14:paraId="637E9844">
            <w:pPr>
              <w:spacing w:before="143" w:line="219" w:lineRule="auto"/>
              <w:ind w:left="586"/>
              <w:rPr>
                <w:rFonts w:ascii="宋体" w:hAnsi="宋体" w:eastAsia="宋体" w:cs="宋体"/>
                <w:color w:val="auto"/>
                <w:sz w:val="18"/>
                <w:szCs w:val="18"/>
                <w:highlight w:val="none"/>
              </w:rPr>
            </w:pPr>
            <w:r>
              <w:rPr>
                <w:rFonts w:ascii="宋体" w:hAnsi="宋体" w:eastAsia="宋体" w:cs="宋体"/>
                <w:color w:val="auto"/>
                <w:spacing w:val="-3"/>
                <w:sz w:val="18"/>
                <w:szCs w:val="18"/>
                <w:highlight w:val="none"/>
              </w:rPr>
              <w:t>简要内容</w:t>
            </w:r>
          </w:p>
        </w:tc>
      </w:tr>
      <w:tr w14:paraId="67B9A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867" w:type="dxa"/>
            <w:vAlign w:val="top"/>
          </w:tcPr>
          <w:p w14:paraId="68A6160B">
            <w:pPr>
              <w:pStyle w:val="7"/>
              <w:rPr>
                <w:color w:val="auto"/>
                <w:highlight w:val="none"/>
              </w:rPr>
            </w:pPr>
          </w:p>
        </w:tc>
        <w:tc>
          <w:tcPr>
            <w:tcW w:w="1873" w:type="dxa"/>
            <w:vAlign w:val="top"/>
          </w:tcPr>
          <w:p w14:paraId="71B06D67">
            <w:pPr>
              <w:pStyle w:val="7"/>
              <w:rPr>
                <w:color w:val="auto"/>
                <w:highlight w:val="none"/>
              </w:rPr>
            </w:pPr>
          </w:p>
        </w:tc>
        <w:tc>
          <w:tcPr>
            <w:tcW w:w="1873" w:type="dxa"/>
            <w:vAlign w:val="top"/>
          </w:tcPr>
          <w:p w14:paraId="0162F4D3">
            <w:pPr>
              <w:pStyle w:val="7"/>
              <w:rPr>
                <w:color w:val="auto"/>
                <w:highlight w:val="none"/>
              </w:rPr>
            </w:pPr>
          </w:p>
        </w:tc>
        <w:tc>
          <w:tcPr>
            <w:tcW w:w="1873" w:type="dxa"/>
            <w:vAlign w:val="top"/>
          </w:tcPr>
          <w:p w14:paraId="4E6B77A2">
            <w:pPr>
              <w:pStyle w:val="7"/>
              <w:rPr>
                <w:color w:val="auto"/>
                <w:highlight w:val="none"/>
              </w:rPr>
            </w:pPr>
          </w:p>
        </w:tc>
        <w:tc>
          <w:tcPr>
            <w:tcW w:w="1880" w:type="dxa"/>
            <w:vAlign w:val="top"/>
          </w:tcPr>
          <w:p w14:paraId="286D9277">
            <w:pPr>
              <w:pStyle w:val="7"/>
              <w:rPr>
                <w:color w:val="auto"/>
                <w:highlight w:val="none"/>
              </w:rPr>
            </w:pPr>
          </w:p>
        </w:tc>
      </w:tr>
      <w:tr w14:paraId="69003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trPr>
        <w:tc>
          <w:tcPr>
            <w:tcW w:w="867" w:type="dxa"/>
            <w:vAlign w:val="top"/>
          </w:tcPr>
          <w:p w14:paraId="3D1F0211">
            <w:pPr>
              <w:pStyle w:val="7"/>
              <w:rPr>
                <w:color w:val="auto"/>
                <w:highlight w:val="none"/>
              </w:rPr>
            </w:pPr>
          </w:p>
        </w:tc>
        <w:tc>
          <w:tcPr>
            <w:tcW w:w="1873" w:type="dxa"/>
            <w:vAlign w:val="top"/>
          </w:tcPr>
          <w:p w14:paraId="6CB487C9">
            <w:pPr>
              <w:pStyle w:val="7"/>
              <w:rPr>
                <w:color w:val="auto"/>
                <w:highlight w:val="none"/>
              </w:rPr>
            </w:pPr>
          </w:p>
        </w:tc>
        <w:tc>
          <w:tcPr>
            <w:tcW w:w="1873" w:type="dxa"/>
            <w:vAlign w:val="top"/>
          </w:tcPr>
          <w:p w14:paraId="23F8A72F">
            <w:pPr>
              <w:pStyle w:val="7"/>
              <w:rPr>
                <w:color w:val="auto"/>
                <w:highlight w:val="none"/>
              </w:rPr>
            </w:pPr>
          </w:p>
        </w:tc>
        <w:tc>
          <w:tcPr>
            <w:tcW w:w="1873" w:type="dxa"/>
            <w:vAlign w:val="top"/>
          </w:tcPr>
          <w:p w14:paraId="080183C6">
            <w:pPr>
              <w:pStyle w:val="7"/>
              <w:rPr>
                <w:color w:val="auto"/>
                <w:highlight w:val="none"/>
              </w:rPr>
            </w:pPr>
          </w:p>
        </w:tc>
        <w:tc>
          <w:tcPr>
            <w:tcW w:w="1880" w:type="dxa"/>
            <w:vAlign w:val="top"/>
          </w:tcPr>
          <w:p w14:paraId="5D320B06">
            <w:pPr>
              <w:pStyle w:val="7"/>
              <w:rPr>
                <w:color w:val="auto"/>
                <w:highlight w:val="none"/>
              </w:rPr>
            </w:pPr>
          </w:p>
        </w:tc>
      </w:tr>
      <w:tr w14:paraId="45D76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867" w:type="dxa"/>
            <w:vAlign w:val="top"/>
          </w:tcPr>
          <w:p w14:paraId="5E1A533A">
            <w:pPr>
              <w:pStyle w:val="7"/>
              <w:rPr>
                <w:color w:val="auto"/>
                <w:highlight w:val="none"/>
              </w:rPr>
            </w:pPr>
          </w:p>
        </w:tc>
        <w:tc>
          <w:tcPr>
            <w:tcW w:w="1873" w:type="dxa"/>
            <w:vAlign w:val="top"/>
          </w:tcPr>
          <w:p w14:paraId="03510B90">
            <w:pPr>
              <w:pStyle w:val="7"/>
              <w:rPr>
                <w:color w:val="auto"/>
                <w:highlight w:val="none"/>
              </w:rPr>
            </w:pPr>
          </w:p>
        </w:tc>
        <w:tc>
          <w:tcPr>
            <w:tcW w:w="1873" w:type="dxa"/>
            <w:vAlign w:val="top"/>
          </w:tcPr>
          <w:p w14:paraId="21B28F61">
            <w:pPr>
              <w:pStyle w:val="7"/>
              <w:rPr>
                <w:color w:val="auto"/>
                <w:highlight w:val="none"/>
              </w:rPr>
            </w:pPr>
          </w:p>
        </w:tc>
        <w:tc>
          <w:tcPr>
            <w:tcW w:w="1873" w:type="dxa"/>
            <w:vAlign w:val="top"/>
          </w:tcPr>
          <w:p w14:paraId="5BCD1A09">
            <w:pPr>
              <w:pStyle w:val="7"/>
              <w:rPr>
                <w:color w:val="auto"/>
                <w:highlight w:val="none"/>
              </w:rPr>
            </w:pPr>
          </w:p>
        </w:tc>
        <w:tc>
          <w:tcPr>
            <w:tcW w:w="1880" w:type="dxa"/>
            <w:vAlign w:val="top"/>
          </w:tcPr>
          <w:p w14:paraId="437062D5">
            <w:pPr>
              <w:pStyle w:val="7"/>
              <w:rPr>
                <w:color w:val="auto"/>
                <w:highlight w:val="none"/>
              </w:rPr>
            </w:pPr>
          </w:p>
        </w:tc>
      </w:tr>
      <w:tr w14:paraId="04F90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867" w:type="dxa"/>
            <w:vAlign w:val="top"/>
          </w:tcPr>
          <w:p w14:paraId="2CC4B3EB">
            <w:pPr>
              <w:pStyle w:val="7"/>
              <w:rPr>
                <w:color w:val="auto"/>
                <w:highlight w:val="none"/>
              </w:rPr>
            </w:pPr>
          </w:p>
        </w:tc>
        <w:tc>
          <w:tcPr>
            <w:tcW w:w="1873" w:type="dxa"/>
            <w:vAlign w:val="top"/>
          </w:tcPr>
          <w:p w14:paraId="5E29610C">
            <w:pPr>
              <w:pStyle w:val="7"/>
              <w:rPr>
                <w:color w:val="auto"/>
                <w:highlight w:val="none"/>
              </w:rPr>
            </w:pPr>
          </w:p>
        </w:tc>
        <w:tc>
          <w:tcPr>
            <w:tcW w:w="1873" w:type="dxa"/>
            <w:vAlign w:val="top"/>
          </w:tcPr>
          <w:p w14:paraId="6C0170C3">
            <w:pPr>
              <w:pStyle w:val="7"/>
              <w:rPr>
                <w:color w:val="auto"/>
                <w:highlight w:val="none"/>
              </w:rPr>
            </w:pPr>
          </w:p>
        </w:tc>
        <w:tc>
          <w:tcPr>
            <w:tcW w:w="1873" w:type="dxa"/>
            <w:vAlign w:val="top"/>
          </w:tcPr>
          <w:p w14:paraId="10B98927">
            <w:pPr>
              <w:pStyle w:val="7"/>
              <w:rPr>
                <w:color w:val="auto"/>
                <w:highlight w:val="none"/>
              </w:rPr>
            </w:pPr>
          </w:p>
        </w:tc>
        <w:tc>
          <w:tcPr>
            <w:tcW w:w="1880" w:type="dxa"/>
            <w:vAlign w:val="top"/>
          </w:tcPr>
          <w:p w14:paraId="31C14DD4">
            <w:pPr>
              <w:pStyle w:val="7"/>
              <w:rPr>
                <w:color w:val="auto"/>
                <w:highlight w:val="none"/>
              </w:rPr>
            </w:pPr>
          </w:p>
        </w:tc>
      </w:tr>
      <w:tr w14:paraId="36896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67" w:type="dxa"/>
            <w:vAlign w:val="top"/>
          </w:tcPr>
          <w:p w14:paraId="746BB2CC">
            <w:pPr>
              <w:pStyle w:val="7"/>
              <w:rPr>
                <w:color w:val="auto"/>
                <w:highlight w:val="none"/>
              </w:rPr>
            </w:pPr>
          </w:p>
        </w:tc>
        <w:tc>
          <w:tcPr>
            <w:tcW w:w="1873" w:type="dxa"/>
            <w:vAlign w:val="top"/>
          </w:tcPr>
          <w:p w14:paraId="6B729C89">
            <w:pPr>
              <w:pStyle w:val="7"/>
              <w:rPr>
                <w:color w:val="auto"/>
                <w:highlight w:val="none"/>
              </w:rPr>
            </w:pPr>
          </w:p>
        </w:tc>
        <w:tc>
          <w:tcPr>
            <w:tcW w:w="1873" w:type="dxa"/>
            <w:vAlign w:val="top"/>
          </w:tcPr>
          <w:p w14:paraId="09C4AF98">
            <w:pPr>
              <w:pStyle w:val="7"/>
              <w:rPr>
                <w:color w:val="auto"/>
                <w:highlight w:val="none"/>
              </w:rPr>
            </w:pPr>
          </w:p>
        </w:tc>
        <w:tc>
          <w:tcPr>
            <w:tcW w:w="1873" w:type="dxa"/>
            <w:vAlign w:val="top"/>
          </w:tcPr>
          <w:p w14:paraId="6714F2E5">
            <w:pPr>
              <w:pStyle w:val="7"/>
              <w:rPr>
                <w:color w:val="auto"/>
                <w:highlight w:val="none"/>
              </w:rPr>
            </w:pPr>
          </w:p>
        </w:tc>
        <w:tc>
          <w:tcPr>
            <w:tcW w:w="1880" w:type="dxa"/>
            <w:vAlign w:val="top"/>
          </w:tcPr>
          <w:p w14:paraId="52A2D0AC">
            <w:pPr>
              <w:pStyle w:val="7"/>
              <w:rPr>
                <w:color w:val="auto"/>
                <w:highlight w:val="none"/>
              </w:rPr>
            </w:pPr>
          </w:p>
        </w:tc>
      </w:tr>
    </w:tbl>
    <w:p w14:paraId="0D72980B">
      <w:pPr>
        <w:pStyle w:val="3"/>
        <w:rPr>
          <w:color w:val="auto"/>
          <w:highlight w:val="none"/>
        </w:rPr>
      </w:pPr>
    </w:p>
    <w:p w14:paraId="72A10B8C">
      <w:pPr>
        <w:rPr>
          <w:color w:val="auto"/>
          <w:highlight w:val="none"/>
        </w:rPr>
        <w:sectPr>
          <w:pgSz w:w="11906" w:h="16839"/>
          <w:pgMar w:top="1431" w:right="1764" w:bottom="400" w:left="1764" w:header="0" w:footer="0" w:gutter="0"/>
          <w:pgBorders>
            <w:top w:val="none" w:sz="0" w:space="0"/>
            <w:left w:val="none" w:sz="0" w:space="0"/>
            <w:bottom w:val="none" w:sz="0" w:space="0"/>
            <w:right w:val="none" w:sz="0" w:space="0"/>
          </w:pgBorders>
          <w:cols w:space="720" w:num="1"/>
        </w:sectPr>
      </w:pPr>
    </w:p>
    <w:p w14:paraId="28A049D0">
      <w:pPr>
        <w:spacing w:before="318" w:line="224" w:lineRule="auto"/>
        <w:ind w:left="51"/>
        <w:outlineLvl w:val="0"/>
        <w:rPr>
          <w:rFonts w:ascii="宋体" w:hAnsi="宋体" w:eastAsia="宋体" w:cs="宋体"/>
          <w:color w:val="auto"/>
          <w:sz w:val="31"/>
          <w:szCs w:val="31"/>
          <w:highlight w:val="none"/>
        </w:rPr>
      </w:pPr>
      <w:bookmarkStart w:id="33" w:name="bookmark22"/>
      <w:bookmarkEnd w:id="33"/>
      <w:bookmarkStart w:id="34" w:name="bookmark21"/>
      <w:bookmarkEnd w:id="34"/>
      <w:r>
        <w:rPr>
          <w:rFonts w:ascii="宋体" w:hAnsi="宋体" w:eastAsia="宋体" w:cs="宋体"/>
          <w:b/>
          <w:bCs/>
          <w:color w:val="auto"/>
          <w:spacing w:val="-13"/>
          <w:sz w:val="31"/>
          <w:szCs w:val="31"/>
          <w:highlight w:val="none"/>
        </w:rPr>
        <w:t>附件</w:t>
      </w:r>
      <w:r>
        <w:rPr>
          <w:rFonts w:ascii="宋体" w:hAnsi="宋体" w:eastAsia="宋体" w:cs="宋体"/>
          <w:color w:val="auto"/>
          <w:spacing w:val="-37"/>
          <w:sz w:val="31"/>
          <w:szCs w:val="31"/>
          <w:highlight w:val="none"/>
        </w:rPr>
        <w:t xml:space="preserve"> </w:t>
      </w:r>
      <w:r>
        <w:rPr>
          <w:rFonts w:ascii="宋体" w:hAnsi="宋体" w:eastAsia="宋体" w:cs="宋体"/>
          <w:b/>
          <w:bCs/>
          <w:color w:val="auto"/>
          <w:spacing w:val="-13"/>
          <w:sz w:val="31"/>
          <w:szCs w:val="31"/>
          <w:highlight w:val="none"/>
        </w:rPr>
        <w:t>11</w:t>
      </w:r>
      <w:r>
        <w:rPr>
          <w:rFonts w:ascii="宋体" w:hAnsi="宋体" w:eastAsia="宋体" w:cs="宋体"/>
          <w:color w:val="auto"/>
          <w:spacing w:val="24"/>
          <w:sz w:val="31"/>
          <w:szCs w:val="31"/>
          <w:highlight w:val="none"/>
        </w:rPr>
        <w:t xml:space="preserve">  </w:t>
      </w:r>
      <w:r>
        <w:rPr>
          <w:rFonts w:ascii="宋体" w:hAnsi="宋体" w:eastAsia="宋体" w:cs="宋体"/>
          <w:b/>
          <w:bCs/>
          <w:color w:val="auto"/>
          <w:spacing w:val="-13"/>
          <w:sz w:val="31"/>
          <w:szCs w:val="31"/>
          <w:highlight w:val="none"/>
        </w:rPr>
        <w:t>附图</w:t>
      </w:r>
    </w:p>
    <w:p w14:paraId="24CA0185">
      <w:pPr>
        <w:spacing w:before="185"/>
        <w:rPr>
          <w:color w:val="auto"/>
          <w:highlight w:val="none"/>
        </w:rPr>
      </w:pPr>
    </w:p>
    <w:p w14:paraId="46E77843">
      <w:pPr>
        <w:rPr>
          <w:color w:val="auto"/>
          <w:highlight w:val="none"/>
        </w:rPr>
        <w:sectPr>
          <w:pgSz w:w="11906" w:h="16839"/>
          <w:pgMar w:top="1431" w:right="1785" w:bottom="400" w:left="1785" w:header="0" w:footer="0" w:gutter="0"/>
          <w:pgBorders>
            <w:top w:val="none" w:sz="0" w:space="0"/>
            <w:left w:val="none" w:sz="0" w:space="0"/>
            <w:bottom w:val="none" w:sz="0" w:space="0"/>
            <w:right w:val="none" w:sz="0" w:space="0"/>
          </w:pgBorders>
          <w:cols w:equalWidth="0" w:num="1">
            <w:col w:w="8335"/>
          </w:cols>
        </w:sectPr>
      </w:pPr>
    </w:p>
    <w:p w14:paraId="77AC92B6">
      <w:pPr>
        <w:spacing w:line="345" w:lineRule="exact"/>
        <w:ind w:firstLine="512"/>
        <w:rPr>
          <w:color w:val="auto"/>
          <w:highlight w:val="none"/>
        </w:rPr>
      </w:pPr>
      <w:r>
        <w:rPr>
          <w:color w:val="auto"/>
          <w:position w:val="-6"/>
          <w:highlight w:val="none"/>
        </w:rPr>
        <w:drawing>
          <wp:inline distT="0" distB="0" distL="0" distR="0">
            <wp:extent cx="280035" cy="21907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280217" cy="219456"/>
                    </a:xfrm>
                    <a:prstGeom prst="rect">
                      <a:avLst/>
                    </a:prstGeom>
                  </pic:spPr>
                </pic:pic>
              </a:graphicData>
            </a:graphic>
          </wp:inline>
        </w:drawing>
      </w:r>
    </w:p>
    <w:p w14:paraId="311655B3">
      <w:pPr>
        <w:spacing w:before="192" w:line="184" w:lineRule="auto"/>
        <w:ind w:left="135" w:hanging="39"/>
        <w:rPr>
          <w:rFonts w:ascii="Microsoft YaHei UI" w:hAnsi="Microsoft YaHei UI" w:eastAsia="Microsoft YaHei UI" w:cs="Microsoft YaHei UI"/>
          <w:color w:val="auto"/>
          <w:sz w:val="18"/>
          <w:szCs w:val="18"/>
          <w:highlight w:val="none"/>
        </w:rPr>
      </w:pPr>
      <w:r>
        <w:rPr>
          <w:rFonts w:ascii="Microsoft YaHei UI" w:hAnsi="Microsoft YaHei UI" w:eastAsia="Microsoft YaHei UI" w:cs="Microsoft YaHei UI"/>
          <w:color w:val="auto"/>
          <w:spacing w:val="-2"/>
          <w:sz w:val="18"/>
          <w:szCs w:val="18"/>
          <w:highlight w:val="none"/>
        </w:rPr>
        <w:t>01号启备变保护</w:t>
      </w:r>
      <w:r>
        <w:rPr>
          <w:rFonts w:ascii="Microsoft YaHei UI" w:hAnsi="Microsoft YaHei UI" w:eastAsia="Microsoft YaHei UI" w:cs="Microsoft YaHei UI"/>
          <w:color w:val="auto"/>
          <w:spacing w:val="4"/>
          <w:sz w:val="18"/>
          <w:szCs w:val="18"/>
          <w:highlight w:val="none"/>
        </w:rPr>
        <w:t xml:space="preserve"> </w:t>
      </w:r>
      <w:r>
        <w:rPr>
          <w:rFonts w:ascii="Microsoft YaHei UI" w:hAnsi="Microsoft YaHei UI" w:eastAsia="Microsoft YaHei UI" w:cs="Microsoft YaHei UI"/>
          <w:color w:val="auto"/>
          <w:spacing w:val="1"/>
          <w:sz w:val="18"/>
          <w:szCs w:val="18"/>
          <w:highlight w:val="none"/>
        </w:rPr>
        <w:t>一次配置图.</w:t>
      </w:r>
      <w:r>
        <w:rPr>
          <w:rFonts w:ascii="Microsoft YaHei UI" w:hAnsi="Microsoft YaHei UI" w:eastAsia="Microsoft YaHei UI" w:cs="Microsoft YaHei UI"/>
          <w:color w:val="auto"/>
          <w:sz w:val="18"/>
          <w:szCs w:val="18"/>
          <w:highlight w:val="none"/>
        </w:rPr>
        <w:t>TIF</w:t>
      </w:r>
    </w:p>
    <w:p w14:paraId="4A569DDD">
      <w:pPr>
        <w:pStyle w:val="3"/>
        <w:spacing w:line="14" w:lineRule="auto"/>
        <w:rPr>
          <w:color w:val="auto"/>
          <w:sz w:val="2"/>
          <w:highlight w:val="none"/>
        </w:rPr>
      </w:pPr>
      <w:r>
        <w:rPr>
          <w:color w:val="auto"/>
          <w:sz w:val="2"/>
          <w:szCs w:val="2"/>
          <w:highlight w:val="none"/>
        </w:rPr>
        <w:br w:type="column"/>
      </w:r>
    </w:p>
    <w:p w14:paraId="58458AE0">
      <w:pPr>
        <w:spacing w:line="344" w:lineRule="exact"/>
        <w:ind w:firstLine="494"/>
        <w:rPr>
          <w:color w:val="auto"/>
          <w:highlight w:val="none"/>
        </w:rPr>
      </w:pPr>
      <w:r>
        <w:rPr>
          <w:color w:val="auto"/>
          <w:position w:val="-6"/>
          <w:highlight w:val="none"/>
        </w:rPr>
        <w:drawing>
          <wp:inline distT="0" distB="0" distL="0" distR="0">
            <wp:extent cx="280035" cy="21844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
                    <a:stretch>
                      <a:fillRect/>
                    </a:stretch>
                  </pic:blipFill>
                  <pic:spPr>
                    <a:xfrm>
                      <a:off x="0" y="0"/>
                      <a:ext cx="280217" cy="218580"/>
                    </a:xfrm>
                    <a:prstGeom prst="rect">
                      <a:avLst/>
                    </a:prstGeom>
                  </pic:spPr>
                </pic:pic>
              </a:graphicData>
            </a:graphic>
          </wp:inline>
        </w:drawing>
      </w:r>
    </w:p>
    <w:p w14:paraId="6FA7C0BA">
      <w:pPr>
        <w:spacing w:before="194" w:line="183" w:lineRule="auto"/>
        <w:ind w:left="532" w:right="5428" w:hanging="532"/>
        <w:rPr>
          <w:rFonts w:ascii="Microsoft YaHei UI" w:hAnsi="Microsoft YaHei UI" w:eastAsia="Microsoft YaHei UI" w:cs="Microsoft YaHei UI"/>
          <w:color w:val="auto"/>
          <w:sz w:val="18"/>
          <w:szCs w:val="18"/>
          <w:highlight w:val="none"/>
        </w:rPr>
      </w:pPr>
      <w:r>
        <w:rPr>
          <w:rFonts w:ascii="Microsoft YaHei UI" w:hAnsi="Microsoft YaHei UI" w:eastAsia="Microsoft YaHei UI" w:cs="Microsoft YaHei UI"/>
          <w:color w:val="auto"/>
          <w:spacing w:val="-1"/>
          <w:sz w:val="18"/>
          <w:szCs w:val="18"/>
          <w:highlight w:val="none"/>
        </w:rPr>
        <w:t>升压站主接线配置</w:t>
      </w:r>
      <w:r>
        <w:rPr>
          <w:rFonts w:ascii="Microsoft YaHei UI" w:hAnsi="Microsoft YaHei UI" w:eastAsia="Microsoft YaHei UI" w:cs="Microsoft YaHei UI"/>
          <w:color w:val="auto"/>
          <w:spacing w:val="1"/>
          <w:sz w:val="18"/>
          <w:szCs w:val="18"/>
          <w:highlight w:val="none"/>
        </w:rPr>
        <w:t xml:space="preserve"> </w:t>
      </w:r>
      <w:r>
        <w:rPr>
          <w:rFonts w:ascii="Microsoft YaHei UI" w:hAnsi="Microsoft YaHei UI" w:eastAsia="Microsoft YaHei UI" w:cs="Microsoft YaHei UI"/>
          <w:color w:val="auto"/>
          <w:spacing w:val="-4"/>
          <w:sz w:val="18"/>
          <w:szCs w:val="18"/>
          <w:highlight w:val="none"/>
        </w:rPr>
        <w:t>图.tif</w:t>
      </w:r>
    </w:p>
    <w:p w14:paraId="0B3F4F4D">
      <w:pPr>
        <w:spacing w:line="183" w:lineRule="auto"/>
        <w:rPr>
          <w:rFonts w:ascii="Microsoft YaHei UI" w:hAnsi="Microsoft YaHei UI" w:eastAsia="Microsoft YaHei UI" w:cs="Microsoft YaHei UI"/>
          <w:color w:val="auto"/>
          <w:sz w:val="18"/>
          <w:szCs w:val="18"/>
          <w:highlight w:val="none"/>
        </w:rPr>
        <w:sectPr>
          <w:type w:val="continuous"/>
          <w:pgSz w:w="11906" w:h="16839"/>
          <w:pgMar w:top="1431" w:right="1785" w:bottom="400" w:left="1785" w:header="0" w:footer="0" w:gutter="0"/>
          <w:pgBorders>
            <w:top w:val="none" w:sz="0" w:space="0"/>
            <w:left w:val="none" w:sz="0" w:space="0"/>
            <w:bottom w:val="none" w:sz="0" w:space="0"/>
            <w:right w:val="none" w:sz="0" w:space="0"/>
          </w:pgBorders>
          <w:cols w:equalWidth="0" w:num="2">
            <w:col w:w="1378" w:space="94"/>
            <w:col w:w="6863"/>
          </w:cols>
        </w:sectPr>
      </w:pPr>
    </w:p>
    <w:p w14:paraId="1E7FAA15">
      <w:pPr>
        <w:spacing w:before="318" w:line="224" w:lineRule="auto"/>
        <w:ind w:left="51"/>
        <w:outlineLvl w:val="0"/>
        <w:rPr>
          <w:rFonts w:ascii="宋体" w:hAnsi="宋体" w:eastAsia="宋体" w:cs="宋体"/>
          <w:color w:val="auto"/>
          <w:sz w:val="31"/>
          <w:szCs w:val="31"/>
          <w:highlight w:val="none"/>
        </w:rPr>
      </w:pPr>
      <w:bookmarkStart w:id="35" w:name="bookmark23"/>
      <w:bookmarkEnd w:id="35"/>
      <w:bookmarkStart w:id="36" w:name="bookmark24"/>
      <w:bookmarkEnd w:id="36"/>
      <w:r>
        <w:rPr>
          <w:rFonts w:ascii="宋体" w:hAnsi="宋体" w:eastAsia="宋体" w:cs="宋体"/>
          <w:b/>
          <w:bCs/>
          <w:color w:val="auto"/>
          <w:sz w:val="31"/>
          <w:szCs w:val="31"/>
          <w:highlight w:val="none"/>
        </w:rPr>
        <w:t>附件</w:t>
      </w:r>
      <w:r>
        <w:rPr>
          <w:rFonts w:ascii="宋体" w:hAnsi="宋体" w:eastAsia="宋体" w:cs="宋体"/>
          <w:color w:val="auto"/>
          <w:spacing w:val="-36"/>
          <w:sz w:val="31"/>
          <w:szCs w:val="31"/>
          <w:highlight w:val="none"/>
        </w:rPr>
        <w:t xml:space="preserve"> </w:t>
      </w:r>
      <w:r>
        <w:rPr>
          <w:rFonts w:ascii="宋体" w:hAnsi="宋体" w:eastAsia="宋体" w:cs="宋体"/>
          <w:b/>
          <w:bCs/>
          <w:color w:val="auto"/>
          <w:sz w:val="31"/>
          <w:szCs w:val="31"/>
          <w:highlight w:val="none"/>
        </w:rPr>
        <w:t>12</w:t>
      </w:r>
      <w:r>
        <w:rPr>
          <w:rFonts w:ascii="宋体" w:hAnsi="宋体" w:eastAsia="宋体" w:cs="宋体"/>
          <w:color w:val="auto"/>
          <w:sz w:val="31"/>
          <w:szCs w:val="31"/>
          <w:highlight w:val="none"/>
        </w:rPr>
        <w:t xml:space="preserve">  </w:t>
      </w:r>
      <w:r>
        <w:rPr>
          <w:rFonts w:ascii="宋体" w:hAnsi="宋体" w:eastAsia="宋体" w:cs="宋体"/>
          <w:b/>
          <w:bCs/>
          <w:color w:val="auto"/>
          <w:sz w:val="31"/>
          <w:szCs w:val="31"/>
          <w:highlight w:val="none"/>
        </w:rPr>
        <w:t>性能考核条款</w:t>
      </w:r>
    </w:p>
    <w:p w14:paraId="544A1E99">
      <w:pPr>
        <w:pStyle w:val="3"/>
        <w:spacing w:line="310" w:lineRule="auto"/>
        <w:rPr>
          <w:color w:val="auto"/>
          <w:highlight w:val="none"/>
        </w:rPr>
      </w:pPr>
    </w:p>
    <w:p w14:paraId="753705F8">
      <w:pPr>
        <w:spacing w:before="65" w:line="423" w:lineRule="auto"/>
        <w:ind w:left="448" w:right="15" w:hanging="411"/>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1.  投标人所提供的产品应达到技术规范书所要求的技术</w:t>
      </w:r>
      <w:r>
        <w:rPr>
          <w:rFonts w:ascii="宋体" w:hAnsi="宋体" w:eastAsia="宋体" w:cs="宋体"/>
          <w:color w:val="auto"/>
          <w:spacing w:val="6"/>
          <w:sz w:val="20"/>
          <w:szCs w:val="20"/>
          <w:highlight w:val="none"/>
        </w:rPr>
        <w:t>指标，如未达到，投标人应支付该</w:t>
      </w:r>
      <w:r>
        <w:rPr>
          <w:rFonts w:ascii="宋体" w:hAnsi="宋体" w:eastAsia="宋体" w:cs="宋体"/>
          <w:color w:val="auto"/>
          <w:sz w:val="20"/>
          <w:szCs w:val="20"/>
          <w:highlight w:val="none"/>
        </w:rPr>
        <w:t xml:space="preserve"> </w:t>
      </w:r>
      <w:r>
        <w:rPr>
          <w:rFonts w:ascii="宋体" w:hAnsi="宋体" w:eastAsia="宋体" w:cs="宋体"/>
          <w:color w:val="auto"/>
          <w:spacing w:val="11"/>
          <w:sz w:val="20"/>
          <w:szCs w:val="20"/>
          <w:highlight w:val="none"/>
        </w:rPr>
        <w:t>分项合同设备价</w:t>
      </w:r>
      <w:r>
        <w:rPr>
          <w:rFonts w:ascii="宋体" w:hAnsi="宋体" w:eastAsia="宋体" w:cs="宋体"/>
          <w:color w:val="auto"/>
          <w:spacing w:val="-33"/>
          <w:sz w:val="20"/>
          <w:szCs w:val="20"/>
          <w:highlight w:val="none"/>
        </w:rPr>
        <w:t xml:space="preserve"> </w:t>
      </w:r>
      <w:r>
        <w:rPr>
          <w:rFonts w:ascii="宋体" w:hAnsi="宋体" w:eastAsia="宋体" w:cs="宋体"/>
          <w:color w:val="auto"/>
          <w:spacing w:val="11"/>
          <w:sz w:val="20"/>
          <w:szCs w:val="20"/>
          <w:highlight w:val="none"/>
        </w:rPr>
        <w:t>3%的违约金，并且投标人接</w:t>
      </w:r>
      <w:r>
        <w:rPr>
          <w:rFonts w:ascii="宋体" w:hAnsi="宋体" w:eastAsia="宋体" w:cs="宋体"/>
          <w:color w:val="auto"/>
          <w:spacing w:val="10"/>
          <w:sz w:val="20"/>
          <w:szCs w:val="20"/>
          <w:highlight w:val="none"/>
        </w:rPr>
        <w:t>到招标人通知后一周内免费更换，直至满</w:t>
      </w:r>
      <w:r>
        <w:rPr>
          <w:rFonts w:ascii="宋体" w:hAnsi="宋体" w:eastAsia="宋体" w:cs="宋体"/>
          <w:color w:val="auto"/>
          <w:sz w:val="20"/>
          <w:szCs w:val="20"/>
          <w:highlight w:val="none"/>
        </w:rPr>
        <w:t xml:space="preserve"> </w:t>
      </w:r>
      <w:r>
        <w:rPr>
          <w:rFonts w:ascii="宋体" w:hAnsi="宋体" w:eastAsia="宋体" w:cs="宋体"/>
          <w:color w:val="auto"/>
          <w:spacing w:val="6"/>
          <w:sz w:val="20"/>
          <w:szCs w:val="20"/>
          <w:highlight w:val="none"/>
        </w:rPr>
        <w:t>足性能要求。</w:t>
      </w:r>
    </w:p>
    <w:p w14:paraId="5B9E2DB4">
      <w:pPr>
        <w:spacing w:before="29" w:line="228" w:lineRule="auto"/>
        <w:ind w:left="24"/>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2.  由于投标人原因，影响系统的安装与调试整体项目进度，每推迟一天投入运行扣除</w:t>
      </w:r>
      <w:r>
        <w:rPr>
          <w:rFonts w:ascii="宋体" w:hAnsi="宋体" w:eastAsia="宋体" w:cs="宋体"/>
          <w:color w:val="auto"/>
          <w:spacing w:val="6"/>
          <w:sz w:val="20"/>
          <w:szCs w:val="20"/>
          <w:highlight w:val="none"/>
        </w:rPr>
        <w:t>合同</w:t>
      </w:r>
    </w:p>
    <w:p w14:paraId="34EF0514">
      <w:pPr>
        <w:spacing w:before="221" w:line="228" w:lineRule="auto"/>
        <w:ind w:left="448"/>
        <w:rPr>
          <w:rFonts w:ascii="宋体" w:hAnsi="宋体" w:eastAsia="宋体" w:cs="宋体"/>
          <w:color w:val="auto"/>
          <w:sz w:val="20"/>
          <w:szCs w:val="20"/>
          <w:highlight w:val="none"/>
        </w:rPr>
      </w:pPr>
      <w:r>
        <w:rPr>
          <w:rFonts w:ascii="宋体" w:hAnsi="宋体" w:eastAsia="宋体" w:cs="宋体"/>
          <w:color w:val="auto"/>
          <w:spacing w:val="3"/>
          <w:sz w:val="20"/>
          <w:szCs w:val="20"/>
          <w:highlight w:val="none"/>
        </w:rPr>
        <w:t>金额的</w:t>
      </w:r>
      <w:r>
        <w:rPr>
          <w:rFonts w:ascii="宋体" w:hAnsi="宋体" w:eastAsia="宋体" w:cs="宋体"/>
          <w:color w:val="auto"/>
          <w:spacing w:val="-32"/>
          <w:sz w:val="20"/>
          <w:szCs w:val="20"/>
          <w:highlight w:val="none"/>
        </w:rPr>
        <w:t xml:space="preserve"> </w:t>
      </w:r>
      <w:r>
        <w:rPr>
          <w:rFonts w:ascii="宋体" w:hAnsi="宋体" w:eastAsia="宋体" w:cs="宋体"/>
          <w:color w:val="auto"/>
          <w:spacing w:val="3"/>
          <w:sz w:val="20"/>
          <w:szCs w:val="20"/>
          <w:highlight w:val="none"/>
        </w:rPr>
        <w:t>0.1%。</w:t>
      </w:r>
    </w:p>
    <w:p w14:paraId="69D08201">
      <w:pPr>
        <w:spacing w:before="221"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3.  质保期内因投标人设备质量原因发生保护拒动或误动的，投标人免费整改至满</w:t>
      </w:r>
      <w:r>
        <w:rPr>
          <w:rFonts w:ascii="宋体" w:hAnsi="宋体" w:eastAsia="宋体" w:cs="宋体"/>
          <w:color w:val="auto"/>
          <w:spacing w:val="6"/>
          <w:sz w:val="20"/>
          <w:szCs w:val="20"/>
          <w:highlight w:val="none"/>
        </w:rPr>
        <w:t>足技术规</w:t>
      </w:r>
    </w:p>
    <w:p w14:paraId="26A14DF7">
      <w:pPr>
        <w:spacing w:before="221" w:line="227" w:lineRule="auto"/>
        <w:ind w:left="452"/>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范书的要求并</w:t>
      </w:r>
      <w:r>
        <w:rPr>
          <w:rFonts w:hint="eastAsia" w:ascii="宋体" w:hAnsi="宋体" w:eastAsia="宋体" w:cs="宋体"/>
          <w:color w:val="auto"/>
          <w:spacing w:val="7"/>
          <w:sz w:val="20"/>
          <w:szCs w:val="20"/>
          <w:highlight w:val="none"/>
          <w:lang w:val="en-US" w:eastAsia="zh-CN"/>
        </w:rPr>
        <w:t>考核全额质保金</w:t>
      </w:r>
      <w:r>
        <w:rPr>
          <w:rFonts w:ascii="宋体" w:hAnsi="宋体" w:eastAsia="宋体" w:cs="宋体"/>
          <w:color w:val="auto"/>
          <w:spacing w:val="7"/>
          <w:sz w:val="20"/>
          <w:szCs w:val="20"/>
          <w:highlight w:val="none"/>
        </w:rPr>
        <w:t>。</w:t>
      </w:r>
    </w:p>
    <w:p w14:paraId="1A620504">
      <w:pPr>
        <w:spacing w:before="221" w:line="422" w:lineRule="auto"/>
        <w:ind w:left="447" w:right="15" w:hanging="4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4.  调试期间若设备发生故障，从通知之日起投标人在一周内仍未能将其消除故障，以致影</w:t>
      </w:r>
      <w:r>
        <w:rPr>
          <w:rFonts w:ascii="宋体" w:hAnsi="宋体" w:eastAsia="宋体" w:cs="宋体"/>
          <w:color w:val="auto"/>
          <w:spacing w:val="1"/>
          <w:sz w:val="20"/>
          <w:szCs w:val="20"/>
          <w:highlight w:val="none"/>
        </w:rPr>
        <w:t xml:space="preserve"> </w:t>
      </w:r>
      <w:r>
        <w:rPr>
          <w:rFonts w:ascii="宋体" w:hAnsi="宋体" w:eastAsia="宋体" w:cs="宋体"/>
          <w:color w:val="auto"/>
          <w:spacing w:val="7"/>
          <w:sz w:val="20"/>
          <w:szCs w:val="20"/>
          <w:highlight w:val="none"/>
        </w:rPr>
        <w:t>响调试工期，投标人除必须继续工作直至故障消除外，并承担所发生的一切费用，同时</w:t>
      </w:r>
      <w:r>
        <w:rPr>
          <w:rFonts w:ascii="宋体" w:hAnsi="宋体" w:eastAsia="宋体" w:cs="宋体"/>
          <w:color w:val="auto"/>
          <w:spacing w:val="3"/>
          <w:sz w:val="20"/>
          <w:szCs w:val="20"/>
          <w:highlight w:val="none"/>
        </w:rPr>
        <w:t xml:space="preserve"> </w:t>
      </w:r>
      <w:r>
        <w:rPr>
          <w:rFonts w:ascii="宋体" w:hAnsi="宋体" w:eastAsia="宋体" w:cs="宋体"/>
          <w:color w:val="auto"/>
          <w:spacing w:val="6"/>
          <w:sz w:val="20"/>
          <w:szCs w:val="20"/>
          <w:highlight w:val="none"/>
        </w:rPr>
        <w:t>支付合同价</w:t>
      </w:r>
      <w:r>
        <w:rPr>
          <w:rFonts w:ascii="宋体" w:hAnsi="宋体" w:eastAsia="宋体" w:cs="宋体"/>
          <w:color w:val="auto"/>
          <w:spacing w:val="-32"/>
          <w:sz w:val="20"/>
          <w:szCs w:val="20"/>
          <w:highlight w:val="none"/>
        </w:rPr>
        <w:t xml:space="preserve"> </w:t>
      </w:r>
      <w:r>
        <w:rPr>
          <w:rFonts w:ascii="宋体" w:hAnsi="宋体" w:eastAsia="宋体" w:cs="宋体"/>
          <w:color w:val="auto"/>
          <w:spacing w:val="6"/>
          <w:sz w:val="20"/>
          <w:szCs w:val="20"/>
          <w:highlight w:val="none"/>
        </w:rPr>
        <w:t>2%的违约金。</w:t>
      </w:r>
    </w:p>
    <w:p w14:paraId="171635AD">
      <w:pPr>
        <w:spacing w:before="33" w:line="228" w:lineRule="auto"/>
        <w:ind w:left="26"/>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5.  设备如达不到设计要求，投标人必须负责重新设计及免费更换，期间产生的一</w:t>
      </w:r>
      <w:r>
        <w:rPr>
          <w:rFonts w:ascii="宋体" w:hAnsi="宋体" w:eastAsia="宋体" w:cs="宋体"/>
          <w:color w:val="auto"/>
          <w:spacing w:val="6"/>
          <w:sz w:val="20"/>
          <w:szCs w:val="20"/>
          <w:highlight w:val="none"/>
        </w:rPr>
        <w:t>切费用由</w:t>
      </w:r>
    </w:p>
    <w:p w14:paraId="382190E2">
      <w:pPr>
        <w:spacing w:before="221" w:line="228" w:lineRule="auto"/>
        <w:ind w:left="449"/>
        <w:rPr>
          <w:rFonts w:ascii="宋体" w:hAnsi="宋体" w:eastAsia="宋体" w:cs="宋体"/>
          <w:color w:val="auto"/>
          <w:sz w:val="20"/>
          <w:szCs w:val="20"/>
          <w:highlight w:val="none"/>
        </w:rPr>
      </w:pPr>
      <w:r>
        <w:rPr>
          <w:rFonts w:ascii="宋体" w:hAnsi="宋体" w:eastAsia="宋体" w:cs="宋体"/>
          <w:color w:val="auto"/>
          <w:spacing w:val="6"/>
          <w:sz w:val="20"/>
          <w:szCs w:val="20"/>
          <w:highlight w:val="none"/>
        </w:rPr>
        <w:t>投标人负责。</w:t>
      </w:r>
    </w:p>
    <w:p w14:paraId="135F0626">
      <w:pPr>
        <w:spacing w:before="222" w:line="227" w:lineRule="auto"/>
        <w:ind w:left="2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6.  标的物不得选用国家已宣布淘汰的产品或元件。若在交货的标的物内含有国家已宣布淘</w:t>
      </w:r>
    </w:p>
    <w:p w14:paraId="51D72A4A">
      <w:pPr>
        <w:spacing w:before="222" w:line="227" w:lineRule="auto"/>
        <w:ind w:left="447"/>
        <w:rPr>
          <w:rFonts w:ascii="宋体" w:hAnsi="宋体" w:eastAsia="宋体" w:cs="宋体"/>
          <w:color w:val="auto"/>
          <w:sz w:val="20"/>
          <w:szCs w:val="20"/>
          <w:highlight w:val="none"/>
        </w:rPr>
      </w:pPr>
      <w:r>
        <w:rPr>
          <w:rFonts w:ascii="宋体" w:hAnsi="宋体" w:eastAsia="宋体" w:cs="宋体"/>
          <w:color w:val="auto"/>
          <w:spacing w:val="9"/>
          <w:sz w:val="20"/>
          <w:szCs w:val="20"/>
          <w:highlight w:val="none"/>
        </w:rPr>
        <w:t>汰的品名或元件，投标人应无条件退货或及时免费更换。</w:t>
      </w:r>
    </w:p>
    <w:p w14:paraId="2C57B417">
      <w:pPr>
        <w:spacing w:line="227" w:lineRule="auto"/>
        <w:rPr>
          <w:rFonts w:ascii="宋体" w:hAnsi="宋体" w:eastAsia="宋体" w:cs="宋体"/>
          <w:color w:val="auto"/>
          <w:sz w:val="20"/>
          <w:szCs w:val="20"/>
          <w:highlight w:val="none"/>
        </w:rPr>
        <w:sectPr>
          <w:pgSz w:w="11906" w:h="16839"/>
          <w:pgMar w:top="1431" w:right="1785" w:bottom="400" w:left="1785" w:header="0" w:footer="0" w:gutter="0"/>
          <w:pgBorders>
            <w:top w:val="none" w:sz="0" w:space="0"/>
            <w:left w:val="none" w:sz="0" w:space="0"/>
            <w:bottom w:val="none" w:sz="0" w:space="0"/>
            <w:right w:val="none" w:sz="0" w:space="0"/>
          </w:pgBorders>
          <w:cols w:space="720" w:num="1"/>
        </w:sectPr>
      </w:pPr>
    </w:p>
    <w:p w14:paraId="2AAA4DA9">
      <w:pPr>
        <w:spacing w:before="319" w:line="298" w:lineRule="auto"/>
        <w:ind w:left="26" w:right="9" w:firstLine="24"/>
        <w:outlineLvl w:val="0"/>
        <w:rPr>
          <w:rFonts w:ascii="宋体" w:hAnsi="宋体" w:eastAsia="宋体" w:cs="宋体"/>
          <w:color w:val="auto"/>
          <w:sz w:val="31"/>
          <w:szCs w:val="31"/>
          <w:highlight w:val="none"/>
        </w:rPr>
      </w:pPr>
      <w:bookmarkStart w:id="37" w:name="bookmark26"/>
      <w:bookmarkEnd w:id="37"/>
      <w:bookmarkStart w:id="38" w:name="bookmark25"/>
      <w:bookmarkEnd w:id="38"/>
      <w:r>
        <w:rPr>
          <w:rFonts w:ascii="宋体" w:hAnsi="宋体" w:eastAsia="宋体" w:cs="宋体"/>
          <w:b/>
          <w:bCs/>
          <w:color w:val="auto"/>
          <w:sz w:val="31"/>
          <w:szCs w:val="31"/>
          <w:highlight w:val="none"/>
        </w:rPr>
        <w:t>附件</w:t>
      </w:r>
      <w:r>
        <w:rPr>
          <w:rFonts w:ascii="宋体" w:hAnsi="宋体" w:eastAsia="宋体" w:cs="宋体"/>
          <w:color w:val="auto"/>
          <w:spacing w:val="-28"/>
          <w:sz w:val="31"/>
          <w:szCs w:val="31"/>
          <w:highlight w:val="none"/>
        </w:rPr>
        <w:t xml:space="preserve"> </w:t>
      </w:r>
      <w:r>
        <w:rPr>
          <w:rFonts w:ascii="宋体" w:hAnsi="宋体" w:eastAsia="宋体" w:cs="宋体"/>
          <w:b/>
          <w:bCs/>
          <w:color w:val="auto"/>
          <w:sz w:val="31"/>
          <w:szCs w:val="31"/>
          <w:highlight w:val="none"/>
        </w:rPr>
        <w:t>13</w:t>
      </w:r>
      <w:r>
        <w:rPr>
          <w:rFonts w:ascii="宋体" w:hAnsi="宋体" w:eastAsia="宋体" w:cs="宋体"/>
          <w:color w:val="auto"/>
          <w:sz w:val="31"/>
          <w:szCs w:val="31"/>
          <w:highlight w:val="none"/>
        </w:rPr>
        <w:t xml:space="preserve">  </w:t>
      </w:r>
      <w:r>
        <w:rPr>
          <w:rFonts w:ascii="宋体" w:hAnsi="宋体" w:eastAsia="宋体" w:cs="宋体"/>
          <w:b/>
          <w:bCs/>
          <w:color w:val="auto"/>
          <w:sz w:val="31"/>
          <w:szCs w:val="31"/>
          <w:highlight w:val="none"/>
        </w:rPr>
        <w:t>投标人需要说明的其他问题（质量承诺及售后服务</w:t>
      </w:r>
      <w:r>
        <w:rPr>
          <w:rFonts w:ascii="宋体" w:hAnsi="宋体" w:eastAsia="宋体" w:cs="宋体"/>
          <w:color w:val="auto"/>
          <w:sz w:val="31"/>
          <w:szCs w:val="31"/>
          <w:highlight w:val="none"/>
        </w:rPr>
        <w:t xml:space="preserve"> </w:t>
      </w:r>
      <w:bookmarkStart w:id="39" w:name="bookmark25"/>
      <w:bookmarkEnd w:id="39"/>
      <w:r>
        <w:rPr>
          <w:rFonts w:ascii="宋体" w:hAnsi="宋体" w:eastAsia="宋体" w:cs="宋体"/>
          <w:b/>
          <w:bCs/>
          <w:color w:val="auto"/>
          <w:spacing w:val="1"/>
          <w:sz w:val="31"/>
          <w:szCs w:val="31"/>
          <w:highlight w:val="none"/>
        </w:rPr>
        <w:t>承诺等）</w:t>
      </w:r>
    </w:p>
    <w:p w14:paraId="77C21559">
      <w:pPr>
        <w:pStyle w:val="3"/>
        <w:spacing w:line="310" w:lineRule="auto"/>
        <w:rPr>
          <w:color w:val="auto"/>
          <w:highlight w:val="none"/>
        </w:rPr>
      </w:pPr>
    </w:p>
    <w:p w14:paraId="615C847E">
      <w:pPr>
        <w:spacing w:before="66" w:line="417" w:lineRule="auto"/>
        <w:ind w:left="21" w:right="13" w:firstLine="423"/>
        <w:rPr>
          <w:rFonts w:ascii="宋体" w:hAnsi="宋体" w:eastAsia="宋体" w:cs="宋体"/>
          <w:color w:val="auto"/>
          <w:sz w:val="20"/>
          <w:szCs w:val="20"/>
          <w:highlight w:val="none"/>
        </w:rPr>
      </w:pPr>
      <w:r>
        <w:rPr>
          <w:rFonts w:ascii="宋体" w:hAnsi="宋体" w:eastAsia="宋体" w:cs="宋体"/>
          <w:color w:val="auto"/>
          <w:spacing w:val="7"/>
          <w:sz w:val="20"/>
          <w:szCs w:val="20"/>
          <w:highlight w:val="none"/>
        </w:rPr>
        <w:t>投标人提供在专业技术、设备设施、人员组织、业绩经验等方面具有设计、制造、质量</w:t>
      </w:r>
      <w:r>
        <w:rPr>
          <w:rFonts w:ascii="宋体" w:hAnsi="宋体" w:eastAsia="宋体" w:cs="宋体"/>
          <w:color w:val="auto"/>
          <w:spacing w:val="8"/>
          <w:sz w:val="20"/>
          <w:szCs w:val="20"/>
          <w:highlight w:val="none"/>
        </w:rPr>
        <w:t xml:space="preserve"> </w:t>
      </w:r>
      <w:r>
        <w:rPr>
          <w:rFonts w:ascii="宋体" w:hAnsi="宋体" w:eastAsia="宋体" w:cs="宋体"/>
          <w:color w:val="auto"/>
          <w:spacing w:val="9"/>
          <w:sz w:val="20"/>
          <w:szCs w:val="20"/>
          <w:highlight w:val="none"/>
        </w:rPr>
        <w:t>控制、经营管理的相应的资格和能力的资料。</w:t>
      </w:r>
    </w:p>
    <w:sectPr>
      <w:pgSz w:w="11906" w:h="16839"/>
      <w:pgMar w:top="1431" w:right="1785" w:bottom="400" w:left="1785" w:header="0" w:footer="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1597C">
    <w:pPr>
      <w:spacing w:line="219" w:lineRule="auto"/>
      <w:ind w:left="612"/>
      <w:rPr>
        <w:rFonts w:ascii="宋体" w:hAnsi="宋体" w:eastAsia="宋体" w:cs="宋体"/>
        <w:sz w:val="20"/>
        <w:szCs w:val="20"/>
      </w:rPr>
    </w:pPr>
    <w:r>
      <w:rPr>
        <w:rFonts w:ascii="宋体" w:hAnsi="宋体" w:eastAsia="宋体" w:cs="宋体"/>
        <w:spacing w:val="5"/>
        <w:sz w:val="20"/>
        <w:szCs w:val="20"/>
      </w:rPr>
      <w:t>3.1 质量保证</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336E1">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dlZmZmYTNhM2Q3ZjQ0NDEyMmI5MjE1M2IxOWUxNTgifQ=="/>
  </w:docVars>
  <w:rsids>
    <w:rsidRoot w:val="00000000"/>
    <w:rsid w:val="00497F56"/>
    <w:rsid w:val="00A40685"/>
    <w:rsid w:val="00E92F91"/>
    <w:rsid w:val="01327F24"/>
    <w:rsid w:val="02171DBF"/>
    <w:rsid w:val="030E75E2"/>
    <w:rsid w:val="032A4C70"/>
    <w:rsid w:val="035C0DBD"/>
    <w:rsid w:val="03B04C2F"/>
    <w:rsid w:val="04122A01"/>
    <w:rsid w:val="041F751E"/>
    <w:rsid w:val="0574246E"/>
    <w:rsid w:val="058223AD"/>
    <w:rsid w:val="05A205BF"/>
    <w:rsid w:val="066A1665"/>
    <w:rsid w:val="06C61153"/>
    <w:rsid w:val="06DD1B64"/>
    <w:rsid w:val="06E8776D"/>
    <w:rsid w:val="080326ED"/>
    <w:rsid w:val="081C3D59"/>
    <w:rsid w:val="082E71ED"/>
    <w:rsid w:val="09561BBE"/>
    <w:rsid w:val="09CB6CBD"/>
    <w:rsid w:val="09E775BD"/>
    <w:rsid w:val="0A2239BA"/>
    <w:rsid w:val="0A327741"/>
    <w:rsid w:val="0A621137"/>
    <w:rsid w:val="0A886405"/>
    <w:rsid w:val="0B4C64C2"/>
    <w:rsid w:val="0B6D3D31"/>
    <w:rsid w:val="0C635D92"/>
    <w:rsid w:val="0CAA3573"/>
    <w:rsid w:val="0D4E7624"/>
    <w:rsid w:val="0DB461AA"/>
    <w:rsid w:val="0E11071B"/>
    <w:rsid w:val="0E1C3F5A"/>
    <w:rsid w:val="0EEF49F3"/>
    <w:rsid w:val="0F014EDF"/>
    <w:rsid w:val="0F0D7F19"/>
    <w:rsid w:val="10013A30"/>
    <w:rsid w:val="10F44BDA"/>
    <w:rsid w:val="11E010BE"/>
    <w:rsid w:val="12393B82"/>
    <w:rsid w:val="130E0651"/>
    <w:rsid w:val="13563C8D"/>
    <w:rsid w:val="14490B65"/>
    <w:rsid w:val="14B66C8C"/>
    <w:rsid w:val="14C06C1D"/>
    <w:rsid w:val="14E1789A"/>
    <w:rsid w:val="14FE4224"/>
    <w:rsid w:val="15A445FD"/>
    <w:rsid w:val="175365FF"/>
    <w:rsid w:val="17A67DF4"/>
    <w:rsid w:val="17A821AF"/>
    <w:rsid w:val="1985222A"/>
    <w:rsid w:val="1A472E72"/>
    <w:rsid w:val="1A765814"/>
    <w:rsid w:val="1AFF3E9A"/>
    <w:rsid w:val="1C632225"/>
    <w:rsid w:val="1CE92DC7"/>
    <w:rsid w:val="1DB200ED"/>
    <w:rsid w:val="1DCA2E12"/>
    <w:rsid w:val="1E707416"/>
    <w:rsid w:val="1E925CB8"/>
    <w:rsid w:val="1ED37946"/>
    <w:rsid w:val="1F74794E"/>
    <w:rsid w:val="1F9E2EB5"/>
    <w:rsid w:val="20085EE1"/>
    <w:rsid w:val="20400BC5"/>
    <w:rsid w:val="212B4F1F"/>
    <w:rsid w:val="22747104"/>
    <w:rsid w:val="22C829F2"/>
    <w:rsid w:val="23A357BF"/>
    <w:rsid w:val="24822533"/>
    <w:rsid w:val="25312AA2"/>
    <w:rsid w:val="25703848"/>
    <w:rsid w:val="25DB406A"/>
    <w:rsid w:val="25F45C59"/>
    <w:rsid w:val="265347DC"/>
    <w:rsid w:val="26596F56"/>
    <w:rsid w:val="26946721"/>
    <w:rsid w:val="269B03AD"/>
    <w:rsid w:val="2786305E"/>
    <w:rsid w:val="28BF3EA1"/>
    <w:rsid w:val="28CE64B0"/>
    <w:rsid w:val="28DF7562"/>
    <w:rsid w:val="28E0343B"/>
    <w:rsid w:val="2ACB5E29"/>
    <w:rsid w:val="2B3A5078"/>
    <w:rsid w:val="2B406E77"/>
    <w:rsid w:val="2C2250EB"/>
    <w:rsid w:val="2C30005C"/>
    <w:rsid w:val="2CD45608"/>
    <w:rsid w:val="2CE374A9"/>
    <w:rsid w:val="2CEF74E6"/>
    <w:rsid w:val="2D0218A2"/>
    <w:rsid w:val="2D825000"/>
    <w:rsid w:val="2D861B1B"/>
    <w:rsid w:val="2EAC16D9"/>
    <w:rsid w:val="2FAD1FDE"/>
    <w:rsid w:val="2FF312F4"/>
    <w:rsid w:val="30104F02"/>
    <w:rsid w:val="310667E0"/>
    <w:rsid w:val="31B70753"/>
    <w:rsid w:val="31E16592"/>
    <w:rsid w:val="31EA3699"/>
    <w:rsid w:val="342A3B80"/>
    <w:rsid w:val="35623334"/>
    <w:rsid w:val="35D25D88"/>
    <w:rsid w:val="35D4008A"/>
    <w:rsid w:val="35E24009"/>
    <w:rsid w:val="35FF15C9"/>
    <w:rsid w:val="35FF76C8"/>
    <w:rsid w:val="360507C9"/>
    <w:rsid w:val="36DB3EF8"/>
    <w:rsid w:val="37322ED9"/>
    <w:rsid w:val="37C3110F"/>
    <w:rsid w:val="37CC2099"/>
    <w:rsid w:val="38284868"/>
    <w:rsid w:val="38AF63DD"/>
    <w:rsid w:val="38CD35F7"/>
    <w:rsid w:val="38EA5BD7"/>
    <w:rsid w:val="3B194FEF"/>
    <w:rsid w:val="3B1A742B"/>
    <w:rsid w:val="3B3A6303"/>
    <w:rsid w:val="3BDA29D0"/>
    <w:rsid w:val="3C5C33E5"/>
    <w:rsid w:val="3D32689A"/>
    <w:rsid w:val="3D336AA8"/>
    <w:rsid w:val="3D6D2299"/>
    <w:rsid w:val="3E45508D"/>
    <w:rsid w:val="3E6C6D28"/>
    <w:rsid w:val="3E845E41"/>
    <w:rsid w:val="3F503135"/>
    <w:rsid w:val="3FBB0422"/>
    <w:rsid w:val="3FEC1E15"/>
    <w:rsid w:val="41103F4F"/>
    <w:rsid w:val="416D399E"/>
    <w:rsid w:val="431C06A5"/>
    <w:rsid w:val="43C60031"/>
    <w:rsid w:val="4468674F"/>
    <w:rsid w:val="44E012B8"/>
    <w:rsid w:val="45FA225F"/>
    <w:rsid w:val="4737645B"/>
    <w:rsid w:val="48127302"/>
    <w:rsid w:val="48413D81"/>
    <w:rsid w:val="4853575B"/>
    <w:rsid w:val="495C4A24"/>
    <w:rsid w:val="4A7A6579"/>
    <w:rsid w:val="4AD53725"/>
    <w:rsid w:val="4ADA6312"/>
    <w:rsid w:val="4AE741E0"/>
    <w:rsid w:val="4B055097"/>
    <w:rsid w:val="4B912126"/>
    <w:rsid w:val="4BC441F0"/>
    <w:rsid w:val="4BC44C51"/>
    <w:rsid w:val="4BE17CDE"/>
    <w:rsid w:val="4C894ABE"/>
    <w:rsid w:val="4CFB7304"/>
    <w:rsid w:val="4EFB1880"/>
    <w:rsid w:val="4F7B2768"/>
    <w:rsid w:val="4FDA48F5"/>
    <w:rsid w:val="519A4B9C"/>
    <w:rsid w:val="51A76A58"/>
    <w:rsid w:val="521045FE"/>
    <w:rsid w:val="52464F18"/>
    <w:rsid w:val="526F77E3"/>
    <w:rsid w:val="52E7488A"/>
    <w:rsid w:val="539E75DC"/>
    <w:rsid w:val="5441289F"/>
    <w:rsid w:val="55E6575F"/>
    <w:rsid w:val="560A0CFB"/>
    <w:rsid w:val="5612100D"/>
    <w:rsid w:val="56475074"/>
    <w:rsid w:val="56B82448"/>
    <w:rsid w:val="57437F14"/>
    <w:rsid w:val="59232D0F"/>
    <w:rsid w:val="59AD2141"/>
    <w:rsid w:val="5A80179D"/>
    <w:rsid w:val="5B595267"/>
    <w:rsid w:val="5C0E1CC4"/>
    <w:rsid w:val="5C867315"/>
    <w:rsid w:val="5D1B0DFF"/>
    <w:rsid w:val="5DDF4110"/>
    <w:rsid w:val="5DFA19E1"/>
    <w:rsid w:val="5E81445A"/>
    <w:rsid w:val="5F4E7E51"/>
    <w:rsid w:val="5F4F01E9"/>
    <w:rsid w:val="5FC92290"/>
    <w:rsid w:val="5FEA44AF"/>
    <w:rsid w:val="614F2F45"/>
    <w:rsid w:val="615C0687"/>
    <w:rsid w:val="61681054"/>
    <w:rsid w:val="61B5604F"/>
    <w:rsid w:val="620F523C"/>
    <w:rsid w:val="62482355"/>
    <w:rsid w:val="629C1BC5"/>
    <w:rsid w:val="62A663D1"/>
    <w:rsid w:val="63972DD1"/>
    <w:rsid w:val="646252F5"/>
    <w:rsid w:val="6483050E"/>
    <w:rsid w:val="64E20CD0"/>
    <w:rsid w:val="65043770"/>
    <w:rsid w:val="66142BAD"/>
    <w:rsid w:val="66304E17"/>
    <w:rsid w:val="66627636"/>
    <w:rsid w:val="695D6FFB"/>
    <w:rsid w:val="69F17170"/>
    <w:rsid w:val="6A2D626A"/>
    <w:rsid w:val="6A8A54BA"/>
    <w:rsid w:val="6A98601D"/>
    <w:rsid w:val="6B0F112E"/>
    <w:rsid w:val="6B3B4819"/>
    <w:rsid w:val="6B522B3F"/>
    <w:rsid w:val="6C28750E"/>
    <w:rsid w:val="6C3011F7"/>
    <w:rsid w:val="6C6F37A5"/>
    <w:rsid w:val="6D044A09"/>
    <w:rsid w:val="6DA64537"/>
    <w:rsid w:val="6E1C2DBE"/>
    <w:rsid w:val="6E57386A"/>
    <w:rsid w:val="6E9D2324"/>
    <w:rsid w:val="6EC928AC"/>
    <w:rsid w:val="6ECB0C9E"/>
    <w:rsid w:val="6EE2661A"/>
    <w:rsid w:val="6F0877D5"/>
    <w:rsid w:val="6F454A37"/>
    <w:rsid w:val="6F723AA2"/>
    <w:rsid w:val="70286924"/>
    <w:rsid w:val="70E35AB8"/>
    <w:rsid w:val="710377AE"/>
    <w:rsid w:val="71A905E7"/>
    <w:rsid w:val="71C43145"/>
    <w:rsid w:val="72180D1E"/>
    <w:rsid w:val="72216246"/>
    <w:rsid w:val="735F5979"/>
    <w:rsid w:val="73983CD6"/>
    <w:rsid w:val="741A1696"/>
    <w:rsid w:val="74AB2C09"/>
    <w:rsid w:val="750028FF"/>
    <w:rsid w:val="75DA6B4D"/>
    <w:rsid w:val="75EF48D2"/>
    <w:rsid w:val="763A5A4D"/>
    <w:rsid w:val="76EA6E6A"/>
    <w:rsid w:val="77D423B4"/>
    <w:rsid w:val="78134209"/>
    <w:rsid w:val="78191CF7"/>
    <w:rsid w:val="786077F9"/>
    <w:rsid w:val="78E87509"/>
    <w:rsid w:val="792E51E6"/>
    <w:rsid w:val="79777406"/>
    <w:rsid w:val="797C567C"/>
    <w:rsid w:val="79E73B1E"/>
    <w:rsid w:val="7A506779"/>
    <w:rsid w:val="7AF214FB"/>
    <w:rsid w:val="7BC40083"/>
    <w:rsid w:val="7C190C57"/>
    <w:rsid w:val="7CCA556C"/>
    <w:rsid w:val="7D0510D3"/>
    <w:rsid w:val="7D305CB7"/>
    <w:rsid w:val="7D61381D"/>
    <w:rsid w:val="7E5378C2"/>
    <w:rsid w:val="7F0C4AA8"/>
    <w:rsid w:val="7F8517D9"/>
    <w:rsid w:val="7F916383"/>
    <w:rsid w:val="7FFB60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0"/>
    <w:pPr>
      <w:keepNext/>
      <w:keepLines/>
      <w:spacing w:line="360" w:lineRule="auto"/>
      <w:outlineLvl w:val="2"/>
    </w:pPr>
    <w:rPr>
      <w:rFonts w:ascii="宋体" w:hAnsi="宋体"/>
      <w:b/>
      <w:bCs/>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57</Pages>
  <Words>18761</Words>
  <Characters>21297</Characters>
  <TotalTime>0</TotalTime>
  <ScaleCrop>false</ScaleCrop>
  <LinksUpToDate>false</LinksUpToDate>
  <CharactersWithSpaces>23614</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2024-12-17T13:46:00Z</dcterms:created>
  <dc:creator>NTKO</dc:creator>
  <cp:lastModifiedBy>陈涌顺</cp:lastModifiedBy>
  <dcterms:modified xsi:type="dcterms:W3CDTF">2025-02-19T07:52:42Z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2025-01-11T09:40:32Z</vt:filetime>
  </property>
  <property fmtid="{D5CDD505-2E9C-101B-9397-08002B2CF9AE}" pid="4" name="KSOProductBuildVer">
    <vt:lpwstr>2052-12.1.0.19770</vt:lpwstr>
  </property>
  <property fmtid="{D5CDD505-2E9C-101B-9397-08002B2CF9AE}" pid="5" name="ICV">
    <vt:lpwstr>2DA79AD890DA4888A017F7858E29B3AD_12</vt:lpwstr>
  </property>
  <property fmtid="{D5CDD505-2E9C-101B-9397-08002B2CF9AE}" pid="6" name="KSOTemplateDocerSaveRecord">
    <vt:lpwstr>eyJoZGlkIjoiN2Y4MTI2M2FmY2YyZDkwYTZlZjEzMGUxMWIwM2Y3MzIiLCJ1c2VySWQiOiIxNjI0Mzk3NTQ3In0=</vt:lpwstr>
  </property>
</Properties>
</file>