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jc w:val="left"/>
        <w:rPr>
          <w:rFonts w:ascii="宋体" w:hAnsi="宋体"/>
          <w:b/>
          <w:kern w:val="44"/>
          <w:sz w:val="28"/>
          <w:szCs w:val="28"/>
        </w:rPr>
      </w:pPr>
    </w:p>
    <w:p>
      <w:pPr>
        <w:snapToGrid w:val="0"/>
        <w:jc w:val="center"/>
        <w:rPr>
          <w:b/>
          <w:color w:val="000000"/>
          <w:sz w:val="40"/>
          <w:szCs w:val="40"/>
        </w:rPr>
      </w:pPr>
      <w:r>
        <w:rPr>
          <w:rFonts w:hint="eastAsia"/>
          <w:b/>
          <w:sz w:val="48"/>
          <w:szCs w:val="48"/>
        </w:rPr>
        <w:t>台州临港热有限公司扩建项目</w:t>
      </w:r>
    </w:p>
    <w:p>
      <w:pPr>
        <w:spacing w:line="360" w:lineRule="auto"/>
        <w:jc w:val="center"/>
        <w:rPr>
          <w:sz w:val="48"/>
          <w:szCs w:val="48"/>
        </w:rPr>
      </w:pPr>
      <w:r>
        <w:rPr>
          <w:rFonts w:hint="eastAsia" w:ascii="宋体" w:hAnsi="宋体"/>
          <w:b/>
          <w:sz w:val="48"/>
          <w:szCs w:val="48"/>
        </w:rPr>
        <w:t>30MW发电机及附属设备</w:t>
      </w:r>
    </w:p>
    <w:p>
      <w:pPr>
        <w:jc w:val="center"/>
        <w:rPr>
          <w:sz w:val="36"/>
          <w:szCs w:val="36"/>
          <w:u w:val="single"/>
        </w:rPr>
      </w:pPr>
      <w:bookmarkStart w:id="0" w:name="_Toc201217838"/>
      <w:bookmarkStart w:id="1" w:name="_Toc201223355"/>
      <w:bookmarkStart w:id="2" w:name="_Toc201214356"/>
      <w:r>
        <w:rPr>
          <w:b/>
          <w:sz w:val="48"/>
          <w:szCs w:val="48"/>
        </w:rPr>
        <w:t>技术规范</w:t>
      </w:r>
      <w:bookmarkEnd w:id="0"/>
      <w:bookmarkEnd w:id="1"/>
      <w:bookmarkEnd w:id="2"/>
      <w:r>
        <w:rPr>
          <w:b/>
          <w:sz w:val="48"/>
          <w:szCs w:val="48"/>
        </w:rPr>
        <w:t>书</w:t>
      </w:r>
    </w:p>
    <w:p/>
    <w:p>
      <w:pPr>
        <w:jc w:val="center"/>
        <w:rPr>
          <w:rFonts w:hint="eastAsia" w:ascii="宋体" w:hAnsi="宋体" w:cs="宋体"/>
          <w:b/>
          <w:sz w:val="32"/>
          <w:szCs w:val="32"/>
        </w:rPr>
      </w:pPr>
    </w:p>
    <w:p>
      <w:pPr>
        <w:pStyle w:val="3"/>
        <w:rPr>
          <w:rFonts w:hint="eastAsia"/>
        </w:rPr>
      </w:pPr>
    </w:p>
    <w:p>
      <w:pPr>
        <w:adjustRightInd w:val="0"/>
        <w:snapToGrid w:val="0"/>
        <w:spacing w:line="360" w:lineRule="auto"/>
        <w:ind w:firstLine="3000" w:firstLineChars="1000"/>
        <w:jc w:val="left"/>
        <w:rPr>
          <w:rFonts w:hint="eastAsia" w:ascii="宋体" w:hAnsi="宋体" w:cs="宋体"/>
          <w:sz w:val="30"/>
          <w:szCs w:val="30"/>
          <w:u w:val="single"/>
        </w:rPr>
      </w:pPr>
      <w:r>
        <w:rPr>
          <w:rFonts w:hint="eastAsia" w:ascii="宋体" w:hAnsi="宋体" w:cs="宋体"/>
          <w:sz w:val="30"/>
          <w:szCs w:val="30"/>
        </w:rPr>
        <w:t>编写</w:t>
      </w:r>
      <w:r>
        <w:rPr>
          <w:rFonts w:hint="eastAsia" w:ascii="宋体" w:hAnsi="宋体" w:cs="宋体"/>
          <w:sz w:val="30"/>
          <w:szCs w:val="30"/>
          <w:u w:val="single"/>
        </w:rPr>
        <w:t xml:space="preserve">            </w:t>
      </w:r>
    </w:p>
    <w:p>
      <w:pPr>
        <w:adjustRightInd w:val="0"/>
        <w:snapToGrid w:val="0"/>
        <w:spacing w:line="360" w:lineRule="auto"/>
        <w:ind w:firstLine="3000" w:firstLineChars="1000"/>
        <w:jc w:val="left"/>
        <w:rPr>
          <w:rFonts w:hint="eastAsia" w:ascii="宋体" w:hAnsi="宋体" w:cs="宋体"/>
          <w:sz w:val="30"/>
          <w:szCs w:val="30"/>
        </w:rPr>
      </w:pPr>
    </w:p>
    <w:p>
      <w:pPr>
        <w:adjustRightInd w:val="0"/>
        <w:snapToGrid w:val="0"/>
        <w:spacing w:line="360" w:lineRule="auto"/>
        <w:ind w:firstLine="3000" w:firstLineChars="1000"/>
        <w:jc w:val="left"/>
        <w:rPr>
          <w:rFonts w:hint="eastAsia" w:ascii="宋体" w:hAnsi="宋体" w:cs="宋体"/>
          <w:sz w:val="30"/>
          <w:szCs w:val="30"/>
        </w:rPr>
      </w:pPr>
      <w:r>
        <w:rPr>
          <w:rFonts w:hint="eastAsia" w:ascii="宋体" w:hAnsi="宋体" w:cs="宋体"/>
          <w:sz w:val="30"/>
          <w:szCs w:val="30"/>
        </w:rPr>
        <w:t>会审</w:t>
      </w:r>
      <w:r>
        <w:rPr>
          <w:rFonts w:hint="eastAsia" w:ascii="宋体" w:hAnsi="宋体" w:cs="宋体"/>
          <w:sz w:val="30"/>
          <w:szCs w:val="30"/>
          <w:u w:val="single"/>
        </w:rPr>
        <w:t xml:space="preserve">            </w:t>
      </w:r>
    </w:p>
    <w:p>
      <w:pPr>
        <w:adjustRightInd w:val="0"/>
        <w:snapToGrid w:val="0"/>
        <w:spacing w:line="360" w:lineRule="auto"/>
        <w:ind w:firstLine="3000" w:firstLineChars="1000"/>
        <w:jc w:val="left"/>
        <w:rPr>
          <w:rFonts w:hint="eastAsia" w:ascii="宋体" w:hAnsi="宋体" w:cs="宋体"/>
          <w:sz w:val="30"/>
          <w:szCs w:val="30"/>
        </w:rPr>
      </w:pPr>
    </w:p>
    <w:p>
      <w:pPr>
        <w:adjustRightInd w:val="0"/>
        <w:snapToGrid w:val="0"/>
        <w:spacing w:line="360" w:lineRule="auto"/>
        <w:ind w:firstLine="3000" w:firstLineChars="1000"/>
        <w:jc w:val="left"/>
        <w:rPr>
          <w:rFonts w:hint="eastAsia" w:ascii="宋体" w:hAnsi="宋体" w:cs="宋体"/>
          <w:sz w:val="30"/>
          <w:szCs w:val="30"/>
        </w:rPr>
      </w:pPr>
      <w:r>
        <w:rPr>
          <w:rFonts w:hint="eastAsia" w:ascii="宋体" w:hAnsi="宋体" w:cs="宋体"/>
          <w:sz w:val="30"/>
          <w:szCs w:val="30"/>
        </w:rPr>
        <w:t>审核</w:t>
      </w:r>
      <w:r>
        <w:rPr>
          <w:rFonts w:hint="eastAsia" w:ascii="宋体" w:hAnsi="宋体" w:cs="宋体"/>
          <w:sz w:val="30"/>
          <w:szCs w:val="30"/>
          <w:u w:val="single"/>
        </w:rPr>
        <w:t xml:space="preserve">            </w:t>
      </w:r>
    </w:p>
    <w:p>
      <w:pPr>
        <w:adjustRightInd w:val="0"/>
        <w:snapToGrid w:val="0"/>
        <w:spacing w:line="360" w:lineRule="auto"/>
        <w:ind w:firstLine="3000" w:firstLineChars="1000"/>
        <w:jc w:val="left"/>
        <w:rPr>
          <w:rFonts w:hint="eastAsia" w:ascii="宋体" w:hAnsi="宋体" w:cs="宋体"/>
          <w:sz w:val="30"/>
          <w:szCs w:val="30"/>
        </w:rPr>
      </w:pPr>
    </w:p>
    <w:p>
      <w:pPr>
        <w:adjustRightInd w:val="0"/>
        <w:snapToGrid w:val="0"/>
        <w:spacing w:line="360" w:lineRule="auto"/>
        <w:ind w:firstLine="3000" w:firstLineChars="1000"/>
        <w:jc w:val="left"/>
        <w:rPr>
          <w:rFonts w:hint="eastAsia" w:ascii="宋体" w:hAnsi="宋体" w:cs="宋体"/>
          <w:sz w:val="30"/>
          <w:szCs w:val="30"/>
        </w:rPr>
      </w:pPr>
      <w:r>
        <w:rPr>
          <w:rFonts w:hint="eastAsia" w:ascii="宋体" w:hAnsi="宋体" w:cs="宋体"/>
          <w:sz w:val="30"/>
          <w:szCs w:val="30"/>
        </w:rPr>
        <w:t>批准</w:t>
      </w:r>
      <w:r>
        <w:rPr>
          <w:rFonts w:hint="eastAsia" w:ascii="宋体" w:hAnsi="宋体" w:cs="宋体"/>
          <w:sz w:val="30"/>
          <w:szCs w:val="30"/>
          <w:u w:val="single"/>
        </w:rPr>
        <w:t xml:space="preserve">            </w:t>
      </w:r>
    </w:p>
    <w:p>
      <w:pPr>
        <w:pStyle w:val="3"/>
      </w:pPr>
    </w:p>
    <w:p>
      <w:pPr>
        <w:pStyle w:val="3"/>
      </w:pPr>
    </w:p>
    <w:p/>
    <w:p/>
    <w:p>
      <w:pPr>
        <w:jc w:val="center"/>
        <w:rPr>
          <w:rFonts w:hint="eastAsia" w:ascii="宋体" w:hAnsi="宋体"/>
          <w:sz w:val="28"/>
        </w:rPr>
      </w:pPr>
      <w:r>
        <w:rPr>
          <w:sz w:val="28"/>
        </w:rPr>
        <w:t>202</w:t>
      </w:r>
      <w:r>
        <w:rPr>
          <w:rFonts w:hint="eastAsia"/>
          <w:sz w:val="28"/>
        </w:rPr>
        <w:t>5</w:t>
      </w:r>
      <w:r>
        <w:rPr>
          <w:sz w:val="28"/>
        </w:rPr>
        <w:t>年</w:t>
      </w:r>
      <w:r>
        <w:rPr>
          <w:rFonts w:hint="eastAsia"/>
          <w:sz w:val="28"/>
        </w:rPr>
        <w:t>03</w:t>
      </w:r>
      <w:r>
        <w:rPr>
          <w:sz w:val="28"/>
        </w:rPr>
        <w:t>月</w:t>
      </w:r>
    </w:p>
    <w:p>
      <w:pPr>
        <w:jc w:val="center"/>
        <w:rPr>
          <w:rFonts w:hint="eastAsia" w:ascii="宋体" w:hAnsi="宋体"/>
          <w:sz w:val="28"/>
        </w:rPr>
      </w:pPr>
    </w:p>
    <w:p>
      <w:pPr>
        <w:jc w:val="center"/>
        <w:rPr>
          <w:rFonts w:hint="eastAsia" w:ascii="宋体" w:hAnsi="宋体"/>
          <w:sz w:val="28"/>
        </w:rPr>
      </w:pPr>
    </w:p>
    <w:p>
      <w:pPr>
        <w:jc w:val="center"/>
        <w:rPr>
          <w:rFonts w:hint="eastAsia" w:ascii="宋体" w:hAnsi="宋体"/>
          <w:sz w:val="28"/>
        </w:rPr>
      </w:pPr>
    </w:p>
    <w:p>
      <w:pPr>
        <w:jc w:val="center"/>
        <w:rPr>
          <w:rFonts w:hint="eastAsia" w:ascii="宋体" w:hAnsi="宋体"/>
          <w:sz w:val="28"/>
        </w:rPr>
      </w:pPr>
    </w:p>
    <w:p>
      <w:pPr>
        <w:pStyle w:val="111"/>
        <w:pageBreakBefore/>
        <w:adjustRightInd/>
        <w:jc w:val="center"/>
        <w:textAlignment w:val="auto"/>
        <w:rPr>
          <w:rFonts w:ascii="Times New Roman"/>
          <w:b/>
          <w:kern w:val="2"/>
          <w:sz w:val="28"/>
        </w:rPr>
      </w:pPr>
      <w:r>
        <w:rPr>
          <w:rFonts w:ascii="Times New Roman"/>
          <w:b/>
          <w:sz w:val="28"/>
        </w:rPr>
        <w:t>目录</w:t>
      </w:r>
    </w:p>
    <w:p>
      <w:pPr>
        <w:snapToGrid w:val="0"/>
        <w:spacing w:line="360" w:lineRule="auto"/>
        <w:ind w:left="502"/>
        <w:rPr>
          <w:snapToGrid w:val="0"/>
          <w:position w:val="12"/>
          <w:sz w:val="24"/>
        </w:rPr>
      </w:pPr>
    </w:p>
    <w:p>
      <w:pPr>
        <w:pStyle w:val="34"/>
        <w:tabs>
          <w:tab w:val="right" w:leader="dot" w:pos="9016"/>
        </w:tabs>
        <w:rPr>
          <w:rFonts w:asciiTheme="minorHAnsi" w:hAnsiTheme="minorHAnsi" w:eastAsiaTheme="minorEastAsia" w:cstheme="minorBidi"/>
          <w:b w:val="0"/>
          <w:caps w:val="0"/>
          <w:szCs w:val="22"/>
        </w:rPr>
      </w:pPr>
      <w:r>
        <w:rPr>
          <w:b w:val="0"/>
          <w:snapToGrid w:val="0"/>
          <w:position w:val="12"/>
          <w:sz w:val="24"/>
        </w:rPr>
        <w:fldChar w:fldCharType="begin"/>
      </w:r>
      <w:r>
        <w:rPr>
          <w:rFonts w:hint="eastAsia"/>
          <w:b w:val="0"/>
          <w:snapToGrid w:val="0"/>
          <w:position w:val="12"/>
          <w:sz w:val="24"/>
        </w:rPr>
        <w:instrText xml:space="preserve">TOC \o "1-3" \h \z \u</w:instrText>
      </w:r>
      <w:r>
        <w:rPr>
          <w:b w:val="0"/>
          <w:snapToGrid w:val="0"/>
          <w:position w:val="12"/>
          <w:sz w:val="24"/>
        </w:rPr>
        <w:fldChar w:fldCharType="separate"/>
      </w:r>
      <w:r>
        <w:fldChar w:fldCharType="begin"/>
      </w:r>
      <w:r>
        <w:instrText xml:space="preserve"> HYPERLINK \l "_Toc5863359" </w:instrText>
      </w:r>
      <w:r>
        <w:fldChar w:fldCharType="separate"/>
      </w:r>
      <w:r>
        <w:rPr>
          <w:rStyle w:val="54"/>
          <w:rFonts w:hint="eastAsia"/>
          <w:color w:val="auto"/>
        </w:rPr>
        <w:t>附件</w:t>
      </w:r>
      <w:r>
        <w:rPr>
          <w:rStyle w:val="54"/>
          <w:color w:val="auto"/>
        </w:rPr>
        <w:t xml:space="preserve">1 </w:t>
      </w:r>
      <w:r>
        <w:rPr>
          <w:rStyle w:val="54"/>
          <w:rFonts w:hint="eastAsia"/>
          <w:color w:val="auto"/>
        </w:rPr>
        <w:t>技术规范</w:t>
      </w:r>
      <w:r>
        <w:tab/>
      </w:r>
      <w:r>
        <w:fldChar w:fldCharType="begin"/>
      </w:r>
      <w:r>
        <w:instrText xml:space="preserve"> PAGEREF _Toc5863359 \h </w:instrText>
      </w:r>
      <w:r>
        <w:fldChar w:fldCharType="separate"/>
      </w:r>
      <w:r>
        <w:t>1</w:t>
      </w:r>
      <w:r>
        <w:fldChar w:fldCharType="end"/>
      </w:r>
      <w:r>
        <w:fldChar w:fldCharType="end"/>
      </w:r>
    </w:p>
    <w:p>
      <w:pPr>
        <w:pStyle w:val="34"/>
        <w:tabs>
          <w:tab w:val="right" w:leader="dot" w:pos="9016"/>
        </w:tabs>
        <w:rPr>
          <w:rFonts w:asciiTheme="minorHAnsi" w:hAnsiTheme="minorHAnsi" w:eastAsiaTheme="minorEastAsia" w:cstheme="minorBidi"/>
          <w:b w:val="0"/>
          <w:caps w:val="0"/>
          <w:szCs w:val="22"/>
        </w:rPr>
      </w:pPr>
      <w:r>
        <w:fldChar w:fldCharType="begin"/>
      </w:r>
      <w:r>
        <w:instrText xml:space="preserve"> HYPERLINK \l "_Toc5863360" </w:instrText>
      </w:r>
      <w:r>
        <w:fldChar w:fldCharType="separate"/>
      </w:r>
      <w:r>
        <w:rPr>
          <w:rStyle w:val="54"/>
          <w:rFonts w:hint="eastAsia"/>
          <w:color w:val="auto"/>
        </w:rPr>
        <w:t>附件</w:t>
      </w:r>
      <w:r>
        <w:rPr>
          <w:rStyle w:val="54"/>
          <w:color w:val="auto"/>
        </w:rPr>
        <w:t>2</w:t>
      </w:r>
      <w:r>
        <w:rPr>
          <w:rStyle w:val="54"/>
          <w:rFonts w:hint="eastAsia"/>
          <w:color w:val="auto"/>
        </w:rPr>
        <w:t>供货范围</w:t>
      </w:r>
      <w:r>
        <w:tab/>
      </w:r>
      <w:r>
        <w:t>43</w:t>
      </w:r>
      <w:r>
        <w:fldChar w:fldCharType="end"/>
      </w:r>
    </w:p>
    <w:p>
      <w:pPr>
        <w:pStyle w:val="34"/>
        <w:tabs>
          <w:tab w:val="right" w:leader="dot" w:pos="9016"/>
        </w:tabs>
        <w:rPr>
          <w:rFonts w:asciiTheme="minorHAnsi" w:hAnsiTheme="minorHAnsi" w:eastAsiaTheme="minorEastAsia" w:cstheme="minorBidi"/>
          <w:b w:val="0"/>
          <w:caps w:val="0"/>
          <w:szCs w:val="22"/>
        </w:rPr>
      </w:pPr>
      <w:r>
        <w:fldChar w:fldCharType="begin"/>
      </w:r>
      <w:r>
        <w:instrText xml:space="preserve"> HYPERLINK \l "_Toc5863361" </w:instrText>
      </w:r>
      <w:r>
        <w:fldChar w:fldCharType="separate"/>
      </w:r>
      <w:r>
        <w:rPr>
          <w:rStyle w:val="54"/>
          <w:rFonts w:hint="eastAsia"/>
          <w:color w:val="auto"/>
        </w:rPr>
        <w:t>附件</w:t>
      </w:r>
      <w:r>
        <w:rPr>
          <w:rStyle w:val="54"/>
          <w:color w:val="auto"/>
        </w:rPr>
        <w:t xml:space="preserve">3  </w:t>
      </w:r>
      <w:r>
        <w:rPr>
          <w:rStyle w:val="54"/>
          <w:rFonts w:hint="eastAsia"/>
          <w:color w:val="auto"/>
        </w:rPr>
        <w:t>技术资料及交付进度</w:t>
      </w:r>
      <w:r>
        <w:tab/>
      </w:r>
      <w:r>
        <w:t>52</w:t>
      </w:r>
      <w:r>
        <w:fldChar w:fldCharType="end"/>
      </w:r>
    </w:p>
    <w:p>
      <w:pPr>
        <w:pStyle w:val="34"/>
        <w:tabs>
          <w:tab w:val="right" w:leader="dot" w:pos="9016"/>
        </w:tabs>
        <w:rPr>
          <w:rFonts w:asciiTheme="minorHAnsi" w:hAnsiTheme="minorHAnsi" w:eastAsiaTheme="minorEastAsia" w:cstheme="minorBidi"/>
          <w:b w:val="0"/>
          <w:caps w:val="0"/>
          <w:szCs w:val="22"/>
        </w:rPr>
      </w:pPr>
      <w:r>
        <w:fldChar w:fldCharType="begin"/>
      </w:r>
      <w:r>
        <w:instrText xml:space="preserve"> HYPERLINK \l "_Toc5863362" </w:instrText>
      </w:r>
      <w:r>
        <w:fldChar w:fldCharType="separate"/>
      </w:r>
      <w:r>
        <w:rPr>
          <w:rStyle w:val="54"/>
          <w:rFonts w:hint="eastAsia"/>
          <w:color w:val="auto"/>
        </w:rPr>
        <w:t>附件</w:t>
      </w:r>
      <w:r>
        <w:rPr>
          <w:rStyle w:val="54"/>
          <w:color w:val="auto"/>
        </w:rPr>
        <w:t xml:space="preserve">4  </w:t>
      </w:r>
      <w:r>
        <w:rPr>
          <w:rStyle w:val="54"/>
          <w:rFonts w:hint="eastAsia"/>
          <w:color w:val="auto"/>
        </w:rPr>
        <w:t>交货进度</w:t>
      </w:r>
      <w:r>
        <w:tab/>
      </w:r>
      <w:r>
        <w:t>59</w:t>
      </w:r>
      <w:r>
        <w:fldChar w:fldCharType="end"/>
      </w:r>
    </w:p>
    <w:p>
      <w:pPr>
        <w:pStyle w:val="34"/>
        <w:tabs>
          <w:tab w:val="right" w:leader="dot" w:pos="9016"/>
        </w:tabs>
        <w:rPr>
          <w:rFonts w:asciiTheme="minorHAnsi" w:hAnsiTheme="minorHAnsi" w:eastAsiaTheme="minorEastAsia" w:cstheme="minorBidi"/>
          <w:b w:val="0"/>
          <w:caps w:val="0"/>
          <w:szCs w:val="22"/>
        </w:rPr>
      </w:pPr>
      <w:r>
        <w:fldChar w:fldCharType="begin"/>
      </w:r>
      <w:r>
        <w:instrText xml:space="preserve"> HYPERLINK \l "_Toc5863363" </w:instrText>
      </w:r>
      <w:r>
        <w:fldChar w:fldCharType="separate"/>
      </w:r>
      <w:r>
        <w:rPr>
          <w:rStyle w:val="54"/>
          <w:rFonts w:hint="eastAsia"/>
          <w:color w:val="auto"/>
        </w:rPr>
        <w:t>附件</w:t>
      </w:r>
      <w:r>
        <w:rPr>
          <w:rStyle w:val="54"/>
          <w:color w:val="auto"/>
        </w:rPr>
        <w:t xml:space="preserve">5  </w:t>
      </w:r>
      <w:r>
        <w:rPr>
          <w:rStyle w:val="54"/>
          <w:rFonts w:hint="eastAsia"/>
          <w:color w:val="auto"/>
        </w:rPr>
        <w:t>设备监造、设备的出厂检验和性能验收试验</w:t>
      </w:r>
      <w:r>
        <w:tab/>
      </w:r>
      <w:r>
        <w:t>60</w:t>
      </w:r>
      <w:r>
        <w:fldChar w:fldCharType="end"/>
      </w:r>
    </w:p>
    <w:p>
      <w:pPr>
        <w:pStyle w:val="34"/>
        <w:tabs>
          <w:tab w:val="right" w:leader="dot" w:pos="9016"/>
        </w:tabs>
        <w:rPr>
          <w:rFonts w:asciiTheme="minorHAnsi" w:hAnsiTheme="minorHAnsi" w:eastAsiaTheme="minorEastAsia" w:cstheme="minorBidi"/>
          <w:b w:val="0"/>
          <w:caps w:val="0"/>
          <w:szCs w:val="22"/>
        </w:rPr>
      </w:pPr>
      <w:r>
        <w:fldChar w:fldCharType="begin"/>
      </w:r>
      <w:r>
        <w:instrText xml:space="preserve"> HYPERLINK \l "_Toc5863364" </w:instrText>
      </w:r>
      <w:r>
        <w:fldChar w:fldCharType="separate"/>
      </w:r>
      <w:r>
        <w:rPr>
          <w:rStyle w:val="54"/>
          <w:rFonts w:hint="eastAsia"/>
          <w:color w:val="auto"/>
        </w:rPr>
        <w:t>附件</w:t>
      </w:r>
      <w:r>
        <w:rPr>
          <w:rStyle w:val="54"/>
          <w:color w:val="auto"/>
        </w:rPr>
        <w:t xml:space="preserve">6  </w:t>
      </w:r>
      <w:r>
        <w:rPr>
          <w:rStyle w:val="54"/>
          <w:rFonts w:hint="eastAsia"/>
          <w:color w:val="auto"/>
        </w:rPr>
        <w:t>技术服务和设计联络</w:t>
      </w:r>
      <w:r>
        <w:tab/>
      </w:r>
      <w:r>
        <w:t>71</w:t>
      </w:r>
      <w:r>
        <w:fldChar w:fldCharType="end"/>
      </w:r>
    </w:p>
    <w:p>
      <w:pPr>
        <w:pStyle w:val="34"/>
        <w:tabs>
          <w:tab w:val="right" w:leader="dot" w:pos="9016"/>
        </w:tabs>
        <w:rPr>
          <w:rFonts w:asciiTheme="minorHAnsi" w:hAnsiTheme="minorHAnsi" w:eastAsiaTheme="minorEastAsia" w:cstheme="minorBidi"/>
          <w:b w:val="0"/>
          <w:caps w:val="0"/>
          <w:szCs w:val="22"/>
        </w:rPr>
      </w:pPr>
      <w:r>
        <w:fldChar w:fldCharType="begin"/>
      </w:r>
      <w:r>
        <w:instrText xml:space="preserve"> HYPERLINK \l "_Toc5863365" </w:instrText>
      </w:r>
      <w:r>
        <w:fldChar w:fldCharType="separate"/>
      </w:r>
      <w:r>
        <w:rPr>
          <w:rStyle w:val="54"/>
          <w:rFonts w:hint="eastAsia"/>
          <w:color w:val="auto"/>
        </w:rPr>
        <w:t>附件</w:t>
      </w:r>
      <w:r>
        <w:rPr>
          <w:rStyle w:val="54"/>
          <w:color w:val="auto"/>
        </w:rPr>
        <w:t xml:space="preserve">7  </w:t>
      </w:r>
      <w:r>
        <w:rPr>
          <w:rStyle w:val="54"/>
          <w:rFonts w:hint="eastAsia"/>
          <w:color w:val="auto"/>
        </w:rPr>
        <w:t>分包与外购</w:t>
      </w:r>
      <w:r>
        <w:tab/>
      </w:r>
      <w:r>
        <w:t>75</w:t>
      </w:r>
      <w:r>
        <w:fldChar w:fldCharType="end"/>
      </w:r>
    </w:p>
    <w:p>
      <w:pPr>
        <w:pStyle w:val="34"/>
        <w:tabs>
          <w:tab w:val="right" w:leader="dot" w:pos="9016"/>
        </w:tabs>
        <w:rPr>
          <w:rFonts w:asciiTheme="minorHAnsi" w:hAnsiTheme="minorHAnsi" w:eastAsiaTheme="minorEastAsia" w:cstheme="minorBidi"/>
          <w:b w:val="0"/>
          <w:caps w:val="0"/>
          <w:szCs w:val="22"/>
        </w:rPr>
      </w:pPr>
      <w:r>
        <w:fldChar w:fldCharType="begin"/>
      </w:r>
      <w:r>
        <w:instrText xml:space="preserve"> HYPERLINK \l "_Toc5863366" </w:instrText>
      </w:r>
      <w:r>
        <w:fldChar w:fldCharType="separate"/>
      </w:r>
      <w:r>
        <w:rPr>
          <w:rStyle w:val="54"/>
          <w:rFonts w:hint="eastAsia"/>
          <w:color w:val="auto"/>
        </w:rPr>
        <w:t>附件</w:t>
      </w:r>
      <w:r>
        <w:rPr>
          <w:rStyle w:val="54"/>
          <w:color w:val="auto"/>
        </w:rPr>
        <w:t xml:space="preserve">8  </w:t>
      </w:r>
      <w:r>
        <w:rPr>
          <w:rStyle w:val="54"/>
          <w:rFonts w:hint="eastAsia"/>
          <w:color w:val="auto"/>
        </w:rPr>
        <w:t>运行维护手册编写格式</w:t>
      </w:r>
      <w:r>
        <w:tab/>
      </w:r>
      <w:r>
        <w:t>76</w:t>
      </w:r>
      <w:r>
        <w:fldChar w:fldCharType="end"/>
      </w:r>
    </w:p>
    <w:p>
      <w:pPr>
        <w:pStyle w:val="34"/>
        <w:tabs>
          <w:tab w:val="right" w:leader="dot" w:pos="9016"/>
        </w:tabs>
        <w:rPr>
          <w:rFonts w:asciiTheme="minorHAnsi" w:hAnsiTheme="minorHAnsi" w:eastAsiaTheme="minorEastAsia" w:cstheme="minorBidi"/>
          <w:b w:val="0"/>
          <w:caps w:val="0"/>
          <w:szCs w:val="22"/>
        </w:rPr>
      </w:pPr>
      <w:r>
        <w:fldChar w:fldCharType="begin"/>
      </w:r>
      <w:r>
        <w:instrText xml:space="preserve"> HYPERLINK \l "_Toc5863367" </w:instrText>
      </w:r>
      <w:r>
        <w:fldChar w:fldCharType="separate"/>
      </w:r>
      <w:r>
        <w:rPr>
          <w:rStyle w:val="54"/>
          <w:rFonts w:hint="eastAsia"/>
          <w:color w:val="auto"/>
        </w:rPr>
        <w:t>附件</w:t>
      </w:r>
      <w:r>
        <w:rPr>
          <w:rStyle w:val="54"/>
          <w:color w:val="auto"/>
        </w:rPr>
        <w:t xml:space="preserve">9  </w:t>
      </w:r>
      <w:r>
        <w:rPr>
          <w:rStyle w:val="54"/>
          <w:rFonts w:hint="eastAsia"/>
          <w:color w:val="auto"/>
        </w:rPr>
        <w:t>大（部）件情况</w:t>
      </w:r>
      <w:r>
        <w:tab/>
      </w:r>
      <w:r>
        <w:t>78</w:t>
      </w:r>
      <w:r>
        <w:fldChar w:fldCharType="end"/>
      </w:r>
    </w:p>
    <w:p>
      <w:pPr>
        <w:pStyle w:val="34"/>
        <w:tabs>
          <w:tab w:val="right" w:leader="dot" w:pos="9016"/>
        </w:tabs>
        <w:rPr>
          <w:rFonts w:asciiTheme="minorHAnsi" w:hAnsiTheme="minorHAnsi" w:eastAsiaTheme="minorEastAsia" w:cstheme="minorBidi"/>
          <w:b w:val="0"/>
          <w:caps w:val="0"/>
          <w:szCs w:val="22"/>
        </w:rPr>
      </w:pPr>
      <w:r>
        <w:fldChar w:fldCharType="begin"/>
      </w:r>
      <w:r>
        <w:instrText xml:space="preserve"> HYPERLINK \l "_Toc5863368" </w:instrText>
      </w:r>
      <w:r>
        <w:fldChar w:fldCharType="separate"/>
      </w:r>
      <w:r>
        <w:rPr>
          <w:rStyle w:val="54"/>
          <w:rFonts w:hint="eastAsia"/>
          <w:color w:val="auto"/>
        </w:rPr>
        <w:t>附件</w:t>
      </w:r>
      <w:r>
        <w:rPr>
          <w:rStyle w:val="54"/>
          <w:color w:val="auto"/>
        </w:rPr>
        <w:t xml:space="preserve">10 </w:t>
      </w:r>
      <w:r>
        <w:rPr>
          <w:rStyle w:val="54"/>
          <w:rFonts w:hint="eastAsia"/>
          <w:color w:val="auto"/>
        </w:rPr>
        <w:t>业绩及用户评价</w:t>
      </w:r>
      <w:r>
        <w:tab/>
      </w:r>
      <w:r>
        <w:t>79</w:t>
      </w:r>
      <w:r>
        <w:fldChar w:fldCharType="end"/>
      </w:r>
    </w:p>
    <w:p>
      <w:pPr>
        <w:pStyle w:val="34"/>
        <w:tabs>
          <w:tab w:val="right" w:leader="dot" w:pos="9016"/>
        </w:tabs>
        <w:rPr>
          <w:rFonts w:asciiTheme="minorHAnsi" w:hAnsiTheme="minorHAnsi" w:eastAsiaTheme="minorEastAsia" w:cstheme="minorBidi"/>
          <w:b w:val="0"/>
          <w:caps w:val="0"/>
          <w:szCs w:val="22"/>
        </w:rPr>
      </w:pPr>
      <w:r>
        <w:fldChar w:fldCharType="begin"/>
      </w:r>
      <w:r>
        <w:instrText xml:space="preserve"> HYPERLINK \l "_Toc5863369" </w:instrText>
      </w:r>
      <w:r>
        <w:fldChar w:fldCharType="separate"/>
      </w:r>
      <w:r>
        <w:rPr>
          <w:rStyle w:val="54"/>
          <w:rFonts w:hint="eastAsia"/>
          <w:color w:val="auto"/>
        </w:rPr>
        <w:t>附件</w:t>
      </w:r>
      <w:r>
        <w:rPr>
          <w:rStyle w:val="54"/>
          <w:color w:val="auto"/>
        </w:rPr>
        <w:t xml:space="preserve">11  </w:t>
      </w:r>
      <w:r>
        <w:rPr>
          <w:rStyle w:val="54"/>
          <w:rFonts w:hint="eastAsia"/>
          <w:color w:val="auto"/>
        </w:rPr>
        <w:t>技术差异表</w:t>
      </w:r>
      <w:r>
        <w:tab/>
      </w:r>
      <w:r>
        <w:t>80</w:t>
      </w:r>
      <w:r>
        <w:fldChar w:fldCharType="end"/>
      </w:r>
    </w:p>
    <w:p>
      <w:pPr>
        <w:pStyle w:val="34"/>
        <w:tabs>
          <w:tab w:val="right" w:leader="dot" w:pos="9016"/>
        </w:tabs>
        <w:rPr>
          <w:rFonts w:asciiTheme="minorHAnsi" w:hAnsiTheme="minorHAnsi" w:eastAsiaTheme="minorEastAsia" w:cstheme="minorBidi"/>
          <w:b w:val="0"/>
          <w:caps w:val="0"/>
          <w:szCs w:val="22"/>
        </w:rPr>
      </w:pPr>
      <w:r>
        <w:fldChar w:fldCharType="begin"/>
      </w:r>
      <w:r>
        <w:instrText xml:space="preserve"> HYPERLINK \l "_Toc5863370" </w:instrText>
      </w:r>
      <w:r>
        <w:fldChar w:fldCharType="separate"/>
      </w:r>
      <w:r>
        <w:rPr>
          <w:rStyle w:val="54"/>
          <w:rFonts w:hint="eastAsia"/>
          <w:color w:val="auto"/>
        </w:rPr>
        <w:t>附件</w:t>
      </w:r>
      <w:r>
        <w:rPr>
          <w:rStyle w:val="54"/>
          <w:color w:val="auto"/>
        </w:rPr>
        <w:t xml:space="preserve">12  </w:t>
      </w:r>
      <w:r>
        <w:rPr>
          <w:rStyle w:val="54"/>
          <w:rFonts w:hint="eastAsia"/>
          <w:color w:val="auto"/>
        </w:rPr>
        <w:t>订货情况和排产计划说明</w:t>
      </w:r>
      <w:r>
        <w:tab/>
      </w:r>
      <w:r>
        <w:t>81</w:t>
      </w:r>
      <w:r>
        <w:fldChar w:fldCharType="end"/>
      </w:r>
    </w:p>
    <w:p>
      <w:pPr>
        <w:pStyle w:val="34"/>
        <w:tabs>
          <w:tab w:val="right" w:leader="dot" w:pos="9016"/>
        </w:tabs>
        <w:rPr>
          <w:rFonts w:asciiTheme="minorHAnsi" w:hAnsiTheme="minorHAnsi" w:eastAsiaTheme="minorEastAsia" w:cstheme="minorBidi"/>
          <w:b w:val="0"/>
          <w:caps w:val="0"/>
          <w:szCs w:val="22"/>
        </w:rPr>
      </w:pPr>
      <w:r>
        <w:fldChar w:fldCharType="begin"/>
      </w:r>
      <w:r>
        <w:instrText xml:space="preserve"> HYPERLINK \l "_Toc5863371" </w:instrText>
      </w:r>
      <w:r>
        <w:fldChar w:fldCharType="separate"/>
      </w:r>
      <w:r>
        <w:rPr>
          <w:rStyle w:val="54"/>
          <w:rFonts w:hint="eastAsia"/>
          <w:color w:val="auto"/>
        </w:rPr>
        <w:t>附件</w:t>
      </w:r>
      <w:r>
        <w:rPr>
          <w:rStyle w:val="54"/>
          <w:color w:val="auto"/>
        </w:rPr>
        <w:t xml:space="preserve">13 </w:t>
      </w:r>
      <w:r>
        <w:rPr>
          <w:rStyle w:val="54"/>
          <w:rFonts w:hint="eastAsia"/>
          <w:color w:val="auto"/>
        </w:rPr>
        <w:t>投标人需要说明的其他问题（质量承诺及售后服务承诺等）</w:t>
      </w:r>
      <w:r>
        <w:tab/>
      </w:r>
      <w:r>
        <w:t>82</w:t>
      </w:r>
      <w:r>
        <w:fldChar w:fldCharType="end"/>
      </w:r>
    </w:p>
    <w:p>
      <w:pPr>
        <w:pStyle w:val="34"/>
        <w:tabs>
          <w:tab w:val="right" w:leader="dot" w:pos="9016"/>
        </w:tabs>
        <w:rPr>
          <w:rFonts w:asciiTheme="minorHAnsi" w:hAnsiTheme="minorHAnsi" w:eastAsiaTheme="minorEastAsia" w:cstheme="minorBidi"/>
          <w:b w:val="0"/>
          <w:caps w:val="0"/>
          <w:szCs w:val="22"/>
        </w:rPr>
      </w:pPr>
      <w:r>
        <w:fldChar w:fldCharType="begin"/>
      </w:r>
      <w:r>
        <w:instrText xml:space="preserve"> HYPERLINK \l "_Toc5863372" </w:instrText>
      </w:r>
      <w:r>
        <w:fldChar w:fldCharType="separate"/>
      </w:r>
      <w:r>
        <w:rPr>
          <w:rStyle w:val="54"/>
          <w:rFonts w:hint="eastAsia"/>
          <w:color w:val="auto"/>
        </w:rPr>
        <w:t>附件</w:t>
      </w:r>
      <w:r>
        <w:rPr>
          <w:rStyle w:val="54"/>
          <w:color w:val="auto"/>
        </w:rPr>
        <w:t>14</w:t>
      </w:r>
      <w:r>
        <w:rPr>
          <w:rStyle w:val="54"/>
          <w:rFonts w:hint="eastAsia"/>
          <w:color w:val="auto"/>
        </w:rPr>
        <w:t>工程概况及机组运行条件</w:t>
      </w:r>
      <w:r>
        <w:tab/>
      </w:r>
      <w:r>
        <w:t>83</w:t>
      </w:r>
      <w:r>
        <w:fldChar w:fldCharType="end"/>
      </w:r>
    </w:p>
    <w:p>
      <w:pPr>
        <w:pStyle w:val="34"/>
        <w:tabs>
          <w:tab w:val="right" w:leader="dot" w:pos="9016"/>
        </w:tabs>
        <w:rPr>
          <w:rFonts w:asciiTheme="minorHAnsi" w:hAnsiTheme="minorHAnsi" w:eastAsiaTheme="minorEastAsia" w:cstheme="minorBidi"/>
          <w:b w:val="0"/>
          <w:caps w:val="0"/>
          <w:szCs w:val="22"/>
        </w:rPr>
      </w:pPr>
      <w:r>
        <w:fldChar w:fldCharType="begin"/>
      </w:r>
      <w:r>
        <w:instrText xml:space="preserve"> HYPERLINK \l "_Toc5863373" </w:instrText>
      </w:r>
      <w:r>
        <w:fldChar w:fldCharType="separate"/>
      </w:r>
      <w:r>
        <w:rPr>
          <w:rStyle w:val="54"/>
          <w:rFonts w:hint="eastAsia"/>
          <w:color w:val="auto"/>
        </w:rPr>
        <w:t>附件</w:t>
      </w:r>
      <w:r>
        <w:rPr>
          <w:rStyle w:val="54"/>
          <w:color w:val="auto"/>
        </w:rPr>
        <w:t xml:space="preserve">15 </w:t>
      </w:r>
      <w:r>
        <w:rPr>
          <w:rStyle w:val="54"/>
          <w:rFonts w:hint="eastAsia"/>
          <w:color w:val="auto"/>
        </w:rPr>
        <w:t>附图</w:t>
      </w:r>
      <w:r>
        <w:tab/>
      </w:r>
      <w:r>
        <w:t>87</w:t>
      </w:r>
      <w:r>
        <w:fldChar w:fldCharType="end"/>
      </w:r>
    </w:p>
    <w:p>
      <w:pPr>
        <w:pStyle w:val="34"/>
        <w:tabs>
          <w:tab w:val="right" w:leader="dot" w:pos="9016"/>
        </w:tabs>
        <w:rPr>
          <w:rFonts w:asciiTheme="minorHAnsi" w:hAnsiTheme="minorHAnsi" w:eastAsiaTheme="minorEastAsia" w:cstheme="minorBidi"/>
          <w:b w:val="0"/>
          <w:caps w:val="0"/>
          <w:szCs w:val="22"/>
        </w:rPr>
      </w:pPr>
      <w:r>
        <w:fldChar w:fldCharType="begin"/>
      </w:r>
      <w:r>
        <w:instrText xml:space="preserve"> HYPERLINK \l "_Toc5863374" </w:instrText>
      </w:r>
      <w:r>
        <w:fldChar w:fldCharType="separate"/>
      </w:r>
      <w:r>
        <w:rPr>
          <w:rStyle w:val="54"/>
          <w:rFonts w:hint="eastAsia"/>
          <w:color w:val="auto"/>
        </w:rPr>
        <w:t>附件</w:t>
      </w:r>
      <w:r>
        <w:rPr>
          <w:rStyle w:val="54"/>
          <w:color w:val="auto"/>
        </w:rPr>
        <w:t xml:space="preserve">16 </w:t>
      </w:r>
      <w:r>
        <w:rPr>
          <w:rStyle w:val="54"/>
          <w:rFonts w:hint="eastAsia"/>
          <w:color w:val="auto"/>
        </w:rPr>
        <w:t>性能考核</w:t>
      </w:r>
      <w:r>
        <w:tab/>
      </w:r>
      <w:r>
        <w:t>88</w:t>
      </w:r>
      <w:r>
        <w:fldChar w:fldCharType="end"/>
      </w:r>
    </w:p>
    <w:p>
      <w:pPr>
        <w:snapToGrid w:val="0"/>
        <w:spacing w:line="360" w:lineRule="auto"/>
        <w:ind w:left="502" w:firstLine="236"/>
        <w:sectPr>
          <w:footerReference r:id="rId3" w:type="default"/>
          <w:pgSz w:w="11906" w:h="16838"/>
          <w:pgMar w:top="1440" w:right="1440" w:bottom="1440" w:left="1440" w:header="1588" w:footer="1077" w:gutter="0"/>
          <w:pgNumType w:start="1"/>
          <w:cols w:space="720" w:num="1"/>
          <w:docGrid w:linePitch="312" w:charSpace="0"/>
        </w:sectPr>
      </w:pPr>
      <w:r>
        <w:rPr>
          <w:snapToGrid w:val="0"/>
          <w:position w:val="12"/>
          <w:sz w:val="24"/>
        </w:rPr>
        <w:fldChar w:fldCharType="end"/>
      </w:r>
    </w:p>
    <w:p>
      <w:pPr>
        <w:pStyle w:val="20"/>
        <w:snapToGrid w:val="0"/>
        <w:outlineLvl w:val="0"/>
        <w:rPr>
          <w:rFonts w:ascii="Times New Roman"/>
          <w:b/>
        </w:rPr>
      </w:pPr>
      <w:bookmarkStart w:id="3" w:name="_Toc5863359"/>
      <w:r>
        <w:rPr>
          <w:rFonts w:ascii="Times New Roman"/>
          <w:b/>
        </w:rPr>
        <w:t>附件1 技术规范</w:t>
      </w:r>
      <w:bookmarkEnd w:id="3"/>
    </w:p>
    <w:p>
      <w:pPr>
        <w:pStyle w:val="20"/>
        <w:snapToGrid w:val="0"/>
        <w:rPr>
          <w:rFonts w:ascii="Times New Roman"/>
          <w:b/>
        </w:rPr>
      </w:pPr>
      <w:r>
        <w:rPr>
          <w:rFonts w:ascii="Times New Roman"/>
          <w:b/>
        </w:rPr>
        <w:t xml:space="preserve">1. </w:t>
      </w:r>
      <w:r>
        <w:rPr>
          <w:rFonts w:ascii="Times New Roman"/>
          <w:b/>
          <w:sz w:val="24"/>
          <w:szCs w:val="24"/>
        </w:rPr>
        <w:t>总则</w:t>
      </w:r>
    </w:p>
    <w:p>
      <w:pPr>
        <w:pStyle w:val="20"/>
        <w:snapToGrid w:val="0"/>
        <w:rPr>
          <w:rFonts w:ascii="Times New Roman"/>
          <w:b/>
          <w:sz w:val="24"/>
        </w:rPr>
      </w:pPr>
      <w:r>
        <w:rPr>
          <w:rFonts w:ascii="Times New Roman"/>
          <w:b/>
          <w:sz w:val="24"/>
        </w:rPr>
        <w:t>1.1概述</w:t>
      </w:r>
    </w:p>
    <w:p>
      <w:pPr>
        <w:pStyle w:val="20"/>
        <w:rPr>
          <w:rFonts w:ascii="Times New Roman"/>
          <w:sz w:val="24"/>
        </w:rPr>
      </w:pPr>
      <w:r>
        <w:rPr>
          <w:rFonts w:hint="eastAsia" w:ascii="Times New Roman"/>
          <w:sz w:val="24"/>
        </w:rPr>
        <w:t>1.1.1</w:t>
      </w:r>
      <w:r>
        <w:rPr>
          <w:rFonts w:ascii="Times New Roman"/>
          <w:sz w:val="24"/>
        </w:rPr>
        <w:t>本</w:t>
      </w:r>
      <w:r>
        <w:rPr>
          <w:rFonts w:hint="eastAsia" w:ascii="Times New Roman"/>
          <w:sz w:val="24"/>
        </w:rPr>
        <w:t>技术规范书</w:t>
      </w:r>
      <w:r>
        <w:rPr>
          <w:rFonts w:ascii="Times New Roman"/>
          <w:sz w:val="24"/>
        </w:rPr>
        <w:t>仅适用于</w:t>
      </w:r>
      <w:r>
        <w:rPr>
          <w:rFonts w:hint="eastAsia" w:ascii="Times New Roman"/>
          <w:sz w:val="24"/>
        </w:rPr>
        <w:t>台州临港热电有限公司扩建项目汽轮发电机及其附属设备招标</w:t>
      </w:r>
      <w:r>
        <w:rPr>
          <w:rFonts w:ascii="Times New Roman"/>
          <w:sz w:val="24"/>
        </w:rPr>
        <w:t>，它提出设备的功能设计、结构、性能、制造、安装和试验等方面的技术要求。投标人投标时，应按项目分别详细说明技术方案并分别列出全部技术数据。</w:t>
      </w:r>
    </w:p>
    <w:p>
      <w:pPr>
        <w:pStyle w:val="20"/>
        <w:rPr>
          <w:rFonts w:ascii="Times New Roman"/>
          <w:sz w:val="24"/>
        </w:rPr>
      </w:pPr>
      <w:r>
        <w:rPr>
          <w:rFonts w:hint="eastAsia" w:ascii="Times New Roman"/>
          <w:sz w:val="24"/>
        </w:rPr>
        <w:t>1.1.2本技术规范书</w:t>
      </w:r>
      <w:r>
        <w:rPr>
          <w:rFonts w:ascii="Times New Roman"/>
          <w:sz w:val="24"/>
        </w:rPr>
        <w:t>所提及的要求和供货范围都是最低限度的要求，并未对一切技术细节作出规定，也未充分地详述有关标准和规范的条文，投标人应保证提供符合本</w:t>
      </w:r>
      <w:r>
        <w:rPr>
          <w:rFonts w:hint="eastAsia" w:ascii="Times New Roman"/>
          <w:sz w:val="24"/>
        </w:rPr>
        <w:t>技术规范书</w:t>
      </w:r>
      <w:r>
        <w:rPr>
          <w:rFonts w:ascii="Times New Roman"/>
          <w:sz w:val="24"/>
        </w:rPr>
        <w:t>和工业标准的功能齐全的优质产品及其相应服务。</w:t>
      </w:r>
      <w:r>
        <w:rPr>
          <w:rFonts w:ascii="Times New Roman"/>
          <w:spacing w:val="5"/>
          <w:sz w:val="24"/>
        </w:rPr>
        <w:t>对国家有关安全、环保等强制性标准必须满足其要求。</w:t>
      </w:r>
    </w:p>
    <w:p>
      <w:pPr>
        <w:pStyle w:val="20"/>
        <w:rPr>
          <w:rFonts w:ascii="Times New Roman"/>
          <w:sz w:val="24"/>
        </w:rPr>
      </w:pPr>
      <w:r>
        <w:rPr>
          <w:rFonts w:ascii="Times New Roman"/>
          <w:sz w:val="24"/>
        </w:rPr>
        <w:t>1.1.3如投标人没有对本</w:t>
      </w:r>
      <w:r>
        <w:rPr>
          <w:rFonts w:hint="eastAsia" w:ascii="Times New Roman"/>
          <w:sz w:val="24"/>
        </w:rPr>
        <w:t>技术规范书</w:t>
      </w:r>
      <w:r>
        <w:rPr>
          <w:rFonts w:ascii="Times New Roman"/>
          <w:sz w:val="24"/>
        </w:rPr>
        <w:t>提出书面偏差，招标人则可认为投标人完全接受和同意本</w:t>
      </w:r>
      <w:r>
        <w:rPr>
          <w:rFonts w:hint="eastAsia" w:ascii="Times New Roman"/>
          <w:sz w:val="24"/>
        </w:rPr>
        <w:t>技术规范书</w:t>
      </w:r>
      <w:r>
        <w:rPr>
          <w:rFonts w:ascii="Times New Roman"/>
          <w:sz w:val="24"/>
        </w:rPr>
        <w:t>的要求。无论有无偏差都必须清楚地表示在投标文件所附的差异表中。</w:t>
      </w:r>
    </w:p>
    <w:p>
      <w:pPr>
        <w:pStyle w:val="20"/>
        <w:rPr>
          <w:rFonts w:ascii="Times New Roman"/>
          <w:spacing w:val="5"/>
          <w:sz w:val="24"/>
        </w:rPr>
      </w:pPr>
      <w:r>
        <w:rPr>
          <w:rFonts w:ascii="Times New Roman"/>
          <w:sz w:val="24"/>
        </w:rPr>
        <w:t>1.1.4</w:t>
      </w:r>
      <w:r>
        <w:rPr>
          <w:rFonts w:ascii="Times New Roman"/>
          <w:spacing w:val="5"/>
          <w:sz w:val="24"/>
        </w:rPr>
        <w:t>投标人应在投标文件中，对</w:t>
      </w:r>
      <w:r>
        <w:rPr>
          <w:rFonts w:hint="eastAsia" w:ascii="Times New Roman"/>
          <w:spacing w:val="5"/>
          <w:sz w:val="24"/>
        </w:rPr>
        <w:t>技术规范书</w:t>
      </w:r>
      <w:r>
        <w:rPr>
          <w:rFonts w:ascii="Times New Roman"/>
          <w:spacing w:val="5"/>
          <w:sz w:val="24"/>
        </w:rPr>
        <w:t>进行逐段应答，表明是否接受和同意本</w:t>
      </w:r>
      <w:r>
        <w:rPr>
          <w:rFonts w:hint="eastAsia" w:ascii="Times New Roman"/>
          <w:spacing w:val="5"/>
          <w:sz w:val="24"/>
        </w:rPr>
        <w:t>技术规范书</w:t>
      </w:r>
      <w:r>
        <w:rPr>
          <w:rFonts w:ascii="Times New Roman"/>
          <w:spacing w:val="5"/>
          <w:sz w:val="24"/>
        </w:rPr>
        <w:t>的要求，如：接受和同意</w:t>
      </w:r>
      <w:r>
        <w:rPr>
          <w:rFonts w:hint="eastAsia" w:ascii="Times New Roman"/>
          <w:spacing w:val="5"/>
          <w:sz w:val="24"/>
        </w:rPr>
        <w:t>技术规范书</w:t>
      </w:r>
      <w:r>
        <w:rPr>
          <w:rFonts w:ascii="Times New Roman"/>
          <w:spacing w:val="5"/>
          <w:sz w:val="24"/>
        </w:rPr>
        <w:t>某条款的要求，则在该条款后注明：</w:t>
      </w:r>
      <w:r>
        <w:rPr>
          <w:rFonts w:hint="eastAsia" w:asciiTheme="majorEastAsia" w:hAnsiTheme="majorEastAsia" w:eastAsiaTheme="majorEastAsia"/>
          <w:spacing w:val="5"/>
          <w:sz w:val="24"/>
        </w:rPr>
        <w:t>“理解并承诺完全</w:t>
      </w:r>
      <w:r>
        <w:rPr>
          <w:rFonts w:hint="eastAsia" w:asciiTheme="majorEastAsia" w:hAnsiTheme="majorEastAsia" w:eastAsiaTheme="majorEastAsia"/>
          <w:kern w:val="2"/>
          <w:sz w:val="24"/>
        </w:rPr>
        <w:t>响应上述条款的要求”</w:t>
      </w:r>
      <w:r>
        <w:rPr>
          <w:rFonts w:hint="eastAsia" w:ascii="Times New Roman"/>
          <w:kern w:val="2"/>
          <w:sz w:val="24"/>
        </w:rPr>
        <w:t>；</w:t>
      </w:r>
      <w:r>
        <w:rPr>
          <w:rFonts w:ascii="Times New Roman"/>
          <w:spacing w:val="5"/>
          <w:sz w:val="24"/>
        </w:rPr>
        <w:t>若针对某条款，投标人有特别的建议、方案、技术特点或差异，请在该条款下加以描述和说明。</w:t>
      </w:r>
    </w:p>
    <w:p>
      <w:pPr>
        <w:spacing w:line="360" w:lineRule="auto"/>
        <w:rPr>
          <w:spacing w:val="5"/>
          <w:sz w:val="24"/>
        </w:rPr>
      </w:pPr>
      <w:r>
        <w:rPr>
          <w:spacing w:val="5"/>
          <w:sz w:val="24"/>
        </w:rPr>
        <w:t>1.1.5投标人应执行本</w:t>
      </w:r>
      <w:r>
        <w:rPr>
          <w:rFonts w:hint="eastAsia"/>
          <w:spacing w:val="5"/>
          <w:sz w:val="24"/>
        </w:rPr>
        <w:t>技术规范书</w:t>
      </w:r>
      <w:r>
        <w:rPr>
          <w:spacing w:val="5"/>
          <w:sz w:val="24"/>
        </w:rPr>
        <w:t>所列标准，有不一致时，按较高标准执行。投标人在设备设计和制造中所涉及的各项规程、规范和标准必须遵循现行最新标准版本。若投标人所提供的投标文件前后有不一致的地方，应以更有利于设备安装运行、工程质量为原则，由招标人确定。</w:t>
      </w:r>
    </w:p>
    <w:p>
      <w:pPr>
        <w:spacing w:line="360" w:lineRule="auto"/>
        <w:rPr>
          <w:spacing w:val="5"/>
          <w:sz w:val="24"/>
        </w:rPr>
      </w:pPr>
      <w:r>
        <w:rPr>
          <w:spacing w:val="5"/>
          <w:sz w:val="24"/>
        </w:rPr>
        <w:t>1.1.6在合同签定后，招标人有权因规范、标准、规程发生变化而提出一些补充要求，在设备投料生产前，投标人应在设计上给以修改。</w:t>
      </w:r>
    </w:p>
    <w:p>
      <w:pPr>
        <w:spacing w:line="360" w:lineRule="auto"/>
        <w:rPr>
          <w:sz w:val="24"/>
        </w:rPr>
      </w:pPr>
      <w:r>
        <w:rPr>
          <w:spacing w:val="5"/>
          <w:sz w:val="24"/>
        </w:rPr>
        <w:t>1.1.7</w:t>
      </w:r>
      <w:r>
        <w:rPr>
          <w:sz w:val="24"/>
        </w:rPr>
        <w:t>规范书经招投标双方确认后，作为合同的附件，与合同正文具有同等的法律效力。投标人中标后，投标文件经技术澄清后，承诺内容和技术协议具有同等约束力，与订货合同正文具有同等效力。</w:t>
      </w:r>
    </w:p>
    <w:p>
      <w:pPr>
        <w:spacing w:line="360" w:lineRule="auto"/>
        <w:rPr>
          <w:sz w:val="24"/>
        </w:rPr>
      </w:pPr>
      <w:r>
        <w:rPr>
          <w:sz w:val="24"/>
        </w:rPr>
        <w:t>1.1.8投标人对发电机成套系统内设备（含辅助系统内设备等）负有全责，即包括分包（或对外采购）的产品。分包（或对外采购）的产品制造商应事先征得招标人的认可。对于投标人配套的控制装置，仪表设备，投标人应考虑和提供与DCS控制系统的接口并负责与DCS控制系统的协调配合，直至接口完备。</w:t>
      </w:r>
    </w:p>
    <w:p>
      <w:pPr>
        <w:spacing w:line="360" w:lineRule="auto"/>
        <w:rPr>
          <w:sz w:val="24"/>
        </w:rPr>
      </w:pPr>
      <w:r>
        <w:rPr>
          <w:sz w:val="24"/>
        </w:rPr>
        <w:t>1.1.9本工程编码按照GB/T 50549《电厂标识系统编码标准》执行。投标人应对发电机及辅助设备进行编码，满足招标人编码原则。编码范围包括：发电机及辅助设备工艺的系统、设备、部件；电气和仪控的系统、设备，以及接线和安装位置；建（构）筑物。</w:t>
      </w:r>
    </w:p>
    <w:p>
      <w:pPr>
        <w:spacing w:line="360" w:lineRule="auto"/>
        <w:ind w:firstLine="480" w:firstLineChars="200"/>
        <w:rPr>
          <w:sz w:val="24"/>
        </w:rPr>
      </w:pPr>
      <w:r>
        <w:rPr>
          <w:sz w:val="24"/>
        </w:rPr>
        <w:t>编码深度应使标识的</w:t>
      </w:r>
      <w:r>
        <w:rPr>
          <w:rFonts w:hint="eastAsia" w:asciiTheme="majorEastAsia" w:hAnsiTheme="majorEastAsia" w:eastAsiaTheme="majorEastAsia"/>
          <w:sz w:val="24"/>
          <w:szCs w:val="24"/>
        </w:rPr>
        <w:t>“电厂元素”具有唯一</w:t>
      </w:r>
      <w:r>
        <w:rPr>
          <w:sz w:val="24"/>
        </w:rPr>
        <w:t>性。并说明编码如何在图纸、工程文件或设备清册上清楚标识。深度至少达到以下要求：</w:t>
      </w:r>
    </w:p>
    <w:p>
      <w:pPr>
        <w:spacing w:line="360" w:lineRule="auto"/>
        <w:rPr>
          <w:sz w:val="24"/>
          <w:szCs w:val="24"/>
        </w:rPr>
      </w:pPr>
      <w:r>
        <w:rPr>
          <w:sz w:val="24"/>
          <w:szCs w:val="24"/>
        </w:rPr>
        <w:t>工艺：工艺系统流程图上应标识设备、管道、阀门、滤网、流量测量装置等设备的编码，在流程图上。设备安装图上应标识到设备单元级或部件级。热机专业四大管道立体安装图上标识管道及附件、阀门、滤网、流量测量装置及支吊架等设备的编码。</w:t>
      </w:r>
    </w:p>
    <w:p>
      <w:pPr>
        <w:spacing w:line="360" w:lineRule="auto"/>
        <w:rPr>
          <w:sz w:val="24"/>
          <w:szCs w:val="24"/>
        </w:rPr>
      </w:pPr>
      <w:r>
        <w:rPr>
          <w:sz w:val="24"/>
          <w:szCs w:val="24"/>
        </w:rPr>
        <w:t>电气专业：电气一次专业标识所有电气设备和开关柜（箱）及抽屉；电气二次专业应标识所有盘柜及端子箱。</w:t>
      </w:r>
    </w:p>
    <w:p>
      <w:pPr>
        <w:spacing w:line="360" w:lineRule="auto"/>
        <w:rPr>
          <w:sz w:val="24"/>
          <w:szCs w:val="24"/>
        </w:rPr>
      </w:pPr>
      <w:r>
        <w:rPr>
          <w:sz w:val="24"/>
          <w:szCs w:val="24"/>
        </w:rPr>
        <w:t>仪控：编制深度原则上为作</w:t>
      </w:r>
      <w:r>
        <w:rPr>
          <w:rFonts w:asciiTheme="majorEastAsia" w:hAnsiTheme="majorEastAsia" w:eastAsiaTheme="majorEastAsia"/>
          <w:sz w:val="24"/>
          <w:szCs w:val="24"/>
        </w:rPr>
        <w:t>为“黑匣子”部</w:t>
      </w:r>
      <w:r>
        <w:rPr>
          <w:sz w:val="24"/>
          <w:szCs w:val="24"/>
        </w:rPr>
        <w:t>分以外的信号及功能应编码。P&amp;ID图标识所有设备，仪表、马达、阀门均有编码，布置图上应标识所有控制盘、控制台、就地控制柜、接线盒箱的编码。电缆接线图上应标识电缆起终点设备编码、机柜、端子、接线盒、保温箱及电缆的编码；接线图上应标识卡件及出线电缆的编码。</w:t>
      </w:r>
    </w:p>
    <w:p>
      <w:pPr>
        <w:spacing w:line="360" w:lineRule="auto"/>
        <w:rPr>
          <w:sz w:val="24"/>
          <w:szCs w:val="24"/>
        </w:rPr>
      </w:pPr>
      <w:r>
        <w:rPr>
          <w:sz w:val="24"/>
          <w:szCs w:val="24"/>
        </w:rPr>
        <w:t>土建：总图上应标识建（构）筑物的编码。建（构）筑物应编码到房间。</w:t>
      </w:r>
    </w:p>
    <w:p>
      <w:pPr>
        <w:spacing w:line="360" w:lineRule="auto"/>
        <w:rPr>
          <w:sz w:val="24"/>
        </w:rPr>
      </w:pPr>
      <w:r>
        <w:rPr>
          <w:sz w:val="24"/>
        </w:rPr>
        <w:t>1.1.10</w:t>
      </w:r>
      <w:r>
        <w:rPr>
          <w:spacing w:val="5"/>
          <w:sz w:val="24"/>
        </w:rPr>
        <w:t>如果本技术规范的描述存在矛盾或不一致之处，或本技术规范的技术部分和商务部分在供货范围的描述存在矛盾或不一致之处，由招标人决定最终采用哪种描述。</w:t>
      </w:r>
    </w:p>
    <w:p>
      <w:pPr>
        <w:spacing w:line="360" w:lineRule="auto"/>
        <w:rPr>
          <w:sz w:val="24"/>
        </w:rPr>
      </w:pPr>
      <w:r>
        <w:rPr>
          <w:sz w:val="24"/>
        </w:rPr>
        <w:t>1.1.11投标人配套电动机应满足下列总的要求：</w:t>
      </w:r>
    </w:p>
    <w:tbl>
      <w:tblPr>
        <w:tblStyle w:val="49"/>
        <w:tblW w:w="84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775"/>
        <w:gridCol w:w="1325"/>
        <w:gridCol w:w="1262"/>
        <w:gridCol w:w="1188"/>
        <w:gridCol w:w="2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562" w:type="dxa"/>
            <w:vAlign w:val="center"/>
          </w:tcPr>
          <w:p>
            <w:pPr>
              <w:pStyle w:val="72"/>
              <w:spacing w:line="360" w:lineRule="auto"/>
              <w:rPr>
                <w:rFonts w:ascii="Times New Roman"/>
                <w:szCs w:val="24"/>
              </w:rPr>
            </w:pPr>
          </w:p>
        </w:tc>
        <w:tc>
          <w:tcPr>
            <w:tcW w:w="1775" w:type="dxa"/>
            <w:vAlign w:val="center"/>
          </w:tcPr>
          <w:p>
            <w:pPr>
              <w:pStyle w:val="72"/>
              <w:spacing w:line="360" w:lineRule="auto"/>
              <w:rPr>
                <w:rFonts w:ascii="Times New Roman"/>
                <w:szCs w:val="24"/>
              </w:rPr>
            </w:pPr>
            <w:r>
              <w:rPr>
                <w:rFonts w:ascii="Times New Roman"/>
                <w:szCs w:val="24"/>
              </w:rPr>
              <w:t>功率等级</w:t>
            </w:r>
          </w:p>
        </w:tc>
        <w:tc>
          <w:tcPr>
            <w:tcW w:w="1325" w:type="dxa"/>
            <w:vAlign w:val="center"/>
          </w:tcPr>
          <w:p>
            <w:pPr>
              <w:pStyle w:val="72"/>
              <w:spacing w:line="360" w:lineRule="auto"/>
              <w:rPr>
                <w:rFonts w:ascii="Times New Roman"/>
                <w:szCs w:val="24"/>
              </w:rPr>
            </w:pPr>
            <w:r>
              <w:rPr>
                <w:rFonts w:ascii="Times New Roman"/>
                <w:szCs w:val="24"/>
              </w:rPr>
              <w:t>电压等级</w:t>
            </w:r>
          </w:p>
        </w:tc>
        <w:tc>
          <w:tcPr>
            <w:tcW w:w="1262" w:type="dxa"/>
            <w:vAlign w:val="center"/>
          </w:tcPr>
          <w:p>
            <w:pPr>
              <w:spacing w:line="360" w:lineRule="auto"/>
              <w:jc w:val="center"/>
              <w:rPr>
                <w:sz w:val="24"/>
                <w:szCs w:val="24"/>
              </w:rPr>
            </w:pPr>
            <w:r>
              <w:rPr>
                <w:sz w:val="24"/>
                <w:szCs w:val="24"/>
              </w:rPr>
              <w:t>绝缘等级</w:t>
            </w:r>
          </w:p>
        </w:tc>
        <w:tc>
          <w:tcPr>
            <w:tcW w:w="1188" w:type="dxa"/>
            <w:vAlign w:val="center"/>
          </w:tcPr>
          <w:p>
            <w:pPr>
              <w:spacing w:line="360" w:lineRule="auto"/>
              <w:jc w:val="center"/>
              <w:rPr>
                <w:sz w:val="24"/>
                <w:szCs w:val="24"/>
              </w:rPr>
            </w:pPr>
            <w:r>
              <w:rPr>
                <w:sz w:val="24"/>
                <w:szCs w:val="24"/>
              </w:rPr>
              <w:t>温升等级</w:t>
            </w:r>
          </w:p>
        </w:tc>
        <w:tc>
          <w:tcPr>
            <w:tcW w:w="2372" w:type="dxa"/>
            <w:vAlign w:val="center"/>
          </w:tcPr>
          <w:p>
            <w:pPr>
              <w:spacing w:line="360" w:lineRule="auto"/>
              <w:jc w:val="center"/>
              <w:rPr>
                <w:sz w:val="24"/>
                <w:szCs w:val="24"/>
              </w:rPr>
            </w:pPr>
            <w:r>
              <w:rPr>
                <w:sz w:val="24"/>
                <w:szCs w:val="24"/>
              </w:rPr>
              <w:t>型式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2" w:type="dxa"/>
            <w:vMerge w:val="restart"/>
            <w:vAlign w:val="center"/>
          </w:tcPr>
          <w:p>
            <w:pPr>
              <w:spacing w:line="360" w:lineRule="auto"/>
              <w:jc w:val="center"/>
              <w:rPr>
                <w:sz w:val="24"/>
                <w:szCs w:val="24"/>
              </w:rPr>
            </w:pPr>
            <w:r>
              <w:rPr>
                <w:sz w:val="24"/>
                <w:szCs w:val="24"/>
              </w:rPr>
              <w:t>AC</w:t>
            </w:r>
          </w:p>
        </w:tc>
        <w:tc>
          <w:tcPr>
            <w:tcW w:w="1775" w:type="dxa"/>
            <w:vAlign w:val="center"/>
          </w:tcPr>
          <w:p>
            <w:pPr>
              <w:spacing w:line="360" w:lineRule="auto"/>
              <w:rPr>
                <w:sz w:val="24"/>
                <w:szCs w:val="24"/>
              </w:rPr>
            </w:pPr>
            <w:r>
              <w:rPr>
                <w:sz w:val="24"/>
                <w:szCs w:val="24"/>
              </w:rPr>
              <w:t>200kW及以上</w:t>
            </w:r>
          </w:p>
        </w:tc>
        <w:tc>
          <w:tcPr>
            <w:tcW w:w="1325" w:type="dxa"/>
            <w:vAlign w:val="center"/>
          </w:tcPr>
          <w:p>
            <w:pPr>
              <w:spacing w:line="360" w:lineRule="auto"/>
              <w:jc w:val="center"/>
              <w:rPr>
                <w:sz w:val="24"/>
                <w:szCs w:val="24"/>
              </w:rPr>
            </w:pPr>
            <w:r>
              <w:rPr>
                <w:sz w:val="24"/>
                <w:szCs w:val="24"/>
              </w:rPr>
              <w:t>6kV</w:t>
            </w:r>
          </w:p>
        </w:tc>
        <w:tc>
          <w:tcPr>
            <w:tcW w:w="1262" w:type="dxa"/>
            <w:vMerge w:val="restart"/>
            <w:vAlign w:val="center"/>
          </w:tcPr>
          <w:p>
            <w:pPr>
              <w:pStyle w:val="72"/>
              <w:spacing w:line="360" w:lineRule="auto"/>
              <w:rPr>
                <w:rFonts w:ascii="Times New Roman"/>
                <w:szCs w:val="24"/>
              </w:rPr>
            </w:pPr>
            <w:r>
              <w:rPr>
                <w:rFonts w:ascii="Times New Roman"/>
                <w:szCs w:val="24"/>
              </w:rPr>
              <w:t>Class F</w:t>
            </w:r>
          </w:p>
        </w:tc>
        <w:tc>
          <w:tcPr>
            <w:tcW w:w="1188" w:type="dxa"/>
            <w:vMerge w:val="restart"/>
            <w:vAlign w:val="center"/>
          </w:tcPr>
          <w:p>
            <w:pPr>
              <w:spacing w:line="360" w:lineRule="auto"/>
              <w:jc w:val="center"/>
              <w:rPr>
                <w:sz w:val="24"/>
                <w:szCs w:val="24"/>
              </w:rPr>
            </w:pPr>
            <w:r>
              <w:rPr>
                <w:sz w:val="24"/>
                <w:szCs w:val="24"/>
              </w:rPr>
              <w:t>Class B</w:t>
            </w:r>
          </w:p>
        </w:tc>
        <w:tc>
          <w:tcPr>
            <w:tcW w:w="2372" w:type="dxa"/>
            <w:vMerge w:val="restart"/>
            <w:vAlign w:val="center"/>
          </w:tcPr>
          <w:p>
            <w:pPr>
              <w:spacing w:line="360" w:lineRule="auto"/>
              <w:rPr>
                <w:sz w:val="24"/>
                <w:szCs w:val="24"/>
              </w:rPr>
            </w:pPr>
            <w:r>
              <w:rPr>
                <w:sz w:val="24"/>
                <w:szCs w:val="24"/>
              </w:rPr>
              <w:t>全封闭，外壳防护等级：IP44</w:t>
            </w:r>
            <w:r>
              <w:rPr>
                <w:rFonts w:hint="eastAsia"/>
                <w:sz w:val="24"/>
                <w:szCs w:val="24"/>
              </w:rPr>
              <w:t>（户内）</w:t>
            </w:r>
            <w:r>
              <w:rPr>
                <w:sz w:val="24"/>
                <w:szCs w:val="24"/>
              </w:rPr>
              <w:t>IP5</w:t>
            </w:r>
            <w:r>
              <w:rPr>
                <w:rFonts w:hint="eastAsia"/>
                <w:sz w:val="24"/>
                <w:szCs w:val="24"/>
              </w:rPr>
              <w:t>5（户外）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2" w:type="dxa"/>
            <w:vMerge w:val="continue"/>
            <w:vAlign w:val="center"/>
          </w:tcPr>
          <w:p>
            <w:pPr>
              <w:spacing w:line="360" w:lineRule="auto"/>
              <w:jc w:val="center"/>
              <w:rPr>
                <w:sz w:val="24"/>
                <w:szCs w:val="24"/>
              </w:rPr>
            </w:pPr>
          </w:p>
        </w:tc>
        <w:tc>
          <w:tcPr>
            <w:tcW w:w="1775" w:type="dxa"/>
            <w:vAlign w:val="center"/>
          </w:tcPr>
          <w:p>
            <w:pPr>
              <w:spacing w:line="360" w:lineRule="auto"/>
              <w:rPr>
                <w:sz w:val="24"/>
                <w:szCs w:val="24"/>
              </w:rPr>
            </w:pPr>
            <w:r>
              <w:rPr>
                <w:sz w:val="24"/>
                <w:szCs w:val="24"/>
              </w:rPr>
              <w:t>200kW以下</w:t>
            </w:r>
          </w:p>
        </w:tc>
        <w:tc>
          <w:tcPr>
            <w:tcW w:w="1325" w:type="dxa"/>
            <w:vAlign w:val="center"/>
          </w:tcPr>
          <w:p>
            <w:pPr>
              <w:spacing w:line="360" w:lineRule="auto"/>
              <w:jc w:val="center"/>
              <w:rPr>
                <w:sz w:val="24"/>
                <w:szCs w:val="24"/>
              </w:rPr>
            </w:pPr>
            <w:r>
              <w:rPr>
                <w:sz w:val="24"/>
                <w:szCs w:val="24"/>
              </w:rPr>
              <w:t>0.38kV</w:t>
            </w:r>
          </w:p>
        </w:tc>
        <w:tc>
          <w:tcPr>
            <w:tcW w:w="1262" w:type="dxa"/>
            <w:vMerge w:val="continue"/>
            <w:vAlign w:val="center"/>
          </w:tcPr>
          <w:p>
            <w:pPr>
              <w:spacing w:line="360" w:lineRule="auto"/>
              <w:jc w:val="center"/>
              <w:rPr>
                <w:sz w:val="24"/>
                <w:szCs w:val="24"/>
              </w:rPr>
            </w:pPr>
          </w:p>
        </w:tc>
        <w:tc>
          <w:tcPr>
            <w:tcW w:w="1188" w:type="dxa"/>
            <w:vMerge w:val="continue"/>
            <w:vAlign w:val="center"/>
          </w:tcPr>
          <w:p>
            <w:pPr>
              <w:spacing w:line="360" w:lineRule="auto"/>
              <w:jc w:val="center"/>
              <w:rPr>
                <w:sz w:val="24"/>
                <w:szCs w:val="24"/>
              </w:rPr>
            </w:pPr>
          </w:p>
        </w:tc>
        <w:tc>
          <w:tcPr>
            <w:tcW w:w="2372" w:type="dxa"/>
            <w:vMerge w:val="continue"/>
            <w:vAlign w:val="center"/>
          </w:tcPr>
          <w:p>
            <w:pPr>
              <w:spacing w:line="360" w:lineRule="auto"/>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2" w:type="dxa"/>
            <w:vAlign w:val="center"/>
          </w:tcPr>
          <w:p>
            <w:pPr>
              <w:spacing w:line="360" w:lineRule="auto"/>
              <w:jc w:val="center"/>
              <w:rPr>
                <w:sz w:val="24"/>
                <w:szCs w:val="24"/>
              </w:rPr>
            </w:pPr>
            <w:r>
              <w:rPr>
                <w:sz w:val="24"/>
                <w:szCs w:val="24"/>
              </w:rPr>
              <w:t>DC</w:t>
            </w:r>
          </w:p>
        </w:tc>
        <w:tc>
          <w:tcPr>
            <w:tcW w:w="1775" w:type="dxa"/>
            <w:vAlign w:val="center"/>
          </w:tcPr>
          <w:p>
            <w:pPr>
              <w:spacing w:line="360" w:lineRule="auto"/>
              <w:rPr>
                <w:sz w:val="24"/>
                <w:szCs w:val="24"/>
              </w:rPr>
            </w:pPr>
            <w:r>
              <w:rPr>
                <w:sz w:val="24"/>
                <w:szCs w:val="24"/>
              </w:rPr>
              <w:t>各类容量</w:t>
            </w:r>
          </w:p>
        </w:tc>
        <w:tc>
          <w:tcPr>
            <w:tcW w:w="1325" w:type="dxa"/>
            <w:vAlign w:val="center"/>
          </w:tcPr>
          <w:p>
            <w:pPr>
              <w:spacing w:line="360" w:lineRule="auto"/>
              <w:jc w:val="center"/>
              <w:rPr>
                <w:sz w:val="24"/>
                <w:szCs w:val="24"/>
              </w:rPr>
            </w:pPr>
            <w:r>
              <w:rPr>
                <w:sz w:val="24"/>
                <w:szCs w:val="24"/>
              </w:rPr>
              <w:t>0.22kV</w:t>
            </w:r>
          </w:p>
        </w:tc>
        <w:tc>
          <w:tcPr>
            <w:tcW w:w="1262" w:type="dxa"/>
            <w:vMerge w:val="continue"/>
            <w:vAlign w:val="center"/>
          </w:tcPr>
          <w:p>
            <w:pPr>
              <w:spacing w:line="360" w:lineRule="auto"/>
              <w:jc w:val="center"/>
              <w:rPr>
                <w:sz w:val="24"/>
                <w:szCs w:val="24"/>
              </w:rPr>
            </w:pPr>
          </w:p>
        </w:tc>
        <w:tc>
          <w:tcPr>
            <w:tcW w:w="1188" w:type="dxa"/>
            <w:vMerge w:val="continue"/>
            <w:vAlign w:val="center"/>
          </w:tcPr>
          <w:p>
            <w:pPr>
              <w:spacing w:line="360" w:lineRule="auto"/>
              <w:jc w:val="center"/>
              <w:rPr>
                <w:sz w:val="24"/>
                <w:szCs w:val="24"/>
              </w:rPr>
            </w:pPr>
          </w:p>
        </w:tc>
        <w:tc>
          <w:tcPr>
            <w:tcW w:w="2372" w:type="dxa"/>
            <w:vMerge w:val="continue"/>
            <w:vAlign w:val="center"/>
          </w:tcPr>
          <w:p>
            <w:pPr>
              <w:spacing w:line="360" w:lineRule="auto"/>
              <w:jc w:val="center"/>
              <w:rPr>
                <w:sz w:val="24"/>
                <w:szCs w:val="24"/>
              </w:rPr>
            </w:pPr>
          </w:p>
        </w:tc>
      </w:tr>
    </w:tbl>
    <w:p>
      <w:pPr>
        <w:spacing w:line="360" w:lineRule="auto"/>
        <w:ind w:firstLine="482"/>
        <w:rPr>
          <w:sz w:val="24"/>
        </w:rPr>
      </w:pPr>
      <w:r>
        <w:rPr>
          <w:rFonts w:hint="eastAsia"/>
          <w:sz w:val="24"/>
        </w:rPr>
        <w:t>本工程各类电动机和变压器能效等级为二级。</w:t>
      </w:r>
    </w:p>
    <w:p>
      <w:pPr>
        <w:pStyle w:val="20"/>
        <w:snapToGrid w:val="0"/>
        <w:rPr>
          <w:rFonts w:ascii="Times New Roman"/>
          <w:b/>
          <w:sz w:val="24"/>
        </w:rPr>
      </w:pPr>
      <w:r>
        <w:rPr>
          <w:rFonts w:ascii="Times New Roman"/>
          <w:b/>
          <w:sz w:val="24"/>
        </w:rPr>
        <w:t>1.2 工程概况</w:t>
      </w:r>
    </w:p>
    <w:p>
      <w:pPr>
        <w:snapToGrid w:val="0"/>
        <w:spacing w:line="360" w:lineRule="auto"/>
        <w:rPr>
          <w:sz w:val="24"/>
        </w:rPr>
      </w:pPr>
      <w:r>
        <w:rPr>
          <w:rFonts w:hint="eastAsia"/>
          <w:sz w:val="24"/>
        </w:rPr>
        <w:t>1）概况</w:t>
      </w:r>
    </w:p>
    <w:p>
      <w:pPr>
        <w:snapToGrid w:val="0"/>
        <w:spacing w:line="360" w:lineRule="auto"/>
        <w:ind w:firstLine="480" w:firstLineChars="200"/>
        <w:rPr>
          <w:sz w:val="24"/>
        </w:rPr>
      </w:pPr>
      <w:r>
        <w:rPr>
          <w:rFonts w:hint="eastAsia"/>
          <w:sz w:val="24"/>
        </w:rPr>
        <w:t>本工程包括1台机组，机组的额定功率为30MW，要求技术先进，功能齐全，而且应该不间断供电，高效率，操作可靠，在现有环境和操作条件下维护费用尽可能少。所有设备应该简单耐用，要求保守设计，安全系数高，保护系统完善。</w:t>
      </w:r>
    </w:p>
    <w:p>
      <w:pPr>
        <w:snapToGrid w:val="0"/>
        <w:spacing w:line="360" w:lineRule="auto"/>
        <w:rPr>
          <w:sz w:val="24"/>
        </w:rPr>
      </w:pPr>
      <w:r>
        <w:rPr>
          <w:rFonts w:hint="eastAsia"/>
          <w:sz w:val="24"/>
        </w:rPr>
        <w:t>2）厂址</w:t>
      </w:r>
    </w:p>
    <w:p>
      <w:pPr>
        <w:tabs>
          <w:tab w:val="left" w:pos="807"/>
        </w:tabs>
        <w:snapToGrid w:val="0"/>
        <w:spacing w:line="480" w:lineRule="exact"/>
        <w:ind w:firstLine="480"/>
        <w:rPr>
          <w:sz w:val="24"/>
        </w:rPr>
      </w:pPr>
      <w:r>
        <w:rPr>
          <w:rFonts w:hAnsi="宋体"/>
          <w:sz w:val="24"/>
        </w:rPr>
        <w:t>本工程厂址位于浙江省化学原料药基地临海医化园区内。</w:t>
      </w:r>
      <w:r>
        <w:rPr>
          <w:rFonts w:hint="eastAsia" w:hAnsi="宋体"/>
          <w:sz w:val="24"/>
        </w:rPr>
        <w:t>本次工程位于原主厂房东侧空地上。</w:t>
      </w:r>
    </w:p>
    <w:p>
      <w:pPr>
        <w:snapToGrid w:val="0"/>
        <w:spacing w:line="360" w:lineRule="auto"/>
        <w:rPr>
          <w:sz w:val="24"/>
        </w:rPr>
      </w:pPr>
      <w:r>
        <w:rPr>
          <w:rFonts w:hint="eastAsia"/>
          <w:sz w:val="24"/>
        </w:rPr>
        <w:t>3）大件运输条件</w:t>
      </w:r>
    </w:p>
    <w:p>
      <w:pPr>
        <w:snapToGrid w:val="0"/>
        <w:spacing w:line="360" w:lineRule="auto"/>
        <w:ind w:firstLine="480" w:firstLineChars="200"/>
        <w:rPr>
          <w:sz w:val="24"/>
        </w:rPr>
      </w:pPr>
      <w:r>
        <w:rPr>
          <w:rFonts w:hint="eastAsia"/>
          <w:sz w:val="24"/>
        </w:rPr>
        <w:t>本工程重大件设备经公路运输进厂。</w:t>
      </w:r>
    </w:p>
    <w:p>
      <w:pPr>
        <w:snapToGrid w:val="0"/>
        <w:spacing w:line="360" w:lineRule="auto"/>
        <w:rPr>
          <w:sz w:val="24"/>
        </w:rPr>
      </w:pPr>
      <w:r>
        <w:rPr>
          <w:rFonts w:hint="eastAsia"/>
          <w:sz w:val="24"/>
        </w:rPr>
        <w:t>4）地理及气象条件</w:t>
      </w:r>
    </w:p>
    <w:p>
      <w:pPr>
        <w:widowControl/>
        <w:spacing w:line="480" w:lineRule="exact"/>
        <w:ind w:firstLine="480"/>
        <w:rPr>
          <w:sz w:val="24"/>
        </w:rPr>
      </w:pPr>
      <w:r>
        <w:rPr>
          <w:rFonts w:hAnsi="宋体"/>
          <w:sz w:val="24"/>
        </w:rPr>
        <w:t>临海市属亚热带季风性湿润气候，四季分明，年平均气温</w:t>
      </w:r>
      <w:r>
        <w:rPr>
          <w:sz w:val="24"/>
        </w:rPr>
        <w:t>17</w:t>
      </w:r>
      <w:r>
        <w:rPr>
          <w:rFonts w:hAnsi="宋体"/>
          <w:sz w:val="24"/>
        </w:rPr>
        <w:t>℃，受海洋水体调节和西北高山对寒流的阻滞，境内夏少酷热，冬无邪寒，热量丰富，雨水充沛，气候温和湿润。</w:t>
      </w:r>
    </w:p>
    <w:p>
      <w:pPr>
        <w:widowControl/>
        <w:spacing w:line="480" w:lineRule="exact"/>
        <w:ind w:firstLine="480"/>
        <w:rPr>
          <w:sz w:val="24"/>
        </w:rPr>
      </w:pPr>
      <w:r>
        <w:rPr>
          <w:rFonts w:hAnsi="宋体"/>
          <w:sz w:val="24"/>
        </w:rPr>
        <w:t>多年平均气温</w:t>
      </w:r>
      <w:r>
        <w:rPr>
          <w:sz w:val="24"/>
        </w:rPr>
        <w:t>17.9</w:t>
      </w:r>
      <w:r>
        <w:rPr>
          <w:rFonts w:hAnsi="宋体"/>
          <w:sz w:val="24"/>
        </w:rPr>
        <w:t>℃；</w:t>
      </w:r>
    </w:p>
    <w:p>
      <w:pPr>
        <w:widowControl/>
        <w:spacing w:line="480" w:lineRule="exact"/>
        <w:ind w:firstLine="480"/>
        <w:rPr>
          <w:sz w:val="24"/>
        </w:rPr>
      </w:pPr>
      <w:r>
        <w:rPr>
          <w:rFonts w:hAnsi="宋体"/>
          <w:sz w:val="24"/>
        </w:rPr>
        <w:t>极端最高气温</w:t>
      </w:r>
      <w:r>
        <w:rPr>
          <w:sz w:val="24"/>
        </w:rPr>
        <w:t>36.6°(1966</w:t>
      </w:r>
      <w:r>
        <w:rPr>
          <w:rFonts w:hAnsi="宋体"/>
          <w:sz w:val="24"/>
        </w:rPr>
        <w:t>年定</w:t>
      </w:r>
      <w:r>
        <w:rPr>
          <w:rFonts w:hint="eastAsia" w:hAnsi="宋体"/>
          <w:sz w:val="24"/>
        </w:rPr>
        <w:t>，</w:t>
      </w:r>
      <w:r>
        <w:rPr>
          <w:sz w:val="24"/>
        </w:rPr>
        <w:t>8</w:t>
      </w:r>
      <w:r>
        <w:rPr>
          <w:rFonts w:hAnsi="宋体"/>
          <w:sz w:val="24"/>
        </w:rPr>
        <w:t>月</w:t>
      </w:r>
      <w:r>
        <w:rPr>
          <w:sz w:val="24"/>
        </w:rPr>
        <w:t>9</w:t>
      </w:r>
      <w:r>
        <w:rPr>
          <w:rFonts w:hAnsi="宋体"/>
          <w:sz w:val="24"/>
        </w:rPr>
        <w:t>日</w:t>
      </w:r>
      <w:r>
        <w:rPr>
          <w:sz w:val="24"/>
        </w:rPr>
        <w:t>)</w:t>
      </w:r>
      <w:r>
        <w:rPr>
          <w:rFonts w:hAnsi="宋体"/>
          <w:sz w:val="24"/>
        </w:rPr>
        <w:t>；</w:t>
      </w:r>
    </w:p>
    <w:p>
      <w:pPr>
        <w:widowControl/>
        <w:spacing w:line="480" w:lineRule="exact"/>
        <w:ind w:firstLine="480"/>
        <w:rPr>
          <w:sz w:val="24"/>
        </w:rPr>
      </w:pPr>
      <w:r>
        <w:rPr>
          <w:rFonts w:hAnsi="宋体"/>
          <w:sz w:val="24"/>
        </w:rPr>
        <w:t>极端最低气温</w:t>
      </w:r>
      <w:r>
        <w:rPr>
          <w:rFonts w:hint="eastAsia" w:hAnsi="宋体"/>
          <w:sz w:val="24"/>
        </w:rPr>
        <w:t>-</w:t>
      </w:r>
      <w:r>
        <w:rPr>
          <w:sz w:val="24"/>
        </w:rPr>
        <w:t>5.8°</w:t>
      </w:r>
      <w:r>
        <w:rPr>
          <w:rFonts w:hAnsi="宋体"/>
          <w:sz w:val="24"/>
        </w:rPr>
        <w:t>；</w:t>
      </w:r>
    </w:p>
    <w:p>
      <w:pPr>
        <w:widowControl/>
        <w:spacing w:line="480" w:lineRule="exact"/>
        <w:ind w:firstLine="480"/>
        <w:rPr>
          <w:sz w:val="24"/>
        </w:rPr>
      </w:pPr>
      <w:r>
        <w:rPr>
          <w:rFonts w:hAnsi="宋体"/>
          <w:sz w:val="24"/>
        </w:rPr>
        <w:t>多年平均降水量</w:t>
      </w:r>
      <w:r>
        <w:rPr>
          <w:sz w:val="24"/>
        </w:rPr>
        <w:t>1558.47.1mm</w:t>
      </w:r>
      <w:r>
        <w:rPr>
          <w:rFonts w:hAnsi="宋体"/>
          <w:sz w:val="24"/>
        </w:rPr>
        <w:t>；</w:t>
      </w:r>
    </w:p>
    <w:p>
      <w:pPr>
        <w:widowControl/>
        <w:spacing w:line="480" w:lineRule="exact"/>
        <w:ind w:firstLine="480"/>
        <w:rPr>
          <w:sz w:val="24"/>
        </w:rPr>
      </w:pPr>
      <w:r>
        <w:rPr>
          <w:rFonts w:hAnsi="宋体"/>
          <w:sz w:val="24"/>
        </w:rPr>
        <w:t>最大降水量</w:t>
      </w:r>
      <w:r>
        <w:rPr>
          <w:sz w:val="24"/>
        </w:rPr>
        <w:t>2375.1mm</w:t>
      </w:r>
      <w:r>
        <w:rPr>
          <w:rFonts w:hAnsi="宋体"/>
          <w:sz w:val="24"/>
        </w:rPr>
        <w:t>；</w:t>
      </w:r>
    </w:p>
    <w:p>
      <w:pPr>
        <w:widowControl/>
        <w:spacing w:line="480" w:lineRule="exact"/>
        <w:ind w:firstLine="480"/>
        <w:rPr>
          <w:sz w:val="24"/>
        </w:rPr>
      </w:pPr>
      <w:r>
        <w:rPr>
          <w:rFonts w:hAnsi="宋体"/>
          <w:sz w:val="24"/>
        </w:rPr>
        <w:t>最小降水量</w:t>
      </w:r>
      <w:r>
        <w:rPr>
          <w:sz w:val="24"/>
        </w:rPr>
        <w:t>912.8mm</w:t>
      </w:r>
      <w:r>
        <w:rPr>
          <w:rFonts w:hAnsi="宋体"/>
          <w:sz w:val="24"/>
        </w:rPr>
        <w:t>；</w:t>
      </w:r>
    </w:p>
    <w:p>
      <w:pPr>
        <w:widowControl/>
        <w:spacing w:line="480" w:lineRule="exact"/>
        <w:ind w:firstLine="480"/>
        <w:rPr>
          <w:sz w:val="24"/>
        </w:rPr>
      </w:pPr>
      <w:r>
        <w:rPr>
          <w:rFonts w:hAnsi="宋体"/>
          <w:sz w:val="24"/>
        </w:rPr>
        <w:t>多年平均蒸发量</w:t>
      </w:r>
      <w:r>
        <w:rPr>
          <w:sz w:val="24"/>
        </w:rPr>
        <w:t>1360.4mm</w:t>
      </w:r>
      <w:r>
        <w:rPr>
          <w:rFonts w:hAnsi="宋体"/>
          <w:sz w:val="24"/>
        </w:rPr>
        <w:t>；</w:t>
      </w:r>
    </w:p>
    <w:p>
      <w:pPr>
        <w:widowControl/>
        <w:spacing w:line="480" w:lineRule="exact"/>
        <w:ind w:firstLine="480"/>
        <w:rPr>
          <w:sz w:val="24"/>
        </w:rPr>
      </w:pPr>
      <w:r>
        <w:rPr>
          <w:rFonts w:hAnsi="宋体"/>
          <w:sz w:val="24"/>
        </w:rPr>
        <w:t>多年平均风速为</w:t>
      </w:r>
      <w:r>
        <w:rPr>
          <w:sz w:val="24"/>
        </w:rPr>
        <w:t>2.7m/s</w:t>
      </w:r>
      <w:r>
        <w:rPr>
          <w:rFonts w:hAnsi="宋体"/>
          <w:sz w:val="24"/>
        </w:rPr>
        <w:t>；</w:t>
      </w:r>
    </w:p>
    <w:p>
      <w:pPr>
        <w:widowControl/>
        <w:spacing w:line="480" w:lineRule="exact"/>
        <w:ind w:firstLine="480"/>
        <w:rPr>
          <w:sz w:val="24"/>
        </w:rPr>
      </w:pPr>
      <w:r>
        <w:rPr>
          <w:rFonts w:hAnsi="宋体"/>
          <w:sz w:val="24"/>
        </w:rPr>
        <w:t>瞬时极端最大风速</w:t>
      </w:r>
      <w:r>
        <w:rPr>
          <w:sz w:val="24"/>
        </w:rPr>
        <w:t>45m/s</w:t>
      </w:r>
      <w:r>
        <w:rPr>
          <w:rFonts w:hAnsi="宋体"/>
          <w:sz w:val="24"/>
        </w:rPr>
        <w:t>；</w:t>
      </w:r>
    </w:p>
    <w:p>
      <w:pPr>
        <w:widowControl/>
        <w:spacing w:line="480" w:lineRule="exact"/>
        <w:ind w:firstLine="480"/>
        <w:rPr>
          <w:sz w:val="24"/>
        </w:rPr>
      </w:pPr>
      <w:r>
        <w:rPr>
          <w:rFonts w:hAnsi="宋体"/>
          <w:sz w:val="24"/>
        </w:rPr>
        <w:t>最大</w:t>
      </w:r>
      <w:r>
        <w:rPr>
          <w:sz w:val="24"/>
        </w:rPr>
        <w:t>24</w:t>
      </w:r>
      <w:r>
        <w:rPr>
          <w:rFonts w:hAnsi="宋体"/>
          <w:sz w:val="24"/>
        </w:rPr>
        <w:t>小时降水量</w:t>
      </w:r>
      <w:r>
        <w:rPr>
          <w:sz w:val="24"/>
        </w:rPr>
        <w:t>446.7mm</w:t>
      </w:r>
      <w:r>
        <w:rPr>
          <w:rFonts w:hAnsi="宋体"/>
          <w:sz w:val="24"/>
        </w:rPr>
        <w:t>；</w:t>
      </w:r>
    </w:p>
    <w:p>
      <w:pPr>
        <w:widowControl/>
        <w:spacing w:line="480" w:lineRule="exact"/>
        <w:ind w:firstLine="480"/>
        <w:rPr>
          <w:rFonts w:hint="eastAsia" w:hAnsi="宋体"/>
          <w:sz w:val="24"/>
        </w:rPr>
      </w:pPr>
      <w:r>
        <w:rPr>
          <w:rFonts w:hAnsi="宋体"/>
          <w:sz w:val="24"/>
        </w:rPr>
        <w:t>最大1小时降水量58.2mm；</w:t>
      </w:r>
    </w:p>
    <w:p>
      <w:pPr>
        <w:widowControl/>
        <w:spacing w:line="480" w:lineRule="exact"/>
        <w:ind w:firstLine="480"/>
        <w:rPr>
          <w:rFonts w:hint="eastAsia" w:hAnsi="宋体"/>
          <w:sz w:val="24"/>
        </w:rPr>
      </w:pPr>
      <w:r>
        <w:rPr>
          <w:rFonts w:hAnsi="宋体"/>
          <w:sz w:val="24"/>
        </w:rPr>
        <w:t>最长连续降雨天数18天，过程降雨量254.6mm。降水一般集中在4～6月和7～9月。建设场地台风规律一般为每年1-2次，最高为3-4次，影响季节一般为7-9月，最早为5月，最迟为11月，台风暴雨常常是形成地质灾害的重要引发因素之一。</w:t>
      </w:r>
    </w:p>
    <w:p>
      <w:pPr>
        <w:widowControl/>
        <w:spacing w:line="480" w:lineRule="exact"/>
        <w:ind w:firstLine="480"/>
        <w:rPr>
          <w:rFonts w:hint="eastAsia" w:hAnsi="宋体"/>
          <w:sz w:val="24"/>
        </w:rPr>
      </w:pPr>
    </w:p>
    <w:p>
      <w:pPr>
        <w:snapToGrid w:val="0"/>
        <w:spacing w:line="360" w:lineRule="auto"/>
        <w:rPr>
          <w:sz w:val="24"/>
        </w:rPr>
      </w:pPr>
      <w:r>
        <w:rPr>
          <w:rFonts w:hint="eastAsia"/>
          <w:sz w:val="24"/>
        </w:rPr>
        <w:t>5）水源</w:t>
      </w:r>
    </w:p>
    <w:p>
      <w:pPr>
        <w:widowControl/>
        <w:spacing w:line="480" w:lineRule="exact"/>
        <w:ind w:firstLine="480"/>
        <w:rPr>
          <w:rFonts w:hint="eastAsia" w:hAnsi="宋体"/>
          <w:sz w:val="24"/>
        </w:rPr>
      </w:pPr>
      <w:r>
        <w:rPr>
          <w:rFonts w:hAnsi="宋体"/>
          <w:sz w:val="24"/>
        </w:rPr>
        <w:t>台州临港热电有限公司现有</w:t>
      </w:r>
      <w:r>
        <w:rPr>
          <w:rFonts w:hint="eastAsia" w:hAnsi="宋体"/>
          <w:sz w:val="24"/>
        </w:rPr>
        <w:t>发电机空气冷却器用水采用反渗透浓水，成分如下</w:t>
      </w:r>
    </w:p>
    <w:p>
      <w:pPr>
        <w:widowControl/>
        <w:spacing w:line="480" w:lineRule="exact"/>
        <w:ind w:firstLine="480"/>
        <w:rPr>
          <w:rFonts w:hint="eastAsia" w:hAnsi="宋体"/>
          <w:sz w:val="24"/>
        </w:rPr>
      </w:pPr>
      <w:r>
        <w:rPr>
          <w:rFonts w:hint="eastAsia" w:hAnsi="宋体"/>
          <w:sz w:val="24"/>
        </w:rPr>
        <w:t>PH：  8.45；          氯离子：200mg/L</w:t>
      </w:r>
    </w:p>
    <w:p>
      <w:pPr>
        <w:widowControl/>
        <w:spacing w:line="480" w:lineRule="exact"/>
        <w:ind w:firstLine="480"/>
        <w:rPr>
          <w:rFonts w:hint="eastAsia" w:hAnsi="宋体"/>
          <w:sz w:val="24"/>
        </w:rPr>
      </w:pPr>
      <w:r>
        <w:rPr>
          <w:rFonts w:hint="eastAsia" w:hAnsi="宋体"/>
          <w:sz w:val="24"/>
        </w:rPr>
        <w:t>总硬度：99mg/L        电导率：568us/cm</w:t>
      </w:r>
    </w:p>
    <w:p>
      <w:pPr>
        <w:widowControl/>
        <w:spacing w:line="480" w:lineRule="exact"/>
        <w:ind w:firstLine="480"/>
        <w:rPr>
          <w:rFonts w:hint="eastAsia" w:hAnsi="宋体"/>
          <w:sz w:val="24"/>
        </w:rPr>
      </w:pPr>
      <w:r>
        <w:rPr>
          <w:rFonts w:hint="eastAsia" w:hAnsi="宋体"/>
          <w:sz w:val="24"/>
        </w:rPr>
        <w:t>本扩建项目发电机空气冷却器冷却水利用热电厂现有水源，采用浓水进行冷却。</w:t>
      </w:r>
    </w:p>
    <w:p>
      <w:pPr>
        <w:pStyle w:val="48"/>
      </w:pPr>
    </w:p>
    <w:p>
      <w:pPr>
        <w:snapToGrid w:val="0"/>
        <w:spacing w:line="360" w:lineRule="auto"/>
        <w:rPr>
          <w:sz w:val="24"/>
        </w:rPr>
      </w:pPr>
      <w:r>
        <w:rPr>
          <w:rFonts w:hint="eastAsia"/>
          <w:sz w:val="24"/>
        </w:rPr>
        <w:t>6）安装运行条件</w:t>
      </w:r>
    </w:p>
    <w:p>
      <w:pPr>
        <w:spacing w:line="360" w:lineRule="auto"/>
        <w:ind w:firstLine="480"/>
        <w:rPr>
          <w:sz w:val="24"/>
        </w:rPr>
      </w:pPr>
      <w:r>
        <w:rPr>
          <w:rFonts w:hint="eastAsia"/>
          <w:sz w:val="24"/>
        </w:rPr>
        <w:tab/>
      </w:r>
      <w:r>
        <w:rPr>
          <w:rFonts w:hint="eastAsia"/>
          <w:sz w:val="24"/>
        </w:rPr>
        <w:t>发电机运转层标高为8米。</w:t>
      </w:r>
    </w:p>
    <w:p>
      <w:pPr>
        <w:spacing w:line="360" w:lineRule="auto"/>
        <w:ind w:firstLine="480"/>
        <w:rPr>
          <w:sz w:val="24"/>
        </w:rPr>
      </w:pPr>
      <w:r>
        <w:rPr>
          <w:rFonts w:hint="eastAsia"/>
          <w:sz w:val="24"/>
        </w:rPr>
        <w:tab/>
      </w:r>
      <w:r>
        <w:rPr>
          <w:rFonts w:hint="eastAsia"/>
          <w:sz w:val="24"/>
        </w:rPr>
        <w:t>电厂直流系统控制电压 220V，交流电压380V/220V。</w:t>
      </w:r>
    </w:p>
    <w:p>
      <w:pPr>
        <w:snapToGrid w:val="0"/>
        <w:spacing w:line="360" w:lineRule="auto"/>
        <w:rPr>
          <w:sz w:val="24"/>
        </w:rPr>
      </w:pPr>
      <w:r>
        <w:rPr>
          <w:rFonts w:hint="eastAsia"/>
          <w:sz w:val="24"/>
        </w:rPr>
        <w:t>7）电气主接线（补充厂用电系统、发电机出线的母线形式）</w:t>
      </w:r>
    </w:p>
    <w:p>
      <w:pPr>
        <w:spacing w:line="360" w:lineRule="auto"/>
        <w:ind w:firstLine="480"/>
        <w:rPr>
          <w:sz w:val="24"/>
        </w:rPr>
      </w:pPr>
      <w:bookmarkStart w:id="4" w:name="_Toc380594473"/>
      <w:r>
        <w:rPr>
          <w:rFonts w:hint="eastAsia"/>
          <w:sz w:val="24"/>
        </w:rPr>
        <w:t>本期工程机组10kV采用单母线接线方式，发电机、厂变、高压电机接在10kV单母线上，20kV主接线采用线变组接线，由1台40MVA三相变压器升压接至20kV配电装置，经过一条20kV出线电缆至110kV经纬变20kV母线。</w:t>
      </w:r>
    </w:p>
    <w:p>
      <w:pPr>
        <w:spacing w:line="360" w:lineRule="auto"/>
        <w:ind w:firstLine="480"/>
        <w:rPr>
          <w:sz w:val="24"/>
        </w:rPr>
      </w:pPr>
      <w:r>
        <w:rPr>
          <w:rFonts w:hint="eastAsia"/>
          <w:kern w:val="0"/>
          <w:sz w:val="24"/>
        </w:rPr>
        <w:t>发电机出口设置GCB。发电机中性点不接地，采用避雷器接地方式。</w:t>
      </w:r>
      <w:bookmarkEnd w:id="4"/>
      <w:r>
        <w:rPr>
          <w:rFonts w:hint="eastAsia"/>
          <w:kern w:val="0"/>
          <w:sz w:val="24"/>
        </w:rPr>
        <w:t>主变高压侧中性点不接地。</w:t>
      </w:r>
    </w:p>
    <w:p>
      <w:pPr>
        <w:tabs>
          <w:tab w:val="left" w:pos="567"/>
        </w:tabs>
        <w:overflowPunct w:val="0"/>
        <w:spacing w:line="360" w:lineRule="auto"/>
        <w:ind w:right="-85"/>
        <w:rPr>
          <w:sz w:val="24"/>
        </w:rPr>
      </w:pPr>
    </w:p>
    <w:p>
      <w:pPr>
        <w:pStyle w:val="20"/>
        <w:snapToGrid w:val="0"/>
        <w:rPr>
          <w:rFonts w:ascii="Times New Roman"/>
          <w:b/>
          <w:sz w:val="24"/>
        </w:rPr>
      </w:pPr>
      <w:r>
        <w:rPr>
          <w:rFonts w:ascii="Times New Roman"/>
          <w:b/>
          <w:sz w:val="24"/>
        </w:rPr>
        <w:t>2. 技术要求</w:t>
      </w:r>
    </w:p>
    <w:p>
      <w:pPr>
        <w:pStyle w:val="20"/>
        <w:snapToGrid w:val="0"/>
        <w:rPr>
          <w:rFonts w:ascii="Times New Roman"/>
          <w:b/>
          <w:sz w:val="24"/>
        </w:rPr>
      </w:pPr>
      <w:r>
        <w:rPr>
          <w:rFonts w:ascii="Times New Roman"/>
          <w:b/>
          <w:sz w:val="24"/>
        </w:rPr>
        <w:t>2.1   总的技术要求</w:t>
      </w:r>
    </w:p>
    <w:p>
      <w:pPr>
        <w:spacing w:line="360" w:lineRule="auto"/>
        <w:rPr>
          <w:sz w:val="24"/>
          <w:szCs w:val="24"/>
        </w:rPr>
      </w:pPr>
      <w:r>
        <w:rPr>
          <w:sz w:val="24"/>
          <w:szCs w:val="24"/>
        </w:rPr>
        <w:t>2.1.1  汽轮发电机使用寿命</w:t>
      </w:r>
    </w:p>
    <w:p>
      <w:pPr>
        <w:numPr>
          <w:ilvl w:val="0"/>
          <w:numId w:val="4"/>
        </w:numPr>
        <w:spacing w:line="360" w:lineRule="auto"/>
        <w:ind w:left="0" w:firstLine="0"/>
        <w:rPr>
          <w:rFonts w:hint="eastAsia" w:ascii="宋体" w:hAnsi="宋体" w:cs="宋体"/>
          <w:sz w:val="24"/>
          <w:szCs w:val="24"/>
          <w:u w:val="single"/>
        </w:rPr>
      </w:pPr>
      <w:r>
        <w:rPr>
          <w:sz w:val="24"/>
          <w:szCs w:val="24"/>
        </w:rPr>
        <w:t>所有</w:t>
      </w:r>
      <w:r>
        <w:rPr>
          <w:rFonts w:hint="eastAsia" w:ascii="宋体" w:hAnsi="宋体" w:cs="宋体"/>
          <w:sz w:val="24"/>
          <w:szCs w:val="24"/>
        </w:rPr>
        <w:t>设备应设计和制造合理，并能安全、稳定和连续运行，在本技术规范书规定的各种条件下发电机的使用寿命为30年以上，产品及材料应符合中国国家安全及环保要求。</w:t>
      </w:r>
    </w:p>
    <w:tbl>
      <w:tblPr>
        <w:tblStyle w:val="49"/>
        <w:tblW w:w="88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6062"/>
        <w:gridCol w:w="1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9" w:type="dxa"/>
            <w:vAlign w:val="center"/>
          </w:tcPr>
          <w:p>
            <w:pPr>
              <w:spacing w:line="360" w:lineRule="auto"/>
              <w:rPr>
                <w:sz w:val="24"/>
                <w:szCs w:val="24"/>
              </w:rPr>
            </w:pPr>
            <w:r>
              <w:rPr>
                <w:sz w:val="24"/>
                <w:szCs w:val="24"/>
              </w:rPr>
              <w:t>冷态起动</w:t>
            </w:r>
          </w:p>
        </w:tc>
        <w:tc>
          <w:tcPr>
            <w:tcW w:w="6062" w:type="dxa"/>
            <w:vAlign w:val="center"/>
          </w:tcPr>
          <w:p>
            <w:pPr>
              <w:spacing w:line="360" w:lineRule="auto"/>
              <w:rPr>
                <w:sz w:val="24"/>
                <w:szCs w:val="24"/>
              </w:rPr>
            </w:pPr>
            <w:r>
              <w:rPr>
                <w:sz w:val="24"/>
                <w:szCs w:val="24"/>
              </w:rPr>
              <w:t>停机72h以上(汽缸金属温度约低于该测点满负荷温度的40％)</w:t>
            </w:r>
          </w:p>
        </w:tc>
        <w:tc>
          <w:tcPr>
            <w:tcW w:w="1347" w:type="dxa"/>
          </w:tcPr>
          <w:p>
            <w:pPr>
              <w:spacing w:line="360" w:lineRule="auto"/>
              <w:rPr>
                <w:bCs/>
                <w:sz w:val="24"/>
              </w:rPr>
            </w:pPr>
            <w:r>
              <w:rPr>
                <w:bCs/>
                <w:sz w:val="24"/>
              </w:rPr>
              <w:t>&gt;200</w:t>
            </w:r>
            <w:r>
              <w:rPr>
                <w:rFonts w:hint="eastAsia"/>
                <w:bCs/>
                <w:sz w:val="24"/>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9" w:type="dxa"/>
            <w:vAlign w:val="center"/>
          </w:tcPr>
          <w:p>
            <w:pPr>
              <w:spacing w:line="360" w:lineRule="auto"/>
              <w:rPr>
                <w:sz w:val="24"/>
                <w:szCs w:val="24"/>
              </w:rPr>
            </w:pPr>
            <w:r>
              <w:rPr>
                <w:sz w:val="24"/>
                <w:szCs w:val="24"/>
              </w:rPr>
              <w:t>温态起动</w:t>
            </w:r>
          </w:p>
        </w:tc>
        <w:tc>
          <w:tcPr>
            <w:tcW w:w="6062" w:type="dxa"/>
            <w:vAlign w:val="center"/>
          </w:tcPr>
          <w:p>
            <w:pPr>
              <w:spacing w:line="360" w:lineRule="auto"/>
              <w:rPr>
                <w:sz w:val="24"/>
                <w:szCs w:val="24"/>
              </w:rPr>
            </w:pPr>
            <w:r>
              <w:rPr>
                <w:sz w:val="24"/>
                <w:szCs w:val="24"/>
              </w:rPr>
              <w:t>停机10-72h以内(汽缸金属温度约低于该测点满负荷温度的40％至80％)</w:t>
            </w:r>
          </w:p>
        </w:tc>
        <w:tc>
          <w:tcPr>
            <w:tcW w:w="1347" w:type="dxa"/>
          </w:tcPr>
          <w:p>
            <w:pPr>
              <w:spacing w:line="360" w:lineRule="auto"/>
              <w:rPr>
                <w:bCs/>
                <w:sz w:val="24"/>
              </w:rPr>
            </w:pPr>
            <w:r>
              <w:rPr>
                <w:bCs/>
                <w:sz w:val="24"/>
              </w:rPr>
              <w:t>&gt;700</w:t>
            </w:r>
            <w:r>
              <w:rPr>
                <w:rFonts w:hint="eastAsia"/>
                <w:bCs/>
                <w:sz w:val="24"/>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9" w:type="dxa"/>
            <w:vAlign w:val="center"/>
          </w:tcPr>
          <w:p>
            <w:pPr>
              <w:spacing w:line="360" w:lineRule="auto"/>
              <w:rPr>
                <w:sz w:val="24"/>
                <w:szCs w:val="24"/>
              </w:rPr>
            </w:pPr>
            <w:r>
              <w:rPr>
                <w:sz w:val="24"/>
                <w:szCs w:val="24"/>
              </w:rPr>
              <w:t>热态起动</w:t>
            </w:r>
          </w:p>
        </w:tc>
        <w:tc>
          <w:tcPr>
            <w:tcW w:w="6062" w:type="dxa"/>
            <w:vAlign w:val="center"/>
          </w:tcPr>
          <w:p>
            <w:pPr>
              <w:spacing w:line="360" w:lineRule="auto"/>
              <w:rPr>
                <w:sz w:val="24"/>
                <w:szCs w:val="24"/>
              </w:rPr>
            </w:pPr>
            <w:r>
              <w:rPr>
                <w:sz w:val="24"/>
                <w:szCs w:val="24"/>
              </w:rPr>
              <w:t>停机小于10h(汽缸金属温度约低于满负荷温度的80％)</w:t>
            </w:r>
          </w:p>
        </w:tc>
        <w:tc>
          <w:tcPr>
            <w:tcW w:w="1347" w:type="dxa"/>
          </w:tcPr>
          <w:p>
            <w:pPr>
              <w:spacing w:line="360" w:lineRule="auto"/>
              <w:rPr>
                <w:bCs/>
                <w:sz w:val="24"/>
              </w:rPr>
            </w:pPr>
            <w:r>
              <w:rPr>
                <w:bCs/>
                <w:sz w:val="24"/>
              </w:rPr>
              <w:t>&gt;3000</w:t>
            </w:r>
            <w:r>
              <w:rPr>
                <w:rFonts w:hint="eastAsia"/>
                <w:bCs/>
                <w:sz w:val="24"/>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9" w:type="dxa"/>
            <w:vAlign w:val="center"/>
          </w:tcPr>
          <w:p>
            <w:pPr>
              <w:spacing w:line="360" w:lineRule="auto"/>
              <w:rPr>
                <w:sz w:val="24"/>
                <w:szCs w:val="24"/>
              </w:rPr>
            </w:pPr>
            <w:r>
              <w:rPr>
                <w:sz w:val="24"/>
                <w:szCs w:val="24"/>
              </w:rPr>
              <w:t>极热态起动</w:t>
            </w:r>
          </w:p>
        </w:tc>
        <w:tc>
          <w:tcPr>
            <w:tcW w:w="6062" w:type="dxa"/>
            <w:vAlign w:val="center"/>
          </w:tcPr>
          <w:p>
            <w:pPr>
              <w:spacing w:line="360" w:lineRule="auto"/>
              <w:rPr>
                <w:sz w:val="24"/>
                <w:szCs w:val="24"/>
              </w:rPr>
            </w:pPr>
            <w:r>
              <w:rPr>
                <w:sz w:val="24"/>
                <w:szCs w:val="24"/>
              </w:rPr>
              <w:t>停机1h以内(金属温度仍维持或接近其满负荷值)</w:t>
            </w:r>
          </w:p>
        </w:tc>
        <w:tc>
          <w:tcPr>
            <w:tcW w:w="1347" w:type="dxa"/>
          </w:tcPr>
          <w:p>
            <w:pPr>
              <w:spacing w:line="360" w:lineRule="auto"/>
              <w:rPr>
                <w:bCs/>
                <w:sz w:val="24"/>
              </w:rPr>
            </w:pPr>
            <w:r>
              <w:rPr>
                <w:bCs/>
                <w:sz w:val="24"/>
              </w:rPr>
              <w:t>&gt;150</w:t>
            </w:r>
            <w:r>
              <w:rPr>
                <w:rFonts w:hint="eastAsia"/>
                <w:bCs/>
                <w:sz w:val="24"/>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9" w:type="dxa"/>
            <w:vAlign w:val="center"/>
          </w:tcPr>
          <w:p>
            <w:pPr>
              <w:spacing w:line="360" w:lineRule="auto"/>
              <w:rPr>
                <w:sz w:val="24"/>
                <w:szCs w:val="24"/>
              </w:rPr>
            </w:pPr>
            <w:r>
              <w:rPr>
                <w:sz w:val="24"/>
                <w:szCs w:val="24"/>
              </w:rPr>
              <w:t>负荷阶跃</w:t>
            </w:r>
          </w:p>
        </w:tc>
        <w:tc>
          <w:tcPr>
            <w:tcW w:w="6062" w:type="dxa"/>
            <w:vAlign w:val="center"/>
          </w:tcPr>
          <w:p>
            <w:pPr>
              <w:spacing w:line="360" w:lineRule="auto"/>
              <w:rPr>
                <w:sz w:val="24"/>
                <w:szCs w:val="24"/>
              </w:rPr>
            </w:pPr>
            <w:r>
              <w:rPr>
                <w:sz w:val="24"/>
                <w:szCs w:val="24"/>
              </w:rPr>
              <w:t>&gt;10%额定负荷</w:t>
            </w:r>
            <w:r>
              <w:rPr>
                <w:bCs/>
                <w:sz w:val="24"/>
              </w:rPr>
              <w:t>(THA)/min</w:t>
            </w:r>
          </w:p>
        </w:tc>
        <w:tc>
          <w:tcPr>
            <w:tcW w:w="1347" w:type="dxa"/>
          </w:tcPr>
          <w:p>
            <w:pPr>
              <w:spacing w:line="360" w:lineRule="auto"/>
              <w:rPr>
                <w:bCs/>
                <w:sz w:val="24"/>
              </w:rPr>
            </w:pPr>
            <w:r>
              <w:rPr>
                <w:bCs/>
                <w:sz w:val="24"/>
              </w:rPr>
              <w:t>&gt;12000</w:t>
            </w:r>
            <w:r>
              <w:rPr>
                <w:rFonts w:hint="eastAsia"/>
                <w:bCs/>
                <w:sz w:val="24"/>
              </w:rPr>
              <w:t>次</w:t>
            </w:r>
          </w:p>
        </w:tc>
      </w:tr>
    </w:tbl>
    <w:p>
      <w:pPr>
        <w:widowControl/>
        <w:overflowPunct w:val="0"/>
        <w:spacing w:line="360" w:lineRule="auto"/>
        <w:ind w:firstLine="480" w:firstLineChars="200"/>
        <w:jc w:val="left"/>
        <w:rPr>
          <w:sz w:val="24"/>
          <w:szCs w:val="24"/>
        </w:rPr>
      </w:pPr>
    </w:p>
    <w:p>
      <w:pPr>
        <w:widowControl/>
        <w:overflowPunct w:val="0"/>
        <w:spacing w:line="360" w:lineRule="auto"/>
        <w:ind w:firstLine="480" w:firstLineChars="200"/>
        <w:jc w:val="left"/>
        <w:rPr>
          <w:sz w:val="24"/>
          <w:szCs w:val="24"/>
        </w:rPr>
      </w:pPr>
      <w:r>
        <w:rPr>
          <w:sz w:val="24"/>
          <w:szCs w:val="24"/>
        </w:rPr>
        <w:t>并由投标人提供起动时间及寿命消耗，总的寿命消耗应不大于75％。</w:t>
      </w:r>
    </w:p>
    <w:p>
      <w:pPr>
        <w:numPr>
          <w:ilvl w:val="0"/>
          <w:numId w:val="4"/>
        </w:numPr>
        <w:spacing w:line="360" w:lineRule="auto"/>
        <w:ind w:left="0" w:firstLine="0"/>
        <w:rPr>
          <w:sz w:val="24"/>
          <w:szCs w:val="24"/>
        </w:rPr>
      </w:pPr>
      <w:r>
        <w:rPr>
          <w:sz w:val="24"/>
          <w:szCs w:val="24"/>
        </w:rPr>
        <w:t>机组在其保证使用寿命期内，在额定负荷和1.05倍额定电压下运行时，能承受出线端任何形式的突然短路而不发生导致立即停机的有害变形，而且还能承受非同期误并列的冲击。</w:t>
      </w:r>
    </w:p>
    <w:p>
      <w:pPr>
        <w:numPr>
          <w:ilvl w:val="0"/>
          <w:numId w:val="4"/>
        </w:numPr>
        <w:spacing w:line="360" w:lineRule="auto"/>
        <w:ind w:left="0" w:firstLine="0"/>
        <w:rPr>
          <w:sz w:val="24"/>
          <w:szCs w:val="24"/>
        </w:rPr>
      </w:pPr>
      <w:r>
        <w:rPr>
          <w:sz w:val="24"/>
          <w:szCs w:val="24"/>
        </w:rPr>
        <w:t>投标人应在合同签字后的6个月内提交轴系扭振固有频率和疲劳寿命损耗分析报告，包括下列数据</w:t>
      </w:r>
      <w:r>
        <w:rPr>
          <w:rFonts w:hint="eastAsia"/>
          <w:sz w:val="24"/>
          <w:szCs w:val="24"/>
        </w:rPr>
        <w:t>（下划线数据由投标方填写）</w:t>
      </w:r>
      <w:r>
        <w:rPr>
          <w:sz w:val="24"/>
          <w:szCs w:val="24"/>
        </w:rPr>
        <w:t>：</w:t>
      </w:r>
    </w:p>
    <w:p>
      <w:pPr>
        <w:spacing w:line="360" w:lineRule="auto"/>
        <w:rPr>
          <w:sz w:val="24"/>
          <w:szCs w:val="24"/>
        </w:rPr>
      </w:pPr>
      <w:r>
        <w:rPr>
          <w:rFonts w:hint="eastAsia"/>
          <w:sz w:val="24"/>
          <w:szCs w:val="24"/>
        </w:rPr>
        <w:t>a、</w:t>
      </w:r>
      <w:r>
        <w:rPr>
          <w:sz w:val="24"/>
          <w:szCs w:val="24"/>
        </w:rPr>
        <w:t>发电机出口两相或三相短路，疲劳损耗最大值</w:t>
      </w:r>
      <w:r>
        <w:rPr>
          <w:rFonts w:hint="eastAsia"/>
          <w:sz w:val="24"/>
          <w:szCs w:val="24"/>
          <w:u w:val="single"/>
        </w:rPr>
        <w:t xml:space="preserve">   </w:t>
      </w:r>
      <w:r>
        <w:rPr>
          <w:sz w:val="24"/>
          <w:szCs w:val="24"/>
        </w:rPr>
        <w:t>%/次</w:t>
      </w:r>
    </w:p>
    <w:p>
      <w:pPr>
        <w:spacing w:line="360" w:lineRule="auto"/>
        <w:rPr>
          <w:sz w:val="24"/>
          <w:szCs w:val="24"/>
        </w:rPr>
      </w:pPr>
      <w:r>
        <w:rPr>
          <w:sz w:val="24"/>
        </w:rPr>
        <w:t>90</w:t>
      </w:r>
      <w:r>
        <w:rPr>
          <w:sz w:val="24"/>
          <w:vertAlign w:val="superscript"/>
        </w:rPr>
        <w:t xml:space="preserve">o </w:t>
      </w:r>
      <w:r>
        <w:rPr>
          <w:sz w:val="24"/>
        </w:rPr>
        <w:t>～135</w:t>
      </w:r>
      <w:r>
        <w:rPr>
          <w:sz w:val="24"/>
          <w:vertAlign w:val="superscript"/>
        </w:rPr>
        <w:t>o</w:t>
      </w:r>
      <w:r>
        <w:rPr>
          <w:sz w:val="24"/>
          <w:szCs w:val="24"/>
        </w:rPr>
        <w:t>误并列，疲劳损耗最大值</w:t>
      </w:r>
      <w:r>
        <w:rPr>
          <w:rFonts w:hint="eastAsia"/>
          <w:sz w:val="24"/>
          <w:szCs w:val="24"/>
          <w:u w:val="single"/>
        </w:rPr>
        <w:t xml:space="preserve">   </w:t>
      </w:r>
      <w:r>
        <w:rPr>
          <w:sz w:val="24"/>
          <w:szCs w:val="24"/>
        </w:rPr>
        <w:t>%/次</w:t>
      </w:r>
    </w:p>
    <w:p>
      <w:pPr>
        <w:spacing w:line="360" w:lineRule="auto"/>
        <w:rPr>
          <w:sz w:val="24"/>
          <w:szCs w:val="24"/>
        </w:rPr>
      </w:pPr>
      <w:r>
        <w:rPr>
          <w:rFonts w:hint="eastAsia"/>
          <w:sz w:val="24"/>
          <w:szCs w:val="24"/>
        </w:rPr>
        <w:t>b、</w:t>
      </w:r>
      <w:r>
        <w:rPr>
          <w:sz w:val="24"/>
          <w:szCs w:val="24"/>
        </w:rPr>
        <w:t>近处短路及切除，切除时间小于150ms时，疲劳损耗</w:t>
      </w:r>
      <w:r>
        <w:rPr>
          <w:rFonts w:hint="eastAsia"/>
          <w:sz w:val="24"/>
          <w:szCs w:val="24"/>
          <w:u w:val="single"/>
        </w:rPr>
        <w:t xml:space="preserve">   </w:t>
      </w:r>
      <w:r>
        <w:rPr>
          <w:sz w:val="24"/>
          <w:szCs w:val="24"/>
        </w:rPr>
        <w:t>%/次；切除时间大于150ms时，疲劳损耗</w:t>
      </w:r>
      <w:r>
        <w:rPr>
          <w:rFonts w:hint="eastAsia"/>
          <w:sz w:val="24"/>
          <w:szCs w:val="24"/>
          <w:u w:val="single"/>
        </w:rPr>
        <w:t xml:space="preserve">   </w:t>
      </w:r>
      <w:r>
        <w:rPr>
          <w:sz w:val="24"/>
          <w:szCs w:val="24"/>
        </w:rPr>
        <w:t>%/次</w:t>
      </w:r>
    </w:p>
    <w:p>
      <w:pPr>
        <w:spacing w:line="360" w:lineRule="auto"/>
        <w:rPr>
          <w:sz w:val="24"/>
          <w:szCs w:val="24"/>
        </w:rPr>
      </w:pPr>
      <w:r>
        <w:rPr>
          <w:rFonts w:hint="eastAsia"/>
          <w:sz w:val="24"/>
          <w:szCs w:val="24"/>
        </w:rPr>
        <w:t>c、</w:t>
      </w:r>
      <w:r>
        <w:rPr>
          <w:sz w:val="24"/>
          <w:szCs w:val="24"/>
        </w:rPr>
        <w:t>线路单相快速重合闸应不受限制，疲劳损耗</w:t>
      </w:r>
      <w:r>
        <w:rPr>
          <w:rFonts w:hint="eastAsia"/>
          <w:sz w:val="24"/>
          <w:szCs w:val="24"/>
          <w:u w:val="single"/>
        </w:rPr>
        <w:t xml:space="preserve">   </w:t>
      </w:r>
      <w:r>
        <w:rPr>
          <w:sz w:val="24"/>
          <w:szCs w:val="24"/>
        </w:rPr>
        <w:t>%/次；</w:t>
      </w:r>
    </w:p>
    <w:p>
      <w:pPr>
        <w:spacing w:line="360" w:lineRule="auto"/>
        <w:rPr>
          <w:sz w:val="24"/>
          <w:szCs w:val="24"/>
        </w:rPr>
      </w:pPr>
      <w:r>
        <w:rPr>
          <w:rFonts w:hint="eastAsia"/>
          <w:sz w:val="24"/>
          <w:szCs w:val="24"/>
        </w:rPr>
        <w:t>d、</w:t>
      </w:r>
      <w:r>
        <w:rPr>
          <w:sz w:val="24"/>
          <w:szCs w:val="24"/>
        </w:rPr>
        <w:t>机组带励磁失步，如振荡电流和力矩小于0.6～0.7出口短路相应值时，允许的运行时间</w:t>
      </w:r>
      <w:r>
        <w:rPr>
          <w:rFonts w:hint="eastAsia"/>
          <w:sz w:val="24"/>
          <w:szCs w:val="24"/>
          <w:u w:val="single"/>
        </w:rPr>
        <w:t xml:space="preserve">   </w:t>
      </w:r>
      <w:r>
        <w:rPr>
          <w:sz w:val="24"/>
          <w:szCs w:val="24"/>
        </w:rPr>
        <w:t>s</w:t>
      </w:r>
      <w:r>
        <w:rPr>
          <w:rFonts w:hint="eastAsia"/>
          <w:sz w:val="24"/>
          <w:szCs w:val="24"/>
        </w:rPr>
        <w:t>,</w:t>
      </w:r>
      <w:r>
        <w:rPr>
          <w:sz w:val="24"/>
          <w:szCs w:val="24"/>
        </w:rPr>
        <w:t>汽轮发电机组容许的失步运行最大滑极数为______。</w:t>
      </w:r>
    </w:p>
    <w:p>
      <w:pPr>
        <w:numPr>
          <w:ilvl w:val="0"/>
          <w:numId w:val="4"/>
        </w:numPr>
        <w:spacing w:line="360" w:lineRule="auto"/>
        <w:ind w:left="0" w:firstLine="0"/>
        <w:rPr>
          <w:sz w:val="24"/>
          <w:szCs w:val="24"/>
        </w:rPr>
      </w:pPr>
      <w:r>
        <w:rPr>
          <w:sz w:val="24"/>
          <w:szCs w:val="24"/>
        </w:rPr>
        <w:t>发电机经升压变压器接至20 kV系统，分析计算所需的升压变压器阻抗和电力系统接线图将由招标人在合同签字后的3个月内提供给投标人，以便在上述工况下投标人能根据上述资料，会同汽轮机供货商按实际供货设备参数，在轴系扭振分析报告中提供承受各类冲击能力的资料。</w:t>
      </w:r>
    </w:p>
    <w:p>
      <w:pPr>
        <w:spacing w:line="360" w:lineRule="auto"/>
        <w:rPr>
          <w:sz w:val="24"/>
          <w:szCs w:val="24"/>
        </w:rPr>
      </w:pPr>
      <w:r>
        <w:rPr>
          <w:sz w:val="24"/>
          <w:szCs w:val="24"/>
        </w:rPr>
        <w:t>2.1.2</w:t>
      </w:r>
      <w:r>
        <w:rPr>
          <w:rFonts w:hint="eastAsia"/>
          <w:sz w:val="24"/>
          <w:szCs w:val="24"/>
        </w:rPr>
        <w:t>机组运行特性</w:t>
      </w:r>
    </w:p>
    <w:p>
      <w:pPr>
        <w:tabs>
          <w:tab w:val="left" w:pos="630"/>
        </w:tabs>
        <w:spacing w:line="360" w:lineRule="auto"/>
        <w:ind w:firstLine="420"/>
        <w:rPr>
          <w:sz w:val="24"/>
          <w:szCs w:val="24"/>
        </w:rPr>
      </w:pPr>
      <w:r>
        <w:rPr>
          <w:rFonts w:hint="eastAsia"/>
          <w:sz w:val="24"/>
          <w:szCs w:val="24"/>
        </w:rPr>
        <w:t>汽轮发电机组应能满足电力系统对采用快关的要求。</w:t>
      </w:r>
    </w:p>
    <w:p>
      <w:pPr>
        <w:numPr>
          <w:ilvl w:val="0"/>
          <w:numId w:val="5"/>
        </w:numPr>
        <w:spacing w:line="360" w:lineRule="auto"/>
        <w:ind w:left="0" w:firstLine="0"/>
        <w:rPr>
          <w:sz w:val="24"/>
          <w:szCs w:val="24"/>
        </w:rPr>
      </w:pPr>
      <w:r>
        <w:rPr>
          <w:rFonts w:hint="eastAsia"/>
          <w:sz w:val="24"/>
          <w:szCs w:val="24"/>
        </w:rPr>
        <w:t>汽轮发电机组应能满足机组</w:t>
      </w:r>
      <w:r>
        <w:rPr>
          <w:rFonts w:asciiTheme="majorEastAsia" w:hAnsiTheme="majorEastAsia" w:eastAsiaTheme="majorEastAsia"/>
          <w:sz w:val="24"/>
          <w:szCs w:val="24"/>
        </w:rPr>
        <w:t>‘定——滑’的</w:t>
      </w:r>
      <w:r>
        <w:rPr>
          <w:rFonts w:hint="eastAsia"/>
          <w:sz w:val="24"/>
          <w:szCs w:val="24"/>
        </w:rPr>
        <w:t>运行方式。</w:t>
      </w:r>
    </w:p>
    <w:p>
      <w:pPr>
        <w:numPr>
          <w:ilvl w:val="0"/>
          <w:numId w:val="5"/>
        </w:numPr>
        <w:spacing w:line="360" w:lineRule="auto"/>
        <w:ind w:left="0" w:firstLine="0"/>
        <w:rPr>
          <w:sz w:val="24"/>
          <w:szCs w:val="24"/>
        </w:rPr>
      </w:pPr>
      <w:r>
        <w:rPr>
          <w:sz w:val="24"/>
          <w:szCs w:val="24"/>
        </w:rPr>
        <w:t>机组能安全连续地在47.5～51.5Hz范围内运行，当频率偏差大于上述频率值时，允许运行时间见下表：</w:t>
      </w:r>
    </w:p>
    <w:tbl>
      <w:tblPr>
        <w:tblStyle w:val="49"/>
        <w:tblW w:w="8789"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20"/>
        <w:gridCol w:w="1500"/>
        <w:gridCol w:w="1980"/>
        <w:gridCol w:w="1760"/>
        <w:gridCol w:w="18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720" w:type="dxa"/>
            <w:vMerge w:val="restart"/>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频率 F</w:t>
            </w:r>
          </w:p>
          <w:p>
            <w:pPr>
              <w:tabs>
                <w:tab w:val="left" w:pos="580"/>
              </w:tabs>
              <w:adjustRightInd w:val="0"/>
              <w:snapToGrid w:val="0"/>
              <w:spacing w:line="360" w:lineRule="auto"/>
              <w:jc w:val="center"/>
              <w:rPr>
                <w:sz w:val="24"/>
                <w:szCs w:val="24"/>
              </w:rPr>
            </w:pPr>
            <w:r>
              <w:rPr>
                <w:sz w:val="24"/>
                <w:szCs w:val="24"/>
              </w:rPr>
              <w:t>（Hz）</w:t>
            </w:r>
          </w:p>
        </w:tc>
        <w:tc>
          <w:tcPr>
            <w:tcW w:w="7069" w:type="dxa"/>
            <w:gridSpan w:val="4"/>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允许时间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720" w:type="dxa"/>
            <w:vMerge w:val="continue"/>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p>
        </w:tc>
        <w:tc>
          <w:tcPr>
            <w:tcW w:w="150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每次（sec）</w:t>
            </w:r>
          </w:p>
        </w:tc>
        <w:tc>
          <w:tcPr>
            <w:tcW w:w="198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投标人填写上限值</w:t>
            </w:r>
          </w:p>
        </w:tc>
        <w:tc>
          <w:tcPr>
            <w:tcW w:w="176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累计（min）</w:t>
            </w:r>
          </w:p>
        </w:tc>
        <w:tc>
          <w:tcPr>
            <w:tcW w:w="1829"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投标人填写上限值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72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51.0～51.5</w:t>
            </w:r>
          </w:p>
        </w:tc>
        <w:tc>
          <w:tcPr>
            <w:tcW w:w="1500" w:type="dxa"/>
            <w:tcBorders>
              <w:top w:val="single" w:color="auto" w:sz="6" w:space="0"/>
              <w:left w:val="single" w:color="auto" w:sz="6" w:space="0"/>
              <w:bottom w:val="single" w:color="auto" w:sz="6" w:space="0"/>
              <w:right w:val="single" w:color="auto" w:sz="4" w:space="0"/>
            </w:tcBorders>
            <w:vAlign w:val="center"/>
          </w:tcPr>
          <w:p>
            <w:pPr>
              <w:tabs>
                <w:tab w:val="left" w:pos="580"/>
              </w:tabs>
              <w:adjustRightInd w:val="0"/>
              <w:snapToGrid w:val="0"/>
              <w:spacing w:line="360" w:lineRule="auto"/>
              <w:jc w:val="center"/>
              <w:rPr>
                <w:sz w:val="24"/>
                <w:szCs w:val="24"/>
              </w:rPr>
            </w:pPr>
            <w:r>
              <w:rPr>
                <w:sz w:val="24"/>
                <w:szCs w:val="24"/>
              </w:rPr>
              <w:t>&gt;30</w:t>
            </w:r>
          </w:p>
        </w:tc>
        <w:tc>
          <w:tcPr>
            <w:tcW w:w="1980" w:type="dxa"/>
            <w:tcBorders>
              <w:top w:val="single" w:color="auto" w:sz="6" w:space="0"/>
              <w:left w:val="single" w:color="auto" w:sz="4" w:space="0"/>
              <w:bottom w:val="single" w:color="auto" w:sz="6" w:space="0"/>
              <w:right w:val="single" w:color="auto" w:sz="4" w:space="0"/>
            </w:tcBorders>
            <w:vAlign w:val="center"/>
          </w:tcPr>
          <w:p>
            <w:pPr>
              <w:tabs>
                <w:tab w:val="left" w:pos="580"/>
              </w:tabs>
              <w:adjustRightInd w:val="0"/>
              <w:snapToGrid w:val="0"/>
              <w:spacing w:line="360" w:lineRule="auto"/>
              <w:jc w:val="center"/>
              <w:rPr>
                <w:sz w:val="24"/>
                <w:szCs w:val="24"/>
              </w:rPr>
            </w:pPr>
            <w:r>
              <w:rPr>
                <w:sz w:val="24"/>
                <w:szCs w:val="24"/>
              </w:rPr>
              <w:t>投标人值</w:t>
            </w:r>
          </w:p>
        </w:tc>
        <w:tc>
          <w:tcPr>
            <w:tcW w:w="1760" w:type="dxa"/>
            <w:tcBorders>
              <w:top w:val="single" w:color="auto" w:sz="6" w:space="0"/>
              <w:left w:val="single" w:color="auto" w:sz="4" w:space="0"/>
              <w:bottom w:val="single" w:color="auto" w:sz="6" w:space="0"/>
              <w:right w:val="single" w:color="auto" w:sz="4" w:space="0"/>
            </w:tcBorders>
            <w:vAlign w:val="center"/>
          </w:tcPr>
          <w:p>
            <w:pPr>
              <w:tabs>
                <w:tab w:val="left" w:pos="580"/>
              </w:tabs>
              <w:adjustRightInd w:val="0"/>
              <w:snapToGrid w:val="0"/>
              <w:spacing w:line="360" w:lineRule="auto"/>
              <w:jc w:val="center"/>
              <w:rPr>
                <w:sz w:val="24"/>
                <w:szCs w:val="24"/>
              </w:rPr>
            </w:pPr>
            <w:r>
              <w:rPr>
                <w:sz w:val="24"/>
                <w:szCs w:val="24"/>
              </w:rPr>
              <w:t>&gt;30</w:t>
            </w:r>
          </w:p>
        </w:tc>
        <w:tc>
          <w:tcPr>
            <w:tcW w:w="1829" w:type="dxa"/>
            <w:tcBorders>
              <w:top w:val="single" w:color="auto" w:sz="6" w:space="0"/>
              <w:left w:val="single" w:color="auto" w:sz="4"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投标人值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72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48.5～51.0</w:t>
            </w:r>
          </w:p>
        </w:tc>
        <w:tc>
          <w:tcPr>
            <w:tcW w:w="7069" w:type="dxa"/>
            <w:gridSpan w:val="4"/>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连续运行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72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48.0～48.5</w:t>
            </w:r>
          </w:p>
        </w:tc>
        <w:tc>
          <w:tcPr>
            <w:tcW w:w="150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&gt;300</w:t>
            </w:r>
          </w:p>
        </w:tc>
        <w:tc>
          <w:tcPr>
            <w:tcW w:w="198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投标人值</w:t>
            </w:r>
          </w:p>
        </w:tc>
        <w:tc>
          <w:tcPr>
            <w:tcW w:w="1760" w:type="dxa"/>
            <w:tcBorders>
              <w:top w:val="single" w:color="auto" w:sz="6" w:space="0"/>
              <w:left w:val="single" w:color="auto" w:sz="6" w:space="0"/>
              <w:bottom w:val="single" w:color="auto" w:sz="6" w:space="0"/>
              <w:right w:val="single" w:color="auto" w:sz="6" w:space="0"/>
            </w:tcBorders>
            <w:vAlign w:val="center"/>
          </w:tcPr>
          <w:p>
            <w:pPr>
              <w:pStyle w:val="72"/>
              <w:tabs>
                <w:tab w:val="left" w:pos="580"/>
              </w:tabs>
              <w:snapToGrid w:val="0"/>
              <w:spacing w:line="360" w:lineRule="auto"/>
              <w:textAlignment w:val="auto"/>
              <w:rPr>
                <w:rFonts w:ascii="Times New Roman"/>
                <w:kern w:val="2"/>
                <w:szCs w:val="24"/>
              </w:rPr>
            </w:pPr>
            <w:r>
              <w:rPr>
                <w:rFonts w:ascii="Times New Roman"/>
                <w:kern w:val="2"/>
                <w:szCs w:val="24"/>
              </w:rPr>
              <w:t>&gt;300</w:t>
            </w:r>
          </w:p>
        </w:tc>
        <w:tc>
          <w:tcPr>
            <w:tcW w:w="1829"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投标人值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72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47.5～48.0</w:t>
            </w:r>
          </w:p>
        </w:tc>
        <w:tc>
          <w:tcPr>
            <w:tcW w:w="150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&gt;60</w:t>
            </w:r>
          </w:p>
        </w:tc>
        <w:tc>
          <w:tcPr>
            <w:tcW w:w="198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投标人值</w:t>
            </w:r>
          </w:p>
        </w:tc>
        <w:tc>
          <w:tcPr>
            <w:tcW w:w="1760" w:type="dxa"/>
            <w:tcBorders>
              <w:top w:val="single" w:color="auto" w:sz="6" w:space="0"/>
              <w:left w:val="single" w:color="auto" w:sz="6" w:space="0"/>
              <w:bottom w:val="single" w:color="auto" w:sz="6" w:space="0"/>
              <w:right w:val="single" w:color="auto" w:sz="6" w:space="0"/>
            </w:tcBorders>
            <w:vAlign w:val="center"/>
          </w:tcPr>
          <w:p>
            <w:pPr>
              <w:pStyle w:val="72"/>
              <w:tabs>
                <w:tab w:val="left" w:pos="580"/>
              </w:tabs>
              <w:snapToGrid w:val="0"/>
              <w:spacing w:line="360" w:lineRule="auto"/>
              <w:textAlignment w:val="auto"/>
              <w:rPr>
                <w:rFonts w:ascii="Times New Roman"/>
                <w:kern w:val="2"/>
                <w:szCs w:val="24"/>
              </w:rPr>
            </w:pPr>
            <w:r>
              <w:rPr>
                <w:rFonts w:ascii="Times New Roman"/>
                <w:kern w:val="2"/>
                <w:szCs w:val="24"/>
              </w:rPr>
              <w:t>&gt;60</w:t>
            </w:r>
          </w:p>
        </w:tc>
        <w:tc>
          <w:tcPr>
            <w:tcW w:w="1829"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投标人值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72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47.0～47.5</w:t>
            </w:r>
          </w:p>
        </w:tc>
        <w:tc>
          <w:tcPr>
            <w:tcW w:w="150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&gt;20</w:t>
            </w:r>
          </w:p>
        </w:tc>
        <w:tc>
          <w:tcPr>
            <w:tcW w:w="198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投标人值</w:t>
            </w:r>
          </w:p>
        </w:tc>
        <w:tc>
          <w:tcPr>
            <w:tcW w:w="1760" w:type="dxa"/>
            <w:tcBorders>
              <w:top w:val="single" w:color="auto" w:sz="6" w:space="0"/>
              <w:left w:val="single" w:color="auto" w:sz="6" w:space="0"/>
              <w:bottom w:val="single" w:color="auto" w:sz="6" w:space="0"/>
              <w:right w:val="single" w:color="auto" w:sz="6" w:space="0"/>
            </w:tcBorders>
            <w:vAlign w:val="center"/>
          </w:tcPr>
          <w:p>
            <w:pPr>
              <w:pStyle w:val="72"/>
              <w:tabs>
                <w:tab w:val="left" w:pos="580"/>
              </w:tabs>
              <w:snapToGrid w:val="0"/>
              <w:spacing w:line="360" w:lineRule="auto"/>
              <w:textAlignment w:val="auto"/>
              <w:rPr>
                <w:rFonts w:ascii="Times New Roman"/>
                <w:kern w:val="2"/>
                <w:szCs w:val="24"/>
              </w:rPr>
            </w:pPr>
            <w:r>
              <w:rPr>
                <w:rFonts w:ascii="Times New Roman"/>
                <w:kern w:val="2"/>
                <w:szCs w:val="24"/>
              </w:rPr>
              <w:t>&gt;10</w:t>
            </w:r>
          </w:p>
        </w:tc>
        <w:tc>
          <w:tcPr>
            <w:tcW w:w="1829"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投标人值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72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46.5～47.0</w:t>
            </w:r>
          </w:p>
        </w:tc>
        <w:tc>
          <w:tcPr>
            <w:tcW w:w="150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&gt;5</w:t>
            </w:r>
          </w:p>
        </w:tc>
        <w:tc>
          <w:tcPr>
            <w:tcW w:w="198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投标人值</w:t>
            </w:r>
          </w:p>
        </w:tc>
        <w:tc>
          <w:tcPr>
            <w:tcW w:w="1760"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&gt;2</w:t>
            </w:r>
          </w:p>
        </w:tc>
        <w:tc>
          <w:tcPr>
            <w:tcW w:w="1829" w:type="dxa"/>
            <w:tcBorders>
              <w:top w:val="single" w:color="auto" w:sz="6" w:space="0"/>
              <w:left w:val="single" w:color="auto" w:sz="6" w:space="0"/>
              <w:bottom w:val="single" w:color="auto" w:sz="6" w:space="0"/>
              <w:right w:val="single" w:color="auto" w:sz="6" w:space="0"/>
            </w:tcBorders>
            <w:vAlign w:val="center"/>
          </w:tcPr>
          <w:p>
            <w:pPr>
              <w:tabs>
                <w:tab w:val="left" w:pos="580"/>
              </w:tabs>
              <w:adjustRightInd w:val="0"/>
              <w:snapToGrid w:val="0"/>
              <w:spacing w:line="360" w:lineRule="auto"/>
              <w:jc w:val="center"/>
              <w:rPr>
                <w:sz w:val="24"/>
                <w:szCs w:val="24"/>
              </w:rPr>
            </w:pPr>
            <w:r>
              <w:rPr>
                <w:sz w:val="24"/>
                <w:szCs w:val="24"/>
              </w:rPr>
              <w:t>投标人值</w:t>
            </w:r>
          </w:p>
        </w:tc>
      </w:tr>
    </w:tbl>
    <w:p>
      <w:pPr>
        <w:numPr>
          <w:ilvl w:val="0"/>
          <w:numId w:val="5"/>
        </w:numPr>
        <w:spacing w:line="360" w:lineRule="auto"/>
        <w:ind w:left="0" w:firstLine="0"/>
        <w:rPr>
          <w:sz w:val="24"/>
          <w:szCs w:val="24"/>
        </w:rPr>
      </w:pPr>
      <w:r>
        <w:rPr>
          <w:sz w:val="24"/>
          <w:szCs w:val="24"/>
        </w:rPr>
        <w:t>机组年可用小时数不应小于</w:t>
      </w:r>
      <w:r>
        <w:rPr>
          <w:rFonts w:hint="eastAsia"/>
          <w:sz w:val="24"/>
          <w:szCs w:val="24"/>
          <w:u w:val="single"/>
        </w:rPr>
        <w:t xml:space="preserve"> </w:t>
      </w:r>
      <w:r>
        <w:rPr>
          <w:bCs/>
          <w:sz w:val="24"/>
          <w:u w:val="single"/>
        </w:rPr>
        <w:t>8000</w:t>
      </w:r>
      <w:r>
        <w:rPr>
          <w:rFonts w:hint="eastAsia"/>
          <w:sz w:val="24"/>
          <w:szCs w:val="24"/>
          <w:u w:val="single"/>
        </w:rPr>
        <w:t xml:space="preserve"> </w:t>
      </w:r>
      <w:r>
        <w:rPr>
          <w:bCs/>
          <w:sz w:val="24"/>
        </w:rPr>
        <w:t>小时</w:t>
      </w:r>
      <w:r>
        <w:rPr>
          <w:sz w:val="24"/>
          <w:szCs w:val="24"/>
        </w:rPr>
        <w:t>，机组年利用小时数不应小于</w:t>
      </w:r>
      <w:r>
        <w:rPr>
          <w:rFonts w:hint="eastAsia"/>
          <w:sz w:val="24"/>
          <w:szCs w:val="24"/>
          <w:u w:val="single"/>
        </w:rPr>
        <w:t xml:space="preserve"> </w:t>
      </w:r>
      <w:r>
        <w:rPr>
          <w:bCs/>
          <w:sz w:val="24"/>
          <w:u w:val="single"/>
        </w:rPr>
        <w:t>6500</w:t>
      </w:r>
      <w:r>
        <w:rPr>
          <w:rFonts w:hint="eastAsia"/>
          <w:sz w:val="24"/>
          <w:szCs w:val="24"/>
          <w:u w:val="single"/>
        </w:rPr>
        <w:t xml:space="preserve"> </w:t>
      </w:r>
      <w:r>
        <w:rPr>
          <w:bCs/>
          <w:sz w:val="24"/>
        </w:rPr>
        <w:t>小时</w:t>
      </w:r>
      <w:r>
        <w:rPr>
          <w:sz w:val="24"/>
          <w:szCs w:val="24"/>
        </w:rPr>
        <w:t>。</w:t>
      </w:r>
      <w:r>
        <w:rPr>
          <w:rFonts w:hint="eastAsia"/>
          <w:sz w:val="24"/>
          <w:szCs w:val="24"/>
        </w:rPr>
        <w:t>发电机强迫停机率不大于0.5%</w:t>
      </w:r>
    </w:p>
    <w:p>
      <w:pPr>
        <w:numPr>
          <w:ilvl w:val="0"/>
          <w:numId w:val="5"/>
        </w:numPr>
        <w:spacing w:line="360" w:lineRule="auto"/>
        <w:ind w:left="0" w:firstLine="0"/>
        <w:rPr>
          <w:sz w:val="24"/>
          <w:szCs w:val="24"/>
        </w:rPr>
      </w:pPr>
      <w:r>
        <w:rPr>
          <w:sz w:val="24"/>
          <w:szCs w:val="24"/>
        </w:rPr>
        <w:t>机组大修间隔不少于</w:t>
      </w:r>
      <w:r>
        <w:rPr>
          <w:rFonts w:hint="eastAsia"/>
          <w:sz w:val="24"/>
          <w:szCs w:val="24"/>
          <w:u w:val="single"/>
        </w:rPr>
        <w:t xml:space="preserve"> </w:t>
      </w:r>
      <w:r>
        <w:rPr>
          <w:sz w:val="24"/>
          <w:szCs w:val="24"/>
          <w:u w:val="single"/>
        </w:rPr>
        <w:t>6</w:t>
      </w:r>
      <w:r>
        <w:rPr>
          <w:rFonts w:hint="eastAsia"/>
          <w:sz w:val="24"/>
          <w:szCs w:val="24"/>
          <w:u w:val="single"/>
        </w:rPr>
        <w:t xml:space="preserve"> </w:t>
      </w:r>
      <w:r>
        <w:rPr>
          <w:sz w:val="24"/>
          <w:szCs w:val="24"/>
        </w:rPr>
        <w:t>年，小修间隔为</w:t>
      </w:r>
      <w:r>
        <w:rPr>
          <w:rFonts w:hint="eastAsia"/>
          <w:sz w:val="24"/>
          <w:szCs w:val="24"/>
          <w:u w:val="single"/>
        </w:rPr>
        <w:t xml:space="preserve"> </w:t>
      </w:r>
      <w:r>
        <w:rPr>
          <w:sz w:val="24"/>
          <w:szCs w:val="24"/>
          <w:u w:val="single"/>
        </w:rPr>
        <w:t>2</w:t>
      </w:r>
      <w:r>
        <w:rPr>
          <w:rFonts w:hint="eastAsia"/>
          <w:sz w:val="24"/>
          <w:szCs w:val="24"/>
          <w:u w:val="single"/>
        </w:rPr>
        <w:t xml:space="preserve"> </w:t>
      </w:r>
      <w:r>
        <w:rPr>
          <w:sz w:val="24"/>
          <w:szCs w:val="24"/>
        </w:rPr>
        <w:t>年一次。</w:t>
      </w:r>
    </w:p>
    <w:p>
      <w:pPr>
        <w:spacing w:line="360" w:lineRule="auto"/>
        <w:rPr>
          <w:sz w:val="24"/>
          <w:szCs w:val="24"/>
        </w:rPr>
      </w:pPr>
      <w:r>
        <w:rPr>
          <w:sz w:val="24"/>
          <w:szCs w:val="24"/>
        </w:rPr>
        <w:t>2.1.3 设备噪音控制</w:t>
      </w:r>
    </w:p>
    <w:p>
      <w:pPr>
        <w:spacing w:line="360" w:lineRule="auto"/>
        <w:ind w:firstLine="480" w:firstLineChars="200"/>
        <w:rPr>
          <w:sz w:val="24"/>
          <w:szCs w:val="24"/>
        </w:rPr>
      </w:pPr>
      <w:r>
        <w:rPr>
          <w:sz w:val="24"/>
          <w:szCs w:val="24"/>
        </w:rPr>
        <w:t>距设备(包括管道与阀门)外壳表面1.0m，高度1.2米处的最大噪音值应不大于</w:t>
      </w:r>
      <w:r>
        <w:rPr>
          <w:rFonts w:hint="eastAsia"/>
          <w:sz w:val="24"/>
          <w:szCs w:val="24"/>
        </w:rPr>
        <w:t>85</w:t>
      </w:r>
      <w:r>
        <w:rPr>
          <w:sz w:val="24"/>
          <w:szCs w:val="24"/>
        </w:rPr>
        <w:t>dB(A)。</w:t>
      </w:r>
    </w:p>
    <w:p>
      <w:pPr>
        <w:tabs>
          <w:tab w:val="left" w:pos="420"/>
        </w:tabs>
        <w:spacing w:before="60" w:after="60" w:line="360" w:lineRule="auto"/>
        <w:rPr>
          <w:sz w:val="24"/>
        </w:rPr>
      </w:pPr>
      <w:r>
        <w:rPr>
          <w:sz w:val="24"/>
          <w:szCs w:val="24"/>
        </w:rPr>
        <w:t>2.1.</w:t>
      </w:r>
      <w:r>
        <w:rPr>
          <w:rFonts w:hint="eastAsia"/>
          <w:sz w:val="24"/>
          <w:szCs w:val="24"/>
        </w:rPr>
        <w:t xml:space="preserve">4 </w:t>
      </w:r>
      <w:r>
        <w:rPr>
          <w:sz w:val="24"/>
          <w:szCs w:val="24"/>
        </w:rPr>
        <w:t>机组的输出功率</w:t>
      </w:r>
    </w:p>
    <w:p>
      <w:pPr>
        <w:numPr>
          <w:ilvl w:val="0"/>
          <w:numId w:val="6"/>
        </w:numPr>
        <w:spacing w:line="360" w:lineRule="auto"/>
        <w:rPr>
          <w:sz w:val="24"/>
        </w:rPr>
      </w:pPr>
      <w:r>
        <w:rPr>
          <w:sz w:val="24"/>
          <w:szCs w:val="24"/>
        </w:rPr>
        <w:t>汽轮机</w:t>
      </w:r>
      <w:r>
        <w:rPr>
          <w:sz w:val="24"/>
        </w:rPr>
        <w:t>铭牌</w:t>
      </w:r>
      <w:r>
        <w:rPr>
          <w:rFonts w:hint="eastAsia"/>
          <w:sz w:val="24"/>
        </w:rPr>
        <w:t>出力工况</w:t>
      </w:r>
    </w:p>
    <w:p>
      <w:pPr>
        <w:spacing w:before="60" w:after="60" w:line="360" w:lineRule="auto"/>
        <w:ind w:firstLine="420" w:firstLineChars="175"/>
        <w:rPr>
          <w:sz w:val="24"/>
        </w:rPr>
      </w:pPr>
      <w:r>
        <w:rPr>
          <w:color w:val="000000"/>
          <w:sz w:val="24"/>
          <w:szCs w:val="24"/>
        </w:rPr>
        <w:t>汽轮机铭牌工况下，发电机输出铭</w:t>
      </w:r>
      <w:r>
        <w:rPr>
          <w:sz w:val="24"/>
          <w:szCs w:val="24"/>
        </w:rPr>
        <w:t xml:space="preserve">牌功率(TRL) </w:t>
      </w:r>
      <w:r>
        <w:rPr>
          <w:rFonts w:hint="eastAsia"/>
          <w:sz w:val="24"/>
          <w:szCs w:val="24"/>
          <w:u w:val="single"/>
        </w:rPr>
        <w:t xml:space="preserve"> </w:t>
      </w:r>
      <w:r>
        <w:rPr>
          <w:rFonts w:hint="eastAsia"/>
          <w:sz w:val="24"/>
          <w:u w:val="single"/>
        </w:rPr>
        <w:t>30MW</w:t>
      </w:r>
      <w:r>
        <w:rPr>
          <w:rFonts w:hint="eastAsia"/>
          <w:sz w:val="24"/>
          <w:szCs w:val="24"/>
          <w:u w:val="single"/>
        </w:rPr>
        <w:t xml:space="preserve"> </w:t>
      </w:r>
      <w:r>
        <w:rPr>
          <w:rFonts w:hAnsi="宋体"/>
          <w:sz w:val="24"/>
        </w:rPr>
        <w:t>（</w:t>
      </w:r>
      <w:r>
        <w:rPr>
          <w:sz w:val="24"/>
        </w:rPr>
        <w:t>当采用静态励磁</w:t>
      </w:r>
      <w:r>
        <w:rPr>
          <w:rFonts w:hint="eastAsia"/>
          <w:sz w:val="24"/>
        </w:rPr>
        <w:t>或</w:t>
      </w:r>
      <w:r>
        <w:rPr>
          <w:sz w:val="24"/>
        </w:rPr>
        <w:t>不与汽机同轴的电动主油泵时，应为已扣除其消耗后的功率</w:t>
      </w:r>
      <w:r>
        <w:rPr>
          <w:rFonts w:hAnsi="宋体"/>
          <w:sz w:val="24"/>
        </w:rPr>
        <w:t>），能在汽轮发电机组保证寿命期内任何时间都能安全连续运行。</w:t>
      </w:r>
    </w:p>
    <w:p>
      <w:pPr>
        <w:spacing w:before="60" w:after="60" w:line="360" w:lineRule="auto"/>
        <w:ind w:firstLine="420" w:firstLineChars="175"/>
        <w:rPr>
          <w:sz w:val="24"/>
        </w:rPr>
      </w:pPr>
      <w:r>
        <w:rPr>
          <w:sz w:val="24"/>
        </w:rPr>
        <w:t>此工况下，汽轮发电机组应能在下列条件下安全连续运行：额定电压、额定频率、额定功率因数0.</w:t>
      </w:r>
      <w:r>
        <w:rPr>
          <w:rFonts w:hint="eastAsia"/>
          <w:sz w:val="24"/>
        </w:rPr>
        <w:t>8</w:t>
      </w:r>
      <w:r>
        <w:rPr>
          <w:sz w:val="24"/>
        </w:rPr>
        <w:t>(滞后)、</w:t>
      </w:r>
      <w:r>
        <w:rPr>
          <w:rFonts w:hint="eastAsia"/>
          <w:sz w:val="24"/>
        </w:rPr>
        <w:t>发电机冷却器冷却水</w:t>
      </w:r>
      <w:r>
        <w:rPr>
          <w:rFonts w:hAnsi="宋体"/>
          <w:sz w:val="24"/>
        </w:rPr>
        <w:t>进水（入口）温度</w:t>
      </w:r>
      <w:r>
        <w:rPr>
          <w:rFonts w:hint="eastAsia"/>
          <w:sz w:val="24"/>
        </w:rPr>
        <w:t>为</w:t>
      </w:r>
      <w:r>
        <w:rPr>
          <w:sz w:val="24"/>
        </w:rPr>
        <w:t>3</w:t>
      </w:r>
      <w:r>
        <w:rPr>
          <w:rFonts w:hint="eastAsia"/>
          <w:sz w:val="24"/>
        </w:rPr>
        <w:t>8℃时，发电机效率为</w:t>
      </w:r>
      <w:r>
        <w:rPr>
          <w:rFonts w:hint="eastAsia"/>
          <w:sz w:val="24"/>
          <w:u w:val="single"/>
        </w:rPr>
        <w:t xml:space="preserve">      </w:t>
      </w:r>
      <w:r>
        <w:rPr>
          <w:sz w:val="24"/>
        </w:rPr>
        <w:t>%</w:t>
      </w:r>
      <w:r>
        <w:rPr>
          <w:rFonts w:hint="eastAsia"/>
          <w:snapToGrid w:val="0"/>
          <w:kern w:val="0"/>
          <w:sz w:val="24"/>
        </w:rPr>
        <w:t>（投标人填写）</w:t>
      </w:r>
      <w:r>
        <w:rPr>
          <w:rFonts w:hint="eastAsia"/>
          <w:sz w:val="24"/>
        </w:rPr>
        <w:t>，此工况下汽轮机的进汽量称为铭牌进汽量。</w:t>
      </w:r>
    </w:p>
    <w:p>
      <w:pPr>
        <w:numPr>
          <w:ilvl w:val="0"/>
          <w:numId w:val="6"/>
        </w:numPr>
        <w:spacing w:line="360" w:lineRule="auto"/>
        <w:rPr>
          <w:sz w:val="24"/>
        </w:rPr>
      </w:pPr>
      <w:r>
        <w:rPr>
          <w:sz w:val="24"/>
        </w:rPr>
        <w:t>汽轮机最</w:t>
      </w:r>
      <w:r>
        <w:rPr>
          <w:sz w:val="24"/>
          <w:szCs w:val="24"/>
        </w:rPr>
        <w:t>大连续出力工况（T—MCR）工况</w:t>
      </w:r>
    </w:p>
    <w:p>
      <w:pPr>
        <w:spacing w:before="60" w:after="60" w:line="360" w:lineRule="auto"/>
        <w:ind w:firstLine="420" w:firstLineChars="175"/>
        <w:rPr>
          <w:sz w:val="24"/>
        </w:rPr>
      </w:pPr>
      <w:r>
        <w:rPr>
          <w:sz w:val="24"/>
        </w:rPr>
        <w:t>发电机输出功率</w:t>
      </w:r>
      <w:r>
        <w:rPr>
          <w:rFonts w:hAnsi="宋体"/>
          <w:sz w:val="24"/>
        </w:rPr>
        <w:t>（</w:t>
      </w:r>
      <w:r>
        <w:rPr>
          <w:sz w:val="24"/>
        </w:rPr>
        <w:t>当采用静态励磁或不与汽机同轴的电动主油泵时，应为已扣除其消耗后的功率</w:t>
      </w:r>
      <w:r>
        <w:rPr>
          <w:rFonts w:hAnsi="宋体"/>
          <w:sz w:val="24"/>
        </w:rPr>
        <w:t>）不应限制汽轮机最大连续出力，能在汽轮发电机组保证寿命期内任何时间都能安全连续运行。</w:t>
      </w:r>
    </w:p>
    <w:p>
      <w:pPr>
        <w:spacing w:before="60" w:after="60" w:line="360" w:lineRule="auto"/>
        <w:ind w:firstLine="420" w:firstLineChars="175"/>
        <w:rPr>
          <w:sz w:val="24"/>
        </w:rPr>
      </w:pPr>
      <w:r>
        <w:rPr>
          <w:sz w:val="24"/>
        </w:rPr>
        <w:t>汽轮机进汽量等于铭牌工况</w:t>
      </w:r>
      <w:r>
        <w:rPr>
          <w:rFonts w:hint="eastAsia"/>
          <w:sz w:val="24"/>
        </w:rPr>
        <w:t>（</w:t>
      </w:r>
      <w:r>
        <w:rPr>
          <w:sz w:val="24"/>
        </w:rPr>
        <w:t>TRL</w:t>
      </w:r>
      <w:r>
        <w:rPr>
          <w:rFonts w:hint="eastAsia"/>
          <w:sz w:val="24"/>
        </w:rPr>
        <w:t>）</w:t>
      </w:r>
      <w:r>
        <w:rPr>
          <w:sz w:val="24"/>
        </w:rPr>
        <w:t>进汽量，在下列条件下安全连续运行：额定电压、额定频率、额定功率因数0</w:t>
      </w:r>
      <w:r>
        <w:rPr>
          <w:rFonts w:hint="eastAsia"/>
          <w:sz w:val="24"/>
        </w:rPr>
        <w:t>.8（</w:t>
      </w:r>
      <w:r>
        <w:rPr>
          <w:sz w:val="24"/>
        </w:rPr>
        <w:t>滞后</w:t>
      </w:r>
      <w:r>
        <w:rPr>
          <w:rFonts w:hint="eastAsia"/>
          <w:sz w:val="24"/>
        </w:rPr>
        <w:t>）</w:t>
      </w:r>
      <w:r>
        <w:rPr>
          <w:sz w:val="24"/>
        </w:rPr>
        <w:t>、发电机冷却器冷却水进水（入口）温度为</w:t>
      </w:r>
      <w:r>
        <w:rPr>
          <w:rFonts w:hint="eastAsia"/>
          <w:sz w:val="24"/>
          <w:u w:val="single"/>
        </w:rPr>
        <w:t xml:space="preserve"> </w:t>
      </w:r>
      <w:r>
        <w:rPr>
          <w:rFonts w:hint="eastAsia"/>
          <w:snapToGrid w:val="0"/>
          <w:kern w:val="0"/>
          <w:sz w:val="24"/>
          <w:u w:val="single"/>
        </w:rPr>
        <w:t xml:space="preserve">38 </w:t>
      </w:r>
      <w:r>
        <w:rPr>
          <w:rFonts w:hint="eastAsia"/>
          <w:sz w:val="24"/>
        </w:rPr>
        <w:t>℃</w:t>
      </w:r>
      <w:r>
        <w:rPr>
          <w:sz w:val="24"/>
        </w:rPr>
        <w:t>）。</w:t>
      </w:r>
      <w:r>
        <w:rPr>
          <w:sz w:val="24"/>
          <w:szCs w:val="24"/>
        </w:rPr>
        <w:t xml:space="preserve">发电机最大连续输出功率为 </w:t>
      </w:r>
      <w:r>
        <w:rPr>
          <w:bCs/>
          <w:snapToGrid w:val="0"/>
          <w:kern w:val="0"/>
          <w:sz w:val="24"/>
          <w:u w:val="single"/>
        </w:rPr>
        <w:t xml:space="preserve">      </w:t>
      </w:r>
      <w:r>
        <w:rPr>
          <w:sz w:val="24"/>
          <w:szCs w:val="24"/>
        </w:rPr>
        <w:t>MW（</w:t>
      </w:r>
      <w:r>
        <w:rPr>
          <w:bCs/>
          <w:snapToGrid w:val="0"/>
          <w:kern w:val="0"/>
          <w:sz w:val="24"/>
        </w:rPr>
        <w:t>投标方填写，</w:t>
      </w:r>
      <w:r>
        <w:rPr>
          <w:sz w:val="24"/>
          <w:szCs w:val="24"/>
        </w:rPr>
        <w:t>与汽机T-MCR工况功率相匹配）</w:t>
      </w:r>
    </w:p>
    <w:p>
      <w:pPr>
        <w:numPr>
          <w:ilvl w:val="0"/>
          <w:numId w:val="6"/>
        </w:numPr>
        <w:spacing w:line="360" w:lineRule="auto"/>
        <w:rPr>
          <w:bCs/>
          <w:sz w:val="24"/>
          <w:szCs w:val="24"/>
        </w:rPr>
      </w:pPr>
      <w:r>
        <w:rPr>
          <w:sz w:val="24"/>
          <w:szCs w:val="24"/>
        </w:rPr>
        <w:t>汽轮机</w:t>
      </w:r>
      <w:r>
        <w:rPr>
          <w:sz w:val="24"/>
        </w:rPr>
        <w:t>调节</w:t>
      </w:r>
      <w:r>
        <w:rPr>
          <w:sz w:val="24"/>
          <w:szCs w:val="24"/>
        </w:rPr>
        <w:t>阀全开工况</w:t>
      </w:r>
    </w:p>
    <w:p>
      <w:pPr>
        <w:spacing w:line="360" w:lineRule="auto"/>
        <w:ind w:firstLine="420" w:firstLineChars="175"/>
        <w:rPr>
          <w:sz w:val="24"/>
          <w:szCs w:val="24"/>
        </w:rPr>
      </w:pPr>
      <w:r>
        <w:rPr>
          <w:sz w:val="24"/>
          <w:szCs w:val="24"/>
        </w:rPr>
        <w:t>汽轮发电机组应能在调节阀全开(VWO)工况下，</w:t>
      </w:r>
      <w:r>
        <w:rPr>
          <w:rFonts w:hAnsi="宋体"/>
          <w:sz w:val="24"/>
          <w:szCs w:val="24"/>
        </w:rPr>
        <w:t>能在汽轮发电机组保证寿命期内任何时间都能安全连续运行。发电机工作条件：</w:t>
      </w:r>
      <w:r>
        <w:rPr>
          <w:sz w:val="24"/>
          <w:szCs w:val="24"/>
        </w:rPr>
        <w:t>额定电压、额定频率、额定功率因数</w:t>
      </w:r>
      <w:r>
        <w:rPr>
          <w:sz w:val="24"/>
          <w:szCs w:val="24"/>
          <w:u w:val="single"/>
        </w:rPr>
        <w:t>0.</w:t>
      </w:r>
      <w:r>
        <w:rPr>
          <w:rFonts w:hint="eastAsia"/>
          <w:sz w:val="24"/>
          <w:szCs w:val="24"/>
          <w:u w:val="single"/>
        </w:rPr>
        <w:t>8（</w:t>
      </w:r>
      <w:r>
        <w:rPr>
          <w:sz w:val="24"/>
          <w:szCs w:val="24"/>
          <w:u w:val="single"/>
        </w:rPr>
        <w:t>滞后</w:t>
      </w:r>
      <w:r>
        <w:rPr>
          <w:rFonts w:hint="eastAsia"/>
          <w:sz w:val="24"/>
          <w:szCs w:val="24"/>
          <w:u w:val="single"/>
        </w:rPr>
        <w:t>）</w:t>
      </w:r>
      <w:r>
        <w:rPr>
          <w:sz w:val="24"/>
          <w:szCs w:val="24"/>
        </w:rPr>
        <w:t>、发电机冷却器冷却水</w:t>
      </w:r>
      <w:r>
        <w:rPr>
          <w:rFonts w:hAnsi="宋体"/>
          <w:sz w:val="24"/>
          <w:szCs w:val="24"/>
        </w:rPr>
        <w:t>进水温度</w:t>
      </w:r>
      <w:r>
        <w:rPr>
          <w:sz w:val="24"/>
          <w:szCs w:val="24"/>
        </w:rPr>
        <w:t>为</w:t>
      </w:r>
      <w:r>
        <w:rPr>
          <w:rFonts w:hint="eastAsia"/>
          <w:sz w:val="24"/>
          <w:szCs w:val="24"/>
          <w:u w:val="single"/>
        </w:rPr>
        <w:t xml:space="preserve">38 </w:t>
      </w:r>
      <w:r>
        <w:rPr>
          <w:rFonts w:hint="eastAsia"/>
          <w:sz w:val="24"/>
          <w:szCs w:val="24"/>
        </w:rPr>
        <w:t>℃</w:t>
      </w:r>
      <w:r>
        <w:rPr>
          <w:sz w:val="24"/>
          <w:szCs w:val="24"/>
        </w:rPr>
        <w:t>时，汽轮机的进汽量应不小于105%的铭牌工况(TRL)进汽量，此工况称为</w:t>
      </w:r>
      <w:r>
        <w:rPr>
          <w:bCs/>
          <w:snapToGrid w:val="0"/>
          <w:kern w:val="0"/>
          <w:sz w:val="24"/>
        </w:rPr>
        <w:t>发电机最大输出功率</w:t>
      </w:r>
      <w:r>
        <w:rPr>
          <w:sz w:val="24"/>
          <w:szCs w:val="24"/>
        </w:rPr>
        <w:t>。</w:t>
      </w:r>
      <w:r>
        <w:rPr>
          <w:bCs/>
          <w:snapToGrid w:val="0"/>
          <w:kern w:val="0"/>
          <w:sz w:val="24"/>
        </w:rPr>
        <w:t>发电机最大输出功率</w:t>
      </w:r>
      <w:r>
        <w:rPr>
          <w:rFonts w:hint="eastAsia"/>
          <w:bCs/>
          <w:snapToGrid w:val="0"/>
          <w:kern w:val="0"/>
          <w:sz w:val="24"/>
          <w:u w:val="single"/>
        </w:rPr>
        <w:t xml:space="preserve">      </w:t>
      </w:r>
      <w:r>
        <w:rPr>
          <w:bCs/>
          <w:snapToGrid w:val="0"/>
          <w:kern w:val="0"/>
          <w:sz w:val="24"/>
        </w:rPr>
        <w:t>MW(投标人填写</w:t>
      </w:r>
      <w:r>
        <w:rPr>
          <w:rFonts w:hint="eastAsia"/>
          <w:bCs/>
          <w:snapToGrid w:val="0"/>
          <w:kern w:val="0"/>
          <w:sz w:val="24"/>
        </w:rPr>
        <w:t>，</w:t>
      </w:r>
      <w:r>
        <w:rPr>
          <w:sz w:val="24"/>
          <w:szCs w:val="24"/>
        </w:rPr>
        <w:t>与汽轮机VWO工况功率相匹配</w:t>
      </w:r>
      <w:r>
        <w:rPr>
          <w:rFonts w:hint="eastAsia"/>
          <w:sz w:val="24"/>
          <w:szCs w:val="24"/>
        </w:rPr>
        <w:t>）</w:t>
      </w:r>
      <w:r>
        <w:rPr>
          <w:sz w:val="24"/>
          <w:szCs w:val="24"/>
        </w:rPr>
        <w:t>。</w:t>
      </w:r>
    </w:p>
    <w:p>
      <w:pPr>
        <w:pStyle w:val="20"/>
        <w:tabs>
          <w:tab w:val="left" w:pos="522"/>
          <w:tab w:val="clear" w:pos="720"/>
        </w:tabs>
        <w:ind w:firstLine="480" w:firstLineChars="200"/>
        <w:rPr>
          <w:rFonts w:ascii="Times New Roman"/>
          <w:sz w:val="24"/>
        </w:rPr>
      </w:pPr>
      <w:r>
        <w:rPr>
          <w:rFonts w:ascii="Times New Roman"/>
          <w:sz w:val="24"/>
        </w:rPr>
        <w:t>发电机有关设备及其辅机冷却水采用</w:t>
      </w:r>
      <w:r>
        <w:rPr>
          <w:rFonts w:hint="eastAsia" w:ascii="Times New Roman"/>
          <w:sz w:val="24"/>
          <w:lang w:val="en-US" w:eastAsia="zh-CN"/>
        </w:rPr>
        <w:t>闭</w:t>
      </w:r>
      <w:r>
        <w:rPr>
          <w:rFonts w:ascii="Times New Roman"/>
          <w:sz w:val="24"/>
        </w:rPr>
        <w:t>式循环冷却水系统，冷却水水质为</w:t>
      </w:r>
      <w:r>
        <w:rPr>
          <w:rFonts w:hint="eastAsia" w:ascii="Times New Roman"/>
          <w:sz w:val="24"/>
        </w:rPr>
        <w:t>化水反渗透浓水</w:t>
      </w:r>
      <w:r>
        <w:rPr>
          <w:rFonts w:ascii="Times New Roman"/>
          <w:sz w:val="24"/>
        </w:rPr>
        <w:t>，冷却水水量按最高工作温度选取，冷却水应全部回收。</w:t>
      </w:r>
      <w:r>
        <w:rPr>
          <w:rFonts w:hint="eastAsia" w:ascii="Times New Roman"/>
          <w:sz w:val="24"/>
          <w:lang w:val="en-US" w:eastAsia="zh-CN"/>
        </w:rPr>
        <w:t>闭</w:t>
      </w:r>
      <w:r>
        <w:rPr>
          <w:rFonts w:ascii="Times New Roman"/>
          <w:sz w:val="24"/>
        </w:rPr>
        <w:t>式循环冷却水系统初步设计参数如下：</w:t>
      </w:r>
    </w:p>
    <w:tbl>
      <w:tblPr>
        <w:tblStyle w:val="49"/>
        <w:tblW w:w="7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1800"/>
        <w:gridCol w:w="2222"/>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7" w:type="dxa"/>
            <w:vAlign w:val="center"/>
          </w:tcPr>
          <w:p>
            <w:pPr>
              <w:pStyle w:val="20"/>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系统名称</w:t>
            </w:r>
          </w:p>
        </w:tc>
        <w:tc>
          <w:tcPr>
            <w:tcW w:w="1800" w:type="dxa"/>
            <w:vAlign w:val="center"/>
          </w:tcPr>
          <w:p>
            <w:pPr>
              <w:pStyle w:val="20"/>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设计压力(MPa)</w:t>
            </w:r>
          </w:p>
        </w:tc>
        <w:tc>
          <w:tcPr>
            <w:tcW w:w="2222" w:type="dxa"/>
            <w:vAlign w:val="center"/>
          </w:tcPr>
          <w:p>
            <w:pPr>
              <w:pStyle w:val="20"/>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最高工作温度(℃)</w:t>
            </w:r>
          </w:p>
        </w:tc>
        <w:tc>
          <w:tcPr>
            <w:tcW w:w="1140" w:type="dxa"/>
            <w:vAlign w:val="center"/>
          </w:tcPr>
          <w:p>
            <w:pPr>
              <w:pStyle w:val="20"/>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水质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7" w:type="dxa"/>
            <w:vAlign w:val="center"/>
          </w:tcPr>
          <w:p>
            <w:pPr>
              <w:pStyle w:val="20"/>
              <w:jc w:val="center"/>
              <w:rPr>
                <w:rFonts w:ascii="Times New Roman"/>
                <w:color w:val="000000" w:themeColor="text1"/>
                <w:sz w:val="24"/>
                <w14:textFill>
                  <w14:solidFill>
                    <w14:schemeClr w14:val="tx1"/>
                  </w14:solidFill>
                </w14:textFill>
              </w:rPr>
            </w:pPr>
            <w:r>
              <w:rPr>
                <w:rFonts w:hint="eastAsia" w:ascii="Times New Roman"/>
                <w:color w:val="000000" w:themeColor="text1"/>
                <w:sz w:val="24"/>
                <w:lang w:val="en-US" w:eastAsia="zh-CN"/>
                <w14:textFill>
                  <w14:solidFill>
                    <w14:schemeClr w14:val="tx1"/>
                  </w14:solidFill>
                </w14:textFill>
              </w:rPr>
              <w:t>闭</w:t>
            </w:r>
            <w:r>
              <w:rPr>
                <w:rFonts w:ascii="Times New Roman"/>
                <w:color w:val="000000" w:themeColor="text1"/>
                <w:sz w:val="24"/>
                <w14:textFill>
                  <w14:solidFill>
                    <w14:schemeClr w14:val="tx1"/>
                  </w14:solidFill>
                </w14:textFill>
              </w:rPr>
              <w:t>式循环冷却水</w:t>
            </w:r>
          </w:p>
        </w:tc>
        <w:tc>
          <w:tcPr>
            <w:tcW w:w="1800" w:type="dxa"/>
            <w:vAlign w:val="center"/>
          </w:tcPr>
          <w:p>
            <w:pPr>
              <w:pStyle w:val="20"/>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0.4</w:t>
            </w:r>
          </w:p>
        </w:tc>
        <w:tc>
          <w:tcPr>
            <w:tcW w:w="2222" w:type="dxa"/>
            <w:vAlign w:val="center"/>
          </w:tcPr>
          <w:p>
            <w:pPr>
              <w:pStyle w:val="20"/>
              <w:jc w:val="center"/>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t>3</w:t>
            </w:r>
            <w:r>
              <w:rPr>
                <w:rFonts w:hint="eastAsia" w:ascii="Times New Roman"/>
                <w:color w:val="000000" w:themeColor="text1"/>
                <w:sz w:val="24"/>
                <w14:textFill>
                  <w14:solidFill>
                    <w14:schemeClr w14:val="tx1"/>
                  </w14:solidFill>
                </w14:textFill>
              </w:rPr>
              <w:t>8</w:t>
            </w:r>
          </w:p>
        </w:tc>
        <w:tc>
          <w:tcPr>
            <w:tcW w:w="1140" w:type="dxa"/>
            <w:vAlign w:val="center"/>
          </w:tcPr>
          <w:p>
            <w:pPr>
              <w:pStyle w:val="20"/>
              <w:jc w:val="center"/>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浓</w:t>
            </w:r>
            <w:r>
              <w:rPr>
                <w:rFonts w:ascii="Times New Roman"/>
                <w:color w:val="000000" w:themeColor="text1"/>
                <w:sz w:val="24"/>
                <w14:textFill>
                  <w14:solidFill>
                    <w14:schemeClr w14:val="tx1"/>
                  </w14:solidFill>
                </w14:textFill>
              </w:rPr>
              <w:t>水</w:t>
            </w:r>
          </w:p>
        </w:tc>
      </w:tr>
    </w:tbl>
    <w:p>
      <w:pPr>
        <w:spacing w:line="360" w:lineRule="auto"/>
        <w:rPr>
          <w:sz w:val="24"/>
          <w:szCs w:val="24"/>
        </w:rPr>
      </w:pPr>
    </w:p>
    <w:p>
      <w:pPr>
        <w:spacing w:line="360" w:lineRule="auto"/>
        <w:rPr>
          <w:sz w:val="24"/>
          <w:szCs w:val="24"/>
        </w:rPr>
      </w:pPr>
      <w:r>
        <w:rPr>
          <w:sz w:val="24"/>
          <w:szCs w:val="24"/>
        </w:rPr>
        <w:t>2.1.</w:t>
      </w:r>
      <w:r>
        <w:rPr>
          <w:rFonts w:hint="eastAsia"/>
          <w:sz w:val="24"/>
          <w:szCs w:val="24"/>
        </w:rPr>
        <w:t>5</w:t>
      </w:r>
      <w:r>
        <w:rPr>
          <w:sz w:val="24"/>
          <w:szCs w:val="24"/>
        </w:rPr>
        <w:t>发电机及其配套设备的设计、供货必须满足整套机组自启停运行方式的要求。</w:t>
      </w:r>
    </w:p>
    <w:p>
      <w:pPr>
        <w:spacing w:line="360" w:lineRule="auto"/>
        <w:rPr>
          <w:sz w:val="24"/>
          <w:szCs w:val="24"/>
        </w:rPr>
        <w:sectPr>
          <w:headerReference r:id="rId4" w:type="default"/>
          <w:footerReference r:id="rId5" w:type="default"/>
          <w:pgSz w:w="11907" w:h="16840"/>
          <w:pgMar w:top="1440" w:right="1440" w:bottom="1440" w:left="1440" w:header="814" w:footer="1077" w:gutter="0"/>
          <w:pgNumType w:start="1"/>
          <w:cols w:space="720" w:num="1"/>
          <w:docGrid w:linePitch="326" w:charSpace="0"/>
        </w:sectPr>
      </w:pPr>
    </w:p>
    <w:p>
      <w:pPr>
        <w:pStyle w:val="20"/>
        <w:snapToGrid w:val="0"/>
        <w:rPr>
          <w:rFonts w:ascii="Times New Roman"/>
          <w:b/>
          <w:sz w:val="24"/>
        </w:rPr>
      </w:pPr>
      <w:r>
        <w:rPr>
          <w:rFonts w:ascii="Times New Roman"/>
          <w:b/>
          <w:sz w:val="24"/>
        </w:rPr>
        <w:t>2.2  技术标准</w:t>
      </w:r>
    </w:p>
    <w:p>
      <w:pPr>
        <w:pStyle w:val="21"/>
        <w:numPr>
          <w:ilvl w:val="2"/>
          <w:numId w:val="7"/>
        </w:numPr>
        <w:tabs>
          <w:tab w:val="left" w:pos="525"/>
          <w:tab w:val="clear" w:pos="720"/>
        </w:tabs>
        <w:spacing w:before="0" w:after="0"/>
        <w:ind w:left="0" w:firstLine="0" w:firstLineChars="0"/>
      </w:pPr>
      <w:r>
        <w:t>发电机本体；励磁系统；油、水系统以及检测装置等辅助系统的制造、验收和交接以国家标准为主要依据，并参考电力行业标准和引进设备公司有关国际标准，同时必须符合我国有关安全、环保及其它方面强制性标准和规定。</w:t>
      </w:r>
    </w:p>
    <w:p>
      <w:pPr>
        <w:pStyle w:val="21"/>
        <w:numPr>
          <w:ilvl w:val="2"/>
          <w:numId w:val="7"/>
        </w:numPr>
        <w:tabs>
          <w:tab w:val="left" w:pos="0"/>
          <w:tab w:val="clear" w:pos="720"/>
        </w:tabs>
        <w:spacing w:before="0" w:after="0"/>
        <w:ind w:firstLineChars="0"/>
      </w:pPr>
      <w:r>
        <w:t>技术标准应执行发标时的最新版本。</w:t>
      </w:r>
      <w:r>
        <w:rPr>
          <w:snapToGrid w:val="0"/>
          <w:kern w:val="0"/>
        </w:rPr>
        <w:t>各标准之间有矛盾时，按较严格标准执</w:t>
      </w:r>
    </w:p>
    <w:p>
      <w:pPr>
        <w:pStyle w:val="21"/>
        <w:tabs>
          <w:tab w:val="left" w:pos="0"/>
        </w:tabs>
        <w:spacing w:before="0" w:after="0"/>
        <w:ind w:firstLine="0" w:firstLineChars="0"/>
      </w:pPr>
      <w:r>
        <w:rPr>
          <w:snapToGrid w:val="0"/>
          <w:kern w:val="0"/>
        </w:rPr>
        <w:t>行。</w:t>
      </w:r>
    </w:p>
    <w:p>
      <w:pPr>
        <w:pStyle w:val="21"/>
        <w:numPr>
          <w:ilvl w:val="2"/>
          <w:numId w:val="7"/>
        </w:numPr>
        <w:tabs>
          <w:tab w:val="left" w:pos="0"/>
          <w:tab w:val="clear" w:pos="720"/>
        </w:tabs>
        <w:spacing w:before="0" w:after="0"/>
        <w:ind w:left="0" w:firstLine="0" w:firstLineChars="0"/>
      </w:pPr>
      <w:r>
        <w:t>引进型机组则按相应国家标准和该制造厂（公司）标准，但不得低于中国国家标准。</w:t>
      </w:r>
    </w:p>
    <w:p>
      <w:pPr>
        <w:pStyle w:val="21"/>
        <w:numPr>
          <w:ilvl w:val="2"/>
          <w:numId w:val="7"/>
        </w:numPr>
        <w:spacing w:before="0" w:after="0"/>
        <w:ind w:firstLineChars="0"/>
      </w:pPr>
      <w:r>
        <w:t>使用的主要标准如下，不限于此：</w:t>
      </w:r>
    </w:p>
    <w:p>
      <w:pPr>
        <w:spacing w:line="360" w:lineRule="auto"/>
        <w:ind w:left="600" w:right="420" w:rightChars="200"/>
        <w:rPr>
          <w:sz w:val="24"/>
        </w:rPr>
      </w:pPr>
      <w:r>
        <w:rPr>
          <w:sz w:val="24"/>
        </w:rPr>
        <w:t xml:space="preserve">GB755 </w:t>
      </w:r>
      <w:r>
        <w:rPr>
          <w:rFonts w:hAnsi="宋体"/>
          <w:sz w:val="24"/>
        </w:rPr>
        <w:t>旋转电机定额和性能</w:t>
      </w:r>
    </w:p>
    <w:p>
      <w:pPr>
        <w:spacing w:line="360" w:lineRule="auto"/>
        <w:ind w:left="600" w:right="420" w:rightChars="200"/>
        <w:rPr>
          <w:sz w:val="24"/>
        </w:rPr>
      </w:pPr>
      <w:r>
        <w:rPr>
          <w:sz w:val="24"/>
        </w:rPr>
        <w:t>GB1029</w:t>
      </w:r>
      <w:r>
        <w:rPr>
          <w:rFonts w:hint="eastAsia"/>
          <w:sz w:val="24"/>
        </w:rPr>
        <w:t xml:space="preserve"> </w:t>
      </w:r>
      <w:r>
        <w:rPr>
          <w:rFonts w:hAnsi="宋体"/>
          <w:sz w:val="24"/>
        </w:rPr>
        <w:t>三相同步电机试验方法</w:t>
      </w:r>
    </w:p>
    <w:p>
      <w:pPr>
        <w:spacing w:line="360" w:lineRule="auto"/>
        <w:ind w:left="600" w:right="420" w:rightChars="200"/>
        <w:rPr>
          <w:sz w:val="24"/>
        </w:rPr>
      </w:pPr>
      <w:r>
        <w:rPr>
          <w:rFonts w:hAnsi="宋体"/>
          <w:sz w:val="24"/>
        </w:rPr>
        <w:t>GB</w:t>
      </w:r>
      <w:r>
        <w:rPr>
          <w:rFonts w:hint="eastAsia" w:hAnsi="宋体"/>
          <w:sz w:val="24"/>
        </w:rPr>
        <w:t>7</w:t>
      </w:r>
      <w:r>
        <w:rPr>
          <w:rFonts w:hAnsi="宋体"/>
          <w:sz w:val="24"/>
        </w:rPr>
        <w:t>441</w:t>
      </w:r>
      <w:r>
        <w:rPr>
          <w:rFonts w:hint="eastAsia" w:hAnsi="宋体"/>
          <w:sz w:val="24"/>
        </w:rPr>
        <w:t xml:space="preserve"> </w:t>
      </w:r>
      <w:r>
        <w:rPr>
          <w:rFonts w:hAnsi="宋体"/>
          <w:sz w:val="24"/>
        </w:rPr>
        <w:t>汽轮机及被驱动机械发出的空间噪声的测量</w:t>
      </w:r>
    </w:p>
    <w:p>
      <w:pPr>
        <w:spacing w:line="360" w:lineRule="auto"/>
        <w:ind w:left="600" w:right="420" w:rightChars="200"/>
        <w:rPr>
          <w:sz w:val="24"/>
        </w:rPr>
      </w:pPr>
      <w:r>
        <w:rPr>
          <w:sz w:val="24"/>
        </w:rPr>
        <w:t>GB10068.1</w:t>
      </w:r>
      <w:r>
        <w:rPr>
          <w:rFonts w:hint="eastAsia"/>
          <w:sz w:val="24"/>
        </w:rPr>
        <w:t xml:space="preserve"> </w:t>
      </w:r>
      <w:r>
        <w:rPr>
          <w:rFonts w:hAnsi="宋体"/>
          <w:sz w:val="24"/>
        </w:rPr>
        <w:t>旋转电机振动测定方法及限值振动测定方法</w:t>
      </w:r>
    </w:p>
    <w:p>
      <w:pPr>
        <w:spacing w:line="360" w:lineRule="auto"/>
        <w:ind w:left="600" w:right="420" w:rightChars="200"/>
        <w:rPr>
          <w:sz w:val="24"/>
        </w:rPr>
      </w:pPr>
      <w:r>
        <w:rPr>
          <w:sz w:val="24"/>
        </w:rPr>
        <w:t>GB10068.2</w:t>
      </w:r>
      <w:r>
        <w:rPr>
          <w:rFonts w:hint="eastAsia"/>
          <w:sz w:val="24"/>
        </w:rPr>
        <w:t xml:space="preserve"> </w:t>
      </w:r>
      <w:r>
        <w:rPr>
          <w:rFonts w:hAnsi="宋体"/>
          <w:sz w:val="24"/>
        </w:rPr>
        <w:t>旋转电机振动测定方法及限值振动测定限值</w:t>
      </w:r>
    </w:p>
    <w:p>
      <w:pPr>
        <w:spacing w:line="360" w:lineRule="auto"/>
        <w:ind w:left="600" w:right="420" w:rightChars="200"/>
        <w:rPr>
          <w:sz w:val="24"/>
        </w:rPr>
      </w:pPr>
      <w:r>
        <w:rPr>
          <w:sz w:val="24"/>
        </w:rPr>
        <w:t>GB10069.1</w:t>
      </w:r>
      <w:r>
        <w:rPr>
          <w:rFonts w:hint="eastAsia"/>
          <w:sz w:val="24"/>
        </w:rPr>
        <w:t xml:space="preserve"> </w:t>
      </w:r>
      <w:r>
        <w:rPr>
          <w:rFonts w:hAnsi="宋体"/>
          <w:sz w:val="24"/>
        </w:rPr>
        <w:t>旋转电机噪声测定方法及限值噪声工程测定方法</w:t>
      </w:r>
    </w:p>
    <w:p>
      <w:pPr>
        <w:spacing w:line="360" w:lineRule="auto"/>
        <w:ind w:left="600" w:right="420" w:rightChars="200"/>
        <w:rPr>
          <w:sz w:val="24"/>
        </w:rPr>
      </w:pPr>
      <w:r>
        <w:rPr>
          <w:sz w:val="24"/>
        </w:rPr>
        <w:t>GB10069.2</w:t>
      </w:r>
      <w:r>
        <w:rPr>
          <w:rFonts w:hint="eastAsia"/>
          <w:sz w:val="24"/>
        </w:rPr>
        <w:t xml:space="preserve"> </w:t>
      </w:r>
      <w:r>
        <w:rPr>
          <w:rFonts w:hAnsi="宋体"/>
          <w:sz w:val="24"/>
        </w:rPr>
        <w:t>旋转电机噪声测定方法及限值噪声简易测定方法</w:t>
      </w:r>
    </w:p>
    <w:p>
      <w:pPr>
        <w:spacing w:line="360" w:lineRule="auto"/>
        <w:ind w:left="600" w:right="420" w:rightChars="200"/>
        <w:rPr>
          <w:sz w:val="24"/>
        </w:rPr>
      </w:pPr>
      <w:r>
        <w:rPr>
          <w:sz w:val="24"/>
        </w:rPr>
        <w:t>GB10069.3</w:t>
      </w:r>
      <w:r>
        <w:rPr>
          <w:rFonts w:hint="eastAsia"/>
          <w:sz w:val="24"/>
        </w:rPr>
        <w:t xml:space="preserve"> </w:t>
      </w:r>
      <w:r>
        <w:rPr>
          <w:rFonts w:hAnsi="宋体"/>
          <w:sz w:val="24"/>
        </w:rPr>
        <w:t>旋转电机噪声测定方法及限值噪声限值</w:t>
      </w:r>
    </w:p>
    <w:p>
      <w:pPr>
        <w:spacing w:line="360" w:lineRule="auto"/>
        <w:ind w:left="600" w:right="420" w:rightChars="200"/>
        <w:rPr>
          <w:sz w:val="24"/>
        </w:rPr>
      </w:pPr>
      <w:r>
        <w:rPr>
          <w:sz w:val="24"/>
        </w:rPr>
        <w:t>GB16874</w:t>
      </w:r>
      <w:r>
        <w:rPr>
          <w:rFonts w:hint="eastAsia"/>
          <w:sz w:val="24"/>
        </w:rPr>
        <w:t xml:space="preserve"> </w:t>
      </w:r>
      <w:r>
        <w:rPr>
          <w:rFonts w:hAnsi="宋体"/>
          <w:sz w:val="24"/>
        </w:rPr>
        <w:t>保护用电流互感器暂态特性技术要求</w:t>
      </w:r>
    </w:p>
    <w:p>
      <w:pPr>
        <w:spacing w:line="360" w:lineRule="auto"/>
        <w:ind w:left="600" w:right="420" w:rightChars="200"/>
        <w:rPr>
          <w:sz w:val="24"/>
        </w:rPr>
      </w:pPr>
      <w:r>
        <w:rPr>
          <w:sz w:val="24"/>
        </w:rPr>
        <w:t>GB50150</w:t>
      </w:r>
      <w:r>
        <w:rPr>
          <w:rFonts w:hint="eastAsia"/>
          <w:sz w:val="24"/>
        </w:rPr>
        <w:t xml:space="preserve"> </w:t>
      </w:r>
      <w:r>
        <w:rPr>
          <w:rFonts w:hAnsi="宋体"/>
          <w:sz w:val="24"/>
        </w:rPr>
        <w:t>电气装置安装工程电气设备交接试验标准</w:t>
      </w:r>
    </w:p>
    <w:p>
      <w:pPr>
        <w:spacing w:line="360" w:lineRule="auto"/>
        <w:ind w:left="600" w:right="420" w:rightChars="200"/>
        <w:rPr>
          <w:sz w:val="24"/>
        </w:rPr>
      </w:pPr>
      <w:r>
        <w:rPr>
          <w:sz w:val="24"/>
        </w:rPr>
        <w:t xml:space="preserve">GB50229 </w:t>
      </w:r>
      <w:r>
        <w:rPr>
          <w:rFonts w:hint="eastAsia"/>
          <w:sz w:val="24"/>
        </w:rPr>
        <w:t xml:space="preserve"> </w:t>
      </w:r>
      <w:r>
        <w:rPr>
          <w:rFonts w:hAnsi="宋体"/>
          <w:sz w:val="24"/>
        </w:rPr>
        <w:t>火力发电厂与变电所设计防火规范</w:t>
      </w:r>
    </w:p>
    <w:p>
      <w:pPr>
        <w:spacing w:line="360" w:lineRule="auto"/>
        <w:ind w:left="600" w:right="420" w:rightChars="200"/>
        <w:rPr>
          <w:sz w:val="24"/>
        </w:rPr>
      </w:pPr>
      <w:r>
        <w:rPr>
          <w:sz w:val="24"/>
        </w:rPr>
        <w:t xml:space="preserve">GB/T7064 </w:t>
      </w:r>
      <w:r>
        <w:rPr>
          <w:rFonts w:hAnsi="宋体"/>
          <w:sz w:val="24"/>
        </w:rPr>
        <w:t>隐极同步电机的技术要求</w:t>
      </w:r>
    </w:p>
    <w:p>
      <w:pPr>
        <w:spacing w:line="360" w:lineRule="auto"/>
        <w:ind w:left="600" w:right="420" w:rightChars="200"/>
        <w:rPr>
          <w:sz w:val="24"/>
        </w:rPr>
      </w:pPr>
      <w:r>
        <w:rPr>
          <w:sz w:val="24"/>
        </w:rPr>
        <w:t>GB/T7409</w:t>
      </w:r>
      <w:r>
        <w:rPr>
          <w:rFonts w:hint="eastAsia"/>
          <w:sz w:val="24"/>
        </w:rPr>
        <w:t xml:space="preserve"> </w:t>
      </w:r>
      <w:r>
        <w:rPr>
          <w:rFonts w:hAnsi="宋体"/>
          <w:sz w:val="24"/>
        </w:rPr>
        <w:t>大中型同步发电机励磁系统基本技术条件</w:t>
      </w:r>
    </w:p>
    <w:p>
      <w:pPr>
        <w:spacing w:line="360" w:lineRule="auto"/>
        <w:ind w:left="600" w:right="420" w:rightChars="200"/>
        <w:rPr>
          <w:rFonts w:hint="eastAsia" w:hAnsi="宋体"/>
          <w:sz w:val="24"/>
        </w:rPr>
      </w:pPr>
      <w:r>
        <w:rPr>
          <w:rFonts w:hint="eastAsia" w:hAnsi="宋体"/>
          <w:sz w:val="24"/>
        </w:rPr>
        <w:t>GB/T 7409.3 同步电机励磁系统大、中型同步发电机励磁系统技术要求</w:t>
      </w:r>
    </w:p>
    <w:p>
      <w:pPr>
        <w:spacing w:line="360" w:lineRule="auto"/>
        <w:ind w:left="600" w:right="420" w:rightChars="200"/>
        <w:rPr>
          <w:rFonts w:hint="eastAsia" w:hAnsi="宋体"/>
          <w:sz w:val="24"/>
        </w:rPr>
      </w:pPr>
      <w:r>
        <w:rPr>
          <w:rFonts w:hAnsi="宋体"/>
          <w:sz w:val="24"/>
        </w:rPr>
        <w:t>DL/T 331</w:t>
      </w:r>
      <w:r>
        <w:rPr>
          <w:rFonts w:hint="eastAsia" w:hAnsi="宋体"/>
          <w:sz w:val="24"/>
        </w:rPr>
        <w:t xml:space="preserve"> </w:t>
      </w:r>
      <w:r>
        <w:rPr>
          <w:rFonts w:hAnsi="宋体"/>
          <w:sz w:val="24"/>
        </w:rPr>
        <w:t>发电机与电网规划设计关键参数配合导则</w:t>
      </w:r>
    </w:p>
    <w:p>
      <w:pPr>
        <w:spacing w:line="360" w:lineRule="auto"/>
        <w:ind w:left="600" w:right="420" w:rightChars="200"/>
        <w:rPr>
          <w:sz w:val="24"/>
        </w:rPr>
      </w:pPr>
      <w:r>
        <w:rPr>
          <w:sz w:val="24"/>
        </w:rPr>
        <w:t xml:space="preserve">DL/T 591 </w:t>
      </w:r>
      <w:r>
        <w:rPr>
          <w:rFonts w:hAnsi="宋体"/>
          <w:sz w:val="24"/>
        </w:rPr>
        <w:t>火力发电厂汽轮发电机的检测与控制技术条件</w:t>
      </w:r>
    </w:p>
    <w:p>
      <w:pPr>
        <w:spacing w:line="360" w:lineRule="auto"/>
        <w:ind w:left="600" w:right="420" w:rightChars="200"/>
        <w:rPr>
          <w:sz w:val="24"/>
        </w:rPr>
      </w:pPr>
      <w:r>
        <w:rPr>
          <w:sz w:val="24"/>
        </w:rPr>
        <w:t>DL/T</w:t>
      </w:r>
      <w:r>
        <w:rPr>
          <w:rFonts w:hint="eastAsia"/>
          <w:sz w:val="24"/>
        </w:rPr>
        <w:t xml:space="preserve"> </w:t>
      </w:r>
      <w:r>
        <w:rPr>
          <w:sz w:val="24"/>
        </w:rPr>
        <w:t xml:space="preserve">596 </w:t>
      </w:r>
      <w:r>
        <w:rPr>
          <w:rFonts w:hAnsi="宋体"/>
          <w:sz w:val="24"/>
        </w:rPr>
        <w:t>电气设备预防性试验规程</w:t>
      </w:r>
    </w:p>
    <w:p>
      <w:pPr>
        <w:spacing w:line="360" w:lineRule="auto"/>
        <w:ind w:left="600" w:right="420" w:rightChars="200"/>
        <w:rPr>
          <w:sz w:val="24"/>
        </w:rPr>
      </w:pPr>
      <w:r>
        <w:rPr>
          <w:sz w:val="24"/>
        </w:rPr>
        <w:t>DLT 735</w:t>
      </w:r>
      <w:r>
        <w:rPr>
          <w:rFonts w:hAnsi="宋体"/>
          <w:sz w:val="24"/>
        </w:rPr>
        <w:t>大型汽轮发电机定子绕组端部动态特性的测量及评定</w:t>
      </w:r>
    </w:p>
    <w:p>
      <w:pPr>
        <w:spacing w:line="360" w:lineRule="auto"/>
        <w:ind w:left="600" w:right="420" w:rightChars="200"/>
        <w:rPr>
          <w:rFonts w:hint="eastAsia" w:hAnsi="宋体"/>
          <w:sz w:val="24"/>
        </w:rPr>
      </w:pPr>
      <w:r>
        <w:rPr>
          <w:rFonts w:hint="eastAsia" w:hAnsi="宋体"/>
          <w:sz w:val="24"/>
        </w:rPr>
        <w:t>DL/T 843 大型汽轮发电机励磁系统技术条件</w:t>
      </w:r>
    </w:p>
    <w:p>
      <w:pPr>
        <w:spacing w:line="360" w:lineRule="auto"/>
        <w:ind w:left="600" w:right="420" w:rightChars="200"/>
        <w:rPr>
          <w:rFonts w:hint="eastAsia" w:hAnsi="宋体"/>
          <w:sz w:val="24"/>
        </w:rPr>
      </w:pPr>
      <w:r>
        <w:rPr>
          <w:rFonts w:hint="eastAsia" w:hAnsi="宋体"/>
          <w:sz w:val="24"/>
        </w:rPr>
        <w:t>DL/T 1309 大型发电机组涉网保护技术规范</w:t>
      </w:r>
    </w:p>
    <w:p>
      <w:pPr>
        <w:spacing w:line="360" w:lineRule="auto"/>
        <w:ind w:left="600" w:right="420" w:rightChars="200"/>
        <w:rPr>
          <w:sz w:val="24"/>
        </w:rPr>
      </w:pPr>
      <w:r>
        <w:rPr>
          <w:rFonts w:hint="eastAsia"/>
          <w:sz w:val="24"/>
        </w:rPr>
        <w:t>DL/T 1164 汽轮发电机运行导则</w:t>
      </w:r>
    </w:p>
    <w:p>
      <w:pPr>
        <w:spacing w:line="360" w:lineRule="auto"/>
        <w:ind w:left="600" w:right="420" w:rightChars="200"/>
        <w:rPr>
          <w:sz w:val="24"/>
        </w:rPr>
      </w:pPr>
      <w:r>
        <w:rPr>
          <w:sz w:val="24"/>
        </w:rPr>
        <w:t>JB</w:t>
      </w:r>
      <w:r>
        <w:rPr>
          <w:rFonts w:hint="eastAsia"/>
          <w:sz w:val="24"/>
        </w:rPr>
        <w:t xml:space="preserve"> </w:t>
      </w:r>
      <w:r>
        <w:rPr>
          <w:sz w:val="24"/>
        </w:rPr>
        <w:t>6204</w:t>
      </w:r>
      <w:r>
        <w:rPr>
          <w:rFonts w:hAnsi="宋体"/>
          <w:sz w:val="24"/>
        </w:rPr>
        <w:t>大型高压交流电机定子绝缘耐压试验规范</w:t>
      </w:r>
    </w:p>
    <w:p>
      <w:pPr>
        <w:spacing w:line="360" w:lineRule="auto"/>
        <w:ind w:left="600" w:right="420" w:rightChars="200"/>
        <w:rPr>
          <w:sz w:val="24"/>
        </w:rPr>
      </w:pPr>
      <w:r>
        <w:rPr>
          <w:sz w:val="24"/>
        </w:rPr>
        <w:t>JB/T</w:t>
      </w:r>
      <w:r>
        <w:rPr>
          <w:rFonts w:hint="eastAsia"/>
          <w:sz w:val="24"/>
        </w:rPr>
        <w:t xml:space="preserve"> </w:t>
      </w:r>
      <w:r>
        <w:rPr>
          <w:sz w:val="24"/>
        </w:rPr>
        <w:t>6228</w:t>
      </w:r>
      <w:r>
        <w:rPr>
          <w:rFonts w:hAnsi="宋体"/>
          <w:sz w:val="24"/>
        </w:rPr>
        <w:t>汽轮发电机绕组内部水系统检验方法及评定</w:t>
      </w:r>
    </w:p>
    <w:p>
      <w:pPr>
        <w:spacing w:line="360" w:lineRule="auto"/>
        <w:ind w:left="600" w:right="420" w:rightChars="200"/>
        <w:rPr>
          <w:sz w:val="24"/>
        </w:rPr>
      </w:pPr>
      <w:r>
        <w:rPr>
          <w:sz w:val="24"/>
        </w:rPr>
        <w:t>JB</w:t>
      </w:r>
      <w:r>
        <w:rPr>
          <w:rFonts w:hint="eastAsia"/>
          <w:sz w:val="24"/>
        </w:rPr>
        <w:t>/</w:t>
      </w:r>
      <w:r>
        <w:rPr>
          <w:sz w:val="24"/>
        </w:rPr>
        <w:t>T</w:t>
      </w:r>
      <w:r>
        <w:rPr>
          <w:rFonts w:hint="eastAsia"/>
          <w:sz w:val="24"/>
        </w:rPr>
        <w:t xml:space="preserve"> </w:t>
      </w:r>
      <w:r>
        <w:rPr>
          <w:sz w:val="24"/>
        </w:rPr>
        <w:t xml:space="preserve">8990 </w:t>
      </w:r>
      <w:r>
        <w:rPr>
          <w:rFonts w:hAnsi="宋体"/>
          <w:sz w:val="24"/>
        </w:rPr>
        <w:t>大型汽轮发电机定子端部绕组模态分析及固有频率</w:t>
      </w:r>
    </w:p>
    <w:p>
      <w:pPr>
        <w:spacing w:line="360" w:lineRule="auto"/>
        <w:ind w:left="600" w:right="420" w:rightChars="200"/>
        <w:rPr>
          <w:sz w:val="24"/>
        </w:rPr>
      </w:pPr>
      <w:r>
        <w:rPr>
          <w:sz w:val="24"/>
        </w:rPr>
        <w:t>IEC</w:t>
      </w:r>
      <w:r>
        <w:rPr>
          <w:rFonts w:hint="eastAsia"/>
          <w:sz w:val="24"/>
        </w:rPr>
        <w:t xml:space="preserve"> </w:t>
      </w:r>
      <w:r>
        <w:rPr>
          <w:sz w:val="24"/>
        </w:rPr>
        <w:t>60034-1</w:t>
      </w:r>
      <w:r>
        <w:rPr>
          <w:rFonts w:hint="eastAsia"/>
          <w:sz w:val="24"/>
        </w:rPr>
        <w:t xml:space="preserve"> </w:t>
      </w:r>
      <w:r>
        <w:rPr>
          <w:rFonts w:hAnsi="宋体"/>
          <w:sz w:val="24"/>
        </w:rPr>
        <w:t>旋转电机定额和性能</w:t>
      </w:r>
    </w:p>
    <w:p>
      <w:pPr>
        <w:spacing w:line="360" w:lineRule="auto"/>
        <w:ind w:left="600" w:right="420" w:rightChars="200"/>
        <w:rPr>
          <w:sz w:val="24"/>
        </w:rPr>
      </w:pPr>
      <w:r>
        <w:rPr>
          <w:sz w:val="24"/>
        </w:rPr>
        <w:t>IEC</w:t>
      </w:r>
      <w:r>
        <w:rPr>
          <w:rFonts w:hint="eastAsia"/>
          <w:sz w:val="24"/>
        </w:rPr>
        <w:t xml:space="preserve"> </w:t>
      </w:r>
      <w:r>
        <w:rPr>
          <w:sz w:val="24"/>
        </w:rPr>
        <w:t>60034</w:t>
      </w:r>
      <w:r>
        <w:rPr>
          <w:rFonts w:hint="eastAsia" w:hAnsi="宋体"/>
          <w:sz w:val="24"/>
        </w:rPr>
        <w:t>-</w:t>
      </w:r>
      <w:r>
        <w:rPr>
          <w:sz w:val="24"/>
        </w:rPr>
        <w:t>3</w:t>
      </w:r>
      <w:r>
        <w:rPr>
          <w:rFonts w:hint="eastAsia"/>
          <w:sz w:val="24"/>
        </w:rPr>
        <w:t xml:space="preserve"> </w:t>
      </w:r>
      <w:r>
        <w:rPr>
          <w:rFonts w:hAnsi="宋体"/>
          <w:sz w:val="24"/>
        </w:rPr>
        <w:t>汽轮发电机的特殊要求</w:t>
      </w:r>
    </w:p>
    <w:p>
      <w:pPr>
        <w:spacing w:line="360" w:lineRule="auto"/>
        <w:ind w:left="600" w:right="420" w:rightChars="200"/>
        <w:rPr>
          <w:sz w:val="24"/>
        </w:rPr>
      </w:pPr>
      <w:r>
        <w:rPr>
          <w:sz w:val="24"/>
        </w:rPr>
        <w:t>IEC2A</w:t>
      </w:r>
      <w:r>
        <w:rPr>
          <w:rFonts w:hAnsi="宋体"/>
          <w:sz w:val="24"/>
        </w:rPr>
        <w:t>（秘</w:t>
      </w:r>
      <w:r>
        <w:rPr>
          <w:sz w:val="24"/>
        </w:rPr>
        <w:t>13</w:t>
      </w:r>
      <w:r>
        <w:rPr>
          <w:rFonts w:hAnsi="宋体"/>
          <w:sz w:val="24"/>
        </w:rPr>
        <w:t>）汽轮发电机励磁系统技术要求</w:t>
      </w:r>
    </w:p>
    <w:p>
      <w:pPr>
        <w:spacing w:line="360" w:lineRule="auto"/>
        <w:ind w:left="600" w:right="420" w:rightChars="200"/>
        <w:rPr>
          <w:sz w:val="24"/>
        </w:rPr>
      </w:pPr>
      <w:r>
        <w:rPr>
          <w:sz w:val="24"/>
        </w:rPr>
        <w:t>IEC</w:t>
      </w:r>
      <w:r>
        <w:rPr>
          <w:rFonts w:hAnsi="宋体"/>
          <w:sz w:val="24"/>
        </w:rPr>
        <w:t>（秘</w:t>
      </w:r>
      <w:r>
        <w:rPr>
          <w:sz w:val="24"/>
        </w:rPr>
        <w:t>593</w:t>
      </w:r>
      <w:r>
        <w:rPr>
          <w:rFonts w:hAnsi="宋体"/>
          <w:sz w:val="24"/>
        </w:rPr>
        <w:t>）关于同步电机励磁系统的若干规定</w:t>
      </w:r>
    </w:p>
    <w:p>
      <w:pPr>
        <w:spacing w:line="360" w:lineRule="auto"/>
        <w:ind w:left="600" w:right="420" w:rightChars="200"/>
        <w:rPr>
          <w:sz w:val="24"/>
        </w:rPr>
      </w:pPr>
      <w:r>
        <w:rPr>
          <w:sz w:val="24"/>
        </w:rPr>
        <w:t xml:space="preserve">ANSI C50.10 </w:t>
      </w:r>
      <w:r>
        <w:rPr>
          <w:rFonts w:hAnsi="宋体"/>
          <w:sz w:val="24"/>
        </w:rPr>
        <w:t>同步电机的一般要求</w:t>
      </w:r>
    </w:p>
    <w:p>
      <w:pPr>
        <w:spacing w:line="360" w:lineRule="auto"/>
        <w:ind w:left="600" w:right="420" w:rightChars="200"/>
        <w:rPr>
          <w:sz w:val="24"/>
        </w:rPr>
      </w:pPr>
      <w:r>
        <w:rPr>
          <w:sz w:val="24"/>
        </w:rPr>
        <w:t>ANSI C50.13</w:t>
      </w:r>
      <w:r>
        <w:rPr>
          <w:rFonts w:hint="eastAsia"/>
          <w:sz w:val="24"/>
        </w:rPr>
        <w:t xml:space="preserve"> </w:t>
      </w:r>
      <w:r>
        <w:rPr>
          <w:rFonts w:hAnsi="宋体"/>
          <w:sz w:val="24"/>
        </w:rPr>
        <w:t>隐极式转子的同步发电机要求</w:t>
      </w:r>
    </w:p>
    <w:p>
      <w:pPr>
        <w:spacing w:line="360" w:lineRule="auto"/>
        <w:ind w:left="600" w:right="420" w:rightChars="200"/>
        <w:rPr>
          <w:sz w:val="24"/>
        </w:rPr>
      </w:pPr>
      <w:r>
        <w:rPr>
          <w:sz w:val="24"/>
        </w:rPr>
        <w:t>SD</w:t>
      </w:r>
      <w:r>
        <w:rPr>
          <w:rFonts w:hint="eastAsia"/>
          <w:sz w:val="24"/>
        </w:rPr>
        <w:t xml:space="preserve"> </w:t>
      </w:r>
      <w:r>
        <w:rPr>
          <w:sz w:val="24"/>
        </w:rPr>
        <w:t xml:space="preserve">270-88 </w:t>
      </w:r>
      <w:r>
        <w:rPr>
          <w:rFonts w:hAnsi="宋体"/>
          <w:sz w:val="24"/>
        </w:rPr>
        <w:t>汽轮发电机技术条件</w:t>
      </w:r>
    </w:p>
    <w:p>
      <w:pPr>
        <w:spacing w:line="360" w:lineRule="auto"/>
        <w:ind w:left="600" w:right="420" w:rightChars="200"/>
        <w:rPr>
          <w:rFonts w:hint="eastAsia" w:hAnsi="宋体"/>
          <w:sz w:val="24"/>
        </w:rPr>
      </w:pPr>
      <w:r>
        <w:rPr>
          <w:rFonts w:hAnsi="宋体"/>
          <w:sz w:val="24"/>
        </w:rPr>
        <w:t>国家电网公司十八项电网厂重大反事故措施</w:t>
      </w:r>
    </w:p>
    <w:p>
      <w:pPr>
        <w:spacing w:line="360" w:lineRule="auto"/>
        <w:ind w:left="600" w:right="420" w:rightChars="200"/>
        <w:rPr>
          <w:rFonts w:hint="eastAsia" w:hAnsi="宋体"/>
          <w:sz w:val="24"/>
        </w:rPr>
      </w:pPr>
      <w:r>
        <w:rPr>
          <w:rFonts w:hint="eastAsia" w:hAnsi="宋体"/>
          <w:sz w:val="24"/>
        </w:rPr>
        <w:t>国家能源局防止电力生产事故的二十五项重点要求</w:t>
      </w:r>
    </w:p>
    <w:p>
      <w:pPr>
        <w:spacing w:line="360" w:lineRule="auto"/>
        <w:ind w:left="600" w:right="420" w:rightChars="200"/>
        <w:rPr>
          <w:sz w:val="24"/>
        </w:rPr>
      </w:pPr>
      <w:r>
        <w:rPr>
          <w:rFonts w:hAnsi="宋体"/>
          <w:sz w:val="24"/>
        </w:rPr>
        <w:t>其它相关标准；</w:t>
      </w:r>
    </w:p>
    <w:p>
      <w:pPr>
        <w:pStyle w:val="20"/>
        <w:snapToGrid w:val="0"/>
        <w:rPr>
          <w:rFonts w:ascii="Times New Roman"/>
          <w:b/>
          <w:sz w:val="24"/>
        </w:rPr>
      </w:pPr>
      <w:r>
        <w:rPr>
          <w:rFonts w:ascii="Times New Roman"/>
          <w:b/>
          <w:sz w:val="24"/>
        </w:rPr>
        <w:t>2.3  发电机技术要求</w:t>
      </w:r>
    </w:p>
    <w:p>
      <w:pPr>
        <w:spacing w:line="360" w:lineRule="auto"/>
        <w:rPr>
          <w:sz w:val="24"/>
          <w:szCs w:val="24"/>
        </w:rPr>
      </w:pPr>
      <w:r>
        <w:rPr>
          <w:sz w:val="24"/>
          <w:szCs w:val="24"/>
        </w:rPr>
        <w:t>2.3.1. 基本技术数据</w:t>
      </w:r>
    </w:p>
    <w:tbl>
      <w:tblPr>
        <w:tblStyle w:val="49"/>
        <w:tblW w:w="90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73"/>
        <w:gridCol w:w="2434"/>
        <w:gridCol w:w="51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trPr>
        <w:tc>
          <w:tcPr>
            <w:tcW w:w="3907" w:type="dxa"/>
            <w:gridSpan w:val="2"/>
            <w:tcBorders>
              <w:right w:val="single" w:color="auto" w:sz="4" w:space="0"/>
            </w:tcBorders>
            <w:vAlign w:val="center"/>
          </w:tcPr>
          <w:p>
            <w:pPr>
              <w:overflowPunct w:val="0"/>
              <w:spacing w:before="100" w:beforeAutospacing="1" w:after="100" w:afterAutospacing="1"/>
              <w:jc w:val="center"/>
              <w:rPr>
                <w:rFonts w:hint="eastAsia" w:hAnsi="宋体"/>
                <w:sz w:val="24"/>
                <w:szCs w:val="24"/>
              </w:rPr>
            </w:pPr>
            <w:r>
              <w:rPr>
                <w:rFonts w:hint="eastAsia" w:hAnsi="宋体"/>
                <w:sz w:val="24"/>
                <w:szCs w:val="24"/>
              </w:rPr>
              <w:t>名称</w:t>
            </w:r>
          </w:p>
        </w:tc>
        <w:tc>
          <w:tcPr>
            <w:tcW w:w="5157" w:type="dxa"/>
            <w:tcBorders>
              <w:left w:val="single" w:color="auto" w:sz="4" w:space="0"/>
            </w:tcBorders>
            <w:vAlign w:val="center"/>
          </w:tcPr>
          <w:p>
            <w:pPr>
              <w:overflowPunct w:val="0"/>
              <w:spacing w:before="100" w:beforeAutospacing="1" w:after="100" w:afterAutospacing="1"/>
              <w:jc w:val="center"/>
              <w:rPr>
                <w:rFonts w:hint="eastAsia" w:hAnsi="宋体"/>
                <w:sz w:val="24"/>
                <w:szCs w:val="24"/>
              </w:rPr>
            </w:pPr>
            <w:r>
              <w:rPr>
                <w:rFonts w:hint="eastAsia" w:hAnsi="宋体"/>
                <w:sz w:val="24"/>
                <w:szCs w:val="24"/>
              </w:rPr>
              <w:t>基本参数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napToGrid w:val="0"/>
              <w:spacing w:before="100" w:beforeAutospacing="1" w:after="100" w:afterAutospacing="1"/>
              <w:rPr>
                <w:rFonts w:hint="eastAsia" w:hAnsi="宋体"/>
                <w:sz w:val="24"/>
                <w:szCs w:val="24"/>
              </w:rPr>
            </w:pPr>
            <w:r>
              <w:rPr>
                <w:rFonts w:hint="eastAsia" w:hAnsi="宋体"/>
                <w:sz w:val="24"/>
                <w:szCs w:val="24"/>
              </w:rPr>
              <w:t>(1)额定功率</w:t>
            </w:r>
          </w:p>
        </w:tc>
        <w:tc>
          <w:tcPr>
            <w:tcW w:w="5157" w:type="dxa"/>
            <w:tcBorders>
              <w:left w:val="single" w:color="auto" w:sz="4" w:space="0"/>
            </w:tcBorders>
            <w:vAlign w:val="center"/>
          </w:tcPr>
          <w:p>
            <w:pPr>
              <w:overflowPunct w:val="0"/>
              <w:snapToGrid w:val="0"/>
              <w:spacing w:before="100" w:beforeAutospacing="1" w:after="100" w:afterAutospacing="1"/>
              <w:jc w:val="center"/>
              <w:rPr>
                <w:rFonts w:hint="eastAsia" w:hAnsi="宋体"/>
                <w:sz w:val="24"/>
                <w:szCs w:val="24"/>
              </w:rPr>
            </w:pPr>
            <w:r>
              <w:rPr>
                <w:rFonts w:hint="eastAsia" w:hAnsi="宋体"/>
                <w:sz w:val="24"/>
                <w:szCs w:val="24"/>
              </w:rPr>
              <w:t>30MW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napToGrid w:val="0"/>
              <w:spacing w:before="100" w:beforeAutospacing="1" w:after="100" w:afterAutospacing="1"/>
              <w:rPr>
                <w:rFonts w:hint="eastAsia" w:hAnsi="宋体"/>
                <w:sz w:val="24"/>
                <w:szCs w:val="24"/>
              </w:rPr>
            </w:pPr>
            <w:r>
              <w:rPr>
                <w:rFonts w:hint="eastAsia" w:hAnsi="宋体"/>
                <w:sz w:val="24"/>
                <w:szCs w:val="24"/>
              </w:rPr>
              <w:t>(2)最大连续功率</w:t>
            </w:r>
          </w:p>
        </w:tc>
        <w:tc>
          <w:tcPr>
            <w:tcW w:w="5157" w:type="dxa"/>
            <w:tcBorders>
              <w:left w:val="single" w:color="auto" w:sz="4" w:space="0"/>
            </w:tcBorders>
            <w:vAlign w:val="center"/>
          </w:tcPr>
          <w:p>
            <w:pPr>
              <w:overflowPunct w:val="0"/>
              <w:snapToGrid w:val="0"/>
              <w:spacing w:before="100" w:beforeAutospacing="1" w:after="100" w:afterAutospacing="1"/>
              <w:jc w:val="center"/>
              <w:rPr>
                <w:rFonts w:hint="eastAsia" w:hAnsi="宋体"/>
                <w:sz w:val="24"/>
                <w:szCs w:val="24"/>
              </w:rPr>
            </w:pPr>
            <w:r>
              <w:rPr>
                <w:rFonts w:hint="eastAsia" w:hAnsi="宋体"/>
                <w:sz w:val="24"/>
                <w:szCs w:val="24"/>
              </w:rPr>
              <w:t>投标人提供（</w:t>
            </w:r>
            <w:r>
              <w:rPr>
                <w:rFonts w:hAnsi="宋体"/>
                <w:sz w:val="24"/>
                <w:szCs w:val="24"/>
              </w:rPr>
              <w:t>与汽轮机</w:t>
            </w:r>
            <w:r>
              <w:rPr>
                <w:rFonts w:hint="eastAsia" w:hAnsi="宋体"/>
                <w:sz w:val="24"/>
                <w:szCs w:val="24"/>
              </w:rPr>
              <w:t>额定抽汽工况相匹配）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napToGrid w:val="0"/>
              <w:spacing w:before="100" w:beforeAutospacing="1" w:after="100" w:afterAutospacing="1"/>
              <w:rPr>
                <w:rFonts w:hint="eastAsia" w:hAnsi="宋体"/>
                <w:sz w:val="24"/>
                <w:szCs w:val="24"/>
              </w:rPr>
            </w:pPr>
            <w:r>
              <w:rPr>
                <w:rFonts w:hint="eastAsia" w:hAnsi="宋体"/>
                <w:sz w:val="24"/>
                <w:szCs w:val="24"/>
              </w:rPr>
              <w:t>最大出力</w:t>
            </w:r>
          </w:p>
        </w:tc>
        <w:tc>
          <w:tcPr>
            <w:tcW w:w="5157" w:type="dxa"/>
            <w:tcBorders>
              <w:left w:val="single" w:color="auto" w:sz="4" w:space="0"/>
            </w:tcBorders>
            <w:vAlign w:val="center"/>
          </w:tcPr>
          <w:p>
            <w:pPr>
              <w:overflowPunct w:val="0"/>
              <w:snapToGrid w:val="0"/>
              <w:spacing w:before="100" w:beforeAutospacing="1" w:after="100" w:afterAutospacing="1"/>
              <w:jc w:val="center"/>
              <w:rPr>
                <w:rFonts w:hint="eastAsia" w:hAnsi="宋体"/>
                <w:sz w:val="24"/>
                <w:szCs w:val="24"/>
              </w:rPr>
            </w:pPr>
            <w:r>
              <w:rPr>
                <w:rFonts w:hint="eastAsia" w:hAnsi="宋体"/>
                <w:sz w:val="24"/>
                <w:szCs w:val="24"/>
              </w:rPr>
              <w:t>投标人提供（</w:t>
            </w:r>
            <w:r>
              <w:rPr>
                <w:rFonts w:hAnsi="宋体"/>
                <w:sz w:val="24"/>
                <w:szCs w:val="24"/>
              </w:rPr>
              <w:t>与</w:t>
            </w:r>
            <w:r>
              <w:rPr>
                <w:rFonts w:hint="eastAsia" w:hAnsi="宋体"/>
                <w:sz w:val="24"/>
                <w:szCs w:val="24"/>
              </w:rPr>
              <w:t>汽轮机最大进汽工况相匹配）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trPr>
        <w:tc>
          <w:tcPr>
            <w:tcW w:w="3907" w:type="dxa"/>
            <w:gridSpan w:val="2"/>
            <w:tcBorders>
              <w:right w:val="single" w:color="auto" w:sz="4" w:space="0"/>
            </w:tcBorders>
            <w:vAlign w:val="center"/>
          </w:tcPr>
          <w:p>
            <w:pPr>
              <w:overflowPunct w:val="0"/>
              <w:snapToGrid w:val="0"/>
              <w:spacing w:before="100" w:beforeAutospacing="1" w:after="100" w:afterAutospacing="1"/>
              <w:rPr>
                <w:rFonts w:hint="eastAsia" w:hAnsi="宋体"/>
                <w:sz w:val="24"/>
                <w:szCs w:val="24"/>
              </w:rPr>
            </w:pPr>
            <w:r>
              <w:rPr>
                <w:rFonts w:hint="eastAsia" w:hAnsi="宋体"/>
                <w:sz w:val="24"/>
                <w:szCs w:val="24"/>
              </w:rPr>
              <w:t>(3)额定电压：</w:t>
            </w:r>
          </w:p>
        </w:tc>
        <w:tc>
          <w:tcPr>
            <w:tcW w:w="5157" w:type="dxa"/>
            <w:tcBorders>
              <w:left w:val="single" w:color="auto" w:sz="4" w:space="0"/>
            </w:tcBorders>
            <w:vAlign w:val="center"/>
          </w:tcPr>
          <w:p>
            <w:pPr>
              <w:overflowPunct w:val="0"/>
              <w:snapToGrid w:val="0"/>
              <w:spacing w:before="100" w:beforeAutospacing="1" w:after="100" w:afterAutospacing="1"/>
              <w:jc w:val="center"/>
              <w:rPr>
                <w:rFonts w:hint="eastAsia" w:hAnsi="宋体"/>
                <w:sz w:val="24"/>
                <w:szCs w:val="24"/>
              </w:rPr>
            </w:pPr>
            <w:r>
              <w:rPr>
                <w:rFonts w:hint="eastAsia" w:hAnsi="宋体"/>
                <w:sz w:val="24"/>
                <w:szCs w:val="24"/>
              </w:rPr>
              <w:t>10.5kV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napToGrid w:val="0"/>
              <w:spacing w:before="100" w:beforeAutospacing="1" w:after="100" w:afterAutospacing="1"/>
              <w:rPr>
                <w:rFonts w:hint="eastAsia" w:hAnsi="宋体"/>
                <w:sz w:val="24"/>
                <w:szCs w:val="24"/>
              </w:rPr>
            </w:pPr>
            <w:r>
              <w:rPr>
                <w:rFonts w:hint="eastAsia" w:hAnsi="宋体"/>
                <w:sz w:val="24"/>
                <w:szCs w:val="24"/>
              </w:rPr>
              <w:t>(4)额定功率因数：</w:t>
            </w:r>
          </w:p>
        </w:tc>
        <w:tc>
          <w:tcPr>
            <w:tcW w:w="5157" w:type="dxa"/>
            <w:tcBorders>
              <w:left w:val="single" w:color="auto" w:sz="4" w:space="0"/>
            </w:tcBorders>
            <w:vAlign w:val="center"/>
          </w:tcPr>
          <w:p>
            <w:pPr>
              <w:overflowPunct w:val="0"/>
              <w:snapToGrid w:val="0"/>
              <w:spacing w:before="100" w:beforeAutospacing="1" w:after="100" w:afterAutospacing="1"/>
              <w:jc w:val="center"/>
              <w:rPr>
                <w:rFonts w:hint="eastAsia" w:hAnsi="宋体"/>
                <w:sz w:val="24"/>
                <w:szCs w:val="24"/>
              </w:rPr>
            </w:pPr>
            <w:r>
              <w:rPr>
                <w:rFonts w:hAnsi="宋体"/>
                <w:sz w:val="24"/>
                <w:szCs w:val="24"/>
              </w:rPr>
              <w:t>0.8</w:t>
            </w:r>
            <w:r>
              <w:rPr>
                <w:rFonts w:hint="eastAsia" w:hAnsi="宋体"/>
                <w:sz w:val="24"/>
                <w:szCs w:val="24"/>
              </w:rPr>
              <w:t>（滞后）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napToGrid w:val="0"/>
              <w:spacing w:before="100" w:beforeAutospacing="1" w:after="100" w:afterAutospacing="1"/>
              <w:rPr>
                <w:rFonts w:hint="eastAsia" w:hAnsi="宋体"/>
                <w:sz w:val="24"/>
                <w:szCs w:val="24"/>
              </w:rPr>
            </w:pPr>
            <w:r>
              <w:rPr>
                <w:rFonts w:hint="eastAsia" w:hAnsi="宋体"/>
                <w:sz w:val="24"/>
                <w:szCs w:val="24"/>
              </w:rPr>
              <w:t>(5)频率：</w:t>
            </w:r>
          </w:p>
        </w:tc>
        <w:tc>
          <w:tcPr>
            <w:tcW w:w="5157" w:type="dxa"/>
            <w:tcBorders>
              <w:left w:val="single" w:color="auto" w:sz="4" w:space="0"/>
            </w:tcBorders>
            <w:vAlign w:val="center"/>
          </w:tcPr>
          <w:p>
            <w:pPr>
              <w:overflowPunct w:val="0"/>
              <w:snapToGrid w:val="0"/>
              <w:spacing w:before="100" w:beforeAutospacing="1" w:after="100" w:afterAutospacing="1"/>
              <w:jc w:val="center"/>
              <w:rPr>
                <w:rFonts w:hint="eastAsia" w:hAnsi="宋体"/>
                <w:sz w:val="24"/>
                <w:szCs w:val="24"/>
              </w:rPr>
            </w:pPr>
            <w:r>
              <w:rPr>
                <w:rFonts w:hAnsi="宋体"/>
                <w:sz w:val="24"/>
                <w:szCs w:val="24"/>
              </w:rPr>
              <w:t>50Hz</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trPr>
        <w:tc>
          <w:tcPr>
            <w:tcW w:w="3907" w:type="dxa"/>
            <w:gridSpan w:val="2"/>
            <w:tcBorders>
              <w:right w:val="single" w:color="auto" w:sz="4" w:space="0"/>
            </w:tcBorders>
            <w:vAlign w:val="center"/>
          </w:tcPr>
          <w:p>
            <w:pPr>
              <w:overflowPunct w:val="0"/>
              <w:snapToGrid w:val="0"/>
              <w:spacing w:before="100" w:beforeAutospacing="1" w:after="100" w:afterAutospacing="1"/>
              <w:rPr>
                <w:rFonts w:hint="eastAsia" w:hAnsi="宋体"/>
                <w:sz w:val="24"/>
                <w:szCs w:val="24"/>
              </w:rPr>
            </w:pPr>
            <w:r>
              <w:rPr>
                <w:rFonts w:hint="eastAsia" w:hAnsi="宋体"/>
                <w:sz w:val="24"/>
                <w:szCs w:val="24"/>
              </w:rPr>
              <w:t>(6)额定电流：</w:t>
            </w:r>
          </w:p>
        </w:tc>
        <w:tc>
          <w:tcPr>
            <w:tcW w:w="5157" w:type="dxa"/>
            <w:tcBorders>
              <w:left w:val="single" w:color="auto" w:sz="4" w:space="0"/>
            </w:tcBorders>
            <w:vAlign w:val="center"/>
          </w:tcPr>
          <w:p>
            <w:pPr>
              <w:overflowPunct w:val="0"/>
              <w:snapToGrid w:val="0"/>
              <w:spacing w:before="100" w:beforeAutospacing="1" w:after="100" w:afterAutospacing="1"/>
              <w:jc w:val="center"/>
              <w:rPr>
                <w:rFonts w:hint="eastAsia" w:hAnsi="宋体"/>
                <w:sz w:val="24"/>
                <w:szCs w:val="24"/>
              </w:rPr>
            </w:pPr>
            <w:r>
              <w:rPr>
                <w:rFonts w:hint="eastAsia" w:hAnsi="宋体"/>
                <w:sz w:val="24"/>
                <w:szCs w:val="24"/>
              </w:rPr>
              <w:t>投标人提供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napToGrid w:val="0"/>
              <w:spacing w:before="100" w:beforeAutospacing="1" w:after="100" w:afterAutospacing="1"/>
              <w:rPr>
                <w:rFonts w:hint="eastAsia" w:hAnsi="宋体"/>
                <w:sz w:val="24"/>
                <w:szCs w:val="24"/>
              </w:rPr>
            </w:pPr>
            <w:r>
              <w:rPr>
                <w:rFonts w:hint="eastAsia" w:hAnsi="宋体"/>
                <w:sz w:val="24"/>
                <w:szCs w:val="24"/>
              </w:rPr>
              <w:t>(</w:t>
            </w:r>
            <w:r>
              <w:rPr>
                <w:rFonts w:hAnsi="宋体"/>
                <w:sz w:val="24"/>
                <w:szCs w:val="24"/>
              </w:rPr>
              <w:t>7</w:t>
            </w:r>
            <w:r>
              <w:rPr>
                <w:rFonts w:hint="eastAsia" w:hAnsi="宋体"/>
                <w:sz w:val="24"/>
                <w:szCs w:val="24"/>
              </w:rPr>
              <w:t>)额定转速：</w:t>
            </w:r>
          </w:p>
        </w:tc>
        <w:tc>
          <w:tcPr>
            <w:tcW w:w="5157" w:type="dxa"/>
            <w:tcBorders>
              <w:left w:val="single" w:color="auto" w:sz="4" w:space="0"/>
            </w:tcBorders>
            <w:vAlign w:val="center"/>
          </w:tcPr>
          <w:p>
            <w:pPr>
              <w:overflowPunct w:val="0"/>
              <w:snapToGrid w:val="0"/>
              <w:spacing w:before="100" w:beforeAutospacing="1" w:after="100" w:afterAutospacing="1"/>
              <w:jc w:val="center"/>
              <w:rPr>
                <w:rFonts w:hint="eastAsia" w:hAnsi="宋体"/>
                <w:sz w:val="24"/>
                <w:szCs w:val="24"/>
              </w:rPr>
            </w:pPr>
            <w:r>
              <w:rPr>
                <w:rFonts w:hAnsi="宋体"/>
                <w:sz w:val="24"/>
                <w:szCs w:val="24"/>
              </w:rPr>
              <w:t>3000</w:t>
            </w:r>
            <w:r>
              <w:rPr>
                <w:rFonts w:hint="eastAsia" w:hAnsi="宋体"/>
                <w:sz w:val="24"/>
                <w:szCs w:val="24"/>
              </w:rPr>
              <w:t>转</w:t>
            </w:r>
            <w:r>
              <w:rPr>
                <w:rFonts w:hAnsi="宋体"/>
                <w:sz w:val="24"/>
                <w:szCs w:val="24"/>
              </w:rPr>
              <w:t>/</w:t>
            </w:r>
            <w:r>
              <w:rPr>
                <w:rFonts w:hint="eastAsia" w:hAnsi="宋体"/>
                <w:sz w:val="24"/>
                <w:szCs w:val="24"/>
              </w:rPr>
              <w:t>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napToGrid w:val="0"/>
              <w:spacing w:before="100" w:beforeAutospacing="1" w:after="100" w:afterAutospacing="1"/>
              <w:rPr>
                <w:rFonts w:hint="eastAsia" w:hAnsi="宋体"/>
                <w:sz w:val="24"/>
                <w:szCs w:val="24"/>
              </w:rPr>
            </w:pPr>
            <w:r>
              <w:rPr>
                <w:rFonts w:hint="eastAsia" w:hAnsi="宋体"/>
                <w:sz w:val="24"/>
                <w:szCs w:val="24"/>
              </w:rPr>
              <w:t>(8)极数：</w:t>
            </w:r>
          </w:p>
        </w:tc>
        <w:tc>
          <w:tcPr>
            <w:tcW w:w="5157" w:type="dxa"/>
            <w:tcBorders>
              <w:left w:val="single" w:color="auto" w:sz="4" w:space="0"/>
            </w:tcBorders>
            <w:vAlign w:val="center"/>
          </w:tcPr>
          <w:p>
            <w:pPr>
              <w:overflowPunct w:val="0"/>
              <w:snapToGrid w:val="0"/>
              <w:spacing w:before="100" w:beforeAutospacing="1" w:after="100" w:afterAutospacing="1"/>
              <w:jc w:val="center"/>
              <w:rPr>
                <w:rFonts w:hint="eastAsia" w:hAnsi="宋体"/>
                <w:sz w:val="24"/>
                <w:szCs w:val="24"/>
              </w:rPr>
            </w:pPr>
            <w:r>
              <w:rPr>
                <w:rFonts w:hAnsi="宋体"/>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napToGrid w:val="0"/>
              <w:spacing w:before="100" w:beforeAutospacing="1" w:after="100" w:afterAutospacing="1"/>
              <w:rPr>
                <w:rFonts w:hint="eastAsia" w:hAnsi="宋体"/>
                <w:sz w:val="24"/>
                <w:szCs w:val="24"/>
              </w:rPr>
            </w:pPr>
            <w:r>
              <w:rPr>
                <w:rFonts w:hint="eastAsia" w:hAnsi="宋体"/>
                <w:sz w:val="24"/>
                <w:szCs w:val="24"/>
              </w:rPr>
              <w:t>(9)相数：</w:t>
            </w:r>
          </w:p>
        </w:tc>
        <w:tc>
          <w:tcPr>
            <w:tcW w:w="5157" w:type="dxa"/>
            <w:tcBorders>
              <w:left w:val="single" w:color="auto" w:sz="4" w:space="0"/>
            </w:tcBorders>
            <w:vAlign w:val="center"/>
          </w:tcPr>
          <w:p>
            <w:pPr>
              <w:overflowPunct w:val="0"/>
              <w:snapToGrid w:val="0"/>
              <w:spacing w:before="100" w:beforeAutospacing="1" w:after="100" w:afterAutospacing="1"/>
              <w:jc w:val="center"/>
              <w:rPr>
                <w:rFonts w:hint="eastAsia" w:hAnsi="宋体"/>
                <w:sz w:val="24"/>
                <w:szCs w:val="24"/>
              </w:rPr>
            </w:pPr>
            <w:r>
              <w:rPr>
                <w:rFonts w:hAnsi="宋体"/>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napToGrid w:val="0"/>
              <w:spacing w:before="100" w:beforeAutospacing="1" w:after="100" w:afterAutospacing="1"/>
              <w:rPr>
                <w:rFonts w:hint="eastAsia" w:hAnsi="宋体"/>
                <w:sz w:val="24"/>
                <w:szCs w:val="24"/>
              </w:rPr>
            </w:pPr>
            <w:r>
              <w:rPr>
                <w:rFonts w:hint="eastAsia" w:hAnsi="宋体"/>
                <w:sz w:val="24"/>
                <w:szCs w:val="24"/>
              </w:rPr>
              <w:t>(10)定子线圈接法；</w:t>
            </w:r>
          </w:p>
        </w:tc>
        <w:tc>
          <w:tcPr>
            <w:tcW w:w="5157" w:type="dxa"/>
            <w:tcBorders>
              <w:left w:val="single" w:color="auto" w:sz="4" w:space="0"/>
            </w:tcBorders>
            <w:vAlign w:val="center"/>
          </w:tcPr>
          <w:p>
            <w:pPr>
              <w:overflowPunct w:val="0"/>
              <w:snapToGrid w:val="0"/>
              <w:spacing w:before="100" w:beforeAutospacing="1" w:after="100" w:afterAutospacing="1"/>
              <w:jc w:val="center"/>
              <w:rPr>
                <w:rFonts w:hint="eastAsia" w:hAnsi="宋体"/>
                <w:sz w:val="24"/>
                <w:szCs w:val="24"/>
              </w:rPr>
            </w:pPr>
            <w:r>
              <w:rPr>
                <w:rFonts w:hAnsi="宋体"/>
                <w:sz w:val="24"/>
                <w:szCs w:val="24"/>
              </w:rPr>
              <w:t>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napToGrid w:val="0"/>
              <w:spacing w:before="100" w:beforeAutospacing="1" w:after="100" w:afterAutospacing="1"/>
              <w:rPr>
                <w:rFonts w:hint="eastAsia" w:hAnsi="宋体"/>
                <w:sz w:val="24"/>
                <w:szCs w:val="24"/>
              </w:rPr>
            </w:pPr>
            <w:r>
              <w:rPr>
                <w:rFonts w:hint="eastAsia" w:hAnsi="宋体"/>
                <w:sz w:val="24"/>
                <w:szCs w:val="24"/>
              </w:rPr>
              <w:t>(11)冷却方式：</w:t>
            </w:r>
          </w:p>
        </w:tc>
        <w:tc>
          <w:tcPr>
            <w:tcW w:w="5157" w:type="dxa"/>
            <w:tcBorders>
              <w:left w:val="single" w:color="auto" w:sz="4" w:space="0"/>
            </w:tcBorders>
            <w:vAlign w:val="center"/>
          </w:tcPr>
          <w:p>
            <w:pPr>
              <w:overflowPunct w:val="0"/>
              <w:snapToGrid w:val="0"/>
              <w:spacing w:before="100" w:beforeAutospacing="1" w:after="100" w:afterAutospacing="1"/>
              <w:jc w:val="center"/>
              <w:rPr>
                <w:rFonts w:hint="eastAsia" w:hAnsi="宋体"/>
                <w:sz w:val="24"/>
                <w:szCs w:val="24"/>
              </w:rPr>
            </w:pPr>
            <w:r>
              <w:rPr>
                <w:rFonts w:hint="eastAsia" w:hAnsi="宋体"/>
                <w:sz w:val="24"/>
                <w:szCs w:val="24"/>
              </w:rPr>
              <w:t>空冷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napToGrid w:val="0"/>
              <w:spacing w:before="100" w:beforeAutospacing="1" w:after="100" w:afterAutospacing="1"/>
              <w:rPr>
                <w:rFonts w:hint="eastAsia" w:hAnsi="宋体"/>
                <w:sz w:val="24"/>
                <w:szCs w:val="24"/>
              </w:rPr>
            </w:pPr>
            <w:r>
              <w:rPr>
                <w:rFonts w:hint="eastAsia" w:hAnsi="宋体"/>
                <w:sz w:val="24"/>
                <w:szCs w:val="24"/>
              </w:rPr>
              <w:t>(</w:t>
            </w:r>
            <w:r>
              <w:rPr>
                <w:rFonts w:hAnsi="宋体"/>
                <w:sz w:val="24"/>
                <w:szCs w:val="24"/>
              </w:rPr>
              <w:t>1</w:t>
            </w:r>
            <w:r>
              <w:rPr>
                <w:rFonts w:hint="eastAsia" w:hAnsi="宋体"/>
                <w:sz w:val="24"/>
                <w:szCs w:val="24"/>
              </w:rPr>
              <w:t>2)短路比：</w:t>
            </w:r>
          </w:p>
        </w:tc>
        <w:tc>
          <w:tcPr>
            <w:tcW w:w="5157" w:type="dxa"/>
            <w:tcBorders>
              <w:left w:val="single" w:color="auto" w:sz="4" w:space="0"/>
            </w:tcBorders>
            <w:vAlign w:val="center"/>
          </w:tcPr>
          <w:p>
            <w:pPr>
              <w:overflowPunct w:val="0"/>
              <w:snapToGrid w:val="0"/>
              <w:spacing w:before="100" w:beforeAutospacing="1" w:after="100" w:afterAutospacing="1"/>
              <w:jc w:val="center"/>
              <w:rPr>
                <w:rFonts w:hint="eastAsia" w:hAnsi="宋体"/>
                <w:sz w:val="24"/>
                <w:szCs w:val="24"/>
              </w:rPr>
            </w:pPr>
            <w:r>
              <w:rPr>
                <w:rFonts w:hint="eastAsia" w:hAnsi="宋体"/>
                <w:sz w:val="24"/>
                <w:szCs w:val="24"/>
              </w:rPr>
              <w:t>投标人提供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pacing w:before="100" w:beforeAutospacing="1" w:after="100" w:afterAutospacing="1"/>
              <w:rPr>
                <w:rFonts w:hint="eastAsia" w:hAnsi="宋体"/>
                <w:sz w:val="24"/>
                <w:szCs w:val="24"/>
              </w:rPr>
            </w:pPr>
            <w:r>
              <w:rPr>
                <w:rFonts w:hint="eastAsia" w:hAnsi="宋体"/>
                <w:sz w:val="24"/>
                <w:szCs w:val="24"/>
              </w:rPr>
              <w:t>(</w:t>
            </w:r>
            <w:r>
              <w:rPr>
                <w:rFonts w:hAnsi="宋体"/>
                <w:sz w:val="24"/>
                <w:szCs w:val="24"/>
              </w:rPr>
              <w:t>1</w:t>
            </w:r>
            <w:r>
              <w:rPr>
                <w:rFonts w:hint="eastAsia" w:hAnsi="宋体"/>
                <w:sz w:val="24"/>
                <w:szCs w:val="24"/>
              </w:rPr>
              <w:t>3)发电机效率（保证值）</w:t>
            </w:r>
          </w:p>
        </w:tc>
        <w:tc>
          <w:tcPr>
            <w:tcW w:w="5157" w:type="dxa"/>
            <w:tcBorders>
              <w:left w:val="single" w:color="auto" w:sz="4" w:space="0"/>
            </w:tcBorders>
            <w:vAlign w:val="center"/>
          </w:tcPr>
          <w:p>
            <w:pPr>
              <w:overflowPunct w:val="0"/>
              <w:snapToGrid w:val="0"/>
              <w:spacing w:before="100" w:beforeAutospacing="1" w:after="100" w:afterAutospacing="1"/>
              <w:jc w:val="center"/>
              <w:rPr>
                <w:rFonts w:hint="eastAsia" w:hAnsi="宋体"/>
                <w:sz w:val="24"/>
                <w:szCs w:val="24"/>
              </w:rPr>
            </w:pPr>
            <w:r>
              <w:rPr>
                <w:rFonts w:hint="eastAsia" w:hAnsi="宋体"/>
                <w:sz w:val="24"/>
                <w:szCs w:val="24"/>
              </w:rPr>
              <w:t>≥</w:t>
            </w:r>
            <w:r>
              <w:rPr>
                <w:rFonts w:hAnsi="宋体"/>
                <w:sz w:val="24"/>
                <w:szCs w:val="24"/>
              </w:rPr>
              <w:t>98 %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pacing w:before="100" w:beforeAutospacing="1" w:after="100" w:afterAutospacing="1"/>
              <w:rPr>
                <w:rFonts w:hint="eastAsia" w:hAnsi="宋体"/>
                <w:sz w:val="24"/>
                <w:szCs w:val="24"/>
              </w:rPr>
            </w:pPr>
            <w:r>
              <w:rPr>
                <w:rFonts w:hint="eastAsia" w:hAnsi="宋体"/>
                <w:sz w:val="24"/>
                <w:szCs w:val="24"/>
              </w:rPr>
              <w:t>(</w:t>
            </w:r>
            <w:r>
              <w:rPr>
                <w:rFonts w:hAnsi="宋体"/>
                <w:sz w:val="24"/>
                <w:szCs w:val="24"/>
              </w:rPr>
              <w:t>1</w:t>
            </w:r>
            <w:r>
              <w:rPr>
                <w:rFonts w:hint="eastAsia" w:hAnsi="宋体"/>
                <w:sz w:val="24"/>
                <w:szCs w:val="24"/>
              </w:rPr>
              <w:t>4)绝缘等级：</w:t>
            </w:r>
          </w:p>
        </w:tc>
        <w:tc>
          <w:tcPr>
            <w:tcW w:w="5157" w:type="dxa"/>
            <w:tcBorders>
              <w:left w:val="single" w:color="auto" w:sz="4" w:space="0"/>
            </w:tcBorders>
            <w:vAlign w:val="center"/>
          </w:tcPr>
          <w:p>
            <w:pPr>
              <w:overflowPunct w:val="0"/>
              <w:spacing w:before="100" w:beforeAutospacing="1" w:after="100" w:afterAutospacing="1"/>
              <w:jc w:val="center"/>
              <w:rPr>
                <w:rFonts w:hint="eastAsia" w:hAnsi="宋体"/>
                <w:sz w:val="24"/>
                <w:szCs w:val="24"/>
              </w:rPr>
            </w:pPr>
            <w:r>
              <w:rPr>
                <w:rFonts w:hAnsi="宋体"/>
                <w:sz w:val="24"/>
                <w:szCs w:val="24"/>
              </w:rPr>
              <w:t>F</w:t>
            </w:r>
            <w:r>
              <w:rPr>
                <w:rFonts w:hint="eastAsia" w:hAnsi="宋体"/>
                <w:sz w:val="24"/>
                <w:szCs w:val="24"/>
              </w:rPr>
              <w:t>级（温升按</w:t>
            </w:r>
            <w:r>
              <w:rPr>
                <w:rFonts w:hAnsi="宋体"/>
                <w:sz w:val="24"/>
                <w:szCs w:val="24"/>
              </w:rPr>
              <w:t>B</w:t>
            </w:r>
            <w:r>
              <w:rPr>
                <w:rFonts w:hint="eastAsia" w:hAnsi="宋体"/>
                <w:sz w:val="24"/>
                <w:szCs w:val="24"/>
              </w:rPr>
              <w:t>级考核）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pacing w:before="100" w:beforeAutospacing="1" w:after="100" w:afterAutospacing="1"/>
              <w:rPr>
                <w:rFonts w:hint="eastAsia" w:hAnsi="宋体"/>
                <w:sz w:val="24"/>
                <w:szCs w:val="24"/>
              </w:rPr>
            </w:pPr>
            <w:r>
              <w:rPr>
                <w:rFonts w:hint="eastAsia" w:hAnsi="宋体"/>
                <w:sz w:val="24"/>
                <w:szCs w:val="24"/>
              </w:rPr>
              <w:t>(</w:t>
            </w:r>
            <w:r>
              <w:rPr>
                <w:rFonts w:hAnsi="宋体"/>
                <w:sz w:val="24"/>
                <w:szCs w:val="24"/>
              </w:rPr>
              <w:t>1</w:t>
            </w:r>
            <w:r>
              <w:rPr>
                <w:rFonts w:hint="eastAsia" w:hAnsi="宋体"/>
                <w:sz w:val="24"/>
                <w:szCs w:val="24"/>
              </w:rPr>
              <w:t>5)电抗：</w:t>
            </w:r>
          </w:p>
        </w:tc>
        <w:tc>
          <w:tcPr>
            <w:tcW w:w="5157" w:type="dxa"/>
            <w:tcBorders>
              <w:left w:val="single" w:color="auto" w:sz="4" w:space="0"/>
            </w:tcBorders>
            <w:vAlign w:val="center"/>
          </w:tcPr>
          <w:p>
            <w:pPr>
              <w:overflowPunct w:val="0"/>
              <w:spacing w:before="100" w:beforeAutospacing="1" w:after="100" w:afterAutospacing="1"/>
              <w:jc w:val="center"/>
              <w:rPr>
                <w:rFonts w:hint="eastAsia"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pacing w:before="100" w:beforeAutospacing="1" w:after="100" w:afterAutospacing="1"/>
              <w:rPr>
                <w:rFonts w:hint="eastAsia" w:hAnsi="宋体"/>
                <w:sz w:val="24"/>
                <w:szCs w:val="24"/>
              </w:rPr>
            </w:pPr>
            <w:r>
              <w:rPr>
                <w:rFonts w:hint="eastAsia" w:hAnsi="宋体"/>
                <w:sz w:val="24"/>
                <w:szCs w:val="24"/>
              </w:rPr>
              <w:t>瞬变电抗</w:t>
            </w:r>
            <w:r>
              <w:rPr>
                <w:rFonts w:hAnsi="宋体"/>
                <w:sz w:val="24"/>
                <w:szCs w:val="24"/>
              </w:rPr>
              <w:t>X</w:t>
            </w:r>
            <w:r>
              <w:rPr>
                <w:rFonts w:hAnsi="宋体"/>
                <w:sz w:val="24"/>
                <w:szCs w:val="24"/>
              </w:rPr>
              <w:sym w:font="Symbol" w:char="F0A2"/>
            </w:r>
            <w:r>
              <w:rPr>
                <w:rFonts w:hAnsi="宋体"/>
                <w:sz w:val="24"/>
                <w:szCs w:val="24"/>
              </w:rPr>
              <w:t>d</w:t>
            </w:r>
            <w:r>
              <w:rPr>
                <w:rFonts w:hint="eastAsia" w:hAnsi="宋体"/>
                <w:sz w:val="24"/>
                <w:szCs w:val="24"/>
              </w:rPr>
              <w:t>（不饱和值）：</w:t>
            </w:r>
          </w:p>
        </w:tc>
        <w:tc>
          <w:tcPr>
            <w:tcW w:w="5157" w:type="dxa"/>
            <w:tcBorders>
              <w:left w:val="single" w:color="auto" w:sz="4" w:space="0"/>
            </w:tcBorders>
            <w:vAlign w:val="center"/>
          </w:tcPr>
          <w:p>
            <w:pPr>
              <w:overflowPunct w:val="0"/>
              <w:spacing w:before="100" w:beforeAutospacing="1" w:after="100" w:afterAutospacing="1"/>
              <w:jc w:val="center"/>
              <w:rPr>
                <w:rFonts w:hint="eastAsia" w:hAnsi="宋体"/>
                <w:sz w:val="24"/>
                <w:szCs w:val="24"/>
              </w:rPr>
            </w:pPr>
            <w:r>
              <w:rPr>
                <w:rFonts w:hint="eastAsia" w:hAnsi="宋体"/>
                <w:sz w:val="24"/>
                <w:szCs w:val="24"/>
              </w:rPr>
              <w:t>投标人提供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pacing w:before="100" w:beforeAutospacing="1" w:after="100" w:afterAutospacing="1"/>
              <w:rPr>
                <w:rFonts w:hint="eastAsia" w:hAnsi="宋体"/>
                <w:sz w:val="24"/>
                <w:szCs w:val="24"/>
              </w:rPr>
            </w:pPr>
            <w:r>
              <w:rPr>
                <w:rFonts w:hint="eastAsia" w:hAnsi="宋体"/>
                <w:sz w:val="24"/>
                <w:szCs w:val="24"/>
              </w:rPr>
              <w:t>超瞬变电抗</w:t>
            </w:r>
            <w:r>
              <w:rPr>
                <w:rFonts w:hAnsi="宋体"/>
                <w:sz w:val="24"/>
                <w:szCs w:val="24"/>
              </w:rPr>
              <w:t>X</w:t>
            </w:r>
            <w:r>
              <w:rPr>
                <w:rFonts w:hAnsi="宋体"/>
                <w:sz w:val="24"/>
                <w:szCs w:val="24"/>
              </w:rPr>
              <w:sym w:font="Symbol" w:char="F0B2"/>
            </w:r>
            <w:r>
              <w:rPr>
                <w:rFonts w:hAnsi="宋体"/>
                <w:sz w:val="24"/>
                <w:szCs w:val="24"/>
              </w:rPr>
              <w:t>d</w:t>
            </w:r>
            <w:r>
              <w:rPr>
                <w:rFonts w:hint="eastAsia" w:hAnsi="宋体"/>
                <w:sz w:val="24"/>
                <w:szCs w:val="24"/>
              </w:rPr>
              <w:t>（饱和值）：</w:t>
            </w:r>
          </w:p>
        </w:tc>
        <w:tc>
          <w:tcPr>
            <w:tcW w:w="5157" w:type="dxa"/>
            <w:tcBorders>
              <w:left w:val="single" w:color="auto" w:sz="4" w:space="0"/>
            </w:tcBorders>
            <w:vAlign w:val="center"/>
          </w:tcPr>
          <w:p>
            <w:pPr>
              <w:overflowPunct w:val="0"/>
              <w:spacing w:before="100" w:beforeAutospacing="1" w:after="100" w:afterAutospacing="1"/>
              <w:jc w:val="center"/>
              <w:rPr>
                <w:rFonts w:hint="eastAsia" w:hAnsi="宋体"/>
                <w:sz w:val="24"/>
                <w:szCs w:val="24"/>
              </w:rPr>
            </w:pPr>
            <w:r>
              <w:rPr>
                <w:rFonts w:hint="eastAsia" w:hAnsi="宋体"/>
                <w:sz w:val="24"/>
                <w:szCs w:val="24"/>
              </w:rPr>
              <w:t>投标人提供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pacing w:before="100" w:beforeAutospacing="1" w:after="100" w:afterAutospacing="1"/>
              <w:rPr>
                <w:rFonts w:hint="eastAsia" w:hAnsi="宋体"/>
                <w:sz w:val="24"/>
                <w:szCs w:val="24"/>
              </w:rPr>
            </w:pPr>
            <w:r>
              <w:rPr>
                <w:rFonts w:hint="eastAsia" w:hAnsi="宋体"/>
                <w:sz w:val="24"/>
                <w:szCs w:val="24"/>
              </w:rPr>
              <w:t>(</w:t>
            </w:r>
            <w:r>
              <w:rPr>
                <w:rFonts w:hAnsi="宋体"/>
                <w:sz w:val="24"/>
                <w:szCs w:val="24"/>
              </w:rPr>
              <w:t>1</w:t>
            </w:r>
            <w:r>
              <w:rPr>
                <w:rFonts w:hint="eastAsia" w:hAnsi="宋体"/>
                <w:sz w:val="24"/>
                <w:szCs w:val="24"/>
              </w:rPr>
              <w:t>6)噪音：</w:t>
            </w:r>
          </w:p>
        </w:tc>
        <w:tc>
          <w:tcPr>
            <w:tcW w:w="5157" w:type="dxa"/>
            <w:tcBorders>
              <w:left w:val="single" w:color="auto" w:sz="4" w:space="0"/>
            </w:tcBorders>
            <w:vAlign w:val="center"/>
          </w:tcPr>
          <w:p>
            <w:pPr>
              <w:overflowPunct w:val="0"/>
              <w:spacing w:before="100" w:beforeAutospacing="1" w:after="100" w:afterAutospacing="1"/>
              <w:jc w:val="center"/>
              <w:rPr>
                <w:rFonts w:hint="eastAsia" w:hAnsi="宋体"/>
                <w:sz w:val="24"/>
                <w:szCs w:val="24"/>
              </w:rPr>
            </w:pPr>
            <w:r>
              <w:rPr>
                <w:rFonts w:hint="eastAsia" w:hAnsi="宋体"/>
                <w:sz w:val="24"/>
                <w:szCs w:val="24"/>
              </w:rPr>
              <w:t>小于85</w:t>
            </w:r>
            <w:r>
              <w:rPr>
                <w:rFonts w:hAnsi="宋体"/>
                <w:sz w:val="24"/>
                <w:szCs w:val="24"/>
              </w:rPr>
              <w:t>dB</w:t>
            </w:r>
            <w:r>
              <w:rPr>
                <w:rFonts w:hint="eastAsia" w:hAnsi="宋体"/>
                <w:sz w:val="24"/>
                <w:szCs w:val="24"/>
              </w:rPr>
              <w:t>（离机壳</w:t>
            </w:r>
            <w:r>
              <w:rPr>
                <w:rFonts w:hAnsi="宋体"/>
                <w:sz w:val="24"/>
                <w:szCs w:val="24"/>
              </w:rPr>
              <w:t>1</w:t>
            </w:r>
            <w:r>
              <w:rPr>
                <w:rFonts w:hint="eastAsia" w:hAnsi="宋体"/>
                <w:sz w:val="24"/>
                <w:szCs w:val="24"/>
              </w:rPr>
              <w:t>米处测量）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pacing w:before="100" w:beforeAutospacing="1" w:after="100" w:afterAutospacing="1"/>
              <w:rPr>
                <w:rFonts w:hint="eastAsia" w:hAnsi="宋体"/>
                <w:sz w:val="24"/>
                <w:szCs w:val="24"/>
              </w:rPr>
            </w:pPr>
            <w:r>
              <w:rPr>
                <w:rFonts w:hint="eastAsia" w:hAnsi="宋体"/>
                <w:sz w:val="24"/>
                <w:szCs w:val="24"/>
              </w:rPr>
              <w:t>(17)承担负序能力：</w:t>
            </w:r>
          </w:p>
        </w:tc>
        <w:tc>
          <w:tcPr>
            <w:tcW w:w="5157" w:type="dxa"/>
            <w:tcBorders>
              <w:left w:val="single" w:color="auto" w:sz="4" w:space="0"/>
            </w:tcBorders>
            <w:vAlign w:val="center"/>
          </w:tcPr>
          <w:p>
            <w:pPr>
              <w:overflowPunct w:val="0"/>
              <w:spacing w:before="100" w:beforeAutospacing="1" w:after="100" w:afterAutospacing="1"/>
              <w:jc w:val="center"/>
              <w:rPr>
                <w:rFonts w:hint="eastAsia"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pacing w:before="100" w:beforeAutospacing="1" w:after="100" w:afterAutospacing="1"/>
              <w:rPr>
                <w:rFonts w:hint="eastAsia" w:hAnsi="宋体"/>
                <w:sz w:val="24"/>
                <w:szCs w:val="24"/>
              </w:rPr>
            </w:pPr>
            <w:r>
              <w:rPr>
                <w:rFonts w:hint="eastAsia" w:hAnsi="宋体"/>
                <w:sz w:val="24"/>
                <w:szCs w:val="24"/>
              </w:rPr>
              <w:t>稳态</w:t>
            </w:r>
            <w:r>
              <w:rPr>
                <w:rFonts w:hAnsi="宋体"/>
                <w:sz w:val="24"/>
                <w:szCs w:val="24"/>
              </w:rPr>
              <w:t>I</w:t>
            </w:r>
            <w:r>
              <w:rPr>
                <w:rFonts w:hAnsi="宋体"/>
                <w:position w:val="-4"/>
                <w:sz w:val="24"/>
                <w:szCs w:val="24"/>
              </w:rPr>
              <w:t>2</w:t>
            </w:r>
            <w:r>
              <w:rPr>
                <w:rFonts w:hint="eastAsia" w:hAnsi="宋体"/>
                <w:sz w:val="24"/>
                <w:szCs w:val="24"/>
              </w:rPr>
              <w:t>（标幺值）：</w:t>
            </w:r>
          </w:p>
        </w:tc>
        <w:tc>
          <w:tcPr>
            <w:tcW w:w="5157" w:type="dxa"/>
            <w:tcBorders>
              <w:left w:val="single" w:color="auto" w:sz="4" w:space="0"/>
            </w:tcBorders>
            <w:vAlign w:val="center"/>
          </w:tcPr>
          <w:p>
            <w:pPr>
              <w:overflowPunct w:val="0"/>
              <w:spacing w:before="100" w:beforeAutospacing="1" w:after="100" w:afterAutospacing="1"/>
              <w:jc w:val="center"/>
              <w:rPr>
                <w:rFonts w:hint="eastAsia" w:hAnsi="宋体"/>
                <w:sz w:val="24"/>
                <w:szCs w:val="24"/>
              </w:rPr>
            </w:pPr>
            <w:r>
              <w:rPr>
                <w:rFonts w:hint="eastAsia" w:hAnsi="宋体"/>
                <w:sz w:val="24"/>
                <w:szCs w:val="24"/>
              </w:rPr>
              <w:t>≥</w:t>
            </w:r>
            <w:r>
              <w:rPr>
                <w:rFonts w:hAnsi="宋体"/>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7" w:type="dxa"/>
            <w:gridSpan w:val="2"/>
            <w:tcBorders>
              <w:right w:val="single" w:color="auto" w:sz="4" w:space="0"/>
            </w:tcBorders>
            <w:vAlign w:val="center"/>
          </w:tcPr>
          <w:p>
            <w:pPr>
              <w:overflowPunct w:val="0"/>
              <w:spacing w:before="100" w:beforeAutospacing="1" w:after="100" w:afterAutospacing="1"/>
              <w:rPr>
                <w:rFonts w:hint="eastAsia" w:hAnsi="宋体"/>
                <w:sz w:val="24"/>
                <w:szCs w:val="24"/>
              </w:rPr>
            </w:pPr>
            <w:r>
              <w:rPr>
                <w:rFonts w:hint="eastAsia" w:hAnsi="宋体"/>
                <w:sz w:val="24"/>
                <w:szCs w:val="24"/>
              </w:rPr>
              <w:t>稳态</w:t>
            </w:r>
            <w:r>
              <w:rPr>
                <w:rFonts w:hAnsi="宋体"/>
                <w:sz w:val="24"/>
                <w:szCs w:val="24"/>
              </w:rPr>
              <w:t>I</w:t>
            </w:r>
            <w:r>
              <w:rPr>
                <w:rFonts w:hAnsi="宋体"/>
                <w:position w:val="-4"/>
                <w:sz w:val="24"/>
                <w:szCs w:val="24"/>
              </w:rPr>
              <w:t>2</w:t>
            </w:r>
            <w:r>
              <w:rPr>
                <w:rFonts w:hAnsi="宋体"/>
                <w:sz w:val="24"/>
                <w:szCs w:val="24"/>
              </w:rPr>
              <w:t>2t</w:t>
            </w:r>
            <w:r>
              <w:rPr>
                <w:rFonts w:hint="eastAsia" w:hAnsi="宋体"/>
                <w:sz w:val="24"/>
                <w:szCs w:val="24"/>
              </w:rPr>
              <w:t>（标幺值）：</w:t>
            </w:r>
          </w:p>
        </w:tc>
        <w:tc>
          <w:tcPr>
            <w:tcW w:w="5157" w:type="dxa"/>
            <w:tcBorders>
              <w:left w:val="single" w:color="auto" w:sz="4" w:space="0"/>
            </w:tcBorders>
            <w:vAlign w:val="center"/>
          </w:tcPr>
          <w:p>
            <w:pPr>
              <w:overflowPunct w:val="0"/>
              <w:spacing w:before="100" w:beforeAutospacing="1" w:after="100" w:afterAutospacing="1"/>
              <w:jc w:val="center"/>
              <w:rPr>
                <w:rFonts w:hint="eastAsia" w:hAnsi="宋体"/>
                <w:sz w:val="24"/>
                <w:szCs w:val="24"/>
              </w:rPr>
            </w:pPr>
            <w:r>
              <w:rPr>
                <w:rFonts w:hint="eastAsia" w:hAnsi="宋体"/>
                <w:sz w:val="24"/>
                <w:szCs w:val="24"/>
              </w:rPr>
              <w:t>≥</w:t>
            </w:r>
            <w:r>
              <w:rPr>
                <w:rFonts w:hAnsi="宋体"/>
                <w:sz w:val="24"/>
                <w:szCs w:val="24"/>
              </w:rPr>
              <w:t>10</w:t>
            </w:r>
            <w:r>
              <w:rPr>
                <w:rFonts w:hint="eastAsia" w:hAnsi="宋体"/>
                <w:sz w:val="24"/>
                <w:szCs w:val="24"/>
              </w:rPr>
              <w:t>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73" w:type="dxa"/>
            <w:vMerge w:val="restart"/>
            <w:tcBorders>
              <w:right w:val="single" w:color="auto" w:sz="4" w:space="0"/>
            </w:tcBorders>
            <w:vAlign w:val="center"/>
          </w:tcPr>
          <w:p>
            <w:pPr>
              <w:tabs>
                <w:tab w:val="left" w:pos="520"/>
              </w:tabs>
              <w:adjustRightInd w:val="0"/>
              <w:snapToGrid w:val="0"/>
              <w:spacing w:line="360" w:lineRule="auto"/>
              <w:rPr>
                <w:rFonts w:hint="eastAsia" w:hAnsi="宋体"/>
                <w:sz w:val="24"/>
                <w:szCs w:val="24"/>
              </w:rPr>
            </w:pPr>
            <w:r>
              <w:rPr>
                <w:rFonts w:hAnsi="宋体"/>
                <w:sz w:val="24"/>
                <w:szCs w:val="24"/>
              </w:rPr>
              <w:t>励磁性能</w:t>
            </w:r>
          </w:p>
        </w:tc>
        <w:tc>
          <w:tcPr>
            <w:tcW w:w="2434" w:type="dxa"/>
            <w:tcBorders>
              <w:right w:val="single" w:color="auto" w:sz="4" w:space="0"/>
            </w:tcBorders>
            <w:vAlign w:val="center"/>
          </w:tcPr>
          <w:p>
            <w:pPr>
              <w:overflowPunct w:val="0"/>
              <w:spacing w:before="100" w:beforeAutospacing="1" w:after="100" w:afterAutospacing="1"/>
              <w:rPr>
                <w:rFonts w:hint="eastAsia" w:hAnsi="宋体"/>
                <w:sz w:val="24"/>
                <w:szCs w:val="24"/>
              </w:rPr>
            </w:pPr>
            <w:r>
              <w:rPr>
                <w:rFonts w:hint="eastAsia" w:hAnsi="宋体"/>
                <w:sz w:val="24"/>
                <w:szCs w:val="24"/>
              </w:rPr>
              <w:t>励磁型式：</w:t>
            </w:r>
          </w:p>
        </w:tc>
        <w:tc>
          <w:tcPr>
            <w:tcW w:w="5157" w:type="dxa"/>
            <w:tcBorders>
              <w:left w:val="single" w:color="auto" w:sz="4" w:space="0"/>
            </w:tcBorders>
            <w:vAlign w:val="center"/>
          </w:tcPr>
          <w:p>
            <w:pPr>
              <w:overflowPunct w:val="0"/>
              <w:spacing w:before="100" w:beforeAutospacing="1" w:after="100" w:afterAutospacing="1"/>
              <w:jc w:val="center"/>
              <w:rPr>
                <w:rFonts w:hint="eastAsia" w:hAnsi="宋体"/>
                <w:sz w:val="24"/>
                <w:szCs w:val="24"/>
              </w:rPr>
            </w:pPr>
            <w:r>
              <w:rPr>
                <w:rFonts w:hint="eastAsia" w:hAnsi="宋体"/>
                <w:sz w:val="24"/>
                <w:szCs w:val="24"/>
              </w:rPr>
              <w:t>静止励磁系统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73" w:type="dxa"/>
            <w:vMerge w:val="continue"/>
            <w:tcBorders>
              <w:right w:val="single" w:color="auto" w:sz="4" w:space="0"/>
            </w:tcBorders>
            <w:vAlign w:val="center"/>
          </w:tcPr>
          <w:p>
            <w:pPr>
              <w:tabs>
                <w:tab w:val="left" w:pos="520"/>
              </w:tabs>
              <w:adjustRightInd w:val="0"/>
              <w:snapToGrid w:val="0"/>
              <w:spacing w:line="360" w:lineRule="auto"/>
              <w:rPr>
                <w:rFonts w:hint="eastAsia" w:hAnsi="宋体"/>
                <w:sz w:val="24"/>
                <w:szCs w:val="24"/>
              </w:rPr>
            </w:pPr>
          </w:p>
        </w:tc>
        <w:tc>
          <w:tcPr>
            <w:tcW w:w="2434" w:type="dxa"/>
            <w:tcBorders>
              <w:right w:val="single" w:color="auto" w:sz="4" w:space="0"/>
            </w:tcBorders>
            <w:vAlign w:val="center"/>
          </w:tcPr>
          <w:p>
            <w:pPr>
              <w:overflowPunct w:val="0"/>
              <w:spacing w:before="100" w:beforeAutospacing="1" w:after="100" w:afterAutospacing="1"/>
              <w:rPr>
                <w:rFonts w:hint="eastAsia" w:hAnsi="宋体"/>
                <w:sz w:val="24"/>
                <w:szCs w:val="24"/>
              </w:rPr>
            </w:pPr>
            <w:r>
              <w:rPr>
                <w:rFonts w:hAnsi="宋体"/>
                <w:sz w:val="24"/>
                <w:szCs w:val="24"/>
              </w:rPr>
              <w:t>额定励磁电压</w:t>
            </w:r>
          </w:p>
        </w:tc>
        <w:tc>
          <w:tcPr>
            <w:tcW w:w="5157" w:type="dxa"/>
            <w:tcBorders>
              <w:left w:val="single" w:color="auto" w:sz="4" w:space="0"/>
            </w:tcBorders>
            <w:vAlign w:val="center"/>
          </w:tcPr>
          <w:p>
            <w:pPr>
              <w:overflowPunct w:val="0"/>
              <w:spacing w:before="100" w:beforeAutospacing="1" w:after="100" w:afterAutospacing="1"/>
              <w:jc w:val="center"/>
              <w:rPr>
                <w:rFonts w:hint="eastAsia"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73" w:type="dxa"/>
            <w:vMerge w:val="continue"/>
            <w:tcBorders>
              <w:right w:val="single" w:color="auto" w:sz="4" w:space="0"/>
            </w:tcBorders>
            <w:vAlign w:val="center"/>
          </w:tcPr>
          <w:p>
            <w:pPr>
              <w:tabs>
                <w:tab w:val="left" w:pos="520"/>
              </w:tabs>
              <w:adjustRightInd w:val="0"/>
              <w:snapToGrid w:val="0"/>
              <w:spacing w:line="360" w:lineRule="auto"/>
              <w:rPr>
                <w:rFonts w:hint="eastAsia" w:hAnsi="宋体"/>
                <w:sz w:val="24"/>
                <w:szCs w:val="24"/>
              </w:rPr>
            </w:pPr>
          </w:p>
        </w:tc>
        <w:tc>
          <w:tcPr>
            <w:tcW w:w="2434" w:type="dxa"/>
            <w:tcBorders>
              <w:right w:val="single" w:color="auto" w:sz="4" w:space="0"/>
            </w:tcBorders>
            <w:vAlign w:val="center"/>
          </w:tcPr>
          <w:p>
            <w:pPr>
              <w:tabs>
                <w:tab w:val="left" w:pos="567"/>
              </w:tabs>
              <w:overflowPunct w:val="0"/>
              <w:spacing w:before="100" w:beforeAutospacing="1" w:after="100" w:afterAutospacing="1"/>
              <w:rPr>
                <w:rFonts w:hint="eastAsia" w:hAnsi="宋体"/>
                <w:sz w:val="24"/>
                <w:szCs w:val="24"/>
              </w:rPr>
            </w:pPr>
            <w:r>
              <w:rPr>
                <w:rFonts w:hAnsi="宋体"/>
                <w:sz w:val="24"/>
                <w:szCs w:val="24"/>
              </w:rPr>
              <w:t>额定励磁电流</w:t>
            </w:r>
          </w:p>
        </w:tc>
        <w:tc>
          <w:tcPr>
            <w:tcW w:w="5157" w:type="dxa"/>
            <w:tcBorders>
              <w:left w:val="single" w:color="auto" w:sz="4" w:space="0"/>
            </w:tcBorders>
            <w:vAlign w:val="center"/>
          </w:tcPr>
          <w:p>
            <w:pPr>
              <w:overflowPunct w:val="0"/>
              <w:spacing w:before="100" w:beforeAutospacing="1" w:after="100" w:afterAutospacing="1"/>
              <w:jc w:val="center"/>
              <w:rPr>
                <w:rFonts w:hint="eastAsia"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 w:hRule="atLeast"/>
        </w:trPr>
        <w:tc>
          <w:tcPr>
            <w:tcW w:w="1473" w:type="dxa"/>
            <w:vMerge w:val="continue"/>
            <w:tcBorders>
              <w:right w:val="single" w:color="auto" w:sz="4" w:space="0"/>
            </w:tcBorders>
            <w:vAlign w:val="center"/>
          </w:tcPr>
          <w:p>
            <w:pPr>
              <w:tabs>
                <w:tab w:val="left" w:pos="520"/>
              </w:tabs>
              <w:adjustRightInd w:val="0"/>
              <w:snapToGrid w:val="0"/>
              <w:spacing w:line="360" w:lineRule="auto"/>
              <w:rPr>
                <w:sz w:val="24"/>
                <w:szCs w:val="24"/>
              </w:rPr>
            </w:pPr>
          </w:p>
        </w:tc>
        <w:tc>
          <w:tcPr>
            <w:tcW w:w="2434" w:type="dxa"/>
            <w:tcBorders>
              <w:left w:val="single" w:color="auto" w:sz="4" w:space="0"/>
            </w:tcBorders>
            <w:vAlign w:val="center"/>
          </w:tcPr>
          <w:p>
            <w:pPr>
              <w:tabs>
                <w:tab w:val="left" w:pos="90"/>
              </w:tabs>
              <w:overflowPunct w:val="0"/>
              <w:spacing w:before="100" w:beforeAutospacing="1" w:after="100" w:afterAutospacing="1"/>
              <w:rPr>
                <w:sz w:val="24"/>
                <w:szCs w:val="24"/>
              </w:rPr>
            </w:pPr>
            <w:r>
              <w:rPr>
                <w:rFonts w:hAnsi="宋体"/>
                <w:sz w:val="24"/>
                <w:szCs w:val="24"/>
              </w:rPr>
              <w:t>空载励磁电压</w:t>
            </w:r>
          </w:p>
        </w:tc>
        <w:tc>
          <w:tcPr>
            <w:tcW w:w="5157" w:type="dxa"/>
            <w:vAlign w:val="center"/>
          </w:tcPr>
          <w:p>
            <w:pPr>
              <w:overflowPunct w:val="0"/>
              <w:spacing w:before="100" w:beforeAutospacing="1" w:after="100" w:afterAutospacing="1"/>
              <w:jc w:val="center"/>
              <w:rPr>
                <w:rFonts w:hint="eastAsia"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73" w:type="dxa"/>
            <w:vMerge w:val="continue"/>
            <w:tcBorders>
              <w:right w:val="single" w:color="auto" w:sz="4" w:space="0"/>
            </w:tcBorders>
            <w:vAlign w:val="center"/>
          </w:tcPr>
          <w:p>
            <w:pPr>
              <w:tabs>
                <w:tab w:val="left" w:pos="567"/>
              </w:tabs>
              <w:overflowPunct w:val="0"/>
              <w:spacing w:before="100" w:beforeAutospacing="1" w:after="100" w:afterAutospacing="1"/>
              <w:rPr>
                <w:rFonts w:hint="eastAsia" w:hAnsi="宋体"/>
                <w:sz w:val="24"/>
                <w:szCs w:val="24"/>
              </w:rPr>
            </w:pPr>
          </w:p>
        </w:tc>
        <w:tc>
          <w:tcPr>
            <w:tcW w:w="2434" w:type="dxa"/>
            <w:tcBorders>
              <w:left w:val="single" w:color="auto" w:sz="4" w:space="0"/>
            </w:tcBorders>
            <w:vAlign w:val="center"/>
          </w:tcPr>
          <w:p>
            <w:pPr>
              <w:tabs>
                <w:tab w:val="left" w:pos="90"/>
              </w:tabs>
              <w:overflowPunct w:val="0"/>
              <w:spacing w:before="100" w:beforeAutospacing="1" w:after="100" w:afterAutospacing="1"/>
              <w:rPr>
                <w:rFonts w:hint="eastAsia" w:hAnsi="宋体"/>
                <w:sz w:val="24"/>
                <w:szCs w:val="24"/>
              </w:rPr>
            </w:pPr>
            <w:r>
              <w:rPr>
                <w:rFonts w:hAnsi="宋体"/>
                <w:sz w:val="24"/>
                <w:szCs w:val="24"/>
              </w:rPr>
              <w:t>空载励磁电流</w:t>
            </w:r>
          </w:p>
        </w:tc>
        <w:tc>
          <w:tcPr>
            <w:tcW w:w="5157" w:type="dxa"/>
            <w:vAlign w:val="center"/>
          </w:tcPr>
          <w:p>
            <w:pPr>
              <w:overflowPunct w:val="0"/>
              <w:spacing w:before="100" w:beforeAutospacing="1" w:after="100" w:afterAutospacing="1"/>
              <w:jc w:val="center"/>
              <w:rPr>
                <w:rFonts w:hint="eastAsia"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73" w:type="dxa"/>
            <w:vMerge w:val="continue"/>
            <w:tcBorders>
              <w:right w:val="single" w:color="auto" w:sz="4" w:space="0"/>
            </w:tcBorders>
            <w:vAlign w:val="center"/>
          </w:tcPr>
          <w:p>
            <w:pPr>
              <w:tabs>
                <w:tab w:val="left" w:pos="567"/>
              </w:tabs>
              <w:overflowPunct w:val="0"/>
              <w:spacing w:before="100" w:beforeAutospacing="1" w:after="100" w:afterAutospacing="1"/>
              <w:rPr>
                <w:rFonts w:hint="eastAsia" w:hAnsi="宋体"/>
                <w:sz w:val="24"/>
                <w:szCs w:val="24"/>
              </w:rPr>
            </w:pPr>
          </w:p>
        </w:tc>
        <w:tc>
          <w:tcPr>
            <w:tcW w:w="2434" w:type="dxa"/>
            <w:tcBorders>
              <w:left w:val="single" w:color="auto" w:sz="4" w:space="0"/>
            </w:tcBorders>
            <w:vAlign w:val="center"/>
          </w:tcPr>
          <w:p>
            <w:pPr>
              <w:tabs>
                <w:tab w:val="left" w:pos="567"/>
              </w:tabs>
              <w:overflowPunct w:val="0"/>
              <w:spacing w:before="100" w:beforeAutospacing="1" w:after="100" w:afterAutospacing="1"/>
              <w:rPr>
                <w:rFonts w:hint="eastAsia" w:hAnsi="宋体"/>
                <w:sz w:val="24"/>
                <w:szCs w:val="24"/>
              </w:rPr>
            </w:pPr>
            <w:r>
              <w:rPr>
                <w:rFonts w:hAnsi="宋体"/>
                <w:sz w:val="24"/>
                <w:szCs w:val="24"/>
              </w:rPr>
              <w:t>励磁绕组时间常数</w:t>
            </w:r>
            <w:r>
              <w:rPr>
                <w:sz w:val="24"/>
                <w:szCs w:val="24"/>
              </w:rPr>
              <w:t>T’</w:t>
            </w:r>
            <w:r>
              <w:rPr>
                <w:sz w:val="24"/>
                <w:szCs w:val="24"/>
                <w:vertAlign w:val="subscript"/>
              </w:rPr>
              <w:t>d0</w:t>
            </w:r>
          </w:p>
        </w:tc>
        <w:tc>
          <w:tcPr>
            <w:tcW w:w="5157" w:type="dxa"/>
            <w:vAlign w:val="center"/>
          </w:tcPr>
          <w:p>
            <w:pPr>
              <w:overflowPunct w:val="0"/>
              <w:spacing w:before="100" w:beforeAutospacing="1" w:after="100" w:afterAutospacing="1"/>
              <w:jc w:val="center"/>
              <w:rPr>
                <w:rFonts w:hint="eastAsia"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73" w:type="dxa"/>
            <w:vMerge w:val="continue"/>
            <w:tcBorders>
              <w:right w:val="single" w:color="auto" w:sz="4" w:space="0"/>
            </w:tcBorders>
            <w:vAlign w:val="center"/>
          </w:tcPr>
          <w:p>
            <w:pPr>
              <w:tabs>
                <w:tab w:val="left" w:pos="567"/>
              </w:tabs>
              <w:overflowPunct w:val="0"/>
              <w:spacing w:before="100" w:beforeAutospacing="1" w:after="100" w:afterAutospacing="1"/>
              <w:rPr>
                <w:rFonts w:hint="eastAsia" w:hAnsi="宋体"/>
                <w:sz w:val="24"/>
                <w:szCs w:val="24"/>
              </w:rPr>
            </w:pPr>
          </w:p>
        </w:tc>
        <w:tc>
          <w:tcPr>
            <w:tcW w:w="2434" w:type="dxa"/>
            <w:tcBorders>
              <w:left w:val="single" w:color="auto" w:sz="4" w:space="0"/>
            </w:tcBorders>
            <w:vAlign w:val="center"/>
          </w:tcPr>
          <w:p>
            <w:pPr>
              <w:tabs>
                <w:tab w:val="left" w:pos="567"/>
              </w:tabs>
              <w:overflowPunct w:val="0"/>
              <w:spacing w:before="100" w:beforeAutospacing="1" w:after="100" w:afterAutospacing="1"/>
              <w:rPr>
                <w:rFonts w:hint="eastAsia" w:hAnsi="宋体"/>
                <w:sz w:val="24"/>
                <w:szCs w:val="24"/>
              </w:rPr>
            </w:pPr>
            <w:r>
              <w:rPr>
                <w:rFonts w:hAnsi="宋体"/>
                <w:sz w:val="24"/>
                <w:szCs w:val="24"/>
              </w:rPr>
              <w:t>允许强励持续时间</w:t>
            </w:r>
          </w:p>
        </w:tc>
        <w:tc>
          <w:tcPr>
            <w:tcW w:w="5157" w:type="dxa"/>
            <w:vAlign w:val="center"/>
          </w:tcPr>
          <w:p>
            <w:pPr>
              <w:overflowPunct w:val="0"/>
              <w:spacing w:before="100" w:beforeAutospacing="1" w:after="100" w:afterAutospacing="1"/>
              <w:jc w:val="center"/>
              <w:rPr>
                <w:rFonts w:hint="eastAsia"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73" w:type="dxa"/>
            <w:vMerge w:val="continue"/>
            <w:tcBorders>
              <w:right w:val="single" w:color="auto" w:sz="4" w:space="0"/>
            </w:tcBorders>
            <w:vAlign w:val="center"/>
          </w:tcPr>
          <w:p>
            <w:pPr>
              <w:tabs>
                <w:tab w:val="left" w:pos="567"/>
              </w:tabs>
              <w:overflowPunct w:val="0"/>
              <w:spacing w:before="100" w:beforeAutospacing="1" w:after="100" w:afterAutospacing="1"/>
              <w:rPr>
                <w:rFonts w:hint="eastAsia" w:hAnsi="宋体"/>
                <w:sz w:val="24"/>
                <w:szCs w:val="24"/>
              </w:rPr>
            </w:pPr>
          </w:p>
        </w:tc>
        <w:tc>
          <w:tcPr>
            <w:tcW w:w="2434" w:type="dxa"/>
            <w:tcBorders>
              <w:left w:val="single" w:color="auto" w:sz="4" w:space="0"/>
            </w:tcBorders>
            <w:vAlign w:val="center"/>
          </w:tcPr>
          <w:p>
            <w:pPr>
              <w:tabs>
                <w:tab w:val="left" w:pos="567"/>
              </w:tabs>
              <w:overflowPunct w:val="0"/>
              <w:spacing w:before="100" w:beforeAutospacing="1" w:after="100" w:afterAutospacing="1"/>
              <w:rPr>
                <w:rFonts w:hint="eastAsia" w:hAnsi="宋体"/>
                <w:sz w:val="24"/>
                <w:szCs w:val="24"/>
              </w:rPr>
            </w:pPr>
            <w:r>
              <w:rPr>
                <w:rFonts w:hint="eastAsia" w:hAnsi="宋体"/>
                <w:sz w:val="24"/>
                <w:szCs w:val="24"/>
              </w:rPr>
              <w:t>强励顶值电压</w:t>
            </w:r>
            <w:r>
              <w:rPr>
                <w:rFonts w:hAnsi="宋体"/>
                <w:sz w:val="24"/>
                <w:szCs w:val="24"/>
              </w:rPr>
              <w:t>(</w:t>
            </w:r>
            <w:r>
              <w:rPr>
                <w:rFonts w:hint="eastAsia" w:hAnsi="宋体"/>
                <w:sz w:val="24"/>
                <w:szCs w:val="24"/>
              </w:rPr>
              <w:t>恒电流</w:t>
            </w:r>
            <w:r>
              <w:rPr>
                <w:rFonts w:hAnsi="宋体"/>
                <w:sz w:val="24"/>
                <w:szCs w:val="24"/>
              </w:rPr>
              <w:t>)：</w:t>
            </w:r>
          </w:p>
        </w:tc>
        <w:tc>
          <w:tcPr>
            <w:tcW w:w="5157" w:type="dxa"/>
            <w:vAlign w:val="center"/>
          </w:tcPr>
          <w:p>
            <w:pPr>
              <w:overflowPunct w:val="0"/>
              <w:spacing w:before="100" w:beforeAutospacing="1" w:after="100" w:afterAutospacing="1"/>
              <w:jc w:val="center"/>
              <w:rPr>
                <w:rFonts w:hint="eastAsia" w:hAnsi="宋体"/>
                <w:sz w:val="24"/>
                <w:szCs w:val="24"/>
              </w:rPr>
            </w:pPr>
            <w:r>
              <w:rPr>
                <w:rFonts w:hAnsi="宋体"/>
                <w:sz w:val="24"/>
                <w:szCs w:val="24"/>
              </w:rPr>
              <w:t>2</w:t>
            </w:r>
            <w:r>
              <w:rPr>
                <w:rFonts w:hint="eastAsia" w:hAnsi="宋体"/>
                <w:sz w:val="24"/>
                <w:szCs w:val="24"/>
              </w:rPr>
              <w:t>倍额定励磁电压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73" w:type="dxa"/>
            <w:vMerge w:val="continue"/>
            <w:tcBorders>
              <w:right w:val="single" w:color="auto" w:sz="4" w:space="0"/>
            </w:tcBorders>
            <w:vAlign w:val="center"/>
          </w:tcPr>
          <w:p>
            <w:pPr>
              <w:tabs>
                <w:tab w:val="left" w:pos="567"/>
              </w:tabs>
              <w:overflowPunct w:val="0"/>
              <w:spacing w:before="100" w:beforeAutospacing="1" w:after="100" w:afterAutospacing="1"/>
              <w:rPr>
                <w:rFonts w:hint="eastAsia" w:hAnsi="宋体"/>
                <w:sz w:val="24"/>
                <w:szCs w:val="24"/>
              </w:rPr>
            </w:pPr>
          </w:p>
        </w:tc>
        <w:tc>
          <w:tcPr>
            <w:tcW w:w="2434" w:type="dxa"/>
            <w:tcBorders>
              <w:left w:val="single" w:color="auto" w:sz="4" w:space="0"/>
            </w:tcBorders>
            <w:vAlign w:val="center"/>
          </w:tcPr>
          <w:p>
            <w:pPr>
              <w:tabs>
                <w:tab w:val="left" w:pos="567"/>
              </w:tabs>
              <w:overflowPunct w:val="0"/>
              <w:spacing w:before="100" w:beforeAutospacing="1" w:after="100" w:afterAutospacing="1"/>
              <w:rPr>
                <w:rFonts w:hint="eastAsia" w:hAnsi="宋体"/>
                <w:sz w:val="24"/>
                <w:szCs w:val="24"/>
              </w:rPr>
            </w:pPr>
            <w:r>
              <w:rPr>
                <w:rFonts w:hint="eastAsia" w:hAnsi="宋体"/>
                <w:sz w:val="24"/>
                <w:szCs w:val="24"/>
              </w:rPr>
              <w:t>电压响应比：</w:t>
            </w:r>
          </w:p>
        </w:tc>
        <w:tc>
          <w:tcPr>
            <w:tcW w:w="5157" w:type="dxa"/>
            <w:vAlign w:val="center"/>
          </w:tcPr>
          <w:p>
            <w:pPr>
              <w:overflowPunct w:val="0"/>
              <w:spacing w:before="100" w:beforeAutospacing="1" w:after="100" w:afterAutospacing="1"/>
              <w:jc w:val="center"/>
              <w:rPr>
                <w:rFonts w:hint="eastAsia" w:hAnsi="宋体"/>
                <w:sz w:val="24"/>
                <w:szCs w:val="24"/>
              </w:rPr>
            </w:pPr>
            <w:r>
              <w:rPr>
                <w:rFonts w:hint="eastAsia" w:hAnsi="宋体"/>
                <w:sz w:val="24"/>
                <w:szCs w:val="24"/>
              </w:rPr>
              <w:t>不小于</w:t>
            </w:r>
            <w:r>
              <w:rPr>
                <w:rFonts w:hAnsi="宋体"/>
                <w:sz w:val="24"/>
                <w:szCs w:val="24"/>
              </w:rPr>
              <w:t>2</w:t>
            </w:r>
            <w:r>
              <w:rPr>
                <w:rFonts w:hint="eastAsia" w:hAnsi="宋体"/>
                <w:sz w:val="24"/>
                <w:szCs w:val="24"/>
              </w:rPr>
              <w:t>倍额定励磁电压</w:t>
            </w:r>
            <w:r>
              <w:rPr>
                <w:rFonts w:hAnsi="宋体"/>
                <w:sz w:val="24"/>
                <w:szCs w:val="24"/>
              </w:rPr>
              <w:t>/</w:t>
            </w:r>
            <w:r>
              <w:rPr>
                <w:rFonts w:hint="eastAsia" w:hAnsi="宋体"/>
                <w:sz w:val="24"/>
                <w:szCs w:val="24"/>
              </w:rPr>
              <w:t>秒</w:t>
            </w:r>
          </w:p>
        </w:tc>
      </w:tr>
    </w:tbl>
    <w:p>
      <w:pPr>
        <w:pStyle w:val="20"/>
        <w:snapToGrid w:val="0"/>
        <w:rPr>
          <w:rFonts w:ascii="Times New Roman"/>
          <w:b/>
          <w:sz w:val="24"/>
        </w:rPr>
      </w:pPr>
    </w:p>
    <w:p>
      <w:pPr>
        <w:widowControl/>
        <w:overflowPunct w:val="0"/>
        <w:spacing w:line="360" w:lineRule="auto"/>
        <w:jc w:val="left"/>
        <w:rPr>
          <w:sz w:val="24"/>
        </w:rPr>
      </w:pPr>
      <w:r>
        <w:rPr>
          <w:rFonts w:hint="eastAsia"/>
          <w:sz w:val="24"/>
        </w:rPr>
        <w:t>2.3.2发电机旋转方向应与汽轮机旋转方向一致。旋转方向应表示在电机上，且在出线端子上用字母</w:t>
      </w:r>
      <w:r>
        <w:rPr>
          <w:sz w:val="24"/>
        </w:rPr>
        <w:t>U</w:t>
      </w:r>
      <w:r>
        <w:rPr>
          <w:rFonts w:hint="eastAsia"/>
          <w:sz w:val="24"/>
        </w:rPr>
        <w:t>、</w:t>
      </w:r>
      <w:r>
        <w:rPr>
          <w:sz w:val="24"/>
        </w:rPr>
        <w:t>V</w:t>
      </w:r>
      <w:r>
        <w:rPr>
          <w:rFonts w:hint="eastAsia"/>
          <w:sz w:val="24"/>
        </w:rPr>
        <w:t>、</w:t>
      </w:r>
      <w:r>
        <w:rPr>
          <w:sz w:val="24"/>
        </w:rPr>
        <w:t>W</w:t>
      </w:r>
      <w:r>
        <w:rPr>
          <w:rFonts w:hint="eastAsia"/>
          <w:sz w:val="24"/>
        </w:rPr>
        <w:t>表示出定子电压的时间相序。出线相序联络会上确定。发电机定子出线端数目为</w:t>
      </w:r>
      <w:r>
        <w:rPr>
          <w:sz w:val="24"/>
        </w:rPr>
        <w:t>6</w:t>
      </w:r>
      <w:r>
        <w:rPr>
          <w:rFonts w:hint="eastAsia"/>
          <w:sz w:val="24"/>
        </w:rPr>
        <w:t>个。</w:t>
      </w:r>
    </w:p>
    <w:p>
      <w:pPr>
        <w:widowControl/>
        <w:overflowPunct w:val="0"/>
        <w:spacing w:line="360" w:lineRule="auto"/>
        <w:jc w:val="left"/>
        <w:rPr>
          <w:sz w:val="24"/>
        </w:rPr>
      </w:pPr>
      <w:r>
        <w:rPr>
          <w:rFonts w:hint="eastAsia"/>
          <w:sz w:val="24"/>
        </w:rPr>
        <w:t>2.3.3 发电机各部位允许振动值，（以下振幅限值为最低限度要求，汽轮机振幅限值还需满足最新版国标的要求）</w:t>
      </w:r>
    </w:p>
    <w:p>
      <w:pPr>
        <w:numPr>
          <w:ilvl w:val="0"/>
          <w:numId w:val="8"/>
        </w:numPr>
        <w:spacing w:line="360" w:lineRule="auto"/>
        <w:ind w:left="0" w:firstLine="0"/>
        <w:rPr>
          <w:sz w:val="24"/>
          <w:szCs w:val="24"/>
        </w:rPr>
      </w:pPr>
      <w:r>
        <w:rPr>
          <w:rFonts w:hint="eastAsia"/>
          <w:sz w:val="24"/>
          <w:szCs w:val="24"/>
        </w:rPr>
        <w:t>汽轮发电机组在所有稳定运行工况下（转速为额定值）运行时，在轴承座上测得的双振幅振动值，无论是垂直、横向均不大于0.025mm，在任何轴颈上所测得的互成90˚、二个方向成45˚的双振幅振动值不大于0.075mm。在通过临界转速时各轴承轴振双振幅值不大于0.15mm，轴承座的振动值不大于0.08mm。临界转速应避开额定转速的±15％范围。</w:t>
      </w:r>
    </w:p>
    <w:p>
      <w:pPr>
        <w:numPr>
          <w:ilvl w:val="0"/>
          <w:numId w:val="8"/>
        </w:numPr>
        <w:spacing w:line="360" w:lineRule="auto"/>
        <w:ind w:left="0" w:firstLine="0"/>
        <w:rPr>
          <w:sz w:val="24"/>
          <w:szCs w:val="24"/>
        </w:rPr>
      </w:pPr>
      <w:r>
        <w:rPr>
          <w:rFonts w:hint="eastAsia"/>
          <w:sz w:val="24"/>
          <w:szCs w:val="24"/>
        </w:rPr>
        <w:t>发电机大轴和轴承座上设有满足</w:t>
      </w:r>
      <w:r>
        <w:rPr>
          <w:sz w:val="24"/>
          <w:szCs w:val="24"/>
        </w:rPr>
        <w:t>TSI</w:t>
      </w:r>
      <w:r>
        <w:rPr>
          <w:rFonts w:hint="eastAsia"/>
          <w:sz w:val="24"/>
          <w:szCs w:val="24"/>
        </w:rPr>
        <w:t>、</w:t>
      </w:r>
      <w:r>
        <w:rPr>
          <w:sz w:val="24"/>
          <w:szCs w:val="24"/>
        </w:rPr>
        <w:t>TDM</w:t>
      </w:r>
      <w:r>
        <w:rPr>
          <w:rFonts w:hint="eastAsia"/>
          <w:sz w:val="24"/>
          <w:szCs w:val="24"/>
        </w:rPr>
        <w:t>等要求的装振动检测元件的位置。</w:t>
      </w:r>
    </w:p>
    <w:p>
      <w:pPr>
        <w:numPr>
          <w:ilvl w:val="0"/>
          <w:numId w:val="8"/>
        </w:numPr>
        <w:spacing w:line="360" w:lineRule="auto"/>
        <w:ind w:left="0" w:firstLine="0"/>
        <w:rPr>
          <w:sz w:val="24"/>
          <w:szCs w:val="24"/>
        </w:rPr>
      </w:pPr>
      <w:r>
        <w:rPr>
          <w:rFonts w:hint="eastAsia"/>
          <w:sz w:val="24"/>
          <w:szCs w:val="24"/>
        </w:rPr>
        <w:t>发电机励侧轴端须留有装设测速装置的位置。</w:t>
      </w:r>
    </w:p>
    <w:p>
      <w:pPr>
        <w:numPr>
          <w:ilvl w:val="0"/>
          <w:numId w:val="8"/>
        </w:numPr>
        <w:spacing w:line="360" w:lineRule="auto"/>
        <w:ind w:left="0" w:firstLine="0"/>
        <w:rPr>
          <w:sz w:val="24"/>
          <w:szCs w:val="24"/>
        </w:rPr>
      </w:pPr>
      <w:r>
        <w:rPr>
          <w:rFonts w:hint="eastAsia"/>
          <w:sz w:val="24"/>
          <w:szCs w:val="24"/>
        </w:rPr>
        <w:t>定子铁芯和机座振动的固有频率应避开基频和倍频</w:t>
      </w:r>
      <w:r>
        <w:rPr>
          <w:sz w:val="24"/>
          <w:szCs w:val="24"/>
        </w:rPr>
        <w:t>±10%</w:t>
      </w:r>
      <w:r>
        <w:rPr>
          <w:rFonts w:hint="eastAsia"/>
          <w:sz w:val="24"/>
          <w:szCs w:val="24"/>
        </w:rPr>
        <w:t>以上，以防止共振。</w:t>
      </w:r>
    </w:p>
    <w:p>
      <w:pPr>
        <w:numPr>
          <w:ilvl w:val="0"/>
          <w:numId w:val="8"/>
        </w:numPr>
        <w:spacing w:line="360" w:lineRule="auto"/>
        <w:ind w:left="0" w:firstLine="0"/>
        <w:rPr>
          <w:sz w:val="24"/>
          <w:szCs w:val="24"/>
        </w:rPr>
      </w:pPr>
      <w:r>
        <w:rPr>
          <w:rFonts w:hint="eastAsia"/>
          <w:sz w:val="24"/>
          <w:szCs w:val="24"/>
        </w:rPr>
        <w:t>冷态下端部绕组模态试验的椭圆型固有振动频率及端部绕组中的鼻端、引线、过渡引线的固有振动频率合格的范围为</w:t>
      </w:r>
      <w:r>
        <w:rPr>
          <w:sz w:val="24"/>
          <w:szCs w:val="24"/>
        </w:rPr>
        <w:t>fz</w:t>
      </w:r>
      <w:r>
        <w:rPr>
          <w:rFonts w:hint="eastAsia"/>
          <w:sz w:val="24"/>
          <w:szCs w:val="24"/>
        </w:rPr>
        <w:t>≤</w:t>
      </w:r>
      <w:r>
        <w:rPr>
          <w:sz w:val="24"/>
          <w:szCs w:val="24"/>
        </w:rPr>
        <w:t>94Hz</w:t>
      </w:r>
      <w:r>
        <w:rPr>
          <w:rFonts w:hint="eastAsia"/>
          <w:sz w:val="24"/>
          <w:szCs w:val="24"/>
        </w:rPr>
        <w:t>或</w:t>
      </w:r>
      <w:r>
        <w:rPr>
          <w:sz w:val="24"/>
          <w:szCs w:val="24"/>
        </w:rPr>
        <w:t>fz</w:t>
      </w:r>
      <w:r>
        <w:rPr>
          <w:rFonts w:hint="eastAsia"/>
          <w:sz w:val="24"/>
          <w:szCs w:val="24"/>
        </w:rPr>
        <w:t>≥</w:t>
      </w:r>
      <w:r>
        <w:rPr>
          <w:sz w:val="24"/>
          <w:szCs w:val="24"/>
        </w:rPr>
        <w:t>115Hz</w:t>
      </w:r>
      <w:r>
        <w:rPr>
          <w:rFonts w:hint="eastAsia"/>
          <w:sz w:val="24"/>
          <w:szCs w:val="24"/>
        </w:rPr>
        <w:t>。运行时定子线圈端部振幅不大于</w:t>
      </w:r>
      <w:r>
        <w:rPr>
          <w:rFonts w:hint="eastAsia"/>
          <w:sz w:val="24"/>
          <w:szCs w:val="24"/>
          <w:u w:val="single"/>
        </w:rPr>
        <w:t xml:space="preserve">     </w:t>
      </w:r>
      <w:r>
        <w:rPr>
          <w:sz w:val="24"/>
          <w:szCs w:val="24"/>
        </w:rPr>
        <w:t>mm</w:t>
      </w:r>
      <w:r>
        <w:rPr>
          <w:rFonts w:hint="eastAsia"/>
          <w:sz w:val="24"/>
          <w:szCs w:val="24"/>
        </w:rPr>
        <w:t>。（投标人填写）</w:t>
      </w:r>
    </w:p>
    <w:p>
      <w:pPr>
        <w:numPr>
          <w:ilvl w:val="0"/>
          <w:numId w:val="8"/>
        </w:numPr>
        <w:spacing w:line="360" w:lineRule="auto"/>
        <w:ind w:left="0" w:firstLine="0"/>
        <w:rPr>
          <w:sz w:val="24"/>
          <w:szCs w:val="24"/>
        </w:rPr>
      </w:pPr>
      <w:r>
        <w:rPr>
          <w:rFonts w:hint="eastAsia"/>
          <w:sz w:val="24"/>
          <w:szCs w:val="24"/>
        </w:rPr>
        <w:t>发电机轴颈振动测量装置由汽机厂统一负责提供，发电机厂负责预留安装位置。</w:t>
      </w:r>
    </w:p>
    <w:p>
      <w:pPr>
        <w:widowControl/>
        <w:overflowPunct w:val="0"/>
        <w:spacing w:line="360" w:lineRule="auto"/>
        <w:jc w:val="left"/>
        <w:rPr>
          <w:sz w:val="24"/>
        </w:rPr>
      </w:pPr>
      <w:r>
        <w:rPr>
          <w:rFonts w:hint="eastAsia"/>
          <w:sz w:val="24"/>
        </w:rPr>
        <w:t>2.3.4 发电机的测温要求：</w:t>
      </w:r>
    </w:p>
    <w:p>
      <w:pPr>
        <w:numPr>
          <w:ilvl w:val="0"/>
          <w:numId w:val="9"/>
        </w:numPr>
        <w:spacing w:line="360" w:lineRule="auto"/>
        <w:ind w:left="0" w:firstLine="0"/>
        <w:rPr>
          <w:sz w:val="24"/>
        </w:rPr>
      </w:pPr>
      <w:r>
        <w:rPr>
          <w:sz w:val="24"/>
          <w:szCs w:val="24"/>
        </w:rPr>
        <w:t>定子铁芯（汽、励端）、压指、压板、屏蔽层埋置足够数量的测温元件，埋置工艺确保测温准确、长期可靠工作。装设位置考虑到引线漏</w:t>
      </w:r>
      <w:r>
        <w:rPr>
          <w:bCs/>
          <w:snapToGrid w:val="0"/>
          <w:kern w:val="0"/>
          <w:sz w:val="24"/>
        </w:rPr>
        <w:t>环电流</w:t>
      </w:r>
      <w:r>
        <w:rPr>
          <w:sz w:val="24"/>
          <w:szCs w:val="24"/>
        </w:rPr>
        <w:t>磁场的影响，以满足测量精度要求。测温元件数量还应满足进相试验的要求。</w:t>
      </w:r>
    </w:p>
    <w:p>
      <w:pPr>
        <w:numPr>
          <w:ilvl w:val="0"/>
          <w:numId w:val="9"/>
        </w:numPr>
        <w:spacing w:line="360" w:lineRule="auto"/>
        <w:ind w:left="0" w:firstLine="0"/>
        <w:rPr>
          <w:sz w:val="24"/>
          <w:szCs w:val="24"/>
        </w:rPr>
      </w:pPr>
      <w:r>
        <w:rPr>
          <w:sz w:val="24"/>
          <w:szCs w:val="24"/>
        </w:rPr>
        <w:t>发电机定子绕组温度和定子铁心温度</w:t>
      </w:r>
      <w:r>
        <w:rPr>
          <w:rFonts w:hint="eastAsia"/>
          <w:sz w:val="24"/>
          <w:szCs w:val="24"/>
        </w:rPr>
        <w:t>为</w:t>
      </w:r>
      <w:r>
        <w:rPr>
          <w:sz w:val="24"/>
          <w:szCs w:val="24"/>
        </w:rPr>
        <w:t>电阻式温度探测器（Pt100</w:t>
      </w:r>
      <w:r>
        <w:rPr>
          <w:kern w:val="0"/>
          <w:sz w:val="24"/>
          <w:szCs w:val="24"/>
          <w:lang w:val="zh-CN"/>
        </w:rPr>
        <w:t>双支型</w:t>
      </w:r>
      <w:r>
        <w:rPr>
          <w:rFonts w:hint="eastAsia"/>
          <w:kern w:val="0"/>
          <w:sz w:val="24"/>
          <w:szCs w:val="24"/>
          <w:lang w:val="zh-CN"/>
        </w:rPr>
        <w:t>，</w:t>
      </w:r>
      <w:r>
        <w:rPr>
          <w:kern w:val="0"/>
          <w:sz w:val="24"/>
          <w:szCs w:val="24"/>
          <w:lang w:val="zh-CN"/>
        </w:rPr>
        <w:t>一备一用）</w:t>
      </w:r>
      <w:r>
        <w:rPr>
          <w:sz w:val="24"/>
          <w:szCs w:val="24"/>
        </w:rPr>
        <w:t>为埋入式</w:t>
      </w:r>
      <w:r>
        <w:rPr>
          <w:kern w:val="0"/>
          <w:sz w:val="24"/>
          <w:szCs w:val="24"/>
          <w:lang w:val="zh-CN"/>
        </w:rPr>
        <w:t>，</w:t>
      </w:r>
      <w:r>
        <w:rPr>
          <w:sz w:val="24"/>
          <w:szCs w:val="24"/>
        </w:rPr>
        <w:t>和冷却介质有效地隔离而且应布置在可能产生最高温度的点上。</w:t>
      </w:r>
      <w:r>
        <w:rPr>
          <w:kern w:val="0"/>
          <w:sz w:val="24"/>
          <w:szCs w:val="24"/>
          <w:lang w:val="zh-CN"/>
        </w:rPr>
        <w:t>定子绕组</w:t>
      </w:r>
      <w:r>
        <w:rPr>
          <w:bCs/>
          <w:iCs/>
          <w:kern w:val="0"/>
          <w:sz w:val="24"/>
          <w:szCs w:val="24"/>
          <w:lang w:val="zh-CN"/>
        </w:rPr>
        <w:t>每相槽内</w:t>
      </w:r>
      <w:r>
        <w:rPr>
          <w:kern w:val="0"/>
          <w:sz w:val="24"/>
          <w:szCs w:val="24"/>
          <w:lang w:val="zh-CN"/>
        </w:rPr>
        <w:t>埋设</w:t>
      </w:r>
      <w:r>
        <w:rPr>
          <w:kern w:val="0"/>
          <w:sz w:val="24"/>
          <w:szCs w:val="24"/>
        </w:rPr>
        <w:t>2</w:t>
      </w:r>
      <w:r>
        <w:rPr>
          <w:rFonts w:hint="eastAsia"/>
          <w:kern w:val="0"/>
          <w:sz w:val="24"/>
          <w:szCs w:val="24"/>
          <w:lang w:val="zh-CN"/>
        </w:rPr>
        <w:t>个</w:t>
      </w:r>
      <w:r>
        <w:rPr>
          <w:kern w:val="0"/>
          <w:sz w:val="24"/>
          <w:szCs w:val="24"/>
          <w:lang w:val="zh-CN"/>
        </w:rPr>
        <w:t>热电阻（双支型</w:t>
      </w:r>
      <w:r>
        <w:rPr>
          <w:rFonts w:hint="eastAsia"/>
          <w:kern w:val="0"/>
          <w:sz w:val="24"/>
          <w:szCs w:val="24"/>
          <w:lang w:val="zh-CN"/>
        </w:rPr>
        <w:t>，</w:t>
      </w:r>
      <w:r>
        <w:rPr>
          <w:kern w:val="0"/>
          <w:sz w:val="24"/>
          <w:szCs w:val="24"/>
          <w:lang w:val="zh-CN"/>
        </w:rPr>
        <w:t>一备一用）；</w:t>
      </w:r>
      <w:r>
        <w:rPr>
          <w:sz w:val="24"/>
          <w:szCs w:val="24"/>
        </w:rPr>
        <w:t>这些埋入式热电阻为绝缘型双支热电阻。</w:t>
      </w:r>
    </w:p>
    <w:p>
      <w:pPr>
        <w:numPr>
          <w:ilvl w:val="0"/>
          <w:numId w:val="9"/>
        </w:numPr>
        <w:spacing w:line="360" w:lineRule="auto"/>
        <w:ind w:left="0" w:firstLine="0"/>
        <w:rPr>
          <w:sz w:val="24"/>
          <w:szCs w:val="24"/>
        </w:rPr>
      </w:pPr>
      <w:r>
        <w:rPr>
          <w:rFonts w:hint="eastAsia"/>
          <w:sz w:val="24"/>
          <w:szCs w:val="24"/>
        </w:rPr>
        <w:t>空气冷却器进、出风处各装二只热电阻</w:t>
      </w:r>
      <w:r>
        <w:rPr>
          <w:rFonts w:hint="eastAsia" w:ascii="宋体" w:hAnsi="宋体"/>
          <w:sz w:val="24"/>
          <w:szCs w:val="24"/>
        </w:rPr>
        <w:t>和一个就地温度计，两侧进风处各装一只湿度仪（远传功能）。</w:t>
      </w:r>
    </w:p>
    <w:p>
      <w:pPr>
        <w:numPr>
          <w:ilvl w:val="0"/>
          <w:numId w:val="9"/>
        </w:numPr>
        <w:spacing w:line="360" w:lineRule="auto"/>
        <w:ind w:left="0" w:firstLine="0"/>
        <w:rPr>
          <w:sz w:val="24"/>
          <w:szCs w:val="24"/>
        </w:rPr>
      </w:pPr>
      <w:r>
        <w:rPr>
          <w:rFonts w:hint="eastAsia"/>
          <w:sz w:val="24"/>
          <w:szCs w:val="24"/>
        </w:rPr>
        <w:t>各轴承上均装设测量油温的热电阻，并在出油管上设有视察窗，在各轴瓦上装设测量金属温度的热电阻。</w:t>
      </w:r>
    </w:p>
    <w:p>
      <w:pPr>
        <w:numPr>
          <w:ilvl w:val="0"/>
          <w:numId w:val="9"/>
        </w:numPr>
        <w:spacing w:line="360" w:lineRule="auto"/>
        <w:ind w:left="0" w:firstLine="0"/>
        <w:rPr>
          <w:sz w:val="24"/>
          <w:szCs w:val="24"/>
        </w:rPr>
      </w:pPr>
      <w:r>
        <w:rPr>
          <w:rFonts w:hint="eastAsia"/>
          <w:sz w:val="24"/>
          <w:szCs w:val="24"/>
        </w:rPr>
        <w:t>每个测温元件的引出线用两对三根独立的屏蔽引线引出。投标人确保每个测温元件可靠、稳定且保证在交货时全部完好。</w:t>
      </w:r>
    </w:p>
    <w:p>
      <w:pPr>
        <w:numPr>
          <w:ilvl w:val="0"/>
          <w:numId w:val="9"/>
        </w:numPr>
        <w:spacing w:line="360" w:lineRule="auto"/>
        <w:ind w:left="0" w:firstLine="0"/>
        <w:rPr>
          <w:sz w:val="24"/>
          <w:szCs w:val="24"/>
        </w:rPr>
      </w:pPr>
      <w:r>
        <w:rPr>
          <w:rFonts w:hint="eastAsia"/>
          <w:sz w:val="24"/>
          <w:szCs w:val="24"/>
        </w:rPr>
        <w:t>就地测温仪表采用万向抽芯式双金属温度计，精度至少为1.6级。</w:t>
      </w:r>
    </w:p>
    <w:p>
      <w:pPr>
        <w:numPr>
          <w:ilvl w:val="0"/>
          <w:numId w:val="9"/>
        </w:numPr>
        <w:spacing w:line="360" w:lineRule="auto"/>
        <w:ind w:left="0" w:firstLine="0"/>
        <w:rPr>
          <w:sz w:val="24"/>
        </w:rPr>
      </w:pPr>
      <w:r>
        <w:rPr>
          <w:rFonts w:hint="eastAsia"/>
          <w:sz w:val="24"/>
          <w:szCs w:val="24"/>
        </w:rPr>
        <w:t>测温元件统一采用三线制Pt100热电阻，所有</w:t>
      </w:r>
      <w:r>
        <w:rPr>
          <w:rFonts w:hint="eastAsia"/>
          <w:sz w:val="24"/>
        </w:rPr>
        <w:t>测温元件均为双支绝缘型。所有测温元件的接线均单独引至发电机本体接线盒（投标人提供）；发电机端子接线板至少提供20%的备用端子。就地设备至接线盒的电缆由投标人提供，采用耐火屏蔽电缆，对处于高温区域的设备接线应采用耐高温屏蔽电缆、导线。</w:t>
      </w:r>
    </w:p>
    <w:p>
      <w:pPr>
        <w:numPr>
          <w:ilvl w:val="0"/>
          <w:numId w:val="9"/>
        </w:numPr>
        <w:spacing w:line="360" w:lineRule="auto"/>
        <w:ind w:left="0" w:firstLine="0"/>
        <w:rPr>
          <w:sz w:val="24"/>
        </w:rPr>
      </w:pPr>
      <w:r>
        <w:rPr>
          <w:rFonts w:hint="eastAsia"/>
          <w:sz w:val="24"/>
        </w:rPr>
        <w:t>随机配供的测温元件、仪表及其它热工检测及控制设备必须符合符合国家标准，保证不配供含水银等有毒物质的仪表以及已宣布淘汰的产品。符合控制监视系统的要求，并根据设备安装地点的要求，满足防爆、防火、防水、防腐、防尘、防冻的有关要求。投标人所有热电偶（K分度）、热电阻（Pt100铂电阻）采用双支，热电阻采用三线制。热电阻应符合IEC 60751 B类、DIN 43760和BS1904 II级标准。热电偶按A级标准配置，至少应具备3个标定点，测量精度在满量程的</w:t>
      </w:r>
      <w:r>
        <w:rPr>
          <w:sz w:val="24"/>
        </w:rPr>
        <w:t>±</w:t>
      </w:r>
      <w:r>
        <w:rPr>
          <w:rFonts w:hint="eastAsia"/>
          <w:sz w:val="24"/>
        </w:rPr>
        <w:t>0.2%内，在最大运行温度下使用1年后，温度传感器的冰点变化不应超过0.1欧姆。</w:t>
      </w:r>
    </w:p>
    <w:p>
      <w:pPr>
        <w:numPr>
          <w:ilvl w:val="0"/>
          <w:numId w:val="9"/>
        </w:numPr>
        <w:spacing w:line="360" w:lineRule="auto"/>
        <w:ind w:left="0" w:firstLine="0"/>
        <w:rPr>
          <w:sz w:val="24"/>
          <w:szCs w:val="24"/>
        </w:rPr>
      </w:pPr>
      <w:r>
        <w:rPr>
          <w:rFonts w:hint="eastAsia"/>
          <w:sz w:val="24"/>
        </w:rPr>
        <w:t>应对随机</w:t>
      </w:r>
      <w:r>
        <w:rPr>
          <w:rFonts w:hint="eastAsia"/>
          <w:sz w:val="24"/>
          <w:szCs w:val="24"/>
        </w:rPr>
        <w:t>配供的热工监控设备详细说明其安装地点、用途、型号规范、设定值及制造厂家。所有检测装置须提供安装使用说明书。</w:t>
      </w:r>
    </w:p>
    <w:p>
      <w:pPr>
        <w:numPr>
          <w:ilvl w:val="0"/>
          <w:numId w:val="9"/>
        </w:numPr>
        <w:spacing w:line="360" w:lineRule="auto"/>
        <w:ind w:left="0" w:firstLine="0"/>
        <w:rPr>
          <w:sz w:val="24"/>
          <w:szCs w:val="24"/>
        </w:rPr>
      </w:pPr>
      <w:r>
        <w:rPr>
          <w:rFonts w:hint="eastAsia"/>
          <w:sz w:val="24"/>
          <w:szCs w:val="24"/>
        </w:rPr>
        <w:t>发电机本体所带所有测温元件及仪表引出线排列及布置应整齐有序美观。</w:t>
      </w:r>
    </w:p>
    <w:p>
      <w:pPr>
        <w:numPr>
          <w:ilvl w:val="0"/>
          <w:numId w:val="9"/>
        </w:numPr>
        <w:spacing w:line="360" w:lineRule="auto"/>
        <w:ind w:left="0" w:firstLine="0"/>
        <w:rPr>
          <w:rFonts w:ascii="Arial" w:hAnsi="Arial"/>
        </w:rPr>
      </w:pPr>
      <w:r>
        <w:rPr>
          <w:rFonts w:hint="eastAsia"/>
          <w:sz w:val="24"/>
          <w:szCs w:val="24"/>
        </w:rPr>
        <w:t>所有的热工仪表</w:t>
      </w:r>
      <w:r>
        <w:rPr>
          <w:rFonts w:hint="eastAsia"/>
          <w:sz w:val="24"/>
        </w:rPr>
        <w:t>及仪表盘的防护等级必须遵循IEC60529P定义的IPW55。</w:t>
      </w:r>
    </w:p>
    <w:p>
      <w:pPr>
        <w:spacing w:line="360" w:lineRule="auto"/>
        <w:rPr>
          <w:sz w:val="24"/>
          <w:szCs w:val="24"/>
        </w:rPr>
      </w:pPr>
      <w:r>
        <w:rPr>
          <w:sz w:val="24"/>
          <w:szCs w:val="24"/>
        </w:rPr>
        <w:t>2.3.</w:t>
      </w:r>
      <w:r>
        <w:rPr>
          <w:rFonts w:hint="eastAsia"/>
          <w:sz w:val="24"/>
          <w:szCs w:val="24"/>
        </w:rPr>
        <w:t>5</w:t>
      </w:r>
      <w:r>
        <w:rPr>
          <w:sz w:val="24"/>
          <w:szCs w:val="24"/>
        </w:rPr>
        <w:t>自动监测装置</w:t>
      </w:r>
    </w:p>
    <w:p>
      <w:pPr>
        <w:snapToGrid w:val="0"/>
        <w:spacing w:line="360" w:lineRule="auto"/>
        <w:ind w:firstLine="525"/>
        <w:rPr>
          <w:sz w:val="24"/>
        </w:rPr>
      </w:pPr>
      <w:r>
        <w:rPr>
          <w:rFonts w:hint="eastAsia"/>
          <w:sz w:val="24"/>
        </w:rPr>
        <w:t>空冷器冷却水流量计。</w:t>
      </w:r>
    </w:p>
    <w:p>
      <w:pPr>
        <w:snapToGrid w:val="0"/>
        <w:spacing w:line="360" w:lineRule="auto"/>
        <w:ind w:firstLine="525"/>
        <w:rPr>
          <w:sz w:val="24"/>
        </w:rPr>
      </w:pPr>
      <w:r>
        <w:rPr>
          <w:sz w:val="24"/>
        </w:rPr>
        <w:t>以上自动监测装置应选用成熟可靠产品，并有标准信号输出到DCS。</w:t>
      </w:r>
    </w:p>
    <w:p>
      <w:pPr>
        <w:spacing w:line="360" w:lineRule="auto"/>
        <w:rPr>
          <w:sz w:val="24"/>
          <w:szCs w:val="24"/>
        </w:rPr>
      </w:pPr>
      <w:r>
        <w:rPr>
          <w:rFonts w:hint="eastAsia"/>
          <w:sz w:val="24"/>
          <w:szCs w:val="24"/>
        </w:rPr>
        <w:t>2.3.6</w:t>
      </w:r>
      <w:r>
        <w:rPr>
          <w:sz w:val="24"/>
          <w:szCs w:val="24"/>
        </w:rPr>
        <w:t>发电机定、转子各部分温度和温升的限值</w:t>
      </w:r>
    </w:p>
    <w:p>
      <w:pPr>
        <w:widowControl/>
        <w:overflowPunct w:val="0"/>
        <w:spacing w:line="360" w:lineRule="auto"/>
        <w:ind w:firstLine="480" w:firstLineChars="200"/>
        <w:jc w:val="left"/>
        <w:rPr>
          <w:sz w:val="24"/>
          <w:szCs w:val="24"/>
        </w:rPr>
      </w:pPr>
      <w:r>
        <w:rPr>
          <w:sz w:val="24"/>
          <w:szCs w:val="24"/>
        </w:rPr>
        <w:t>发电机定、转子各部分温度和温升的限值应符合国标GB/T7064</w:t>
      </w:r>
      <w:r>
        <w:rPr>
          <w:rFonts w:asciiTheme="majorEastAsia" w:hAnsiTheme="majorEastAsia" w:eastAsiaTheme="majorEastAsia"/>
          <w:sz w:val="24"/>
          <w:szCs w:val="24"/>
        </w:rPr>
        <w:t>“隐极同步电机的技术要求”</w:t>
      </w:r>
      <w:r>
        <w:rPr>
          <w:sz w:val="24"/>
          <w:szCs w:val="24"/>
        </w:rPr>
        <w:t>中的规定。热电阻均应选用Pt100，热电偶选用</w:t>
      </w:r>
      <w:r>
        <w:rPr>
          <w:rFonts w:hint="eastAsia"/>
          <w:sz w:val="24"/>
          <w:szCs w:val="24"/>
        </w:rPr>
        <w:t>K</w:t>
      </w:r>
      <w:r>
        <w:rPr>
          <w:sz w:val="24"/>
          <w:szCs w:val="24"/>
        </w:rPr>
        <w:t>分度测温元件。</w:t>
      </w:r>
    </w:p>
    <w:p>
      <w:pPr>
        <w:widowControl/>
        <w:overflowPunct w:val="0"/>
        <w:spacing w:line="360" w:lineRule="auto"/>
        <w:ind w:firstLine="480" w:firstLineChars="200"/>
        <w:jc w:val="left"/>
        <w:rPr>
          <w:sz w:val="24"/>
        </w:rPr>
      </w:pPr>
      <w:r>
        <w:rPr>
          <w:rFonts w:hint="eastAsia"/>
          <w:sz w:val="24"/>
        </w:rPr>
        <w:t>发电机在额定工况下连续运行6小时后，冷却介质入口温度不超过38</w:t>
      </w:r>
      <w:r>
        <w:rPr>
          <w:sz w:val="24"/>
        </w:rPr>
        <w:t>°C</w:t>
      </w:r>
      <w:r>
        <w:rPr>
          <w:rFonts w:hint="eastAsia"/>
          <w:sz w:val="24"/>
        </w:rPr>
        <w:t>时，发电机温升应符合所使用的绝缘材料允许的温升。发电机冷却系统应包括所有必需的设备，如发电机安全有效运行所需的冷却器、风机、泵和控制仪器等，且应符合最新版国标要求。</w:t>
      </w:r>
    </w:p>
    <w:p>
      <w:pPr>
        <w:numPr>
          <w:ilvl w:val="255"/>
          <w:numId w:val="0"/>
        </w:numPr>
        <w:spacing w:line="360" w:lineRule="auto"/>
        <w:rPr>
          <w:sz w:val="24"/>
          <w:szCs w:val="24"/>
        </w:rPr>
      </w:pPr>
      <w:r>
        <w:rPr>
          <w:rFonts w:hint="eastAsia"/>
          <w:sz w:val="24"/>
          <w:szCs w:val="24"/>
        </w:rPr>
        <w:t>2.3.7</w:t>
      </w:r>
      <w:r>
        <w:rPr>
          <w:sz w:val="24"/>
          <w:szCs w:val="24"/>
        </w:rPr>
        <w:t>轴承和轴瓦温度</w:t>
      </w:r>
    </w:p>
    <w:p>
      <w:pPr>
        <w:spacing w:line="360" w:lineRule="auto"/>
        <w:ind w:firstLine="360" w:firstLineChars="150"/>
        <w:rPr>
          <w:sz w:val="24"/>
          <w:szCs w:val="24"/>
        </w:rPr>
      </w:pPr>
      <w:r>
        <w:rPr>
          <w:sz w:val="24"/>
          <w:szCs w:val="24"/>
        </w:rPr>
        <w:t>发电机轴承排油温度不超过65℃，轴瓦金属最高温度一般不应超过</w:t>
      </w:r>
      <w:r>
        <w:rPr>
          <w:rFonts w:hint="eastAsia"/>
          <w:sz w:val="24"/>
        </w:rPr>
        <w:t>8</w:t>
      </w:r>
      <w:r>
        <w:rPr>
          <w:sz w:val="24"/>
        </w:rPr>
        <w:t>0</w:t>
      </w:r>
      <w:r>
        <w:rPr>
          <w:sz w:val="24"/>
          <w:szCs w:val="24"/>
        </w:rPr>
        <w:t>℃。</w:t>
      </w:r>
    </w:p>
    <w:p>
      <w:pPr>
        <w:numPr>
          <w:ilvl w:val="255"/>
          <w:numId w:val="0"/>
        </w:numPr>
        <w:spacing w:line="360" w:lineRule="auto"/>
        <w:rPr>
          <w:sz w:val="24"/>
          <w:szCs w:val="24"/>
        </w:rPr>
      </w:pPr>
      <w:r>
        <w:rPr>
          <w:rFonts w:hint="eastAsia"/>
          <w:sz w:val="24"/>
        </w:rPr>
        <w:t>2.3.8 电压和频率变化范围</w:t>
      </w:r>
    </w:p>
    <w:p>
      <w:pPr>
        <w:widowControl/>
        <w:overflowPunct w:val="0"/>
        <w:spacing w:line="360" w:lineRule="auto"/>
        <w:ind w:firstLine="480" w:firstLineChars="200"/>
        <w:jc w:val="left"/>
        <w:rPr>
          <w:sz w:val="24"/>
          <w:szCs w:val="24"/>
        </w:rPr>
      </w:pPr>
      <w:r>
        <w:rPr>
          <w:rFonts w:hint="eastAsia"/>
          <w:sz w:val="24"/>
        </w:rPr>
        <w:t>发电机在额定电压及功率因数下，电压变化范围为±</w:t>
      </w:r>
      <w:r>
        <w:rPr>
          <w:sz w:val="24"/>
        </w:rPr>
        <w:t>5</w:t>
      </w:r>
      <w:r>
        <w:rPr>
          <w:rFonts w:hint="eastAsia"/>
          <w:sz w:val="24"/>
        </w:rPr>
        <w:t>％和频率变化范围为-3</w:t>
      </w:r>
      <w:r>
        <w:rPr>
          <w:sz w:val="24"/>
        </w:rPr>
        <w:t>%</w:t>
      </w:r>
      <w:r>
        <w:rPr>
          <w:rFonts w:hint="eastAsia"/>
          <w:sz w:val="24"/>
        </w:rPr>
        <w:t>至+2</w:t>
      </w:r>
      <w:r>
        <w:rPr>
          <w:sz w:val="24"/>
        </w:rPr>
        <w:t>%</w:t>
      </w:r>
      <w:r>
        <w:rPr>
          <w:rFonts w:hint="eastAsia"/>
          <w:sz w:val="24"/>
        </w:rPr>
        <w:t>时，应能连续输出额定功率，并保持其性能与额定电压及频率时基本相同。超出此范围，将按GB/T 7064或者IEC60034-3执行。</w:t>
      </w:r>
    </w:p>
    <w:p>
      <w:pPr>
        <w:widowControl/>
        <w:overflowPunct w:val="0"/>
        <w:spacing w:line="360" w:lineRule="auto"/>
        <w:ind w:firstLine="480" w:firstLineChars="200"/>
        <w:jc w:val="left"/>
        <w:rPr>
          <w:sz w:val="24"/>
          <w:szCs w:val="24"/>
        </w:rPr>
      </w:pPr>
      <w:r>
        <w:rPr>
          <w:bCs/>
          <w:snapToGrid w:val="0"/>
          <w:kern w:val="0"/>
          <w:sz w:val="24"/>
        </w:rPr>
        <w:t>投标人应考虑电压和频率同时偏离额定值的情况，投标时提供电压和频率同时偏离额定值时的运行限制条件。</w:t>
      </w:r>
    </w:p>
    <w:p>
      <w:pPr>
        <w:numPr>
          <w:ilvl w:val="255"/>
          <w:numId w:val="0"/>
        </w:numPr>
        <w:spacing w:line="360" w:lineRule="auto"/>
        <w:rPr>
          <w:sz w:val="24"/>
          <w:szCs w:val="24"/>
        </w:rPr>
      </w:pPr>
      <w:r>
        <w:rPr>
          <w:rFonts w:hint="eastAsia"/>
          <w:sz w:val="24"/>
        </w:rPr>
        <w:t xml:space="preserve">2.3.9 </w:t>
      </w:r>
      <w:r>
        <w:rPr>
          <w:sz w:val="24"/>
          <w:szCs w:val="24"/>
        </w:rPr>
        <w:t>波形畸变率</w:t>
      </w:r>
    </w:p>
    <w:p>
      <w:pPr>
        <w:spacing w:line="360" w:lineRule="auto"/>
        <w:ind w:firstLine="480"/>
        <w:rPr>
          <w:sz w:val="24"/>
          <w:szCs w:val="24"/>
        </w:rPr>
      </w:pPr>
      <w:r>
        <w:rPr>
          <w:sz w:val="24"/>
          <w:szCs w:val="24"/>
        </w:rPr>
        <w:t>发电机在空载额定电压和额定转速下，其空载线电压波形正弦性畸变率不超过1.5％，其线电压的电话谐波因数不超过1％。</w:t>
      </w:r>
    </w:p>
    <w:p>
      <w:pPr>
        <w:numPr>
          <w:ilvl w:val="255"/>
          <w:numId w:val="0"/>
        </w:numPr>
        <w:spacing w:line="360" w:lineRule="auto"/>
        <w:rPr>
          <w:sz w:val="24"/>
          <w:szCs w:val="24"/>
        </w:rPr>
      </w:pPr>
      <w:r>
        <w:rPr>
          <w:rFonts w:hint="eastAsia"/>
          <w:sz w:val="24"/>
          <w:szCs w:val="24"/>
        </w:rPr>
        <w:t>2.3.10</w:t>
      </w:r>
      <w:r>
        <w:rPr>
          <w:sz w:val="24"/>
          <w:szCs w:val="24"/>
        </w:rPr>
        <w:t>直流电阻误差</w:t>
      </w:r>
    </w:p>
    <w:p>
      <w:pPr>
        <w:widowControl/>
        <w:overflowPunct w:val="0"/>
        <w:spacing w:line="360" w:lineRule="auto"/>
        <w:ind w:firstLine="480" w:firstLineChars="200"/>
        <w:jc w:val="left"/>
        <w:rPr>
          <w:sz w:val="24"/>
          <w:szCs w:val="24"/>
        </w:rPr>
      </w:pPr>
      <w:r>
        <w:rPr>
          <w:rFonts w:hAnsi="宋体"/>
          <w:sz w:val="24"/>
          <w:szCs w:val="24"/>
        </w:rPr>
        <w:t>定子</w:t>
      </w:r>
      <w:r>
        <w:rPr>
          <w:sz w:val="24"/>
          <w:szCs w:val="24"/>
        </w:rPr>
        <w:t>绕组</w:t>
      </w:r>
      <w:r>
        <w:rPr>
          <w:rFonts w:hAnsi="宋体"/>
          <w:sz w:val="24"/>
          <w:szCs w:val="24"/>
        </w:rPr>
        <w:t>在冷态下，</w:t>
      </w:r>
      <w:r>
        <w:rPr>
          <w:rFonts w:hAnsi="宋体"/>
          <w:sz w:val="24"/>
        </w:rPr>
        <w:t>任何两相直流电阻之差，在排除由于引线长度不同而引起的误差后应不超过其最小值的</w:t>
      </w:r>
      <w:r>
        <w:rPr>
          <w:sz w:val="24"/>
        </w:rPr>
        <w:t>1.5%</w:t>
      </w:r>
      <w:r>
        <w:rPr>
          <w:rFonts w:hAnsi="宋体"/>
          <w:sz w:val="24"/>
        </w:rPr>
        <w:t>。</w:t>
      </w:r>
    </w:p>
    <w:p>
      <w:pPr>
        <w:numPr>
          <w:ilvl w:val="255"/>
          <w:numId w:val="0"/>
        </w:numPr>
        <w:spacing w:line="360" w:lineRule="auto"/>
        <w:rPr>
          <w:sz w:val="24"/>
          <w:szCs w:val="24"/>
        </w:rPr>
      </w:pPr>
      <w:r>
        <w:rPr>
          <w:rFonts w:hint="eastAsia"/>
          <w:sz w:val="24"/>
          <w:szCs w:val="24"/>
        </w:rPr>
        <w:t>2.3.11</w:t>
      </w:r>
      <w:r>
        <w:rPr>
          <w:sz w:val="24"/>
          <w:szCs w:val="24"/>
        </w:rPr>
        <w:t>转轴接地</w:t>
      </w:r>
    </w:p>
    <w:p>
      <w:pPr>
        <w:spacing w:line="360" w:lineRule="auto"/>
        <w:ind w:firstLine="480" w:firstLineChars="200"/>
        <w:rPr>
          <w:sz w:val="24"/>
          <w:szCs w:val="24"/>
        </w:rPr>
      </w:pPr>
      <w:r>
        <w:rPr>
          <w:sz w:val="24"/>
          <w:szCs w:val="24"/>
        </w:rPr>
        <w:t>转子轴有良好接地, 接地材料应便于在运行中更换；同时</w:t>
      </w:r>
      <w:r>
        <w:rPr>
          <w:bCs/>
          <w:snapToGrid w:val="0"/>
          <w:kern w:val="0"/>
          <w:sz w:val="24"/>
        </w:rPr>
        <w:t>投标人应</w:t>
      </w:r>
      <w:r>
        <w:rPr>
          <w:sz w:val="24"/>
          <w:szCs w:val="24"/>
        </w:rPr>
        <w:t>采取有效措施，防止有害的轴电流和轴电压，并在投标书中提供防止发电机有害的轴电流和轴电压的措施的说明。</w:t>
      </w:r>
    </w:p>
    <w:p>
      <w:pPr>
        <w:numPr>
          <w:ilvl w:val="255"/>
          <w:numId w:val="0"/>
        </w:numPr>
        <w:spacing w:line="360" w:lineRule="auto"/>
        <w:rPr>
          <w:sz w:val="24"/>
          <w:szCs w:val="24"/>
        </w:rPr>
      </w:pPr>
      <w:r>
        <w:rPr>
          <w:rFonts w:hint="eastAsia"/>
          <w:sz w:val="24"/>
          <w:szCs w:val="24"/>
        </w:rPr>
        <w:t>2.3.12</w:t>
      </w:r>
      <w:r>
        <w:rPr>
          <w:sz w:val="24"/>
          <w:szCs w:val="24"/>
        </w:rPr>
        <w:t>过载能力</w:t>
      </w:r>
    </w:p>
    <w:p>
      <w:pPr>
        <w:widowControl/>
        <w:overflowPunct w:val="0"/>
        <w:spacing w:line="360" w:lineRule="auto"/>
        <w:ind w:firstLine="480" w:firstLineChars="200"/>
        <w:jc w:val="left"/>
        <w:rPr>
          <w:sz w:val="24"/>
          <w:szCs w:val="24"/>
        </w:rPr>
      </w:pPr>
      <w:r>
        <w:rPr>
          <w:sz w:val="24"/>
          <w:szCs w:val="24"/>
        </w:rPr>
        <w:t>发电机具有一定的短时过负荷能力，能承受</w:t>
      </w:r>
      <w:r>
        <w:rPr>
          <w:sz w:val="24"/>
          <w:szCs w:val="24"/>
          <w:u w:val="single"/>
        </w:rPr>
        <w:t>1.5</w:t>
      </w:r>
      <w:r>
        <w:rPr>
          <w:sz w:val="24"/>
          <w:szCs w:val="24"/>
        </w:rPr>
        <w:t>倍的额定定子电流历时</w:t>
      </w:r>
      <w:r>
        <w:rPr>
          <w:sz w:val="24"/>
          <w:szCs w:val="24"/>
          <w:u w:val="single"/>
        </w:rPr>
        <w:t>30</w:t>
      </w:r>
      <w:r>
        <w:rPr>
          <w:sz w:val="24"/>
          <w:szCs w:val="24"/>
        </w:rPr>
        <w:t>s，而不发生有害变形及接头开焊等情况。</w:t>
      </w:r>
    </w:p>
    <w:p>
      <w:pPr>
        <w:widowControl/>
        <w:overflowPunct w:val="0"/>
        <w:spacing w:line="360" w:lineRule="auto"/>
        <w:ind w:firstLine="480" w:firstLineChars="200"/>
        <w:jc w:val="left"/>
        <w:rPr>
          <w:sz w:val="24"/>
          <w:szCs w:val="24"/>
        </w:rPr>
      </w:pPr>
      <w:r>
        <w:rPr>
          <w:sz w:val="24"/>
          <w:szCs w:val="24"/>
        </w:rPr>
        <w:t>发电机允许过电流时间与过电流倍数按以下公式计算：</w:t>
      </w:r>
    </w:p>
    <w:p>
      <w:pPr>
        <w:spacing w:line="360" w:lineRule="auto"/>
        <w:ind w:firstLine="1920" w:firstLineChars="800"/>
        <w:rPr>
          <w:sz w:val="24"/>
          <w:szCs w:val="24"/>
        </w:rPr>
      </w:pPr>
      <w:r>
        <w:rPr>
          <w:sz w:val="24"/>
          <w:szCs w:val="24"/>
        </w:rPr>
        <w:t>（I</w:t>
      </w:r>
      <w:r>
        <w:rPr>
          <w:sz w:val="24"/>
          <w:szCs w:val="24"/>
          <w:vertAlign w:val="superscript"/>
        </w:rPr>
        <w:t>2</w:t>
      </w:r>
      <w:r>
        <w:rPr>
          <w:sz w:val="24"/>
          <w:szCs w:val="24"/>
        </w:rPr>
        <w:t>－1）t＝37.5s  注：适用范围t=10s~</w:t>
      </w:r>
      <w:r>
        <w:rPr>
          <w:rFonts w:hint="eastAsia"/>
          <w:sz w:val="24"/>
          <w:szCs w:val="24"/>
        </w:rPr>
        <w:t>120</w:t>
      </w:r>
      <w:r>
        <w:rPr>
          <w:sz w:val="24"/>
          <w:szCs w:val="24"/>
        </w:rPr>
        <w:t>s</w:t>
      </w:r>
    </w:p>
    <w:p>
      <w:pPr>
        <w:widowControl/>
        <w:overflowPunct w:val="0"/>
        <w:spacing w:line="360" w:lineRule="auto"/>
        <w:ind w:firstLine="480" w:firstLineChars="200"/>
        <w:jc w:val="left"/>
        <w:rPr>
          <w:sz w:val="24"/>
          <w:szCs w:val="24"/>
        </w:rPr>
      </w:pPr>
      <w:r>
        <w:rPr>
          <w:sz w:val="24"/>
          <w:szCs w:val="24"/>
        </w:rPr>
        <w:t>发电机转子绕组具有下列短时过电流的能力，时间从10s~120s,</w:t>
      </w:r>
    </w:p>
    <w:p>
      <w:pPr>
        <w:spacing w:line="360" w:lineRule="auto"/>
        <w:ind w:left="540" w:leftChars="257" w:firstLine="1320" w:firstLineChars="550"/>
        <w:rPr>
          <w:sz w:val="24"/>
          <w:szCs w:val="24"/>
        </w:rPr>
      </w:pPr>
      <w:r>
        <w:rPr>
          <w:sz w:val="24"/>
          <w:szCs w:val="24"/>
        </w:rPr>
        <w:t>（I</w:t>
      </w:r>
      <w:r>
        <w:rPr>
          <w:sz w:val="24"/>
          <w:szCs w:val="24"/>
          <w:vertAlign w:val="superscript"/>
        </w:rPr>
        <w:t>2</w:t>
      </w:r>
      <w:r>
        <w:rPr>
          <w:sz w:val="24"/>
          <w:szCs w:val="24"/>
        </w:rPr>
        <w:t>－1）t＝33.75s，</w:t>
      </w:r>
      <w:r>
        <w:rPr>
          <w:bCs/>
          <w:snapToGrid w:val="0"/>
          <w:kern w:val="0"/>
          <w:sz w:val="24"/>
        </w:rPr>
        <w:t>投标人应</w:t>
      </w:r>
      <w:r>
        <w:rPr>
          <w:sz w:val="24"/>
          <w:szCs w:val="24"/>
        </w:rPr>
        <w:t>在投标书中提供详细数据。</w:t>
      </w:r>
    </w:p>
    <w:tbl>
      <w:tblPr>
        <w:tblStyle w:val="49"/>
        <w:tblW w:w="743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2460"/>
        <w:gridCol w:w="1244"/>
        <w:gridCol w:w="1244"/>
        <w:gridCol w:w="1244"/>
        <w:gridCol w:w="124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jc w:val="center"/>
        </w:trPr>
        <w:tc>
          <w:tcPr>
            <w:tcW w:w="2460" w:type="dxa"/>
          </w:tcPr>
          <w:p>
            <w:pPr>
              <w:overflowPunct w:val="0"/>
              <w:spacing w:before="24" w:beforeLines="10" w:after="24" w:afterLines="10" w:line="360" w:lineRule="auto"/>
              <w:ind w:firstLine="57"/>
              <w:rPr>
                <w:sz w:val="24"/>
                <w:szCs w:val="24"/>
              </w:rPr>
            </w:pPr>
            <w:r>
              <w:rPr>
                <w:sz w:val="24"/>
                <w:szCs w:val="24"/>
              </w:rPr>
              <w:t>过电流时间（秒）</w:t>
            </w:r>
          </w:p>
        </w:tc>
        <w:tc>
          <w:tcPr>
            <w:tcW w:w="1244" w:type="dxa"/>
          </w:tcPr>
          <w:p>
            <w:pPr>
              <w:overflowPunct w:val="0"/>
              <w:spacing w:before="24" w:beforeLines="10" w:after="24" w:afterLines="10" w:line="360" w:lineRule="auto"/>
              <w:ind w:firstLine="57"/>
              <w:jc w:val="center"/>
              <w:rPr>
                <w:sz w:val="24"/>
                <w:szCs w:val="24"/>
              </w:rPr>
            </w:pPr>
            <w:r>
              <w:rPr>
                <w:sz w:val="24"/>
                <w:szCs w:val="24"/>
              </w:rPr>
              <w:t>10</w:t>
            </w:r>
          </w:p>
        </w:tc>
        <w:tc>
          <w:tcPr>
            <w:tcW w:w="1244" w:type="dxa"/>
          </w:tcPr>
          <w:p>
            <w:pPr>
              <w:overflowPunct w:val="0"/>
              <w:spacing w:before="24" w:beforeLines="10" w:after="24" w:afterLines="10" w:line="360" w:lineRule="auto"/>
              <w:ind w:firstLine="57"/>
              <w:jc w:val="center"/>
              <w:rPr>
                <w:sz w:val="24"/>
                <w:szCs w:val="24"/>
              </w:rPr>
            </w:pPr>
            <w:r>
              <w:rPr>
                <w:sz w:val="24"/>
                <w:szCs w:val="24"/>
              </w:rPr>
              <w:t>30</w:t>
            </w:r>
          </w:p>
        </w:tc>
        <w:tc>
          <w:tcPr>
            <w:tcW w:w="1244" w:type="dxa"/>
          </w:tcPr>
          <w:p>
            <w:pPr>
              <w:overflowPunct w:val="0"/>
              <w:spacing w:before="24" w:beforeLines="10" w:after="24" w:afterLines="10" w:line="360" w:lineRule="auto"/>
              <w:ind w:firstLine="57"/>
              <w:jc w:val="center"/>
              <w:rPr>
                <w:sz w:val="24"/>
                <w:szCs w:val="24"/>
              </w:rPr>
            </w:pPr>
            <w:r>
              <w:rPr>
                <w:sz w:val="24"/>
                <w:szCs w:val="24"/>
              </w:rPr>
              <w:t>60</w:t>
            </w:r>
          </w:p>
        </w:tc>
        <w:tc>
          <w:tcPr>
            <w:tcW w:w="1244" w:type="dxa"/>
          </w:tcPr>
          <w:p>
            <w:pPr>
              <w:overflowPunct w:val="0"/>
              <w:spacing w:before="24" w:beforeLines="10" w:after="24" w:afterLines="10" w:line="360" w:lineRule="auto"/>
              <w:ind w:firstLine="57"/>
              <w:jc w:val="center"/>
              <w:rPr>
                <w:sz w:val="24"/>
                <w:szCs w:val="24"/>
              </w:rPr>
            </w:pPr>
            <w:r>
              <w:rPr>
                <w:sz w:val="24"/>
                <w:szCs w:val="24"/>
              </w:rPr>
              <w:t>120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jc w:val="center"/>
        </w:trPr>
        <w:tc>
          <w:tcPr>
            <w:tcW w:w="2460" w:type="dxa"/>
          </w:tcPr>
          <w:p>
            <w:pPr>
              <w:overflowPunct w:val="0"/>
              <w:spacing w:before="24" w:beforeLines="10" w:after="24" w:afterLines="10" w:line="360" w:lineRule="auto"/>
              <w:ind w:firstLine="57"/>
              <w:rPr>
                <w:sz w:val="24"/>
                <w:szCs w:val="24"/>
              </w:rPr>
            </w:pPr>
            <w:r>
              <w:rPr>
                <w:sz w:val="24"/>
                <w:szCs w:val="24"/>
              </w:rPr>
              <w:t>转子绕组电流（％）</w:t>
            </w:r>
          </w:p>
        </w:tc>
        <w:tc>
          <w:tcPr>
            <w:tcW w:w="1244" w:type="dxa"/>
          </w:tcPr>
          <w:p>
            <w:pPr>
              <w:overflowPunct w:val="0"/>
              <w:spacing w:before="24" w:beforeLines="10" w:after="24" w:afterLines="10" w:line="360" w:lineRule="auto"/>
              <w:ind w:firstLine="57"/>
              <w:jc w:val="center"/>
              <w:rPr>
                <w:rFonts w:hint="eastAsia" w:ascii="宋体" w:hAnsi="宋体"/>
                <w:b/>
                <w:sz w:val="24"/>
                <w:szCs w:val="24"/>
              </w:rPr>
            </w:pPr>
          </w:p>
        </w:tc>
        <w:tc>
          <w:tcPr>
            <w:tcW w:w="1244" w:type="dxa"/>
          </w:tcPr>
          <w:p>
            <w:pPr>
              <w:overflowPunct w:val="0"/>
              <w:spacing w:before="24" w:beforeLines="10" w:after="24" w:afterLines="10" w:line="360" w:lineRule="auto"/>
              <w:ind w:firstLine="57"/>
              <w:jc w:val="center"/>
              <w:rPr>
                <w:rFonts w:hint="eastAsia" w:ascii="宋体" w:hAnsi="宋体"/>
                <w:b/>
                <w:sz w:val="24"/>
                <w:szCs w:val="24"/>
              </w:rPr>
            </w:pPr>
          </w:p>
        </w:tc>
        <w:tc>
          <w:tcPr>
            <w:tcW w:w="1244" w:type="dxa"/>
          </w:tcPr>
          <w:p>
            <w:pPr>
              <w:overflowPunct w:val="0"/>
              <w:spacing w:before="24" w:beforeLines="10" w:after="24" w:afterLines="10" w:line="360" w:lineRule="auto"/>
              <w:ind w:firstLine="57"/>
              <w:jc w:val="center"/>
              <w:rPr>
                <w:rFonts w:hint="eastAsia" w:ascii="宋体" w:hAnsi="宋体"/>
                <w:b/>
                <w:sz w:val="24"/>
                <w:szCs w:val="24"/>
              </w:rPr>
            </w:pPr>
          </w:p>
        </w:tc>
        <w:tc>
          <w:tcPr>
            <w:tcW w:w="1244" w:type="dxa"/>
          </w:tcPr>
          <w:p>
            <w:pPr>
              <w:overflowPunct w:val="0"/>
              <w:spacing w:before="24" w:beforeLines="10" w:after="24" w:afterLines="10" w:line="360" w:lineRule="auto"/>
              <w:ind w:firstLine="57"/>
              <w:jc w:val="center"/>
              <w:rPr>
                <w:rFonts w:hint="eastAsia" w:ascii="宋体" w:hAnsi="宋体"/>
                <w:b/>
                <w:sz w:val="24"/>
                <w:szCs w:val="24"/>
              </w:rPr>
            </w:pPr>
          </w:p>
        </w:tc>
      </w:tr>
    </w:tbl>
    <w:p>
      <w:pPr>
        <w:numPr>
          <w:ilvl w:val="255"/>
          <w:numId w:val="0"/>
        </w:numPr>
        <w:spacing w:line="360" w:lineRule="auto"/>
        <w:rPr>
          <w:sz w:val="24"/>
          <w:szCs w:val="24"/>
        </w:rPr>
      </w:pPr>
      <w:r>
        <w:rPr>
          <w:sz w:val="24"/>
          <w:szCs w:val="24"/>
        </w:rPr>
        <w:t>2.3.13</w:t>
      </w:r>
      <w:r>
        <w:rPr>
          <w:rFonts w:hint="eastAsia"/>
          <w:sz w:val="24"/>
          <w:szCs w:val="24"/>
        </w:rPr>
        <w:t>进相运行能力</w:t>
      </w:r>
    </w:p>
    <w:p>
      <w:pPr>
        <w:widowControl/>
        <w:overflowPunct w:val="0"/>
        <w:spacing w:line="360" w:lineRule="auto"/>
        <w:ind w:firstLine="480" w:firstLineChars="200"/>
        <w:jc w:val="left"/>
        <w:rPr>
          <w:sz w:val="24"/>
        </w:rPr>
      </w:pPr>
      <w:r>
        <w:rPr>
          <w:rFonts w:hint="eastAsia"/>
          <w:sz w:val="24"/>
        </w:rPr>
        <w:t>发电机应能在进相功率因数（超前）为</w:t>
      </w:r>
      <w:r>
        <w:rPr>
          <w:sz w:val="24"/>
        </w:rPr>
        <w:t>0.9</w:t>
      </w:r>
      <w:r>
        <w:rPr>
          <w:rFonts w:hint="eastAsia"/>
          <w:sz w:val="24"/>
        </w:rPr>
        <w:t>5时长期带额定有功连续运行，而不产生局部过热。发电机可在功率因数</w:t>
      </w:r>
      <w:r>
        <w:rPr>
          <w:sz w:val="24"/>
        </w:rPr>
        <w:t>0.8</w:t>
      </w:r>
      <w:r>
        <w:rPr>
          <w:rFonts w:hint="eastAsia"/>
          <w:sz w:val="24"/>
        </w:rPr>
        <w:t>滞后至</w:t>
      </w:r>
      <w:r>
        <w:rPr>
          <w:sz w:val="24"/>
        </w:rPr>
        <w:t>0.9</w:t>
      </w:r>
      <w:r>
        <w:rPr>
          <w:rFonts w:hint="eastAsia"/>
          <w:sz w:val="24"/>
        </w:rPr>
        <w:t>5超前范围的条件下运行。投标人应提供一个表格，显示在额定功率因数下，在指定电压和频率变化范围内，发电机负荷变化允许值。</w:t>
      </w:r>
    </w:p>
    <w:p>
      <w:pPr>
        <w:widowControl/>
        <w:overflowPunct w:val="0"/>
        <w:spacing w:line="360" w:lineRule="auto"/>
        <w:ind w:firstLine="480" w:firstLineChars="200"/>
        <w:jc w:val="left"/>
        <w:rPr>
          <w:sz w:val="24"/>
        </w:rPr>
      </w:pPr>
      <w:r>
        <w:rPr>
          <w:sz w:val="24"/>
          <w:szCs w:val="24"/>
        </w:rPr>
        <w:t>机组寿命期间允许启停次数不少于</w:t>
      </w:r>
      <w:r>
        <w:rPr>
          <w:sz w:val="24"/>
          <w:szCs w:val="24"/>
          <w:u w:val="single"/>
        </w:rPr>
        <w:t>10000</w:t>
      </w:r>
      <w:r>
        <w:rPr>
          <w:sz w:val="24"/>
          <w:szCs w:val="24"/>
        </w:rPr>
        <w:t>次，发电机短路比≥</w:t>
      </w:r>
      <w:r>
        <w:rPr>
          <w:color w:val="000000" w:themeColor="text1"/>
          <w:sz w:val="24"/>
          <w:szCs w:val="24"/>
          <w:u w:val="single"/>
          <w14:textFill>
            <w14:solidFill>
              <w14:schemeClr w14:val="tx1"/>
            </w14:solidFill>
          </w14:textFill>
        </w:rPr>
        <w:t>0.4</w:t>
      </w:r>
      <w:r>
        <w:rPr>
          <w:rFonts w:hint="eastAsia"/>
          <w:color w:val="000000" w:themeColor="text1"/>
          <w:sz w:val="24"/>
          <w:szCs w:val="24"/>
          <w:u w:val="single"/>
          <w14:textFill>
            <w14:solidFill>
              <w14:schemeClr w14:val="tx1"/>
            </w14:solidFill>
          </w14:textFill>
        </w:rPr>
        <w:t>8</w:t>
      </w:r>
      <w:r>
        <w:rPr>
          <w:color w:val="000000" w:themeColor="text1"/>
          <w:sz w:val="24"/>
          <w:szCs w:val="24"/>
          <w14:textFill>
            <w14:solidFill>
              <w14:schemeClr w14:val="tx1"/>
            </w14:solidFill>
          </w14:textFill>
        </w:rPr>
        <w:t>。</w:t>
      </w:r>
    </w:p>
    <w:p>
      <w:pPr>
        <w:numPr>
          <w:ilvl w:val="255"/>
          <w:numId w:val="0"/>
        </w:numPr>
        <w:spacing w:line="360" w:lineRule="auto"/>
        <w:rPr>
          <w:sz w:val="24"/>
          <w:szCs w:val="24"/>
        </w:rPr>
      </w:pPr>
      <w:r>
        <w:rPr>
          <w:rFonts w:hint="eastAsia"/>
          <w:sz w:val="24"/>
          <w:szCs w:val="24"/>
        </w:rPr>
        <w:t>2.3.14</w:t>
      </w:r>
      <w:r>
        <w:rPr>
          <w:sz w:val="24"/>
          <w:szCs w:val="24"/>
        </w:rPr>
        <w:t>失磁运行能力</w:t>
      </w:r>
    </w:p>
    <w:p>
      <w:pPr>
        <w:widowControl/>
        <w:overflowPunct w:val="0"/>
        <w:spacing w:line="360" w:lineRule="auto"/>
        <w:ind w:firstLine="480" w:firstLineChars="200"/>
        <w:jc w:val="left"/>
        <w:rPr>
          <w:sz w:val="24"/>
          <w:szCs w:val="24"/>
        </w:rPr>
      </w:pPr>
      <w:r>
        <w:rPr>
          <w:rFonts w:hint="eastAsia"/>
          <w:sz w:val="24"/>
          <w:szCs w:val="24"/>
        </w:rPr>
        <w:t>投标人应提供详细的发电机失磁时要求的减负荷曲线及允许的运行时间、负荷限值。</w:t>
      </w:r>
    </w:p>
    <w:p>
      <w:pPr>
        <w:spacing w:line="360" w:lineRule="auto"/>
        <w:rPr>
          <w:sz w:val="24"/>
          <w:szCs w:val="24"/>
        </w:rPr>
      </w:pPr>
      <w:r>
        <w:rPr>
          <w:rFonts w:hint="eastAsia"/>
          <w:sz w:val="24"/>
        </w:rPr>
        <w:t>2.3.15</w:t>
      </w:r>
      <w:r>
        <w:rPr>
          <w:sz w:val="24"/>
          <w:szCs w:val="24"/>
        </w:rPr>
        <w:t>负荷变化率</w:t>
      </w:r>
    </w:p>
    <w:p>
      <w:pPr>
        <w:widowControl/>
        <w:overflowPunct w:val="0"/>
        <w:spacing w:line="360" w:lineRule="auto"/>
        <w:ind w:firstLine="480" w:firstLineChars="200"/>
        <w:jc w:val="left"/>
        <w:rPr>
          <w:sz w:val="24"/>
          <w:szCs w:val="24"/>
        </w:rPr>
      </w:pPr>
      <w:r>
        <w:rPr>
          <w:sz w:val="24"/>
          <w:szCs w:val="24"/>
        </w:rPr>
        <w:t>发电机的负荷变化率能满足汽轮机滑压（</w:t>
      </w:r>
      <w:r>
        <w:rPr>
          <w:rFonts w:asciiTheme="majorEastAsia" w:hAnsiTheme="majorEastAsia" w:eastAsiaTheme="majorEastAsia"/>
          <w:sz w:val="24"/>
          <w:szCs w:val="24"/>
        </w:rPr>
        <w:t>‘定——滑’或‘定——滑——定’</w:t>
      </w:r>
      <w:r>
        <w:rPr>
          <w:sz w:val="24"/>
          <w:szCs w:val="24"/>
        </w:rPr>
        <w:t>）运行的要求。</w:t>
      </w:r>
    </w:p>
    <w:p>
      <w:pPr>
        <w:widowControl/>
        <w:overflowPunct w:val="0"/>
        <w:spacing w:line="360" w:lineRule="auto"/>
        <w:jc w:val="left"/>
        <w:rPr>
          <w:sz w:val="24"/>
        </w:rPr>
      </w:pPr>
      <w:r>
        <w:rPr>
          <w:sz w:val="24"/>
        </w:rPr>
        <w:t>2.3.16</w:t>
      </w:r>
      <w:r>
        <w:rPr>
          <w:rFonts w:hint="eastAsia"/>
          <w:sz w:val="24"/>
        </w:rPr>
        <w:t>当汽轮机主汽门关闭时，发电机在正常励磁工况下，允许以同步电动机运行的时间不小于3分钟。</w:t>
      </w:r>
    </w:p>
    <w:p>
      <w:pPr>
        <w:widowControl/>
        <w:overflowPunct w:val="0"/>
        <w:spacing w:line="360" w:lineRule="auto"/>
        <w:jc w:val="left"/>
        <w:rPr>
          <w:sz w:val="24"/>
        </w:rPr>
      </w:pPr>
      <w:r>
        <w:rPr>
          <w:sz w:val="24"/>
        </w:rPr>
        <w:t>2.3.17</w:t>
      </w:r>
      <w:r>
        <w:rPr>
          <w:rFonts w:hint="eastAsia"/>
          <w:sz w:val="24"/>
        </w:rPr>
        <w:t>发电机中性点不接地，</w:t>
      </w:r>
      <w:r>
        <w:rPr>
          <w:rFonts w:hint="eastAsia" w:ascii="宋体" w:hAnsi="宋体"/>
          <w:sz w:val="24"/>
          <w:szCs w:val="24"/>
        </w:rPr>
        <w:t>中性点绝缘应按额定电压设计</w:t>
      </w:r>
      <w:r>
        <w:rPr>
          <w:rFonts w:hint="eastAsia"/>
          <w:sz w:val="24"/>
        </w:rPr>
        <w:t>。</w:t>
      </w:r>
    </w:p>
    <w:p>
      <w:pPr>
        <w:widowControl/>
        <w:overflowPunct w:val="0"/>
        <w:spacing w:line="360" w:lineRule="auto"/>
        <w:jc w:val="left"/>
        <w:rPr>
          <w:sz w:val="24"/>
        </w:rPr>
      </w:pPr>
      <w:r>
        <w:rPr>
          <w:sz w:val="24"/>
        </w:rPr>
        <w:t>2.3.18</w:t>
      </w:r>
      <w:r>
        <w:rPr>
          <w:rFonts w:hint="eastAsia"/>
          <w:sz w:val="24"/>
        </w:rPr>
        <w:t>发电机的绝缘水平应按照本工程海拔高度进行修正。定子出线端对地绝缘按发电机额定电压设计，应与发电机具有相同的绝缘水平及良好的密封性能。</w:t>
      </w:r>
    </w:p>
    <w:p>
      <w:pPr>
        <w:widowControl/>
        <w:overflowPunct w:val="0"/>
        <w:spacing w:line="360" w:lineRule="auto"/>
        <w:jc w:val="left"/>
        <w:rPr>
          <w:color w:val="FF0000"/>
          <w:sz w:val="24"/>
        </w:rPr>
      </w:pPr>
      <w:r>
        <w:rPr>
          <w:sz w:val="24"/>
        </w:rPr>
        <w:t>2.3.19</w:t>
      </w:r>
      <w:r>
        <w:rPr>
          <w:rFonts w:hint="eastAsia"/>
          <w:sz w:val="24"/>
        </w:rPr>
        <w:t>空气冷却器应为高效冷却器，单边承受压力不小于</w:t>
      </w:r>
      <w:r>
        <w:rPr>
          <w:sz w:val="24"/>
        </w:rPr>
        <w:t>1.0MPa</w:t>
      </w:r>
      <w:r>
        <w:rPr>
          <w:rFonts w:hint="eastAsia"/>
          <w:sz w:val="24"/>
        </w:rPr>
        <w:t>，实验水压不小于工作水压的</w:t>
      </w:r>
      <w:r>
        <w:rPr>
          <w:sz w:val="24"/>
        </w:rPr>
        <w:t>1.5</w:t>
      </w:r>
      <w:r>
        <w:rPr>
          <w:rFonts w:hint="eastAsia"/>
          <w:sz w:val="24"/>
        </w:rPr>
        <w:t>倍，历时</w:t>
      </w:r>
      <w:r>
        <w:rPr>
          <w:sz w:val="24"/>
        </w:rPr>
        <w:t>15</w:t>
      </w:r>
      <w:r>
        <w:rPr>
          <w:rFonts w:hint="eastAsia"/>
          <w:sz w:val="24"/>
        </w:rPr>
        <w:t>分钟。空气冷却器的设计，应有25%的余量，保证在有一组冷却器因故停用时，发电机仍能承担100%额定功率连续运行，而不超过</w:t>
      </w:r>
      <w:r>
        <w:rPr>
          <w:sz w:val="24"/>
        </w:rPr>
        <w:t>IEC60034</w:t>
      </w:r>
      <w:r>
        <w:rPr>
          <w:rFonts w:hint="eastAsia"/>
          <w:sz w:val="24"/>
        </w:rPr>
        <w:t>中规定的允许温升。冷却器应采用风阻小，换热效率高的产品；材质应选用304不锈钢。</w:t>
      </w:r>
    </w:p>
    <w:p>
      <w:pPr>
        <w:widowControl/>
        <w:overflowPunct w:val="0"/>
        <w:spacing w:line="360" w:lineRule="auto"/>
        <w:jc w:val="left"/>
        <w:rPr>
          <w:sz w:val="24"/>
        </w:rPr>
      </w:pPr>
      <w:r>
        <w:rPr>
          <w:sz w:val="24"/>
        </w:rPr>
        <w:t>2.3.20</w:t>
      </w:r>
      <w:r>
        <w:rPr>
          <w:rFonts w:hint="eastAsia"/>
          <w:sz w:val="24"/>
        </w:rPr>
        <w:t>发电机的热量应由冷却器排出。冷却器的水取之于闭式冷却水系统，冷却器应符合封闭冷却水系统下冷却器的相关要求。根据冷却水、冷却器系统所处的位置提供漏水检测装置及附件，冷却水、冷却器系统的设计应能防止冷却水进入发电机。</w:t>
      </w:r>
    </w:p>
    <w:p>
      <w:pPr>
        <w:widowControl/>
        <w:overflowPunct w:val="0"/>
        <w:spacing w:line="360" w:lineRule="auto"/>
        <w:jc w:val="left"/>
        <w:rPr>
          <w:sz w:val="24"/>
        </w:rPr>
      </w:pPr>
      <w:r>
        <w:rPr>
          <w:sz w:val="24"/>
        </w:rPr>
        <w:t>2.3.21</w:t>
      </w:r>
      <w:r>
        <w:rPr>
          <w:rFonts w:hint="eastAsia"/>
          <w:sz w:val="24"/>
        </w:rPr>
        <w:t>发电机应能承受在额定负荷和</w:t>
      </w:r>
      <w:r>
        <w:rPr>
          <w:sz w:val="24"/>
        </w:rPr>
        <w:t>105%</w:t>
      </w:r>
      <w:r>
        <w:rPr>
          <w:rFonts w:hint="eastAsia"/>
          <w:sz w:val="24"/>
        </w:rPr>
        <w:t>额定电压下定子绕组出口任何形式的突然短路，系统振荡、高压线路单相重合闸以及误并列等产生的冲击力，而不造成绕组或轴系有害变形或其他机械损伤，也不使发电机的使用寿命缩短。</w:t>
      </w:r>
    </w:p>
    <w:p>
      <w:pPr>
        <w:widowControl/>
        <w:overflowPunct w:val="0"/>
        <w:spacing w:line="360" w:lineRule="auto"/>
        <w:jc w:val="left"/>
        <w:rPr>
          <w:sz w:val="24"/>
        </w:rPr>
      </w:pPr>
      <w:r>
        <w:rPr>
          <w:sz w:val="24"/>
        </w:rPr>
        <w:t>2.3.22</w:t>
      </w:r>
      <w:r>
        <w:rPr>
          <w:rFonts w:hint="eastAsia"/>
          <w:sz w:val="24"/>
        </w:rPr>
        <w:t>发电机在空载额定电压和额定转速时，线电压波形正弦畸变率应不超过</w:t>
      </w:r>
      <w:r>
        <w:rPr>
          <w:sz w:val="24"/>
        </w:rPr>
        <w:t>5%</w:t>
      </w:r>
      <w:r>
        <w:rPr>
          <w:rFonts w:hint="eastAsia"/>
          <w:sz w:val="24"/>
        </w:rPr>
        <w:t>。</w:t>
      </w:r>
    </w:p>
    <w:p>
      <w:pPr>
        <w:widowControl/>
        <w:overflowPunct w:val="0"/>
        <w:spacing w:line="360" w:lineRule="auto"/>
        <w:jc w:val="left"/>
        <w:rPr>
          <w:sz w:val="24"/>
        </w:rPr>
      </w:pPr>
      <w:r>
        <w:rPr>
          <w:sz w:val="24"/>
        </w:rPr>
        <w:t>2.3.23</w:t>
      </w:r>
      <w:r>
        <w:rPr>
          <w:rFonts w:hint="eastAsia"/>
          <w:sz w:val="24"/>
        </w:rPr>
        <w:t>发电机在空载额定电压和额定转速时其线电压的电话谐波因数应不超过</w:t>
      </w:r>
      <w:r>
        <w:rPr>
          <w:sz w:val="24"/>
        </w:rPr>
        <w:t>1.5%</w:t>
      </w:r>
      <w:r>
        <w:rPr>
          <w:rFonts w:hint="eastAsia"/>
          <w:sz w:val="24"/>
        </w:rPr>
        <w:t>。</w:t>
      </w:r>
    </w:p>
    <w:p>
      <w:pPr>
        <w:widowControl/>
        <w:overflowPunct w:val="0"/>
        <w:spacing w:line="360" w:lineRule="auto"/>
        <w:jc w:val="left"/>
        <w:rPr>
          <w:sz w:val="24"/>
        </w:rPr>
      </w:pPr>
      <w:r>
        <w:rPr>
          <w:sz w:val="24"/>
        </w:rPr>
        <w:t>2.3. 24</w:t>
      </w:r>
      <w:r>
        <w:rPr>
          <w:rFonts w:hint="eastAsia"/>
          <w:sz w:val="24"/>
        </w:rPr>
        <w:t>发电机在系统出现故障后，应允许输电线路三相快速自动重合闸和单相重合闸。</w:t>
      </w:r>
    </w:p>
    <w:p>
      <w:pPr>
        <w:widowControl/>
        <w:overflowPunct w:val="0"/>
        <w:spacing w:line="360" w:lineRule="auto"/>
        <w:jc w:val="left"/>
        <w:rPr>
          <w:sz w:val="24"/>
        </w:rPr>
      </w:pPr>
      <w:r>
        <w:rPr>
          <w:sz w:val="24"/>
        </w:rPr>
        <w:t>2.3.25</w:t>
      </w:r>
      <w:r>
        <w:rPr>
          <w:rFonts w:hint="eastAsia"/>
          <w:sz w:val="24"/>
        </w:rPr>
        <w:t>发电机转子能够承受在额定负荷及额定电压条件下，保护装置正确动作后突然作用于发电机端子的两相短路电流而不造成损坏。</w:t>
      </w:r>
    </w:p>
    <w:p>
      <w:pPr>
        <w:widowControl/>
        <w:overflowPunct w:val="0"/>
        <w:spacing w:line="360" w:lineRule="auto"/>
        <w:jc w:val="left"/>
        <w:rPr>
          <w:sz w:val="24"/>
        </w:rPr>
      </w:pPr>
      <w:r>
        <w:rPr>
          <w:sz w:val="24"/>
        </w:rPr>
        <w:t>2.3.26</w:t>
      </w:r>
      <w:r>
        <w:rPr>
          <w:rFonts w:hint="eastAsia"/>
          <w:sz w:val="24"/>
        </w:rPr>
        <w:t>投标人应给出在最严重情况下传给基础的最大转矩，以及短路、失步、同期故障及重合闸时能承受的最大转矩和对发电机转子寿命的影响。</w:t>
      </w:r>
    </w:p>
    <w:p>
      <w:pPr>
        <w:widowControl/>
        <w:overflowPunct w:val="0"/>
        <w:spacing w:line="360" w:lineRule="auto"/>
        <w:jc w:val="left"/>
        <w:rPr>
          <w:rFonts w:hint="eastAsia" w:hAnsi="宋体"/>
        </w:rPr>
      </w:pPr>
      <w:r>
        <w:rPr>
          <w:sz w:val="24"/>
        </w:rPr>
        <w:t>2.3.27</w:t>
      </w:r>
      <w:r>
        <w:rPr>
          <w:rFonts w:hint="eastAsia"/>
          <w:sz w:val="24"/>
        </w:rPr>
        <w:t>制造厂在</w:t>
      </w:r>
      <w:r>
        <w:rPr>
          <w:sz w:val="24"/>
        </w:rPr>
        <w:t>T-G</w:t>
      </w:r>
      <w:r>
        <w:rPr>
          <w:rFonts w:hint="eastAsia"/>
          <w:sz w:val="24"/>
        </w:rPr>
        <w:t>轴系设计时，应考虑电网的电气故障对轴系的影响，提交轴系扭振固有频率、疲劳寿命分析及以下数据：</w:t>
      </w:r>
    </w:p>
    <w:p>
      <w:pPr>
        <w:widowControl/>
        <w:numPr>
          <w:ilvl w:val="0"/>
          <w:numId w:val="10"/>
        </w:numPr>
        <w:overflowPunct w:val="0"/>
        <w:spacing w:line="360" w:lineRule="auto"/>
        <w:ind w:left="0" w:firstLine="0"/>
        <w:jc w:val="left"/>
        <w:rPr>
          <w:sz w:val="24"/>
        </w:rPr>
      </w:pPr>
      <w:r>
        <w:rPr>
          <w:rFonts w:hint="eastAsia"/>
          <w:sz w:val="24"/>
        </w:rPr>
        <w:t>发生单相接地故障的切除与重合时，按最严重情况考虑，</w:t>
      </w:r>
      <w:r>
        <w:rPr>
          <w:sz w:val="24"/>
        </w:rPr>
        <w:t>T-G</w:t>
      </w:r>
      <w:r>
        <w:rPr>
          <w:rFonts w:hint="eastAsia"/>
          <w:sz w:val="24"/>
        </w:rPr>
        <w:t>轴的寿命损耗累计应低于</w:t>
      </w:r>
      <w:r>
        <w:rPr>
          <w:sz w:val="24"/>
        </w:rPr>
        <w:t>0.1%</w:t>
      </w:r>
      <w:r>
        <w:rPr>
          <w:rFonts w:hint="eastAsia"/>
          <w:sz w:val="24"/>
        </w:rPr>
        <w:t>，投标人保证值为</w:t>
      </w:r>
      <w:r>
        <w:rPr>
          <w:sz w:val="24"/>
        </w:rPr>
        <w:t>________</w:t>
      </w:r>
      <w:r>
        <w:rPr>
          <w:rFonts w:hint="eastAsia"/>
          <w:sz w:val="24"/>
        </w:rPr>
        <w:t>。在发生两相故障的切除与重合时，对</w:t>
      </w:r>
      <w:r>
        <w:rPr>
          <w:sz w:val="24"/>
        </w:rPr>
        <w:t>T-G</w:t>
      </w:r>
      <w:r>
        <w:rPr>
          <w:rFonts w:hint="eastAsia"/>
          <w:sz w:val="24"/>
        </w:rPr>
        <w:t>轴的寿命损耗最大为</w:t>
      </w:r>
      <w:r>
        <w:rPr>
          <w:sz w:val="24"/>
        </w:rPr>
        <w:t>_______</w:t>
      </w:r>
      <w:r>
        <w:rPr>
          <w:rFonts w:hint="eastAsia"/>
          <w:sz w:val="24"/>
        </w:rPr>
        <w:t>。</w:t>
      </w:r>
    </w:p>
    <w:p>
      <w:pPr>
        <w:widowControl/>
        <w:numPr>
          <w:ilvl w:val="0"/>
          <w:numId w:val="10"/>
        </w:numPr>
        <w:overflowPunct w:val="0"/>
        <w:spacing w:line="360" w:lineRule="auto"/>
        <w:ind w:left="0" w:firstLine="0"/>
        <w:jc w:val="left"/>
        <w:rPr>
          <w:sz w:val="24"/>
        </w:rPr>
      </w:pPr>
      <w:r>
        <w:rPr>
          <w:rFonts w:hint="eastAsia"/>
          <w:sz w:val="24"/>
        </w:rPr>
        <w:t>机组短路（一次）；</w:t>
      </w:r>
      <w:r>
        <w:rPr>
          <w:sz w:val="24"/>
        </w:rPr>
        <w:t>120°</w:t>
      </w:r>
      <w:r>
        <w:rPr>
          <w:rFonts w:hint="eastAsia"/>
          <w:sz w:val="24"/>
        </w:rPr>
        <w:t>并列（一次）；在一般快速（</w:t>
      </w:r>
      <w:r>
        <w:rPr>
          <w:sz w:val="24"/>
        </w:rPr>
        <w:t>&lt;150ms</w:t>
      </w:r>
      <w:r>
        <w:rPr>
          <w:rFonts w:hint="eastAsia"/>
          <w:sz w:val="24"/>
        </w:rPr>
        <w:t>）切除故障时间内，切除近处三相短路（三次）；慢速（</w:t>
      </w:r>
      <w:r>
        <w:rPr>
          <w:sz w:val="24"/>
        </w:rPr>
        <w:t>&gt;150ms</w:t>
      </w:r>
      <w:r>
        <w:rPr>
          <w:rFonts w:hint="eastAsia"/>
          <w:sz w:val="24"/>
        </w:rPr>
        <w:t>）切除近处三相短路，两侧电势已摆开（一次）。以上故障合并考虑，总的寿命损耗不大于</w:t>
      </w:r>
      <w:r>
        <w:rPr>
          <w:sz w:val="24"/>
        </w:rPr>
        <w:t>30%</w:t>
      </w:r>
      <w:r>
        <w:rPr>
          <w:rFonts w:hint="eastAsia"/>
          <w:sz w:val="24"/>
        </w:rPr>
        <w:t>，制造厂保证值为</w:t>
      </w:r>
      <w:r>
        <w:rPr>
          <w:sz w:val="24"/>
        </w:rPr>
        <w:t>______</w:t>
      </w:r>
      <w:r>
        <w:rPr>
          <w:rFonts w:hint="eastAsia"/>
          <w:sz w:val="24"/>
        </w:rPr>
        <w:t>。</w:t>
      </w:r>
    </w:p>
    <w:p>
      <w:pPr>
        <w:widowControl/>
        <w:numPr>
          <w:ilvl w:val="0"/>
          <w:numId w:val="10"/>
        </w:numPr>
        <w:overflowPunct w:val="0"/>
        <w:spacing w:line="360" w:lineRule="auto"/>
        <w:ind w:left="0" w:firstLine="0"/>
        <w:jc w:val="left"/>
        <w:rPr>
          <w:sz w:val="24"/>
        </w:rPr>
      </w:pPr>
      <w:r>
        <w:rPr>
          <w:rFonts w:hint="eastAsia"/>
          <w:sz w:val="24"/>
        </w:rPr>
        <w:t>投标人需提供以下扰动下，轴系的疲劳损耗值：发电机出口三相或两相短路，疲劳损耗最大值</w:t>
      </w:r>
      <w:r>
        <w:rPr>
          <w:sz w:val="24"/>
        </w:rPr>
        <w:t>____</w:t>
      </w:r>
      <w:r>
        <w:rPr>
          <w:rFonts w:hint="eastAsia"/>
          <w:sz w:val="24"/>
        </w:rPr>
        <w:t>。</w:t>
      </w:r>
      <w:r>
        <w:rPr>
          <w:sz w:val="24"/>
        </w:rPr>
        <w:t>90°</w:t>
      </w:r>
      <w:r>
        <w:rPr>
          <w:rFonts w:hint="eastAsia"/>
          <w:sz w:val="24"/>
        </w:rPr>
        <w:t>～</w:t>
      </w:r>
      <w:r>
        <w:rPr>
          <w:sz w:val="24"/>
        </w:rPr>
        <w:t>120°</w:t>
      </w:r>
      <w:r>
        <w:rPr>
          <w:rFonts w:hint="eastAsia"/>
          <w:sz w:val="24"/>
        </w:rPr>
        <w:t>误并列，疲劳损耗最大值</w:t>
      </w:r>
      <w:r>
        <w:rPr>
          <w:sz w:val="24"/>
        </w:rPr>
        <w:t>_____</w:t>
      </w:r>
      <w:r>
        <w:rPr>
          <w:rFonts w:hint="eastAsia"/>
          <w:sz w:val="24"/>
        </w:rPr>
        <w:t>。近处短路及切除，切除时间小于</w:t>
      </w:r>
      <w:r>
        <w:rPr>
          <w:sz w:val="24"/>
        </w:rPr>
        <w:t>150ms</w:t>
      </w:r>
      <w:r>
        <w:rPr>
          <w:rFonts w:hint="eastAsia"/>
          <w:sz w:val="24"/>
        </w:rPr>
        <w:t>时，疲劳损耗</w:t>
      </w:r>
      <w:r>
        <w:rPr>
          <w:sz w:val="24"/>
        </w:rPr>
        <w:t>____</w:t>
      </w:r>
      <w:r>
        <w:rPr>
          <w:rFonts w:hint="eastAsia"/>
          <w:sz w:val="24"/>
        </w:rPr>
        <w:t>；切除时间大于</w:t>
      </w:r>
      <w:r>
        <w:rPr>
          <w:sz w:val="24"/>
        </w:rPr>
        <w:t>150ms</w:t>
      </w:r>
      <w:r>
        <w:rPr>
          <w:rFonts w:hint="eastAsia"/>
          <w:sz w:val="24"/>
        </w:rPr>
        <w:t>，疲劳损耗</w:t>
      </w:r>
      <w:r>
        <w:rPr>
          <w:sz w:val="24"/>
        </w:rPr>
        <w:t>_____</w:t>
      </w:r>
      <w:r>
        <w:rPr>
          <w:rFonts w:hint="eastAsia"/>
          <w:sz w:val="24"/>
        </w:rPr>
        <w:t>。</w:t>
      </w:r>
    </w:p>
    <w:p>
      <w:pPr>
        <w:widowControl/>
        <w:overflowPunct w:val="0"/>
        <w:spacing w:line="360" w:lineRule="auto"/>
        <w:jc w:val="left"/>
        <w:rPr>
          <w:sz w:val="24"/>
        </w:rPr>
      </w:pPr>
      <w:r>
        <w:rPr>
          <w:sz w:val="24"/>
        </w:rPr>
        <w:t>2.3.28</w:t>
      </w:r>
      <w:r>
        <w:rPr>
          <w:rFonts w:hint="eastAsia"/>
          <w:sz w:val="24"/>
        </w:rPr>
        <w:t>发电机应能在输出送电线路故障等紧急情况下可以独立带厂用电运行，并且在电网系统稳态、暂态和负荷变化的情况下，能给厂用电提供稳定且无震荡的电源。</w:t>
      </w:r>
    </w:p>
    <w:p>
      <w:pPr>
        <w:widowControl/>
        <w:overflowPunct w:val="0"/>
        <w:spacing w:line="360" w:lineRule="auto"/>
        <w:jc w:val="left"/>
        <w:rPr>
          <w:sz w:val="24"/>
        </w:rPr>
      </w:pPr>
      <w:r>
        <w:rPr>
          <w:sz w:val="24"/>
        </w:rPr>
        <w:t>2.3.</w:t>
      </w:r>
      <w:r>
        <w:rPr>
          <w:rFonts w:hint="eastAsia"/>
          <w:sz w:val="24"/>
        </w:rPr>
        <w:t>29发电机及其辅助系统应能承受电厂附件大型电弧炉之类负载所引起的系统谐波电流的影响，此种影响应不会对发电机系统造成损坏，并不会明显降低发电机使用寿命。</w:t>
      </w:r>
    </w:p>
    <w:p>
      <w:pPr>
        <w:widowControl/>
        <w:overflowPunct w:val="0"/>
        <w:spacing w:line="360" w:lineRule="auto"/>
        <w:jc w:val="left"/>
        <w:rPr>
          <w:sz w:val="24"/>
        </w:rPr>
      </w:pPr>
      <w:r>
        <w:rPr>
          <w:rFonts w:hint="eastAsia"/>
          <w:sz w:val="24"/>
        </w:rPr>
        <w:t>2.3.30设计结构要求</w:t>
      </w:r>
    </w:p>
    <w:p>
      <w:pPr>
        <w:widowControl/>
        <w:overflowPunct w:val="0"/>
        <w:spacing w:line="360" w:lineRule="auto"/>
        <w:jc w:val="left"/>
        <w:rPr>
          <w:sz w:val="24"/>
        </w:rPr>
      </w:pPr>
      <w:r>
        <w:rPr>
          <w:rFonts w:hint="eastAsia"/>
          <w:sz w:val="24"/>
        </w:rPr>
        <w:t>2.3.30.1定子绕组、转子绕组、定子铁芯的绝缘均采用F级绝缘，按B级绝缘的温升考核。</w:t>
      </w:r>
    </w:p>
    <w:p>
      <w:pPr>
        <w:widowControl/>
        <w:overflowPunct w:val="0"/>
        <w:spacing w:line="360" w:lineRule="auto"/>
        <w:jc w:val="left"/>
        <w:rPr>
          <w:sz w:val="24"/>
        </w:rPr>
      </w:pPr>
      <w:r>
        <w:rPr>
          <w:rFonts w:hint="eastAsia"/>
          <w:sz w:val="24"/>
        </w:rPr>
        <w:t>2.3.30.2发电机定子铜线采用无氧铜。</w:t>
      </w:r>
    </w:p>
    <w:p>
      <w:pPr>
        <w:widowControl/>
        <w:overflowPunct w:val="0"/>
        <w:spacing w:line="360" w:lineRule="auto"/>
        <w:jc w:val="left"/>
        <w:rPr>
          <w:sz w:val="24"/>
        </w:rPr>
      </w:pPr>
      <w:r>
        <w:rPr>
          <w:sz w:val="24"/>
        </w:rPr>
        <w:t>2.3.3</w:t>
      </w:r>
      <w:r>
        <w:rPr>
          <w:rFonts w:hint="eastAsia"/>
          <w:sz w:val="24"/>
        </w:rPr>
        <w:t>0</w:t>
      </w:r>
      <w:r>
        <w:rPr>
          <w:sz w:val="24"/>
        </w:rPr>
        <w:t>.3</w:t>
      </w:r>
      <w:r>
        <w:rPr>
          <w:rFonts w:hint="eastAsia"/>
          <w:sz w:val="24"/>
        </w:rPr>
        <w:t>发电机定子机壳、端盖、端罩应有足够的强度和刚度，避免产生共振。</w:t>
      </w:r>
    </w:p>
    <w:p>
      <w:pPr>
        <w:widowControl/>
        <w:overflowPunct w:val="0"/>
        <w:spacing w:line="360" w:lineRule="auto"/>
        <w:jc w:val="left"/>
        <w:rPr>
          <w:sz w:val="24"/>
        </w:rPr>
      </w:pPr>
      <w:r>
        <w:rPr>
          <w:sz w:val="24"/>
        </w:rPr>
        <w:t>2.3.3</w:t>
      </w:r>
      <w:r>
        <w:rPr>
          <w:rFonts w:hint="eastAsia"/>
          <w:sz w:val="24"/>
        </w:rPr>
        <w:t>0</w:t>
      </w:r>
      <w:r>
        <w:rPr>
          <w:sz w:val="24"/>
        </w:rPr>
        <w:t>.4</w:t>
      </w:r>
      <w:r>
        <w:rPr>
          <w:rFonts w:hint="eastAsia"/>
          <w:sz w:val="24"/>
        </w:rPr>
        <w:t>发电机机壳、端盖、端罩出线套管的接合面应具有良好的光洁度和平整度，满足</w:t>
      </w:r>
      <w:r>
        <w:rPr>
          <w:sz w:val="24"/>
        </w:rPr>
        <w:t>IEC</w:t>
      </w:r>
      <w:r>
        <w:rPr>
          <w:rFonts w:hint="eastAsia"/>
          <w:sz w:val="24"/>
        </w:rPr>
        <w:t>标准要求。</w:t>
      </w:r>
    </w:p>
    <w:p>
      <w:pPr>
        <w:widowControl/>
        <w:overflowPunct w:val="0"/>
        <w:spacing w:line="360" w:lineRule="auto"/>
        <w:jc w:val="left"/>
        <w:rPr>
          <w:sz w:val="24"/>
        </w:rPr>
      </w:pPr>
      <w:r>
        <w:rPr>
          <w:sz w:val="24"/>
        </w:rPr>
        <w:t>2.3.3</w:t>
      </w:r>
      <w:r>
        <w:rPr>
          <w:rFonts w:hint="eastAsia"/>
          <w:sz w:val="24"/>
        </w:rPr>
        <w:t>0</w:t>
      </w:r>
      <w:r>
        <w:rPr>
          <w:sz w:val="24"/>
        </w:rPr>
        <w:t>.5</w:t>
      </w:r>
      <w:r>
        <w:rPr>
          <w:rFonts w:hint="eastAsia"/>
          <w:sz w:val="24"/>
        </w:rPr>
        <w:t>定子线棒槽内固定及绕组端部绑扎工艺要牢靠，端部应采取适应调峰运行的技术措施，自振频率要避开基频和倍频。定子铁芯端部所有固定和锁定结构件如压指、压圈等应采用非磁性材料，并采取有效的屏蔽措施，避免产生局部过热。定子机壳与铁芯之间应有弹性连接的隔震措施。投标人应明确阐述生产铁芯过程中为满足工艺和压力要求而制定的预防措施，并列出定子外壳中的所有磁性部件。</w:t>
      </w:r>
    </w:p>
    <w:p>
      <w:pPr>
        <w:widowControl/>
        <w:overflowPunct w:val="0"/>
        <w:spacing w:line="360" w:lineRule="auto"/>
        <w:jc w:val="left"/>
        <w:rPr>
          <w:sz w:val="24"/>
        </w:rPr>
      </w:pPr>
      <w:r>
        <w:rPr>
          <w:rFonts w:hint="eastAsia"/>
          <w:sz w:val="24"/>
        </w:rPr>
        <w:t>2.3.30.6应在发电机外壳上至少设置两个接地点。</w:t>
      </w:r>
    </w:p>
    <w:p>
      <w:pPr>
        <w:widowControl/>
        <w:overflowPunct w:val="0"/>
        <w:spacing w:line="360" w:lineRule="auto"/>
        <w:jc w:val="left"/>
        <w:rPr>
          <w:sz w:val="24"/>
        </w:rPr>
      </w:pPr>
      <w:r>
        <w:rPr>
          <w:rFonts w:hint="eastAsia"/>
          <w:sz w:val="24"/>
        </w:rPr>
        <w:t>2.3.30.7定子设计时应防止正常运行条件下避免线圈在槽内和绕组端部移动。还应能够消除槽部放电，并确保能保持槽楔密封性和线圈上的径向压力满足要求。端部绕组结构使用一段时间后，应允许重复紧固端部绕组的箝位。</w:t>
      </w:r>
      <w:r>
        <w:rPr>
          <w:sz w:val="24"/>
        </w:rPr>
        <w:t>投标人</w:t>
      </w:r>
      <w:r>
        <w:rPr>
          <w:rFonts w:hint="eastAsia"/>
          <w:sz w:val="24"/>
        </w:rPr>
        <w:t>应说明重复紧固要求，或提供免维护设计说明。</w:t>
      </w:r>
    </w:p>
    <w:p>
      <w:pPr>
        <w:widowControl/>
        <w:overflowPunct w:val="0"/>
        <w:spacing w:line="360" w:lineRule="auto"/>
        <w:jc w:val="left"/>
        <w:rPr>
          <w:sz w:val="24"/>
        </w:rPr>
      </w:pPr>
      <w:r>
        <w:rPr>
          <w:rFonts w:hint="eastAsia"/>
          <w:sz w:val="24"/>
        </w:rPr>
        <w:t>2.3.30.8设计过程中应满足两次大修之间无需重复紧固。投标人应提供实现此目标的所有方法的说明。维护保养手册中应提供该项工作的详细说明及重复紧固周期，并应保证此措施必需的所有设备无偿提供。</w:t>
      </w:r>
    </w:p>
    <w:p>
      <w:pPr>
        <w:widowControl/>
        <w:overflowPunct w:val="0"/>
        <w:spacing w:line="360" w:lineRule="auto"/>
        <w:jc w:val="left"/>
        <w:rPr>
          <w:sz w:val="24"/>
        </w:rPr>
      </w:pPr>
      <w:r>
        <w:rPr>
          <w:rFonts w:hint="eastAsia"/>
          <w:sz w:val="24"/>
        </w:rPr>
        <w:t>2.3.30.9发电机定子各部位的测温元件应采取严格的埋设工艺措施，保证完整无损，每个测温元件的每个头应单独引出。</w:t>
      </w:r>
    </w:p>
    <w:p>
      <w:pPr>
        <w:widowControl/>
        <w:overflowPunct w:val="0"/>
        <w:spacing w:line="360" w:lineRule="auto"/>
        <w:jc w:val="left"/>
        <w:rPr>
          <w:sz w:val="24"/>
        </w:rPr>
      </w:pPr>
      <w:r>
        <w:rPr>
          <w:rFonts w:hint="eastAsia"/>
          <w:sz w:val="24"/>
        </w:rPr>
        <w:t>2.3.30.10发电机定子绕组出线应与母排相匹配。</w:t>
      </w:r>
    </w:p>
    <w:p>
      <w:pPr>
        <w:spacing w:line="360" w:lineRule="auto"/>
        <w:ind w:left="720" w:hanging="720"/>
        <w:rPr>
          <w:sz w:val="24"/>
        </w:rPr>
      </w:pPr>
      <w:r>
        <w:rPr>
          <w:rFonts w:hint="eastAsia"/>
          <w:sz w:val="24"/>
        </w:rPr>
        <w:t>2.3.30.11发电机励端的轴承座与底板及油管间应加装便于在运行中测量绝缘电阻的双</w:t>
      </w:r>
    </w:p>
    <w:p>
      <w:pPr>
        <w:spacing w:line="360" w:lineRule="auto"/>
        <w:ind w:left="720" w:hanging="720"/>
        <w:rPr>
          <w:sz w:val="24"/>
        </w:rPr>
      </w:pPr>
      <w:r>
        <w:rPr>
          <w:rFonts w:hint="eastAsia"/>
          <w:sz w:val="24"/>
        </w:rPr>
        <w:t>层绝缘垫。</w:t>
      </w:r>
    </w:p>
    <w:p>
      <w:pPr>
        <w:widowControl/>
        <w:overflowPunct w:val="0"/>
        <w:spacing w:line="360" w:lineRule="auto"/>
        <w:jc w:val="left"/>
        <w:rPr>
          <w:sz w:val="24"/>
        </w:rPr>
      </w:pPr>
      <w:r>
        <w:rPr>
          <w:rFonts w:hint="eastAsia"/>
          <w:sz w:val="24"/>
        </w:rPr>
        <w:t>2.3.30.12电机每一轴段的自然扭振频率应处于</w:t>
      </w:r>
      <w:r>
        <w:rPr>
          <w:sz w:val="24"/>
        </w:rPr>
        <w:t>0.9</w:t>
      </w:r>
      <w:r>
        <w:rPr>
          <w:rFonts w:hint="eastAsia"/>
          <w:sz w:val="24"/>
        </w:rPr>
        <w:t>至</w:t>
      </w:r>
      <w:r>
        <w:rPr>
          <w:sz w:val="24"/>
        </w:rPr>
        <w:t>1.</w:t>
      </w:r>
      <w:r>
        <w:rPr>
          <w:rFonts w:hint="eastAsia"/>
          <w:sz w:val="24"/>
        </w:rPr>
        <w:t>2及</w:t>
      </w:r>
      <w:r>
        <w:rPr>
          <w:sz w:val="24"/>
        </w:rPr>
        <w:t>1.</w:t>
      </w:r>
      <w:r>
        <w:rPr>
          <w:rFonts w:hint="eastAsia"/>
          <w:sz w:val="24"/>
        </w:rPr>
        <w:t>9至</w:t>
      </w:r>
      <w:r>
        <w:rPr>
          <w:sz w:val="24"/>
        </w:rPr>
        <w:t>2.</w:t>
      </w:r>
      <w:r>
        <w:rPr>
          <w:rFonts w:hint="eastAsia"/>
          <w:sz w:val="24"/>
        </w:rPr>
        <w:t>2倍工频范围以外。</w:t>
      </w:r>
    </w:p>
    <w:p>
      <w:pPr>
        <w:widowControl/>
        <w:overflowPunct w:val="0"/>
        <w:spacing w:line="360" w:lineRule="auto"/>
        <w:jc w:val="left"/>
        <w:rPr>
          <w:sz w:val="24"/>
        </w:rPr>
      </w:pPr>
      <w:r>
        <w:rPr>
          <w:rFonts w:hint="eastAsia"/>
          <w:sz w:val="24"/>
        </w:rPr>
        <w:t>2.3.30.13转子若采用槽底副槽径向通风结构，转子绕阻上的通风孔要求中间铣孔。槽部和端部采取适应调峰运行的技术措施。</w:t>
      </w:r>
    </w:p>
    <w:p>
      <w:pPr>
        <w:widowControl/>
        <w:overflowPunct w:val="0"/>
        <w:spacing w:line="360" w:lineRule="auto"/>
        <w:jc w:val="left"/>
        <w:rPr>
          <w:sz w:val="24"/>
        </w:rPr>
      </w:pPr>
      <w:r>
        <w:rPr>
          <w:rFonts w:hint="eastAsia"/>
          <w:sz w:val="24"/>
        </w:rPr>
        <w:t>2.3.30.14发电机转子锻件采用无中心孔锻件，符合</w:t>
      </w:r>
      <w:r>
        <w:rPr>
          <w:sz w:val="24"/>
        </w:rPr>
        <w:t>ASTM</w:t>
      </w:r>
      <w:r>
        <w:rPr>
          <w:rFonts w:hint="eastAsia"/>
          <w:sz w:val="24"/>
        </w:rPr>
        <w:t>标准的要求；转子绕组采用含银铜线。</w:t>
      </w:r>
    </w:p>
    <w:p>
      <w:pPr>
        <w:widowControl/>
        <w:overflowPunct w:val="0"/>
        <w:spacing w:line="360" w:lineRule="auto"/>
        <w:jc w:val="left"/>
        <w:rPr>
          <w:sz w:val="24"/>
        </w:rPr>
      </w:pPr>
      <w:r>
        <w:rPr>
          <w:sz w:val="24"/>
        </w:rPr>
        <w:t>2.3.3</w:t>
      </w:r>
      <w:r>
        <w:rPr>
          <w:rFonts w:hint="eastAsia"/>
          <w:sz w:val="24"/>
        </w:rPr>
        <w:t>0</w:t>
      </w:r>
      <w:r>
        <w:rPr>
          <w:sz w:val="24"/>
        </w:rPr>
        <w:t>.15</w:t>
      </w:r>
      <w:r>
        <w:rPr>
          <w:rFonts w:hint="eastAsia"/>
          <w:sz w:val="24"/>
        </w:rPr>
        <w:t>发电机的轴承应确保不产生油膜振荡。</w:t>
      </w:r>
    </w:p>
    <w:p>
      <w:pPr>
        <w:widowControl/>
        <w:overflowPunct w:val="0"/>
        <w:spacing w:line="360" w:lineRule="auto"/>
        <w:jc w:val="left"/>
        <w:rPr>
          <w:sz w:val="24"/>
        </w:rPr>
      </w:pPr>
      <w:r>
        <w:rPr>
          <w:sz w:val="24"/>
        </w:rPr>
        <w:t>2.3.3</w:t>
      </w:r>
      <w:r>
        <w:rPr>
          <w:rFonts w:hint="eastAsia"/>
          <w:sz w:val="24"/>
        </w:rPr>
        <w:t>0</w:t>
      </w:r>
      <w:r>
        <w:rPr>
          <w:sz w:val="24"/>
        </w:rPr>
        <w:t>.16</w:t>
      </w:r>
      <w:r>
        <w:rPr>
          <w:rFonts w:hint="eastAsia"/>
          <w:sz w:val="24"/>
        </w:rPr>
        <w:t>发电机与汽轮机连接的靠背轮螺栓，应能承受因电力系统故障发生振荡或扭振的机械应力而不发生折断或变形。</w:t>
      </w:r>
    </w:p>
    <w:p>
      <w:pPr>
        <w:widowControl/>
        <w:overflowPunct w:val="0"/>
        <w:spacing w:line="360" w:lineRule="auto"/>
        <w:jc w:val="left"/>
        <w:rPr>
          <w:sz w:val="24"/>
        </w:rPr>
      </w:pPr>
      <w:r>
        <w:rPr>
          <w:sz w:val="24"/>
        </w:rPr>
        <w:t>2.3.3</w:t>
      </w:r>
      <w:r>
        <w:rPr>
          <w:rFonts w:hint="eastAsia"/>
          <w:sz w:val="24"/>
        </w:rPr>
        <w:t>0</w:t>
      </w:r>
      <w:r>
        <w:rPr>
          <w:sz w:val="24"/>
        </w:rPr>
        <w:t>.17</w:t>
      </w:r>
      <w:r>
        <w:rPr>
          <w:rFonts w:hint="eastAsia"/>
          <w:sz w:val="24"/>
        </w:rPr>
        <w:t>发电机转子应有一个性能良好的阻尼绕组线圈。阻尼绕组应能有效抑制来自转子的负序电流。</w:t>
      </w:r>
    </w:p>
    <w:p>
      <w:pPr>
        <w:widowControl/>
        <w:overflowPunct w:val="0"/>
        <w:spacing w:line="360" w:lineRule="auto"/>
        <w:jc w:val="left"/>
        <w:rPr>
          <w:sz w:val="24"/>
        </w:rPr>
      </w:pPr>
      <w:r>
        <w:rPr>
          <w:rFonts w:hint="eastAsia"/>
          <w:sz w:val="24"/>
        </w:rPr>
        <w:t>2.3.30.18在转轴系统易于接近的部件上提供一个合适的缺口位置作为测量振动相位的基准参考位置。</w:t>
      </w:r>
    </w:p>
    <w:p>
      <w:pPr>
        <w:widowControl/>
        <w:overflowPunct w:val="0"/>
        <w:spacing w:line="360" w:lineRule="auto"/>
        <w:jc w:val="left"/>
        <w:rPr>
          <w:sz w:val="24"/>
        </w:rPr>
      </w:pPr>
      <w:r>
        <w:rPr>
          <w:rFonts w:hint="eastAsia"/>
          <w:sz w:val="24"/>
        </w:rPr>
        <w:t>2.3.30.19应合理选用转子滑环与碳刷的材质，碳刷的结构应便于维护运行。转子滑环在满足强度的前提下，尽可能选用较小的直径，以降低运行线速度。</w:t>
      </w:r>
    </w:p>
    <w:p>
      <w:pPr>
        <w:widowControl/>
        <w:overflowPunct w:val="0"/>
        <w:spacing w:line="360" w:lineRule="auto"/>
        <w:jc w:val="left"/>
        <w:rPr>
          <w:sz w:val="24"/>
        </w:rPr>
      </w:pPr>
      <w:r>
        <w:rPr>
          <w:rFonts w:hint="eastAsia"/>
          <w:sz w:val="24"/>
        </w:rPr>
        <w:t>2.3.30.20发电机若有本体照明，照明设备由投标人配套提供并安装。灯具应具有抗1类或2类电气震荡的保护特性，1类灯具外壳还应接地。发电机隔音罩应配套照明灯具。</w:t>
      </w:r>
    </w:p>
    <w:p>
      <w:pPr>
        <w:widowControl/>
        <w:overflowPunct w:val="0"/>
        <w:spacing w:line="360" w:lineRule="auto"/>
        <w:jc w:val="left"/>
        <w:rPr>
          <w:sz w:val="24"/>
        </w:rPr>
      </w:pPr>
      <w:r>
        <w:rPr>
          <w:rFonts w:hint="eastAsia"/>
          <w:sz w:val="24"/>
        </w:rPr>
        <w:t>2.3.30</w:t>
      </w:r>
      <w:r>
        <w:rPr>
          <w:sz w:val="24"/>
        </w:rPr>
        <w:t>.21</w:t>
      </w:r>
      <w:r>
        <w:rPr>
          <w:rFonts w:hint="eastAsia"/>
          <w:sz w:val="24"/>
        </w:rPr>
        <w:t>发电机滑环应设有降低噪音的有效措施。</w:t>
      </w:r>
    </w:p>
    <w:p>
      <w:pPr>
        <w:widowControl/>
        <w:overflowPunct w:val="0"/>
        <w:spacing w:line="360" w:lineRule="auto"/>
        <w:jc w:val="left"/>
        <w:rPr>
          <w:sz w:val="24"/>
        </w:rPr>
      </w:pPr>
      <w:r>
        <w:rPr>
          <w:sz w:val="24"/>
        </w:rPr>
        <w:t>2.3.3</w:t>
      </w:r>
      <w:r>
        <w:rPr>
          <w:rFonts w:hint="eastAsia"/>
          <w:sz w:val="24"/>
        </w:rPr>
        <w:t>0</w:t>
      </w:r>
      <w:r>
        <w:rPr>
          <w:sz w:val="24"/>
        </w:rPr>
        <w:t>.22</w:t>
      </w:r>
      <w:r>
        <w:rPr>
          <w:rFonts w:hint="eastAsia"/>
          <w:sz w:val="24"/>
        </w:rPr>
        <w:t>转子护环材质采用</w:t>
      </w:r>
      <w:r>
        <w:rPr>
          <w:sz w:val="24"/>
        </w:rPr>
        <w:t>18Mn18Cr</w:t>
      </w:r>
      <w:r>
        <w:rPr>
          <w:rFonts w:hint="eastAsia"/>
          <w:sz w:val="24"/>
        </w:rPr>
        <w:t>。</w:t>
      </w:r>
    </w:p>
    <w:p>
      <w:pPr>
        <w:widowControl/>
        <w:overflowPunct w:val="0"/>
        <w:spacing w:line="360" w:lineRule="auto"/>
        <w:jc w:val="left"/>
        <w:rPr>
          <w:sz w:val="24"/>
        </w:rPr>
      </w:pPr>
      <w:r>
        <w:rPr>
          <w:sz w:val="24"/>
        </w:rPr>
        <w:t>2.3.3</w:t>
      </w:r>
      <w:r>
        <w:rPr>
          <w:rFonts w:hint="eastAsia"/>
          <w:sz w:val="24"/>
        </w:rPr>
        <w:t>0</w:t>
      </w:r>
      <w:r>
        <w:rPr>
          <w:sz w:val="24"/>
        </w:rPr>
        <w:t>.23</w:t>
      </w:r>
      <w:r>
        <w:rPr>
          <w:rFonts w:hint="eastAsia"/>
          <w:sz w:val="24"/>
        </w:rPr>
        <w:t>发电机出线盒座应采用非磁性材料，设计结构时应考虑防震防腐的要求。</w:t>
      </w:r>
    </w:p>
    <w:p>
      <w:pPr>
        <w:widowControl/>
        <w:overflowPunct w:val="0"/>
        <w:spacing w:line="360" w:lineRule="auto"/>
        <w:jc w:val="left"/>
        <w:rPr>
          <w:sz w:val="24"/>
        </w:rPr>
      </w:pPr>
      <w:r>
        <w:rPr>
          <w:sz w:val="24"/>
        </w:rPr>
        <w:t>2.3.3</w:t>
      </w:r>
      <w:r>
        <w:rPr>
          <w:rFonts w:hint="eastAsia"/>
          <w:sz w:val="24"/>
        </w:rPr>
        <w:t>0</w:t>
      </w:r>
      <w:r>
        <w:rPr>
          <w:sz w:val="24"/>
        </w:rPr>
        <w:t>.24</w:t>
      </w:r>
      <w:r>
        <w:rPr>
          <w:rFonts w:hint="eastAsia"/>
          <w:sz w:val="24"/>
        </w:rPr>
        <w:t>汽轮发电机内部，在定子绕组端部附近，必须装置灭火水管，水路的端头必须引出机座外，并保证水管无泄露。</w:t>
      </w:r>
    </w:p>
    <w:p>
      <w:pPr>
        <w:widowControl/>
        <w:overflowPunct w:val="0"/>
        <w:spacing w:line="360" w:lineRule="auto"/>
        <w:jc w:val="left"/>
        <w:rPr>
          <w:sz w:val="24"/>
        </w:rPr>
      </w:pPr>
      <w:r>
        <w:rPr>
          <w:sz w:val="24"/>
        </w:rPr>
        <w:t>2.3.3</w:t>
      </w:r>
      <w:r>
        <w:rPr>
          <w:rFonts w:hint="eastAsia"/>
          <w:sz w:val="24"/>
        </w:rPr>
        <w:t>0</w:t>
      </w:r>
      <w:r>
        <w:rPr>
          <w:sz w:val="24"/>
        </w:rPr>
        <w:t>.25</w:t>
      </w:r>
      <w:r>
        <w:rPr>
          <w:rFonts w:hint="eastAsia"/>
          <w:sz w:val="24"/>
        </w:rPr>
        <w:t>投标人应提供发电机的密封措施，特别是出线部位以及可拆装部位的密封措施，并提供空气过滤器的技术措施和装置。密闭式通风的发电机，应保持通风系统严密。冷空气室与热空气室应有隔热措施，并应装设厚玻璃窥视窗。空冷小室内应设置水槽，并用水管引至室外，以排出内部积水，并可监视冷却器是否泄漏。</w:t>
      </w:r>
    </w:p>
    <w:p>
      <w:pPr>
        <w:spacing w:before="60" w:after="60" w:line="360" w:lineRule="auto"/>
        <w:rPr>
          <w:sz w:val="24"/>
          <w:szCs w:val="24"/>
        </w:rPr>
      </w:pPr>
      <w:r>
        <w:rPr>
          <w:sz w:val="24"/>
          <w:szCs w:val="24"/>
        </w:rPr>
        <w:t>2.3.3</w:t>
      </w:r>
      <w:r>
        <w:rPr>
          <w:rFonts w:hint="eastAsia"/>
          <w:sz w:val="24"/>
          <w:szCs w:val="24"/>
        </w:rPr>
        <w:t>0</w:t>
      </w:r>
      <w:r>
        <w:rPr>
          <w:sz w:val="24"/>
          <w:szCs w:val="24"/>
        </w:rPr>
        <w:t>.26</w:t>
      </w:r>
      <w:r>
        <w:rPr>
          <w:rFonts w:hint="eastAsia"/>
          <w:sz w:val="24"/>
          <w:szCs w:val="24"/>
        </w:rPr>
        <w:t>发电机的定子硅钢片采用宝武钢、太钢、新日铁、浦项或相当于。</w:t>
      </w:r>
    </w:p>
    <w:p>
      <w:pPr>
        <w:spacing w:before="60" w:after="60" w:line="360" w:lineRule="auto"/>
        <w:rPr>
          <w:rFonts w:hint="eastAsia" w:hAnsi="宋体"/>
        </w:rPr>
      </w:pPr>
      <w:r>
        <w:rPr>
          <w:sz w:val="24"/>
          <w:szCs w:val="24"/>
        </w:rPr>
        <w:t>2.3.3</w:t>
      </w:r>
      <w:r>
        <w:rPr>
          <w:rFonts w:hint="eastAsia"/>
          <w:sz w:val="24"/>
          <w:szCs w:val="24"/>
        </w:rPr>
        <w:t>0</w:t>
      </w:r>
      <w:r>
        <w:rPr>
          <w:sz w:val="24"/>
          <w:szCs w:val="24"/>
        </w:rPr>
        <w:t>.27</w:t>
      </w:r>
      <w:r>
        <w:rPr>
          <w:rFonts w:hint="eastAsia"/>
          <w:sz w:val="24"/>
          <w:szCs w:val="24"/>
        </w:rPr>
        <w:t>发电机转子</w:t>
      </w:r>
      <w:r>
        <w:rPr>
          <w:rFonts w:hint="eastAsia"/>
          <w:color w:val="000000" w:themeColor="text1"/>
          <w:sz w:val="24"/>
          <w:szCs w:val="24"/>
          <w:lang w:val="en-US" w:eastAsia="zh-CN"/>
          <w14:textFill>
            <w14:solidFill>
              <w14:schemeClr w14:val="tx1"/>
            </w14:solidFill>
          </w14:textFill>
        </w:rPr>
        <w:t>毛坯</w:t>
      </w:r>
      <w:r>
        <w:rPr>
          <w:rFonts w:hint="eastAsia"/>
          <w:sz w:val="24"/>
          <w:szCs w:val="24"/>
        </w:rPr>
        <w:t>采用中国一重、二重、上重或相当于。</w:t>
      </w:r>
    </w:p>
    <w:p>
      <w:pPr>
        <w:widowControl/>
        <w:overflowPunct w:val="0"/>
        <w:spacing w:line="360" w:lineRule="auto"/>
        <w:jc w:val="left"/>
        <w:rPr>
          <w:sz w:val="24"/>
        </w:rPr>
      </w:pPr>
      <w:r>
        <w:rPr>
          <w:rFonts w:hint="eastAsia"/>
          <w:sz w:val="24"/>
        </w:rPr>
        <w:t>2.3.31热工测量</w:t>
      </w:r>
    </w:p>
    <w:p>
      <w:pPr>
        <w:widowControl/>
        <w:overflowPunct w:val="0"/>
        <w:spacing w:line="360" w:lineRule="auto"/>
        <w:jc w:val="left"/>
        <w:rPr>
          <w:sz w:val="24"/>
        </w:rPr>
      </w:pPr>
      <w:r>
        <w:rPr>
          <w:rFonts w:hint="eastAsia"/>
          <w:sz w:val="24"/>
        </w:rPr>
        <w:t>2.3.31.1成套供应满足机组起停运行中安全监视所必要的检测元件、传感器、阀门、仪表等。</w:t>
      </w:r>
    </w:p>
    <w:p>
      <w:pPr>
        <w:widowControl/>
        <w:overflowPunct w:val="0"/>
        <w:spacing w:line="360" w:lineRule="auto"/>
        <w:jc w:val="left"/>
        <w:rPr>
          <w:sz w:val="24"/>
        </w:rPr>
      </w:pPr>
      <w:r>
        <w:rPr>
          <w:rFonts w:hint="eastAsia"/>
          <w:sz w:val="24"/>
        </w:rPr>
        <w:t>2.3.31.2发电机检测元件至少要满足以下要求：</w:t>
      </w:r>
    </w:p>
    <w:tbl>
      <w:tblPr>
        <w:tblStyle w:val="49"/>
        <w:tblW w:w="8008" w:type="dxa"/>
        <w:jc w:val="center"/>
        <w:tblLayout w:type="fixed"/>
        <w:tblCellMar>
          <w:top w:w="0" w:type="dxa"/>
          <w:left w:w="28" w:type="dxa"/>
          <w:bottom w:w="0" w:type="dxa"/>
          <w:right w:w="28" w:type="dxa"/>
        </w:tblCellMar>
      </w:tblPr>
      <w:tblGrid>
        <w:gridCol w:w="2522"/>
        <w:gridCol w:w="1286"/>
        <w:gridCol w:w="1365"/>
        <w:gridCol w:w="1470"/>
        <w:gridCol w:w="1365"/>
      </w:tblGrid>
      <w:tr>
        <w:tblPrEx>
          <w:tblCellMar>
            <w:top w:w="0" w:type="dxa"/>
            <w:left w:w="28" w:type="dxa"/>
            <w:bottom w:w="0" w:type="dxa"/>
            <w:right w:w="28" w:type="dxa"/>
          </w:tblCellMar>
        </w:tblPrEx>
        <w:trPr>
          <w:jc w:val="center"/>
        </w:trPr>
        <w:tc>
          <w:tcPr>
            <w:tcW w:w="2522" w:type="dxa"/>
            <w:tcBorders>
              <w:top w:val="single" w:color="auto" w:sz="6" w:space="0"/>
              <w:left w:val="single" w:color="000000" w:sz="6" w:space="0"/>
              <w:bottom w:val="single" w:color="auto"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发电机</w:t>
            </w:r>
          </w:p>
        </w:tc>
        <w:tc>
          <w:tcPr>
            <w:tcW w:w="2651" w:type="dxa"/>
            <w:gridSpan w:val="2"/>
            <w:tcBorders>
              <w:top w:val="single" w:color="auto" w:sz="6" w:space="0"/>
              <w:left w:val="single" w:color="000000" w:sz="6" w:space="0"/>
              <w:bottom w:val="single" w:color="auto"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就地</w:t>
            </w:r>
          </w:p>
        </w:tc>
        <w:tc>
          <w:tcPr>
            <w:tcW w:w="2835" w:type="dxa"/>
            <w:gridSpan w:val="2"/>
            <w:tcBorders>
              <w:top w:val="single" w:color="auto" w:sz="6" w:space="0"/>
              <w:left w:val="single" w:color="000000" w:sz="6" w:space="0"/>
              <w:bottom w:val="single" w:color="auto"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远方</w:t>
            </w: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参数</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显示</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告警</w:t>
            </w: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显示</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告警</w:t>
            </w: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定子</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铁芯温度</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铁芯叠片隔板温度</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绕组温度</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定子电压</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定子电流</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有功功率</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无功功率</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矢量计</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转子</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转子温度</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转子电流</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转子电压</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轴电压</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接地故障检测</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气隙搜索线圈（air gap search coil）</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励磁系统</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整流元件故障</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AVR自动/手动显示</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冷却系统</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冷却空气入口、出口温度</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冷却水入口、出口压力</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冷却器泄漏检测</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r>
      <w:tr>
        <w:tblPrEx>
          <w:tblCellMar>
            <w:top w:w="0" w:type="dxa"/>
            <w:left w:w="28" w:type="dxa"/>
            <w:bottom w:w="0" w:type="dxa"/>
            <w:right w:w="28" w:type="dxa"/>
          </w:tblCellMar>
        </w:tblPrEx>
        <w:trPr>
          <w:jc w:val="center"/>
        </w:trPr>
        <w:tc>
          <w:tcPr>
            <w:tcW w:w="2522"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冷却器流量计</w:t>
            </w:r>
          </w:p>
        </w:tc>
        <w:tc>
          <w:tcPr>
            <w:tcW w:w="1286"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c>
          <w:tcPr>
            <w:tcW w:w="147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r>
              <w:rPr>
                <w:rFonts w:hint="eastAsia" w:hAnsi="宋体"/>
                <w:sz w:val="24"/>
                <w:szCs w:val="24"/>
              </w:rPr>
              <w:t>是</w:t>
            </w:r>
          </w:p>
        </w:tc>
        <w:tc>
          <w:tcPr>
            <w:tcW w:w="1365"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jc w:val="center"/>
              <w:rPr>
                <w:rFonts w:hint="eastAsia" w:hAnsi="宋体"/>
                <w:sz w:val="24"/>
                <w:szCs w:val="24"/>
              </w:rPr>
            </w:pPr>
          </w:p>
        </w:tc>
      </w:tr>
    </w:tbl>
    <w:p>
      <w:pPr>
        <w:widowControl/>
        <w:overflowPunct w:val="0"/>
        <w:spacing w:line="360" w:lineRule="auto"/>
        <w:jc w:val="left"/>
        <w:rPr>
          <w:rFonts w:hint="eastAsia" w:hAnsi="宋体"/>
        </w:rPr>
      </w:pPr>
    </w:p>
    <w:p>
      <w:pPr>
        <w:widowControl/>
        <w:overflowPunct w:val="0"/>
        <w:spacing w:line="360" w:lineRule="auto"/>
        <w:jc w:val="left"/>
        <w:rPr>
          <w:sz w:val="24"/>
        </w:rPr>
      </w:pPr>
      <w:r>
        <w:rPr>
          <w:sz w:val="24"/>
        </w:rPr>
        <w:t>2.3.3</w:t>
      </w:r>
      <w:r>
        <w:rPr>
          <w:rFonts w:hint="eastAsia"/>
          <w:sz w:val="24"/>
        </w:rPr>
        <w:t>1</w:t>
      </w:r>
      <w:r>
        <w:rPr>
          <w:sz w:val="24"/>
        </w:rPr>
        <w:t>.3</w:t>
      </w:r>
      <w:r>
        <w:rPr>
          <w:rFonts w:hint="eastAsia"/>
          <w:sz w:val="24"/>
        </w:rPr>
        <w:t>发电机成套供应如下设备</w:t>
      </w:r>
      <w:r>
        <w:rPr>
          <w:sz w:val="24"/>
        </w:rPr>
        <w:t>:</w:t>
      </w:r>
    </w:p>
    <w:p>
      <w:pPr>
        <w:widowControl/>
        <w:numPr>
          <w:ilvl w:val="0"/>
          <w:numId w:val="11"/>
        </w:numPr>
        <w:overflowPunct w:val="0"/>
        <w:spacing w:line="360" w:lineRule="auto"/>
        <w:ind w:left="0" w:firstLine="0"/>
        <w:jc w:val="left"/>
        <w:rPr>
          <w:sz w:val="24"/>
        </w:rPr>
      </w:pPr>
      <w:r>
        <w:rPr>
          <w:rFonts w:hint="eastAsia"/>
          <w:sz w:val="24"/>
        </w:rPr>
        <w:t>发电机轴上应备有装设符合精度要求的拾振器的位置，轴振一次元件随汽机TSI配供，投标人给予配合。</w:t>
      </w:r>
    </w:p>
    <w:p>
      <w:pPr>
        <w:widowControl/>
        <w:numPr>
          <w:ilvl w:val="0"/>
          <w:numId w:val="11"/>
        </w:numPr>
        <w:overflowPunct w:val="0"/>
        <w:spacing w:line="360" w:lineRule="auto"/>
        <w:ind w:left="0" w:firstLine="0"/>
        <w:jc w:val="left"/>
        <w:rPr>
          <w:sz w:val="24"/>
        </w:rPr>
      </w:pPr>
      <w:r>
        <w:rPr>
          <w:rFonts w:hint="eastAsia"/>
          <w:sz w:val="24"/>
        </w:rPr>
        <w:t>发电机、轴瓦、测温元件一览表如下：</w:t>
      </w:r>
    </w:p>
    <w:tbl>
      <w:tblPr>
        <w:tblStyle w:val="49"/>
        <w:tblW w:w="8008" w:type="dxa"/>
        <w:jc w:val="center"/>
        <w:tblLayout w:type="fixed"/>
        <w:tblCellMar>
          <w:top w:w="0" w:type="dxa"/>
          <w:left w:w="28" w:type="dxa"/>
          <w:bottom w:w="0" w:type="dxa"/>
          <w:right w:w="28" w:type="dxa"/>
        </w:tblCellMar>
      </w:tblPr>
      <w:tblGrid>
        <w:gridCol w:w="2013"/>
        <w:gridCol w:w="1134"/>
        <w:gridCol w:w="1921"/>
        <w:gridCol w:w="2940"/>
      </w:tblGrid>
      <w:tr>
        <w:tblPrEx>
          <w:tblCellMar>
            <w:top w:w="0" w:type="dxa"/>
            <w:left w:w="28" w:type="dxa"/>
            <w:bottom w:w="0" w:type="dxa"/>
            <w:right w:w="28" w:type="dxa"/>
          </w:tblCellMar>
        </w:tblPrEx>
        <w:trPr>
          <w:jc w:val="center"/>
        </w:trPr>
        <w:tc>
          <w:tcPr>
            <w:tcW w:w="2013" w:type="dxa"/>
            <w:tcBorders>
              <w:top w:val="single" w:color="auto" w:sz="6" w:space="0"/>
              <w:left w:val="single" w:color="000000" w:sz="6" w:space="0"/>
              <w:bottom w:val="single" w:color="auto"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项目</w:t>
            </w:r>
          </w:p>
        </w:tc>
        <w:tc>
          <w:tcPr>
            <w:tcW w:w="1134" w:type="dxa"/>
            <w:tcBorders>
              <w:top w:val="single" w:color="auto" w:sz="6" w:space="0"/>
              <w:left w:val="single" w:color="000000" w:sz="6" w:space="0"/>
              <w:bottom w:val="single" w:color="auto"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点数</w:t>
            </w:r>
          </w:p>
        </w:tc>
        <w:tc>
          <w:tcPr>
            <w:tcW w:w="1921" w:type="dxa"/>
            <w:tcBorders>
              <w:top w:val="single" w:color="auto" w:sz="6" w:space="0"/>
              <w:left w:val="single" w:color="000000" w:sz="6" w:space="0"/>
              <w:bottom w:val="single" w:color="auto"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测量部位</w:t>
            </w:r>
          </w:p>
        </w:tc>
        <w:tc>
          <w:tcPr>
            <w:tcW w:w="2940" w:type="dxa"/>
            <w:tcBorders>
              <w:top w:val="single" w:color="auto" w:sz="6" w:space="0"/>
              <w:left w:val="single" w:color="000000" w:sz="6" w:space="0"/>
              <w:bottom w:val="single" w:color="auto"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测量元件方法（元件类型）</w:t>
            </w:r>
          </w:p>
        </w:tc>
      </w:tr>
      <w:tr>
        <w:tblPrEx>
          <w:tblCellMar>
            <w:top w:w="0" w:type="dxa"/>
            <w:left w:w="28" w:type="dxa"/>
            <w:bottom w:w="0" w:type="dxa"/>
            <w:right w:w="28" w:type="dxa"/>
          </w:tblCellMar>
        </w:tblPrEx>
        <w:trPr>
          <w:jc w:val="center"/>
        </w:trPr>
        <w:tc>
          <w:tcPr>
            <w:tcW w:w="2013"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定子绕组</w:t>
            </w:r>
          </w:p>
        </w:tc>
        <w:tc>
          <w:tcPr>
            <w:tcW w:w="1134"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6</w:t>
            </w:r>
          </w:p>
        </w:tc>
        <w:tc>
          <w:tcPr>
            <w:tcW w:w="1921"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p>
        </w:tc>
        <w:tc>
          <w:tcPr>
            <w:tcW w:w="294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RTD</w:t>
            </w:r>
          </w:p>
        </w:tc>
      </w:tr>
      <w:tr>
        <w:tblPrEx>
          <w:tblCellMar>
            <w:top w:w="0" w:type="dxa"/>
            <w:left w:w="28" w:type="dxa"/>
            <w:bottom w:w="0" w:type="dxa"/>
            <w:right w:w="28" w:type="dxa"/>
          </w:tblCellMar>
        </w:tblPrEx>
        <w:trPr>
          <w:jc w:val="center"/>
        </w:trPr>
        <w:tc>
          <w:tcPr>
            <w:tcW w:w="2013"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定子铁心</w:t>
            </w:r>
          </w:p>
        </w:tc>
        <w:tc>
          <w:tcPr>
            <w:tcW w:w="1134"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6</w:t>
            </w:r>
          </w:p>
        </w:tc>
        <w:tc>
          <w:tcPr>
            <w:tcW w:w="1921"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p>
        </w:tc>
        <w:tc>
          <w:tcPr>
            <w:tcW w:w="294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RTD</w:t>
            </w:r>
          </w:p>
        </w:tc>
      </w:tr>
      <w:tr>
        <w:tblPrEx>
          <w:tblCellMar>
            <w:top w:w="0" w:type="dxa"/>
            <w:left w:w="28" w:type="dxa"/>
            <w:bottom w:w="0" w:type="dxa"/>
            <w:right w:w="28" w:type="dxa"/>
          </w:tblCellMar>
        </w:tblPrEx>
        <w:trPr>
          <w:jc w:val="center"/>
        </w:trPr>
        <w:tc>
          <w:tcPr>
            <w:tcW w:w="2013"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热风（</w:t>
            </w:r>
            <w:r>
              <w:rPr>
                <w:rFonts w:hAnsi="宋体"/>
                <w:sz w:val="24"/>
                <w:szCs w:val="24"/>
              </w:rPr>
              <w:t>TKJ</w:t>
            </w:r>
            <w:r>
              <w:rPr>
                <w:rFonts w:hint="eastAsia" w:hAnsi="宋体"/>
                <w:sz w:val="24"/>
                <w:szCs w:val="24"/>
              </w:rPr>
              <w:t>）</w:t>
            </w:r>
          </w:p>
        </w:tc>
        <w:tc>
          <w:tcPr>
            <w:tcW w:w="1134"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2</w:t>
            </w:r>
          </w:p>
        </w:tc>
        <w:tc>
          <w:tcPr>
            <w:tcW w:w="1921"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空冷器入口</w:t>
            </w:r>
          </w:p>
        </w:tc>
        <w:tc>
          <w:tcPr>
            <w:tcW w:w="294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rPr>
              <w:t>R</w:t>
            </w:r>
            <w:r>
              <w:rPr>
                <w:rFonts w:hAnsi="宋体"/>
              </w:rPr>
              <w:t>TD+</w:t>
            </w:r>
            <w:r>
              <w:rPr>
                <w:rFonts w:hint="eastAsia" w:hAnsi="宋体"/>
              </w:rPr>
              <w:t>双金属温度计</w:t>
            </w:r>
          </w:p>
        </w:tc>
      </w:tr>
      <w:tr>
        <w:tblPrEx>
          <w:tblCellMar>
            <w:top w:w="0" w:type="dxa"/>
            <w:left w:w="28" w:type="dxa"/>
            <w:bottom w:w="0" w:type="dxa"/>
            <w:right w:w="28" w:type="dxa"/>
          </w:tblCellMar>
        </w:tblPrEx>
        <w:trPr>
          <w:jc w:val="center"/>
        </w:trPr>
        <w:tc>
          <w:tcPr>
            <w:tcW w:w="2013"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冷风（</w:t>
            </w:r>
            <w:r>
              <w:rPr>
                <w:rFonts w:hAnsi="宋体"/>
                <w:sz w:val="24"/>
                <w:szCs w:val="24"/>
              </w:rPr>
              <w:t>TKJ</w:t>
            </w:r>
            <w:r>
              <w:rPr>
                <w:rFonts w:hint="eastAsia" w:hAnsi="宋体"/>
                <w:sz w:val="24"/>
                <w:szCs w:val="24"/>
              </w:rPr>
              <w:t>）</w:t>
            </w:r>
          </w:p>
        </w:tc>
        <w:tc>
          <w:tcPr>
            <w:tcW w:w="1134"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2</w:t>
            </w:r>
          </w:p>
        </w:tc>
        <w:tc>
          <w:tcPr>
            <w:tcW w:w="1921"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空冷器出口</w:t>
            </w:r>
          </w:p>
        </w:tc>
        <w:tc>
          <w:tcPr>
            <w:tcW w:w="294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rPr>
              <w:t>R</w:t>
            </w:r>
            <w:r>
              <w:rPr>
                <w:rFonts w:hAnsi="宋体"/>
              </w:rPr>
              <w:t>TD+</w:t>
            </w:r>
            <w:r>
              <w:rPr>
                <w:rFonts w:hint="eastAsia" w:hAnsi="宋体"/>
              </w:rPr>
              <w:t>双金属温度计</w:t>
            </w:r>
          </w:p>
        </w:tc>
      </w:tr>
      <w:tr>
        <w:tblPrEx>
          <w:tblCellMar>
            <w:top w:w="0" w:type="dxa"/>
            <w:left w:w="28" w:type="dxa"/>
            <w:bottom w:w="0" w:type="dxa"/>
            <w:right w:w="28" w:type="dxa"/>
          </w:tblCellMar>
        </w:tblPrEx>
        <w:trPr>
          <w:jc w:val="center"/>
        </w:trPr>
        <w:tc>
          <w:tcPr>
            <w:tcW w:w="2013"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瓦温</w:t>
            </w:r>
          </w:p>
        </w:tc>
        <w:tc>
          <w:tcPr>
            <w:tcW w:w="1134"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2</w:t>
            </w:r>
          </w:p>
        </w:tc>
        <w:tc>
          <w:tcPr>
            <w:tcW w:w="1921"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发电机前后瓦</w:t>
            </w:r>
          </w:p>
        </w:tc>
        <w:tc>
          <w:tcPr>
            <w:tcW w:w="2940" w:type="dxa"/>
            <w:tcBorders>
              <w:top w:val="single" w:color="000000" w:sz="6" w:space="0"/>
              <w:left w:val="single" w:color="000000" w:sz="6" w:space="0"/>
              <w:bottom w:val="single" w:color="000000" w:sz="6" w:space="0"/>
              <w:right w:val="single" w:color="000000" w:sz="6" w:space="0"/>
            </w:tcBorders>
            <w:vAlign w:val="center"/>
          </w:tcPr>
          <w:p>
            <w:pPr>
              <w:tabs>
                <w:tab w:val="left" w:pos="567"/>
              </w:tabs>
              <w:overflowPunct w:val="0"/>
              <w:spacing w:line="360" w:lineRule="auto"/>
              <w:jc w:val="center"/>
              <w:rPr>
                <w:rFonts w:hint="eastAsia" w:hAnsi="宋体"/>
                <w:sz w:val="24"/>
                <w:szCs w:val="24"/>
              </w:rPr>
            </w:pPr>
            <w:r>
              <w:rPr>
                <w:rFonts w:hint="eastAsia" w:hAnsi="宋体"/>
                <w:sz w:val="24"/>
                <w:szCs w:val="24"/>
              </w:rPr>
              <w:t>RTD</w:t>
            </w:r>
          </w:p>
        </w:tc>
      </w:tr>
    </w:tbl>
    <w:p>
      <w:pPr>
        <w:tabs>
          <w:tab w:val="left" w:pos="567"/>
        </w:tabs>
        <w:overflowPunct w:val="0"/>
        <w:spacing w:line="360" w:lineRule="auto"/>
        <w:rPr>
          <w:rFonts w:hint="eastAsia" w:hAnsi="宋体"/>
        </w:rPr>
      </w:pPr>
    </w:p>
    <w:p>
      <w:pPr>
        <w:spacing w:line="440" w:lineRule="exact"/>
        <w:jc w:val="left"/>
        <w:textAlignment w:val="baseline"/>
        <w:rPr>
          <w:sz w:val="24"/>
        </w:rPr>
      </w:pPr>
      <w:r>
        <w:rPr>
          <w:rFonts w:hint="eastAsia"/>
          <w:sz w:val="24"/>
        </w:rPr>
        <w:t>2.3.31.4发电机控制功能由招标人提供的分散控制系统完成，投标人应向招标人提供用于满足实现该控制功能所需的全部技术资料，包括控制系统图，系统控制说明，就地设备资料等。</w:t>
      </w:r>
    </w:p>
    <w:p>
      <w:pPr>
        <w:spacing w:line="440" w:lineRule="exact"/>
        <w:jc w:val="left"/>
        <w:textAlignment w:val="baseline"/>
        <w:rPr>
          <w:sz w:val="24"/>
        </w:rPr>
      </w:pPr>
      <w:r>
        <w:rPr>
          <w:rFonts w:hint="eastAsia"/>
          <w:sz w:val="24"/>
        </w:rPr>
        <w:t>2.3.31.5投标人提供的指示表、开关量仪表、测温元件必须符合国际标准。不得选用国家宣布的淘汰产品。必须符合控制监视系统的需要，并根据安装地点满足防爆、防火、防水、防尘、防腐蚀的有关要求。</w:t>
      </w:r>
    </w:p>
    <w:p>
      <w:pPr>
        <w:spacing w:line="440" w:lineRule="exact"/>
        <w:jc w:val="left"/>
        <w:textAlignment w:val="baseline"/>
        <w:rPr>
          <w:sz w:val="24"/>
        </w:rPr>
      </w:pPr>
      <w:r>
        <w:rPr>
          <w:rFonts w:hint="eastAsia"/>
          <w:sz w:val="24"/>
        </w:rPr>
        <w:t>2.3.31.6 提供足够的资料以说明对机组的控制要求，控制方式及联锁保护等方面技术条件和数据，包括机组运行参数的报警值和保护动作值。</w:t>
      </w:r>
    </w:p>
    <w:p>
      <w:pPr>
        <w:spacing w:line="440" w:lineRule="exact"/>
        <w:jc w:val="left"/>
        <w:textAlignment w:val="baseline"/>
        <w:rPr>
          <w:sz w:val="24"/>
        </w:rPr>
      </w:pPr>
      <w:r>
        <w:rPr>
          <w:rFonts w:hint="eastAsia"/>
          <w:sz w:val="24"/>
        </w:rPr>
        <w:t>2.3.31.7 对随机提供的热工设备（元件），包括每一只压力表、测温元件及仪表阀门等都要有详细说明，注明安装地点、用途及制造厂家。特殊检测装置提供安装使用说明书。</w:t>
      </w:r>
    </w:p>
    <w:p>
      <w:pPr>
        <w:spacing w:line="440" w:lineRule="exact"/>
        <w:jc w:val="left"/>
        <w:textAlignment w:val="baseline"/>
        <w:rPr>
          <w:sz w:val="24"/>
        </w:rPr>
      </w:pPr>
      <w:r>
        <w:rPr>
          <w:rFonts w:hint="eastAsia"/>
          <w:sz w:val="24"/>
        </w:rPr>
        <w:t>2.3.31.8 机组及附属系统配套的仪表控制设备，输入输出模拟量信号为4</w:t>
      </w:r>
      <w:r>
        <w:rPr>
          <w:sz w:val="24"/>
        </w:rPr>
        <w:t>~</w:t>
      </w:r>
      <w:r>
        <w:rPr>
          <w:rFonts w:hint="eastAsia"/>
          <w:sz w:val="24"/>
        </w:rPr>
        <w:t>20mA标准信号，远传开关量信号采用无源干接点，接点容量220V AC 5A，220V DC 1A，留有与DCS接口。</w:t>
      </w:r>
    </w:p>
    <w:p>
      <w:pPr>
        <w:spacing w:line="440" w:lineRule="exact"/>
        <w:jc w:val="left"/>
        <w:textAlignment w:val="baseline"/>
        <w:rPr>
          <w:sz w:val="24"/>
        </w:rPr>
      </w:pPr>
      <w:r>
        <w:rPr>
          <w:rFonts w:hint="eastAsia"/>
          <w:sz w:val="24"/>
        </w:rPr>
        <w:t>2.3.31.9 除特殊说明外投标人应成套供应满足机组启停与运行中安全监视和经济运行所必须的、安装在本体范围内的仪表、取源部件、导管、仪表阀门、管接头、检测元件（包括传感器）、阀门执行器以及与检测元件或传感器相连的特殊仪表等。</w:t>
      </w:r>
    </w:p>
    <w:p>
      <w:pPr>
        <w:spacing w:line="440" w:lineRule="exact"/>
        <w:jc w:val="left"/>
        <w:textAlignment w:val="baseline"/>
        <w:rPr>
          <w:sz w:val="24"/>
        </w:rPr>
      </w:pPr>
      <w:r>
        <w:rPr>
          <w:rFonts w:hint="eastAsia"/>
          <w:sz w:val="24"/>
        </w:rPr>
        <w:t>2.3.31.10压力、差压、流量、液位、温度等过程开关量仪表按SOR、长野、太平选配，压力、差压变送器按Rosement 3051、EJA、“E+H”等级选型。</w:t>
      </w:r>
    </w:p>
    <w:p>
      <w:pPr>
        <w:spacing w:line="440" w:lineRule="exact"/>
        <w:jc w:val="left"/>
        <w:textAlignment w:val="baseline"/>
        <w:rPr>
          <w:sz w:val="24"/>
        </w:rPr>
      </w:pPr>
      <w:r>
        <w:rPr>
          <w:rFonts w:hint="eastAsia"/>
          <w:sz w:val="24"/>
        </w:rPr>
        <w:t>2.3.31.11招标人的电源等级为220VAC,、380VAC、220VDC，投标人应保证所供电气设备能在此电源等级下正常工作。如有其他等级的电源，由投标方自行解决。</w:t>
      </w:r>
    </w:p>
    <w:p>
      <w:pPr>
        <w:pStyle w:val="20"/>
        <w:snapToGrid w:val="0"/>
        <w:rPr>
          <w:rFonts w:ascii="Times New Roman"/>
          <w:b/>
          <w:sz w:val="24"/>
        </w:rPr>
      </w:pPr>
      <w:r>
        <w:rPr>
          <w:rFonts w:hint="eastAsia" w:ascii="Times New Roman"/>
          <w:b/>
          <w:sz w:val="24"/>
        </w:rPr>
        <w:t>2.4励磁系统</w:t>
      </w:r>
    </w:p>
    <w:p>
      <w:pPr>
        <w:widowControl/>
        <w:numPr>
          <w:ilvl w:val="2"/>
          <w:numId w:val="12"/>
        </w:numPr>
        <w:overflowPunct w:val="0"/>
        <w:spacing w:line="360" w:lineRule="auto"/>
        <w:ind w:left="0" w:firstLine="0"/>
        <w:jc w:val="left"/>
        <w:rPr>
          <w:sz w:val="24"/>
        </w:rPr>
      </w:pPr>
      <w:r>
        <w:rPr>
          <w:rFonts w:hAnsi="宋体"/>
          <w:sz w:val="24"/>
        </w:rPr>
        <w:t>励磁系统应满足</w:t>
      </w:r>
      <w:r>
        <w:rPr>
          <w:sz w:val="24"/>
        </w:rPr>
        <w:t>IEEE</w:t>
      </w:r>
      <w:r>
        <w:rPr>
          <w:rFonts w:hAnsi="宋体"/>
          <w:sz w:val="24"/>
        </w:rPr>
        <w:t>的有关规定；其动态和静态性能均应符合</w:t>
      </w:r>
      <w:r>
        <w:rPr>
          <w:rFonts w:hint="eastAsia"/>
          <w:sz w:val="24"/>
        </w:rPr>
        <w:t>IEC 60034-16、</w:t>
      </w:r>
      <w:r>
        <w:rPr>
          <w:sz w:val="24"/>
        </w:rPr>
        <w:t>GB7409-2007</w:t>
      </w:r>
      <w:r>
        <w:rPr>
          <w:rFonts w:hAnsi="宋体"/>
          <w:sz w:val="24"/>
        </w:rPr>
        <w:t>和</w:t>
      </w:r>
      <w:r>
        <w:rPr>
          <w:sz w:val="24"/>
        </w:rPr>
        <w:t>DL</w:t>
      </w:r>
      <w:r>
        <w:rPr>
          <w:rFonts w:hint="eastAsia"/>
          <w:sz w:val="24"/>
        </w:rPr>
        <w:t>/</w:t>
      </w:r>
      <w:r>
        <w:rPr>
          <w:sz w:val="24"/>
        </w:rPr>
        <w:t>T 843-20</w:t>
      </w:r>
      <w:r>
        <w:rPr>
          <w:rFonts w:hint="eastAsia"/>
          <w:sz w:val="24"/>
        </w:rPr>
        <w:t>21</w:t>
      </w:r>
      <w:r>
        <w:rPr>
          <w:rFonts w:hAnsi="宋体"/>
          <w:sz w:val="24"/>
        </w:rPr>
        <w:t>《</w:t>
      </w:r>
      <w:r>
        <w:rPr>
          <w:rFonts w:hint="eastAsia" w:hAnsi="宋体"/>
          <w:sz w:val="24"/>
        </w:rPr>
        <w:t>同步发电机励磁系统技术条件</w:t>
      </w:r>
      <w:r>
        <w:rPr>
          <w:rFonts w:hAnsi="宋体"/>
          <w:sz w:val="24"/>
        </w:rPr>
        <w:t>》的规定。</w:t>
      </w:r>
      <w:r>
        <w:rPr>
          <w:rFonts w:hint="eastAsia"/>
          <w:kern w:val="0"/>
          <w:sz w:val="24"/>
        </w:rPr>
        <w:t>励磁系统配置要求与技术原则应满</w:t>
      </w:r>
      <w:r>
        <w:rPr>
          <w:rFonts w:hint="eastAsia" w:hAnsi="宋体"/>
          <w:sz w:val="24"/>
        </w:rPr>
        <w:t>足国网浙江省电力公司浙电会纪字（</w:t>
      </w:r>
      <w:r>
        <w:rPr>
          <w:rFonts w:hAnsi="宋体"/>
          <w:sz w:val="24"/>
        </w:rPr>
        <w:t>2014</w:t>
      </w:r>
      <w:r>
        <w:rPr>
          <w:rFonts w:hint="eastAsia" w:hAnsi="宋体"/>
          <w:sz w:val="24"/>
        </w:rPr>
        <w:t>）</w:t>
      </w:r>
      <w:r>
        <w:rPr>
          <w:rFonts w:hAnsi="宋体"/>
          <w:sz w:val="24"/>
        </w:rPr>
        <w:t>190</w:t>
      </w:r>
      <w:r>
        <w:rPr>
          <w:rFonts w:hint="eastAsia" w:hAnsi="宋体"/>
          <w:sz w:val="24"/>
        </w:rPr>
        <w:t>号文</w:t>
      </w:r>
      <w:r>
        <w:rPr>
          <w:rFonts w:hAnsi="宋体"/>
          <w:sz w:val="24"/>
        </w:rPr>
        <w:t>《</w:t>
      </w:r>
      <w:r>
        <w:rPr>
          <w:rFonts w:hint="eastAsia" w:hAnsi="宋体"/>
          <w:sz w:val="24"/>
        </w:rPr>
        <w:t>励磁辅环配置及其与继电保护配合技术研讨会会议纪要</w:t>
      </w:r>
      <w:r>
        <w:rPr>
          <w:rFonts w:hAnsi="宋体"/>
          <w:sz w:val="24"/>
        </w:rPr>
        <w:t>》</w:t>
      </w:r>
      <w:r>
        <w:rPr>
          <w:rFonts w:hint="eastAsia" w:hAnsi="宋体"/>
          <w:sz w:val="24"/>
        </w:rPr>
        <w:t>、国家能源局</w:t>
      </w:r>
      <w:r>
        <w:rPr>
          <w:rFonts w:hAnsi="宋体"/>
          <w:sz w:val="24"/>
        </w:rPr>
        <w:t>20</w:t>
      </w:r>
      <w:r>
        <w:rPr>
          <w:rFonts w:hint="eastAsia" w:hAnsi="宋体"/>
          <w:sz w:val="24"/>
        </w:rPr>
        <w:t>23年发布</w:t>
      </w:r>
      <w:r>
        <w:rPr>
          <w:rFonts w:hAnsi="宋体"/>
          <w:sz w:val="24"/>
        </w:rPr>
        <w:t>《</w:t>
      </w:r>
      <w:r>
        <w:rPr>
          <w:rFonts w:hint="eastAsia" w:hAnsi="宋体"/>
          <w:sz w:val="24"/>
        </w:rPr>
        <w:t>防止电力生产事故的二十五项重点要求</w:t>
      </w:r>
      <w:r>
        <w:rPr>
          <w:rFonts w:hAnsi="宋体"/>
          <w:sz w:val="24"/>
        </w:rPr>
        <w:t>》</w:t>
      </w:r>
      <w:r>
        <w:rPr>
          <w:rFonts w:hint="eastAsia" w:hAnsi="宋体"/>
          <w:sz w:val="24"/>
        </w:rPr>
        <w:t>及国网（调</w:t>
      </w:r>
      <w:r>
        <w:rPr>
          <w:rFonts w:hAnsi="宋体"/>
          <w:sz w:val="24"/>
        </w:rPr>
        <w:t>/4</w:t>
      </w:r>
      <w:r>
        <w:rPr>
          <w:rFonts w:hint="eastAsia" w:hAnsi="宋体"/>
          <w:sz w:val="24"/>
        </w:rPr>
        <w:t>）</w:t>
      </w:r>
      <w:r>
        <w:rPr>
          <w:rFonts w:hAnsi="宋体"/>
          <w:sz w:val="24"/>
        </w:rPr>
        <w:t>457-2014</w:t>
      </w:r>
      <w:r>
        <w:rPr>
          <w:rFonts w:hint="eastAsia" w:hAnsi="宋体"/>
          <w:sz w:val="24"/>
        </w:rPr>
        <w:t>国家电网公司网源协调管理规定。</w:t>
      </w:r>
    </w:p>
    <w:p>
      <w:pPr>
        <w:widowControl/>
        <w:numPr>
          <w:ilvl w:val="2"/>
          <w:numId w:val="12"/>
        </w:numPr>
        <w:overflowPunct w:val="0"/>
        <w:spacing w:line="360" w:lineRule="auto"/>
        <w:ind w:left="0" w:firstLine="0"/>
        <w:jc w:val="left"/>
        <w:rPr>
          <w:sz w:val="24"/>
        </w:rPr>
      </w:pPr>
      <w:r>
        <w:rPr>
          <w:rFonts w:hAnsi="宋体"/>
          <w:sz w:val="24"/>
        </w:rPr>
        <w:t>励磁方式：采用静止励磁系统。励磁系统容量与发电机最大连续输出容量匹配。</w:t>
      </w:r>
    </w:p>
    <w:p>
      <w:pPr>
        <w:spacing w:line="360" w:lineRule="auto"/>
        <w:ind w:right="-63" w:rightChars="-30" w:firstLine="480" w:firstLineChars="200"/>
        <w:rPr>
          <w:rFonts w:hint="eastAsia" w:hAnsi="宋体"/>
          <w:sz w:val="24"/>
        </w:rPr>
      </w:pPr>
      <w:r>
        <w:rPr>
          <w:rFonts w:hint="eastAsia"/>
          <w:sz w:val="24"/>
        </w:rPr>
        <w:t>励磁系统采用南瑞继保、南瑞电控、国电南自、北京科电亿恒</w:t>
      </w:r>
      <w:r>
        <w:rPr>
          <w:rFonts w:hAnsi="宋体"/>
          <w:sz w:val="24"/>
        </w:rPr>
        <w:t>或相当于，请分别报价并按最高价计入总价。</w:t>
      </w:r>
    </w:p>
    <w:p>
      <w:pPr>
        <w:widowControl/>
        <w:numPr>
          <w:ilvl w:val="2"/>
          <w:numId w:val="12"/>
        </w:numPr>
        <w:overflowPunct w:val="0"/>
        <w:spacing w:line="360" w:lineRule="auto"/>
        <w:ind w:left="0" w:firstLine="0"/>
        <w:jc w:val="left"/>
        <w:rPr>
          <w:sz w:val="24"/>
        </w:rPr>
      </w:pPr>
      <w:r>
        <w:rPr>
          <w:rFonts w:hint="eastAsia"/>
          <w:sz w:val="24"/>
        </w:rPr>
        <w:t>在强励时，励磁系统应在0.05秒内达到顶值电压与额定励磁电压之差的</w:t>
      </w:r>
      <w:r>
        <w:rPr>
          <w:sz w:val="24"/>
        </w:rPr>
        <w:t>95%</w:t>
      </w:r>
      <w:r>
        <w:rPr>
          <w:rFonts w:hint="eastAsia"/>
          <w:sz w:val="24"/>
        </w:rPr>
        <w:t>。</w:t>
      </w:r>
    </w:p>
    <w:p>
      <w:pPr>
        <w:widowControl/>
        <w:numPr>
          <w:ilvl w:val="2"/>
          <w:numId w:val="12"/>
        </w:numPr>
        <w:overflowPunct w:val="0"/>
        <w:spacing w:line="360" w:lineRule="auto"/>
        <w:ind w:left="0" w:firstLine="0"/>
        <w:jc w:val="left"/>
        <w:rPr>
          <w:sz w:val="24"/>
        </w:rPr>
      </w:pPr>
      <w:r>
        <w:rPr>
          <w:rFonts w:hint="eastAsia"/>
          <w:sz w:val="24"/>
        </w:rPr>
        <w:t>由励磁系统故障造成的发电机强迫停机次数不大于</w:t>
      </w:r>
      <w:r>
        <w:rPr>
          <w:sz w:val="24"/>
        </w:rPr>
        <w:t>0.25</w:t>
      </w:r>
      <w:r>
        <w:rPr>
          <w:rFonts w:hint="eastAsia"/>
          <w:sz w:val="24"/>
        </w:rPr>
        <w:t>次</w:t>
      </w:r>
      <w:r>
        <w:rPr>
          <w:sz w:val="24"/>
        </w:rPr>
        <w:t xml:space="preserve">/ </w:t>
      </w:r>
      <w:r>
        <w:rPr>
          <w:rFonts w:hint="eastAsia"/>
          <w:sz w:val="24"/>
        </w:rPr>
        <w:t>年，励磁系统强行切除率不大于</w:t>
      </w:r>
      <w:r>
        <w:rPr>
          <w:sz w:val="24"/>
        </w:rPr>
        <w:t>0.1%</w:t>
      </w:r>
      <w:r>
        <w:rPr>
          <w:rFonts w:hint="eastAsia"/>
          <w:sz w:val="24"/>
        </w:rPr>
        <w:t>。</w:t>
      </w:r>
    </w:p>
    <w:p>
      <w:pPr>
        <w:widowControl/>
        <w:numPr>
          <w:ilvl w:val="2"/>
          <w:numId w:val="12"/>
        </w:numPr>
        <w:overflowPunct w:val="0"/>
        <w:spacing w:line="360" w:lineRule="auto"/>
        <w:ind w:left="0" w:firstLine="0"/>
        <w:jc w:val="left"/>
        <w:rPr>
          <w:sz w:val="24"/>
        </w:rPr>
      </w:pPr>
      <w:r>
        <w:rPr>
          <w:rFonts w:hint="eastAsia"/>
          <w:sz w:val="24"/>
        </w:rPr>
        <w:t>当</w:t>
      </w:r>
      <w:r>
        <w:rPr>
          <w:rFonts w:hint="eastAsia" w:hAnsi="宋体"/>
          <w:sz w:val="24"/>
        </w:rPr>
        <w:t>发电机</w:t>
      </w:r>
      <w:r>
        <w:rPr>
          <w:rFonts w:hint="eastAsia"/>
          <w:sz w:val="24"/>
        </w:rPr>
        <w:t>的励磁电压和电流不超过其额定值的</w:t>
      </w:r>
      <w:r>
        <w:rPr>
          <w:sz w:val="24"/>
        </w:rPr>
        <w:t>1</w:t>
      </w:r>
      <w:r>
        <w:rPr>
          <w:rFonts w:hint="eastAsia"/>
          <w:sz w:val="24"/>
        </w:rPr>
        <w:t>.</w:t>
      </w:r>
      <w:r>
        <w:rPr>
          <w:sz w:val="24"/>
        </w:rPr>
        <w:t>1</w:t>
      </w:r>
      <w:r>
        <w:rPr>
          <w:rFonts w:hint="eastAsia"/>
          <w:sz w:val="24"/>
        </w:rPr>
        <w:t>倍时，励磁系统应保证连续运行，并且没有死区。</w:t>
      </w:r>
    </w:p>
    <w:p>
      <w:pPr>
        <w:widowControl/>
        <w:numPr>
          <w:ilvl w:val="2"/>
          <w:numId w:val="12"/>
        </w:numPr>
        <w:overflowPunct w:val="0"/>
        <w:spacing w:line="360" w:lineRule="auto"/>
        <w:ind w:left="0" w:firstLine="0"/>
        <w:jc w:val="left"/>
        <w:rPr>
          <w:rFonts w:hint="eastAsia" w:hAnsi="宋体"/>
          <w:sz w:val="24"/>
        </w:rPr>
      </w:pPr>
      <w:r>
        <w:rPr>
          <w:rFonts w:hint="eastAsia"/>
          <w:sz w:val="24"/>
        </w:rPr>
        <w:t>励磁</w:t>
      </w:r>
      <w:r>
        <w:rPr>
          <w:rFonts w:hint="eastAsia" w:hAnsi="宋体"/>
          <w:sz w:val="24"/>
        </w:rPr>
        <w:t>系统应具有短时过载能力，强励电流倍数应大于等于</w:t>
      </w:r>
      <w:r>
        <w:rPr>
          <w:rFonts w:hAnsi="宋体"/>
          <w:sz w:val="24"/>
        </w:rPr>
        <w:t>2</w:t>
      </w:r>
      <w:r>
        <w:rPr>
          <w:rFonts w:hint="eastAsia" w:hAnsi="宋体"/>
          <w:sz w:val="24"/>
        </w:rPr>
        <w:t>，允许强励时间为</w:t>
      </w:r>
      <w:r>
        <w:rPr>
          <w:rFonts w:hAnsi="宋体"/>
          <w:sz w:val="24"/>
        </w:rPr>
        <w:t>10</w:t>
      </w:r>
      <w:r>
        <w:rPr>
          <w:rFonts w:hint="eastAsia" w:hAnsi="宋体"/>
          <w:sz w:val="24"/>
        </w:rPr>
        <w:t>-</w:t>
      </w:r>
      <w:r>
        <w:rPr>
          <w:rFonts w:hAnsi="宋体"/>
          <w:sz w:val="24"/>
        </w:rPr>
        <w:t>20</w:t>
      </w:r>
      <w:r>
        <w:rPr>
          <w:rFonts w:hint="eastAsia" w:hAnsi="宋体"/>
          <w:sz w:val="24"/>
        </w:rPr>
        <w:t>秒。</w:t>
      </w:r>
    </w:p>
    <w:p>
      <w:pPr>
        <w:widowControl/>
        <w:numPr>
          <w:ilvl w:val="2"/>
          <w:numId w:val="12"/>
        </w:numPr>
        <w:overflowPunct w:val="0"/>
        <w:spacing w:line="360" w:lineRule="auto"/>
        <w:ind w:left="0" w:firstLine="0"/>
        <w:jc w:val="left"/>
        <w:rPr>
          <w:rFonts w:hint="eastAsia" w:hAnsi="宋体"/>
          <w:sz w:val="24"/>
        </w:rPr>
      </w:pPr>
      <w:r>
        <w:rPr>
          <w:rFonts w:hint="eastAsia" w:hAnsi="宋体"/>
          <w:sz w:val="24"/>
        </w:rPr>
        <w:t>励磁系统响应比即电压上升速度，不低于2倍额定励磁电压/秒。</w:t>
      </w:r>
    </w:p>
    <w:p>
      <w:pPr>
        <w:widowControl/>
        <w:numPr>
          <w:ilvl w:val="2"/>
          <w:numId w:val="12"/>
        </w:numPr>
        <w:overflowPunct w:val="0"/>
        <w:spacing w:line="360" w:lineRule="auto"/>
        <w:ind w:left="0" w:firstLine="0"/>
        <w:jc w:val="left"/>
        <w:rPr>
          <w:rFonts w:hint="eastAsia" w:hAnsi="宋体"/>
          <w:sz w:val="24"/>
        </w:rPr>
      </w:pPr>
      <w:r>
        <w:rPr>
          <w:rFonts w:hint="eastAsia" w:hAnsi="宋体"/>
          <w:sz w:val="24"/>
        </w:rPr>
        <w:t>发电机电压控制精度（从空载到满载电压变化），应不大于额定电压的</w:t>
      </w:r>
      <w:r>
        <w:rPr>
          <w:rFonts w:hAnsi="宋体"/>
          <w:sz w:val="24"/>
        </w:rPr>
        <w:t>0.5</w:t>
      </w:r>
      <w:r>
        <w:rPr>
          <w:rFonts w:hint="eastAsia" w:hAnsi="宋体"/>
          <w:sz w:val="24"/>
        </w:rPr>
        <w:t>％。</w:t>
      </w:r>
    </w:p>
    <w:p>
      <w:pPr>
        <w:widowControl/>
        <w:numPr>
          <w:ilvl w:val="2"/>
          <w:numId w:val="12"/>
        </w:numPr>
        <w:overflowPunct w:val="0"/>
        <w:spacing w:line="360" w:lineRule="auto"/>
        <w:ind w:left="0" w:firstLine="0"/>
        <w:jc w:val="left"/>
        <w:rPr>
          <w:rFonts w:hint="eastAsia" w:hAnsi="宋体"/>
          <w:sz w:val="24"/>
        </w:rPr>
      </w:pPr>
      <w:r>
        <w:rPr>
          <w:rFonts w:hint="eastAsia" w:hAnsi="宋体"/>
          <w:sz w:val="24"/>
        </w:rPr>
        <w:t>自动励磁调节器的调压范围，发电机空载时应能在3</w:t>
      </w:r>
      <w:r>
        <w:rPr>
          <w:rFonts w:hAnsi="宋体"/>
          <w:sz w:val="24"/>
        </w:rPr>
        <w:t>0</w:t>
      </w:r>
      <w:r>
        <w:rPr>
          <w:rFonts w:hint="eastAsia" w:hAnsi="宋体"/>
          <w:sz w:val="24"/>
        </w:rPr>
        <w:t>-</w:t>
      </w:r>
      <w:r>
        <w:rPr>
          <w:rFonts w:hAnsi="宋体"/>
          <w:sz w:val="24"/>
        </w:rPr>
        <w:t>110</w:t>
      </w:r>
      <w:r>
        <w:rPr>
          <w:rFonts w:hint="eastAsia" w:hAnsi="宋体"/>
          <w:sz w:val="24"/>
        </w:rPr>
        <w:t>％额定电压范围内稳定平滑调节，整定电压的分辨率应不大于额定电压的</w:t>
      </w:r>
      <w:r>
        <w:rPr>
          <w:rFonts w:hAnsi="宋体"/>
          <w:sz w:val="24"/>
        </w:rPr>
        <w:t>0.2</w:t>
      </w:r>
      <w:r>
        <w:rPr>
          <w:rFonts w:hint="eastAsia" w:hAnsi="宋体"/>
          <w:sz w:val="24"/>
        </w:rPr>
        <w:t>％。手动调压范围，下限不得高于发电机空载励磁电流的</w:t>
      </w:r>
      <w:r>
        <w:rPr>
          <w:rFonts w:hAnsi="宋体"/>
          <w:sz w:val="24"/>
        </w:rPr>
        <w:t>20</w:t>
      </w:r>
      <w:r>
        <w:rPr>
          <w:rFonts w:hint="eastAsia" w:hAnsi="宋体"/>
          <w:sz w:val="24"/>
        </w:rPr>
        <w:t>％，上限不得低于发电机额定励磁电流的</w:t>
      </w:r>
      <w:r>
        <w:rPr>
          <w:rFonts w:hAnsi="宋体"/>
          <w:sz w:val="24"/>
        </w:rPr>
        <w:t>1</w:t>
      </w:r>
      <w:r>
        <w:rPr>
          <w:rFonts w:hint="eastAsia" w:hAnsi="宋体"/>
          <w:sz w:val="24"/>
        </w:rPr>
        <w:t>1</w:t>
      </w:r>
      <w:r>
        <w:rPr>
          <w:rFonts w:hAnsi="宋体"/>
          <w:sz w:val="24"/>
        </w:rPr>
        <w:t>0</w:t>
      </w:r>
      <w:r>
        <w:rPr>
          <w:rFonts w:hint="eastAsia" w:hAnsi="宋体"/>
          <w:sz w:val="24"/>
        </w:rPr>
        <w:t>％。手动方式运行时，发电机电压调节范围不小于20%-130%。</w:t>
      </w:r>
    </w:p>
    <w:p>
      <w:pPr>
        <w:widowControl/>
        <w:numPr>
          <w:ilvl w:val="2"/>
          <w:numId w:val="12"/>
        </w:numPr>
        <w:overflowPunct w:val="0"/>
        <w:spacing w:line="360" w:lineRule="auto"/>
        <w:ind w:left="0" w:firstLine="0"/>
        <w:jc w:val="left"/>
        <w:rPr>
          <w:sz w:val="24"/>
        </w:rPr>
      </w:pPr>
      <w:r>
        <w:rPr>
          <w:rFonts w:hint="eastAsia" w:hAnsi="宋体"/>
          <w:sz w:val="24"/>
        </w:rPr>
        <w:t>电压频率特性，当发电机空载频率变化为额定频率值的±</w:t>
      </w:r>
      <w:r>
        <w:rPr>
          <w:rFonts w:hAnsi="宋体"/>
          <w:sz w:val="24"/>
        </w:rPr>
        <w:t>1</w:t>
      </w:r>
      <w:r>
        <w:rPr>
          <w:rFonts w:hint="eastAsia" w:hAnsi="宋体"/>
          <w:sz w:val="24"/>
        </w:rPr>
        <w:t>％，其端电压变化应不大于额定值的±</w:t>
      </w:r>
      <w:r>
        <w:rPr>
          <w:rFonts w:hAnsi="宋体"/>
          <w:sz w:val="24"/>
        </w:rPr>
        <w:t>0.25</w:t>
      </w:r>
      <w:r>
        <w:rPr>
          <w:rFonts w:hint="eastAsia" w:hAnsi="宋体"/>
          <w:sz w:val="24"/>
        </w:rPr>
        <w:t>％。</w:t>
      </w:r>
      <w:r>
        <w:rPr>
          <w:rFonts w:hint="eastAsia"/>
          <w:sz w:val="24"/>
        </w:rPr>
        <w:t>在发电机空载运行状态下，自动励磁调节器调压速度，应不大于发电机额定电压值的</w:t>
      </w:r>
      <w:r>
        <w:rPr>
          <w:sz w:val="24"/>
        </w:rPr>
        <w:t>1</w:t>
      </w:r>
      <w:r>
        <w:rPr>
          <w:rFonts w:hint="eastAsia"/>
          <w:sz w:val="24"/>
        </w:rPr>
        <w:t>％／秒，不小于发电机额定电压值的</w:t>
      </w:r>
      <w:r>
        <w:rPr>
          <w:sz w:val="24"/>
        </w:rPr>
        <w:t>0.3</w:t>
      </w:r>
      <w:r>
        <w:rPr>
          <w:rFonts w:hint="eastAsia"/>
          <w:sz w:val="24"/>
        </w:rPr>
        <w:t>％／秒。</w:t>
      </w:r>
    </w:p>
    <w:p>
      <w:pPr>
        <w:widowControl/>
        <w:numPr>
          <w:ilvl w:val="2"/>
          <w:numId w:val="12"/>
        </w:numPr>
        <w:overflowPunct w:val="0"/>
        <w:spacing w:line="360" w:lineRule="auto"/>
        <w:ind w:left="0" w:firstLine="0"/>
        <w:jc w:val="left"/>
        <w:rPr>
          <w:rFonts w:hint="eastAsia" w:hAnsi="宋体"/>
          <w:sz w:val="24"/>
        </w:rPr>
      </w:pPr>
      <w:r>
        <w:rPr>
          <w:rFonts w:hint="eastAsia"/>
          <w:sz w:val="24"/>
        </w:rPr>
        <w:t>发电机调</w:t>
      </w:r>
      <w:r>
        <w:rPr>
          <w:rFonts w:hint="eastAsia" w:hAnsi="宋体"/>
          <w:sz w:val="24"/>
        </w:rPr>
        <w:t>差率为±</w:t>
      </w:r>
      <w:r>
        <w:rPr>
          <w:rFonts w:hAnsi="宋体"/>
          <w:sz w:val="24"/>
        </w:rPr>
        <w:t>1</w:t>
      </w:r>
      <w:r>
        <w:rPr>
          <w:rFonts w:hint="eastAsia" w:hAnsi="宋体"/>
          <w:sz w:val="24"/>
        </w:rPr>
        <w:t>5％连续可调。</w:t>
      </w:r>
    </w:p>
    <w:p>
      <w:pPr>
        <w:widowControl/>
        <w:numPr>
          <w:ilvl w:val="2"/>
          <w:numId w:val="12"/>
        </w:numPr>
        <w:overflowPunct w:val="0"/>
        <w:spacing w:line="360" w:lineRule="auto"/>
        <w:ind w:left="0" w:firstLine="0"/>
        <w:jc w:val="left"/>
        <w:rPr>
          <w:sz w:val="24"/>
        </w:rPr>
      </w:pPr>
      <w:r>
        <w:rPr>
          <w:rFonts w:hint="eastAsia" w:hAnsi="宋体"/>
          <w:sz w:val="24"/>
        </w:rPr>
        <w:t>发电机转子回路应装设有过电压保护，该保护具有合适的能容值，宜具有过电压动作报警输出功能，能满足发电机在空载误强励下不会造成发电机本身元件损坏，其动作电压的分散性应不大于±</w:t>
      </w:r>
      <w:r>
        <w:rPr>
          <w:rFonts w:hAnsi="宋体"/>
          <w:sz w:val="24"/>
        </w:rPr>
        <w:t>10</w:t>
      </w:r>
      <w:r>
        <w:rPr>
          <w:rFonts w:hint="eastAsia" w:hAnsi="宋体"/>
          <w:sz w:val="24"/>
        </w:rPr>
        <w:t>％，励磁装置的可控硅元件及其它设备应能承受直流侧短路故障、发电机滑极、异步运行等工况而不损坏。</w:t>
      </w:r>
    </w:p>
    <w:p>
      <w:pPr>
        <w:widowControl/>
        <w:numPr>
          <w:ilvl w:val="2"/>
          <w:numId w:val="12"/>
        </w:numPr>
        <w:overflowPunct w:val="0"/>
        <w:spacing w:line="360" w:lineRule="auto"/>
        <w:ind w:left="0" w:firstLine="0"/>
        <w:jc w:val="left"/>
        <w:rPr>
          <w:sz w:val="24"/>
        </w:rPr>
      </w:pPr>
      <w:r>
        <w:rPr>
          <w:rFonts w:hint="eastAsia" w:hAnsi="宋体"/>
          <w:sz w:val="24"/>
        </w:rPr>
        <w:t>发电机的励磁系统应能满足发电机在各种运行工况下安全可靠励磁的要求。该系统应能自动地调整</w:t>
      </w:r>
      <w:r>
        <w:rPr>
          <w:rFonts w:hint="eastAsia"/>
          <w:sz w:val="24"/>
        </w:rPr>
        <w:t>和维持发电机电压为额定值，设有完善的保护、限制、信号报警装置。</w:t>
      </w:r>
    </w:p>
    <w:p>
      <w:pPr>
        <w:overflowPunct w:val="0"/>
        <w:spacing w:line="360" w:lineRule="auto"/>
        <w:jc w:val="left"/>
        <w:rPr>
          <w:sz w:val="24"/>
        </w:rPr>
      </w:pPr>
      <w:r>
        <w:rPr>
          <w:rFonts w:hint="eastAsia"/>
          <w:sz w:val="24"/>
        </w:rPr>
        <w:t>（1）允许强励电流倍数不低于</w:t>
      </w:r>
      <w:r>
        <w:rPr>
          <w:sz w:val="24"/>
        </w:rPr>
        <w:t>2</w:t>
      </w:r>
      <w:r>
        <w:rPr>
          <w:rFonts w:hint="eastAsia"/>
          <w:sz w:val="24"/>
        </w:rPr>
        <w:t>倍，顶值电压倍数大于2.25倍，且当发电机机端电压降至</w:t>
      </w:r>
      <w:r>
        <w:rPr>
          <w:sz w:val="24"/>
        </w:rPr>
        <w:t>80</w:t>
      </w:r>
      <w:r>
        <w:rPr>
          <w:rFonts w:hint="eastAsia"/>
          <w:sz w:val="24"/>
        </w:rPr>
        <w:t>％时，仍能有</w:t>
      </w:r>
      <w:r>
        <w:rPr>
          <w:sz w:val="24"/>
        </w:rPr>
        <w:t>2</w:t>
      </w:r>
      <w:r>
        <w:rPr>
          <w:rFonts w:hint="eastAsia"/>
          <w:sz w:val="24"/>
        </w:rPr>
        <w:t>倍强行励磁的能力，其长期输出电流应不小于</w:t>
      </w:r>
      <w:r>
        <w:rPr>
          <w:sz w:val="24"/>
        </w:rPr>
        <w:t>1.1</w:t>
      </w:r>
      <w:r>
        <w:rPr>
          <w:rFonts w:hint="eastAsia"/>
          <w:sz w:val="24"/>
        </w:rPr>
        <w:t>倍的发电机最大连续出力工况下的励磁电流能力。</w:t>
      </w:r>
    </w:p>
    <w:p>
      <w:pPr>
        <w:overflowPunct w:val="0"/>
        <w:spacing w:line="360" w:lineRule="auto"/>
        <w:jc w:val="left"/>
        <w:rPr>
          <w:sz w:val="24"/>
        </w:rPr>
      </w:pPr>
      <w:r>
        <w:rPr>
          <w:rFonts w:hint="eastAsia"/>
          <w:sz w:val="24"/>
        </w:rPr>
        <w:t>（2）起励电源容量应满足发电机建压大于20%额定电压的要求。</w:t>
      </w:r>
    </w:p>
    <w:p>
      <w:pPr>
        <w:overflowPunct w:val="0"/>
        <w:spacing w:line="360" w:lineRule="auto"/>
        <w:jc w:val="left"/>
        <w:rPr>
          <w:sz w:val="24"/>
        </w:rPr>
      </w:pPr>
      <w:r>
        <w:rPr>
          <w:rFonts w:hint="eastAsia"/>
          <w:sz w:val="24"/>
        </w:rPr>
        <w:t>（3）在发电机满发时，系统事故导致发电机机端电压低于20％的额定电压值时，可控硅应保证可靠导通，发电机不失磁。</w:t>
      </w:r>
    </w:p>
    <w:p>
      <w:pPr>
        <w:overflowPunct w:val="0"/>
        <w:spacing w:line="360" w:lineRule="auto"/>
        <w:jc w:val="left"/>
        <w:rPr>
          <w:sz w:val="24"/>
        </w:rPr>
      </w:pPr>
      <w:r>
        <w:rPr>
          <w:rFonts w:hint="eastAsia"/>
          <w:sz w:val="24"/>
        </w:rPr>
        <w:t>（4）励磁电源变压器选用金盘、顺特、特变电工或相当于，请分别报价并按最高价计入总价。变压器应采用三相户内环氧树脂浇注干式变压器，Yd11接线，F级绝缘(温升按B级考核)，绕组导体材料为铜，变压器箱体防护等级为I</w:t>
      </w:r>
      <w:r>
        <w:rPr>
          <w:sz w:val="24"/>
        </w:rPr>
        <w:t>P21</w:t>
      </w:r>
      <w:r>
        <w:rPr>
          <w:rFonts w:hint="eastAsia"/>
          <w:sz w:val="24"/>
        </w:rPr>
        <w:t>。励磁变压器的容量应满足强励、发热(包括整流负载电流分量中高次谐波)及在厂用电（厂用电电压10kV）他励方式下，汽轮发电机空载试验时130％额定机端电压的要求，还应有承受过电压、内部短路以及在额定容量的1.1倍稳定运行的能力。其V-A特性线性度好，一次绕组和二次绕组应有静电屏蔽。励磁变压器应带有外壳、风机、温控器，并有与外部的接口设计。励磁变配置各相绕组温度传感器、每相报警接点不少于2对，并具备模拟量（通讯）远传功能。励磁变箱体应配置电源转接箱，各台冷却风机电源应独立取自转接箱内独立的空开。</w:t>
      </w:r>
    </w:p>
    <w:p>
      <w:pPr>
        <w:overflowPunct w:val="0"/>
        <w:spacing w:line="360" w:lineRule="auto"/>
        <w:jc w:val="left"/>
        <w:rPr>
          <w:sz w:val="24"/>
        </w:rPr>
      </w:pPr>
      <w:r>
        <w:rPr>
          <w:rFonts w:hint="eastAsia"/>
          <w:sz w:val="24"/>
        </w:rPr>
        <w:t>（5）励磁变压器三相电压不平衡度不大于2%，短时不超过4%，承受2倍额定电流下的过载时间不小于20s，并考虑绕组中谐波电流引起的发热；其高压侧应装设电流互感器，电流互感器配置(准确度等级及变比）可以满足电流速断、过流保护相关要求。高压侧至少可装两组电流互感器，参数联络会上定，其低压侧应有过电压保护装置。</w:t>
      </w:r>
    </w:p>
    <w:p>
      <w:pPr>
        <w:overflowPunct w:val="0"/>
        <w:spacing w:line="360" w:lineRule="auto"/>
        <w:jc w:val="left"/>
        <w:rPr>
          <w:sz w:val="24"/>
          <w:szCs w:val="24"/>
        </w:rPr>
      </w:pPr>
      <w:r>
        <w:rPr>
          <w:rFonts w:hint="eastAsia"/>
          <w:sz w:val="24"/>
        </w:rPr>
        <w:t>（6）励磁变压器具有与高压侧绝缘母线及低压侧电缆的接口，接口设计应与母线厂家协调沟通。</w:t>
      </w:r>
    </w:p>
    <w:p>
      <w:pPr>
        <w:overflowPunct w:val="0"/>
        <w:spacing w:line="360" w:lineRule="auto"/>
        <w:jc w:val="left"/>
        <w:rPr>
          <w:sz w:val="24"/>
        </w:rPr>
      </w:pPr>
      <w:r>
        <w:rPr>
          <w:rFonts w:hint="eastAsia"/>
          <w:sz w:val="24"/>
        </w:rPr>
        <w:t>（7）励磁控制系统开环频率特性的增益裕量G</w:t>
      </w:r>
      <w:r>
        <w:rPr>
          <w:sz w:val="24"/>
        </w:rPr>
        <w:t>m</w:t>
      </w:r>
      <w:r>
        <w:rPr>
          <w:rFonts w:hint="eastAsia"/>
          <w:sz w:val="24"/>
        </w:rPr>
        <w:t>≥6</w:t>
      </w:r>
      <w:r>
        <w:rPr>
          <w:sz w:val="24"/>
        </w:rPr>
        <w:t>db</w:t>
      </w:r>
      <w:r>
        <w:rPr>
          <w:rFonts w:hint="eastAsia"/>
          <w:sz w:val="24"/>
        </w:rPr>
        <w:t>，相角裕量φ</w:t>
      </w:r>
      <w:r>
        <w:rPr>
          <w:sz w:val="24"/>
        </w:rPr>
        <w:t>m</w:t>
      </w:r>
      <w:r>
        <w:rPr>
          <w:rFonts w:hint="eastAsia"/>
          <w:sz w:val="24"/>
        </w:rPr>
        <w:t>≥</w:t>
      </w:r>
      <w:r>
        <w:rPr>
          <w:sz w:val="24"/>
        </w:rPr>
        <w:t>40</w:t>
      </w:r>
      <w:r>
        <w:rPr>
          <w:rFonts w:hint="eastAsia"/>
          <w:sz w:val="24"/>
        </w:rPr>
        <w:t>°。</w:t>
      </w:r>
    </w:p>
    <w:p>
      <w:pPr>
        <w:widowControl/>
        <w:numPr>
          <w:ilvl w:val="2"/>
          <w:numId w:val="12"/>
        </w:numPr>
        <w:overflowPunct w:val="0"/>
        <w:spacing w:line="360" w:lineRule="auto"/>
        <w:ind w:left="0" w:firstLine="0"/>
        <w:jc w:val="left"/>
        <w:rPr>
          <w:rFonts w:hint="eastAsia" w:hAnsi="宋体"/>
          <w:sz w:val="24"/>
        </w:rPr>
      </w:pPr>
      <w:r>
        <w:rPr>
          <w:rFonts w:hint="eastAsia"/>
          <w:sz w:val="24"/>
        </w:rPr>
        <w:t>在第一</w:t>
      </w:r>
      <w:r>
        <w:rPr>
          <w:rFonts w:hint="eastAsia" w:hAnsi="宋体"/>
          <w:sz w:val="24"/>
        </w:rPr>
        <w:t>个发电机大修周期内，硅整流元件不应有疲劳损坏或明显特性改变。整流元件在安装前必须严格检测，保证各并联元件性能一致。</w:t>
      </w:r>
    </w:p>
    <w:p>
      <w:pPr>
        <w:widowControl/>
        <w:numPr>
          <w:ilvl w:val="2"/>
          <w:numId w:val="12"/>
        </w:numPr>
        <w:overflowPunct w:val="0"/>
        <w:spacing w:line="360" w:lineRule="auto"/>
        <w:ind w:left="0" w:firstLine="0"/>
        <w:jc w:val="left"/>
        <w:rPr>
          <w:rFonts w:hint="eastAsia" w:hAnsi="宋体"/>
          <w:sz w:val="24"/>
        </w:rPr>
      </w:pPr>
      <w:r>
        <w:rPr>
          <w:rFonts w:hint="eastAsia" w:hAnsi="宋体"/>
          <w:sz w:val="24"/>
        </w:rPr>
        <w:t>整流装置的零部件（包括但不限于此：整流元件及控制板等）损坏时，投标人应保证提供可更换的零部件。</w:t>
      </w:r>
    </w:p>
    <w:p>
      <w:pPr>
        <w:widowControl/>
        <w:numPr>
          <w:ilvl w:val="2"/>
          <w:numId w:val="12"/>
        </w:numPr>
        <w:overflowPunct w:val="0"/>
        <w:spacing w:line="360" w:lineRule="auto"/>
        <w:ind w:left="0" w:firstLine="0"/>
        <w:jc w:val="left"/>
        <w:rPr>
          <w:rFonts w:hint="eastAsia" w:hAnsi="宋体"/>
          <w:sz w:val="24"/>
        </w:rPr>
      </w:pPr>
      <w:r>
        <w:rPr>
          <w:rFonts w:hint="eastAsia" w:hAnsi="宋体"/>
          <w:sz w:val="24"/>
        </w:rPr>
        <w:t>整流装置并联元件应有均流措施，整流元件的均流系数不低于</w:t>
      </w:r>
      <w:r>
        <w:rPr>
          <w:rFonts w:hAnsi="宋体"/>
          <w:sz w:val="24"/>
        </w:rPr>
        <w:t>0.</w:t>
      </w:r>
      <w:r>
        <w:rPr>
          <w:rFonts w:hint="eastAsia" w:hAnsi="宋体"/>
          <w:sz w:val="24"/>
        </w:rPr>
        <w:t>9，需配置智能均流方式。</w:t>
      </w:r>
    </w:p>
    <w:p>
      <w:pPr>
        <w:widowControl/>
        <w:numPr>
          <w:ilvl w:val="2"/>
          <w:numId w:val="12"/>
        </w:numPr>
        <w:overflowPunct w:val="0"/>
        <w:spacing w:line="360" w:lineRule="auto"/>
        <w:ind w:left="0" w:firstLine="0"/>
        <w:jc w:val="left"/>
        <w:rPr>
          <w:sz w:val="24"/>
        </w:rPr>
      </w:pPr>
      <w:r>
        <w:rPr>
          <w:rFonts w:hint="eastAsia" w:hAnsi="宋体"/>
          <w:sz w:val="24"/>
        </w:rPr>
        <w:t>整流装置的并联支</w:t>
      </w:r>
      <w:r>
        <w:rPr>
          <w:rFonts w:hint="eastAsia"/>
          <w:sz w:val="24"/>
        </w:rPr>
        <w:t>路为2个，有1支路退出运行时，应能满足包括强励在内的所有运行工况的需要。</w:t>
      </w:r>
    </w:p>
    <w:p>
      <w:pPr>
        <w:widowControl/>
        <w:numPr>
          <w:ilvl w:val="2"/>
          <w:numId w:val="12"/>
        </w:numPr>
        <w:overflowPunct w:val="0"/>
        <w:spacing w:line="360" w:lineRule="auto"/>
        <w:ind w:left="0" w:firstLine="0"/>
        <w:jc w:val="left"/>
        <w:rPr>
          <w:rFonts w:hint="eastAsia" w:hAnsi="宋体"/>
          <w:sz w:val="24"/>
        </w:rPr>
      </w:pPr>
      <w:r>
        <w:rPr>
          <w:rFonts w:hint="eastAsia"/>
          <w:sz w:val="24"/>
        </w:rPr>
        <w:t>距整流</w:t>
      </w:r>
      <w:r>
        <w:rPr>
          <w:rFonts w:hint="eastAsia" w:hAnsi="宋体"/>
          <w:sz w:val="24"/>
        </w:rPr>
        <w:t>柜1米处的噪音不大于80</w:t>
      </w:r>
      <w:r>
        <w:rPr>
          <w:rFonts w:hAnsi="宋体"/>
          <w:sz w:val="24"/>
        </w:rPr>
        <w:t>dB</w:t>
      </w:r>
      <w:r>
        <w:rPr>
          <w:rFonts w:hint="eastAsia" w:hAnsi="宋体"/>
          <w:sz w:val="24"/>
        </w:rPr>
        <w:t>（A声级）。</w:t>
      </w:r>
    </w:p>
    <w:p>
      <w:pPr>
        <w:widowControl/>
        <w:numPr>
          <w:ilvl w:val="2"/>
          <w:numId w:val="12"/>
        </w:numPr>
        <w:overflowPunct w:val="0"/>
        <w:spacing w:line="360" w:lineRule="auto"/>
        <w:ind w:left="0" w:firstLine="0"/>
        <w:jc w:val="left"/>
        <w:rPr>
          <w:sz w:val="24"/>
        </w:rPr>
      </w:pPr>
      <w:r>
        <w:rPr>
          <w:rFonts w:hint="eastAsia" w:hAnsi="宋体"/>
          <w:sz w:val="24"/>
        </w:rPr>
        <w:t>整流柜的控制系统应先进可靠，可实现远方程控，并具有与</w:t>
      </w:r>
      <w:r>
        <w:rPr>
          <w:rFonts w:hAnsi="宋体"/>
          <w:sz w:val="24"/>
        </w:rPr>
        <w:t>DCS</w:t>
      </w:r>
      <w:r>
        <w:rPr>
          <w:rFonts w:hint="eastAsia" w:hAnsi="宋体"/>
          <w:sz w:val="24"/>
        </w:rPr>
        <w:t>系统的接口。空气冷却系统中，应采用可靠的低噪声风机，进风口应有过滤装置，并有备用风机，运行</w:t>
      </w:r>
      <w:r>
        <w:rPr>
          <w:rFonts w:hint="eastAsia"/>
          <w:sz w:val="24"/>
        </w:rPr>
        <w:t>过程中风机故障时，备用风机应能可靠地自动投入，并有故障、启停信号输出远传。风机平均无故障时间大于45000小时。</w:t>
      </w:r>
    </w:p>
    <w:p>
      <w:pPr>
        <w:widowControl/>
        <w:numPr>
          <w:ilvl w:val="2"/>
          <w:numId w:val="12"/>
        </w:numPr>
        <w:overflowPunct w:val="0"/>
        <w:spacing w:line="360" w:lineRule="auto"/>
        <w:ind w:left="0" w:firstLine="0"/>
        <w:jc w:val="left"/>
        <w:rPr>
          <w:rFonts w:hint="eastAsia" w:hAnsi="宋体"/>
          <w:sz w:val="24"/>
        </w:rPr>
      </w:pPr>
      <w:r>
        <w:rPr>
          <w:rFonts w:hint="eastAsia"/>
          <w:sz w:val="24"/>
        </w:rPr>
        <w:t>自动励磁电压调节器（</w:t>
      </w:r>
      <w:r>
        <w:rPr>
          <w:sz w:val="24"/>
        </w:rPr>
        <w:t>AVR</w:t>
      </w:r>
      <w:r>
        <w:rPr>
          <w:rFonts w:hint="eastAsia"/>
          <w:sz w:val="24"/>
        </w:rPr>
        <w:t>）采用数字式微处理机型装置，性能应可靠，并具有微调节和提高发电机暂态稳定的特性。其各参数（如放大倍数、时间常数、参考电压、反馈信号量等）及各功能单元的输出量应能显示和修改，显示值为实际值或标</w:t>
      </w:r>
      <w:r>
        <w:rPr>
          <w:rFonts w:hint="eastAsia" w:hAnsi="宋体"/>
          <w:sz w:val="24"/>
        </w:rPr>
        <w:t>幺值。励磁调节器应具有顶值瞬时限制、过励磁限制、过励磁保护、低励磁限制、低励磁保护、</w:t>
      </w:r>
      <w:r>
        <w:rPr>
          <w:rFonts w:hAnsi="宋体"/>
          <w:sz w:val="24"/>
        </w:rPr>
        <w:t>PT</w:t>
      </w:r>
      <w:r>
        <w:rPr>
          <w:rFonts w:hint="eastAsia" w:hAnsi="宋体"/>
          <w:sz w:val="24"/>
        </w:rPr>
        <w:t>断线、电压/频率比率限制、电力系统稳定器（PSS）等附加单元，励磁调节装置的各项限制和不正常运行时的调节通道切换应与发电机变压器组继电保护协调。并应有和</w:t>
      </w:r>
      <w:r>
        <w:rPr>
          <w:rFonts w:hAnsi="宋体"/>
          <w:sz w:val="24"/>
        </w:rPr>
        <w:t>DCS</w:t>
      </w:r>
      <w:r>
        <w:rPr>
          <w:rFonts w:hint="eastAsia" w:hAnsi="宋体"/>
          <w:sz w:val="24"/>
        </w:rPr>
        <w:t>硬接线接口及通信接口（满足DCS通信规约要求），以便能在线显示和修改参数。相关限制的计算逻辑应满足GB/T7064。</w:t>
      </w:r>
    </w:p>
    <w:p>
      <w:pPr>
        <w:widowControl/>
        <w:numPr>
          <w:ilvl w:val="2"/>
          <w:numId w:val="12"/>
        </w:numPr>
        <w:overflowPunct w:val="0"/>
        <w:spacing w:line="360" w:lineRule="auto"/>
        <w:ind w:left="0" w:firstLine="0"/>
        <w:jc w:val="left"/>
        <w:rPr>
          <w:sz w:val="24"/>
        </w:rPr>
      </w:pPr>
      <w:r>
        <w:rPr>
          <w:rFonts w:hAnsi="宋体"/>
          <w:sz w:val="24"/>
        </w:rPr>
        <w:t>AVR</w:t>
      </w:r>
      <w:r>
        <w:rPr>
          <w:rFonts w:hint="eastAsia" w:hAnsi="宋体"/>
          <w:sz w:val="24"/>
        </w:rPr>
        <w:t>中应装设恒</w:t>
      </w:r>
      <w:r>
        <w:rPr>
          <w:rFonts w:hint="eastAsia"/>
          <w:sz w:val="24"/>
        </w:rPr>
        <w:t>电压、恒无功功率、恒功率因数自动调节单元，并可选其中任一方式调节。AVR的灵敏度应让能够使机端电压保持在整个运行电压设定值的0.5%以内，同时频率和发电机的负载范围及运行温度都在正常运行范围之内。自动电压调节器所包含的设备应能不受周围环境变化的影响，和不受发电机电源频率超出设备运行范围产生的变化的影响。</w:t>
      </w:r>
    </w:p>
    <w:p>
      <w:pPr>
        <w:widowControl/>
        <w:numPr>
          <w:ilvl w:val="2"/>
          <w:numId w:val="12"/>
        </w:numPr>
        <w:overflowPunct w:val="0"/>
        <w:spacing w:line="360" w:lineRule="auto"/>
        <w:ind w:left="0" w:firstLine="0"/>
        <w:jc w:val="left"/>
        <w:rPr>
          <w:rFonts w:hint="eastAsia" w:hAnsi="宋体"/>
          <w:sz w:val="24"/>
        </w:rPr>
      </w:pPr>
      <w:r>
        <w:rPr>
          <w:rFonts w:hint="eastAsia"/>
          <w:sz w:val="24"/>
        </w:rPr>
        <w:t>为了保</w:t>
      </w:r>
      <w:r>
        <w:rPr>
          <w:rFonts w:hint="eastAsia" w:hAnsi="宋体"/>
          <w:sz w:val="24"/>
        </w:rPr>
        <w:t>证电压调节器（</w:t>
      </w:r>
      <w:r>
        <w:rPr>
          <w:rFonts w:hAnsi="宋体"/>
          <w:sz w:val="24"/>
        </w:rPr>
        <w:t>AVR</w:t>
      </w:r>
      <w:r>
        <w:rPr>
          <w:rFonts w:hint="eastAsia" w:hAnsi="宋体"/>
          <w:sz w:val="24"/>
        </w:rPr>
        <w:t>）的可靠工作，采用两路完全相同且独立的自动通道，这两个通道并联运行且互为备用方式运行。两路通道从输入到输出完全独立，按不同的PT、CT等输入独立控制。当一路调节器出现问题时，它将自动退出运行并切换至另外一路运行，并发出报警。单路调节器独立运行时，完全能满足发电机各种工况（包括强行励磁）下长期电压闭环控制运行。</w:t>
      </w:r>
    </w:p>
    <w:p>
      <w:pPr>
        <w:widowControl/>
        <w:numPr>
          <w:ilvl w:val="2"/>
          <w:numId w:val="12"/>
        </w:numPr>
        <w:overflowPunct w:val="0"/>
        <w:spacing w:line="360" w:lineRule="auto"/>
        <w:ind w:left="0" w:firstLine="0"/>
        <w:jc w:val="left"/>
        <w:rPr>
          <w:rFonts w:hint="eastAsia" w:hAnsi="宋体"/>
          <w:sz w:val="24"/>
        </w:rPr>
      </w:pPr>
      <w:r>
        <w:rPr>
          <w:rFonts w:hint="eastAsia" w:hAnsi="宋体"/>
          <w:sz w:val="24"/>
        </w:rPr>
        <w:t>励磁调节器的控制电源为两路电源，两路电源应并列运行，任意一路电源故障不影响励磁调节器的工作。</w:t>
      </w:r>
    </w:p>
    <w:p>
      <w:pPr>
        <w:widowControl/>
        <w:numPr>
          <w:ilvl w:val="2"/>
          <w:numId w:val="12"/>
        </w:numPr>
        <w:overflowPunct w:val="0"/>
        <w:spacing w:line="360" w:lineRule="auto"/>
        <w:ind w:left="0" w:firstLine="0"/>
        <w:jc w:val="left"/>
        <w:rPr>
          <w:rFonts w:hint="eastAsia" w:hAnsi="宋体"/>
          <w:sz w:val="24"/>
        </w:rPr>
      </w:pPr>
      <w:r>
        <w:rPr>
          <w:rFonts w:hint="eastAsia" w:hAnsi="宋体"/>
          <w:sz w:val="24"/>
        </w:rPr>
        <w:t>自动及手动励磁调节装置应能在－</w:t>
      </w:r>
      <w:r>
        <w:rPr>
          <w:rFonts w:hAnsi="宋体"/>
          <w:sz w:val="24"/>
        </w:rPr>
        <w:t>10</w:t>
      </w:r>
      <w:r>
        <w:rPr>
          <w:rFonts w:hint="eastAsia" w:hAnsi="宋体"/>
          <w:sz w:val="24"/>
        </w:rPr>
        <w:t>℃～＋5</w:t>
      </w:r>
      <w:r>
        <w:rPr>
          <w:rFonts w:hAnsi="宋体"/>
          <w:sz w:val="24"/>
        </w:rPr>
        <w:t>0</w:t>
      </w:r>
      <w:r>
        <w:rPr>
          <w:rFonts w:hint="eastAsia" w:hAnsi="宋体"/>
          <w:sz w:val="24"/>
        </w:rPr>
        <w:t>℃环境温度下连续运行；也能在湿度最大的月份连续运行。</w:t>
      </w:r>
    </w:p>
    <w:p>
      <w:pPr>
        <w:widowControl/>
        <w:numPr>
          <w:ilvl w:val="2"/>
          <w:numId w:val="12"/>
        </w:numPr>
        <w:overflowPunct w:val="0"/>
        <w:spacing w:line="360" w:lineRule="auto"/>
        <w:ind w:left="0" w:firstLine="0"/>
        <w:jc w:val="left"/>
        <w:rPr>
          <w:rFonts w:hint="eastAsia" w:hAnsi="宋体"/>
          <w:sz w:val="24"/>
        </w:rPr>
      </w:pPr>
      <w:r>
        <w:rPr>
          <w:rFonts w:hint="eastAsia" w:hAnsi="宋体"/>
          <w:sz w:val="24"/>
        </w:rPr>
        <w:t>采用风冷的硅整流装置应能在环境温度－</w:t>
      </w:r>
      <w:r>
        <w:rPr>
          <w:rFonts w:hAnsi="宋体"/>
          <w:sz w:val="24"/>
        </w:rPr>
        <w:t>10</w:t>
      </w:r>
      <w:r>
        <w:rPr>
          <w:rFonts w:hint="eastAsia" w:hAnsi="宋体"/>
          <w:sz w:val="24"/>
        </w:rPr>
        <w:t>℃～＋</w:t>
      </w:r>
      <w:r>
        <w:rPr>
          <w:rFonts w:hAnsi="宋体"/>
          <w:sz w:val="24"/>
        </w:rPr>
        <w:t>50</w:t>
      </w:r>
      <w:r>
        <w:rPr>
          <w:rFonts w:hint="eastAsia" w:hAnsi="宋体"/>
          <w:sz w:val="24"/>
        </w:rPr>
        <w:t>℃下连续运行。</w:t>
      </w:r>
    </w:p>
    <w:p>
      <w:pPr>
        <w:widowControl/>
        <w:numPr>
          <w:ilvl w:val="2"/>
          <w:numId w:val="12"/>
        </w:numPr>
        <w:overflowPunct w:val="0"/>
        <w:spacing w:line="360" w:lineRule="auto"/>
        <w:ind w:left="0" w:firstLine="0"/>
        <w:jc w:val="left"/>
        <w:rPr>
          <w:sz w:val="24"/>
          <w:szCs w:val="24"/>
        </w:rPr>
      </w:pPr>
      <w:r>
        <w:rPr>
          <w:rFonts w:hint="eastAsia" w:hAnsi="宋体"/>
          <w:sz w:val="24"/>
        </w:rPr>
        <w:t>应装设性能良好、运</w:t>
      </w:r>
      <w:r>
        <w:rPr>
          <w:rFonts w:hint="eastAsia"/>
          <w:sz w:val="24"/>
        </w:rPr>
        <w:t>行安全可靠的自动灭磁装置，采用直流侧灭磁方式。</w:t>
      </w:r>
      <w:r>
        <w:rPr>
          <w:rFonts w:hint="eastAsia"/>
          <w:sz w:val="24"/>
          <w:szCs w:val="24"/>
        </w:rPr>
        <w:t>磁场断路器弧压及灭磁电阻能容量等指标经过出厂设计计算，能满足正常和非正常工况下可靠灭磁（额定工况下定子三相短路及空载误强励）。</w:t>
      </w:r>
    </w:p>
    <w:p>
      <w:pPr>
        <w:widowControl/>
        <w:numPr>
          <w:ilvl w:val="2"/>
          <w:numId w:val="12"/>
        </w:numPr>
        <w:overflowPunct w:val="0"/>
        <w:spacing w:line="360" w:lineRule="auto"/>
        <w:ind w:left="0" w:firstLine="0"/>
        <w:jc w:val="left"/>
        <w:rPr>
          <w:rFonts w:hint="eastAsia" w:hAnsi="宋体"/>
          <w:sz w:val="24"/>
        </w:rPr>
      </w:pPr>
      <w:r>
        <w:rPr>
          <w:rFonts w:hint="eastAsia"/>
          <w:sz w:val="24"/>
        </w:rPr>
        <w:t>当发</w:t>
      </w:r>
      <w:r>
        <w:rPr>
          <w:rFonts w:hint="eastAsia" w:hAnsi="宋体"/>
          <w:sz w:val="24"/>
        </w:rPr>
        <w:t>电厂厂用直流和交流电源电压偏差不超过＋</w:t>
      </w:r>
      <w:r>
        <w:rPr>
          <w:rFonts w:hAnsi="宋体"/>
          <w:sz w:val="24"/>
        </w:rPr>
        <w:t>15</w:t>
      </w:r>
      <w:r>
        <w:rPr>
          <w:rFonts w:hint="eastAsia" w:hAnsi="宋体"/>
          <w:sz w:val="24"/>
        </w:rPr>
        <w:t>％～－</w:t>
      </w:r>
      <w:r>
        <w:rPr>
          <w:rFonts w:hAnsi="宋体"/>
          <w:sz w:val="24"/>
        </w:rPr>
        <w:t>15</w:t>
      </w:r>
      <w:r>
        <w:rPr>
          <w:rFonts w:hint="eastAsia" w:hAnsi="宋体"/>
          <w:sz w:val="24"/>
        </w:rPr>
        <w:t>％，交流电源电压频率偏差不超过＋</w:t>
      </w:r>
      <w:r>
        <w:rPr>
          <w:rFonts w:hAnsi="宋体"/>
          <w:sz w:val="24"/>
        </w:rPr>
        <w:t>4</w:t>
      </w:r>
      <w:r>
        <w:rPr>
          <w:rFonts w:hint="eastAsia" w:hAnsi="宋体"/>
          <w:sz w:val="24"/>
        </w:rPr>
        <w:t>％～－</w:t>
      </w:r>
      <w:r>
        <w:rPr>
          <w:rFonts w:hAnsi="宋体"/>
          <w:sz w:val="24"/>
        </w:rPr>
        <w:t>6</w:t>
      </w:r>
      <w:r>
        <w:rPr>
          <w:rFonts w:hint="eastAsia" w:hAnsi="宋体"/>
          <w:sz w:val="24"/>
        </w:rPr>
        <w:t>％时，励磁系统应能保证发电机在额定工况下正常运行。</w:t>
      </w:r>
    </w:p>
    <w:p>
      <w:pPr>
        <w:widowControl/>
        <w:numPr>
          <w:ilvl w:val="2"/>
          <w:numId w:val="12"/>
        </w:numPr>
        <w:overflowPunct w:val="0"/>
        <w:spacing w:line="360" w:lineRule="auto"/>
        <w:ind w:left="0" w:firstLine="0"/>
        <w:jc w:val="left"/>
        <w:rPr>
          <w:sz w:val="24"/>
        </w:rPr>
      </w:pPr>
      <w:r>
        <w:rPr>
          <w:rFonts w:hint="eastAsia" w:hAnsi="宋体"/>
          <w:sz w:val="24"/>
        </w:rPr>
        <w:t>励磁系统</w:t>
      </w:r>
      <w:r>
        <w:rPr>
          <w:rFonts w:hint="eastAsia"/>
          <w:sz w:val="24"/>
        </w:rPr>
        <w:t>的控制及保护</w:t>
      </w:r>
    </w:p>
    <w:p>
      <w:pPr>
        <w:widowControl/>
        <w:numPr>
          <w:ilvl w:val="0"/>
          <w:numId w:val="13"/>
        </w:numPr>
        <w:topLinePunct/>
        <w:spacing w:line="360" w:lineRule="auto"/>
        <w:jc w:val="left"/>
        <w:rPr>
          <w:sz w:val="24"/>
        </w:rPr>
      </w:pPr>
      <w:r>
        <w:rPr>
          <w:rFonts w:hint="eastAsia"/>
          <w:sz w:val="24"/>
        </w:rPr>
        <w:t>对发电机的电压、无功功率及励磁电流的调节可在就地及集中控制室中进行。</w:t>
      </w:r>
    </w:p>
    <w:p>
      <w:pPr>
        <w:widowControl/>
        <w:numPr>
          <w:ilvl w:val="0"/>
          <w:numId w:val="13"/>
        </w:numPr>
        <w:topLinePunct/>
        <w:spacing w:line="360" w:lineRule="auto"/>
        <w:jc w:val="left"/>
        <w:rPr>
          <w:sz w:val="24"/>
        </w:rPr>
      </w:pPr>
      <w:r>
        <w:rPr>
          <w:rFonts w:hint="eastAsia"/>
          <w:sz w:val="24"/>
        </w:rPr>
        <w:t>灭磁开关可就地操作和远方操作。</w:t>
      </w:r>
    </w:p>
    <w:p>
      <w:pPr>
        <w:widowControl/>
        <w:numPr>
          <w:ilvl w:val="0"/>
          <w:numId w:val="13"/>
        </w:numPr>
        <w:topLinePunct/>
        <w:spacing w:line="360" w:lineRule="auto"/>
        <w:jc w:val="left"/>
        <w:rPr>
          <w:sz w:val="24"/>
        </w:rPr>
      </w:pPr>
      <w:r>
        <w:rPr>
          <w:rFonts w:hint="eastAsia"/>
          <w:sz w:val="24"/>
        </w:rPr>
        <w:t>机组启动后，在转速达到90%～95％额定值时才允许其投入起励回路。待机端电压上升到微机调节装置能正常工作后，起励回路自动复归，机端电压自动上升到额定值。</w:t>
      </w:r>
    </w:p>
    <w:p>
      <w:pPr>
        <w:widowControl/>
        <w:numPr>
          <w:ilvl w:val="0"/>
          <w:numId w:val="13"/>
        </w:numPr>
        <w:topLinePunct/>
        <w:spacing w:line="360" w:lineRule="auto"/>
        <w:jc w:val="left"/>
        <w:rPr>
          <w:sz w:val="24"/>
        </w:rPr>
      </w:pPr>
      <w:r>
        <w:rPr>
          <w:rFonts w:hint="eastAsia"/>
          <w:sz w:val="24"/>
        </w:rPr>
        <w:t>机组正常停机时励磁调节器自动进行逆变灭磁，机组事故停机采用跳灭磁开关灭磁。</w:t>
      </w:r>
    </w:p>
    <w:p>
      <w:pPr>
        <w:widowControl/>
        <w:numPr>
          <w:ilvl w:val="0"/>
          <w:numId w:val="13"/>
        </w:numPr>
        <w:topLinePunct/>
        <w:spacing w:line="360" w:lineRule="auto"/>
        <w:jc w:val="left"/>
        <w:rPr>
          <w:sz w:val="24"/>
        </w:rPr>
      </w:pPr>
      <w:r>
        <w:rPr>
          <w:rFonts w:hint="eastAsia"/>
          <w:sz w:val="24"/>
        </w:rPr>
        <w:t>励磁系统装设以下信号：（不限于）</w:t>
      </w:r>
    </w:p>
    <w:p>
      <w:pPr>
        <w:widowControl/>
        <w:numPr>
          <w:ilvl w:val="0"/>
          <w:numId w:val="14"/>
        </w:numPr>
        <w:tabs>
          <w:tab w:val="left" w:pos="840"/>
          <w:tab w:val="clear" w:pos="0"/>
        </w:tabs>
        <w:topLinePunct/>
        <w:spacing w:line="360" w:lineRule="auto"/>
        <w:jc w:val="left"/>
        <w:rPr>
          <w:sz w:val="24"/>
        </w:rPr>
      </w:pPr>
      <w:r>
        <w:rPr>
          <w:rFonts w:hint="eastAsia"/>
          <w:sz w:val="24"/>
        </w:rPr>
        <w:t>励磁控制回路电源故障信号；</w:t>
      </w:r>
    </w:p>
    <w:p>
      <w:pPr>
        <w:widowControl/>
        <w:numPr>
          <w:ilvl w:val="0"/>
          <w:numId w:val="14"/>
        </w:numPr>
        <w:tabs>
          <w:tab w:val="left" w:pos="840"/>
          <w:tab w:val="clear" w:pos="0"/>
        </w:tabs>
        <w:topLinePunct/>
        <w:spacing w:line="360" w:lineRule="auto"/>
        <w:jc w:val="left"/>
        <w:rPr>
          <w:sz w:val="24"/>
        </w:rPr>
      </w:pPr>
      <w:r>
        <w:rPr>
          <w:rFonts w:hint="eastAsia"/>
          <w:sz w:val="24"/>
        </w:rPr>
        <w:t>起励不成功信号；</w:t>
      </w:r>
    </w:p>
    <w:p>
      <w:pPr>
        <w:widowControl/>
        <w:numPr>
          <w:ilvl w:val="0"/>
          <w:numId w:val="14"/>
        </w:numPr>
        <w:tabs>
          <w:tab w:val="left" w:pos="840"/>
          <w:tab w:val="clear" w:pos="0"/>
        </w:tabs>
        <w:topLinePunct/>
        <w:spacing w:line="360" w:lineRule="auto"/>
        <w:jc w:val="left"/>
        <w:rPr>
          <w:sz w:val="24"/>
        </w:rPr>
      </w:pPr>
      <w:r>
        <w:rPr>
          <w:rFonts w:hint="eastAsia"/>
          <w:sz w:val="24"/>
        </w:rPr>
        <w:t>励磁绕组过电压信号；</w:t>
      </w:r>
    </w:p>
    <w:p>
      <w:pPr>
        <w:widowControl/>
        <w:numPr>
          <w:ilvl w:val="0"/>
          <w:numId w:val="14"/>
        </w:numPr>
        <w:tabs>
          <w:tab w:val="left" w:pos="840"/>
          <w:tab w:val="clear" w:pos="0"/>
        </w:tabs>
        <w:topLinePunct/>
        <w:spacing w:line="360" w:lineRule="auto"/>
        <w:jc w:val="left"/>
        <w:rPr>
          <w:sz w:val="24"/>
        </w:rPr>
      </w:pPr>
      <w:r>
        <w:rPr>
          <w:rFonts w:hint="eastAsia"/>
          <w:sz w:val="24"/>
        </w:rPr>
        <w:t>功率柜整流桥熔丝熔断信号；</w:t>
      </w:r>
    </w:p>
    <w:p>
      <w:pPr>
        <w:widowControl/>
        <w:numPr>
          <w:ilvl w:val="0"/>
          <w:numId w:val="14"/>
        </w:numPr>
        <w:tabs>
          <w:tab w:val="left" w:pos="840"/>
          <w:tab w:val="clear" w:pos="0"/>
        </w:tabs>
        <w:topLinePunct/>
        <w:spacing w:line="360" w:lineRule="auto"/>
        <w:jc w:val="left"/>
        <w:rPr>
          <w:sz w:val="24"/>
        </w:rPr>
      </w:pPr>
      <w:r>
        <w:rPr>
          <w:rFonts w:hint="eastAsia"/>
          <w:sz w:val="24"/>
        </w:rPr>
        <w:t>自动/手动切换装置动作信号；</w:t>
      </w:r>
    </w:p>
    <w:p>
      <w:pPr>
        <w:widowControl/>
        <w:numPr>
          <w:ilvl w:val="0"/>
          <w:numId w:val="14"/>
        </w:numPr>
        <w:tabs>
          <w:tab w:val="left" w:pos="840"/>
          <w:tab w:val="clear" w:pos="0"/>
        </w:tabs>
        <w:topLinePunct/>
        <w:spacing w:line="360" w:lineRule="auto"/>
        <w:jc w:val="left"/>
        <w:rPr>
          <w:sz w:val="24"/>
        </w:rPr>
      </w:pPr>
      <w:r>
        <w:rPr>
          <w:rFonts w:hint="eastAsia"/>
          <w:sz w:val="24"/>
        </w:rPr>
        <w:t>相关限制动作信号；</w:t>
      </w:r>
    </w:p>
    <w:p>
      <w:pPr>
        <w:widowControl/>
        <w:numPr>
          <w:ilvl w:val="0"/>
          <w:numId w:val="14"/>
        </w:numPr>
        <w:tabs>
          <w:tab w:val="left" w:pos="840"/>
          <w:tab w:val="clear" w:pos="0"/>
        </w:tabs>
        <w:topLinePunct/>
        <w:spacing w:line="360" w:lineRule="auto"/>
        <w:jc w:val="left"/>
        <w:rPr>
          <w:sz w:val="24"/>
        </w:rPr>
      </w:pPr>
      <w:r>
        <w:rPr>
          <w:rFonts w:hint="eastAsia"/>
          <w:sz w:val="24"/>
        </w:rPr>
        <w:t>电压互感器断线保护动作信号；</w:t>
      </w:r>
    </w:p>
    <w:p>
      <w:pPr>
        <w:widowControl/>
        <w:numPr>
          <w:ilvl w:val="0"/>
          <w:numId w:val="14"/>
        </w:numPr>
        <w:tabs>
          <w:tab w:val="left" w:pos="840"/>
          <w:tab w:val="clear" w:pos="0"/>
        </w:tabs>
        <w:topLinePunct/>
        <w:spacing w:line="360" w:lineRule="auto"/>
        <w:jc w:val="left"/>
        <w:rPr>
          <w:sz w:val="24"/>
        </w:rPr>
      </w:pPr>
      <w:r>
        <w:rPr>
          <w:rFonts w:hint="eastAsia"/>
          <w:sz w:val="24"/>
        </w:rPr>
        <w:t>功率柜冷却系统故障信号；</w:t>
      </w:r>
    </w:p>
    <w:p>
      <w:pPr>
        <w:widowControl/>
        <w:numPr>
          <w:ilvl w:val="0"/>
          <w:numId w:val="14"/>
        </w:numPr>
        <w:tabs>
          <w:tab w:val="left" w:pos="840"/>
          <w:tab w:val="clear" w:pos="0"/>
        </w:tabs>
        <w:topLinePunct/>
        <w:spacing w:line="360" w:lineRule="auto"/>
        <w:jc w:val="left"/>
        <w:rPr>
          <w:sz w:val="24"/>
        </w:rPr>
      </w:pPr>
      <w:r>
        <w:rPr>
          <w:rFonts w:hint="eastAsia"/>
          <w:sz w:val="24"/>
        </w:rPr>
        <w:t>主（备）通道调节故障（跟踪异常）信号；</w:t>
      </w:r>
    </w:p>
    <w:p>
      <w:pPr>
        <w:widowControl/>
        <w:numPr>
          <w:ilvl w:val="0"/>
          <w:numId w:val="14"/>
        </w:numPr>
        <w:tabs>
          <w:tab w:val="left" w:pos="840"/>
          <w:tab w:val="clear" w:pos="0"/>
        </w:tabs>
        <w:topLinePunct/>
        <w:spacing w:line="360" w:lineRule="auto"/>
        <w:jc w:val="left"/>
        <w:rPr>
          <w:sz w:val="24"/>
        </w:rPr>
      </w:pPr>
      <w:r>
        <w:rPr>
          <w:rFonts w:hint="eastAsia"/>
          <w:sz w:val="24"/>
        </w:rPr>
        <w:t>增磁、减磁信号；</w:t>
      </w:r>
    </w:p>
    <w:p>
      <w:pPr>
        <w:widowControl/>
        <w:numPr>
          <w:ilvl w:val="0"/>
          <w:numId w:val="14"/>
        </w:numPr>
        <w:tabs>
          <w:tab w:val="left" w:pos="840"/>
          <w:tab w:val="clear" w:pos="0"/>
        </w:tabs>
        <w:topLinePunct/>
        <w:spacing w:line="360" w:lineRule="auto"/>
        <w:jc w:val="left"/>
        <w:rPr>
          <w:sz w:val="24"/>
        </w:rPr>
      </w:pPr>
      <w:r>
        <w:rPr>
          <w:rFonts w:hint="eastAsia"/>
          <w:sz w:val="24"/>
        </w:rPr>
        <w:t>PSS投退信号。</w:t>
      </w:r>
    </w:p>
    <w:p>
      <w:pPr>
        <w:widowControl/>
        <w:numPr>
          <w:ilvl w:val="0"/>
          <w:numId w:val="14"/>
        </w:numPr>
        <w:tabs>
          <w:tab w:val="left" w:pos="840"/>
          <w:tab w:val="clear" w:pos="0"/>
        </w:tabs>
        <w:topLinePunct/>
        <w:spacing w:line="360" w:lineRule="auto"/>
        <w:jc w:val="left"/>
        <w:rPr>
          <w:sz w:val="24"/>
        </w:rPr>
      </w:pPr>
      <w:r>
        <w:rPr>
          <w:rFonts w:hint="eastAsia"/>
          <w:sz w:val="24"/>
        </w:rPr>
        <w:t>满足电力调度机构相关要求</w:t>
      </w:r>
    </w:p>
    <w:p>
      <w:pPr>
        <w:widowControl/>
        <w:numPr>
          <w:ilvl w:val="2"/>
          <w:numId w:val="12"/>
        </w:numPr>
        <w:overflowPunct w:val="0"/>
        <w:spacing w:line="360" w:lineRule="auto"/>
        <w:ind w:left="0" w:firstLine="0"/>
        <w:jc w:val="left"/>
        <w:rPr>
          <w:sz w:val="24"/>
        </w:rPr>
      </w:pPr>
      <w:r>
        <w:rPr>
          <w:rFonts w:hint="eastAsia"/>
          <w:sz w:val="24"/>
        </w:rPr>
        <w:t>微机励磁调节器具有以下功能：</w:t>
      </w:r>
    </w:p>
    <w:p>
      <w:pPr>
        <w:widowControl/>
        <w:numPr>
          <w:ilvl w:val="0"/>
          <w:numId w:val="15"/>
        </w:numPr>
        <w:topLinePunct/>
        <w:spacing w:line="360" w:lineRule="auto"/>
        <w:jc w:val="left"/>
        <w:rPr>
          <w:sz w:val="24"/>
        </w:rPr>
      </w:pPr>
      <w:r>
        <w:rPr>
          <w:rFonts w:hint="eastAsia"/>
          <w:sz w:val="24"/>
        </w:rPr>
        <w:t>恒定发电机机端电压的PID调节方式（自动方式）；</w:t>
      </w:r>
    </w:p>
    <w:p>
      <w:pPr>
        <w:widowControl/>
        <w:numPr>
          <w:ilvl w:val="0"/>
          <w:numId w:val="15"/>
        </w:numPr>
        <w:topLinePunct/>
        <w:spacing w:line="360" w:lineRule="auto"/>
        <w:jc w:val="left"/>
        <w:rPr>
          <w:sz w:val="24"/>
        </w:rPr>
      </w:pPr>
      <w:r>
        <w:rPr>
          <w:rFonts w:hint="eastAsia"/>
          <w:sz w:val="24"/>
        </w:rPr>
        <w:t>恒定发电机磁场电流的PI调节方式（手动方式）；</w:t>
      </w:r>
    </w:p>
    <w:p>
      <w:pPr>
        <w:widowControl/>
        <w:numPr>
          <w:ilvl w:val="0"/>
          <w:numId w:val="15"/>
        </w:numPr>
        <w:topLinePunct/>
        <w:spacing w:line="360" w:lineRule="auto"/>
        <w:jc w:val="left"/>
        <w:rPr>
          <w:sz w:val="24"/>
        </w:rPr>
      </w:pPr>
      <w:r>
        <w:rPr>
          <w:rFonts w:hint="eastAsia"/>
          <w:sz w:val="24"/>
        </w:rPr>
        <w:t>欠励磁限制；</w:t>
      </w:r>
    </w:p>
    <w:p>
      <w:pPr>
        <w:widowControl/>
        <w:numPr>
          <w:ilvl w:val="0"/>
          <w:numId w:val="15"/>
        </w:numPr>
        <w:topLinePunct/>
        <w:spacing w:line="360" w:lineRule="auto"/>
        <w:jc w:val="left"/>
        <w:rPr>
          <w:sz w:val="24"/>
        </w:rPr>
      </w:pPr>
      <w:r>
        <w:rPr>
          <w:rFonts w:hint="eastAsia"/>
          <w:sz w:val="24"/>
        </w:rPr>
        <w:t>过励磁限制；</w:t>
      </w:r>
    </w:p>
    <w:p>
      <w:pPr>
        <w:widowControl/>
        <w:numPr>
          <w:ilvl w:val="0"/>
          <w:numId w:val="15"/>
        </w:numPr>
        <w:topLinePunct/>
        <w:spacing w:line="360" w:lineRule="auto"/>
        <w:jc w:val="left"/>
        <w:rPr>
          <w:sz w:val="24"/>
        </w:rPr>
      </w:pPr>
      <w:r>
        <w:rPr>
          <w:rFonts w:hint="eastAsia"/>
          <w:sz w:val="24"/>
        </w:rPr>
        <w:t>正负调差和调差率大小选择；</w:t>
      </w:r>
    </w:p>
    <w:p>
      <w:pPr>
        <w:widowControl/>
        <w:numPr>
          <w:ilvl w:val="0"/>
          <w:numId w:val="15"/>
        </w:numPr>
        <w:topLinePunct/>
        <w:spacing w:line="360" w:lineRule="auto"/>
        <w:jc w:val="left"/>
        <w:rPr>
          <w:sz w:val="24"/>
        </w:rPr>
      </w:pPr>
      <w:r>
        <w:rPr>
          <w:rFonts w:hint="eastAsia"/>
          <w:sz w:val="24"/>
        </w:rPr>
        <w:t>发电机强励的反时限限制；</w:t>
      </w:r>
    </w:p>
    <w:p>
      <w:pPr>
        <w:widowControl/>
        <w:numPr>
          <w:ilvl w:val="0"/>
          <w:numId w:val="15"/>
        </w:numPr>
        <w:topLinePunct/>
        <w:spacing w:line="360" w:lineRule="auto"/>
        <w:jc w:val="left"/>
        <w:rPr>
          <w:sz w:val="24"/>
        </w:rPr>
      </w:pPr>
      <w:r>
        <w:rPr>
          <w:rFonts w:hint="eastAsia"/>
          <w:sz w:val="24"/>
        </w:rPr>
        <w:t>最大励磁电流瞬时限制；</w:t>
      </w:r>
    </w:p>
    <w:p>
      <w:pPr>
        <w:widowControl/>
        <w:numPr>
          <w:ilvl w:val="0"/>
          <w:numId w:val="15"/>
        </w:numPr>
        <w:topLinePunct/>
        <w:spacing w:line="360" w:lineRule="auto"/>
        <w:jc w:val="left"/>
        <w:rPr>
          <w:sz w:val="24"/>
        </w:rPr>
      </w:pPr>
      <w:r>
        <w:rPr>
          <w:rFonts w:hint="eastAsia"/>
          <w:sz w:val="24"/>
        </w:rPr>
        <w:t>可控硅整流柜快速熔断器熔断检测；</w:t>
      </w:r>
    </w:p>
    <w:p>
      <w:pPr>
        <w:widowControl/>
        <w:numPr>
          <w:ilvl w:val="0"/>
          <w:numId w:val="15"/>
        </w:numPr>
        <w:topLinePunct/>
        <w:spacing w:line="360" w:lineRule="auto"/>
        <w:jc w:val="left"/>
        <w:rPr>
          <w:sz w:val="24"/>
        </w:rPr>
      </w:pPr>
      <w:r>
        <w:rPr>
          <w:rFonts w:hint="eastAsia"/>
          <w:sz w:val="24"/>
        </w:rPr>
        <w:t>电压/频率（V/F）限制；</w:t>
      </w:r>
    </w:p>
    <w:p>
      <w:pPr>
        <w:widowControl/>
        <w:numPr>
          <w:ilvl w:val="0"/>
          <w:numId w:val="15"/>
        </w:numPr>
        <w:topLinePunct/>
        <w:spacing w:line="360" w:lineRule="auto"/>
        <w:jc w:val="left"/>
        <w:rPr>
          <w:sz w:val="24"/>
        </w:rPr>
      </w:pPr>
      <w:r>
        <w:rPr>
          <w:rFonts w:hint="eastAsia"/>
          <w:sz w:val="24"/>
        </w:rPr>
        <w:t>励磁用电压互感器断线的检测和保护；</w:t>
      </w:r>
    </w:p>
    <w:p>
      <w:pPr>
        <w:widowControl/>
        <w:numPr>
          <w:ilvl w:val="0"/>
          <w:numId w:val="15"/>
        </w:numPr>
        <w:topLinePunct/>
        <w:spacing w:line="360" w:lineRule="auto"/>
        <w:jc w:val="left"/>
        <w:rPr>
          <w:sz w:val="24"/>
        </w:rPr>
      </w:pPr>
      <w:r>
        <w:rPr>
          <w:rFonts w:hint="eastAsia"/>
          <w:sz w:val="24"/>
        </w:rPr>
        <w:t>软件数字整定和比较功能并具有在线整定和固化功能；</w:t>
      </w:r>
    </w:p>
    <w:p>
      <w:pPr>
        <w:widowControl/>
        <w:numPr>
          <w:ilvl w:val="0"/>
          <w:numId w:val="15"/>
        </w:numPr>
        <w:topLinePunct/>
        <w:spacing w:line="360" w:lineRule="auto"/>
        <w:jc w:val="left"/>
        <w:rPr>
          <w:sz w:val="24"/>
        </w:rPr>
      </w:pPr>
      <w:r>
        <w:rPr>
          <w:rFonts w:hint="eastAsia"/>
          <w:sz w:val="24"/>
        </w:rPr>
        <w:t>电源、硬件、软件故障检测和处理功能；</w:t>
      </w:r>
    </w:p>
    <w:p>
      <w:pPr>
        <w:widowControl/>
        <w:numPr>
          <w:ilvl w:val="0"/>
          <w:numId w:val="15"/>
        </w:numPr>
        <w:topLinePunct/>
        <w:spacing w:line="360" w:lineRule="auto"/>
        <w:jc w:val="left"/>
        <w:rPr>
          <w:sz w:val="24"/>
        </w:rPr>
      </w:pPr>
      <w:r>
        <w:rPr>
          <w:rFonts w:hint="eastAsia"/>
          <w:sz w:val="24"/>
        </w:rPr>
        <w:t>本系统具有软起励功能；</w:t>
      </w:r>
    </w:p>
    <w:p>
      <w:pPr>
        <w:widowControl/>
        <w:numPr>
          <w:ilvl w:val="0"/>
          <w:numId w:val="15"/>
        </w:numPr>
        <w:topLinePunct/>
        <w:spacing w:line="360" w:lineRule="auto"/>
        <w:jc w:val="left"/>
        <w:rPr>
          <w:sz w:val="24"/>
        </w:rPr>
      </w:pPr>
      <w:r>
        <w:rPr>
          <w:rFonts w:hint="eastAsia"/>
          <w:sz w:val="24"/>
        </w:rPr>
        <w:t>PSS 2B功能；</w:t>
      </w:r>
    </w:p>
    <w:p>
      <w:pPr>
        <w:widowControl/>
        <w:numPr>
          <w:ilvl w:val="0"/>
          <w:numId w:val="15"/>
        </w:numPr>
        <w:topLinePunct/>
        <w:spacing w:line="360" w:lineRule="auto"/>
        <w:jc w:val="left"/>
        <w:rPr>
          <w:sz w:val="24"/>
        </w:rPr>
      </w:pPr>
      <w:r>
        <w:rPr>
          <w:rFonts w:hint="eastAsia"/>
          <w:sz w:val="24"/>
        </w:rPr>
        <w:t>具有恒无功/恒功率因素运行模式；</w:t>
      </w:r>
    </w:p>
    <w:p>
      <w:pPr>
        <w:widowControl/>
        <w:numPr>
          <w:ilvl w:val="0"/>
          <w:numId w:val="15"/>
        </w:numPr>
        <w:topLinePunct/>
        <w:spacing w:line="360" w:lineRule="auto"/>
        <w:jc w:val="left"/>
        <w:rPr>
          <w:sz w:val="24"/>
        </w:rPr>
      </w:pPr>
      <w:r>
        <w:rPr>
          <w:rFonts w:hint="eastAsia"/>
          <w:sz w:val="24"/>
        </w:rPr>
        <w:t>满足电网调度AVC要求。</w:t>
      </w:r>
    </w:p>
    <w:p>
      <w:pPr>
        <w:widowControl/>
        <w:numPr>
          <w:ilvl w:val="2"/>
          <w:numId w:val="12"/>
        </w:numPr>
        <w:overflowPunct w:val="0"/>
        <w:spacing w:line="360" w:lineRule="auto"/>
        <w:ind w:left="0" w:firstLine="0"/>
        <w:jc w:val="left"/>
        <w:rPr>
          <w:sz w:val="24"/>
        </w:rPr>
      </w:pPr>
      <w:r>
        <w:rPr>
          <w:rFonts w:hint="eastAsia"/>
          <w:sz w:val="24"/>
        </w:rPr>
        <w:t>可控硅整流装置：</w:t>
      </w:r>
    </w:p>
    <w:p>
      <w:pPr>
        <w:widowControl/>
        <w:numPr>
          <w:ilvl w:val="0"/>
          <w:numId w:val="16"/>
        </w:numPr>
        <w:topLinePunct/>
        <w:spacing w:line="360" w:lineRule="auto"/>
        <w:jc w:val="left"/>
        <w:rPr>
          <w:sz w:val="24"/>
        </w:rPr>
      </w:pPr>
      <w:r>
        <w:rPr>
          <w:rFonts w:hint="eastAsia"/>
          <w:sz w:val="24"/>
        </w:rPr>
        <w:t>采用三相桥式全控整流电路；</w:t>
      </w:r>
    </w:p>
    <w:p>
      <w:pPr>
        <w:widowControl/>
        <w:numPr>
          <w:ilvl w:val="0"/>
          <w:numId w:val="16"/>
        </w:numPr>
        <w:topLinePunct/>
        <w:spacing w:line="360" w:lineRule="auto"/>
        <w:jc w:val="left"/>
        <w:rPr>
          <w:sz w:val="24"/>
        </w:rPr>
      </w:pPr>
      <w:r>
        <w:rPr>
          <w:rFonts w:hint="eastAsia"/>
          <w:sz w:val="24"/>
        </w:rPr>
        <w:t>采用双通道调节器，当一台整流柜故障退出运行时，能保证发电机在1.1倍额定励磁电流下连续运行并满足强励。</w:t>
      </w:r>
    </w:p>
    <w:p>
      <w:pPr>
        <w:widowControl/>
        <w:numPr>
          <w:ilvl w:val="0"/>
          <w:numId w:val="16"/>
        </w:numPr>
        <w:topLinePunct/>
        <w:spacing w:line="360" w:lineRule="auto"/>
        <w:jc w:val="left"/>
        <w:rPr>
          <w:sz w:val="24"/>
        </w:rPr>
      </w:pPr>
      <w:r>
        <w:rPr>
          <w:rFonts w:hint="eastAsia"/>
          <w:sz w:val="24"/>
        </w:rPr>
        <w:t>每个可控硅整流元件设快速熔断器保护，以便及时切除短路故障电流。并能检测熔断器熔断信号，故障桥臂有自动退出功能。</w:t>
      </w:r>
    </w:p>
    <w:p>
      <w:pPr>
        <w:widowControl/>
        <w:numPr>
          <w:ilvl w:val="0"/>
          <w:numId w:val="16"/>
        </w:numPr>
        <w:topLinePunct/>
        <w:spacing w:line="360" w:lineRule="auto"/>
        <w:jc w:val="left"/>
        <w:rPr>
          <w:sz w:val="24"/>
        </w:rPr>
      </w:pPr>
      <w:r>
        <w:rPr>
          <w:rFonts w:hint="eastAsia"/>
          <w:sz w:val="24"/>
        </w:rPr>
        <w:t>交直流侧设置过电压保护措施以抑制尖峰过电压和换向过电压。</w:t>
      </w:r>
    </w:p>
    <w:p>
      <w:pPr>
        <w:widowControl/>
        <w:numPr>
          <w:ilvl w:val="0"/>
          <w:numId w:val="16"/>
        </w:numPr>
        <w:topLinePunct/>
        <w:spacing w:line="360" w:lineRule="auto"/>
        <w:jc w:val="left"/>
        <w:rPr>
          <w:sz w:val="24"/>
        </w:rPr>
      </w:pPr>
      <w:r>
        <w:rPr>
          <w:rFonts w:hint="eastAsia"/>
          <w:sz w:val="24"/>
        </w:rPr>
        <w:t>可控硅整流装置采用强迫风冷，每个整流柜均设置备用风机，运行风机故障时备用风机自动投入。</w:t>
      </w:r>
    </w:p>
    <w:p>
      <w:pPr>
        <w:widowControl/>
        <w:numPr>
          <w:ilvl w:val="0"/>
          <w:numId w:val="16"/>
        </w:numPr>
        <w:topLinePunct/>
        <w:spacing w:line="360" w:lineRule="auto"/>
        <w:jc w:val="left"/>
        <w:rPr>
          <w:sz w:val="24"/>
        </w:rPr>
      </w:pPr>
      <w:r>
        <w:rPr>
          <w:rFonts w:hint="eastAsia"/>
          <w:sz w:val="24"/>
        </w:rPr>
        <w:t>接线端子采用凤凰端子。</w:t>
      </w:r>
    </w:p>
    <w:p>
      <w:pPr>
        <w:widowControl/>
        <w:numPr>
          <w:ilvl w:val="0"/>
          <w:numId w:val="16"/>
        </w:numPr>
        <w:topLinePunct/>
        <w:spacing w:line="360" w:lineRule="auto"/>
        <w:jc w:val="left"/>
        <w:rPr>
          <w:sz w:val="24"/>
          <w:szCs w:val="24"/>
        </w:rPr>
      </w:pPr>
      <w:r>
        <w:rPr>
          <w:rFonts w:hint="eastAsia"/>
          <w:sz w:val="24"/>
          <w:szCs w:val="24"/>
        </w:rPr>
        <w:t>整流柜交直流侧应设计有与其他柜及主电路隔断的措施。</w:t>
      </w:r>
    </w:p>
    <w:p>
      <w:pPr>
        <w:widowControl/>
        <w:numPr>
          <w:ilvl w:val="2"/>
          <w:numId w:val="12"/>
        </w:numPr>
        <w:overflowPunct w:val="0"/>
        <w:spacing w:line="360" w:lineRule="auto"/>
        <w:ind w:left="0" w:firstLine="0"/>
        <w:jc w:val="left"/>
        <w:rPr>
          <w:rFonts w:hint="eastAsia" w:hAnsi="宋体"/>
          <w:sz w:val="24"/>
        </w:rPr>
      </w:pPr>
      <w:r>
        <w:rPr>
          <w:rFonts w:hint="eastAsia"/>
          <w:sz w:val="24"/>
        </w:rPr>
        <w:t>励磁系</w:t>
      </w:r>
      <w:r>
        <w:rPr>
          <w:rFonts w:hint="eastAsia" w:hAnsi="宋体"/>
          <w:sz w:val="24"/>
        </w:rPr>
        <w:t>统各部件防护等级不低于IP32，励磁调节柜不低于IP54，并应能适应电厂灰尘、振动等恶劣环境条件。</w:t>
      </w:r>
    </w:p>
    <w:p>
      <w:pPr>
        <w:widowControl/>
        <w:numPr>
          <w:ilvl w:val="2"/>
          <w:numId w:val="12"/>
        </w:numPr>
        <w:overflowPunct w:val="0"/>
        <w:spacing w:line="360" w:lineRule="auto"/>
        <w:ind w:left="0" w:firstLine="0"/>
        <w:jc w:val="left"/>
        <w:rPr>
          <w:rFonts w:hint="eastAsia" w:hAnsi="宋体"/>
          <w:sz w:val="24"/>
        </w:rPr>
      </w:pPr>
      <w:r>
        <w:rPr>
          <w:rFonts w:hint="eastAsia" w:hAnsi="宋体"/>
          <w:sz w:val="24"/>
        </w:rPr>
        <w:t>功率整流柜、灭磁柜柜顶应留有交、直流励磁母线接口法兰。</w:t>
      </w:r>
    </w:p>
    <w:p>
      <w:pPr>
        <w:widowControl/>
        <w:numPr>
          <w:ilvl w:val="2"/>
          <w:numId w:val="12"/>
        </w:numPr>
        <w:overflowPunct w:val="0"/>
        <w:spacing w:line="360" w:lineRule="auto"/>
        <w:ind w:left="0" w:firstLine="0"/>
        <w:jc w:val="left"/>
        <w:rPr>
          <w:rFonts w:hint="eastAsia" w:hAnsi="宋体"/>
          <w:sz w:val="24"/>
        </w:rPr>
      </w:pPr>
      <w:r>
        <w:rPr>
          <w:rFonts w:hint="eastAsia" w:hAnsi="宋体"/>
          <w:sz w:val="24"/>
        </w:rPr>
        <w:t>自动励磁调节器应具有与同期系统、</w:t>
      </w:r>
      <w:r>
        <w:rPr>
          <w:rFonts w:hAnsi="宋体"/>
          <w:sz w:val="24"/>
        </w:rPr>
        <w:t>DCS</w:t>
      </w:r>
      <w:r>
        <w:rPr>
          <w:rFonts w:hint="eastAsia" w:hAnsi="宋体"/>
          <w:sz w:val="24"/>
        </w:rPr>
        <w:t>硬接线接口。</w:t>
      </w:r>
    </w:p>
    <w:p>
      <w:pPr>
        <w:widowControl/>
        <w:numPr>
          <w:ilvl w:val="2"/>
          <w:numId w:val="12"/>
        </w:numPr>
        <w:overflowPunct w:val="0"/>
        <w:spacing w:line="360" w:lineRule="auto"/>
        <w:ind w:left="0" w:firstLine="0"/>
        <w:jc w:val="left"/>
        <w:rPr>
          <w:rFonts w:hint="eastAsia" w:hAnsi="宋体"/>
          <w:sz w:val="24"/>
        </w:rPr>
      </w:pPr>
      <w:r>
        <w:rPr>
          <w:rFonts w:hint="eastAsia" w:hAnsi="宋体"/>
          <w:sz w:val="24"/>
        </w:rPr>
        <w:t>自动励磁调节器应具有与网源协调在线监测子站硬接线接口及数字通信的接口。</w:t>
      </w:r>
    </w:p>
    <w:p>
      <w:pPr>
        <w:widowControl/>
        <w:numPr>
          <w:ilvl w:val="2"/>
          <w:numId w:val="12"/>
        </w:numPr>
        <w:overflowPunct w:val="0"/>
        <w:spacing w:line="360" w:lineRule="auto"/>
        <w:ind w:left="0" w:firstLine="0"/>
        <w:jc w:val="left"/>
        <w:rPr>
          <w:rFonts w:hint="eastAsia" w:hAnsi="宋体"/>
          <w:sz w:val="24"/>
        </w:rPr>
      </w:pPr>
      <w:r>
        <w:rPr>
          <w:rFonts w:hint="eastAsia" w:hAnsi="宋体"/>
          <w:sz w:val="24"/>
        </w:rPr>
        <w:t>自动励磁电压调节器应有与发变组保护和DEH接口（通过硬接线实现），且重要信号相关回路设计具备反措要求的防干扰措施。</w:t>
      </w:r>
    </w:p>
    <w:p>
      <w:pPr>
        <w:widowControl/>
        <w:numPr>
          <w:ilvl w:val="2"/>
          <w:numId w:val="12"/>
        </w:numPr>
        <w:overflowPunct w:val="0"/>
        <w:spacing w:line="360" w:lineRule="auto"/>
        <w:ind w:left="0" w:firstLine="0"/>
        <w:jc w:val="left"/>
        <w:rPr>
          <w:rFonts w:hint="eastAsia" w:hAnsi="宋体"/>
          <w:sz w:val="24"/>
        </w:rPr>
      </w:pPr>
      <w:r>
        <w:rPr>
          <w:rFonts w:hint="eastAsia" w:hAnsi="宋体"/>
          <w:sz w:val="24"/>
        </w:rPr>
        <w:t>应提供起励装置。起励装置在起励成功后或失败时，起励回路均应能自动退出。</w:t>
      </w:r>
    </w:p>
    <w:p>
      <w:pPr>
        <w:widowControl/>
        <w:numPr>
          <w:ilvl w:val="2"/>
          <w:numId w:val="12"/>
        </w:numPr>
        <w:overflowPunct w:val="0"/>
        <w:spacing w:line="360" w:lineRule="auto"/>
        <w:ind w:left="0" w:firstLine="0"/>
        <w:jc w:val="left"/>
        <w:rPr>
          <w:rFonts w:hint="eastAsia" w:hAnsi="宋体"/>
        </w:rPr>
      </w:pPr>
      <w:r>
        <w:rPr>
          <w:rFonts w:hint="eastAsia" w:hAnsi="宋体"/>
          <w:sz w:val="24"/>
        </w:rPr>
        <w:t>励磁电流</w:t>
      </w:r>
      <w:r>
        <w:rPr>
          <w:rFonts w:hint="eastAsia"/>
          <w:sz w:val="24"/>
        </w:rPr>
        <w:t>、励磁电压变送器的量程、精度及响应速度应满足电力调度机构的相关要求。</w:t>
      </w:r>
    </w:p>
    <w:p>
      <w:pPr>
        <w:widowControl/>
        <w:numPr>
          <w:ilvl w:val="2"/>
          <w:numId w:val="12"/>
        </w:numPr>
        <w:overflowPunct w:val="0"/>
        <w:spacing w:line="360" w:lineRule="auto"/>
        <w:ind w:left="0" w:firstLine="0"/>
        <w:jc w:val="left"/>
        <w:rPr>
          <w:sz w:val="24"/>
        </w:rPr>
      </w:pPr>
      <w:bookmarkStart w:id="5" w:name="_Hlt22695119"/>
      <w:bookmarkEnd w:id="5"/>
      <w:r>
        <w:rPr>
          <w:rFonts w:hint="eastAsia"/>
          <w:sz w:val="24"/>
        </w:rPr>
        <w:t>励磁系统屏柜滤网应采用无需打开柜门就能更换滤网的安装方式。</w:t>
      </w:r>
    </w:p>
    <w:p>
      <w:pPr>
        <w:spacing w:line="360" w:lineRule="auto"/>
        <w:rPr>
          <w:b/>
          <w:sz w:val="24"/>
          <w:szCs w:val="24"/>
        </w:rPr>
      </w:pPr>
      <w:r>
        <w:rPr>
          <w:b/>
          <w:sz w:val="24"/>
          <w:szCs w:val="24"/>
        </w:rPr>
        <w:t>2.</w:t>
      </w:r>
      <w:r>
        <w:rPr>
          <w:rFonts w:hint="eastAsia"/>
          <w:b/>
          <w:sz w:val="24"/>
          <w:szCs w:val="24"/>
        </w:rPr>
        <w:t>5</w:t>
      </w:r>
      <w:r>
        <w:rPr>
          <w:b/>
          <w:sz w:val="24"/>
          <w:szCs w:val="24"/>
        </w:rPr>
        <w:t>材料要求</w:t>
      </w:r>
    </w:p>
    <w:p>
      <w:pPr>
        <w:spacing w:line="360" w:lineRule="auto"/>
        <w:ind w:firstLine="2"/>
        <w:rPr>
          <w:sz w:val="24"/>
          <w:szCs w:val="24"/>
        </w:rPr>
      </w:pPr>
      <w:r>
        <w:rPr>
          <w:sz w:val="24"/>
          <w:szCs w:val="24"/>
        </w:rPr>
        <w:t>2.</w:t>
      </w:r>
      <w:r>
        <w:rPr>
          <w:rFonts w:hint="eastAsia"/>
          <w:sz w:val="24"/>
          <w:szCs w:val="24"/>
        </w:rPr>
        <w:t>5</w:t>
      </w:r>
      <w:r>
        <w:rPr>
          <w:sz w:val="24"/>
          <w:szCs w:val="24"/>
        </w:rPr>
        <w:t>.1根据技术要求选择适用的发电机本体及辅机制造材料是投标人的责任。投标书中应按有关投标人选用的国际标准标出材料型号，当没有这些牌号时，应标明材料制造厂家，材料的物理特性，化学成份。</w:t>
      </w:r>
    </w:p>
    <w:p>
      <w:pPr>
        <w:spacing w:line="360" w:lineRule="auto"/>
        <w:ind w:left="2"/>
        <w:rPr>
          <w:sz w:val="24"/>
          <w:szCs w:val="24"/>
        </w:rPr>
      </w:pPr>
      <w:r>
        <w:rPr>
          <w:sz w:val="24"/>
          <w:szCs w:val="24"/>
        </w:rPr>
        <w:t>2.</w:t>
      </w:r>
      <w:r>
        <w:rPr>
          <w:rFonts w:hint="eastAsia"/>
          <w:sz w:val="24"/>
          <w:szCs w:val="24"/>
        </w:rPr>
        <w:t>5</w:t>
      </w:r>
      <w:r>
        <w:rPr>
          <w:sz w:val="24"/>
          <w:szCs w:val="24"/>
        </w:rPr>
        <w:t>.2投标人应提供材料检验记录的副本。</w:t>
      </w:r>
    </w:p>
    <w:p>
      <w:pPr>
        <w:tabs>
          <w:tab w:val="left" w:pos="580"/>
        </w:tabs>
        <w:adjustRightInd w:val="0"/>
        <w:snapToGrid w:val="0"/>
        <w:spacing w:line="360" w:lineRule="auto"/>
        <w:rPr>
          <w:sz w:val="24"/>
          <w:szCs w:val="24"/>
        </w:rPr>
      </w:pPr>
      <w:r>
        <w:rPr>
          <w:sz w:val="24"/>
          <w:szCs w:val="24"/>
        </w:rPr>
        <w:t>2.</w:t>
      </w:r>
      <w:r>
        <w:rPr>
          <w:rFonts w:hint="eastAsia"/>
          <w:sz w:val="24"/>
          <w:szCs w:val="24"/>
        </w:rPr>
        <w:t>5</w:t>
      </w:r>
      <w:r>
        <w:rPr>
          <w:sz w:val="24"/>
          <w:szCs w:val="24"/>
        </w:rPr>
        <w:t>.3发电机零部件的材料应根据不同的使用场合，按照压力、温度、抗冲击强度、硬度、抗腐蚀性能等的要求，合理选用材质制造。投标人应在投标书中加以说明。</w:t>
      </w:r>
    </w:p>
    <w:p>
      <w:pPr>
        <w:spacing w:line="360" w:lineRule="auto"/>
        <w:rPr>
          <w:b/>
          <w:sz w:val="24"/>
          <w:szCs w:val="24"/>
        </w:rPr>
      </w:pPr>
      <w:r>
        <w:rPr>
          <w:b/>
          <w:sz w:val="24"/>
          <w:szCs w:val="24"/>
        </w:rPr>
        <w:t>2.</w:t>
      </w:r>
      <w:r>
        <w:rPr>
          <w:rFonts w:hint="eastAsia"/>
          <w:b/>
          <w:sz w:val="24"/>
          <w:szCs w:val="24"/>
        </w:rPr>
        <w:t>6</w:t>
      </w:r>
      <w:r>
        <w:rPr>
          <w:b/>
          <w:sz w:val="24"/>
          <w:szCs w:val="24"/>
        </w:rPr>
        <w:t>安装和检修的要求</w:t>
      </w:r>
    </w:p>
    <w:p>
      <w:pPr>
        <w:spacing w:line="360" w:lineRule="auto"/>
        <w:rPr>
          <w:sz w:val="24"/>
          <w:szCs w:val="24"/>
        </w:rPr>
      </w:pPr>
      <w:r>
        <w:rPr>
          <w:sz w:val="24"/>
          <w:szCs w:val="24"/>
        </w:rPr>
        <w:t>2.</w:t>
      </w:r>
      <w:r>
        <w:rPr>
          <w:rFonts w:hint="eastAsia"/>
          <w:sz w:val="24"/>
          <w:szCs w:val="24"/>
        </w:rPr>
        <w:t>6</w:t>
      </w:r>
      <w:r>
        <w:rPr>
          <w:sz w:val="24"/>
          <w:szCs w:val="24"/>
        </w:rPr>
        <w:t>.1投标人应随机提供用于拆卸、起吊、安装各项部件的专用工具。为招标人管理方便，专用工具上应编号。</w:t>
      </w:r>
    </w:p>
    <w:p>
      <w:pPr>
        <w:spacing w:line="360" w:lineRule="auto"/>
        <w:rPr>
          <w:sz w:val="24"/>
          <w:szCs w:val="24"/>
        </w:rPr>
      </w:pPr>
      <w:r>
        <w:rPr>
          <w:sz w:val="24"/>
          <w:szCs w:val="24"/>
        </w:rPr>
        <w:t>2.</w:t>
      </w:r>
      <w:r>
        <w:rPr>
          <w:rFonts w:hint="eastAsia"/>
          <w:sz w:val="24"/>
          <w:szCs w:val="24"/>
        </w:rPr>
        <w:t>6</w:t>
      </w:r>
      <w:r>
        <w:rPr>
          <w:sz w:val="24"/>
          <w:szCs w:val="24"/>
        </w:rPr>
        <w:t>.2在外壳上应设置手柄、挂耳或其他装置；重量超过20公斤的发电机零部件不适于用钢丝绳捆缚时，应另配置起吊，卸放和支承装置，以便于安装和检修。</w:t>
      </w:r>
    </w:p>
    <w:p>
      <w:pPr>
        <w:spacing w:line="360" w:lineRule="auto"/>
        <w:rPr>
          <w:sz w:val="24"/>
          <w:szCs w:val="24"/>
        </w:rPr>
      </w:pPr>
      <w:r>
        <w:rPr>
          <w:sz w:val="24"/>
          <w:szCs w:val="24"/>
        </w:rPr>
        <w:t>2.</w:t>
      </w:r>
      <w:r>
        <w:rPr>
          <w:rFonts w:hint="eastAsia"/>
          <w:sz w:val="24"/>
          <w:szCs w:val="24"/>
        </w:rPr>
        <w:t>6</w:t>
      </w:r>
      <w:r>
        <w:rPr>
          <w:sz w:val="24"/>
          <w:szCs w:val="24"/>
        </w:rPr>
        <w:t>.3发电机应配备翻转轴瓦时用的抬轴装置。</w:t>
      </w:r>
    </w:p>
    <w:p>
      <w:pPr>
        <w:spacing w:line="360" w:lineRule="auto"/>
        <w:rPr>
          <w:sz w:val="24"/>
          <w:szCs w:val="24"/>
        </w:rPr>
      </w:pPr>
      <w:r>
        <w:rPr>
          <w:sz w:val="24"/>
          <w:szCs w:val="24"/>
        </w:rPr>
        <w:t>2.</w:t>
      </w:r>
      <w:r>
        <w:rPr>
          <w:rFonts w:hint="eastAsia"/>
          <w:sz w:val="24"/>
          <w:szCs w:val="24"/>
        </w:rPr>
        <w:t>6</w:t>
      </w:r>
      <w:r>
        <w:rPr>
          <w:sz w:val="24"/>
          <w:szCs w:val="24"/>
        </w:rPr>
        <w:t>.4发电机上的重要部件，应设有用以进行部件金属材料性能试验的取样部位。</w:t>
      </w:r>
    </w:p>
    <w:p>
      <w:pPr>
        <w:spacing w:line="360" w:lineRule="auto"/>
        <w:rPr>
          <w:sz w:val="24"/>
          <w:szCs w:val="24"/>
        </w:rPr>
      </w:pPr>
      <w:r>
        <w:rPr>
          <w:sz w:val="24"/>
          <w:szCs w:val="24"/>
        </w:rPr>
        <w:t>2.</w:t>
      </w:r>
      <w:r>
        <w:rPr>
          <w:rFonts w:hint="eastAsia"/>
          <w:sz w:val="24"/>
          <w:szCs w:val="24"/>
        </w:rPr>
        <w:t>6</w:t>
      </w:r>
      <w:r>
        <w:rPr>
          <w:sz w:val="24"/>
          <w:szCs w:val="24"/>
        </w:rPr>
        <w:t>.5发电机油气系统的防火要求应按中国国家标准及美国NFPA标准。</w:t>
      </w:r>
    </w:p>
    <w:p>
      <w:pPr>
        <w:spacing w:line="360" w:lineRule="auto"/>
        <w:rPr>
          <w:sz w:val="24"/>
          <w:szCs w:val="24"/>
        </w:rPr>
      </w:pPr>
      <w:r>
        <w:rPr>
          <w:sz w:val="24"/>
          <w:szCs w:val="24"/>
        </w:rPr>
        <w:t>2.</w:t>
      </w:r>
      <w:r>
        <w:rPr>
          <w:rFonts w:hint="eastAsia"/>
          <w:sz w:val="24"/>
          <w:szCs w:val="24"/>
        </w:rPr>
        <w:t>6</w:t>
      </w:r>
      <w:r>
        <w:rPr>
          <w:sz w:val="24"/>
          <w:szCs w:val="24"/>
        </w:rPr>
        <w:t>.6发电机应配有可测气隙的专用工具。</w:t>
      </w:r>
    </w:p>
    <w:p>
      <w:pPr>
        <w:spacing w:line="360" w:lineRule="auto"/>
        <w:rPr>
          <w:sz w:val="24"/>
          <w:szCs w:val="24"/>
        </w:rPr>
      </w:pPr>
      <w:r>
        <w:rPr>
          <w:sz w:val="24"/>
          <w:szCs w:val="24"/>
        </w:rPr>
        <w:t>2.</w:t>
      </w:r>
      <w:r>
        <w:rPr>
          <w:rFonts w:hint="eastAsia"/>
          <w:sz w:val="24"/>
          <w:szCs w:val="24"/>
        </w:rPr>
        <w:t>6</w:t>
      </w:r>
      <w:r>
        <w:rPr>
          <w:sz w:val="24"/>
          <w:szCs w:val="24"/>
        </w:rPr>
        <w:t>.7发电机出厂时必须做到内部清洁，特别是轴承箱、油箱、主辅机部套和油气系统管道内应彻底清理干净，并妥善防锈。</w:t>
      </w:r>
    </w:p>
    <w:p>
      <w:pPr>
        <w:spacing w:line="360" w:lineRule="auto"/>
        <w:rPr>
          <w:sz w:val="24"/>
        </w:rPr>
      </w:pPr>
      <w:r>
        <w:rPr>
          <w:sz w:val="24"/>
          <w:szCs w:val="24"/>
        </w:rPr>
        <w:t>2.</w:t>
      </w:r>
      <w:r>
        <w:rPr>
          <w:rFonts w:hint="eastAsia"/>
          <w:sz w:val="24"/>
          <w:szCs w:val="24"/>
        </w:rPr>
        <w:t>6</w:t>
      </w:r>
      <w:r>
        <w:rPr>
          <w:sz w:val="24"/>
          <w:szCs w:val="24"/>
        </w:rPr>
        <w:t>.8 投标人提供的部件或组件或组件上的设施构造必须保证方便现场安装，检修。</w:t>
      </w:r>
    </w:p>
    <w:p>
      <w:pPr>
        <w:spacing w:line="360" w:lineRule="auto"/>
        <w:rPr>
          <w:b/>
          <w:sz w:val="24"/>
        </w:rPr>
      </w:pPr>
      <w:bookmarkStart w:id="6" w:name="_Toc90192532"/>
      <w:r>
        <w:rPr>
          <w:b/>
          <w:sz w:val="24"/>
        </w:rPr>
        <w:t>3. 性能保证</w:t>
      </w:r>
      <w:bookmarkEnd w:id="6"/>
      <w:r>
        <w:rPr>
          <w:rFonts w:hint="eastAsia"/>
          <w:b/>
          <w:sz w:val="24"/>
        </w:rPr>
        <w:t>和试验、检验要求</w:t>
      </w:r>
    </w:p>
    <w:p>
      <w:pPr>
        <w:spacing w:line="360" w:lineRule="auto"/>
        <w:rPr>
          <w:b/>
          <w:bCs/>
          <w:sz w:val="24"/>
        </w:rPr>
      </w:pPr>
      <w:bookmarkStart w:id="7" w:name="_Toc90192533"/>
      <w:r>
        <w:rPr>
          <w:b/>
          <w:bCs/>
          <w:sz w:val="24"/>
        </w:rPr>
        <w:t>3.1性能保证</w:t>
      </w:r>
      <w:bookmarkEnd w:id="7"/>
    </w:p>
    <w:p>
      <w:pPr>
        <w:pStyle w:val="29"/>
        <w:spacing w:line="360" w:lineRule="auto"/>
        <w:rPr>
          <w:rFonts w:ascii="Times New Roman"/>
        </w:rPr>
      </w:pPr>
      <w:r>
        <w:rPr>
          <w:rFonts w:ascii="Times New Roman"/>
        </w:rPr>
        <w:t>3.1.1在额定频率、额定电压、额定功率因数下，当发电机冷却器的入口冷却水温最高为</w:t>
      </w:r>
      <w:r>
        <w:rPr>
          <w:rFonts w:hint="eastAsia" w:ascii="Times New Roman"/>
        </w:rPr>
        <w:t>38</w:t>
      </w:r>
      <w:r>
        <w:rPr>
          <w:rFonts w:ascii="Times New Roman"/>
        </w:rPr>
        <w:t>℃时，发电机额定功率应为</w:t>
      </w:r>
      <w:r>
        <w:rPr>
          <w:rFonts w:hint="eastAsia" w:ascii="Times New Roman"/>
          <w:u w:val="single"/>
        </w:rPr>
        <w:t>30MW</w:t>
      </w:r>
      <w:r>
        <w:rPr>
          <w:rFonts w:ascii="Times New Roman"/>
        </w:rPr>
        <w:t>（当采用静态励磁或不与汽机同轴的电动主油泵时，扣除各项所消耗的功率）长期连续运行，此时各部分的温升，不超过GB/T 7064中规定的数值。</w:t>
      </w:r>
    </w:p>
    <w:p>
      <w:pPr>
        <w:pStyle w:val="29"/>
        <w:tabs>
          <w:tab w:val="left" w:pos="0"/>
        </w:tabs>
        <w:adjustRightInd/>
        <w:spacing w:line="360" w:lineRule="auto"/>
        <w:textAlignment w:val="auto"/>
        <w:rPr>
          <w:rFonts w:ascii="Times New Roman"/>
        </w:rPr>
      </w:pPr>
      <w:r>
        <w:rPr>
          <w:rFonts w:hint="eastAsia" w:ascii="Times New Roman"/>
        </w:rPr>
        <w:t>3.1.2</w:t>
      </w:r>
      <w:r>
        <w:rPr>
          <w:rFonts w:ascii="Times New Roman"/>
        </w:rPr>
        <w:t>在额定电压、额定频率、额定功率因数0.</w:t>
      </w:r>
      <w:r>
        <w:rPr>
          <w:rFonts w:hint="eastAsia" w:ascii="Times New Roman"/>
        </w:rPr>
        <w:t>8</w:t>
      </w:r>
      <w:r>
        <w:rPr>
          <w:rFonts w:ascii="Times New Roman"/>
        </w:rPr>
        <w:t>(滞后)、发电机冷却器冷却水进水温度为</w:t>
      </w:r>
      <w:r>
        <w:rPr>
          <w:rFonts w:hint="eastAsia" w:ascii="Times New Roman"/>
        </w:rPr>
        <w:t>38</w:t>
      </w:r>
      <w:r>
        <w:rPr>
          <w:rFonts w:ascii="Times New Roman"/>
        </w:rPr>
        <w:t>℃时。发电机的T-MCR功率应与汽机T-MCR功率相匹配，此时各部分的温升，不超过GB/T 7064中规定的数值。</w:t>
      </w:r>
    </w:p>
    <w:p>
      <w:pPr>
        <w:pStyle w:val="29"/>
        <w:tabs>
          <w:tab w:val="left" w:pos="900"/>
        </w:tabs>
        <w:adjustRightInd/>
        <w:spacing w:line="360" w:lineRule="auto"/>
        <w:textAlignment w:val="auto"/>
        <w:rPr>
          <w:rFonts w:ascii="Times New Roman"/>
        </w:rPr>
      </w:pPr>
      <w:r>
        <w:rPr>
          <w:rFonts w:ascii="Times New Roman"/>
        </w:rPr>
        <w:t>发电机效率≥</w:t>
      </w:r>
      <w:r>
        <w:rPr>
          <w:rFonts w:hint="eastAsia" w:ascii="Times New Roman"/>
        </w:rPr>
        <w:t>98</w:t>
      </w:r>
      <w:r>
        <w:rPr>
          <w:rFonts w:ascii="Times New Roman"/>
        </w:rPr>
        <w:t>％。</w:t>
      </w:r>
    </w:p>
    <w:p>
      <w:pPr>
        <w:pStyle w:val="29"/>
        <w:tabs>
          <w:tab w:val="left" w:pos="0"/>
        </w:tabs>
        <w:adjustRightInd/>
        <w:spacing w:line="360" w:lineRule="auto"/>
        <w:textAlignment w:val="auto"/>
        <w:rPr>
          <w:rFonts w:ascii="Times New Roman"/>
          <w:kern w:val="2"/>
        </w:rPr>
      </w:pPr>
      <w:r>
        <w:rPr>
          <w:rFonts w:hint="eastAsia" w:ascii="Times New Roman"/>
          <w:kern w:val="2"/>
        </w:rPr>
        <w:t>3.1.3汽轮发电机组在所有稳定运行工况下（转速为额定值）运行时，在轴承座上测得的双振幅振动值，无论是垂直、横向均不大于0.025mm，在任何轴颈上所测得的互成90。、二个方向成45。的双振幅振动值不大于0.075mm。在通过临界转速时各轴承座双振幅振动值不大于0.08mm，各轴颈双振幅相对振动值不大于0.15mm。</w:t>
      </w:r>
    </w:p>
    <w:p>
      <w:pPr>
        <w:spacing w:line="360" w:lineRule="auto"/>
        <w:rPr>
          <w:b/>
          <w:bCs/>
          <w:sz w:val="24"/>
        </w:rPr>
      </w:pPr>
      <w:r>
        <w:rPr>
          <w:rFonts w:hint="eastAsia"/>
          <w:b/>
          <w:bCs/>
          <w:sz w:val="24"/>
        </w:rPr>
        <w:t>3.2</w:t>
      </w:r>
      <w:r>
        <w:rPr>
          <w:b/>
          <w:bCs/>
          <w:sz w:val="24"/>
        </w:rPr>
        <w:t>试验、检验要求</w:t>
      </w:r>
    </w:p>
    <w:p>
      <w:pPr>
        <w:spacing w:line="360" w:lineRule="auto"/>
        <w:rPr>
          <w:sz w:val="24"/>
        </w:rPr>
      </w:pPr>
      <w:r>
        <w:rPr>
          <w:rFonts w:hint="eastAsia"/>
          <w:sz w:val="24"/>
        </w:rPr>
        <w:t>3.2.1出厂试验</w:t>
      </w:r>
    </w:p>
    <w:p>
      <w:pPr>
        <w:spacing w:line="360" w:lineRule="auto"/>
        <w:ind w:firstLine="480" w:firstLineChars="200"/>
        <w:rPr>
          <w:sz w:val="24"/>
        </w:rPr>
      </w:pPr>
      <w:r>
        <w:rPr>
          <w:rFonts w:hint="eastAsia"/>
          <w:sz w:val="24"/>
        </w:rPr>
        <w:t>投标人应详细列出所有典型试验和常规试验的情况。</w:t>
      </w:r>
    </w:p>
    <w:p>
      <w:pPr>
        <w:numPr>
          <w:ilvl w:val="0"/>
          <w:numId w:val="17"/>
        </w:numPr>
        <w:spacing w:line="360" w:lineRule="auto"/>
        <w:rPr>
          <w:sz w:val="24"/>
        </w:rPr>
      </w:pPr>
      <w:r>
        <w:rPr>
          <w:rFonts w:hint="eastAsia"/>
          <w:sz w:val="24"/>
        </w:rPr>
        <w:t>在制造商工厂进行以下机械试验：</w:t>
      </w:r>
    </w:p>
    <w:p>
      <w:pPr>
        <w:numPr>
          <w:ilvl w:val="0"/>
          <w:numId w:val="18"/>
        </w:numPr>
        <w:spacing w:line="360" w:lineRule="auto"/>
        <w:ind w:left="0" w:firstLine="0"/>
        <w:rPr>
          <w:sz w:val="24"/>
        </w:rPr>
      </w:pPr>
      <w:r>
        <w:rPr>
          <w:sz w:val="24"/>
        </w:rPr>
        <w:t>所有钢锻件</w:t>
      </w:r>
      <w:r>
        <w:rPr>
          <w:rFonts w:hint="eastAsia"/>
          <w:sz w:val="24"/>
        </w:rPr>
        <w:t>、</w:t>
      </w:r>
      <w:r>
        <w:rPr>
          <w:sz w:val="24"/>
        </w:rPr>
        <w:t>定子铁芯板</w:t>
      </w:r>
      <w:r>
        <w:rPr>
          <w:rFonts w:hint="eastAsia"/>
          <w:sz w:val="24"/>
        </w:rPr>
        <w:t>、</w:t>
      </w:r>
      <w:r>
        <w:rPr>
          <w:sz w:val="24"/>
        </w:rPr>
        <w:t>铜线圈</w:t>
      </w:r>
      <w:r>
        <w:rPr>
          <w:rFonts w:hint="eastAsia"/>
          <w:sz w:val="24"/>
        </w:rPr>
        <w:t>、</w:t>
      </w:r>
      <w:r>
        <w:rPr>
          <w:sz w:val="24"/>
        </w:rPr>
        <w:t>转子楔材料</w:t>
      </w:r>
      <w:r>
        <w:rPr>
          <w:rFonts w:hint="eastAsia"/>
          <w:sz w:val="24"/>
        </w:rPr>
        <w:t>、</w:t>
      </w:r>
      <w:r>
        <w:rPr>
          <w:sz w:val="24"/>
        </w:rPr>
        <w:t>绝缘</w:t>
      </w:r>
      <w:r>
        <w:rPr>
          <w:rFonts w:hint="eastAsia"/>
          <w:sz w:val="24"/>
        </w:rPr>
        <w:t>材料</w:t>
      </w:r>
      <w:r>
        <w:rPr>
          <w:sz w:val="24"/>
        </w:rPr>
        <w:t>和其他指定材料</w:t>
      </w:r>
      <w:r>
        <w:rPr>
          <w:rFonts w:hint="eastAsia"/>
          <w:sz w:val="24"/>
        </w:rPr>
        <w:t>要按照制造商承诺的质量计划进行测试。</w:t>
      </w:r>
    </w:p>
    <w:p>
      <w:pPr>
        <w:numPr>
          <w:ilvl w:val="0"/>
          <w:numId w:val="18"/>
        </w:numPr>
        <w:spacing w:line="360" w:lineRule="auto"/>
        <w:ind w:left="0" w:firstLine="0"/>
        <w:rPr>
          <w:sz w:val="24"/>
        </w:rPr>
      </w:pPr>
      <w:r>
        <w:rPr>
          <w:rFonts w:hint="eastAsia"/>
          <w:sz w:val="24"/>
        </w:rPr>
        <w:t>在完成发电机转子机器加工和开孔后，安装绕组前，应对发电机转子进行刚度测试。要通过这些试验来测定</w:t>
      </w:r>
      <w:r>
        <w:rPr>
          <w:sz w:val="24"/>
        </w:rPr>
        <w:t>惯性补偿的程度</w:t>
      </w:r>
      <w:r>
        <w:rPr>
          <w:rFonts w:hint="eastAsia"/>
          <w:sz w:val="24"/>
        </w:rPr>
        <w:t>，</w:t>
      </w:r>
      <w:r>
        <w:rPr>
          <w:sz w:val="24"/>
        </w:rPr>
        <w:t>共振频率和模态</w:t>
      </w:r>
      <w:r>
        <w:rPr>
          <w:rFonts w:hint="eastAsia"/>
          <w:sz w:val="24"/>
        </w:rPr>
        <w:t>。当转子制造完成后还应重复进行这些试验。</w:t>
      </w:r>
    </w:p>
    <w:p>
      <w:pPr>
        <w:numPr>
          <w:ilvl w:val="0"/>
          <w:numId w:val="18"/>
        </w:numPr>
        <w:spacing w:line="360" w:lineRule="auto"/>
        <w:ind w:left="0" w:firstLine="0"/>
        <w:rPr>
          <w:sz w:val="24"/>
        </w:rPr>
      </w:pPr>
      <w:r>
        <w:rPr>
          <w:rFonts w:hint="eastAsia"/>
          <w:sz w:val="24"/>
        </w:rPr>
        <w:t>发电机转子应做1.2倍超速试验，历时5分钟而无永久性异常变形和妨碍正常运行的其他缺陷。</w:t>
      </w:r>
    </w:p>
    <w:p>
      <w:pPr>
        <w:numPr>
          <w:ilvl w:val="0"/>
          <w:numId w:val="18"/>
        </w:numPr>
        <w:spacing w:line="360" w:lineRule="auto"/>
        <w:ind w:left="0" w:firstLine="0"/>
        <w:rPr>
          <w:sz w:val="24"/>
        </w:rPr>
      </w:pPr>
      <w:r>
        <w:rPr>
          <w:rFonts w:hint="eastAsia"/>
          <w:sz w:val="24"/>
        </w:rPr>
        <w:t>发电机应在制造商工厂安装，并保证在额定速度下运行。在运转测试中，应对轴承支撑件、定子绕组、定子铁芯、套管的振动，轴承油路、每个冷却器的温度和流速进行监测，并满足规范要求。</w:t>
      </w:r>
    </w:p>
    <w:p>
      <w:pPr>
        <w:numPr>
          <w:ilvl w:val="0"/>
          <w:numId w:val="18"/>
        </w:numPr>
        <w:spacing w:line="360" w:lineRule="auto"/>
        <w:ind w:left="0" w:firstLine="0"/>
        <w:rPr>
          <w:sz w:val="24"/>
        </w:rPr>
      </w:pPr>
      <w:r>
        <w:rPr>
          <w:rFonts w:hint="eastAsia"/>
          <w:sz w:val="24"/>
        </w:rPr>
        <w:t>发电机的空气冷却器要在两倍正常水压试验、最大冲击压力试验、4巴（0.4MPa）压力测试中选择较大者进行测试。所有情况下，液压要保持足够长的时间以观察铸件、接头和连接件的状态，时间持续不能少于30分钟。</w:t>
      </w:r>
    </w:p>
    <w:p>
      <w:pPr>
        <w:numPr>
          <w:ilvl w:val="0"/>
          <w:numId w:val="17"/>
        </w:numPr>
        <w:spacing w:line="360" w:lineRule="auto"/>
        <w:rPr>
          <w:sz w:val="24"/>
        </w:rPr>
      </w:pPr>
      <w:r>
        <w:rPr>
          <w:rFonts w:hint="eastAsia"/>
          <w:sz w:val="24"/>
        </w:rPr>
        <w:t>制造过程中应进行以下电气试验：</w:t>
      </w:r>
    </w:p>
    <w:p>
      <w:pPr>
        <w:numPr>
          <w:ilvl w:val="0"/>
          <w:numId w:val="19"/>
        </w:numPr>
        <w:spacing w:line="360" w:lineRule="auto"/>
        <w:ind w:left="0" w:firstLine="0"/>
        <w:rPr>
          <w:sz w:val="24"/>
        </w:rPr>
      </w:pPr>
      <w:r>
        <w:rPr>
          <w:rFonts w:hint="eastAsia"/>
          <w:sz w:val="24"/>
        </w:rPr>
        <w:t>发电机定子按照最新版本的国标规定常规试验并提供数据。</w:t>
      </w:r>
    </w:p>
    <w:p>
      <w:pPr>
        <w:numPr>
          <w:ilvl w:val="0"/>
          <w:numId w:val="19"/>
        </w:numPr>
        <w:spacing w:line="360" w:lineRule="auto"/>
        <w:ind w:left="0" w:firstLine="0"/>
        <w:rPr>
          <w:sz w:val="24"/>
        </w:rPr>
      </w:pPr>
      <w:r>
        <w:rPr>
          <w:rFonts w:hint="eastAsia"/>
          <w:sz w:val="24"/>
        </w:rPr>
        <w:t>应测试并记录线棒的槽表面电阻、线棒-铁芯电阻、线棒-槽之间的间距，至少每个定子取两个线棒样本。</w:t>
      </w:r>
    </w:p>
    <w:p>
      <w:pPr>
        <w:numPr>
          <w:ilvl w:val="0"/>
          <w:numId w:val="19"/>
        </w:numPr>
        <w:spacing w:line="360" w:lineRule="auto"/>
        <w:ind w:left="0" w:firstLine="0"/>
        <w:rPr>
          <w:sz w:val="24"/>
        </w:rPr>
      </w:pPr>
      <w:r>
        <w:rPr>
          <w:rFonts w:hint="eastAsia"/>
          <w:sz w:val="24"/>
        </w:rPr>
        <w:t>在线圈组装成槽之前和之后，应测试定子铁芯励磁至额定磁通量，并提供铁心温度时间常数。</w:t>
      </w:r>
    </w:p>
    <w:p>
      <w:pPr>
        <w:numPr>
          <w:ilvl w:val="0"/>
          <w:numId w:val="19"/>
        </w:numPr>
        <w:spacing w:line="360" w:lineRule="auto"/>
        <w:ind w:left="0" w:firstLine="0"/>
        <w:rPr>
          <w:sz w:val="24"/>
        </w:rPr>
      </w:pPr>
      <w:r>
        <w:rPr>
          <w:rFonts w:hint="eastAsia"/>
          <w:sz w:val="24"/>
        </w:rPr>
        <w:t>在安装端环前后，以及完成额定转速试验后，需采用被认可的方法来验证转子绕组不受转子内部匝间短路的影响。</w:t>
      </w:r>
    </w:p>
    <w:p>
      <w:pPr>
        <w:numPr>
          <w:ilvl w:val="0"/>
          <w:numId w:val="17"/>
        </w:numPr>
        <w:spacing w:line="360" w:lineRule="auto"/>
        <w:rPr>
          <w:sz w:val="24"/>
        </w:rPr>
      </w:pPr>
      <w:r>
        <w:rPr>
          <w:rFonts w:hint="eastAsia"/>
          <w:sz w:val="24"/>
        </w:rPr>
        <w:t>发电机制造完成后，电气试验应包括：</w:t>
      </w:r>
    </w:p>
    <w:p>
      <w:pPr>
        <w:numPr>
          <w:ilvl w:val="0"/>
          <w:numId w:val="20"/>
        </w:numPr>
        <w:spacing w:line="360" w:lineRule="auto"/>
        <w:ind w:firstLine="0"/>
        <w:rPr>
          <w:sz w:val="24"/>
        </w:rPr>
      </w:pPr>
      <w:r>
        <w:rPr>
          <w:rFonts w:hint="eastAsia"/>
          <w:sz w:val="24"/>
        </w:rPr>
        <w:t>绝缘电阻和线圈电阻测量</w:t>
      </w:r>
    </w:p>
    <w:p>
      <w:pPr>
        <w:numPr>
          <w:ilvl w:val="0"/>
          <w:numId w:val="20"/>
        </w:numPr>
        <w:spacing w:line="360" w:lineRule="auto"/>
        <w:ind w:firstLine="0"/>
        <w:rPr>
          <w:sz w:val="24"/>
        </w:rPr>
      </w:pPr>
      <w:r>
        <w:rPr>
          <w:rFonts w:hint="eastAsia"/>
          <w:sz w:val="24"/>
        </w:rPr>
        <w:t>开路特性和损耗、短路特性和损耗</w:t>
      </w:r>
    </w:p>
    <w:p>
      <w:pPr>
        <w:numPr>
          <w:ilvl w:val="0"/>
          <w:numId w:val="20"/>
        </w:numPr>
        <w:spacing w:line="360" w:lineRule="auto"/>
        <w:ind w:firstLine="0"/>
        <w:rPr>
          <w:sz w:val="24"/>
        </w:rPr>
      </w:pPr>
      <w:r>
        <w:rPr>
          <w:rFonts w:hint="eastAsia"/>
          <w:sz w:val="24"/>
        </w:rPr>
        <w:t>开路和短路发热试验</w:t>
      </w:r>
    </w:p>
    <w:p>
      <w:pPr>
        <w:numPr>
          <w:ilvl w:val="0"/>
          <w:numId w:val="20"/>
        </w:numPr>
        <w:spacing w:line="360" w:lineRule="auto"/>
        <w:ind w:firstLine="0"/>
        <w:rPr>
          <w:sz w:val="24"/>
        </w:rPr>
      </w:pPr>
      <w:r>
        <w:rPr>
          <w:rFonts w:hint="eastAsia"/>
          <w:sz w:val="24"/>
        </w:rPr>
        <w:t>旋转和静止时转子电抗测试</w:t>
      </w:r>
    </w:p>
    <w:p>
      <w:pPr>
        <w:numPr>
          <w:ilvl w:val="0"/>
          <w:numId w:val="20"/>
        </w:numPr>
        <w:spacing w:line="360" w:lineRule="auto"/>
        <w:ind w:firstLine="0"/>
        <w:rPr>
          <w:sz w:val="24"/>
        </w:rPr>
      </w:pPr>
      <w:r>
        <w:rPr>
          <w:rFonts w:hint="eastAsia"/>
          <w:sz w:val="24"/>
        </w:rPr>
        <w:t>根据IEC60034要求进行高电压试验。</w:t>
      </w:r>
    </w:p>
    <w:p>
      <w:pPr>
        <w:numPr>
          <w:ilvl w:val="0"/>
          <w:numId w:val="20"/>
        </w:numPr>
        <w:spacing w:line="360" w:lineRule="auto"/>
        <w:ind w:firstLine="0"/>
        <w:rPr>
          <w:sz w:val="24"/>
        </w:rPr>
      </w:pPr>
      <w:r>
        <w:rPr>
          <w:rFonts w:hint="eastAsia"/>
          <w:sz w:val="24"/>
        </w:rPr>
        <w:t xml:space="preserve">    定子绕组每相测量介质损耗。</w:t>
      </w:r>
    </w:p>
    <w:p>
      <w:pPr>
        <w:numPr>
          <w:ilvl w:val="0"/>
          <w:numId w:val="20"/>
        </w:numPr>
        <w:spacing w:line="360" w:lineRule="auto"/>
        <w:ind w:firstLine="0"/>
        <w:rPr>
          <w:sz w:val="24"/>
        </w:rPr>
      </w:pPr>
      <w:r>
        <w:rPr>
          <w:rFonts w:hint="eastAsia"/>
          <w:sz w:val="24"/>
        </w:rPr>
        <w:t>转子线匝完整性测试：当转子在额定转速且绕组温度不低于75℃时，在高于励磁电压极限值的交流电压的峰值下，一分钟内绕组匝间绝缘值应保证完好。</w:t>
      </w:r>
    </w:p>
    <w:p>
      <w:pPr>
        <w:numPr>
          <w:ilvl w:val="0"/>
          <w:numId w:val="20"/>
        </w:numPr>
        <w:spacing w:line="360" w:lineRule="auto"/>
        <w:ind w:firstLine="0"/>
        <w:rPr>
          <w:sz w:val="24"/>
        </w:rPr>
      </w:pPr>
      <w:r>
        <w:rPr>
          <w:rFonts w:hint="eastAsia"/>
          <w:sz w:val="24"/>
        </w:rPr>
        <w:t>电压波形和谐波分析和相序检查，测试电压水平应是额定开路电压的65%。</w:t>
      </w:r>
    </w:p>
    <w:p>
      <w:pPr>
        <w:numPr>
          <w:ilvl w:val="0"/>
          <w:numId w:val="20"/>
        </w:numPr>
        <w:spacing w:line="360" w:lineRule="auto"/>
        <w:ind w:firstLine="0"/>
        <w:rPr>
          <w:sz w:val="24"/>
        </w:rPr>
      </w:pPr>
      <w:r>
        <w:rPr>
          <w:rFonts w:hint="eastAsia"/>
          <w:sz w:val="24"/>
        </w:rPr>
        <w:t xml:space="preserve">    瞬时短路实验，测试电压水平应是额定开路电压的65%。</w:t>
      </w:r>
    </w:p>
    <w:p>
      <w:pPr>
        <w:numPr>
          <w:ilvl w:val="0"/>
          <w:numId w:val="17"/>
        </w:numPr>
        <w:spacing w:line="360" w:lineRule="auto"/>
        <w:rPr>
          <w:sz w:val="24"/>
        </w:rPr>
      </w:pPr>
      <w:r>
        <w:rPr>
          <w:rFonts w:hint="eastAsia"/>
          <w:sz w:val="24"/>
        </w:rPr>
        <w:t>励磁系统的制造完成后，电气试验应包括：</w:t>
      </w:r>
    </w:p>
    <w:p>
      <w:pPr>
        <w:numPr>
          <w:ilvl w:val="0"/>
          <w:numId w:val="21"/>
        </w:numPr>
        <w:spacing w:line="360" w:lineRule="auto"/>
        <w:ind w:left="0" w:firstLine="0"/>
        <w:rPr>
          <w:sz w:val="24"/>
        </w:rPr>
      </w:pPr>
      <w:r>
        <w:rPr>
          <w:rFonts w:hint="eastAsia"/>
          <w:sz w:val="24"/>
        </w:rPr>
        <w:t>根据IEC 60034标准对励磁系统进行高压试验。</w:t>
      </w:r>
    </w:p>
    <w:p>
      <w:pPr>
        <w:numPr>
          <w:ilvl w:val="0"/>
          <w:numId w:val="21"/>
        </w:numPr>
        <w:spacing w:line="360" w:lineRule="auto"/>
        <w:ind w:left="0" w:firstLine="0"/>
        <w:rPr>
          <w:sz w:val="24"/>
        </w:rPr>
      </w:pPr>
      <w:r>
        <w:rPr>
          <w:rFonts w:hint="eastAsia"/>
          <w:sz w:val="24"/>
        </w:rPr>
        <w:t>灭磁设备性能测试，作为三相故障测试的一部分。</w:t>
      </w:r>
    </w:p>
    <w:p>
      <w:pPr>
        <w:numPr>
          <w:ilvl w:val="0"/>
          <w:numId w:val="21"/>
        </w:numPr>
        <w:spacing w:line="360" w:lineRule="auto"/>
        <w:ind w:left="0" w:firstLine="0"/>
        <w:rPr>
          <w:sz w:val="24"/>
        </w:rPr>
      </w:pPr>
      <w:r>
        <w:rPr>
          <w:rFonts w:hint="eastAsia"/>
          <w:sz w:val="24"/>
        </w:rPr>
        <w:t>励磁机额定输出时的发热试验。</w:t>
      </w:r>
    </w:p>
    <w:p>
      <w:pPr>
        <w:numPr>
          <w:ilvl w:val="0"/>
          <w:numId w:val="21"/>
        </w:numPr>
        <w:spacing w:line="360" w:lineRule="auto"/>
        <w:ind w:left="0" w:firstLine="0"/>
        <w:rPr>
          <w:sz w:val="24"/>
        </w:rPr>
      </w:pPr>
      <w:r>
        <w:rPr>
          <w:rFonts w:hint="eastAsia"/>
          <w:sz w:val="24"/>
        </w:rPr>
        <w:t>励磁响应测试。</w:t>
      </w:r>
    </w:p>
    <w:p>
      <w:pPr>
        <w:numPr>
          <w:ilvl w:val="0"/>
          <w:numId w:val="21"/>
        </w:numPr>
        <w:spacing w:line="360" w:lineRule="auto"/>
        <w:ind w:left="0" w:firstLine="0"/>
        <w:rPr>
          <w:sz w:val="24"/>
        </w:rPr>
      </w:pPr>
      <w:r>
        <w:rPr>
          <w:rFonts w:hint="eastAsia"/>
          <w:sz w:val="24"/>
        </w:rPr>
        <w:t>自动电压调节器综合试验。</w:t>
      </w:r>
    </w:p>
    <w:p>
      <w:pPr>
        <w:spacing w:line="360" w:lineRule="auto"/>
        <w:rPr>
          <w:sz w:val="24"/>
        </w:rPr>
      </w:pPr>
      <w:r>
        <w:rPr>
          <w:rFonts w:hint="eastAsia"/>
          <w:sz w:val="24"/>
        </w:rPr>
        <w:t>3.2.2现场试运行试验</w:t>
      </w:r>
    </w:p>
    <w:p>
      <w:pPr>
        <w:spacing w:line="360" w:lineRule="auto"/>
        <w:ind w:firstLine="480" w:firstLineChars="200"/>
        <w:rPr>
          <w:sz w:val="24"/>
        </w:rPr>
      </w:pPr>
      <w:r>
        <w:rPr>
          <w:rFonts w:hint="eastAsia"/>
          <w:sz w:val="24"/>
        </w:rPr>
        <w:t>发电机、励磁系统、AVR和相关辅助系统应按批准流程进行试运行。</w:t>
      </w:r>
      <w:r>
        <w:rPr>
          <w:sz w:val="24"/>
        </w:rPr>
        <w:t>现场</w:t>
      </w:r>
      <w:r>
        <w:rPr>
          <w:rFonts w:hint="eastAsia"/>
          <w:sz w:val="24"/>
        </w:rPr>
        <w:t>试运行试验</w:t>
      </w:r>
      <w:r>
        <w:rPr>
          <w:sz w:val="24"/>
        </w:rPr>
        <w:t>应包括</w:t>
      </w:r>
      <w:r>
        <w:rPr>
          <w:rFonts w:hint="eastAsia"/>
          <w:sz w:val="24"/>
        </w:rPr>
        <w:t>：</w:t>
      </w:r>
    </w:p>
    <w:p>
      <w:pPr>
        <w:numPr>
          <w:ilvl w:val="0"/>
          <w:numId w:val="22"/>
        </w:numPr>
        <w:spacing w:line="360" w:lineRule="auto"/>
        <w:ind w:left="0" w:firstLine="0"/>
        <w:rPr>
          <w:sz w:val="24"/>
        </w:rPr>
      </w:pPr>
      <w:r>
        <w:rPr>
          <w:rFonts w:hint="eastAsia"/>
          <w:sz w:val="24"/>
        </w:rPr>
        <w:t>根据最新版本的国标规定的水平进行高压试验。</w:t>
      </w:r>
    </w:p>
    <w:p>
      <w:pPr>
        <w:numPr>
          <w:ilvl w:val="0"/>
          <w:numId w:val="22"/>
        </w:numPr>
        <w:spacing w:line="360" w:lineRule="auto"/>
        <w:ind w:left="0" w:firstLine="0"/>
        <w:rPr>
          <w:sz w:val="24"/>
        </w:rPr>
      </w:pPr>
      <w:r>
        <w:rPr>
          <w:rFonts w:hint="eastAsia"/>
          <w:sz w:val="24"/>
        </w:rPr>
        <w:t>在发电机静止时对设备进行所有功能性检测和设定。</w:t>
      </w:r>
    </w:p>
    <w:p>
      <w:pPr>
        <w:numPr>
          <w:ilvl w:val="0"/>
          <w:numId w:val="22"/>
        </w:numPr>
        <w:spacing w:line="360" w:lineRule="auto"/>
        <w:ind w:left="0" w:firstLine="0"/>
        <w:rPr>
          <w:sz w:val="24"/>
        </w:rPr>
      </w:pPr>
      <w:r>
        <w:rPr>
          <w:rFonts w:hint="eastAsia"/>
          <w:sz w:val="24"/>
        </w:rPr>
        <w:t>开路测试，包括端电压响应测量所有控制和保护设备的试验。</w:t>
      </w:r>
    </w:p>
    <w:p>
      <w:pPr>
        <w:numPr>
          <w:ilvl w:val="0"/>
          <w:numId w:val="22"/>
        </w:numPr>
        <w:spacing w:line="360" w:lineRule="auto"/>
        <w:ind w:left="0" w:firstLine="0"/>
        <w:rPr>
          <w:sz w:val="24"/>
        </w:rPr>
      </w:pPr>
      <w:r>
        <w:rPr>
          <w:rFonts w:hint="eastAsia"/>
          <w:sz w:val="24"/>
        </w:rPr>
        <w:t>负载试验，包括满载时在额定超前和滞后功率因数情况下的机端电压响应测量。校正和测试自动励磁电压调节器（AVR）和电力系统稳定器（PSS）。投标人应提供详细的资料来表明符合本要求的负载测试。</w:t>
      </w:r>
    </w:p>
    <w:p>
      <w:pPr>
        <w:numPr>
          <w:ilvl w:val="0"/>
          <w:numId w:val="22"/>
        </w:numPr>
        <w:spacing w:line="360" w:lineRule="auto"/>
        <w:ind w:left="0" w:firstLine="0"/>
        <w:rPr>
          <w:sz w:val="24"/>
        </w:rPr>
      </w:pPr>
      <w:r>
        <w:rPr>
          <w:rFonts w:hint="eastAsia"/>
          <w:sz w:val="24"/>
        </w:rPr>
        <w:t>作为典型试验的甩负荷试验应至少在满载50%和100%进行，同时对汽机系统其他控制装置进行甩负荷试验。</w:t>
      </w:r>
    </w:p>
    <w:p>
      <w:pPr>
        <w:numPr>
          <w:ilvl w:val="0"/>
          <w:numId w:val="22"/>
        </w:numPr>
        <w:spacing w:line="360" w:lineRule="auto"/>
        <w:ind w:left="0" w:firstLine="0"/>
        <w:rPr>
          <w:sz w:val="24"/>
        </w:rPr>
      </w:pPr>
      <w:r>
        <w:rPr>
          <w:rFonts w:hint="eastAsia"/>
          <w:sz w:val="24"/>
        </w:rPr>
        <w:t>负载时励磁系统参数鉴定试验。</w:t>
      </w:r>
    </w:p>
    <w:p>
      <w:pPr>
        <w:spacing w:line="360" w:lineRule="auto"/>
        <w:rPr>
          <w:sz w:val="24"/>
        </w:rPr>
      </w:pPr>
      <w:r>
        <w:rPr>
          <w:rFonts w:hint="eastAsia"/>
          <w:sz w:val="24"/>
        </w:rPr>
        <w:t>3.2.3发电机应符合最新版本的国标规定要求；定、转子绕组，测温元件及其他部位的绝缘电阻应符合最新版本的国标规定，定、转子绕组耐电压试验按最新版本的国标规定要求执行。</w:t>
      </w:r>
    </w:p>
    <w:p>
      <w:pPr>
        <w:spacing w:line="360" w:lineRule="auto"/>
        <w:rPr>
          <w:sz w:val="24"/>
        </w:rPr>
      </w:pPr>
      <w:r>
        <w:rPr>
          <w:rFonts w:hint="eastAsia"/>
          <w:sz w:val="24"/>
        </w:rPr>
        <w:t>3.2</w:t>
      </w:r>
      <w:r>
        <w:rPr>
          <w:sz w:val="24"/>
        </w:rPr>
        <w:t>.</w:t>
      </w:r>
      <w:r>
        <w:rPr>
          <w:rFonts w:hint="eastAsia"/>
          <w:sz w:val="24"/>
        </w:rPr>
        <w:t>4定子绕组出线端的绝缘套管应单独在空气中进行工频干闪及耐电压试验，试验电压不低于发电机定子绕组试验电压的1</w:t>
      </w:r>
      <w:r>
        <w:rPr>
          <w:sz w:val="24"/>
        </w:rPr>
        <w:t>.5</w:t>
      </w:r>
      <w:r>
        <w:rPr>
          <w:rFonts w:hint="eastAsia"/>
          <w:sz w:val="24"/>
        </w:rPr>
        <w:t>倍历时</w:t>
      </w:r>
      <w:r>
        <w:rPr>
          <w:sz w:val="24"/>
        </w:rPr>
        <w:t>1</w:t>
      </w:r>
      <w:r>
        <w:rPr>
          <w:rFonts w:hint="eastAsia"/>
          <w:sz w:val="24"/>
        </w:rPr>
        <w:t>分钟。</w:t>
      </w:r>
    </w:p>
    <w:p>
      <w:pPr>
        <w:spacing w:line="360" w:lineRule="auto"/>
        <w:rPr>
          <w:sz w:val="24"/>
        </w:rPr>
      </w:pPr>
      <w:r>
        <w:rPr>
          <w:rFonts w:hint="eastAsia"/>
          <w:sz w:val="24"/>
        </w:rPr>
        <w:t>3.2</w:t>
      </w:r>
      <w:r>
        <w:rPr>
          <w:sz w:val="24"/>
        </w:rPr>
        <w:t>.</w:t>
      </w:r>
      <w:r>
        <w:rPr>
          <w:rFonts w:hint="eastAsia"/>
          <w:sz w:val="24"/>
        </w:rPr>
        <w:t>5</w:t>
      </w:r>
      <w:r>
        <w:rPr>
          <w:sz w:val="24"/>
        </w:rPr>
        <w:t xml:space="preserve"> </w:t>
      </w:r>
      <w:r>
        <w:rPr>
          <w:rFonts w:hint="eastAsia"/>
          <w:sz w:val="24"/>
        </w:rPr>
        <w:t>发电机的负荷变化率应满足汽轮机定压运行时大于</w:t>
      </w:r>
      <w:r>
        <w:rPr>
          <w:sz w:val="24"/>
        </w:rPr>
        <w:t>5</w:t>
      </w:r>
      <w:r>
        <w:rPr>
          <w:rFonts w:hint="eastAsia"/>
          <w:sz w:val="24"/>
        </w:rPr>
        <w:t>％</w:t>
      </w:r>
      <w:r>
        <w:rPr>
          <w:sz w:val="24"/>
        </w:rPr>
        <w:t>/min</w:t>
      </w:r>
      <w:r>
        <w:rPr>
          <w:rFonts w:hint="eastAsia"/>
          <w:sz w:val="24"/>
        </w:rPr>
        <w:t>，滑压运行时大于</w:t>
      </w:r>
      <w:r>
        <w:rPr>
          <w:sz w:val="24"/>
        </w:rPr>
        <w:t>3</w:t>
      </w:r>
      <w:r>
        <w:rPr>
          <w:rFonts w:hint="eastAsia"/>
          <w:sz w:val="24"/>
        </w:rPr>
        <w:t>％</w:t>
      </w:r>
      <w:r>
        <w:rPr>
          <w:sz w:val="24"/>
        </w:rPr>
        <w:t>/min</w:t>
      </w:r>
      <w:r>
        <w:rPr>
          <w:rFonts w:hint="eastAsia"/>
          <w:sz w:val="24"/>
        </w:rPr>
        <w:t>的要求。</w:t>
      </w:r>
    </w:p>
    <w:p>
      <w:pPr>
        <w:spacing w:line="360" w:lineRule="auto"/>
        <w:rPr>
          <w:sz w:val="24"/>
        </w:rPr>
      </w:pPr>
      <w:r>
        <w:rPr>
          <w:rFonts w:hint="eastAsia"/>
          <w:sz w:val="24"/>
        </w:rPr>
        <w:t>3.2</w:t>
      </w:r>
      <w:r>
        <w:rPr>
          <w:sz w:val="24"/>
        </w:rPr>
        <w:t>.</w:t>
      </w:r>
      <w:r>
        <w:rPr>
          <w:rFonts w:hint="eastAsia"/>
          <w:sz w:val="24"/>
        </w:rPr>
        <w:t>6发电机本体、空冷装置以及检测装置等辅助系统应在出厂前试验合格后方可交付。</w:t>
      </w:r>
    </w:p>
    <w:p>
      <w:pPr>
        <w:spacing w:line="360" w:lineRule="auto"/>
        <w:rPr>
          <w:sz w:val="24"/>
          <w:szCs w:val="24"/>
        </w:rPr>
      </w:pPr>
      <w:r>
        <w:rPr>
          <w:sz w:val="24"/>
        </w:rPr>
        <w:t>3.2.</w:t>
      </w:r>
      <w:r>
        <w:rPr>
          <w:rFonts w:hint="eastAsia"/>
          <w:sz w:val="24"/>
        </w:rPr>
        <w:t>7</w:t>
      </w:r>
      <w:r>
        <w:rPr>
          <w:sz w:val="24"/>
          <w:szCs w:val="24"/>
        </w:rPr>
        <w:t>仪表及控制系统试验</w:t>
      </w:r>
    </w:p>
    <w:p>
      <w:pPr>
        <w:spacing w:line="360" w:lineRule="auto"/>
        <w:rPr>
          <w:sz w:val="24"/>
        </w:rPr>
      </w:pPr>
      <w:r>
        <w:rPr>
          <w:sz w:val="24"/>
        </w:rPr>
        <w:t>3.2.</w:t>
      </w:r>
      <w:r>
        <w:rPr>
          <w:rFonts w:hint="eastAsia"/>
          <w:sz w:val="24"/>
        </w:rPr>
        <w:t>7</w:t>
      </w:r>
      <w:r>
        <w:rPr>
          <w:sz w:val="24"/>
        </w:rPr>
        <w:t>.1 概述</w:t>
      </w:r>
    </w:p>
    <w:p>
      <w:pPr>
        <w:numPr>
          <w:ilvl w:val="0"/>
          <w:numId w:val="23"/>
        </w:numPr>
        <w:spacing w:line="360" w:lineRule="auto"/>
        <w:ind w:left="0" w:firstLine="0"/>
        <w:rPr>
          <w:sz w:val="24"/>
        </w:rPr>
      </w:pPr>
      <w:r>
        <w:rPr>
          <w:sz w:val="24"/>
        </w:rPr>
        <w:t>汽轮发电机在配套供应的检测控制设备出厂前，应进行检查和试验。</w:t>
      </w:r>
    </w:p>
    <w:p>
      <w:pPr>
        <w:numPr>
          <w:ilvl w:val="0"/>
          <w:numId w:val="23"/>
        </w:numPr>
        <w:spacing w:line="360" w:lineRule="auto"/>
        <w:ind w:left="0" w:firstLine="0"/>
        <w:rPr>
          <w:sz w:val="24"/>
        </w:rPr>
      </w:pPr>
      <w:r>
        <w:rPr>
          <w:sz w:val="24"/>
        </w:rPr>
        <w:t>出厂检查和试验应能证明下列各项：</w:t>
      </w:r>
    </w:p>
    <w:p>
      <w:pPr>
        <w:numPr>
          <w:ilvl w:val="0"/>
          <w:numId w:val="24"/>
        </w:numPr>
        <w:spacing w:line="360" w:lineRule="auto"/>
        <w:rPr>
          <w:sz w:val="24"/>
        </w:rPr>
      </w:pPr>
      <w:r>
        <w:rPr>
          <w:sz w:val="24"/>
        </w:rPr>
        <w:t>所供设备符合有关技术条件和安全规范；</w:t>
      </w:r>
    </w:p>
    <w:p>
      <w:pPr>
        <w:numPr>
          <w:ilvl w:val="0"/>
          <w:numId w:val="24"/>
        </w:numPr>
        <w:spacing w:line="360" w:lineRule="auto"/>
        <w:rPr>
          <w:sz w:val="24"/>
        </w:rPr>
      </w:pPr>
      <w:r>
        <w:rPr>
          <w:sz w:val="24"/>
        </w:rPr>
        <w:t>安全装置和保护装置动作正确；</w:t>
      </w:r>
    </w:p>
    <w:p>
      <w:pPr>
        <w:numPr>
          <w:ilvl w:val="0"/>
          <w:numId w:val="24"/>
        </w:numPr>
        <w:spacing w:line="360" w:lineRule="auto"/>
        <w:rPr>
          <w:sz w:val="24"/>
        </w:rPr>
      </w:pPr>
      <w:r>
        <w:rPr>
          <w:sz w:val="24"/>
        </w:rPr>
        <w:t>达到供货合同规定的保证值；</w:t>
      </w:r>
    </w:p>
    <w:p>
      <w:pPr>
        <w:numPr>
          <w:ilvl w:val="0"/>
          <w:numId w:val="24"/>
        </w:numPr>
        <w:spacing w:line="360" w:lineRule="auto"/>
        <w:rPr>
          <w:sz w:val="24"/>
        </w:rPr>
      </w:pPr>
      <w:r>
        <w:rPr>
          <w:sz w:val="24"/>
        </w:rPr>
        <w:t>满足供货合同规定的其他特殊要求。</w:t>
      </w:r>
    </w:p>
    <w:p>
      <w:pPr>
        <w:numPr>
          <w:ilvl w:val="0"/>
          <w:numId w:val="23"/>
        </w:numPr>
        <w:spacing w:line="360" w:lineRule="auto"/>
        <w:ind w:left="0" w:firstLine="0"/>
        <w:rPr>
          <w:sz w:val="24"/>
        </w:rPr>
      </w:pPr>
      <w:r>
        <w:rPr>
          <w:sz w:val="24"/>
        </w:rPr>
        <w:t>为保证验收顺利进行，投标人负责将汽轮发电机的检查和试验资料按合同规定完整并及时地提交给招标人。对重要的检查与试验项目，应邀请招标人代表参加，并应在试验前规定的时间内通知招标人代表。</w:t>
      </w:r>
    </w:p>
    <w:p>
      <w:pPr>
        <w:numPr>
          <w:ilvl w:val="0"/>
          <w:numId w:val="23"/>
        </w:numPr>
        <w:spacing w:line="360" w:lineRule="auto"/>
        <w:ind w:left="0" w:firstLine="0"/>
        <w:rPr>
          <w:sz w:val="24"/>
        </w:rPr>
      </w:pPr>
      <w:r>
        <w:rPr>
          <w:sz w:val="24"/>
        </w:rPr>
        <w:t>按合同规定，招标人参加检验的装置，投标人提出发电机的检查与试验的项目、方法及判定准则，经招标人确认后，作为装置的检验依据。</w:t>
      </w:r>
    </w:p>
    <w:p>
      <w:pPr>
        <w:spacing w:line="360" w:lineRule="auto"/>
        <w:rPr>
          <w:sz w:val="24"/>
        </w:rPr>
      </w:pPr>
      <w:r>
        <w:rPr>
          <w:sz w:val="24"/>
        </w:rPr>
        <w:t>3.2.</w:t>
      </w:r>
      <w:r>
        <w:rPr>
          <w:rFonts w:hint="eastAsia"/>
          <w:sz w:val="24"/>
        </w:rPr>
        <w:t>7</w:t>
      </w:r>
      <w:r>
        <w:rPr>
          <w:sz w:val="24"/>
        </w:rPr>
        <w:t>.2  出厂前的试验项目应包括：</w:t>
      </w:r>
    </w:p>
    <w:p>
      <w:pPr>
        <w:numPr>
          <w:ilvl w:val="0"/>
          <w:numId w:val="25"/>
        </w:numPr>
        <w:spacing w:line="360" w:lineRule="auto"/>
        <w:rPr>
          <w:sz w:val="24"/>
        </w:rPr>
      </w:pPr>
      <w:r>
        <w:rPr>
          <w:sz w:val="24"/>
        </w:rPr>
        <w:t>外观检查；</w:t>
      </w:r>
    </w:p>
    <w:p>
      <w:pPr>
        <w:numPr>
          <w:ilvl w:val="0"/>
          <w:numId w:val="25"/>
        </w:numPr>
        <w:spacing w:line="360" w:lineRule="auto"/>
        <w:rPr>
          <w:sz w:val="24"/>
        </w:rPr>
      </w:pPr>
      <w:r>
        <w:rPr>
          <w:sz w:val="24"/>
        </w:rPr>
        <w:t>性能试验；</w:t>
      </w:r>
    </w:p>
    <w:p>
      <w:pPr>
        <w:numPr>
          <w:ilvl w:val="0"/>
          <w:numId w:val="25"/>
        </w:numPr>
        <w:spacing w:line="360" w:lineRule="auto"/>
        <w:rPr>
          <w:sz w:val="24"/>
        </w:rPr>
      </w:pPr>
      <w:r>
        <w:rPr>
          <w:sz w:val="24"/>
        </w:rPr>
        <w:t>功能试验；</w:t>
      </w:r>
    </w:p>
    <w:p>
      <w:pPr>
        <w:numPr>
          <w:ilvl w:val="0"/>
          <w:numId w:val="25"/>
        </w:numPr>
        <w:spacing w:line="360" w:lineRule="auto"/>
        <w:rPr>
          <w:sz w:val="24"/>
        </w:rPr>
      </w:pPr>
      <w:r>
        <w:rPr>
          <w:sz w:val="24"/>
        </w:rPr>
        <w:t>电源变化试验；</w:t>
      </w:r>
    </w:p>
    <w:p>
      <w:pPr>
        <w:numPr>
          <w:ilvl w:val="0"/>
          <w:numId w:val="25"/>
        </w:numPr>
        <w:spacing w:line="360" w:lineRule="auto"/>
        <w:rPr>
          <w:sz w:val="24"/>
        </w:rPr>
      </w:pPr>
      <w:r>
        <w:rPr>
          <w:sz w:val="24"/>
        </w:rPr>
        <w:t>绝缘试验；</w:t>
      </w:r>
    </w:p>
    <w:p>
      <w:pPr>
        <w:numPr>
          <w:ilvl w:val="0"/>
          <w:numId w:val="25"/>
        </w:numPr>
        <w:spacing w:line="360" w:lineRule="auto"/>
        <w:rPr>
          <w:sz w:val="24"/>
        </w:rPr>
      </w:pPr>
      <w:r>
        <w:rPr>
          <w:sz w:val="24"/>
        </w:rPr>
        <w:t>环境条件试验；</w:t>
      </w:r>
    </w:p>
    <w:p>
      <w:pPr>
        <w:numPr>
          <w:ilvl w:val="0"/>
          <w:numId w:val="25"/>
        </w:numPr>
        <w:spacing w:line="360" w:lineRule="auto"/>
        <w:rPr>
          <w:sz w:val="24"/>
        </w:rPr>
      </w:pPr>
      <w:r>
        <w:rPr>
          <w:sz w:val="24"/>
        </w:rPr>
        <w:t>特殊的专项试验；</w:t>
      </w:r>
    </w:p>
    <w:p>
      <w:pPr>
        <w:spacing w:line="360" w:lineRule="auto"/>
        <w:rPr>
          <w:sz w:val="24"/>
        </w:rPr>
      </w:pPr>
      <w:r>
        <w:rPr>
          <w:sz w:val="24"/>
        </w:rPr>
        <w:t>3.2.</w:t>
      </w:r>
      <w:r>
        <w:rPr>
          <w:rFonts w:hint="eastAsia"/>
          <w:sz w:val="24"/>
        </w:rPr>
        <w:t>7</w:t>
      </w:r>
      <w:r>
        <w:rPr>
          <w:sz w:val="24"/>
        </w:rPr>
        <w:t>.3现场试验项目应包括；</w:t>
      </w:r>
    </w:p>
    <w:p>
      <w:pPr>
        <w:numPr>
          <w:ilvl w:val="0"/>
          <w:numId w:val="26"/>
        </w:numPr>
        <w:spacing w:line="360" w:lineRule="auto"/>
        <w:rPr>
          <w:sz w:val="24"/>
        </w:rPr>
      </w:pPr>
      <w:r>
        <w:rPr>
          <w:sz w:val="24"/>
        </w:rPr>
        <w:t>单体调试（安装前进行）；</w:t>
      </w:r>
    </w:p>
    <w:p>
      <w:pPr>
        <w:numPr>
          <w:ilvl w:val="0"/>
          <w:numId w:val="26"/>
        </w:numPr>
        <w:spacing w:line="360" w:lineRule="auto"/>
        <w:rPr>
          <w:sz w:val="24"/>
        </w:rPr>
      </w:pPr>
      <w:r>
        <w:rPr>
          <w:sz w:val="24"/>
        </w:rPr>
        <w:t>系统开环调试（无负荷运行调试在分部试运时进行）；</w:t>
      </w:r>
    </w:p>
    <w:p>
      <w:pPr>
        <w:numPr>
          <w:ilvl w:val="0"/>
          <w:numId w:val="26"/>
        </w:numPr>
        <w:spacing w:line="360" w:lineRule="auto"/>
        <w:rPr>
          <w:sz w:val="24"/>
        </w:rPr>
      </w:pPr>
      <w:r>
        <w:rPr>
          <w:sz w:val="24"/>
        </w:rPr>
        <w:t>系统调试（带负荷运行调试随电厂主机进行）；</w:t>
      </w:r>
    </w:p>
    <w:p>
      <w:pPr>
        <w:numPr>
          <w:ilvl w:val="0"/>
          <w:numId w:val="26"/>
        </w:numPr>
        <w:spacing w:line="360" w:lineRule="auto"/>
        <w:rPr>
          <w:sz w:val="24"/>
        </w:rPr>
      </w:pPr>
      <w:r>
        <w:rPr>
          <w:sz w:val="24"/>
        </w:rPr>
        <w:t>考核试验。</w:t>
      </w:r>
    </w:p>
    <w:p>
      <w:pPr>
        <w:spacing w:line="360" w:lineRule="auto"/>
        <w:rPr>
          <w:b/>
          <w:sz w:val="24"/>
        </w:rPr>
      </w:pPr>
      <w:bookmarkStart w:id="8" w:name="_Toc90192535"/>
      <w:r>
        <w:rPr>
          <w:b/>
          <w:sz w:val="24"/>
        </w:rPr>
        <w:t>4.</w:t>
      </w:r>
      <w:r>
        <w:rPr>
          <w:rFonts w:hint="eastAsia"/>
          <w:b/>
          <w:sz w:val="24"/>
        </w:rPr>
        <w:t xml:space="preserve"> </w:t>
      </w:r>
      <w:r>
        <w:rPr>
          <w:b/>
          <w:sz w:val="24"/>
        </w:rPr>
        <w:t>质量保证</w:t>
      </w:r>
      <w:bookmarkEnd w:id="8"/>
    </w:p>
    <w:p>
      <w:pPr>
        <w:spacing w:line="360" w:lineRule="auto"/>
        <w:rPr>
          <w:b/>
          <w:bCs/>
          <w:sz w:val="24"/>
        </w:rPr>
      </w:pPr>
      <w:bookmarkStart w:id="9" w:name="_Toc90192536"/>
      <w:r>
        <w:rPr>
          <w:b/>
          <w:bCs/>
          <w:sz w:val="24"/>
        </w:rPr>
        <w:t>4.1质量保证</w:t>
      </w:r>
      <w:bookmarkEnd w:id="9"/>
    </w:p>
    <w:p>
      <w:pPr>
        <w:spacing w:line="360" w:lineRule="auto"/>
        <w:ind w:firstLine="480" w:firstLineChars="200"/>
        <w:rPr>
          <w:sz w:val="24"/>
        </w:rPr>
      </w:pPr>
      <w:r>
        <w:rPr>
          <w:sz w:val="24"/>
        </w:rPr>
        <w:t>根据本</w:t>
      </w:r>
      <w:r>
        <w:rPr>
          <w:rFonts w:hint="eastAsia"/>
          <w:sz w:val="24"/>
        </w:rPr>
        <w:t>技术规范书</w:t>
      </w:r>
      <w:r>
        <w:rPr>
          <w:sz w:val="24"/>
        </w:rPr>
        <w:t>，投标人应采取措施确保设备质量。设备制造应由招标人代表监造。产品交货前，应对发电机各部件和辅机进行必要的检查与试验，以保证整个设计和制造符合规程要求。投标人设备的技术性能和质量由投标人对招标人进行保证。招标人代表在生产厂家对设备进行监造和验收，决不解除投标人对设备技术性能和质量应承担的保证。</w:t>
      </w:r>
    </w:p>
    <w:p>
      <w:pPr>
        <w:spacing w:line="360" w:lineRule="auto"/>
        <w:rPr>
          <w:sz w:val="24"/>
        </w:rPr>
      </w:pPr>
      <w:bookmarkStart w:id="10" w:name="_Toc90192537"/>
      <w:r>
        <w:rPr>
          <w:sz w:val="24"/>
        </w:rPr>
        <w:t>4.2</w:t>
      </w:r>
      <w:r>
        <w:rPr>
          <w:b/>
          <w:bCs/>
          <w:sz w:val="24"/>
        </w:rPr>
        <w:t>必须进行检查和试验的项目，应能证明下列各项</w:t>
      </w:r>
      <w:bookmarkEnd w:id="10"/>
    </w:p>
    <w:p>
      <w:pPr>
        <w:spacing w:line="360" w:lineRule="auto"/>
        <w:rPr>
          <w:sz w:val="24"/>
        </w:rPr>
      </w:pPr>
      <w:r>
        <w:rPr>
          <w:sz w:val="24"/>
        </w:rPr>
        <w:t>4.2.1所供设备符合有关技术条件和安全规范；</w:t>
      </w:r>
    </w:p>
    <w:p>
      <w:pPr>
        <w:spacing w:line="360" w:lineRule="auto"/>
        <w:rPr>
          <w:sz w:val="24"/>
        </w:rPr>
      </w:pPr>
      <w:r>
        <w:rPr>
          <w:sz w:val="24"/>
        </w:rPr>
        <w:t>4.2.2安全装置和保护装置动作正确；</w:t>
      </w:r>
    </w:p>
    <w:p>
      <w:pPr>
        <w:spacing w:line="360" w:lineRule="auto"/>
        <w:rPr>
          <w:sz w:val="24"/>
        </w:rPr>
      </w:pPr>
      <w:r>
        <w:rPr>
          <w:sz w:val="24"/>
        </w:rPr>
        <w:t>4.2.3达到招标人要求的规定值；</w:t>
      </w:r>
    </w:p>
    <w:p>
      <w:pPr>
        <w:spacing w:line="360" w:lineRule="auto"/>
        <w:rPr>
          <w:b/>
          <w:bCs/>
          <w:sz w:val="24"/>
        </w:rPr>
      </w:pPr>
      <w:bookmarkStart w:id="11" w:name="_Toc90192538"/>
      <w:r>
        <w:rPr>
          <w:b/>
          <w:bCs/>
          <w:sz w:val="24"/>
        </w:rPr>
        <w:t>4.3重要的检查与试验项目</w:t>
      </w:r>
      <w:bookmarkEnd w:id="11"/>
    </w:p>
    <w:p>
      <w:pPr>
        <w:spacing w:line="360" w:lineRule="auto"/>
        <w:ind w:firstLine="480" w:firstLineChars="200"/>
        <w:rPr>
          <w:sz w:val="24"/>
        </w:rPr>
      </w:pPr>
      <w:r>
        <w:rPr>
          <w:sz w:val="24"/>
        </w:rPr>
        <w:t>投标人有责任将检查和试验资料及标准按规定完整并及时提交给招标人；对重要的检查与试验项目（附件5），应邀请招标人派代表参加。</w:t>
      </w:r>
    </w:p>
    <w:p>
      <w:pPr>
        <w:spacing w:line="360" w:lineRule="auto"/>
        <w:rPr>
          <w:b/>
          <w:bCs/>
          <w:sz w:val="24"/>
        </w:rPr>
      </w:pPr>
      <w:bookmarkStart w:id="12" w:name="_Toc90192539"/>
      <w:r>
        <w:rPr>
          <w:b/>
          <w:bCs/>
          <w:sz w:val="24"/>
        </w:rPr>
        <w:t>4.4质量和性能与标准不符或未达到要求时</w:t>
      </w:r>
      <w:bookmarkEnd w:id="12"/>
    </w:p>
    <w:p>
      <w:pPr>
        <w:spacing w:line="360" w:lineRule="auto"/>
        <w:ind w:firstLine="540" w:firstLineChars="225"/>
        <w:rPr>
          <w:sz w:val="24"/>
        </w:rPr>
      </w:pPr>
      <w:r>
        <w:rPr>
          <w:sz w:val="24"/>
        </w:rPr>
        <w:t>如产品质量和性能与标准不符或未达到要求时，招标人有权拒绝验收，投标人应负责修理、更换或赔偿。</w:t>
      </w:r>
    </w:p>
    <w:p>
      <w:pPr>
        <w:spacing w:line="360" w:lineRule="auto"/>
        <w:rPr>
          <w:b/>
          <w:bCs/>
          <w:sz w:val="24"/>
        </w:rPr>
      </w:pPr>
      <w:bookmarkStart w:id="13" w:name="_Toc90192540"/>
      <w:r>
        <w:rPr>
          <w:b/>
          <w:bCs/>
          <w:sz w:val="24"/>
        </w:rPr>
        <w:t>4.5质量控制</w:t>
      </w:r>
      <w:bookmarkEnd w:id="13"/>
    </w:p>
    <w:p>
      <w:pPr>
        <w:spacing w:line="360" w:lineRule="auto"/>
        <w:ind w:firstLine="480" w:firstLineChars="200"/>
        <w:rPr>
          <w:sz w:val="24"/>
        </w:rPr>
      </w:pPr>
      <w:r>
        <w:rPr>
          <w:sz w:val="24"/>
        </w:rPr>
        <w:t>投标人应负责对按“技术规范”一章所提供的服务、工艺、流程、产品和材料实行质量控制。</w:t>
      </w:r>
    </w:p>
    <w:p>
      <w:pPr>
        <w:spacing w:line="360" w:lineRule="auto"/>
        <w:rPr>
          <w:b/>
          <w:bCs/>
          <w:sz w:val="24"/>
        </w:rPr>
      </w:pPr>
      <w:bookmarkStart w:id="14" w:name="_Toc90192541"/>
      <w:r>
        <w:rPr>
          <w:b/>
          <w:bCs/>
          <w:sz w:val="24"/>
        </w:rPr>
        <w:t>4.6 ISO9000系列标准</w:t>
      </w:r>
      <w:bookmarkEnd w:id="14"/>
    </w:p>
    <w:p>
      <w:pPr>
        <w:tabs>
          <w:tab w:val="left" w:pos="360"/>
        </w:tabs>
        <w:spacing w:line="360" w:lineRule="auto"/>
        <w:ind w:firstLine="480" w:firstLineChars="200"/>
        <w:rPr>
          <w:sz w:val="24"/>
        </w:rPr>
      </w:pPr>
      <w:r>
        <w:rPr>
          <w:sz w:val="24"/>
        </w:rPr>
        <w:t>投标人应该用质量管理计划检查各项目和服务包括分包商的项目和服务是否符合合同的要求和规定，质量管理系统应符合ISO9000系列标准的要求。</w:t>
      </w:r>
      <w:bookmarkStart w:id="15" w:name="_Toc90192542"/>
    </w:p>
    <w:p>
      <w:pPr>
        <w:tabs>
          <w:tab w:val="left" w:pos="360"/>
        </w:tabs>
        <w:spacing w:line="360" w:lineRule="auto"/>
        <w:ind w:left="1" w:hanging="1"/>
        <w:rPr>
          <w:b/>
          <w:bCs/>
          <w:sz w:val="24"/>
        </w:rPr>
      </w:pPr>
      <w:r>
        <w:rPr>
          <w:b/>
          <w:bCs/>
          <w:sz w:val="24"/>
        </w:rPr>
        <w:t>4.7 质量保证计划和质量手册供审核批准</w:t>
      </w:r>
      <w:bookmarkEnd w:id="15"/>
    </w:p>
    <w:p>
      <w:pPr>
        <w:tabs>
          <w:tab w:val="left" w:pos="0"/>
        </w:tabs>
        <w:spacing w:line="360" w:lineRule="auto"/>
        <w:ind w:left="-2" w:leftChars="-1" w:firstLine="541"/>
        <w:rPr>
          <w:sz w:val="24"/>
        </w:rPr>
      </w:pPr>
      <w:r>
        <w:rPr>
          <w:sz w:val="24"/>
        </w:rPr>
        <w:t>投标人应随投标人案提供质量保证计划和质量手册供审核批准。开始制造前，投标人应提交制造程序表，介绍要进行的检验或试验。招标人代表有权进入制造厂监督制造中的检验或工厂最终检验和试验。凡与规范不符之处，都必须记录在案进行处理。</w:t>
      </w:r>
    </w:p>
    <w:p>
      <w:pPr>
        <w:spacing w:line="360" w:lineRule="auto"/>
        <w:rPr>
          <w:b/>
          <w:sz w:val="24"/>
        </w:rPr>
      </w:pPr>
      <w:bookmarkStart w:id="16" w:name="_Toc90192543"/>
      <w:r>
        <w:rPr>
          <w:b/>
          <w:sz w:val="24"/>
        </w:rPr>
        <w:t>5. 包装、标志、运输及保管</w:t>
      </w:r>
      <w:bookmarkEnd w:id="16"/>
    </w:p>
    <w:p>
      <w:pPr>
        <w:spacing w:line="360" w:lineRule="auto"/>
        <w:rPr>
          <w:b/>
          <w:bCs/>
          <w:sz w:val="24"/>
        </w:rPr>
      </w:pPr>
      <w:bookmarkStart w:id="17" w:name="_Toc90192544"/>
      <w:r>
        <w:rPr>
          <w:b/>
          <w:bCs/>
          <w:sz w:val="24"/>
        </w:rPr>
        <w:t>5.1  包装</w:t>
      </w:r>
      <w:bookmarkEnd w:id="17"/>
    </w:p>
    <w:p>
      <w:pPr>
        <w:spacing w:line="360" w:lineRule="auto"/>
        <w:rPr>
          <w:sz w:val="24"/>
        </w:rPr>
      </w:pPr>
      <w:r>
        <w:rPr>
          <w:sz w:val="24"/>
        </w:rPr>
        <w:t>5.1.1投标人所供设备部件，除特殊部件外（如管件等），均应遵照国家标准和有关包装的技术条件进行，或按最好的商业惯例，使用坚固的箱子包装。并应根据不同货物的特性和要求，采取措施，如对设备进行妥善的油漆或其他有效的防腐处理，以适应远途水上、陆上运输条件和大量的吊装、卸货以及长期露天堆放的需要，从而防止雨雪、受潮、生锈、腐蚀、受震、受冲击、运输和装卸中的加速度以及机械和化学引起的损坏。</w:t>
      </w:r>
    </w:p>
    <w:p>
      <w:pPr>
        <w:spacing w:line="360" w:lineRule="auto"/>
        <w:rPr>
          <w:sz w:val="24"/>
        </w:rPr>
      </w:pPr>
      <w:r>
        <w:rPr>
          <w:sz w:val="24"/>
        </w:rPr>
        <w:t>5.1.2投标人所供技术文件应妥善地包装，能承受运输和多次搬运，并应防止潮气和雨水的侵蚀。每个技术文件邮包应装有详细目录清单。</w:t>
      </w:r>
    </w:p>
    <w:p>
      <w:pPr>
        <w:spacing w:line="360" w:lineRule="auto"/>
        <w:rPr>
          <w:sz w:val="24"/>
        </w:rPr>
      </w:pPr>
      <w:r>
        <w:rPr>
          <w:sz w:val="24"/>
        </w:rPr>
        <w:t>5.1.3为防止设备器材被窃或受腐蚀元素、雨水的损坏，不得采用敞开的板条箱和类似包装。</w:t>
      </w:r>
    </w:p>
    <w:p>
      <w:pPr>
        <w:spacing w:line="360" w:lineRule="auto"/>
        <w:rPr>
          <w:sz w:val="24"/>
        </w:rPr>
      </w:pPr>
      <w:r>
        <w:rPr>
          <w:sz w:val="24"/>
        </w:rPr>
        <w:t>5.1.4热控设备应采用独立完善的包装，能确保设备的安全运输。</w:t>
      </w:r>
    </w:p>
    <w:p>
      <w:pPr>
        <w:spacing w:line="360" w:lineRule="auto"/>
        <w:rPr>
          <w:b/>
          <w:bCs/>
          <w:sz w:val="24"/>
        </w:rPr>
      </w:pPr>
      <w:bookmarkStart w:id="18" w:name="_Toc90192545"/>
      <w:r>
        <w:rPr>
          <w:b/>
          <w:bCs/>
          <w:sz w:val="24"/>
        </w:rPr>
        <w:t>5.2 标志</w:t>
      </w:r>
      <w:bookmarkEnd w:id="18"/>
    </w:p>
    <w:p>
      <w:pPr>
        <w:spacing w:line="360" w:lineRule="auto"/>
        <w:rPr>
          <w:sz w:val="24"/>
        </w:rPr>
      </w:pPr>
      <w:r>
        <w:rPr>
          <w:sz w:val="24"/>
        </w:rPr>
        <w:t>5.2.1设备标志</w:t>
      </w:r>
    </w:p>
    <w:p>
      <w:pPr>
        <w:numPr>
          <w:ilvl w:val="0"/>
          <w:numId w:val="27"/>
        </w:numPr>
        <w:spacing w:line="360" w:lineRule="auto"/>
        <w:ind w:left="0" w:firstLine="0"/>
        <w:rPr>
          <w:sz w:val="24"/>
        </w:rPr>
      </w:pPr>
      <w:r>
        <w:rPr>
          <w:sz w:val="24"/>
        </w:rPr>
        <w:t>发电机、励磁系统、冷却水系统、密封油系统各部套都应有固定铭牌。铭牌不易损坏，铭牌上层标明型号、容量、制造厂名、出厂年月等重要参数。</w:t>
      </w:r>
    </w:p>
    <w:p>
      <w:pPr>
        <w:numPr>
          <w:ilvl w:val="0"/>
          <w:numId w:val="27"/>
        </w:numPr>
        <w:spacing w:line="360" w:lineRule="auto"/>
        <w:ind w:left="0" w:firstLine="0"/>
        <w:rPr>
          <w:sz w:val="24"/>
        </w:rPr>
      </w:pPr>
      <w:r>
        <w:rPr>
          <w:sz w:val="24"/>
        </w:rPr>
        <w:t>重要阀门、调节保安套等均应有表示其行程、转角、操作方法等明显易辨的标志。</w:t>
      </w:r>
    </w:p>
    <w:p>
      <w:pPr>
        <w:numPr>
          <w:ilvl w:val="0"/>
          <w:numId w:val="27"/>
        </w:numPr>
        <w:spacing w:line="360" w:lineRule="auto"/>
        <w:ind w:left="0" w:firstLine="0"/>
        <w:rPr>
          <w:sz w:val="24"/>
        </w:rPr>
      </w:pPr>
      <w:r>
        <w:rPr>
          <w:sz w:val="24"/>
        </w:rPr>
        <w:t>重要部件应根据图纸规定，在一定位置上标有装配编号，使用材料和检验合格的标志。</w:t>
      </w:r>
    </w:p>
    <w:p>
      <w:pPr>
        <w:spacing w:line="360" w:lineRule="auto"/>
        <w:rPr>
          <w:sz w:val="24"/>
        </w:rPr>
      </w:pPr>
      <w:r>
        <w:rPr>
          <w:sz w:val="24"/>
        </w:rPr>
        <w:t>5.2.2包装标志</w:t>
      </w:r>
    </w:p>
    <w:p>
      <w:pPr>
        <w:numPr>
          <w:ilvl w:val="0"/>
          <w:numId w:val="28"/>
        </w:numPr>
        <w:spacing w:line="360" w:lineRule="auto"/>
        <w:ind w:left="0" w:firstLine="0"/>
        <w:rPr>
          <w:sz w:val="24"/>
        </w:rPr>
      </w:pPr>
      <w:r>
        <w:rPr>
          <w:sz w:val="24"/>
        </w:rPr>
        <w:t>投标人供给的设备（无论装在箱内或成捆的散件）的包装，都应贴有标明合同号，主要设备名称，部件名称和组装图上的部件位置号的标签，备品备件和专用工具还应标明“备品配件”和“工具”的字样。</w:t>
      </w:r>
    </w:p>
    <w:p>
      <w:pPr>
        <w:numPr>
          <w:ilvl w:val="0"/>
          <w:numId w:val="28"/>
        </w:numPr>
        <w:spacing w:line="360" w:lineRule="auto"/>
        <w:ind w:left="0" w:firstLine="0"/>
        <w:rPr>
          <w:sz w:val="24"/>
        </w:rPr>
      </w:pPr>
      <w:r>
        <w:rPr>
          <w:sz w:val="24"/>
        </w:rPr>
        <w:t>对装箱供给的设备，投标人应在每个箱子的两面用油漆写下如下内容：</w:t>
      </w:r>
    </w:p>
    <w:p>
      <w:pPr>
        <w:numPr>
          <w:ilvl w:val="0"/>
          <w:numId w:val="28"/>
        </w:numPr>
        <w:spacing w:line="360" w:lineRule="auto"/>
        <w:ind w:left="0" w:firstLine="0"/>
        <w:rPr>
          <w:sz w:val="24"/>
        </w:rPr>
      </w:pPr>
      <w:r>
        <w:rPr>
          <w:sz w:val="24"/>
        </w:rPr>
        <w:t>合同号、装运标志、目的地、收货人代码、设备名称和项目号（箱号、箱的序号设备总件数），数量、重量、毛重、净重，外形尺寸（长×宽×高），生产日期、生产工厂、发货单位等，应符合GB6388的规定。</w:t>
      </w:r>
    </w:p>
    <w:p>
      <w:pPr>
        <w:numPr>
          <w:ilvl w:val="0"/>
          <w:numId w:val="28"/>
        </w:numPr>
        <w:spacing w:line="360" w:lineRule="auto"/>
        <w:ind w:left="0" w:firstLine="0"/>
        <w:rPr>
          <w:sz w:val="24"/>
        </w:rPr>
      </w:pPr>
      <w:r>
        <w:rPr>
          <w:sz w:val="24"/>
        </w:rPr>
        <w:t>应按照设备各特性和不同的运输及装卸要求，在箱上明显位置标上“小心”“向上”、“防潮”、“勿倒”、“怕热”、“远离放射源及热源”、“由此起吊”、“重心点”、“堆码重量极限”、“堆码层数极限”、“温度极限”等通用标志，并应符合GB191和GB6388的规定。</w:t>
      </w:r>
    </w:p>
    <w:p>
      <w:pPr>
        <w:numPr>
          <w:ilvl w:val="0"/>
          <w:numId w:val="28"/>
        </w:numPr>
        <w:spacing w:line="360" w:lineRule="auto"/>
        <w:ind w:left="0" w:firstLine="0"/>
        <w:rPr>
          <w:sz w:val="24"/>
        </w:rPr>
      </w:pPr>
      <w:r>
        <w:rPr>
          <w:sz w:val="24"/>
        </w:rPr>
        <w:t>包装箱应连续编号，而且在全部装运的过程中，装箱编号的顺序始终是连贯的。</w:t>
      </w:r>
    </w:p>
    <w:p>
      <w:pPr>
        <w:spacing w:line="360" w:lineRule="auto"/>
        <w:rPr>
          <w:b/>
          <w:bCs/>
          <w:sz w:val="24"/>
        </w:rPr>
      </w:pPr>
      <w:bookmarkStart w:id="19" w:name="_Toc90192546"/>
      <w:r>
        <w:rPr>
          <w:b/>
          <w:bCs/>
          <w:sz w:val="24"/>
        </w:rPr>
        <w:t>5.3 运输</w:t>
      </w:r>
      <w:bookmarkEnd w:id="19"/>
    </w:p>
    <w:p>
      <w:pPr>
        <w:spacing w:line="360" w:lineRule="auto"/>
        <w:rPr>
          <w:sz w:val="24"/>
        </w:rPr>
      </w:pPr>
      <w:r>
        <w:rPr>
          <w:sz w:val="24"/>
        </w:rPr>
        <w:t>5.3.1经由铁路运输的部件，其尺寸不应超过国家对非标准外形体的规定，当部件经由除铁路外的其它方式运输时，其重量和体积的限值，应遵守有关运输单位的规定。</w:t>
      </w:r>
    </w:p>
    <w:p>
      <w:pPr>
        <w:spacing w:line="360" w:lineRule="auto"/>
        <w:rPr>
          <w:sz w:val="24"/>
        </w:rPr>
      </w:pPr>
      <w:r>
        <w:rPr>
          <w:sz w:val="24"/>
        </w:rPr>
        <w:t>5.3.2每批设备发出的同时，投标人应用传真或航空快件通知招标人。通知中应指明设备名称、件数、件号、重量、合同号、货运单号、设备发出日期。</w:t>
      </w:r>
    </w:p>
    <w:p>
      <w:pPr>
        <w:spacing w:line="360" w:lineRule="auto"/>
        <w:rPr>
          <w:sz w:val="24"/>
        </w:rPr>
      </w:pPr>
      <w:r>
        <w:rPr>
          <w:sz w:val="24"/>
        </w:rPr>
        <w:t>5.3.3投标文件中应说明大件运输方案及相应的费用，并单独报价。</w:t>
      </w:r>
    </w:p>
    <w:p>
      <w:pPr>
        <w:spacing w:line="360" w:lineRule="auto"/>
        <w:rPr>
          <w:sz w:val="24"/>
        </w:rPr>
      </w:pPr>
      <w:r>
        <w:rPr>
          <w:sz w:val="24"/>
        </w:rPr>
        <w:t>5.3.4超重件，投标人在发货前不迟于30天将发货大概日期以传真通知招标人。</w:t>
      </w:r>
    </w:p>
    <w:p>
      <w:pPr>
        <w:spacing w:line="360" w:lineRule="auto"/>
      </w:pPr>
      <w:r>
        <w:rPr>
          <w:sz w:val="24"/>
        </w:rPr>
        <w:t>5.3.5发电机保存和运输期间应密封充氮或干燥空气，接头和镀银部位要做好防氧化、锈蚀措施。</w:t>
      </w:r>
    </w:p>
    <w:p>
      <w:pPr>
        <w:spacing w:line="360" w:lineRule="auto"/>
        <w:rPr>
          <w:b/>
          <w:bCs/>
          <w:sz w:val="24"/>
        </w:rPr>
      </w:pPr>
      <w:bookmarkStart w:id="20" w:name="_Toc90192547"/>
      <w:r>
        <w:rPr>
          <w:b/>
          <w:bCs/>
          <w:sz w:val="24"/>
        </w:rPr>
        <w:t>5.4保管</w:t>
      </w:r>
      <w:bookmarkEnd w:id="20"/>
    </w:p>
    <w:p>
      <w:pPr>
        <w:spacing w:line="360" w:lineRule="auto"/>
        <w:rPr>
          <w:sz w:val="24"/>
        </w:rPr>
      </w:pPr>
      <w:r>
        <w:rPr>
          <w:sz w:val="24"/>
        </w:rPr>
        <w:t>5.4.1投标人应提供所有设备、部件、材料等的保管方法的说明。</w:t>
      </w:r>
    </w:p>
    <w:p>
      <w:pPr>
        <w:spacing w:line="360" w:lineRule="auto"/>
        <w:rPr>
          <w:sz w:val="24"/>
        </w:rPr>
      </w:pPr>
      <w:r>
        <w:rPr>
          <w:sz w:val="24"/>
        </w:rPr>
        <w:t>5.4.2投标人所用的每种防腐剂的质量、预期寿命和型号应该一致，投标人应向招标人提交各种防腐剂清除步骤的完整资料。</w:t>
      </w:r>
    </w:p>
    <w:p>
      <w:pPr>
        <w:spacing w:line="360" w:lineRule="auto"/>
        <w:rPr>
          <w:b/>
          <w:sz w:val="24"/>
        </w:rPr>
      </w:pPr>
      <w:bookmarkStart w:id="21" w:name="_Toc90192548"/>
      <w:r>
        <w:rPr>
          <w:b/>
          <w:sz w:val="24"/>
        </w:rPr>
        <w:t>6. 验收</w:t>
      </w:r>
      <w:bookmarkEnd w:id="21"/>
    </w:p>
    <w:p>
      <w:pPr>
        <w:spacing w:line="360" w:lineRule="auto"/>
        <w:rPr>
          <w:sz w:val="24"/>
        </w:rPr>
      </w:pPr>
      <w:r>
        <w:rPr>
          <w:sz w:val="24"/>
        </w:rPr>
        <w:t>6.1所有到货设备必须附有下列文件：</w:t>
      </w:r>
    </w:p>
    <w:p>
      <w:pPr>
        <w:numPr>
          <w:ilvl w:val="0"/>
          <w:numId w:val="29"/>
        </w:numPr>
        <w:spacing w:line="360" w:lineRule="auto"/>
        <w:ind w:left="5" w:firstLine="0"/>
        <w:rPr>
          <w:sz w:val="24"/>
        </w:rPr>
      </w:pPr>
      <w:r>
        <w:rPr>
          <w:sz w:val="24"/>
        </w:rPr>
        <w:t>装箱单，其上应注明：</w:t>
      </w:r>
    </w:p>
    <w:p>
      <w:pPr>
        <w:numPr>
          <w:ilvl w:val="0"/>
          <w:numId w:val="30"/>
        </w:numPr>
        <w:spacing w:line="360" w:lineRule="auto"/>
        <w:ind w:left="5" w:firstLine="0"/>
        <w:rPr>
          <w:sz w:val="24"/>
        </w:rPr>
      </w:pPr>
      <w:r>
        <w:rPr>
          <w:sz w:val="24"/>
        </w:rPr>
        <w:t>产品名称、型号、规格和制造厂</w:t>
      </w:r>
    </w:p>
    <w:p>
      <w:pPr>
        <w:numPr>
          <w:ilvl w:val="0"/>
          <w:numId w:val="30"/>
        </w:numPr>
        <w:spacing w:line="360" w:lineRule="auto"/>
        <w:ind w:left="5" w:firstLine="0"/>
        <w:rPr>
          <w:sz w:val="24"/>
        </w:rPr>
      </w:pPr>
      <w:r>
        <w:rPr>
          <w:sz w:val="24"/>
        </w:rPr>
        <w:t>装箱数量</w:t>
      </w:r>
    </w:p>
    <w:p>
      <w:pPr>
        <w:numPr>
          <w:ilvl w:val="0"/>
          <w:numId w:val="30"/>
        </w:numPr>
        <w:spacing w:line="360" w:lineRule="auto"/>
        <w:ind w:left="5" w:firstLine="0"/>
        <w:rPr>
          <w:sz w:val="24"/>
        </w:rPr>
      </w:pPr>
      <w:r>
        <w:rPr>
          <w:sz w:val="24"/>
        </w:rPr>
        <w:t>附件、备件名称及数量</w:t>
      </w:r>
    </w:p>
    <w:p>
      <w:pPr>
        <w:numPr>
          <w:ilvl w:val="0"/>
          <w:numId w:val="30"/>
        </w:numPr>
        <w:spacing w:line="360" w:lineRule="auto"/>
        <w:ind w:left="5" w:firstLine="0"/>
        <w:rPr>
          <w:sz w:val="24"/>
        </w:rPr>
      </w:pPr>
      <w:r>
        <w:rPr>
          <w:sz w:val="24"/>
        </w:rPr>
        <w:t>装箱日期</w:t>
      </w:r>
    </w:p>
    <w:p>
      <w:pPr>
        <w:numPr>
          <w:ilvl w:val="0"/>
          <w:numId w:val="29"/>
        </w:numPr>
        <w:spacing w:line="360" w:lineRule="auto"/>
        <w:ind w:left="5" w:firstLine="0"/>
        <w:rPr>
          <w:sz w:val="24"/>
        </w:rPr>
      </w:pPr>
      <w:r>
        <w:rPr>
          <w:sz w:val="24"/>
        </w:rPr>
        <w:t>原制造厂的产品出厂合格说明书、出厂试验数据、安装使用说明书。</w:t>
      </w:r>
    </w:p>
    <w:p>
      <w:pPr>
        <w:spacing w:line="360" w:lineRule="auto"/>
        <w:rPr>
          <w:sz w:val="24"/>
        </w:rPr>
      </w:pPr>
      <w:r>
        <w:rPr>
          <w:sz w:val="24"/>
        </w:rPr>
        <w:t>6.2现场验收项目应包括：</w:t>
      </w:r>
    </w:p>
    <w:p>
      <w:pPr>
        <w:spacing w:line="360" w:lineRule="auto"/>
        <w:rPr>
          <w:sz w:val="24"/>
        </w:rPr>
      </w:pPr>
      <w:r>
        <w:rPr>
          <w:sz w:val="24"/>
        </w:rPr>
        <w:t>6.2.1对零散设备</w:t>
      </w:r>
    </w:p>
    <w:p>
      <w:pPr>
        <w:numPr>
          <w:ilvl w:val="0"/>
          <w:numId w:val="31"/>
        </w:numPr>
        <w:spacing w:line="360" w:lineRule="auto"/>
        <w:ind w:left="0" w:firstLine="0"/>
        <w:rPr>
          <w:sz w:val="24"/>
        </w:rPr>
      </w:pPr>
      <w:r>
        <w:rPr>
          <w:sz w:val="24"/>
        </w:rPr>
        <w:t>开箱验收</w:t>
      </w:r>
    </w:p>
    <w:p>
      <w:pPr>
        <w:numPr>
          <w:ilvl w:val="0"/>
          <w:numId w:val="31"/>
        </w:numPr>
        <w:spacing w:line="360" w:lineRule="auto"/>
        <w:ind w:left="0" w:firstLine="0"/>
        <w:rPr>
          <w:sz w:val="24"/>
        </w:rPr>
      </w:pPr>
      <w:r>
        <w:rPr>
          <w:sz w:val="24"/>
        </w:rPr>
        <w:t>外观检查</w:t>
      </w:r>
    </w:p>
    <w:p>
      <w:pPr>
        <w:numPr>
          <w:ilvl w:val="0"/>
          <w:numId w:val="31"/>
        </w:numPr>
        <w:spacing w:line="360" w:lineRule="auto"/>
        <w:ind w:left="0" w:firstLine="0"/>
        <w:rPr>
          <w:sz w:val="24"/>
        </w:rPr>
      </w:pPr>
      <w:r>
        <w:rPr>
          <w:sz w:val="24"/>
        </w:rPr>
        <w:t>性能测试验收</w:t>
      </w:r>
    </w:p>
    <w:p>
      <w:pPr>
        <w:spacing w:line="360" w:lineRule="auto"/>
        <w:rPr>
          <w:sz w:val="24"/>
        </w:rPr>
      </w:pPr>
      <w:r>
        <w:rPr>
          <w:sz w:val="24"/>
        </w:rPr>
        <w:t>6.2.2对成套装置设备</w:t>
      </w:r>
    </w:p>
    <w:p>
      <w:pPr>
        <w:numPr>
          <w:ilvl w:val="0"/>
          <w:numId w:val="32"/>
        </w:numPr>
        <w:spacing w:line="360" w:lineRule="auto"/>
        <w:ind w:left="0" w:firstLine="0"/>
        <w:rPr>
          <w:sz w:val="24"/>
        </w:rPr>
      </w:pPr>
      <w:r>
        <w:rPr>
          <w:sz w:val="24"/>
        </w:rPr>
        <w:t>开箱验收</w:t>
      </w:r>
    </w:p>
    <w:p>
      <w:pPr>
        <w:numPr>
          <w:ilvl w:val="0"/>
          <w:numId w:val="32"/>
        </w:numPr>
        <w:spacing w:line="360" w:lineRule="auto"/>
        <w:ind w:left="0" w:firstLine="0"/>
        <w:rPr>
          <w:sz w:val="24"/>
        </w:rPr>
      </w:pPr>
      <w:r>
        <w:rPr>
          <w:sz w:val="24"/>
        </w:rPr>
        <w:t>外观检查</w:t>
      </w:r>
    </w:p>
    <w:p>
      <w:pPr>
        <w:numPr>
          <w:ilvl w:val="0"/>
          <w:numId w:val="32"/>
        </w:numPr>
        <w:spacing w:line="360" w:lineRule="auto"/>
        <w:ind w:left="0" w:firstLine="0"/>
        <w:rPr>
          <w:sz w:val="24"/>
        </w:rPr>
      </w:pPr>
      <w:r>
        <w:rPr>
          <w:sz w:val="24"/>
        </w:rPr>
        <w:t>系统开环调试验收</w:t>
      </w:r>
    </w:p>
    <w:p>
      <w:pPr>
        <w:numPr>
          <w:ilvl w:val="0"/>
          <w:numId w:val="33"/>
        </w:numPr>
        <w:spacing w:line="360" w:lineRule="auto"/>
        <w:rPr>
          <w:sz w:val="24"/>
        </w:rPr>
      </w:pPr>
      <w:r>
        <w:rPr>
          <w:sz w:val="24"/>
        </w:rPr>
        <w:t>系统带负荷调试验收</w:t>
      </w:r>
    </w:p>
    <w:p>
      <w:pPr>
        <w:spacing w:line="360" w:lineRule="auto"/>
        <w:rPr>
          <w:sz w:val="24"/>
        </w:rPr>
      </w:pPr>
      <w:r>
        <w:rPr>
          <w:sz w:val="24"/>
        </w:rPr>
        <w:t>6.3发电机开箱后，安装前由招标人、制造厂、安装单位共同进行完整性和清洁度检查以确认完好和机内无异物存在。</w:t>
      </w:r>
    </w:p>
    <w:p>
      <w:pPr>
        <w:spacing w:line="360" w:lineRule="auto"/>
        <w:rPr>
          <w:sz w:val="24"/>
        </w:rPr>
      </w:pPr>
      <w:r>
        <w:rPr>
          <w:sz w:val="24"/>
        </w:rPr>
        <w:t>6.4设备到达现场后，买卖双方按商定的开箱检验办法，对照装箱单逐件清点，进行检查和验收。</w:t>
      </w:r>
    </w:p>
    <w:p>
      <w:pPr>
        <w:spacing w:line="360" w:lineRule="auto"/>
        <w:rPr>
          <w:sz w:val="24"/>
        </w:rPr>
      </w:pPr>
      <w:r>
        <w:rPr>
          <w:sz w:val="24"/>
        </w:rPr>
        <w:t>6.5投标人分包的设备（部件）应将生产厂家写明，投标人应对分包生产厂家的质量及进度负责。设备到达现场后，仍由投标人会同招标人进行检查和验收。</w:t>
      </w:r>
    </w:p>
    <w:p>
      <w:pPr>
        <w:spacing w:line="360" w:lineRule="auto"/>
        <w:rPr>
          <w:b/>
          <w:sz w:val="24"/>
        </w:rPr>
      </w:pPr>
      <w:r>
        <w:rPr>
          <w:sz w:val="24"/>
        </w:rPr>
        <w:br w:type="page"/>
      </w:r>
      <w:bookmarkStart w:id="22" w:name="_Toc90192551"/>
      <w:r>
        <w:rPr>
          <w:b/>
          <w:sz w:val="24"/>
        </w:rPr>
        <w:t>7. 技术数据表</w:t>
      </w:r>
      <w:bookmarkEnd w:id="22"/>
    </w:p>
    <w:p>
      <w:pPr>
        <w:spacing w:line="360" w:lineRule="auto"/>
        <w:rPr>
          <w:b/>
          <w:bCs/>
          <w:sz w:val="24"/>
        </w:rPr>
      </w:pPr>
      <w:r>
        <w:rPr>
          <w:b/>
          <w:bCs/>
          <w:sz w:val="24"/>
        </w:rPr>
        <w:t>7.1发电机技术数据表</w:t>
      </w:r>
    </w:p>
    <w:tbl>
      <w:tblPr>
        <w:tblStyle w:val="49"/>
        <w:tblW w:w="881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595"/>
        <w:gridCol w:w="3969"/>
        <w:gridCol w:w="993"/>
        <w:gridCol w:w="992"/>
        <w:gridCol w:w="992"/>
        <w:gridCol w:w="12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blHeader/>
        </w:trPr>
        <w:tc>
          <w:tcPr>
            <w:tcW w:w="595" w:type="dxa"/>
            <w:vAlign w:val="center"/>
          </w:tcPr>
          <w:p>
            <w:pPr>
              <w:tabs>
                <w:tab w:val="left" w:pos="567"/>
              </w:tabs>
              <w:overflowPunct w:val="0"/>
              <w:spacing w:line="360" w:lineRule="auto"/>
              <w:rPr>
                <w:rFonts w:hint="eastAsia" w:hAnsi="宋体"/>
                <w:sz w:val="24"/>
                <w:szCs w:val="24"/>
              </w:rPr>
            </w:pPr>
            <w:r>
              <w:rPr>
                <w:rFonts w:hint="eastAsia" w:hAnsi="宋体"/>
                <w:sz w:val="24"/>
                <w:szCs w:val="24"/>
              </w:rPr>
              <w:t>序号</w:t>
            </w: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名称</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单位</w:t>
            </w:r>
          </w:p>
        </w:tc>
        <w:tc>
          <w:tcPr>
            <w:tcW w:w="992" w:type="dxa"/>
            <w:vAlign w:val="center"/>
          </w:tcPr>
          <w:p>
            <w:pPr>
              <w:tabs>
                <w:tab w:val="left" w:pos="567"/>
              </w:tabs>
              <w:overflowPunct w:val="0"/>
              <w:spacing w:line="360" w:lineRule="auto"/>
              <w:rPr>
                <w:rFonts w:hint="eastAsia" w:hAnsi="宋体"/>
                <w:sz w:val="24"/>
                <w:szCs w:val="24"/>
              </w:rPr>
            </w:pPr>
            <w:r>
              <w:rPr>
                <w:rFonts w:hint="eastAsia" w:hAnsi="宋体"/>
                <w:sz w:val="24"/>
                <w:szCs w:val="24"/>
              </w:rPr>
              <w:t>要求值</w:t>
            </w:r>
          </w:p>
        </w:tc>
        <w:tc>
          <w:tcPr>
            <w:tcW w:w="992" w:type="dxa"/>
            <w:vAlign w:val="center"/>
          </w:tcPr>
          <w:p>
            <w:pPr>
              <w:tabs>
                <w:tab w:val="left" w:pos="567"/>
              </w:tabs>
              <w:overflowPunct w:val="0"/>
              <w:spacing w:line="360" w:lineRule="auto"/>
              <w:rPr>
                <w:rFonts w:hint="eastAsia" w:hAnsi="宋体"/>
                <w:sz w:val="24"/>
                <w:szCs w:val="24"/>
              </w:rPr>
            </w:pPr>
            <w:r>
              <w:rPr>
                <w:rFonts w:hint="eastAsia" w:hAnsi="宋体"/>
                <w:sz w:val="24"/>
                <w:szCs w:val="24"/>
              </w:rPr>
              <w:t>保证值</w:t>
            </w:r>
          </w:p>
        </w:tc>
        <w:tc>
          <w:tcPr>
            <w:tcW w:w="1276" w:type="dxa"/>
            <w:vAlign w:val="center"/>
          </w:tcPr>
          <w:p>
            <w:pPr>
              <w:tabs>
                <w:tab w:val="left" w:pos="567"/>
              </w:tabs>
              <w:overflowPunct w:val="0"/>
              <w:spacing w:line="360" w:lineRule="auto"/>
              <w:rPr>
                <w:rFonts w:hint="eastAsia" w:hAnsi="宋体"/>
                <w:sz w:val="24"/>
                <w:szCs w:val="24"/>
              </w:rPr>
            </w:pPr>
            <w:r>
              <w:rPr>
                <w:rFonts w:hint="eastAsia" w:hAnsi="宋体"/>
                <w:sz w:val="24"/>
                <w:szCs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r>
              <w:rPr>
                <w:rFonts w:hAnsi="宋体"/>
                <w:sz w:val="24"/>
                <w:szCs w:val="24"/>
              </w:rPr>
              <w:t>1</w:t>
            </w: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规格型号</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发电机型号</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额定容量</w:t>
            </w:r>
            <w:r>
              <w:rPr>
                <w:rFonts w:hAnsi="宋体"/>
                <w:sz w:val="24"/>
                <w:szCs w:val="24"/>
              </w:rPr>
              <w:t>S</w:t>
            </w:r>
            <w:r>
              <w:rPr>
                <w:rFonts w:hAnsi="宋体"/>
                <w:sz w:val="24"/>
                <w:szCs w:val="24"/>
                <w:vertAlign w:val="subscript"/>
              </w:rPr>
              <w:t>N</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MVA</w:t>
            </w:r>
          </w:p>
        </w:tc>
        <w:tc>
          <w:tcPr>
            <w:tcW w:w="992" w:type="dxa"/>
            <w:vAlign w:val="center"/>
          </w:tcPr>
          <w:p>
            <w:pPr>
              <w:tabs>
                <w:tab w:val="left" w:pos="567"/>
              </w:tabs>
              <w:overflowPunct w:val="0"/>
              <w:spacing w:line="360" w:lineRule="auto"/>
              <w:rPr>
                <w:rFonts w:hint="eastAsia" w:hAnsi="宋体"/>
                <w:sz w:val="24"/>
                <w:szCs w:val="24"/>
              </w:rPr>
            </w:pPr>
            <w:r>
              <w:rPr>
                <w:rFonts w:hint="eastAsia" w:hAnsi="宋体"/>
                <w:sz w:val="24"/>
                <w:szCs w:val="24"/>
              </w:rPr>
              <w:t>37.5</w:t>
            </w: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额定功率</w:t>
            </w:r>
            <w:r>
              <w:rPr>
                <w:rFonts w:hAnsi="宋体"/>
                <w:sz w:val="24"/>
                <w:szCs w:val="24"/>
              </w:rPr>
              <w:t>P</w:t>
            </w:r>
            <w:r>
              <w:rPr>
                <w:rFonts w:hAnsi="宋体"/>
                <w:sz w:val="24"/>
                <w:szCs w:val="24"/>
                <w:vertAlign w:val="subscript"/>
              </w:rPr>
              <w:t>N</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MW</w:t>
            </w:r>
          </w:p>
        </w:tc>
        <w:tc>
          <w:tcPr>
            <w:tcW w:w="992" w:type="dxa"/>
            <w:vAlign w:val="center"/>
          </w:tcPr>
          <w:p>
            <w:pPr>
              <w:tabs>
                <w:tab w:val="left" w:pos="567"/>
              </w:tabs>
              <w:overflowPunct w:val="0"/>
              <w:spacing w:line="360" w:lineRule="auto"/>
              <w:rPr>
                <w:rFonts w:hint="eastAsia" w:hAnsi="宋体"/>
                <w:sz w:val="24"/>
                <w:szCs w:val="24"/>
              </w:rPr>
            </w:pPr>
            <w:r>
              <w:rPr>
                <w:rFonts w:hint="eastAsia" w:hAnsi="宋体"/>
                <w:sz w:val="24"/>
                <w:szCs w:val="24"/>
              </w:rPr>
              <w:t>30</w:t>
            </w: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最大连续输出容量P</w:t>
            </w:r>
            <w:r>
              <w:rPr>
                <w:rFonts w:hAnsi="宋体"/>
                <w:sz w:val="24"/>
                <w:szCs w:val="24"/>
              </w:rPr>
              <w:t>max</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w:t>
            </w:r>
            <w:r>
              <w:rPr>
                <w:rFonts w:hint="eastAsia" w:hAnsi="宋体"/>
                <w:sz w:val="24"/>
                <w:szCs w:val="24"/>
              </w:rPr>
              <w:t>VA</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额定功率因数</w:t>
            </w:r>
            <w:r>
              <w:rPr>
                <w:rFonts w:hAnsi="宋体"/>
                <w:sz w:val="24"/>
                <w:szCs w:val="24"/>
              </w:rPr>
              <w:t>cos</w:t>
            </w:r>
            <w:r>
              <w:rPr>
                <w:rFonts w:hint="eastAsia" w:hAnsi="宋体"/>
                <w:sz w:val="24"/>
                <w:szCs w:val="24"/>
              </w:rPr>
              <w:t>φ</w:t>
            </w:r>
            <w:r>
              <w:rPr>
                <w:rFonts w:hAnsi="宋体"/>
                <w:sz w:val="24"/>
                <w:szCs w:val="24"/>
                <w:vertAlign w:val="subscript"/>
              </w:rPr>
              <w:t>N</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r>
              <w:rPr>
                <w:rFonts w:hint="eastAsia" w:hAnsi="宋体"/>
                <w:sz w:val="24"/>
                <w:szCs w:val="24"/>
              </w:rPr>
              <w:t>0.8</w:t>
            </w: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定子额定电压</w:t>
            </w:r>
            <w:r>
              <w:rPr>
                <w:rFonts w:hAnsi="宋体"/>
                <w:sz w:val="24"/>
                <w:szCs w:val="24"/>
              </w:rPr>
              <w:t>U</w:t>
            </w:r>
            <w:r>
              <w:rPr>
                <w:rFonts w:hAnsi="宋体"/>
                <w:sz w:val="24"/>
                <w:szCs w:val="24"/>
                <w:vertAlign w:val="subscript"/>
              </w:rPr>
              <w:t>N</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kV</w:t>
            </w:r>
          </w:p>
        </w:tc>
        <w:tc>
          <w:tcPr>
            <w:tcW w:w="992" w:type="dxa"/>
            <w:vAlign w:val="center"/>
          </w:tcPr>
          <w:p>
            <w:pPr>
              <w:tabs>
                <w:tab w:val="left" w:pos="567"/>
              </w:tabs>
              <w:overflowPunct w:val="0"/>
              <w:spacing w:line="360" w:lineRule="auto"/>
              <w:rPr>
                <w:rFonts w:hint="eastAsia" w:hAnsi="宋体"/>
                <w:sz w:val="24"/>
                <w:szCs w:val="24"/>
              </w:rPr>
            </w:pPr>
            <w:r>
              <w:rPr>
                <w:rFonts w:hint="eastAsia" w:hAnsi="宋体"/>
                <w:sz w:val="24"/>
                <w:szCs w:val="24"/>
              </w:rPr>
              <w:t>10.5</w:t>
            </w: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定子额定电流</w:t>
            </w:r>
            <w:r>
              <w:rPr>
                <w:rFonts w:hAnsi="宋体"/>
                <w:sz w:val="24"/>
                <w:szCs w:val="24"/>
              </w:rPr>
              <w:t>I</w:t>
            </w:r>
            <w:r>
              <w:rPr>
                <w:rFonts w:hAnsi="宋体"/>
                <w:sz w:val="24"/>
                <w:szCs w:val="24"/>
                <w:vertAlign w:val="subscript"/>
              </w:rPr>
              <w:t>N</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A</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额定频率</w:t>
            </w:r>
            <w:r>
              <w:rPr>
                <w:rFonts w:hAnsi="宋体"/>
                <w:sz w:val="24"/>
                <w:szCs w:val="24"/>
              </w:rPr>
              <w:t>f</w:t>
            </w:r>
            <w:r>
              <w:rPr>
                <w:rFonts w:hAnsi="宋体"/>
                <w:sz w:val="24"/>
                <w:szCs w:val="24"/>
                <w:vertAlign w:val="subscript"/>
              </w:rPr>
              <w:t>N</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HZ</w:t>
            </w:r>
          </w:p>
        </w:tc>
        <w:tc>
          <w:tcPr>
            <w:tcW w:w="992" w:type="dxa"/>
            <w:vAlign w:val="center"/>
          </w:tcPr>
          <w:p>
            <w:pPr>
              <w:tabs>
                <w:tab w:val="left" w:pos="567"/>
              </w:tabs>
              <w:overflowPunct w:val="0"/>
              <w:spacing w:line="360" w:lineRule="auto"/>
              <w:rPr>
                <w:rFonts w:hint="eastAsia" w:hAnsi="宋体"/>
                <w:sz w:val="24"/>
                <w:szCs w:val="24"/>
              </w:rPr>
            </w:pPr>
            <w:r>
              <w:rPr>
                <w:rFonts w:hint="eastAsia" w:hAnsi="宋体"/>
                <w:sz w:val="24"/>
                <w:szCs w:val="24"/>
              </w:rPr>
              <w:t>50</w:t>
            </w: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额定转速</w:t>
            </w:r>
            <w:r>
              <w:rPr>
                <w:rFonts w:hAnsi="宋体"/>
                <w:sz w:val="24"/>
                <w:szCs w:val="24"/>
              </w:rPr>
              <w:t>n</w:t>
            </w:r>
            <w:r>
              <w:rPr>
                <w:rFonts w:hAnsi="宋体"/>
                <w:sz w:val="24"/>
                <w:szCs w:val="24"/>
                <w:vertAlign w:val="subscript"/>
              </w:rPr>
              <w:t>N</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r/min</w:t>
            </w:r>
          </w:p>
        </w:tc>
        <w:tc>
          <w:tcPr>
            <w:tcW w:w="992" w:type="dxa"/>
            <w:vAlign w:val="center"/>
          </w:tcPr>
          <w:p>
            <w:pPr>
              <w:tabs>
                <w:tab w:val="left" w:pos="567"/>
              </w:tabs>
              <w:overflowPunct w:val="0"/>
              <w:spacing w:line="360" w:lineRule="auto"/>
              <w:rPr>
                <w:rFonts w:hint="eastAsia" w:hAnsi="宋体"/>
                <w:sz w:val="24"/>
                <w:szCs w:val="24"/>
              </w:rPr>
            </w:pPr>
            <w:r>
              <w:rPr>
                <w:rFonts w:hint="eastAsia" w:hAnsi="宋体"/>
                <w:sz w:val="24"/>
                <w:szCs w:val="24"/>
              </w:rPr>
              <w:t>3000</w:t>
            </w: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额定励磁电压</w:t>
            </w:r>
            <w:r>
              <w:rPr>
                <w:rFonts w:hAnsi="宋体"/>
                <w:sz w:val="24"/>
                <w:szCs w:val="24"/>
              </w:rPr>
              <w:t>U</w:t>
            </w:r>
            <w:r>
              <w:rPr>
                <w:rFonts w:hAnsi="宋体"/>
                <w:sz w:val="24"/>
                <w:szCs w:val="24"/>
                <w:vertAlign w:val="subscript"/>
              </w:rPr>
              <w:t>fN</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V</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额定励磁电流</w:t>
            </w:r>
            <w:r>
              <w:rPr>
                <w:rFonts w:hAnsi="宋体"/>
                <w:sz w:val="24"/>
                <w:szCs w:val="24"/>
              </w:rPr>
              <w:t>I</w:t>
            </w:r>
            <w:r>
              <w:rPr>
                <w:rFonts w:hAnsi="宋体"/>
                <w:sz w:val="24"/>
                <w:szCs w:val="24"/>
                <w:vertAlign w:val="subscript"/>
              </w:rPr>
              <w:t>fN</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A</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定子线圈接线方式</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冷却方式</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r>
              <w:rPr>
                <w:rFonts w:hint="eastAsia" w:hAnsi="宋体"/>
                <w:sz w:val="24"/>
                <w:szCs w:val="24"/>
              </w:rPr>
              <w:t>空冷</w:t>
            </w: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励磁方式</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r>
              <w:rPr>
                <w:rFonts w:hint="eastAsia" w:hAnsi="宋体"/>
                <w:sz w:val="24"/>
                <w:szCs w:val="24"/>
              </w:rPr>
              <w:t>静止</w:t>
            </w: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r>
              <w:rPr>
                <w:rFonts w:hAnsi="宋体"/>
                <w:sz w:val="24"/>
                <w:szCs w:val="24"/>
              </w:rPr>
              <w:t>2</w:t>
            </w: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参数性能</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定子每相直流电阻（</w:t>
            </w:r>
            <w:r>
              <w:rPr>
                <w:rFonts w:hAnsi="宋体"/>
                <w:sz w:val="24"/>
                <w:szCs w:val="24"/>
              </w:rPr>
              <w:t>75</w:t>
            </w:r>
            <w:r>
              <w:rPr>
                <w:rFonts w:hint="eastAsia" w:hAnsi="宋体"/>
                <w:sz w:val="24"/>
                <w:szCs w:val="24"/>
              </w:rPr>
              <w:t>℃）</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Ω</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转子线圈直流电阻（</w:t>
            </w:r>
            <w:r>
              <w:rPr>
                <w:rFonts w:hAnsi="宋体"/>
                <w:sz w:val="24"/>
                <w:szCs w:val="24"/>
              </w:rPr>
              <w:t>75</w:t>
            </w:r>
            <w:r>
              <w:rPr>
                <w:rFonts w:hint="eastAsia" w:hAnsi="宋体"/>
                <w:sz w:val="24"/>
                <w:szCs w:val="24"/>
              </w:rPr>
              <w:t>℃）</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Ω</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定子每相对地电容</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pf</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Ansi="宋体"/>
                <w:sz w:val="24"/>
                <w:szCs w:val="24"/>
              </w:rPr>
              <w:t>A</w:t>
            </w:r>
            <w:r>
              <w:rPr>
                <w:rFonts w:hint="eastAsia" w:hAnsi="宋体"/>
                <w:sz w:val="24"/>
                <w:szCs w:val="24"/>
              </w:rPr>
              <w:t>相</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Ansi="宋体"/>
                <w:sz w:val="24"/>
                <w:szCs w:val="24"/>
              </w:rPr>
              <w:t>B</w:t>
            </w:r>
            <w:r>
              <w:rPr>
                <w:rFonts w:hint="eastAsia" w:hAnsi="宋体"/>
                <w:sz w:val="24"/>
                <w:szCs w:val="24"/>
              </w:rPr>
              <w:t>相</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Ansi="宋体"/>
                <w:sz w:val="24"/>
                <w:szCs w:val="24"/>
              </w:rPr>
              <w:t>C</w:t>
            </w:r>
            <w:r>
              <w:rPr>
                <w:rFonts w:hint="eastAsia" w:hAnsi="宋体"/>
                <w:sz w:val="24"/>
                <w:szCs w:val="24"/>
              </w:rPr>
              <w:t>相</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转子线圈自感</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L</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直轴同步电抗</w:t>
            </w:r>
            <w:r>
              <w:rPr>
                <w:rFonts w:hAnsi="宋体"/>
                <w:sz w:val="24"/>
                <w:szCs w:val="24"/>
              </w:rPr>
              <w:t>Xd</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横轴同步电抗</w:t>
            </w:r>
            <w:r>
              <w:rPr>
                <w:rFonts w:hAnsi="宋体"/>
                <w:sz w:val="24"/>
                <w:szCs w:val="24"/>
              </w:rPr>
              <w:t>Xq</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直轴瞬变电抗（不饱和值）</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Ansi="宋体"/>
                <w:sz w:val="24"/>
                <w:szCs w:val="24"/>
              </w:rPr>
              <w:t>X</w:t>
            </w:r>
            <w:r>
              <w:rPr>
                <w:rFonts w:hint="eastAsia" w:hAnsi="宋体"/>
                <w:sz w:val="24"/>
                <w:szCs w:val="24"/>
              </w:rPr>
              <w:t>′</w:t>
            </w:r>
            <w:r>
              <w:rPr>
                <w:rFonts w:hAnsi="宋体"/>
                <w:sz w:val="24"/>
                <w:szCs w:val="24"/>
              </w:rPr>
              <w:t>du</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直轴瞬变电抗（饱和值）</w:t>
            </w:r>
            <w:r>
              <w:rPr>
                <w:rFonts w:hAnsi="宋体"/>
                <w:sz w:val="24"/>
                <w:szCs w:val="24"/>
              </w:rPr>
              <w:t>X</w:t>
            </w:r>
            <w:r>
              <w:rPr>
                <w:rFonts w:hint="eastAsia" w:hAnsi="宋体"/>
                <w:sz w:val="24"/>
                <w:szCs w:val="24"/>
              </w:rPr>
              <w:t>′</w:t>
            </w:r>
            <w:r>
              <w:rPr>
                <w:rFonts w:hAnsi="宋体"/>
                <w:sz w:val="24"/>
                <w:szCs w:val="24"/>
              </w:rPr>
              <w:t>d</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横轴瞬变电抗（不饱和值）</w:t>
            </w:r>
            <w:r>
              <w:rPr>
                <w:rFonts w:hAnsi="宋体"/>
                <w:sz w:val="24"/>
                <w:szCs w:val="24"/>
              </w:rPr>
              <w:t>X</w:t>
            </w:r>
            <w:r>
              <w:rPr>
                <w:rFonts w:hint="eastAsia" w:hAnsi="宋体"/>
                <w:sz w:val="24"/>
                <w:szCs w:val="24"/>
              </w:rPr>
              <w:t>′</w:t>
            </w:r>
            <w:r>
              <w:rPr>
                <w:rFonts w:hAnsi="宋体"/>
                <w:sz w:val="24"/>
                <w:szCs w:val="24"/>
              </w:rPr>
              <w:t>qu</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横轴瞬变电抗（饱和值）</w:t>
            </w:r>
            <w:r>
              <w:rPr>
                <w:rFonts w:hAnsi="宋体"/>
                <w:sz w:val="24"/>
                <w:szCs w:val="24"/>
              </w:rPr>
              <w:t>X</w:t>
            </w:r>
            <w:r>
              <w:rPr>
                <w:rFonts w:hint="eastAsia" w:hAnsi="宋体"/>
                <w:sz w:val="24"/>
                <w:szCs w:val="24"/>
              </w:rPr>
              <w:t>′</w:t>
            </w:r>
            <w:r>
              <w:rPr>
                <w:rFonts w:hAnsi="宋体"/>
                <w:sz w:val="24"/>
                <w:szCs w:val="24"/>
              </w:rPr>
              <w:t>q</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直轴超瞬变电抗（不饱和值）</w:t>
            </w:r>
            <w:r>
              <w:rPr>
                <w:rFonts w:hAnsi="宋体"/>
                <w:sz w:val="24"/>
                <w:szCs w:val="24"/>
              </w:rPr>
              <w:t>X</w:t>
            </w:r>
            <w:r>
              <w:rPr>
                <w:rFonts w:hint="eastAsia" w:hAnsi="宋体"/>
                <w:sz w:val="24"/>
                <w:szCs w:val="24"/>
              </w:rPr>
              <w:t>″</w:t>
            </w:r>
            <w:r>
              <w:rPr>
                <w:rFonts w:hAnsi="宋体"/>
                <w:sz w:val="24"/>
                <w:szCs w:val="24"/>
              </w:rPr>
              <w:t>du</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直轴超瞬变电抗（饱和值）</w:t>
            </w:r>
            <w:r>
              <w:rPr>
                <w:rFonts w:hAnsi="宋体"/>
                <w:sz w:val="24"/>
                <w:szCs w:val="24"/>
              </w:rPr>
              <w:t>X</w:t>
            </w:r>
            <w:r>
              <w:rPr>
                <w:rFonts w:hint="eastAsia" w:hAnsi="宋体"/>
                <w:sz w:val="24"/>
                <w:szCs w:val="24"/>
              </w:rPr>
              <w:t>″</w:t>
            </w:r>
            <w:r>
              <w:rPr>
                <w:rFonts w:hAnsi="宋体"/>
                <w:sz w:val="24"/>
                <w:szCs w:val="24"/>
              </w:rPr>
              <w:t>d</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横轴超瞬变电抗（不饱和值）</w:t>
            </w:r>
            <w:r>
              <w:rPr>
                <w:rFonts w:hAnsi="宋体"/>
                <w:sz w:val="24"/>
                <w:szCs w:val="24"/>
              </w:rPr>
              <w:t>X</w:t>
            </w:r>
            <w:r>
              <w:rPr>
                <w:rFonts w:hint="eastAsia" w:hAnsi="宋体"/>
                <w:sz w:val="24"/>
                <w:szCs w:val="24"/>
              </w:rPr>
              <w:t>″</w:t>
            </w:r>
            <w:r>
              <w:rPr>
                <w:rFonts w:hAnsi="宋体"/>
                <w:sz w:val="24"/>
                <w:szCs w:val="24"/>
              </w:rPr>
              <w:t>qu</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横轴超瞬变电抗（饱和值）</w:t>
            </w:r>
            <w:r>
              <w:rPr>
                <w:rFonts w:hAnsi="宋体"/>
                <w:sz w:val="24"/>
                <w:szCs w:val="24"/>
              </w:rPr>
              <w:t>X</w:t>
            </w:r>
            <w:r>
              <w:rPr>
                <w:rFonts w:hint="eastAsia" w:hAnsi="宋体"/>
                <w:sz w:val="24"/>
                <w:szCs w:val="24"/>
              </w:rPr>
              <w:t>″</w:t>
            </w:r>
            <w:r>
              <w:rPr>
                <w:rFonts w:hAnsi="宋体"/>
                <w:sz w:val="24"/>
                <w:szCs w:val="24"/>
              </w:rPr>
              <w:t>q</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负序电抗（不饱和值）</w:t>
            </w:r>
            <w:r>
              <w:rPr>
                <w:rFonts w:hAnsi="宋体"/>
                <w:sz w:val="24"/>
                <w:szCs w:val="24"/>
              </w:rPr>
              <w:t>X</w:t>
            </w:r>
            <w:r>
              <w:rPr>
                <w:rFonts w:hAnsi="宋体"/>
                <w:sz w:val="24"/>
                <w:szCs w:val="24"/>
                <w:vertAlign w:val="subscript"/>
              </w:rPr>
              <w:t>2</w:t>
            </w:r>
            <w:r>
              <w:rPr>
                <w:rFonts w:hAnsi="宋体"/>
                <w:sz w:val="24"/>
                <w:szCs w:val="24"/>
              </w:rPr>
              <w:t>u</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负序电抗（饱和值）</w:t>
            </w:r>
            <w:r>
              <w:rPr>
                <w:rFonts w:hAnsi="宋体"/>
                <w:sz w:val="24"/>
                <w:szCs w:val="24"/>
              </w:rPr>
              <w:t>X</w:t>
            </w:r>
            <w:r>
              <w:rPr>
                <w:rFonts w:hAnsi="宋体"/>
                <w:sz w:val="24"/>
                <w:szCs w:val="24"/>
                <w:vertAlign w:val="subscript"/>
              </w:rPr>
              <w:t>2</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零序电抗（不饱和值）</w:t>
            </w:r>
            <w:r>
              <w:rPr>
                <w:rFonts w:hAnsi="宋体"/>
                <w:sz w:val="24"/>
                <w:szCs w:val="24"/>
              </w:rPr>
              <w:t>Xou</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零序电抗（饱和值）</w:t>
            </w:r>
            <w:r>
              <w:rPr>
                <w:rFonts w:hAnsi="宋体"/>
                <w:sz w:val="24"/>
                <w:szCs w:val="24"/>
              </w:rPr>
              <w:t>Xo</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直轴开路瞬变时间常数</w:t>
            </w:r>
            <w:r>
              <w:rPr>
                <w:rFonts w:hAnsi="宋体"/>
                <w:sz w:val="24"/>
                <w:szCs w:val="24"/>
              </w:rPr>
              <w:t>T</w:t>
            </w:r>
            <w:r>
              <w:rPr>
                <w:rFonts w:hint="eastAsia" w:hAnsi="宋体"/>
                <w:sz w:val="24"/>
                <w:szCs w:val="24"/>
              </w:rPr>
              <w:t>′</w:t>
            </w:r>
            <w:r>
              <w:rPr>
                <w:rFonts w:hAnsi="宋体"/>
                <w:sz w:val="24"/>
                <w:szCs w:val="24"/>
              </w:rPr>
              <w:t>do</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Sec</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横轴开路瞬变时间常数</w:t>
            </w:r>
            <w:r>
              <w:rPr>
                <w:rFonts w:hAnsi="宋体"/>
                <w:sz w:val="24"/>
                <w:szCs w:val="24"/>
              </w:rPr>
              <w:t>T</w:t>
            </w:r>
            <w:r>
              <w:rPr>
                <w:rFonts w:hint="eastAsia" w:hAnsi="宋体"/>
                <w:sz w:val="24"/>
                <w:szCs w:val="24"/>
              </w:rPr>
              <w:t>′</w:t>
            </w:r>
            <w:r>
              <w:rPr>
                <w:rFonts w:hAnsi="宋体"/>
                <w:sz w:val="24"/>
                <w:szCs w:val="24"/>
              </w:rPr>
              <w:t>qo</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Sec</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直轴短路瞬变时间常数</w:t>
            </w:r>
            <w:r>
              <w:rPr>
                <w:rFonts w:hAnsi="宋体"/>
                <w:sz w:val="24"/>
                <w:szCs w:val="24"/>
              </w:rPr>
              <w:t>T</w:t>
            </w:r>
            <w:r>
              <w:rPr>
                <w:rFonts w:hint="eastAsia" w:hAnsi="宋体"/>
                <w:sz w:val="24"/>
                <w:szCs w:val="24"/>
              </w:rPr>
              <w:t>′</w:t>
            </w:r>
            <w:r>
              <w:rPr>
                <w:rFonts w:hAnsi="宋体"/>
                <w:sz w:val="24"/>
                <w:szCs w:val="24"/>
              </w:rPr>
              <w:t>d</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Sec</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横轴短路瞬变时间常数</w:t>
            </w:r>
            <w:r>
              <w:rPr>
                <w:rFonts w:hAnsi="宋体"/>
                <w:sz w:val="24"/>
                <w:szCs w:val="24"/>
              </w:rPr>
              <w:t>T</w:t>
            </w:r>
            <w:r>
              <w:rPr>
                <w:rFonts w:hint="eastAsia" w:hAnsi="宋体"/>
                <w:sz w:val="24"/>
                <w:szCs w:val="24"/>
              </w:rPr>
              <w:t>′</w:t>
            </w:r>
            <w:r>
              <w:rPr>
                <w:rFonts w:hAnsi="宋体"/>
                <w:sz w:val="24"/>
                <w:szCs w:val="24"/>
              </w:rPr>
              <w:t>q</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Sec</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直轴开路超瞬变时间常数</w:t>
            </w:r>
            <w:r>
              <w:rPr>
                <w:rFonts w:hAnsi="宋体"/>
                <w:sz w:val="24"/>
                <w:szCs w:val="24"/>
              </w:rPr>
              <w:t>T</w:t>
            </w:r>
            <w:r>
              <w:rPr>
                <w:rFonts w:hint="eastAsia" w:hAnsi="宋体"/>
                <w:sz w:val="24"/>
                <w:szCs w:val="24"/>
              </w:rPr>
              <w:t>″</w:t>
            </w:r>
            <w:r>
              <w:rPr>
                <w:rFonts w:hAnsi="宋体"/>
                <w:sz w:val="24"/>
                <w:szCs w:val="24"/>
              </w:rPr>
              <w:t>do</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Sec</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横轴开路超瞬变时间常数</w:t>
            </w:r>
            <w:r>
              <w:rPr>
                <w:rFonts w:hAnsi="宋体"/>
                <w:sz w:val="24"/>
                <w:szCs w:val="24"/>
              </w:rPr>
              <w:t>T</w:t>
            </w:r>
            <w:r>
              <w:rPr>
                <w:rFonts w:hint="eastAsia" w:hAnsi="宋体"/>
                <w:sz w:val="24"/>
                <w:szCs w:val="24"/>
              </w:rPr>
              <w:t>″</w:t>
            </w:r>
            <w:r>
              <w:rPr>
                <w:rFonts w:hAnsi="宋体"/>
                <w:sz w:val="24"/>
                <w:szCs w:val="24"/>
              </w:rPr>
              <w:t>qo</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Sec</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直轴短路超瞬变时间常数</w:t>
            </w:r>
            <w:r>
              <w:rPr>
                <w:rFonts w:hAnsi="宋体"/>
                <w:sz w:val="24"/>
                <w:szCs w:val="24"/>
              </w:rPr>
              <w:t>T</w:t>
            </w:r>
            <w:r>
              <w:rPr>
                <w:rFonts w:hint="eastAsia" w:hAnsi="宋体"/>
                <w:sz w:val="24"/>
                <w:szCs w:val="24"/>
              </w:rPr>
              <w:t>″</w:t>
            </w:r>
            <w:r>
              <w:rPr>
                <w:rFonts w:hAnsi="宋体"/>
                <w:sz w:val="24"/>
                <w:szCs w:val="24"/>
              </w:rPr>
              <w:t>d</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Sec</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横轴短路超瞬变时间常数</w:t>
            </w:r>
            <w:r>
              <w:rPr>
                <w:rFonts w:hAnsi="宋体"/>
                <w:sz w:val="24"/>
                <w:szCs w:val="24"/>
              </w:rPr>
              <w:t>T</w:t>
            </w:r>
            <w:r>
              <w:rPr>
                <w:rFonts w:hint="eastAsia" w:hAnsi="宋体"/>
                <w:sz w:val="24"/>
                <w:szCs w:val="24"/>
              </w:rPr>
              <w:t>″</w:t>
            </w:r>
            <w:r>
              <w:rPr>
                <w:rFonts w:hAnsi="宋体"/>
                <w:sz w:val="24"/>
                <w:szCs w:val="24"/>
              </w:rPr>
              <w:t>q</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Sec</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灭磁时间常数</w:t>
            </w:r>
            <w:r>
              <w:rPr>
                <w:rFonts w:hAnsi="宋体"/>
                <w:sz w:val="24"/>
                <w:szCs w:val="24"/>
              </w:rPr>
              <w:t>Tdm</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Sec</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转动惯量</w:t>
            </w:r>
            <w:r>
              <w:rPr>
                <w:rFonts w:hAnsi="宋体"/>
                <w:sz w:val="24"/>
                <w:szCs w:val="24"/>
              </w:rPr>
              <w:t>GD</w:t>
            </w:r>
            <w:r>
              <w:rPr>
                <w:rFonts w:hAnsi="宋体"/>
                <w:sz w:val="24"/>
                <w:szCs w:val="24"/>
                <w:vertAlign w:val="superscript"/>
              </w:rPr>
              <w:t>2</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t.m</w:t>
            </w:r>
            <w:r>
              <w:rPr>
                <w:rFonts w:hAnsi="宋体"/>
                <w:sz w:val="24"/>
                <w:szCs w:val="24"/>
                <w:vertAlign w:val="superscript"/>
              </w:rPr>
              <w:t>2</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短路比</w:t>
            </w:r>
            <w:r>
              <w:rPr>
                <w:rFonts w:hAnsi="宋体"/>
                <w:sz w:val="24"/>
                <w:szCs w:val="24"/>
              </w:rPr>
              <w:t xml:space="preserve"> SCR</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稳态负序电流</w:t>
            </w:r>
            <w:r>
              <w:rPr>
                <w:rFonts w:hAnsi="宋体"/>
                <w:sz w:val="24"/>
                <w:szCs w:val="24"/>
              </w:rPr>
              <w:t>I</w:t>
            </w:r>
            <w:r>
              <w:rPr>
                <w:rFonts w:hAnsi="宋体"/>
                <w:sz w:val="24"/>
                <w:szCs w:val="24"/>
                <w:vertAlign w:val="subscript"/>
              </w:rPr>
              <w:t>2</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暂态负序电流</w:t>
            </w:r>
            <w:r>
              <w:rPr>
                <w:rFonts w:hAnsi="宋体"/>
                <w:sz w:val="24"/>
                <w:szCs w:val="24"/>
              </w:rPr>
              <w:t xml:space="preserve"> I</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允许频率偏差</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允许定子电压偏差</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失磁异步运行能力</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MW</w:t>
            </w:r>
          </w:p>
          <w:p>
            <w:pPr>
              <w:tabs>
                <w:tab w:val="left" w:pos="567"/>
              </w:tabs>
              <w:overflowPunct w:val="0"/>
              <w:spacing w:line="360" w:lineRule="auto"/>
              <w:rPr>
                <w:rFonts w:hint="eastAsia" w:hAnsi="宋体"/>
                <w:sz w:val="24"/>
                <w:szCs w:val="24"/>
              </w:rPr>
            </w:pPr>
            <w:r>
              <w:rPr>
                <w:rFonts w:hAnsi="宋体"/>
                <w:sz w:val="24"/>
                <w:szCs w:val="24"/>
              </w:rPr>
              <w:t>min</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进相运行能力</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MW</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进相运行时间</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h</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允许误并列能力</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电话谐波因数</w:t>
            </w:r>
            <w:r>
              <w:rPr>
                <w:rFonts w:hAnsi="宋体"/>
                <w:sz w:val="24"/>
                <w:szCs w:val="24"/>
              </w:rPr>
              <w:t>THF</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电压波形正弦畸变率</w:t>
            </w:r>
            <w:r>
              <w:rPr>
                <w:rFonts w:hAnsi="宋体"/>
                <w:sz w:val="24"/>
                <w:szCs w:val="24"/>
              </w:rPr>
              <w:t>Ku</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三相短路稳态电流</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暂态短路电流有效(交流分量)</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相</w:t>
            </w:r>
            <w:r>
              <w:rPr>
                <w:rFonts w:hAnsi="宋体"/>
                <w:sz w:val="24"/>
                <w:szCs w:val="24"/>
              </w:rPr>
              <w:t>-</w:t>
            </w:r>
            <w:r>
              <w:rPr>
                <w:rFonts w:hint="eastAsia" w:hAnsi="宋体"/>
                <w:sz w:val="24"/>
                <w:szCs w:val="24"/>
              </w:rPr>
              <w:t>中性点</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相</w:t>
            </w:r>
            <w:r>
              <w:rPr>
                <w:rFonts w:hAnsi="宋体"/>
                <w:sz w:val="24"/>
                <w:szCs w:val="24"/>
              </w:rPr>
              <w:t>-</w:t>
            </w:r>
            <w:r>
              <w:rPr>
                <w:rFonts w:hint="eastAsia" w:hAnsi="宋体"/>
                <w:sz w:val="24"/>
                <w:szCs w:val="24"/>
              </w:rPr>
              <w:t>相</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Ansi="宋体"/>
                <w:sz w:val="24"/>
                <w:szCs w:val="24"/>
              </w:rPr>
              <w:t>3</w:t>
            </w:r>
            <w:r>
              <w:rPr>
                <w:rFonts w:hint="eastAsia" w:hAnsi="宋体"/>
                <w:sz w:val="24"/>
                <w:szCs w:val="24"/>
              </w:rPr>
              <w:t>相</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次暂态短路电流有效值(交流分量)</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相</w:t>
            </w:r>
            <w:r>
              <w:rPr>
                <w:rFonts w:hAnsi="宋体"/>
                <w:sz w:val="24"/>
                <w:szCs w:val="24"/>
              </w:rPr>
              <w:t>-</w:t>
            </w:r>
            <w:r>
              <w:rPr>
                <w:rFonts w:hint="eastAsia" w:hAnsi="宋体"/>
                <w:sz w:val="24"/>
                <w:szCs w:val="24"/>
              </w:rPr>
              <w:t>中性点</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相</w:t>
            </w:r>
            <w:r>
              <w:rPr>
                <w:rFonts w:hAnsi="宋体"/>
                <w:sz w:val="24"/>
                <w:szCs w:val="24"/>
              </w:rPr>
              <w:t>-</w:t>
            </w:r>
            <w:r>
              <w:rPr>
                <w:rFonts w:hint="eastAsia" w:hAnsi="宋体"/>
                <w:sz w:val="24"/>
                <w:szCs w:val="24"/>
              </w:rPr>
              <w:t>相</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Ansi="宋体"/>
                <w:sz w:val="24"/>
                <w:szCs w:val="24"/>
              </w:rPr>
              <w:t>3</w:t>
            </w:r>
            <w:r>
              <w:rPr>
                <w:rFonts w:hint="eastAsia" w:hAnsi="宋体"/>
                <w:sz w:val="24"/>
                <w:szCs w:val="24"/>
              </w:rPr>
              <w:t>相</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三相短路最大电流值(直流分量峰值)</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相</w:t>
            </w:r>
            <w:r>
              <w:rPr>
                <w:rFonts w:hAnsi="宋体"/>
                <w:sz w:val="24"/>
                <w:szCs w:val="24"/>
              </w:rPr>
              <w:t>-</w:t>
            </w:r>
            <w:r>
              <w:rPr>
                <w:rFonts w:hint="eastAsia" w:hAnsi="宋体"/>
                <w:sz w:val="24"/>
                <w:szCs w:val="24"/>
              </w:rPr>
              <w:t>相短路最大电磁转矩</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t.m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噪音</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db(A)</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调峰能力</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发电机使用寿命</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年</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r>
              <w:rPr>
                <w:rFonts w:hAnsi="宋体"/>
                <w:sz w:val="24"/>
                <w:szCs w:val="24"/>
              </w:rPr>
              <w:t>3</w:t>
            </w: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振动值</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临界转速</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r/min</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一阶</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r/min</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二阶</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r/min</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临界转速轴承</w:t>
            </w:r>
            <w:r>
              <w:rPr>
                <w:rFonts w:hAnsi="宋体"/>
                <w:sz w:val="24"/>
                <w:szCs w:val="24"/>
              </w:rPr>
              <w:t>/</w:t>
            </w:r>
            <w:r>
              <w:rPr>
                <w:rFonts w:hint="eastAsia" w:hAnsi="宋体"/>
                <w:sz w:val="24"/>
                <w:szCs w:val="24"/>
              </w:rPr>
              <w:t>轴振动值</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垂直</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水平</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超速时轴承</w:t>
            </w:r>
            <w:r>
              <w:rPr>
                <w:rFonts w:hAnsi="宋体"/>
                <w:sz w:val="24"/>
                <w:szCs w:val="24"/>
              </w:rPr>
              <w:t>/</w:t>
            </w:r>
            <w:r>
              <w:rPr>
                <w:rFonts w:hint="eastAsia" w:hAnsi="宋体"/>
                <w:sz w:val="24"/>
                <w:szCs w:val="24"/>
              </w:rPr>
              <w:t>轴振动值</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垂直</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水平</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额定转速时轴承</w:t>
            </w:r>
            <w:r>
              <w:rPr>
                <w:rFonts w:hAnsi="宋体"/>
                <w:sz w:val="24"/>
                <w:szCs w:val="24"/>
              </w:rPr>
              <w:t>/</w:t>
            </w:r>
            <w:r>
              <w:rPr>
                <w:rFonts w:hint="eastAsia" w:hAnsi="宋体"/>
                <w:sz w:val="24"/>
                <w:szCs w:val="24"/>
              </w:rPr>
              <w:t>轴振动值</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垂直</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水平</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定子线圈端部振动频率</w:t>
            </w:r>
            <w:r>
              <w:rPr>
                <w:rFonts w:hAnsi="宋体"/>
                <w:sz w:val="24"/>
                <w:szCs w:val="24"/>
              </w:rPr>
              <w:t>fv</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Hz</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定子线圈端部振动幅值</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轴系扭振频率（发电机-滑环轴）</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Hz</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r>
              <w:rPr>
                <w:rFonts w:hAnsi="宋体"/>
                <w:sz w:val="24"/>
                <w:szCs w:val="24"/>
              </w:rPr>
              <w:t>4</w:t>
            </w: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损耗和效率（额定条件下）</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定子线圈铜耗</w:t>
            </w:r>
            <w:r>
              <w:rPr>
                <w:rFonts w:hAnsi="宋体"/>
                <w:sz w:val="24"/>
                <w:szCs w:val="24"/>
              </w:rPr>
              <w:t>Qcu</w:t>
            </w:r>
            <w:r>
              <w:rPr>
                <w:rFonts w:hAnsi="宋体"/>
                <w:sz w:val="24"/>
                <w:szCs w:val="24"/>
                <w:vertAlign w:val="subscript"/>
              </w:rPr>
              <w:t>1</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KW</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定子铁耗</w:t>
            </w:r>
            <w:r>
              <w:rPr>
                <w:rFonts w:hAnsi="宋体"/>
                <w:sz w:val="24"/>
                <w:szCs w:val="24"/>
              </w:rPr>
              <w:t>Q</w:t>
            </w:r>
            <w:r>
              <w:rPr>
                <w:rFonts w:hAnsi="宋体"/>
                <w:sz w:val="24"/>
                <w:szCs w:val="24"/>
                <w:vertAlign w:val="subscript"/>
              </w:rPr>
              <w:t>fe</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KW</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励磁损耗</w:t>
            </w:r>
            <w:r>
              <w:rPr>
                <w:rFonts w:hAnsi="宋体"/>
                <w:sz w:val="24"/>
                <w:szCs w:val="24"/>
              </w:rPr>
              <w:t>Qcu</w:t>
            </w:r>
            <w:r>
              <w:rPr>
                <w:rFonts w:hAnsi="宋体"/>
                <w:sz w:val="24"/>
                <w:szCs w:val="24"/>
                <w:vertAlign w:val="subscript"/>
              </w:rPr>
              <w:t>2</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KW</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短路附加损耗</w:t>
            </w:r>
            <w:r>
              <w:rPr>
                <w:rFonts w:hAnsi="宋体"/>
                <w:sz w:val="24"/>
                <w:szCs w:val="24"/>
              </w:rPr>
              <w:t>Q</w:t>
            </w:r>
            <w:r>
              <w:rPr>
                <w:rFonts w:hAnsi="宋体"/>
                <w:sz w:val="24"/>
                <w:szCs w:val="24"/>
                <w:vertAlign w:val="subscript"/>
              </w:rPr>
              <w:t>Kd</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KW</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机械损耗</w:t>
            </w:r>
            <w:r>
              <w:rPr>
                <w:rFonts w:hAnsi="宋体"/>
                <w:sz w:val="24"/>
                <w:szCs w:val="24"/>
              </w:rPr>
              <w:t>Qm</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KW</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总损耗Σ</w:t>
            </w:r>
            <w:r>
              <w:rPr>
                <w:rFonts w:hAnsi="宋体"/>
                <w:sz w:val="24"/>
                <w:szCs w:val="24"/>
              </w:rPr>
              <w:t>Q</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KW</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满载效率η</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r>
              <w:rPr>
                <w:rFonts w:hAnsi="宋体"/>
                <w:sz w:val="24"/>
                <w:szCs w:val="24"/>
              </w:rPr>
              <w:t>5</w:t>
            </w: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绝缘等级和温度</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定子线圈绝缘等级</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转子线圈绝缘等级</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定子铁芯绝缘等级</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定子线圈极限温度</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转子线圈极限温度</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定子铁芯极限温度</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定子端部结构件允许温度</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发电机进口风温</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发电机出口风温</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r>
              <w:rPr>
                <w:rFonts w:hAnsi="宋体"/>
                <w:sz w:val="24"/>
                <w:szCs w:val="24"/>
              </w:rPr>
              <w:t>6</w:t>
            </w: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冷却介质的压力、流量和温度</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空气冷却器数目</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空气冷却器进水温度</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空气冷却器出水温度</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空气冷却器水流量</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t/h</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空气冷却器换热面积</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空气冷却器端差</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空气冷却器冷却管形式</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空气冷却器冷却管材料</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额定压力</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Mpa(g)</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最高允许压力</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Mpa(g)</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发电机机壳容积</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w:t>
            </w:r>
            <w:r>
              <w:rPr>
                <w:rFonts w:hAnsi="宋体"/>
                <w:sz w:val="24"/>
                <w:szCs w:val="24"/>
                <w:vertAlign w:val="superscript"/>
              </w:rPr>
              <w:t>3</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轴承润滑油进口温度</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轴承润滑油出口温度</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轴承润滑油流量</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L/ min</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r>
              <w:rPr>
                <w:rFonts w:hAnsi="宋体"/>
                <w:sz w:val="24"/>
                <w:szCs w:val="24"/>
              </w:rPr>
              <w:t>7</w:t>
            </w: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主要尺寸和电磁负荷</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定子铁芯内径</w:t>
            </w:r>
            <w:r>
              <w:rPr>
                <w:rFonts w:hAnsi="宋体"/>
                <w:sz w:val="24"/>
                <w:szCs w:val="24"/>
              </w:rPr>
              <w:t>Do</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定子铁芯内径</w:t>
            </w:r>
            <w:r>
              <w:rPr>
                <w:rFonts w:hAnsi="宋体"/>
                <w:sz w:val="24"/>
                <w:szCs w:val="24"/>
              </w:rPr>
              <w:t>Da</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定子铁芯长度</w:t>
            </w:r>
            <w:r>
              <w:rPr>
                <w:rFonts w:hAnsi="宋体"/>
                <w:sz w:val="24"/>
                <w:szCs w:val="24"/>
              </w:rPr>
              <w:t>Li</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气隙（单边）</w:t>
            </w:r>
            <w:r>
              <w:rPr>
                <w:rFonts w:hAnsi="宋体"/>
                <w:sz w:val="24"/>
                <w:szCs w:val="24"/>
              </w:rPr>
              <w:t>g</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定子槽数</w:t>
            </w:r>
            <w:r>
              <w:rPr>
                <w:rFonts w:hAnsi="宋体"/>
                <w:sz w:val="24"/>
                <w:szCs w:val="24"/>
              </w:rPr>
              <w:t>Zi</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定子绕组并联支路数</w:t>
            </w:r>
            <w:r>
              <w:rPr>
                <w:rFonts w:hAnsi="宋体"/>
                <w:sz w:val="24"/>
                <w:szCs w:val="24"/>
              </w:rPr>
              <w:t>a</w:t>
            </w:r>
            <w:r>
              <w:rPr>
                <w:rFonts w:hAnsi="宋体"/>
                <w:sz w:val="24"/>
                <w:szCs w:val="24"/>
                <w:vertAlign w:val="subscript"/>
              </w:rPr>
              <w:t>1</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定子线圈尺寸</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每槽线圈股数</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定子电流密度</w:t>
            </w:r>
            <w:r>
              <w:rPr>
                <w:rFonts w:hAnsi="宋体"/>
                <w:sz w:val="24"/>
                <w:szCs w:val="24"/>
              </w:rPr>
              <w:t>J</w:t>
            </w:r>
            <w:r>
              <w:rPr>
                <w:rFonts w:hAnsi="宋体"/>
                <w:sz w:val="24"/>
                <w:szCs w:val="24"/>
                <w:vertAlign w:val="subscript"/>
              </w:rPr>
              <w:t>1</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r>
              <w:rPr>
                <w:rFonts w:hAnsi="宋体"/>
                <w:sz w:val="24"/>
                <w:szCs w:val="24"/>
              </w:rPr>
              <w:t>A/mm</w:t>
            </w:r>
            <w:r>
              <w:rPr>
                <w:rFonts w:hAnsi="宋体"/>
                <w:sz w:val="24"/>
                <w:szCs w:val="24"/>
                <w:vertAlign w:val="superscript"/>
              </w:rPr>
              <w:t>2</w:t>
            </w:r>
            <w:r>
              <w:rPr>
                <w:rFonts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定子线负荷</w:t>
            </w:r>
            <w:r>
              <w:rPr>
                <w:rFonts w:hAnsi="宋体"/>
                <w:sz w:val="24"/>
                <w:szCs w:val="24"/>
              </w:rPr>
              <w:t>As</w:t>
            </w:r>
            <w:r>
              <w:rPr>
                <w:rFonts w:hAnsi="宋体"/>
                <w:sz w:val="24"/>
                <w:szCs w:val="24"/>
                <w:vertAlign w:val="subscript"/>
              </w:rPr>
              <w:t>1</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(A/cm)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定子槽主绝缘单边厚度</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定子总重量</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定子运输重量</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定子运输尺寸</w:t>
            </w:r>
            <w:r>
              <w:rPr>
                <w:rFonts w:hAnsi="宋体"/>
                <w:sz w:val="24"/>
                <w:szCs w:val="24"/>
              </w:rPr>
              <w:t>L</w:t>
            </w:r>
            <w:r>
              <w:rPr>
                <w:rFonts w:hint="eastAsia" w:hAnsi="宋体"/>
                <w:sz w:val="24"/>
                <w:szCs w:val="24"/>
              </w:rPr>
              <w:t>×W×</w:t>
            </w:r>
            <w:r>
              <w:rPr>
                <w:rFonts w:hAnsi="宋体"/>
                <w:sz w:val="24"/>
                <w:szCs w:val="24"/>
              </w:rPr>
              <w:t>H</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转子外径</w:t>
            </w:r>
            <w:r>
              <w:rPr>
                <w:rFonts w:hAnsi="宋体"/>
                <w:sz w:val="24"/>
                <w:szCs w:val="24"/>
              </w:rPr>
              <w:t>D</w:t>
            </w:r>
            <w:r>
              <w:rPr>
                <w:rFonts w:hAnsi="宋体"/>
                <w:sz w:val="24"/>
                <w:szCs w:val="24"/>
                <w:vertAlign w:val="subscript"/>
              </w:rPr>
              <w:t>2</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转子本体有效长度</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转子运输长度</w:t>
            </w:r>
            <w:r>
              <w:rPr>
                <w:rFonts w:hAnsi="宋体"/>
                <w:sz w:val="24"/>
                <w:szCs w:val="24"/>
              </w:rPr>
              <w:t>L</w:t>
            </w:r>
            <w:r>
              <w:rPr>
                <w:rFonts w:hAnsi="宋体"/>
                <w:sz w:val="24"/>
                <w:szCs w:val="24"/>
                <w:vertAlign w:val="subscript"/>
              </w:rPr>
              <w:t>2</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转子重量</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转子槽数</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转子</w:t>
            </w:r>
            <w:r>
              <w:rPr>
                <w:rFonts w:hint="eastAsia" w:hAnsi="宋体"/>
                <w:i/>
                <w:iCs/>
                <w:sz w:val="24"/>
                <w:szCs w:val="24"/>
              </w:rPr>
              <w:t>槽尺寸</w:t>
            </w:r>
            <w:r>
              <w:rPr>
                <w:rFonts w:hAnsi="宋体"/>
                <w:i/>
                <w:iCs/>
                <w:sz w:val="24"/>
                <w:szCs w:val="24"/>
              </w:rPr>
              <w:t>m</w:t>
            </w:r>
            <w:r>
              <w:rPr>
                <w:rFonts w:hint="eastAsia" w:hAnsi="宋体"/>
                <w:i/>
                <w:iCs/>
                <w:sz w:val="24"/>
                <w:szCs w:val="24"/>
              </w:rPr>
              <w:t>×</w:t>
            </w:r>
            <w:r>
              <w:rPr>
                <w:rFonts w:hAnsi="宋体"/>
                <w:i/>
                <w:iCs/>
                <w:sz w:val="24"/>
                <w:szCs w:val="24"/>
              </w:rPr>
              <w:t>h</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转子每槽线匝数</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每匝铜线尺寸</w:t>
            </w:r>
            <w:r>
              <w:rPr>
                <w:rFonts w:hAnsi="宋体"/>
                <w:sz w:val="24"/>
                <w:szCs w:val="24"/>
              </w:rPr>
              <w:t>m</w:t>
            </w:r>
            <w:r>
              <w:rPr>
                <w:rFonts w:hint="eastAsia" w:hAnsi="宋体"/>
                <w:sz w:val="24"/>
                <w:szCs w:val="24"/>
              </w:rPr>
              <w:t>×</w:t>
            </w:r>
            <w:r>
              <w:rPr>
                <w:rFonts w:hAnsi="宋体"/>
                <w:sz w:val="24"/>
                <w:szCs w:val="24"/>
              </w:rPr>
              <w:t>h</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转子电流密度</w:t>
            </w:r>
            <w:r>
              <w:rPr>
                <w:rFonts w:hAnsi="宋体"/>
                <w:sz w:val="24"/>
                <w:szCs w:val="24"/>
              </w:rPr>
              <w:t>J</w:t>
            </w:r>
            <w:r>
              <w:rPr>
                <w:rFonts w:hAnsi="宋体"/>
                <w:sz w:val="24"/>
                <w:szCs w:val="24"/>
                <w:vertAlign w:val="subscript"/>
              </w:rPr>
              <w:t>1</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r>
              <w:rPr>
                <w:rFonts w:hAnsi="宋体"/>
                <w:sz w:val="24"/>
                <w:szCs w:val="24"/>
              </w:rPr>
              <w:t>A/mm</w:t>
            </w:r>
            <w:r>
              <w:rPr>
                <w:rFonts w:hAnsi="宋体"/>
                <w:sz w:val="24"/>
                <w:szCs w:val="24"/>
                <w:vertAlign w:val="superscript"/>
              </w:rPr>
              <w:t>2</w:t>
            </w:r>
            <w:r>
              <w:rPr>
                <w:rFonts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定子槽绝缘单边厚度</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气隙磁密</w:t>
            </w:r>
            <w:r>
              <w:rPr>
                <w:rFonts w:hAnsi="宋体"/>
                <w:sz w:val="24"/>
                <w:szCs w:val="24"/>
              </w:rPr>
              <w:t>Bs</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Gs</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转子匝间绝缘厚度</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护环直径</w:t>
            </w:r>
            <w:r>
              <w:rPr>
                <w:rFonts w:hAnsi="宋体"/>
                <w:sz w:val="24"/>
                <w:szCs w:val="24"/>
              </w:rPr>
              <w:t>Dk</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护环长度</w:t>
            </w:r>
            <w:r>
              <w:rPr>
                <w:rFonts w:hAnsi="宋体"/>
                <w:sz w:val="24"/>
                <w:szCs w:val="24"/>
              </w:rPr>
              <w:t>Lk</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r>
              <w:rPr>
                <w:rFonts w:hAnsi="宋体"/>
                <w:sz w:val="24"/>
                <w:szCs w:val="24"/>
              </w:rPr>
              <w:t>8</w:t>
            </w: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主要材质和应力</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定子硅钢片型号</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硅钢片厚度</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mm</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铜线型号</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转轴材料型号</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转轴材料脆性转变温</w:t>
            </w:r>
            <w:r>
              <w:rPr>
                <w:rFonts w:hAnsi="宋体"/>
                <w:sz w:val="24"/>
                <w:szCs w:val="24"/>
              </w:rPr>
              <w:t>FATT</w:t>
            </w:r>
          </w:p>
        </w:tc>
        <w:tc>
          <w:tcPr>
            <w:tcW w:w="993" w:type="dxa"/>
            <w:vAlign w:val="center"/>
          </w:tcPr>
          <w:p>
            <w:pPr>
              <w:tabs>
                <w:tab w:val="left" w:pos="567"/>
              </w:tabs>
              <w:overflowPunct w:val="0"/>
              <w:spacing w:line="360" w:lineRule="auto"/>
              <w:rPr>
                <w:rFonts w:hint="eastAsia" w:hAnsi="宋体"/>
                <w:sz w:val="24"/>
                <w:szCs w:val="24"/>
              </w:rPr>
            </w:pPr>
            <w:r>
              <w:rPr>
                <w:rFonts w:hint="eastAsia" w:hAnsi="宋体"/>
                <w:sz w:val="24"/>
                <w:szCs w:val="24"/>
              </w:rPr>
              <w:t>℃</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转轴屈服极限σ</w:t>
            </w:r>
            <w:r>
              <w:rPr>
                <w:rFonts w:hAnsi="宋体"/>
                <w:sz w:val="24"/>
                <w:szCs w:val="24"/>
              </w:rPr>
              <w:t>s</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N/mm</w:t>
            </w:r>
            <w:r>
              <w:rPr>
                <w:rFonts w:hAnsi="宋体"/>
                <w:sz w:val="24"/>
                <w:szCs w:val="24"/>
                <w:vertAlign w:val="superscript"/>
              </w:rPr>
              <w:t>2</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转轴安全系数</w:t>
            </w:r>
            <w:r>
              <w:rPr>
                <w:rFonts w:hAnsi="宋体"/>
                <w:sz w:val="24"/>
                <w:szCs w:val="24"/>
              </w:rPr>
              <w:t>K</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转子铜线型号</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转子铜线屈服极限σ</w:t>
            </w:r>
            <w:r>
              <w:rPr>
                <w:rFonts w:hAnsi="宋体"/>
                <w:sz w:val="24"/>
                <w:szCs w:val="24"/>
              </w:rPr>
              <w:t>s</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N/mm</w:t>
            </w:r>
            <w:r>
              <w:rPr>
                <w:rFonts w:hAnsi="宋体"/>
                <w:sz w:val="24"/>
                <w:szCs w:val="24"/>
                <w:vertAlign w:val="superscript"/>
              </w:rPr>
              <w:t>2</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护环材质型号</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护环屈服极限σ</w:t>
            </w:r>
            <w:r>
              <w:rPr>
                <w:rFonts w:hAnsi="宋体"/>
                <w:sz w:val="24"/>
                <w:szCs w:val="24"/>
              </w:rPr>
              <w:t>s</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N/mm</w:t>
            </w:r>
            <w:r>
              <w:rPr>
                <w:rFonts w:hAnsi="宋体"/>
                <w:sz w:val="24"/>
                <w:szCs w:val="24"/>
                <w:vertAlign w:val="superscript"/>
              </w:rPr>
              <w:t>2</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护环安全系数</w:t>
            </w:r>
            <w:r>
              <w:rPr>
                <w:rFonts w:hAnsi="宋体"/>
                <w:sz w:val="24"/>
                <w:szCs w:val="24"/>
              </w:rPr>
              <w:t>K</w:t>
            </w:r>
          </w:p>
        </w:tc>
        <w:tc>
          <w:tcPr>
            <w:tcW w:w="993" w:type="dxa"/>
            <w:vAlign w:val="center"/>
          </w:tcPr>
          <w:p>
            <w:pPr>
              <w:tabs>
                <w:tab w:val="left" w:pos="567"/>
              </w:tabs>
              <w:overflowPunct w:val="0"/>
              <w:spacing w:line="360" w:lineRule="auto"/>
              <w:rPr>
                <w:rFonts w:hint="eastAsia" w:hAnsi="宋体"/>
                <w:sz w:val="24"/>
                <w:szCs w:val="24"/>
              </w:rPr>
            </w:pPr>
            <w:r>
              <w:rPr>
                <w:rFonts w:hAnsi="宋体"/>
                <w:sz w:val="24"/>
                <w:szCs w:val="24"/>
              </w:rPr>
              <w:t>k</w:t>
            </w: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vAlign w:val="center"/>
          </w:tcPr>
          <w:p>
            <w:pPr>
              <w:tabs>
                <w:tab w:val="left" w:pos="567"/>
              </w:tabs>
              <w:overflowPunct w:val="0"/>
              <w:spacing w:line="360" w:lineRule="auto"/>
              <w:rPr>
                <w:rFonts w:hint="eastAsia" w:hAnsi="宋体"/>
                <w:sz w:val="24"/>
                <w:szCs w:val="24"/>
              </w:rPr>
            </w:pPr>
          </w:p>
        </w:tc>
        <w:tc>
          <w:tcPr>
            <w:tcW w:w="3969" w:type="dxa"/>
            <w:vAlign w:val="center"/>
          </w:tcPr>
          <w:p>
            <w:pPr>
              <w:tabs>
                <w:tab w:val="left" w:pos="567"/>
              </w:tabs>
              <w:overflowPunct w:val="0"/>
              <w:spacing w:line="360" w:lineRule="auto"/>
              <w:rPr>
                <w:rFonts w:hint="eastAsia" w:hAnsi="宋体"/>
                <w:sz w:val="24"/>
                <w:szCs w:val="24"/>
              </w:rPr>
            </w:pPr>
            <w:r>
              <w:rPr>
                <w:rFonts w:hint="eastAsia" w:hAnsi="宋体"/>
                <w:sz w:val="24"/>
                <w:szCs w:val="24"/>
              </w:rPr>
              <w:t>转子槽契材质型号</w:t>
            </w:r>
          </w:p>
        </w:tc>
        <w:tc>
          <w:tcPr>
            <w:tcW w:w="993"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992" w:type="dxa"/>
            <w:vAlign w:val="center"/>
          </w:tcPr>
          <w:p>
            <w:pPr>
              <w:tabs>
                <w:tab w:val="left" w:pos="567"/>
              </w:tabs>
              <w:overflowPunct w:val="0"/>
              <w:spacing w:line="360" w:lineRule="auto"/>
              <w:rPr>
                <w:rFonts w:hint="eastAsia" w:hAnsi="宋体"/>
                <w:sz w:val="24"/>
                <w:szCs w:val="24"/>
              </w:rPr>
            </w:pPr>
          </w:p>
        </w:tc>
        <w:tc>
          <w:tcPr>
            <w:tcW w:w="1276" w:type="dxa"/>
            <w:vAlign w:val="center"/>
          </w:tcPr>
          <w:p>
            <w:pPr>
              <w:tabs>
                <w:tab w:val="left" w:pos="567"/>
              </w:tabs>
              <w:overflowPunct w:val="0"/>
              <w:spacing w:line="360" w:lineRule="auto"/>
              <w:rPr>
                <w:rFonts w:hint="eastAsia" w:hAnsi="宋体"/>
                <w:sz w:val="24"/>
                <w:szCs w:val="24"/>
              </w:rPr>
            </w:pPr>
          </w:p>
        </w:tc>
      </w:tr>
    </w:tbl>
    <w:p>
      <w:pPr>
        <w:tabs>
          <w:tab w:val="left" w:pos="426"/>
          <w:tab w:val="left" w:pos="580"/>
          <w:tab w:val="left" w:pos="1985"/>
          <w:tab w:val="left" w:pos="3828"/>
          <w:tab w:val="left" w:pos="5245"/>
          <w:tab w:val="left" w:pos="6663"/>
        </w:tabs>
        <w:adjustRightInd w:val="0"/>
        <w:snapToGrid w:val="0"/>
        <w:spacing w:line="360" w:lineRule="auto"/>
        <w:rPr>
          <w:b/>
          <w:snapToGrid w:val="0"/>
          <w:kern w:val="0"/>
          <w:sz w:val="24"/>
        </w:rPr>
      </w:pPr>
    </w:p>
    <w:p>
      <w:pPr>
        <w:tabs>
          <w:tab w:val="left" w:pos="426"/>
          <w:tab w:val="left" w:pos="580"/>
          <w:tab w:val="left" w:pos="1985"/>
          <w:tab w:val="left" w:pos="3828"/>
          <w:tab w:val="left" w:pos="5245"/>
          <w:tab w:val="left" w:pos="6663"/>
        </w:tabs>
        <w:adjustRightInd w:val="0"/>
        <w:snapToGrid w:val="0"/>
        <w:spacing w:line="360" w:lineRule="auto"/>
        <w:rPr>
          <w:b/>
          <w:bCs/>
          <w:snapToGrid w:val="0"/>
          <w:kern w:val="0"/>
          <w:sz w:val="24"/>
        </w:rPr>
      </w:pPr>
      <w:r>
        <w:rPr>
          <w:b/>
          <w:bCs/>
          <w:snapToGrid w:val="0"/>
          <w:kern w:val="0"/>
          <w:sz w:val="24"/>
        </w:rPr>
        <w:t>7.2静态励磁数据表</w:t>
      </w:r>
    </w:p>
    <w:tbl>
      <w:tblPr>
        <w:tblStyle w:val="49"/>
        <w:tblW w:w="814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595"/>
        <w:gridCol w:w="3402"/>
        <w:gridCol w:w="1038"/>
        <w:gridCol w:w="1038"/>
        <w:gridCol w:w="1038"/>
        <w:gridCol w:w="103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blHeader/>
        </w:trPr>
        <w:tc>
          <w:tcPr>
            <w:tcW w:w="595" w:type="dxa"/>
          </w:tcPr>
          <w:p>
            <w:pPr>
              <w:tabs>
                <w:tab w:val="left" w:pos="567"/>
              </w:tabs>
              <w:overflowPunct w:val="0"/>
              <w:spacing w:line="360" w:lineRule="auto"/>
              <w:rPr>
                <w:rFonts w:hint="eastAsia" w:hAnsi="宋体"/>
                <w:sz w:val="24"/>
                <w:szCs w:val="24"/>
              </w:rPr>
            </w:pPr>
            <w:r>
              <w:rPr>
                <w:rFonts w:hint="eastAsia" w:hAnsi="宋体"/>
                <w:sz w:val="24"/>
                <w:szCs w:val="24"/>
              </w:rPr>
              <w:t>序号</w:t>
            </w: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名称</w:t>
            </w:r>
          </w:p>
        </w:tc>
        <w:tc>
          <w:tcPr>
            <w:tcW w:w="1038" w:type="dxa"/>
          </w:tcPr>
          <w:p>
            <w:pPr>
              <w:tabs>
                <w:tab w:val="left" w:pos="567"/>
              </w:tabs>
              <w:overflowPunct w:val="0"/>
              <w:spacing w:line="360" w:lineRule="auto"/>
              <w:rPr>
                <w:rFonts w:hint="eastAsia" w:hAnsi="宋体"/>
                <w:sz w:val="24"/>
                <w:szCs w:val="24"/>
              </w:rPr>
            </w:pPr>
            <w:r>
              <w:rPr>
                <w:rFonts w:hint="eastAsia" w:hAnsi="宋体"/>
                <w:sz w:val="24"/>
                <w:szCs w:val="24"/>
              </w:rPr>
              <w:t>单位</w:t>
            </w:r>
          </w:p>
        </w:tc>
        <w:tc>
          <w:tcPr>
            <w:tcW w:w="1038" w:type="dxa"/>
          </w:tcPr>
          <w:p>
            <w:pPr>
              <w:tabs>
                <w:tab w:val="left" w:pos="567"/>
              </w:tabs>
              <w:overflowPunct w:val="0"/>
              <w:spacing w:line="360" w:lineRule="auto"/>
              <w:rPr>
                <w:rFonts w:hint="eastAsia" w:hAnsi="宋体"/>
                <w:sz w:val="24"/>
                <w:szCs w:val="24"/>
              </w:rPr>
            </w:pPr>
            <w:r>
              <w:rPr>
                <w:rFonts w:hint="eastAsia" w:hAnsi="宋体"/>
                <w:sz w:val="24"/>
                <w:szCs w:val="24"/>
              </w:rPr>
              <w:t>要求值</w:t>
            </w:r>
          </w:p>
        </w:tc>
        <w:tc>
          <w:tcPr>
            <w:tcW w:w="1038" w:type="dxa"/>
          </w:tcPr>
          <w:p>
            <w:pPr>
              <w:tabs>
                <w:tab w:val="left" w:pos="567"/>
              </w:tabs>
              <w:overflowPunct w:val="0"/>
              <w:spacing w:line="360" w:lineRule="auto"/>
              <w:rPr>
                <w:rFonts w:hint="eastAsia" w:hAnsi="宋体"/>
                <w:sz w:val="24"/>
                <w:szCs w:val="24"/>
              </w:rPr>
            </w:pPr>
            <w:r>
              <w:rPr>
                <w:rFonts w:hint="eastAsia" w:hAnsi="宋体"/>
                <w:sz w:val="24"/>
                <w:szCs w:val="24"/>
              </w:rPr>
              <w:t>保证值</w:t>
            </w:r>
          </w:p>
        </w:tc>
        <w:tc>
          <w:tcPr>
            <w:tcW w:w="1038" w:type="dxa"/>
          </w:tcPr>
          <w:p>
            <w:pPr>
              <w:tabs>
                <w:tab w:val="left" w:pos="567"/>
              </w:tabs>
              <w:overflowPunct w:val="0"/>
              <w:spacing w:line="360" w:lineRule="auto"/>
              <w:rPr>
                <w:rFonts w:hint="eastAsia" w:hAnsi="宋体"/>
                <w:sz w:val="24"/>
                <w:szCs w:val="24"/>
              </w:rPr>
            </w:pPr>
            <w:r>
              <w:rPr>
                <w:rFonts w:hint="eastAsia" w:hAnsi="宋体"/>
                <w:sz w:val="24"/>
                <w:szCs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r>
              <w:rPr>
                <w:rFonts w:hAnsi="宋体"/>
                <w:sz w:val="24"/>
                <w:szCs w:val="24"/>
              </w:rPr>
              <w:t>1</w:t>
            </w: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励磁系统基本参数</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额定励磁电压</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V</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额定励磁电流</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A</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发电机空载时励磁电压</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V</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发电机空载时励磁电流</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A</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励磁顶值电压倍数</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电压响应比</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强励时间</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Sec</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励磁方式</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r>
              <w:rPr>
                <w:rFonts w:hint="eastAsia" w:hAnsi="宋体"/>
                <w:sz w:val="24"/>
                <w:szCs w:val="24"/>
              </w:rPr>
              <w:t>2</w:t>
            </w: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整流装置</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静止自并激励磁方式</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额定电压(直流侧)</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V</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额定电流(直流侧)</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A</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时间特性</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整流装置接线方式(串、并联)</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串联个数</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并联支路数</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可控硅型号</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可控硅额定电流</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A</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可控硅额定电压</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V</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可控硅反向电压</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V</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冷却方式</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r>
              <w:rPr>
                <w:rFonts w:hint="eastAsia" w:hAnsi="宋体"/>
                <w:sz w:val="24"/>
                <w:szCs w:val="24"/>
              </w:rPr>
              <w:t>3</w:t>
            </w: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磁场断路器</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额定电压</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V</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额定电流</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A</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开断电流</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A</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控制电压（直流）</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V</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ind w:firstLine="210"/>
              <w:jc w:val="center"/>
              <w:rPr>
                <w:rFonts w:hint="eastAsia" w:hAnsi="宋体"/>
                <w:sz w:val="24"/>
                <w:szCs w:val="24"/>
              </w:rPr>
            </w:pPr>
            <w:r>
              <w:rPr>
                <w:rFonts w:hint="eastAsia" w:hAnsi="宋体"/>
                <w:sz w:val="24"/>
                <w:szCs w:val="24"/>
              </w:rPr>
              <w:t>4</w:t>
            </w:r>
          </w:p>
        </w:tc>
        <w:tc>
          <w:tcPr>
            <w:tcW w:w="3402" w:type="dxa"/>
          </w:tcPr>
          <w:p>
            <w:pPr>
              <w:tabs>
                <w:tab w:val="left" w:pos="567"/>
              </w:tabs>
              <w:overflowPunct w:val="0"/>
              <w:spacing w:line="360" w:lineRule="auto"/>
              <w:rPr>
                <w:rFonts w:hint="eastAsia" w:hAnsi="宋体"/>
                <w:sz w:val="24"/>
                <w:szCs w:val="24"/>
              </w:rPr>
            </w:pPr>
            <w:r>
              <w:rPr>
                <w:rFonts w:hAnsi="宋体"/>
                <w:sz w:val="24"/>
                <w:szCs w:val="24"/>
              </w:rPr>
              <w:t>AVR</w:t>
            </w:r>
            <w:r>
              <w:rPr>
                <w:rFonts w:hint="eastAsia" w:hAnsi="宋体"/>
                <w:sz w:val="24"/>
                <w:szCs w:val="24"/>
              </w:rPr>
              <w:t>性能</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型式</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电压调整范围</w:t>
            </w:r>
          </w:p>
        </w:tc>
        <w:tc>
          <w:tcPr>
            <w:tcW w:w="1038" w:type="dxa"/>
          </w:tcPr>
          <w:p>
            <w:pPr>
              <w:tabs>
                <w:tab w:val="left" w:pos="567"/>
              </w:tabs>
              <w:overflowPunct w:val="0"/>
              <w:spacing w:line="360" w:lineRule="auto"/>
              <w:jc w:val="center"/>
              <w:rPr>
                <w:rFonts w:hint="eastAsia" w:hAnsi="宋体"/>
                <w:sz w:val="24"/>
                <w:szCs w:val="24"/>
              </w:rPr>
            </w:pPr>
            <w:r>
              <w:rPr>
                <w:rFonts w:hint="eastAsia" w:hAnsi="宋体"/>
                <w:sz w:val="24"/>
                <w:szCs w:val="24"/>
              </w:rPr>
              <w:t>%</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手动调整范围</w:t>
            </w:r>
          </w:p>
        </w:tc>
        <w:tc>
          <w:tcPr>
            <w:tcW w:w="1038" w:type="dxa"/>
          </w:tcPr>
          <w:p>
            <w:pPr>
              <w:tabs>
                <w:tab w:val="left" w:pos="567"/>
              </w:tabs>
              <w:overflowPunct w:val="0"/>
              <w:spacing w:line="360" w:lineRule="auto"/>
              <w:jc w:val="center"/>
              <w:rPr>
                <w:rFonts w:hint="eastAsia" w:hAnsi="宋体"/>
                <w:sz w:val="24"/>
                <w:szCs w:val="24"/>
              </w:rPr>
            </w:pPr>
            <w:r>
              <w:rPr>
                <w:rFonts w:hint="eastAsia" w:hAnsi="宋体"/>
                <w:sz w:val="24"/>
                <w:szCs w:val="24"/>
              </w:rPr>
              <w:t>%</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调整偏差（精度）</w:t>
            </w:r>
          </w:p>
        </w:tc>
        <w:tc>
          <w:tcPr>
            <w:tcW w:w="1038" w:type="dxa"/>
          </w:tcPr>
          <w:p>
            <w:pPr>
              <w:tabs>
                <w:tab w:val="left" w:pos="567"/>
              </w:tabs>
              <w:overflowPunct w:val="0"/>
              <w:spacing w:line="360" w:lineRule="auto"/>
              <w:jc w:val="center"/>
              <w:rPr>
                <w:rFonts w:hint="eastAsia" w:hAnsi="宋体"/>
                <w:sz w:val="24"/>
                <w:szCs w:val="24"/>
              </w:rPr>
            </w:pPr>
            <w:r>
              <w:rPr>
                <w:rFonts w:hint="eastAsia" w:hAnsi="宋体"/>
                <w:sz w:val="24"/>
                <w:szCs w:val="24"/>
              </w:rPr>
              <w:t>%</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冗余度</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附加功能</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r>
              <w:rPr>
                <w:rFonts w:hint="eastAsia" w:hAnsi="宋体"/>
                <w:sz w:val="24"/>
                <w:szCs w:val="24"/>
              </w:rPr>
              <w:t>5</w:t>
            </w: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励磁变压器</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型式</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型号</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额定容量</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kVA</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额定电压</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初级</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kV</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次级</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kV</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频率</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Hz</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相数</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连接方式</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接线组</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终端引出及接地方式</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绝缘等级</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绝缘耐受电压</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kV</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冲击电压</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高压侧</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kV</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低压侧</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kV</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工频耐受电压（</w:t>
            </w:r>
            <w:r>
              <w:rPr>
                <w:rFonts w:hAnsi="宋体"/>
                <w:sz w:val="24"/>
                <w:szCs w:val="24"/>
              </w:rPr>
              <w:t>1</w:t>
            </w:r>
            <w:r>
              <w:rPr>
                <w:rFonts w:hint="eastAsia" w:hAnsi="宋体"/>
                <w:sz w:val="24"/>
                <w:szCs w:val="24"/>
              </w:rPr>
              <w:t>分钟）</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高压侧</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kV</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低压侧</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kV</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防护等级</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冷却方式</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损耗</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kW</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铜损</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铁损</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附加损耗</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总损耗</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效率</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电压调整</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阻抗电压</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正序阻抗</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零序阻抗</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高压绕组电阻</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widowControl/>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励磁电流</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A</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噪音水平</w:t>
            </w:r>
          </w:p>
        </w:tc>
        <w:tc>
          <w:tcPr>
            <w:tcW w:w="1038" w:type="dxa"/>
          </w:tcPr>
          <w:p>
            <w:pPr>
              <w:tabs>
                <w:tab w:val="left" w:pos="567"/>
              </w:tabs>
              <w:overflowPunct w:val="0"/>
              <w:spacing w:line="360" w:lineRule="auto"/>
              <w:jc w:val="center"/>
              <w:rPr>
                <w:rFonts w:hint="eastAsia" w:hAnsi="宋体"/>
                <w:sz w:val="24"/>
                <w:szCs w:val="24"/>
              </w:rPr>
            </w:pPr>
            <w:r>
              <w:rPr>
                <w:rFonts w:hint="eastAsia" w:hAnsi="宋体"/>
                <w:sz w:val="24"/>
                <w:szCs w:val="24"/>
              </w:rPr>
              <w:t>d</w:t>
            </w:r>
            <w:r>
              <w:rPr>
                <w:rFonts w:hAnsi="宋体"/>
                <w:sz w:val="24"/>
                <w:szCs w:val="24"/>
              </w:rPr>
              <w:t>B</w:t>
            </w:r>
            <w:r>
              <w:rPr>
                <w:rFonts w:hint="eastAsia" w:hAnsi="宋体"/>
                <w:sz w:val="24"/>
                <w:szCs w:val="24"/>
              </w:rPr>
              <w:t>(</w:t>
            </w:r>
            <w:r>
              <w:rPr>
                <w:rFonts w:hAnsi="宋体"/>
                <w:sz w:val="24"/>
                <w:szCs w:val="24"/>
              </w:rPr>
              <w:t>A</w:t>
            </w:r>
            <w:r>
              <w:rPr>
                <w:rFonts w:hint="eastAsia" w:hAnsi="宋体"/>
                <w:sz w:val="24"/>
                <w:szCs w:val="24"/>
              </w:rPr>
              <w:t>)</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过负荷能力</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变压器保护信号</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外形尺寸(长×宽×高)</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mm</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运输尺寸(长×宽×高)</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mm</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重量</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T</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r>
              <w:rPr>
                <w:rFonts w:hint="eastAsia" w:hAnsi="宋体"/>
                <w:sz w:val="24"/>
                <w:szCs w:val="24"/>
              </w:rPr>
              <w:t>6</w:t>
            </w: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电流互感器</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型式</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安装地点</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数量</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准确等级</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容量</w:t>
            </w:r>
          </w:p>
        </w:tc>
        <w:tc>
          <w:tcPr>
            <w:tcW w:w="1038" w:type="dxa"/>
          </w:tcPr>
          <w:p>
            <w:pPr>
              <w:tabs>
                <w:tab w:val="left" w:pos="567"/>
              </w:tabs>
              <w:overflowPunct w:val="0"/>
              <w:spacing w:line="360" w:lineRule="auto"/>
              <w:jc w:val="center"/>
              <w:rPr>
                <w:rFonts w:hint="eastAsia" w:hAnsi="宋体"/>
                <w:sz w:val="24"/>
                <w:szCs w:val="24"/>
              </w:rPr>
            </w:pPr>
            <w:r>
              <w:rPr>
                <w:rFonts w:hAnsi="宋体"/>
                <w:sz w:val="24"/>
                <w:szCs w:val="24"/>
              </w:rPr>
              <w:t>VA</w:t>
            </w: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595" w:type="dxa"/>
          </w:tcPr>
          <w:p>
            <w:pPr>
              <w:tabs>
                <w:tab w:val="left" w:pos="567"/>
              </w:tabs>
              <w:overflowPunct w:val="0"/>
              <w:spacing w:line="360" w:lineRule="auto"/>
              <w:jc w:val="center"/>
              <w:rPr>
                <w:rFonts w:hint="eastAsia" w:hAnsi="宋体"/>
                <w:sz w:val="24"/>
                <w:szCs w:val="24"/>
              </w:rPr>
            </w:pPr>
            <w:r>
              <w:rPr>
                <w:rFonts w:hint="eastAsia" w:hAnsi="宋体"/>
                <w:sz w:val="24"/>
                <w:szCs w:val="24"/>
              </w:rPr>
              <w:t>7</w:t>
            </w:r>
          </w:p>
        </w:tc>
        <w:tc>
          <w:tcPr>
            <w:tcW w:w="3402" w:type="dxa"/>
          </w:tcPr>
          <w:p>
            <w:pPr>
              <w:tabs>
                <w:tab w:val="left" w:pos="567"/>
              </w:tabs>
              <w:overflowPunct w:val="0"/>
              <w:spacing w:line="360" w:lineRule="auto"/>
              <w:rPr>
                <w:rFonts w:hint="eastAsia" w:hAnsi="宋体"/>
                <w:sz w:val="24"/>
                <w:szCs w:val="24"/>
              </w:rPr>
            </w:pPr>
            <w:r>
              <w:rPr>
                <w:rFonts w:hint="eastAsia" w:hAnsi="宋体"/>
                <w:sz w:val="24"/>
                <w:szCs w:val="24"/>
              </w:rPr>
              <w:t>其它</w:t>
            </w:r>
          </w:p>
        </w:tc>
        <w:tc>
          <w:tcPr>
            <w:tcW w:w="1038" w:type="dxa"/>
          </w:tcPr>
          <w:p>
            <w:pPr>
              <w:tabs>
                <w:tab w:val="left" w:pos="567"/>
              </w:tabs>
              <w:overflowPunct w:val="0"/>
              <w:spacing w:line="360" w:lineRule="auto"/>
              <w:jc w:val="center"/>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c>
          <w:tcPr>
            <w:tcW w:w="1038" w:type="dxa"/>
          </w:tcPr>
          <w:p>
            <w:pPr>
              <w:tabs>
                <w:tab w:val="left" w:pos="567"/>
              </w:tabs>
              <w:overflowPunct w:val="0"/>
              <w:spacing w:line="360" w:lineRule="auto"/>
              <w:rPr>
                <w:rFonts w:hint="eastAsia" w:hAnsi="宋体"/>
                <w:sz w:val="24"/>
                <w:szCs w:val="24"/>
              </w:rPr>
            </w:pPr>
          </w:p>
        </w:tc>
      </w:tr>
    </w:tbl>
    <w:p>
      <w:pPr>
        <w:tabs>
          <w:tab w:val="left" w:pos="426"/>
          <w:tab w:val="left" w:pos="580"/>
          <w:tab w:val="left" w:pos="1985"/>
          <w:tab w:val="left" w:pos="3828"/>
          <w:tab w:val="left" w:pos="5245"/>
          <w:tab w:val="left" w:pos="6663"/>
        </w:tabs>
        <w:adjustRightInd w:val="0"/>
        <w:snapToGrid w:val="0"/>
        <w:spacing w:line="360" w:lineRule="auto"/>
        <w:rPr>
          <w:snapToGrid w:val="0"/>
          <w:kern w:val="0"/>
          <w:sz w:val="24"/>
        </w:rPr>
      </w:pPr>
    </w:p>
    <w:p>
      <w:pPr>
        <w:tabs>
          <w:tab w:val="left" w:pos="426"/>
          <w:tab w:val="left" w:pos="580"/>
          <w:tab w:val="left" w:pos="1985"/>
          <w:tab w:val="left" w:pos="3828"/>
          <w:tab w:val="left" w:pos="5245"/>
          <w:tab w:val="left" w:pos="6663"/>
        </w:tabs>
        <w:adjustRightInd w:val="0"/>
        <w:snapToGrid w:val="0"/>
        <w:spacing w:line="360" w:lineRule="auto"/>
        <w:rPr>
          <w:b/>
          <w:sz w:val="24"/>
        </w:rPr>
      </w:pPr>
      <w:r>
        <w:rPr>
          <w:b/>
          <w:sz w:val="24"/>
        </w:rPr>
        <w:t>8. 接口原则与设计分工</w:t>
      </w:r>
    </w:p>
    <w:p>
      <w:pPr>
        <w:spacing w:line="360" w:lineRule="auto"/>
        <w:rPr>
          <w:sz w:val="24"/>
        </w:rPr>
      </w:pPr>
      <w:r>
        <w:rPr>
          <w:sz w:val="24"/>
        </w:rPr>
        <w:t>8.1接口原则</w:t>
      </w:r>
    </w:p>
    <w:p>
      <w:pPr>
        <w:spacing w:line="360" w:lineRule="auto"/>
        <w:rPr>
          <w:sz w:val="24"/>
        </w:rPr>
      </w:pPr>
      <w:r>
        <w:rPr>
          <w:sz w:val="24"/>
        </w:rPr>
        <w:t>8.1.1由投标人供应的系统和设备，如与不属于投标人供应范围的系统和设备连接，则由招标人负责连接到投标人的系统和设备，投标人必须承担且应积极主动予以配合。并提供相关的接口详图。</w:t>
      </w:r>
    </w:p>
    <w:p>
      <w:pPr>
        <w:spacing w:line="360" w:lineRule="auto"/>
        <w:rPr>
          <w:sz w:val="24"/>
        </w:rPr>
      </w:pPr>
      <w:r>
        <w:rPr>
          <w:sz w:val="24"/>
        </w:rPr>
        <w:t>8.1.2由投标人供应的系统和部件之间的内部连接，由投标人负责。</w:t>
      </w:r>
    </w:p>
    <w:p>
      <w:pPr>
        <w:spacing w:line="360" w:lineRule="auto"/>
        <w:rPr>
          <w:sz w:val="24"/>
        </w:rPr>
      </w:pPr>
      <w:r>
        <w:rPr>
          <w:sz w:val="24"/>
        </w:rPr>
        <w:t>8.1.3由投标人供应的系统和设备，应配套供应与其正确运行密切有关的检测和控制仪表。若检测和控制仪表的接口设在投标人侧有困难时，在征得招标人的同意后，可装于招标人侧。</w:t>
      </w:r>
    </w:p>
    <w:p>
      <w:pPr>
        <w:spacing w:line="360" w:lineRule="auto"/>
        <w:rPr>
          <w:sz w:val="24"/>
        </w:rPr>
      </w:pPr>
      <w:r>
        <w:rPr>
          <w:sz w:val="24"/>
        </w:rPr>
        <w:t>8.2设计供货分工</w:t>
      </w:r>
    </w:p>
    <w:p>
      <w:pPr>
        <w:spacing w:line="360" w:lineRule="auto"/>
        <w:rPr>
          <w:sz w:val="24"/>
        </w:rPr>
      </w:pPr>
      <w:r>
        <w:rPr>
          <w:sz w:val="24"/>
        </w:rPr>
        <w:t>8.2.</w:t>
      </w:r>
      <w:r>
        <w:rPr>
          <w:rFonts w:hint="eastAsia"/>
          <w:sz w:val="24"/>
        </w:rPr>
        <w:t>1</w:t>
      </w:r>
      <w:r>
        <w:rPr>
          <w:sz w:val="24"/>
        </w:rPr>
        <w:t>发电机轴承润滑油系统由汽轮机制造厂负责设计和供货，由投标人配合，管道从轴承至汽轮机润滑油总管之间的管道布置，由投标人提交给汽轮机厂，由汽轮机厂统一归口（其中回油管由电机厂供货）。</w:t>
      </w:r>
    </w:p>
    <w:p>
      <w:pPr>
        <w:spacing w:line="360" w:lineRule="auto"/>
        <w:rPr>
          <w:sz w:val="24"/>
        </w:rPr>
      </w:pPr>
      <w:r>
        <w:rPr>
          <w:sz w:val="24"/>
        </w:rPr>
        <w:t>8.2.</w:t>
      </w:r>
      <w:r>
        <w:rPr>
          <w:rFonts w:hint="eastAsia"/>
          <w:sz w:val="24"/>
        </w:rPr>
        <w:t>2</w:t>
      </w:r>
      <w:r>
        <w:rPr>
          <w:sz w:val="24"/>
        </w:rPr>
        <w:t>交流及直流励磁母线走向图由招标人设计。投标人负责提供发电机定子与母线连接用的端子等，并配合招标人与母线厂协调。投标人负责提供励磁变压器低压侧后所有交流及直流励磁母线，包含伸缩节、软连接以及支吊架等附件。交流及直流励磁母线选型设计由投标人负责，投标人在联络会提交招标人确认，但招标人的确认不免除和减轻投标人就交直流励磁母线选型的责任。</w:t>
      </w:r>
    </w:p>
    <w:p>
      <w:pPr>
        <w:spacing w:line="360" w:lineRule="auto"/>
        <w:rPr>
          <w:sz w:val="24"/>
        </w:rPr>
      </w:pPr>
      <w:r>
        <w:rPr>
          <w:sz w:val="24"/>
        </w:rPr>
        <w:t>8.2.</w:t>
      </w:r>
      <w:r>
        <w:rPr>
          <w:rFonts w:hint="eastAsia"/>
          <w:sz w:val="24"/>
        </w:rPr>
        <w:t>3</w:t>
      </w:r>
      <w:r>
        <w:rPr>
          <w:sz w:val="24"/>
        </w:rPr>
        <w:t>励磁变套管CT由投标人负责设计并统一引接至本体接线端子箱。</w:t>
      </w:r>
    </w:p>
    <w:p>
      <w:pPr>
        <w:spacing w:line="360" w:lineRule="auto"/>
        <w:rPr>
          <w:sz w:val="24"/>
        </w:rPr>
      </w:pPr>
      <w:r>
        <w:rPr>
          <w:sz w:val="24"/>
        </w:rPr>
        <w:t>8.2.</w:t>
      </w:r>
      <w:r>
        <w:rPr>
          <w:rFonts w:hint="eastAsia"/>
          <w:sz w:val="24"/>
        </w:rPr>
        <w:t>4</w:t>
      </w:r>
      <w:r>
        <w:rPr>
          <w:sz w:val="24"/>
        </w:rPr>
        <w:t>发电机励磁系统、油、水控制系统的设计由投标人负责，接口在就地控制柜和接线盒的端子排上。</w:t>
      </w:r>
    </w:p>
    <w:p>
      <w:pPr>
        <w:spacing w:line="360" w:lineRule="auto"/>
        <w:rPr>
          <w:sz w:val="24"/>
        </w:rPr>
      </w:pPr>
      <w:r>
        <w:rPr>
          <w:sz w:val="24"/>
        </w:rPr>
        <w:t>8.2.</w:t>
      </w:r>
      <w:r>
        <w:rPr>
          <w:rFonts w:hint="eastAsia"/>
          <w:sz w:val="24"/>
        </w:rPr>
        <w:t>5</w:t>
      </w:r>
      <w:r>
        <w:rPr>
          <w:sz w:val="24"/>
        </w:rPr>
        <w:t>发电机供货范围内的检测仪表和控制装置的设计由投标人负责，接口在就地接线盒的端子排上。</w:t>
      </w:r>
    </w:p>
    <w:p>
      <w:pPr>
        <w:spacing w:line="360" w:lineRule="auto"/>
        <w:rPr>
          <w:color w:val="FF0000"/>
          <w:sz w:val="24"/>
        </w:rPr>
      </w:pPr>
      <w:r>
        <w:rPr>
          <w:sz w:val="24"/>
        </w:rPr>
        <w:t>8.2</w:t>
      </w:r>
      <w:r>
        <w:rPr>
          <w:rFonts w:hint="eastAsia"/>
          <w:sz w:val="24"/>
        </w:rPr>
        <w:t>.6</w:t>
      </w:r>
      <w:r>
        <w:rPr>
          <w:sz w:val="24"/>
        </w:rPr>
        <w:t>汽轮发电机组轴系计算由汽轮机制造厂负责，投标人配合。汽轮机和发电机的连接设计由汽轮机制造厂负责归口，发电机与汽轮机连接用的靠背轮</w:t>
      </w:r>
      <w:r>
        <w:rPr>
          <w:rFonts w:hint="eastAsia"/>
          <w:sz w:val="24"/>
        </w:rPr>
        <w:t>(发电机侧）、</w:t>
      </w:r>
      <w:r>
        <w:rPr>
          <w:sz w:val="24"/>
        </w:rPr>
        <w:t>连接附件由汽轮机制造厂负责，投标人应积极配合汽机厂做好相关工作。</w:t>
      </w:r>
    </w:p>
    <w:p>
      <w:pPr>
        <w:spacing w:line="360" w:lineRule="auto"/>
        <w:rPr>
          <w:color w:val="FF0000"/>
          <w:sz w:val="24"/>
        </w:rPr>
      </w:pPr>
      <w:r>
        <w:rPr>
          <w:sz w:val="24"/>
        </w:rPr>
        <w:t>8.2.</w:t>
      </w:r>
      <w:r>
        <w:rPr>
          <w:rFonts w:hint="eastAsia"/>
          <w:sz w:val="24"/>
        </w:rPr>
        <w:t>7</w:t>
      </w:r>
      <w:r>
        <w:rPr>
          <w:sz w:val="24"/>
        </w:rPr>
        <w:t>发电机的磁场中心和转子的热态位移由投标人负责提供数据资料给汽轮机厂，汽轮机厂总体负责汽轮机横向中心线与发电机横向中心线之间的距离定位，并确定汽轮机转子与发电机转子联轴器冷态对中数据，由汽轮机厂出图。</w:t>
      </w:r>
    </w:p>
    <w:p>
      <w:pPr>
        <w:spacing w:line="360" w:lineRule="auto"/>
        <w:rPr>
          <w:sz w:val="24"/>
        </w:rPr>
      </w:pPr>
      <w:r>
        <w:rPr>
          <w:sz w:val="24"/>
        </w:rPr>
        <w:t>8.2.</w:t>
      </w:r>
      <w:r>
        <w:rPr>
          <w:rFonts w:hint="eastAsia"/>
          <w:sz w:val="24"/>
        </w:rPr>
        <w:t>8</w:t>
      </w:r>
      <w:r>
        <w:rPr>
          <w:sz w:val="24"/>
        </w:rPr>
        <w:t>由投标人负责完成在现场发电机定子出线端及中性点的手包绝缘，并提供有关材料。</w:t>
      </w:r>
    </w:p>
    <w:p>
      <w:pPr>
        <w:tabs>
          <w:tab w:val="left" w:pos="426"/>
          <w:tab w:val="left" w:pos="580"/>
          <w:tab w:val="left" w:pos="1985"/>
          <w:tab w:val="left" w:pos="3828"/>
          <w:tab w:val="left" w:pos="5245"/>
          <w:tab w:val="left" w:pos="6663"/>
        </w:tabs>
        <w:adjustRightInd w:val="0"/>
        <w:snapToGrid w:val="0"/>
        <w:spacing w:line="360" w:lineRule="auto"/>
        <w:rPr>
          <w:snapToGrid w:val="0"/>
          <w:kern w:val="0"/>
          <w:sz w:val="24"/>
        </w:rPr>
      </w:pPr>
      <w:r>
        <w:rPr>
          <w:snapToGrid w:val="0"/>
          <w:kern w:val="0"/>
          <w:sz w:val="24"/>
        </w:rPr>
        <w:t>8.3投标人提供机组的荷载资料，其中包括：</w:t>
      </w:r>
    </w:p>
    <w:p>
      <w:pPr>
        <w:tabs>
          <w:tab w:val="left" w:pos="426"/>
          <w:tab w:val="left" w:pos="580"/>
          <w:tab w:val="left" w:pos="1985"/>
          <w:tab w:val="left" w:pos="3828"/>
          <w:tab w:val="left" w:pos="5245"/>
          <w:tab w:val="left" w:pos="6663"/>
        </w:tabs>
        <w:adjustRightInd w:val="0"/>
        <w:snapToGrid w:val="0"/>
        <w:spacing w:line="360" w:lineRule="auto"/>
        <w:rPr>
          <w:snapToGrid w:val="0"/>
          <w:kern w:val="0"/>
          <w:sz w:val="24"/>
        </w:rPr>
      </w:pPr>
      <w:r>
        <w:rPr>
          <w:snapToGrid w:val="0"/>
          <w:kern w:val="0"/>
          <w:sz w:val="24"/>
        </w:rPr>
        <w:t>8.3.1静荷载和动荷载；</w:t>
      </w:r>
    </w:p>
    <w:p>
      <w:pPr>
        <w:tabs>
          <w:tab w:val="left" w:pos="426"/>
          <w:tab w:val="left" w:pos="580"/>
          <w:tab w:val="left" w:pos="1985"/>
          <w:tab w:val="left" w:pos="3828"/>
          <w:tab w:val="left" w:pos="5245"/>
          <w:tab w:val="left" w:pos="6663"/>
        </w:tabs>
        <w:adjustRightInd w:val="0"/>
        <w:snapToGrid w:val="0"/>
        <w:spacing w:line="360" w:lineRule="auto"/>
        <w:rPr>
          <w:snapToGrid w:val="0"/>
          <w:kern w:val="0"/>
          <w:sz w:val="24"/>
        </w:rPr>
      </w:pPr>
      <w:r>
        <w:rPr>
          <w:snapToGrid w:val="0"/>
          <w:kern w:val="0"/>
          <w:sz w:val="24"/>
        </w:rPr>
        <w:t>8.3.2质量分配（包括转子重量的分配）；</w:t>
      </w:r>
    </w:p>
    <w:p>
      <w:pPr>
        <w:tabs>
          <w:tab w:val="left" w:pos="426"/>
          <w:tab w:val="left" w:pos="580"/>
          <w:tab w:val="left" w:pos="1985"/>
          <w:tab w:val="left" w:pos="3828"/>
          <w:tab w:val="left" w:pos="5245"/>
          <w:tab w:val="left" w:pos="6663"/>
        </w:tabs>
        <w:adjustRightInd w:val="0"/>
        <w:snapToGrid w:val="0"/>
        <w:spacing w:line="360" w:lineRule="auto"/>
        <w:rPr>
          <w:snapToGrid w:val="0"/>
          <w:kern w:val="0"/>
          <w:sz w:val="24"/>
        </w:rPr>
      </w:pPr>
      <w:r>
        <w:rPr>
          <w:snapToGrid w:val="0"/>
          <w:kern w:val="0"/>
          <w:sz w:val="24"/>
        </w:rPr>
        <w:t>8.3.3基础变形的极限值；</w:t>
      </w:r>
    </w:p>
    <w:p>
      <w:pPr>
        <w:tabs>
          <w:tab w:val="left" w:pos="426"/>
          <w:tab w:val="left" w:pos="580"/>
          <w:tab w:val="left" w:pos="1985"/>
          <w:tab w:val="left" w:pos="3828"/>
          <w:tab w:val="left" w:pos="5245"/>
          <w:tab w:val="left" w:pos="6663"/>
        </w:tabs>
        <w:adjustRightInd w:val="0"/>
        <w:snapToGrid w:val="0"/>
        <w:spacing w:line="360" w:lineRule="auto"/>
        <w:rPr>
          <w:snapToGrid w:val="0"/>
          <w:kern w:val="0"/>
          <w:sz w:val="24"/>
        </w:rPr>
      </w:pPr>
      <w:r>
        <w:rPr>
          <w:snapToGrid w:val="0"/>
          <w:kern w:val="0"/>
          <w:sz w:val="24"/>
        </w:rPr>
        <w:t>8.3.4短路荷载；</w:t>
      </w:r>
    </w:p>
    <w:p>
      <w:pPr>
        <w:tabs>
          <w:tab w:val="left" w:pos="426"/>
          <w:tab w:val="left" w:pos="580"/>
          <w:tab w:val="left" w:pos="1985"/>
          <w:tab w:val="left" w:pos="3828"/>
          <w:tab w:val="left" w:pos="5245"/>
          <w:tab w:val="left" w:pos="6663"/>
        </w:tabs>
        <w:adjustRightInd w:val="0"/>
        <w:snapToGrid w:val="0"/>
        <w:spacing w:line="360" w:lineRule="auto"/>
        <w:rPr>
          <w:snapToGrid w:val="0"/>
          <w:kern w:val="0"/>
          <w:sz w:val="24"/>
        </w:rPr>
      </w:pPr>
      <w:r>
        <w:rPr>
          <w:snapToGrid w:val="0"/>
          <w:kern w:val="0"/>
          <w:sz w:val="24"/>
        </w:rPr>
        <w:t>8.3.5滑动轴承座的磨擦系数。</w:t>
      </w:r>
    </w:p>
    <w:p>
      <w:pPr>
        <w:tabs>
          <w:tab w:val="left" w:pos="426"/>
          <w:tab w:val="left" w:pos="580"/>
          <w:tab w:val="left" w:pos="1985"/>
          <w:tab w:val="left" w:pos="3828"/>
          <w:tab w:val="left" w:pos="5245"/>
          <w:tab w:val="left" w:pos="6663"/>
        </w:tabs>
        <w:adjustRightInd w:val="0"/>
        <w:snapToGrid w:val="0"/>
        <w:spacing w:line="360" w:lineRule="auto"/>
        <w:rPr>
          <w:snapToGrid w:val="0"/>
          <w:kern w:val="0"/>
          <w:sz w:val="24"/>
        </w:rPr>
      </w:pPr>
      <w:r>
        <w:rPr>
          <w:snapToGrid w:val="0"/>
          <w:kern w:val="0"/>
          <w:sz w:val="24"/>
        </w:rPr>
        <w:t>8.4投标人供应机组和辅助设备安装的垫铁、地脚螺栓</w:t>
      </w:r>
      <w:r>
        <w:rPr>
          <w:sz w:val="24"/>
        </w:rPr>
        <w:t>、地脚螺栓固定架（含预埋套筒或组件）和锚固板等。机座基础施工过程中二次灌浆前的基础内预埋铁件以及二次灌浆料(如为特殊材料)也由投标人提供资料，二次灌浆材料与汽轮机供货协调一致，并提供预埋件安装的技术参数。</w:t>
      </w:r>
      <w:r>
        <w:rPr>
          <w:snapToGrid w:val="0"/>
          <w:kern w:val="0"/>
          <w:sz w:val="24"/>
        </w:rPr>
        <w:t>投标人提供的机座资料应包含用于将发电机本体测点信号电缆引出到运转层楼面以下的沟道及电缆埋管。</w:t>
      </w:r>
    </w:p>
    <w:p>
      <w:pPr>
        <w:tabs>
          <w:tab w:val="left" w:pos="426"/>
          <w:tab w:val="left" w:pos="580"/>
          <w:tab w:val="left" w:pos="1985"/>
          <w:tab w:val="left" w:pos="3828"/>
          <w:tab w:val="left" w:pos="5245"/>
          <w:tab w:val="left" w:pos="6663"/>
        </w:tabs>
        <w:adjustRightInd w:val="0"/>
        <w:snapToGrid w:val="0"/>
        <w:spacing w:line="360" w:lineRule="auto"/>
        <w:rPr>
          <w:sz w:val="24"/>
        </w:rPr>
        <w:sectPr>
          <w:pgSz w:w="11907" w:h="16840"/>
          <w:pgMar w:top="1440" w:right="1440" w:bottom="1440" w:left="1440" w:header="814" w:footer="1077" w:gutter="0"/>
          <w:cols w:space="720" w:num="1"/>
          <w:docGrid w:linePitch="326" w:charSpace="0"/>
        </w:sectPr>
      </w:pPr>
      <w:r>
        <w:rPr>
          <w:snapToGrid w:val="0"/>
          <w:kern w:val="0"/>
          <w:sz w:val="24"/>
        </w:rPr>
        <w:t>8.5招标人在完成汽轮发电机机座施工详图后，提交投标人机座设计图，投标人核对有关尺寸后予以确认，并在图纸上签字。</w:t>
      </w:r>
    </w:p>
    <w:p>
      <w:pPr>
        <w:spacing w:line="360" w:lineRule="auto"/>
        <w:outlineLvl w:val="0"/>
        <w:rPr>
          <w:b/>
          <w:sz w:val="28"/>
        </w:rPr>
      </w:pPr>
      <w:bookmarkStart w:id="23" w:name="_Toc197658009"/>
      <w:bookmarkStart w:id="24" w:name="_Toc201637559"/>
      <w:bookmarkStart w:id="25" w:name="_Toc5863360"/>
      <w:r>
        <w:rPr>
          <w:b/>
          <w:sz w:val="28"/>
        </w:rPr>
        <w:t>附件2供货范围</w:t>
      </w:r>
      <w:bookmarkEnd w:id="23"/>
      <w:bookmarkEnd w:id="24"/>
      <w:bookmarkEnd w:id="25"/>
    </w:p>
    <w:p>
      <w:pPr>
        <w:spacing w:line="360" w:lineRule="auto"/>
        <w:rPr>
          <w:b/>
          <w:sz w:val="24"/>
        </w:rPr>
      </w:pPr>
      <w:r>
        <w:rPr>
          <w:b/>
          <w:sz w:val="24"/>
        </w:rPr>
        <w:t>1.总的要求</w:t>
      </w:r>
    </w:p>
    <w:p>
      <w:pPr>
        <w:pStyle w:val="30"/>
        <w:tabs>
          <w:tab w:val="left" w:pos="345"/>
        </w:tabs>
        <w:snapToGrid w:val="0"/>
        <w:ind w:firstLine="360" w:firstLineChars="150"/>
        <w:rPr>
          <w:rFonts w:ascii="Times New Roman"/>
          <w:snapToGrid w:val="0"/>
        </w:rPr>
      </w:pPr>
      <w:r>
        <w:rPr>
          <w:rFonts w:ascii="Times New Roman"/>
          <w:snapToGrid w:val="0"/>
        </w:rPr>
        <w:t>投标人所提供的发电机、励磁系统</w:t>
      </w:r>
      <w:r>
        <w:rPr>
          <w:rFonts w:hint="eastAsia" w:ascii="Times New Roman"/>
          <w:snapToGrid w:val="0"/>
        </w:rPr>
        <w:t>等</w:t>
      </w:r>
      <w:r>
        <w:rPr>
          <w:rFonts w:ascii="Times New Roman"/>
          <w:snapToGrid w:val="0"/>
        </w:rPr>
        <w:t>设备，应是技术先进、经过运行考验、配套完整、价格合理的设备。投标人应提供发电机和各辅助系统施工、检修和正常运行所需的部件、材料、备品备件和专用工具。投标人应参照下表提供详细供货设备、材料、备品备件和专用工具清单（包括品名、规格、产地、数量，未说明数量的设备，投标人应根据各自的配置列出数量）。对不提供或系统不需要的内容，应在表中注明。凡设备接口为法兰连接的，投标人应配套提供反法兰及连接件(含垫片、螺栓及螺母)；凡阀门为法兰连接的，投标人应配套提供双反法兰及连接件(含垫片、螺栓及螺母)。</w:t>
      </w:r>
      <w:r>
        <w:rPr>
          <w:rFonts w:ascii="Times New Roman"/>
        </w:rPr>
        <w:t>投标人应成套提供满足机组安全启停和经济运行所必须的，安装在本体范围内的所有仪表、取样部件、检测元件、传感器、安全保护装置及其附件等。</w:t>
      </w:r>
    </w:p>
    <w:p>
      <w:pPr>
        <w:pStyle w:val="30"/>
        <w:snapToGrid w:val="0"/>
        <w:ind w:firstLine="0"/>
        <w:rPr>
          <w:rFonts w:ascii="Times New Roman"/>
          <w:snapToGrid w:val="0"/>
        </w:rPr>
      </w:pPr>
      <w:r>
        <w:rPr>
          <w:rFonts w:ascii="Times New Roman"/>
          <w:snapToGrid w:val="0"/>
        </w:rPr>
        <w:t>1.1随机供货范围</w:t>
      </w:r>
    </w:p>
    <w:p>
      <w:pPr>
        <w:pStyle w:val="30"/>
        <w:tabs>
          <w:tab w:val="left" w:pos="345"/>
        </w:tabs>
        <w:snapToGrid w:val="0"/>
        <w:ind w:firstLine="480" w:firstLineChars="200"/>
        <w:rPr>
          <w:rFonts w:ascii="Times New Roman"/>
          <w:snapToGrid w:val="0"/>
        </w:rPr>
      </w:pPr>
      <w:r>
        <w:rPr>
          <w:rFonts w:ascii="Times New Roman"/>
          <w:snapToGrid w:val="0"/>
        </w:rPr>
        <w:t>投标人至少应按附表1～附表3要求供货，对于表中未列及的但属于发电机安全稳定运行所必须的设备，投标人也应负责提供。</w:t>
      </w:r>
    </w:p>
    <w:p>
      <w:pPr>
        <w:pStyle w:val="30"/>
        <w:numPr>
          <w:ilvl w:val="1"/>
          <w:numId w:val="34"/>
        </w:numPr>
        <w:snapToGrid w:val="0"/>
        <w:rPr>
          <w:rFonts w:ascii="Times New Roman"/>
          <w:snapToGrid w:val="0"/>
        </w:rPr>
      </w:pPr>
      <w:r>
        <w:rPr>
          <w:rFonts w:ascii="Times New Roman"/>
          <w:snapToGrid w:val="0"/>
        </w:rPr>
        <w:t>供货范围为</w:t>
      </w:r>
      <w:r>
        <w:rPr>
          <w:rFonts w:hint="eastAsia" w:ascii="Times New Roman"/>
          <w:snapToGrid w:val="0"/>
        </w:rPr>
        <w:t>1</w:t>
      </w:r>
      <w:r>
        <w:rPr>
          <w:rFonts w:ascii="Times New Roman"/>
          <w:snapToGrid w:val="0"/>
        </w:rPr>
        <w:t>台发电机的数量，附表1所列为单台发电机的供货设备。</w:t>
      </w:r>
    </w:p>
    <w:p>
      <w:pPr>
        <w:pStyle w:val="30"/>
        <w:snapToGrid w:val="0"/>
        <w:ind w:firstLine="0"/>
        <w:rPr>
          <w:rFonts w:ascii="Times New Roman"/>
          <w:b/>
          <w:snapToGrid w:val="0"/>
        </w:rPr>
      </w:pPr>
      <w:r>
        <w:rPr>
          <w:rFonts w:hint="eastAsia" w:ascii="Times New Roman"/>
          <w:b/>
          <w:snapToGrid w:val="0"/>
        </w:rPr>
        <w:t>附表</w:t>
      </w:r>
      <w:r>
        <w:rPr>
          <w:rFonts w:ascii="Times New Roman"/>
          <w:b/>
          <w:snapToGrid w:val="0"/>
        </w:rPr>
        <w:t xml:space="preserve">1 </w:t>
      </w:r>
      <w:r>
        <w:rPr>
          <w:rFonts w:hint="eastAsia" w:ascii="Times New Roman"/>
          <w:b/>
          <w:snapToGrid w:val="0"/>
        </w:rPr>
        <w:t>供货设备表（单台发电机）</w:t>
      </w:r>
    </w:p>
    <w:tbl>
      <w:tblPr>
        <w:tblStyle w:val="49"/>
        <w:tblW w:w="9040" w:type="dxa"/>
        <w:tblInd w:w="128" w:type="dxa"/>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
      <w:tblGrid>
        <w:gridCol w:w="900"/>
        <w:gridCol w:w="5020"/>
        <w:gridCol w:w="900"/>
        <w:gridCol w:w="900"/>
        <w:gridCol w:w="13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Height w:val="815" w:hRule="atLeast"/>
          <w:tblHeader/>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ind w:firstLine="0"/>
              <w:rPr>
                <w:rFonts w:ascii="Times New Roman"/>
                <w:snapToGrid w:val="0"/>
                <w:szCs w:val="24"/>
              </w:rPr>
            </w:pPr>
            <w:r>
              <w:rPr>
                <w:rFonts w:ascii="Times New Roman"/>
                <w:snapToGrid w:val="0"/>
                <w:szCs w:val="24"/>
              </w:rPr>
              <w:t>序号</w:t>
            </w:r>
          </w:p>
        </w:tc>
        <w:tc>
          <w:tcPr>
            <w:tcW w:w="50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ind w:firstLine="0"/>
              <w:rPr>
                <w:rFonts w:ascii="Times New Roman"/>
                <w:snapToGrid w:val="0"/>
                <w:szCs w:val="24"/>
              </w:rPr>
            </w:pPr>
            <w:r>
              <w:rPr>
                <w:rFonts w:ascii="Times New Roman"/>
                <w:snapToGrid w:val="0"/>
                <w:szCs w:val="24"/>
              </w:rPr>
              <w:t>项目</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ind w:firstLine="0"/>
              <w:rPr>
                <w:rFonts w:ascii="Times New Roman"/>
                <w:snapToGrid w:val="0"/>
                <w:szCs w:val="24"/>
              </w:rPr>
            </w:pPr>
            <w:r>
              <w:rPr>
                <w:rFonts w:ascii="Times New Roman"/>
                <w:snapToGrid w:val="0"/>
                <w:szCs w:val="24"/>
              </w:rPr>
              <w:t>数量</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ind w:firstLine="0"/>
              <w:rPr>
                <w:rFonts w:ascii="Times New Roman"/>
                <w:snapToGrid w:val="0"/>
                <w:szCs w:val="24"/>
              </w:rPr>
            </w:pPr>
            <w:r>
              <w:rPr>
                <w:rFonts w:ascii="Times New Roman"/>
                <w:snapToGrid w:val="0"/>
                <w:szCs w:val="24"/>
              </w:rPr>
              <w:t>型号</w:t>
            </w: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ind w:firstLine="0"/>
              <w:rPr>
                <w:rFonts w:ascii="Times New Roman"/>
                <w:snapToGrid w:val="0"/>
                <w:szCs w:val="24"/>
              </w:rPr>
            </w:pPr>
            <w:r>
              <w:rPr>
                <w:rFonts w:ascii="Times New Roman"/>
                <w:snapToGrid w:val="0"/>
                <w:szCs w:val="24"/>
              </w:rPr>
              <w:t>厂商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w:t>
            </w:r>
          </w:p>
        </w:tc>
        <w:tc>
          <w:tcPr>
            <w:tcW w:w="50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发电机本体，其中包括：</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1.1</w:t>
            </w:r>
          </w:p>
        </w:tc>
        <w:tc>
          <w:tcPr>
            <w:tcW w:w="50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转子</w:t>
            </w:r>
            <w:r>
              <w:rPr>
                <w:sz w:val="24"/>
                <w:szCs w:val="24"/>
              </w:rPr>
              <w:t>（轴伸上的键，测速齿轮盘及支架等）</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1.2</w:t>
            </w:r>
          </w:p>
        </w:tc>
        <w:tc>
          <w:tcPr>
            <w:tcW w:w="50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定子装配，</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tcMar>
              <w:left w:w="28" w:type="dxa"/>
              <w:right w:w="28" w:type="dxa"/>
            </w:tcMar>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1.2.1</w:t>
            </w:r>
          </w:p>
        </w:tc>
        <w:tc>
          <w:tcPr>
            <w:tcW w:w="50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定子</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tcMar>
              <w:left w:w="28" w:type="dxa"/>
              <w:right w:w="28" w:type="dxa"/>
            </w:tcMar>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1.2.2</w:t>
            </w:r>
          </w:p>
        </w:tc>
        <w:tc>
          <w:tcPr>
            <w:tcW w:w="50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端罩</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tcMar>
              <w:left w:w="28" w:type="dxa"/>
              <w:right w:w="28" w:type="dxa"/>
            </w:tcMar>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1.2.3</w:t>
            </w:r>
          </w:p>
        </w:tc>
        <w:tc>
          <w:tcPr>
            <w:tcW w:w="50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出线盒</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tcMar>
              <w:left w:w="28" w:type="dxa"/>
              <w:right w:w="28" w:type="dxa"/>
            </w:tcMar>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1.2.4</w:t>
            </w:r>
          </w:p>
        </w:tc>
        <w:tc>
          <w:tcPr>
            <w:tcW w:w="50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端盖</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tcMar>
              <w:left w:w="28" w:type="dxa"/>
              <w:right w:w="28" w:type="dxa"/>
            </w:tcMar>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1.2.5</w:t>
            </w:r>
          </w:p>
        </w:tc>
        <w:tc>
          <w:tcPr>
            <w:tcW w:w="50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轴承装配</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tcMar>
              <w:left w:w="28" w:type="dxa"/>
              <w:right w:w="28" w:type="dxa"/>
            </w:tcMar>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1.2.6</w:t>
            </w:r>
          </w:p>
        </w:tc>
        <w:tc>
          <w:tcPr>
            <w:tcW w:w="50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油密封装配</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tcMar>
              <w:left w:w="28" w:type="dxa"/>
              <w:right w:w="28" w:type="dxa"/>
            </w:tcMar>
            <w:vAlign w:val="center"/>
          </w:tcPr>
          <w:p>
            <w:pPr>
              <w:pStyle w:val="30"/>
              <w:tabs>
                <w:tab w:val="left" w:pos="580"/>
              </w:tabs>
              <w:snapToGrid w:val="0"/>
              <w:spacing w:line="276" w:lineRule="auto"/>
              <w:ind w:firstLine="0"/>
              <w:rPr>
                <w:rFonts w:ascii="Times New Roman"/>
                <w:snapToGrid w:val="0"/>
                <w:szCs w:val="24"/>
              </w:rPr>
            </w:pPr>
            <w:r>
              <w:rPr>
                <w:rFonts w:hint="eastAsia" w:ascii="Times New Roman"/>
                <w:snapToGrid w:val="0"/>
                <w:szCs w:val="24"/>
              </w:rPr>
              <w:t>1.2.7</w:t>
            </w:r>
          </w:p>
        </w:tc>
        <w:tc>
          <w:tcPr>
            <w:tcW w:w="50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rFonts w:hint="eastAsia"/>
                <w:snapToGrid w:val="0"/>
                <w:kern w:val="0"/>
                <w:sz w:val="24"/>
                <w:szCs w:val="24"/>
              </w:rPr>
              <w:t>发电机隔音罩（包括罩内照明）</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1.3</w:t>
            </w:r>
          </w:p>
        </w:tc>
        <w:tc>
          <w:tcPr>
            <w:tcW w:w="50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集电环</w:t>
            </w:r>
            <w:r>
              <w:rPr>
                <w:rFonts w:hint="eastAsia"/>
                <w:snapToGrid w:val="0"/>
                <w:kern w:val="0"/>
                <w:sz w:val="24"/>
                <w:szCs w:val="24"/>
              </w:rPr>
              <w:t>、碳刷</w:t>
            </w:r>
            <w:r>
              <w:rPr>
                <w:snapToGrid w:val="0"/>
                <w:kern w:val="0"/>
                <w:sz w:val="24"/>
                <w:szCs w:val="24"/>
              </w:rPr>
              <w:t>及</w:t>
            </w:r>
            <w:r>
              <w:rPr>
                <w:rFonts w:hint="eastAsia"/>
                <w:snapToGrid w:val="0"/>
                <w:kern w:val="0"/>
                <w:sz w:val="24"/>
                <w:szCs w:val="24"/>
              </w:rPr>
              <w:t>刷架</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1.4</w:t>
            </w:r>
          </w:p>
        </w:tc>
        <w:tc>
          <w:tcPr>
            <w:tcW w:w="50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底板、垫铁、地脚螺栓（包括配合螺母、垫圈）</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1.5</w:t>
            </w:r>
          </w:p>
        </w:tc>
        <w:tc>
          <w:tcPr>
            <w:tcW w:w="50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测温装置</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tcMar>
              <w:left w:w="28" w:type="dxa"/>
              <w:right w:w="28" w:type="dxa"/>
            </w:tcMar>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1.5.1</w:t>
            </w:r>
          </w:p>
        </w:tc>
        <w:tc>
          <w:tcPr>
            <w:tcW w:w="50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检温元件：提供详细的型号和规范</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tcMar>
              <w:left w:w="28" w:type="dxa"/>
              <w:right w:w="28" w:type="dxa"/>
            </w:tcMar>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1.5.2</w:t>
            </w:r>
          </w:p>
        </w:tc>
        <w:tc>
          <w:tcPr>
            <w:tcW w:w="50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双金属温度计：轴承油温、风温</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1.6</w:t>
            </w:r>
          </w:p>
        </w:tc>
        <w:tc>
          <w:tcPr>
            <w:tcW w:w="50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hint="eastAsia" w:ascii="Times New Roman"/>
                <w:snapToGrid w:val="0"/>
                <w:szCs w:val="24"/>
              </w:rPr>
              <w:t>空气冷却器及附件，包括管道、阀门、连接件、密封件；</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hint="eastAsia" w:ascii="Times New Roman"/>
                <w:snapToGrid w:val="0"/>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1.7</w:t>
            </w:r>
          </w:p>
        </w:tc>
        <w:tc>
          <w:tcPr>
            <w:tcW w:w="50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出线瓷套管装配</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hint="eastAsia" w:ascii="Times New Roman"/>
                <w:snapToGrid w:val="0"/>
              </w:rPr>
              <w:t>6只</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w:t>
            </w:r>
            <w:r>
              <w:rPr>
                <w:rFonts w:hint="eastAsia" w:ascii="Times New Roman"/>
                <w:snapToGrid w:val="0"/>
                <w:szCs w:val="24"/>
              </w:rPr>
              <w:t>8</w:t>
            </w:r>
          </w:p>
        </w:tc>
        <w:tc>
          <w:tcPr>
            <w:tcW w:w="50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轴接地电刷及其它</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712"/>
              </w:tabs>
              <w:snapToGrid w:val="0"/>
              <w:spacing w:line="276" w:lineRule="auto"/>
              <w:ind w:right="0" w:firstLine="0"/>
              <w:rPr>
                <w:rFonts w:ascii="Times New Roman"/>
                <w:snapToGrid w:val="0"/>
                <w:szCs w:val="24"/>
              </w:rPr>
            </w:pPr>
            <w:r>
              <w:rPr>
                <w:rFonts w:ascii="Times New Roman"/>
                <w:snapToGrid w:val="0"/>
                <w:szCs w:val="24"/>
              </w:rPr>
              <w:t>2</w:t>
            </w:r>
          </w:p>
        </w:tc>
        <w:tc>
          <w:tcPr>
            <w:tcW w:w="50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励磁系统</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5"/>
              <w:spacing w:line="276" w:lineRule="auto"/>
              <w:jc w:val="both"/>
              <w:rPr>
                <w:snapToGrid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712"/>
              </w:tabs>
              <w:snapToGrid w:val="0"/>
              <w:spacing w:line="276" w:lineRule="auto"/>
              <w:ind w:right="0" w:firstLine="0"/>
              <w:rPr>
                <w:rFonts w:ascii="Times New Roman"/>
                <w:snapToGrid w:val="0"/>
                <w:szCs w:val="24"/>
              </w:rPr>
            </w:pPr>
            <w:r>
              <w:rPr>
                <w:rFonts w:ascii="Times New Roman"/>
                <w:snapToGrid w:val="0"/>
                <w:szCs w:val="24"/>
              </w:rPr>
              <w:t>2.1</w:t>
            </w:r>
          </w:p>
        </w:tc>
        <w:tc>
          <w:tcPr>
            <w:tcW w:w="50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静态励磁系统</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5"/>
              <w:spacing w:line="276" w:lineRule="auto"/>
              <w:jc w:val="both"/>
              <w:rPr>
                <w:snapToGrid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712"/>
              </w:tabs>
              <w:snapToGrid w:val="0"/>
              <w:spacing w:line="276" w:lineRule="auto"/>
              <w:ind w:right="0" w:firstLine="0"/>
              <w:rPr>
                <w:rFonts w:ascii="Times New Roman"/>
                <w:snapToGrid w:val="0"/>
                <w:szCs w:val="24"/>
              </w:rPr>
            </w:pPr>
            <w:r>
              <w:rPr>
                <w:rFonts w:ascii="Times New Roman"/>
                <w:snapToGrid w:val="0"/>
                <w:szCs w:val="24"/>
              </w:rPr>
              <w:t>2.1.1</w:t>
            </w:r>
          </w:p>
        </w:tc>
        <w:tc>
          <w:tcPr>
            <w:tcW w:w="50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整流装置</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5"/>
              <w:spacing w:line="276" w:lineRule="auto"/>
              <w:jc w:val="both"/>
              <w:rPr>
                <w:snapToGrid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712"/>
              </w:tabs>
              <w:snapToGrid w:val="0"/>
              <w:spacing w:line="276" w:lineRule="auto"/>
              <w:ind w:right="0" w:firstLine="0"/>
              <w:rPr>
                <w:rFonts w:ascii="Times New Roman"/>
                <w:snapToGrid w:val="0"/>
                <w:szCs w:val="24"/>
              </w:rPr>
            </w:pPr>
            <w:r>
              <w:rPr>
                <w:rFonts w:ascii="Times New Roman"/>
                <w:snapToGrid w:val="0"/>
                <w:szCs w:val="24"/>
              </w:rPr>
              <w:t>2.1.2</w:t>
            </w:r>
          </w:p>
        </w:tc>
        <w:tc>
          <w:tcPr>
            <w:tcW w:w="50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励磁变压器及附件</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5"/>
              <w:spacing w:line="276" w:lineRule="auto"/>
              <w:jc w:val="both"/>
              <w:rPr>
                <w:snapToGrid w:val="0"/>
                <w:sz w:val="24"/>
                <w:szCs w:val="24"/>
              </w:rPr>
            </w:pPr>
            <w:r>
              <w:rPr>
                <w:rFonts w:hint="eastAsia"/>
                <w:snapToGrid w:val="0"/>
                <w:sz w:val="24"/>
                <w:szCs w:val="24"/>
              </w:rPr>
              <w:t>含C</w:t>
            </w:r>
            <w:r>
              <w:rPr>
                <w:snapToGrid w:val="0"/>
                <w:sz w:val="24"/>
                <w:szCs w:val="24"/>
              </w:rPr>
              <w:t>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712"/>
              </w:tabs>
              <w:snapToGrid w:val="0"/>
              <w:spacing w:line="276" w:lineRule="auto"/>
              <w:ind w:right="0" w:firstLine="0"/>
              <w:rPr>
                <w:rFonts w:ascii="Times New Roman"/>
                <w:snapToGrid w:val="0"/>
                <w:szCs w:val="24"/>
              </w:rPr>
            </w:pPr>
            <w:r>
              <w:rPr>
                <w:rFonts w:ascii="Times New Roman"/>
                <w:snapToGrid w:val="0"/>
                <w:szCs w:val="24"/>
              </w:rPr>
              <w:t>2.1.3</w:t>
            </w:r>
          </w:p>
        </w:tc>
        <w:tc>
          <w:tcPr>
            <w:tcW w:w="50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励磁控制系统设备</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5"/>
              <w:spacing w:line="276" w:lineRule="auto"/>
              <w:jc w:val="both"/>
              <w:rPr>
                <w:snapToGrid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712"/>
              </w:tabs>
              <w:snapToGrid w:val="0"/>
              <w:spacing w:line="276" w:lineRule="auto"/>
              <w:ind w:right="0" w:firstLine="0"/>
              <w:rPr>
                <w:rFonts w:ascii="Times New Roman"/>
                <w:snapToGrid w:val="0"/>
                <w:szCs w:val="24"/>
              </w:rPr>
            </w:pPr>
            <w:r>
              <w:rPr>
                <w:rFonts w:ascii="Times New Roman"/>
                <w:snapToGrid w:val="0"/>
                <w:szCs w:val="24"/>
              </w:rPr>
              <w:t>2.1.4</w:t>
            </w:r>
          </w:p>
        </w:tc>
        <w:tc>
          <w:tcPr>
            <w:tcW w:w="50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灭磁装置：包括灭磁开关、灭磁电阻、过电压保护、变送器等</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5"/>
              <w:spacing w:line="276" w:lineRule="auto"/>
              <w:jc w:val="both"/>
              <w:rPr>
                <w:snapToGrid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712"/>
              </w:tabs>
              <w:snapToGrid w:val="0"/>
              <w:spacing w:line="276" w:lineRule="auto"/>
              <w:ind w:right="0" w:firstLine="0"/>
              <w:rPr>
                <w:rFonts w:ascii="Times New Roman"/>
                <w:snapToGrid w:val="0"/>
                <w:szCs w:val="24"/>
              </w:rPr>
            </w:pPr>
            <w:r>
              <w:rPr>
                <w:rFonts w:ascii="Times New Roman"/>
                <w:snapToGrid w:val="0"/>
                <w:szCs w:val="24"/>
              </w:rPr>
              <w:t>2.1.5</w:t>
            </w:r>
          </w:p>
        </w:tc>
        <w:tc>
          <w:tcPr>
            <w:tcW w:w="50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数字式励磁调节装置的维护工具（包括软件，软件光盘一张、专用连接线两根）；</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5"/>
              <w:spacing w:line="276" w:lineRule="auto"/>
              <w:jc w:val="both"/>
              <w:rPr>
                <w:snapToGrid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712"/>
              </w:tabs>
              <w:snapToGrid w:val="0"/>
              <w:spacing w:line="276" w:lineRule="auto"/>
              <w:ind w:right="0" w:firstLine="0"/>
              <w:rPr>
                <w:rFonts w:ascii="Times New Roman"/>
                <w:snapToGrid w:val="0"/>
                <w:szCs w:val="24"/>
              </w:rPr>
            </w:pPr>
            <w:r>
              <w:rPr>
                <w:rFonts w:ascii="Times New Roman"/>
                <w:snapToGrid w:val="0"/>
                <w:szCs w:val="24"/>
              </w:rPr>
              <w:t>2.1.6</w:t>
            </w:r>
          </w:p>
        </w:tc>
        <w:tc>
          <w:tcPr>
            <w:tcW w:w="50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柜间连接铜排</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5"/>
              <w:spacing w:line="276" w:lineRule="auto"/>
              <w:jc w:val="both"/>
              <w:rPr>
                <w:snapToGrid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712"/>
              </w:tabs>
              <w:snapToGrid w:val="0"/>
              <w:spacing w:line="276" w:lineRule="auto"/>
              <w:ind w:right="0" w:firstLine="0"/>
              <w:rPr>
                <w:rFonts w:ascii="Times New Roman"/>
                <w:snapToGrid w:val="0"/>
                <w:szCs w:val="24"/>
              </w:rPr>
            </w:pPr>
            <w:r>
              <w:rPr>
                <w:rFonts w:hint="eastAsia" w:ascii="Times New Roman"/>
                <w:snapToGrid w:val="0"/>
                <w:szCs w:val="24"/>
              </w:rPr>
              <w:t>2.1.7</w:t>
            </w:r>
          </w:p>
        </w:tc>
        <w:tc>
          <w:tcPr>
            <w:tcW w:w="50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szCs w:val="24"/>
              </w:rPr>
              <w:t>励磁变压器低压侧后所有交流及直流励磁母线，包含伸缩节、软连接以及支吊架等附件</w:t>
            </w:r>
            <w:r>
              <w:rPr>
                <w:rFonts w:hint="eastAsia"/>
                <w:szCs w:val="24"/>
              </w:rPr>
              <w:t>。</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5"/>
              <w:spacing w:line="276" w:lineRule="auto"/>
              <w:jc w:val="both"/>
              <w:rPr>
                <w:snapToGrid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712"/>
              </w:tabs>
              <w:snapToGrid w:val="0"/>
              <w:spacing w:line="276" w:lineRule="auto"/>
              <w:ind w:right="0" w:firstLine="0"/>
              <w:rPr>
                <w:rFonts w:ascii="Times New Roman"/>
                <w:snapToGrid w:val="0"/>
                <w:szCs w:val="24"/>
              </w:rPr>
            </w:pPr>
            <w:r>
              <w:rPr>
                <w:rFonts w:ascii="Times New Roman"/>
                <w:snapToGrid w:val="0"/>
                <w:szCs w:val="24"/>
              </w:rPr>
              <w:t>3</w:t>
            </w:r>
          </w:p>
        </w:tc>
        <w:tc>
          <w:tcPr>
            <w:tcW w:w="50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在线监测仪表</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5"/>
              <w:spacing w:line="276" w:lineRule="auto"/>
              <w:jc w:val="both"/>
              <w:rPr>
                <w:snapToGrid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rFonts w:hint="eastAsia"/>
                <w:snapToGrid w:val="0"/>
                <w:kern w:val="0"/>
                <w:sz w:val="24"/>
                <w:szCs w:val="24"/>
              </w:rPr>
              <w:t>3.1</w:t>
            </w:r>
          </w:p>
        </w:tc>
        <w:tc>
          <w:tcPr>
            <w:tcW w:w="50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rFonts w:hint="eastAsia"/>
                <w:snapToGrid w:val="0"/>
                <w:kern w:val="0"/>
                <w:sz w:val="24"/>
                <w:szCs w:val="24"/>
              </w:rPr>
              <w:t>空冷器冷却水流量计</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kern w:val="0"/>
                <w:sz w:val="24"/>
                <w:szCs w:val="24"/>
              </w:rPr>
              <w:t>1</w:t>
            </w:r>
            <w:r>
              <w:rPr>
                <w:rFonts w:hint="eastAsia"/>
                <w:snapToGrid w:val="0"/>
                <w:kern w:val="0"/>
                <w:sz w:val="24"/>
                <w:szCs w:val="24"/>
              </w:rPr>
              <w:t>套</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cantSplit/>
        </w:trPr>
        <w:tc>
          <w:tcPr>
            <w:tcW w:w="900" w:type="dxa"/>
            <w:tcBorders>
              <w:top w:val="single" w:color="auto" w:sz="2" w:space="0"/>
              <w:left w:val="single" w:color="auto" w:sz="2" w:space="0"/>
              <w:bottom w:val="single" w:color="auto" w:sz="2" w:space="0"/>
              <w:right w:val="single" w:color="auto" w:sz="2" w:space="0"/>
            </w:tcBorders>
            <w:vAlign w:val="center"/>
          </w:tcPr>
          <w:p>
            <w:pPr>
              <w:pStyle w:val="30"/>
              <w:tabs>
                <w:tab w:val="left" w:pos="712"/>
              </w:tabs>
              <w:snapToGrid w:val="0"/>
              <w:spacing w:line="276" w:lineRule="auto"/>
              <w:ind w:right="0" w:firstLine="0"/>
              <w:rPr>
                <w:rFonts w:ascii="Times New Roman"/>
                <w:snapToGrid w:val="0"/>
                <w:szCs w:val="24"/>
              </w:rPr>
            </w:pPr>
            <w:r>
              <w:rPr>
                <w:rFonts w:ascii="Times New Roman"/>
                <w:snapToGrid w:val="0"/>
                <w:szCs w:val="24"/>
              </w:rPr>
              <w:t>4</w:t>
            </w:r>
          </w:p>
        </w:tc>
        <w:tc>
          <w:tcPr>
            <w:tcW w:w="5020" w:type="dxa"/>
            <w:tcBorders>
              <w:top w:val="single" w:color="auto" w:sz="2" w:space="0"/>
              <w:left w:val="single" w:color="auto" w:sz="2" w:space="0"/>
              <w:bottom w:val="single" w:color="auto" w:sz="2" w:space="0"/>
              <w:right w:val="single" w:color="auto" w:sz="2" w:space="0"/>
            </w:tcBorders>
            <w:vAlign w:val="center"/>
          </w:tcPr>
          <w:p>
            <w:pPr>
              <w:pStyle w:val="30"/>
              <w:tabs>
                <w:tab w:val="left" w:pos="580"/>
              </w:tabs>
              <w:snapToGrid w:val="0"/>
              <w:spacing w:line="276" w:lineRule="auto"/>
              <w:ind w:firstLine="0"/>
              <w:rPr>
                <w:rFonts w:ascii="Times New Roman"/>
                <w:snapToGrid w:val="0"/>
                <w:szCs w:val="24"/>
              </w:rPr>
            </w:pPr>
            <w:r>
              <w:rPr>
                <w:rFonts w:ascii="Times New Roman"/>
                <w:snapToGrid w:val="0"/>
                <w:szCs w:val="24"/>
              </w:rPr>
              <w:t>随主机供应的仪表、变送器、逻辑开关、执行机构、调节装置、仪表管路、仪表阀门及安装附件等。</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r>
              <w:rPr>
                <w:snapToGrid w:val="0"/>
                <w:sz w:val="24"/>
                <w:szCs w:val="24"/>
              </w:rPr>
              <w:t>1套</w:t>
            </w:r>
          </w:p>
        </w:tc>
        <w:tc>
          <w:tcPr>
            <w:tcW w:w="900" w:type="dxa"/>
            <w:tcBorders>
              <w:top w:val="single" w:color="auto" w:sz="2" w:space="0"/>
              <w:left w:val="single" w:color="auto" w:sz="2" w:space="0"/>
              <w:bottom w:val="single" w:color="auto" w:sz="2" w:space="0"/>
              <w:right w:val="single" w:color="auto" w:sz="2" w:space="0"/>
            </w:tcBorders>
            <w:vAlign w:val="center"/>
          </w:tcPr>
          <w:p>
            <w:pPr>
              <w:widowControl/>
              <w:tabs>
                <w:tab w:val="left" w:pos="580"/>
              </w:tabs>
              <w:adjustRightInd w:val="0"/>
              <w:snapToGrid w:val="0"/>
              <w:spacing w:line="276" w:lineRule="auto"/>
              <w:rPr>
                <w:snapToGrid w:val="0"/>
                <w:kern w:val="0"/>
                <w:sz w:val="24"/>
                <w:szCs w:val="24"/>
              </w:rPr>
            </w:pPr>
          </w:p>
        </w:tc>
        <w:tc>
          <w:tcPr>
            <w:tcW w:w="1320" w:type="dxa"/>
            <w:tcBorders>
              <w:top w:val="single" w:color="auto" w:sz="2" w:space="0"/>
              <w:left w:val="single" w:color="auto" w:sz="2" w:space="0"/>
              <w:bottom w:val="single" w:color="auto" w:sz="2" w:space="0"/>
              <w:right w:val="single" w:color="auto" w:sz="2" w:space="0"/>
            </w:tcBorders>
            <w:vAlign w:val="center"/>
          </w:tcPr>
          <w:p>
            <w:pPr>
              <w:pStyle w:val="35"/>
              <w:spacing w:line="276" w:lineRule="auto"/>
              <w:jc w:val="both"/>
              <w:rPr>
                <w:snapToGrid w:val="0"/>
                <w:sz w:val="24"/>
                <w:szCs w:val="24"/>
              </w:rPr>
            </w:pPr>
          </w:p>
        </w:tc>
      </w:tr>
    </w:tbl>
    <w:p>
      <w:pPr>
        <w:tabs>
          <w:tab w:val="left" w:pos="580"/>
        </w:tabs>
        <w:autoSpaceDE w:val="0"/>
        <w:autoSpaceDN w:val="0"/>
        <w:adjustRightInd w:val="0"/>
        <w:snapToGrid w:val="0"/>
        <w:spacing w:line="360" w:lineRule="auto"/>
        <w:rPr>
          <w:snapToGrid w:val="0"/>
          <w:kern w:val="0"/>
          <w:sz w:val="24"/>
        </w:rPr>
      </w:pPr>
    </w:p>
    <w:p>
      <w:pPr>
        <w:tabs>
          <w:tab w:val="left" w:pos="580"/>
        </w:tabs>
        <w:autoSpaceDE w:val="0"/>
        <w:autoSpaceDN w:val="0"/>
        <w:adjustRightInd w:val="0"/>
        <w:snapToGrid w:val="0"/>
        <w:spacing w:line="360" w:lineRule="auto"/>
        <w:rPr>
          <w:b/>
          <w:snapToGrid w:val="0"/>
          <w:kern w:val="0"/>
          <w:sz w:val="24"/>
        </w:rPr>
      </w:pPr>
      <w:r>
        <w:rPr>
          <w:rFonts w:hint="eastAsia"/>
          <w:b/>
          <w:snapToGrid w:val="0"/>
          <w:kern w:val="0"/>
          <w:sz w:val="24"/>
        </w:rPr>
        <w:t>附表</w:t>
      </w:r>
      <w:r>
        <w:rPr>
          <w:b/>
          <w:snapToGrid w:val="0"/>
          <w:kern w:val="0"/>
          <w:sz w:val="24"/>
        </w:rPr>
        <w:t xml:space="preserve">2  </w:t>
      </w:r>
      <w:r>
        <w:rPr>
          <w:rFonts w:hint="eastAsia"/>
          <w:b/>
          <w:snapToGrid w:val="0"/>
          <w:kern w:val="0"/>
          <w:sz w:val="24"/>
        </w:rPr>
        <w:t>备品备件</w:t>
      </w:r>
    </w:p>
    <w:p>
      <w:pPr>
        <w:autoSpaceDE w:val="0"/>
        <w:autoSpaceDN w:val="0"/>
        <w:snapToGrid w:val="0"/>
        <w:spacing w:line="360" w:lineRule="auto"/>
        <w:textAlignment w:val="bottom"/>
        <w:rPr>
          <w:snapToGrid w:val="0"/>
          <w:kern w:val="0"/>
          <w:sz w:val="24"/>
        </w:rPr>
      </w:pPr>
      <w:r>
        <w:rPr>
          <w:snapToGrid w:val="0"/>
          <w:kern w:val="0"/>
          <w:sz w:val="24"/>
        </w:rPr>
        <w:t>1．</w:t>
      </w:r>
      <w:r>
        <w:rPr>
          <w:snapToGrid w:val="0"/>
          <w:kern w:val="0"/>
          <w:sz w:val="24"/>
        </w:rPr>
        <w:tab/>
      </w:r>
      <w:r>
        <w:rPr>
          <w:snapToGrid w:val="0"/>
          <w:kern w:val="0"/>
          <w:sz w:val="24"/>
        </w:rPr>
        <w:t>投标人应推荐和提供安装、运行和维护所供设备所必需的备品备件，满足承包商提供的机组设备启动、调试，最初三年运行及第一次大修的要求。</w:t>
      </w:r>
    </w:p>
    <w:p>
      <w:pPr>
        <w:autoSpaceDE w:val="0"/>
        <w:autoSpaceDN w:val="0"/>
        <w:snapToGrid w:val="0"/>
        <w:spacing w:line="360" w:lineRule="auto"/>
        <w:textAlignment w:val="bottom"/>
        <w:rPr>
          <w:b/>
          <w:snapToGrid w:val="0"/>
          <w:kern w:val="0"/>
          <w:sz w:val="24"/>
        </w:rPr>
      </w:pPr>
      <w:r>
        <w:rPr>
          <w:b/>
          <w:snapToGrid w:val="0"/>
          <w:kern w:val="0"/>
          <w:sz w:val="24"/>
        </w:rPr>
        <w:t>2．</w:t>
      </w:r>
      <w:r>
        <w:rPr>
          <w:b/>
          <w:snapToGrid w:val="0"/>
          <w:kern w:val="0"/>
          <w:sz w:val="24"/>
        </w:rPr>
        <w:tab/>
      </w:r>
      <w:r>
        <w:rPr>
          <w:b/>
          <w:snapToGrid w:val="0"/>
          <w:kern w:val="0"/>
          <w:sz w:val="24"/>
        </w:rPr>
        <w:t>备品备件总则</w:t>
      </w:r>
    </w:p>
    <w:p>
      <w:pPr>
        <w:autoSpaceDE w:val="0"/>
        <w:autoSpaceDN w:val="0"/>
        <w:snapToGrid w:val="0"/>
        <w:spacing w:line="360" w:lineRule="auto"/>
        <w:textAlignment w:val="bottom"/>
        <w:rPr>
          <w:snapToGrid w:val="0"/>
          <w:kern w:val="0"/>
          <w:sz w:val="24"/>
        </w:rPr>
      </w:pPr>
      <w:r>
        <w:rPr>
          <w:snapToGrid w:val="0"/>
          <w:kern w:val="0"/>
          <w:sz w:val="24"/>
        </w:rPr>
        <w:t>2.1 备品备件分成两部分，即随机备品备件及推荐性备品备件。</w:t>
      </w:r>
    </w:p>
    <w:p>
      <w:pPr>
        <w:autoSpaceDE w:val="0"/>
        <w:autoSpaceDN w:val="0"/>
        <w:snapToGrid w:val="0"/>
        <w:spacing w:line="360" w:lineRule="auto"/>
        <w:textAlignment w:val="bottom"/>
        <w:rPr>
          <w:snapToGrid w:val="0"/>
          <w:kern w:val="0"/>
          <w:sz w:val="24"/>
        </w:rPr>
      </w:pPr>
      <w:r>
        <w:rPr>
          <w:snapToGrid w:val="0"/>
          <w:kern w:val="0"/>
          <w:sz w:val="24"/>
        </w:rPr>
        <w:t>2.2 随投标书提交的备品清单对备品备件及特殊项目应有详细的说明。投标人应提出在安装、调试及连续运行期间日常维修时所需推荐性备品备件的最少数量。</w:t>
      </w:r>
    </w:p>
    <w:p>
      <w:pPr>
        <w:autoSpaceDE w:val="0"/>
        <w:autoSpaceDN w:val="0"/>
        <w:snapToGrid w:val="0"/>
        <w:spacing w:line="360" w:lineRule="auto"/>
        <w:textAlignment w:val="bottom"/>
        <w:rPr>
          <w:snapToGrid w:val="0"/>
          <w:kern w:val="0"/>
          <w:sz w:val="24"/>
        </w:rPr>
      </w:pPr>
      <w:r>
        <w:rPr>
          <w:snapToGrid w:val="0"/>
          <w:kern w:val="0"/>
          <w:sz w:val="24"/>
        </w:rPr>
        <w:t>2.3 备品备件应分别报价。在评标过程中，投标人应准备好其推荐的随机备品综合表。此表中备品备件的价格将与其它投标商的备品备件价格比较，而且价差将包括在评标因素中。</w:t>
      </w:r>
    </w:p>
    <w:p>
      <w:pPr>
        <w:autoSpaceDE w:val="0"/>
        <w:autoSpaceDN w:val="0"/>
        <w:snapToGrid w:val="0"/>
        <w:spacing w:line="360" w:lineRule="auto"/>
        <w:textAlignment w:val="bottom"/>
        <w:rPr>
          <w:snapToGrid w:val="0"/>
          <w:kern w:val="0"/>
          <w:sz w:val="24"/>
        </w:rPr>
      </w:pPr>
      <w:r>
        <w:rPr>
          <w:snapToGrid w:val="0"/>
          <w:kern w:val="0"/>
          <w:sz w:val="24"/>
        </w:rPr>
        <w:t>2.4 所有备品备件应与其更换件是完全可替代的，并与原件有相同的质量，每件备品都应清楚地标注出说明、用途。</w:t>
      </w:r>
    </w:p>
    <w:p>
      <w:pPr>
        <w:autoSpaceDE w:val="0"/>
        <w:autoSpaceDN w:val="0"/>
        <w:snapToGrid w:val="0"/>
        <w:spacing w:line="360" w:lineRule="auto"/>
        <w:textAlignment w:val="bottom"/>
        <w:rPr>
          <w:b/>
          <w:snapToGrid w:val="0"/>
          <w:kern w:val="0"/>
          <w:sz w:val="24"/>
        </w:rPr>
      </w:pPr>
      <w:r>
        <w:rPr>
          <w:b/>
          <w:snapToGrid w:val="0"/>
          <w:kern w:val="0"/>
          <w:sz w:val="24"/>
        </w:rPr>
        <w:t>3 随机备品备件</w:t>
      </w:r>
    </w:p>
    <w:p>
      <w:pPr>
        <w:autoSpaceDE w:val="0"/>
        <w:autoSpaceDN w:val="0"/>
        <w:snapToGrid w:val="0"/>
        <w:spacing w:line="360" w:lineRule="auto"/>
        <w:textAlignment w:val="bottom"/>
        <w:rPr>
          <w:snapToGrid w:val="0"/>
          <w:kern w:val="0"/>
          <w:sz w:val="24"/>
        </w:rPr>
      </w:pPr>
      <w:r>
        <w:rPr>
          <w:snapToGrid w:val="0"/>
          <w:kern w:val="0"/>
          <w:sz w:val="24"/>
        </w:rPr>
        <w:t>3.1 机组所需随机备品备件的费用应包括在合同价中。投标人应在投标书中完整地列出随机备品备件。要求投标人应对表中的每一项报价。</w:t>
      </w:r>
    </w:p>
    <w:p>
      <w:pPr>
        <w:autoSpaceDE w:val="0"/>
        <w:autoSpaceDN w:val="0"/>
        <w:snapToGrid w:val="0"/>
        <w:spacing w:line="360" w:lineRule="auto"/>
        <w:textAlignment w:val="bottom"/>
        <w:rPr>
          <w:snapToGrid w:val="0"/>
          <w:kern w:val="0"/>
          <w:sz w:val="24"/>
        </w:rPr>
      </w:pPr>
      <w:r>
        <w:rPr>
          <w:snapToGrid w:val="0"/>
          <w:kern w:val="0"/>
          <w:sz w:val="24"/>
        </w:rPr>
        <w:t>3.2 投标人应在随机备品备件表中的每一项标注编号、型号及参考图号。</w:t>
      </w:r>
    </w:p>
    <w:p>
      <w:pPr>
        <w:snapToGrid w:val="0"/>
        <w:spacing w:line="360" w:lineRule="auto"/>
        <w:ind w:firstLine="420"/>
        <w:rPr>
          <w:snapToGrid w:val="0"/>
          <w:kern w:val="0"/>
          <w:sz w:val="24"/>
        </w:rPr>
      </w:pPr>
      <w:r>
        <w:rPr>
          <w:snapToGrid w:val="0"/>
          <w:kern w:val="0"/>
          <w:sz w:val="24"/>
        </w:rPr>
        <w:t>随机备品配件箱外表面明显标志“随机备品配件”字样，随机备品配件按下表但不限于以下种类和数量：</w:t>
      </w:r>
    </w:p>
    <w:p>
      <w:pPr>
        <w:spacing w:line="360" w:lineRule="auto"/>
        <w:rPr>
          <w:snapToGrid w:val="0"/>
          <w:kern w:val="0"/>
          <w:sz w:val="24"/>
        </w:rPr>
      </w:pPr>
      <w:r>
        <w:rPr>
          <w:snapToGrid w:val="0"/>
          <w:kern w:val="0"/>
          <w:sz w:val="24"/>
        </w:rPr>
        <w:t>3.2.1热控部分：</w:t>
      </w:r>
    </w:p>
    <w:tbl>
      <w:tblPr>
        <w:tblStyle w:val="49"/>
        <w:tblW w:w="8102"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74"/>
        <w:gridCol w:w="2831"/>
        <w:gridCol w:w="399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95" w:hRule="atLeast"/>
          <w:jc w:val="center"/>
        </w:trPr>
        <w:tc>
          <w:tcPr>
            <w:tcW w:w="1274" w:type="dxa"/>
            <w:tcBorders>
              <w:tl2br w:val="nil"/>
              <w:tr2bl w:val="nil"/>
            </w:tcBorders>
            <w:vAlign w:val="center"/>
          </w:tcPr>
          <w:p>
            <w:pPr>
              <w:snapToGrid w:val="0"/>
              <w:spacing w:line="360" w:lineRule="auto"/>
              <w:ind w:firstLine="420"/>
              <w:rPr>
                <w:snapToGrid w:val="0"/>
                <w:kern w:val="0"/>
                <w:sz w:val="24"/>
                <w:szCs w:val="24"/>
              </w:rPr>
            </w:pPr>
            <w:r>
              <w:rPr>
                <w:snapToGrid w:val="0"/>
                <w:kern w:val="0"/>
                <w:sz w:val="24"/>
                <w:szCs w:val="24"/>
              </w:rPr>
              <w:t>1</w:t>
            </w:r>
          </w:p>
        </w:tc>
        <w:tc>
          <w:tcPr>
            <w:tcW w:w="2831" w:type="dxa"/>
            <w:tcBorders>
              <w:tl2br w:val="nil"/>
              <w:tr2bl w:val="nil"/>
            </w:tcBorders>
          </w:tcPr>
          <w:p>
            <w:pPr>
              <w:snapToGrid w:val="0"/>
              <w:spacing w:line="360" w:lineRule="auto"/>
              <w:jc w:val="left"/>
              <w:rPr>
                <w:snapToGrid w:val="0"/>
                <w:kern w:val="0"/>
                <w:sz w:val="24"/>
                <w:szCs w:val="24"/>
              </w:rPr>
            </w:pPr>
            <w:r>
              <w:rPr>
                <w:snapToGrid w:val="0"/>
                <w:kern w:val="0"/>
                <w:sz w:val="24"/>
                <w:szCs w:val="24"/>
              </w:rPr>
              <w:t>不同规格种类继电器、按钮、指示灯</w:t>
            </w:r>
          </w:p>
        </w:tc>
        <w:tc>
          <w:tcPr>
            <w:tcW w:w="3997" w:type="dxa"/>
            <w:tcBorders>
              <w:tl2br w:val="nil"/>
              <w:tr2bl w:val="nil"/>
            </w:tcBorders>
          </w:tcPr>
          <w:p>
            <w:pPr>
              <w:snapToGrid w:val="0"/>
              <w:spacing w:line="360" w:lineRule="auto"/>
              <w:jc w:val="left"/>
              <w:rPr>
                <w:snapToGrid w:val="0"/>
                <w:kern w:val="0"/>
                <w:sz w:val="24"/>
                <w:szCs w:val="24"/>
              </w:rPr>
            </w:pPr>
            <w:r>
              <w:rPr>
                <w:snapToGrid w:val="0"/>
                <w:kern w:val="0"/>
                <w:sz w:val="24"/>
                <w:szCs w:val="24"/>
              </w:rPr>
              <w:t>按不同规格在装量的</w:t>
            </w:r>
            <w:r>
              <w:rPr>
                <w:rFonts w:hint="eastAsia"/>
                <w:snapToGrid w:val="0"/>
                <w:kern w:val="0"/>
                <w:sz w:val="24"/>
                <w:szCs w:val="24"/>
              </w:rPr>
              <w:t>10</w:t>
            </w:r>
            <w:r>
              <w:rPr>
                <w:snapToGrid w:val="0"/>
                <w:kern w:val="0"/>
                <w:sz w:val="24"/>
                <w:szCs w:val="24"/>
              </w:rPr>
              <w:t>%提供，不足一个的备一个。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95" w:hRule="atLeast"/>
          <w:jc w:val="center"/>
        </w:trPr>
        <w:tc>
          <w:tcPr>
            <w:tcW w:w="1274" w:type="dxa"/>
            <w:tcBorders>
              <w:tl2br w:val="nil"/>
              <w:tr2bl w:val="nil"/>
            </w:tcBorders>
            <w:vAlign w:val="center"/>
          </w:tcPr>
          <w:p>
            <w:pPr>
              <w:snapToGrid w:val="0"/>
              <w:spacing w:line="360" w:lineRule="auto"/>
              <w:ind w:firstLine="420"/>
              <w:rPr>
                <w:snapToGrid w:val="0"/>
                <w:kern w:val="0"/>
                <w:sz w:val="24"/>
                <w:szCs w:val="24"/>
              </w:rPr>
            </w:pPr>
            <w:r>
              <w:rPr>
                <w:snapToGrid w:val="0"/>
                <w:kern w:val="0"/>
                <w:sz w:val="24"/>
                <w:szCs w:val="24"/>
              </w:rPr>
              <w:t>2</w:t>
            </w:r>
          </w:p>
        </w:tc>
        <w:tc>
          <w:tcPr>
            <w:tcW w:w="2831" w:type="dxa"/>
            <w:tcBorders>
              <w:tl2br w:val="nil"/>
              <w:tr2bl w:val="nil"/>
            </w:tcBorders>
          </w:tcPr>
          <w:p>
            <w:pPr>
              <w:snapToGrid w:val="0"/>
              <w:spacing w:line="360" w:lineRule="auto"/>
              <w:jc w:val="left"/>
              <w:rPr>
                <w:snapToGrid w:val="0"/>
                <w:kern w:val="0"/>
                <w:sz w:val="24"/>
                <w:szCs w:val="24"/>
              </w:rPr>
            </w:pPr>
            <w:r>
              <w:rPr>
                <w:snapToGrid w:val="0"/>
                <w:kern w:val="0"/>
                <w:sz w:val="24"/>
                <w:szCs w:val="24"/>
              </w:rPr>
              <w:t>所供各种规格型号的仪表、开关、变送器、测温元件</w:t>
            </w:r>
            <w:r>
              <w:rPr>
                <w:rFonts w:hint="eastAsia"/>
                <w:snapToGrid w:val="0"/>
                <w:kern w:val="0"/>
                <w:sz w:val="24"/>
                <w:szCs w:val="24"/>
              </w:rPr>
              <w:t>、温度仪</w:t>
            </w:r>
          </w:p>
        </w:tc>
        <w:tc>
          <w:tcPr>
            <w:tcW w:w="3997" w:type="dxa"/>
            <w:tcBorders>
              <w:tl2br w:val="nil"/>
              <w:tr2bl w:val="nil"/>
            </w:tcBorders>
          </w:tcPr>
          <w:p>
            <w:pPr>
              <w:snapToGrid w:val="0"/>
              <w:spacing w:line="360" w:lineRule="auto"/>
              <w:jc w:val="left"/>
              <w:rPr>
                <w:snapToGrid w:val="0"/>
                <w:kern w:val="0"/>
                <w:sz w:val="24"/>
                <w:szCs w:val="24"/>
              </w:rPr>
            </w:pPr>
            <w:r>
              <w:rPr>
                <w:snapToGrid w:val="0"/>
                <w:kern w:val="0"/>
                <w:sz w:val="24"/>
                <w:szCs w:val="24"/>
              </w:rPr>
              <w:t>按在装量的1</w:t>
            </w:r>
            <w:r>
              <w:rPr>
                <w:rFonts w:hint="eastAsia"/>
                <w:snapToGrid w:val="0"/>
                <w:kern w:val="0"/>
                <w:sz w:val="24"/>
                <w:szCs w:val="24"/>
              </w:rPr>
              <w:t>0</w:t>
            </w:r>
            <w:r>
              <w:rPr>
                <w:snapToGrid w:val="0"/>
                <w:kern w:val="0"/>
                <w:sz w:val="24"/>
                <w:szCs w:val="24"/>
              </w:rPr>
              <w:t>%提供，不足一台（块、只）的备一台（块、只）</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95" w:hRule="atLeast"/>
          <w:jc w:val="center"/>
        </w:trPr>
        <w:tc>
          <w:tcPr>
            <w:tcW w:w="1274" w:type="dxa"/>
            <w:tcBorders>
              <w:tl2br w:val="nil"/>
              <w:tr2bl w:val="nil"/>
            </w:tcBorders>
            <w:vAlign w:val="center"/>
          </w:tcPr>
          <w:p>
            <w:pPr>
              <w:snapToGrid w:val="0"/>
              <w:spacing w:line="360" w:lineRule="auto"/>
              <w:ind w:firstLine="420"/>
              <w:rPr>
                <w:snapToGrid w:val="0"/>
                <w:kern w:val="0"/>
                <w:sz w:val="24"/>
                <w:szCs w:val="24"/>
              </w:rPr>
            </w:pPr>
            <w:r>
              <w:rPr>
                <w:snapToGrid w:val="0"/>
                <w:kern w:val="0"/>
                <w:sz w:val="24"/>
                <w:szCs w:val="24"/>
              </w:rPr>
              <w:t>3</w:t>
            </w:r>
          </w:p>
        </w:tc>
        <w:tc>
          <w:tcPr>
            <w:tcW w:w="2831" w:type="dxa"/>
            <w:tcBorders>
              <w:tl2br w:val="nil"/>
              <w:tr2bl w:val="nil"/>
            </w:tcBorders>
          </w:tcPr>
          <w:p>
            <w:pPr>
              <w:snapToGrid w:val="0"/>
              <w:spacing w:line="360" w:lineRule="auto"/>
              <w:jc w:val="left"/>
              <w:rPr>
                <w:snapToGrid w:val="0"/>
                <w:kern w:val="0"/>
                <w:sz w:val="24"/>
                <w:szCs w:val="24"/>
              </w:rPr>
            </w:pPr>
            <w:r>
              <w:rPr>
                <w:snapToGrid w:val="0"/>
                <w:kern w:val="0"/>
                <w:sz w:val="24"/>
                <w:szCs w:val="24"/>
              </w:rPr>
              <w:t>各种类型保险丝、其它易损件</w:t>
            </w:r>
          </w:p>
        </w:tc>
        <w:tc>
          <w:tcPr>
            <w:tcW w:w="3997" w:type="dxa"/>
            <w:tcBorders>
              <w:tl2br w:val="nil"/>
              <w:tr2bl w:val="nil"/>
            </w:tcBorders>
          </w:tcPr>
          <w:p>
            <w:pPr>
              <w:snapToGrid w:val="0"/>
              <w:spacing w:line="360" w:lineRule="auto"/>
              <w:jc w:val="left"/>
              <w:rPr>
                <w:snapToGrid w:val="0"/>
                <w:kern w:val="0"/>
                <w:sz w:val="24"/>
                <w:szCs w:val="24"/>
              </w:rPr>
            </w:pPr>
            <w:r>
              <w:rPr>
                <w:rFonts w:hint="eastAsia"/>
                <w:snapToGrid w:val="0"/>
                <w:kern w:val="0"/>
                <w:sz w:val="24"/>
                <w:szCs w:val="24"/>
              </w:rPr>
              <w:t>1</w:t>
            </w:r>
            <w:r>
              <w:rPr>
                <w:snapToGrid w:val="0"/>
                <w:kern w:val="0"/>
                <w:sz w:val="24"/>
                <w:szCs w:val="24"/>
              </w:rPr>
              <w:t>00%</w:t>
            </w:r>
          </w:p>
        </w:tc>
      </w:tr>
    </w:tbl>
    <w:p>
      <w:pPr>
        <w:spacing w:line="360" w:lineRule="auto"/>
        <w:rPr>
          <w:snapToGrid w:val="0"/>
          <w:kern w:val="0"/>
          <w:sz w:val="24"/>
        </w:rPr>
      </w:pPr>
    </w:p>
    <w:p>
      <w:pPr>
        <w:spacing w:line="360" w:lineRule="auto"/>
        <w:rPr>
          <w:snapToGrid w:val="0"/>
          <w:kern w:val="0"/>
          <w:sz w:val="24"/>
        </w:rPr>
      </w:pPr>
      <w:r>
        <w:rPr>
          <w:snapToGrid w:val="0"/>
          <w:kern w:val="0"/>
          <w:sz w:val="24"/>
        </w:rPr>
        <w:br w:type="page"/>
      </w:r>
      <w:r>
        <w:rPr>
          <w:snapToGrid w:val="0"/>
          <w:kern w:val="0"/>
          <w:sz w:val="24"/>
        </w:rPr>
        <w:t>3.2.2电气、热机</w:t>
      </w:r>
    </w:p>
    <w:tbl>
      <w:tblPr>
        <w:tblStyle w:val="49"/>
        <w:tblW w:w="8758"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1"/>
        <w:gridCol w:w="5033"/>
        <w:gridCol w:w="1102"/>
        <w:gridCol w:w="169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99" w:hRule="atLeast"/>
          <w:tblHeader/>
        </w:trPr>
        <w:tc>
          <w:tcPr>
            <w:tcW w:w="931"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序号</w:t>
            </w:r>
          </w:p>
        </w:tc>
        <w:tc>
          <w:tcPr>
            <w:tcW w:w="5033"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项目</w:t>
            </w:r>
          </w:p>
        </w:tc>
        <w:tc>
          <w:tcPr>
            <w:tcW w:w="1102"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数量</w:t>
            </w:r>
          </w:p>
        </w:tc>
        <w:tc>
          <w:tcPr>
            <w:tcW w:w="1692"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99" w:hRule="atLeast"/>
        </w:trPr>
        <w:tc>
          <w:tcPr>
            <w:tcW w:w="931"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1</w:t>
            </w:r>
          </w:p>
        </w:tc>
        <w:tc>
          <w:tcPr>
            <w:tcW w:w="5033"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发电机轴瓦（注：每种轴瓦各一个）</w:t>
            </w:r>
          </w:p>
        </w:tc>
        <w:tc>
          <w:tcPr>
            <w:tcW w:w="1102"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1套</w:t>
            </w:r>
          </w:p>
        </w:tc>
        <w:tc>
          <w:tcPr>
            <w:tcW w:w="1692"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99" w:hRule="atLeast"/>
        </w:trPr>
        <w:tc>
          <w:tcPr>
            <w:tcW w:w="931"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2</w:t>
            </w:r>
          </w:p>
        </w:tc>
        <w:tc>
          <w:tcPr>
            <w:tcW w:w="5033"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轴承油封用绝缘件</w:t>
            </w:r>
          </w:p>
        </w:tc>
        <w:tc>
          <w:tcPr>
            <w:tcW w:w="1102"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1套</w:t>
            </w:r>
          </w:p>
        </w:tc>
        <w:tc>
          <w:tcPr>
            <w:tcW w:w="1692"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99" w:hRule="atLeast"/>
        </w:trPr>
        <w:tc>
          <w:tcPr>
            <w:tcW w:w="931"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3</w:t>
            </w:r>
          </w:p>
        </w:tc>
        <w:tc>
          <w:tcPr>
            <w:tcW w:w="5033"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安装用材料</w:t>
            </w:r>
          </w:p>
        </w:tc>
        <w:tc>
          <w:tcPr>
            <w:tcW w:w="1102"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1套</w:t>
            </w:r>
          </w:p>
        </w:tc>
        <w:tc>
          <w:tcPr>
            <w:tcW w:w="1692"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99" w:hRule="atLeast"/>
        </w:trPr>
        <w:tc>
          <w:tcPr>
            <w:tcW w:w="931"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rFonts w:hint="eastAsia"/>
                <w:snapToGrid w:val="0"/>
                <w:kern w:val="0"/>
                <w:sz w:val="24"/>
                <w:szCs w:val="24"/>
              </w:rPr>
              <w:t>4</w:t>
            </w:r>
          </w:p>
        </w:tc>
        <w:tc>
          <w:tcPr>
            <w:tcW w:w="5033"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出线套管及附件</w:t>
            </w:r>
          </w:p>
        </w:tc>
        <w:tc>
          <w:tcPr>
            <w:tcW w:w="1102"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rFonts w:hint="eastAsia"/>
                <w:snapToGrid w:val="0"/>
              </w:rPr>
              <w:t>1只</w:t>
            </w:r>
          </w:p>
        </w:tc>
        <w:tc>
          <w:tcPr>
            <w:tcW w:w="1692"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99" w:hRule="atLeast"/>
        </w:trPr>
        <w:tc>
          <w:tcPr>
            <w:tcW w:w="931"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rFonts w:hint="eastAsia"/>
                <w:snapToGrid w:val="0"/>
                <w:kern w:val="0"/>
                <w:sz w:val="24"/>
                <w:szCs w:val="24"/>
              </w:rPr>
              <w:t>6</w:t>
            </w:r>
          </w:p>
        </w:tc>
        <w:tc>
          <w:tcPr>
            <w:tcW w:w="5033"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密封用零件（包括法兰、人孔等橡胶密封件）</w:t>
            </w:r>
          </w:p>
        </w:tc>
        <w:tc>
          <w:tcPr>
            <w:tcW w:w="1102"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1套</w:t>
            </w:r>
          </w:p>
        </w:tc>
        <w:tc>
          <w:tcPr>
            <w:tcW w:w="1692"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99" w:hRule="atLeast"/>
        </w:trPr>
        <w:tc>
          <w:tcPr>
            <w:tcW w:w="931"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rFonts w:hint="eastAsia"/>
                <w:snapToGrid w:val="0"/>
                <w:kern w:val="0"/>
                <w:sz w:val="24"/>
                <w:szCs w:val="24"/>
              </w:rPr>
              <w:t>7</w:t>
            </w:r>
          </w:p>
        </w:tc>
        <w:tc>
          <w:tcPr>
            <w:tcW w:w="5033"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发电机刷</w:t>
            </w:r>
            <w:r>
              <w:rPr>
                <w:rFonts w:hint="eastAsia"/>
                <w:snapToGrid w:val="0"/>
                <w:kern w:val="0"/>
                <w:sz w:val="24"/>
                <w:szCs w:val="24"/>
              </w:rPr>
              <w:t>握</w:t>
            </w:r>
          </w:p>
        </w:tc>
        <w:tc>
          <w:tcPr>
            <w:tcW w:w="1102" w:type="dxa"/>
            <w:tcBorders>
              <w:top w:val="single" w:color="auto" w:sz="2" w:space="0"/>
              <w:left w:val="single" w:color="auto" w:sz="2" w:space="0"/>
              <w:bottom w:val="single" w:color="auto" w:sz="2" w:space="0"/>
              <w:right w:val="single" w:color="auto" w:sz="2" w:space="0"/>
            </w:tcBorders>
            <w:tcMar>
              <w:left w:w="28" w:type="dxa"/>
              <w:right w:w="28" w:type="dxa"/>
            </w:tcMar>
            <w:vAlign w:val="center"/>
          </w:tcPr>
          <w:p>
            <w:pPr>
              <w:snapToGrid w:val="0"/>
              <w:spacing w:line="360" w:lineRule="auto"/>
              <w:jc w:val="left"/>
              <w:rPr>
                <w:snapToGrid w:val="0"/>
                <w:kern w:val="0"/>
                <w:sz w:val="24"/>
                <w:szCs w:val="24"/>
              </w:rPr>
            </w:pPr>
            <w:r>
              <w:rPr>
                <w:rFonts w:hint="eastAsia"/>
                <w:snapToGrid w:val="0"/>
                <w:kern w:val="0"/>
                <w:sz w:val="24"/>
                <w:szCs w:val="24"/>
              </w:rPr>
              <w:t>2只</w:t>
            </w:r>
          </w:p>
        </w:tc>
        <w:tc>
          <w:tcPr>
            <w:tcW w:w="1692"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99" w:hRule="atLeast"/>
        </w:trPr>
        <w:tc>
          <w:tcPr>
            <w:tcW w:w="931"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rFonts w:hint="eastAsia"/>
                <w:snapToGrid w:val="0"/>
                <w:kern w:val="0"/>
                <w:sz w:val="24"/>
                <w:szCs w:val="24"/>
              </w:rPr>
              <w:t>8</w:t>
            </w:r>
          </w:p>
        </w:tc>
        <w:tc>
          <w:tcPr>
            <w:tcW w:w="5033"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rFonts w:hint="eastAsia"/>
                <w:snapToGrid w:val="0"/>
                <w:kern w:val="0"/>
                <w:sz w:val="24"/>
                <w:szCs w:val="24"/>
              </w:rPr>
              <w:t>发电机碳刷</w:t>
            </w:r>
          </w:p>
        </w:tc>
        <w:tc>
          <w:tcPr>
            <w:tcW w:w="1102" w:type="dxa"/>
            <w:tcBorders>
              <w:top w:val="single" w:color="auto" w:sz="2" w:space="0"/>
              <w:left w:val="single" w:color="auto" w:sz="2" w:space="0"/>
              <w:bottom w:val="single" w:color="auto" w:sz="2" w:space="0"/>
              <w:right w:val="single" w:color="auto" w:sz="2" w:space="0"/>
            </w:tcBorders>
            <w:tcMar>
              <w:left w:w="28" w:type="dxa"/>
              <w:right w:w="28" w:type="dxa"/>
            </w:tcMar>
            <w:vAlign w:val="center"/>
          </w:tcPr>
          <w:p>
            <w:pPr>
              <w:snapToGrid w:val="0"/>
              <w:spacing w:line="360" w:lineRule="auto"/>
              <w:jc w:val="left"/>
              <w:rPr>
                <w:snapToGrid w:val="0"/>
                <w:kern w:val="0"/>
                <w:sz w:val="24"/>
                <w:szCs w:val="24"/>
              </w:rPr>
            </w:pPr>
            <w:r>
              <w:rPr>
                <w:rFonts w:hint="eastAsia"/>
                <w:snapToGrid w:val="0"/>
                <w:kern w:val="0"/>
                <w:sz w:val="24"/>
                <w:szCs w:val="24"/>
              </w:rPr>
              <w:t>1台套</w:t>
            </w:r>
          </w:p>
        </w:tc>
        <w:tc>
          <w:tcPr>
            <w:tcW w:w="1692"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99" w:hRule="atLeast"/>
        </w:trPr>
        <w:tc>
          <w:tcPr>
            <w:tcW w:w="931"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rFonts w:hint="eastAsia"/>
                <w:snapToGrid w:val="0"/>
                <w:kern w:val="0"/>
                <w:sz w:val="24"/>
                <w:szCs w:val="24"/>
              </w:rPr>
              <w:t>9</w:t>
            </w:r>
          </w:p>
        </w:tc>
        <w:tc>
          <w:tcPr>
            <w:tcW w:w="5033"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发电机轴接地</w:t>
            </w:r>
            <w:r>
              <w:rPr>
                <w:rFonts w:hint="eastAsia"/>
                <w:snapToGrid w:val="0"/>
                <w:kern w:val="0"/>
                <w:sz w:val="24"/>
                <w:szCs w:val="24"/>
              </w:rPr>
              <w:t>刷握</w:t>
            </w:r>
          </w:p>
        </w:tc>
        <w:tc>
          <w:tcPr>
            <w:tcW w:w="1102" w:type="dxa"/>
            <w:tcBorders>
              <w:top w:val="single" w:color="auto" w:sz="2" w:space="0"/>
              <w:left w:val="single" w:color="auto" w:sz="2" w:space="0"/>
              <w:bottom w:val="single" w:color="auto" w:sz="2" w:space="0"/>
              <w:right w:val="single" w:color="auto" w:sz="2" w:space="0"/>
            </w:tcBorders>
            <w:tcMar>
              <w:left w:w="28" w:type="dxa"/>
              <w:right w:w="28" w:type="dxa"/>
            </w:tcMar>
            <w:vAlign w:val="center"/>
          </w:tcPr>
          <w:p>
            <w:pPr>
              <w:snapToGrid w:val="0"/>
              <w:spacing w:line="360" w:lineRule="auto"/>
              <w:jc w:val="left"/>
              <w:rPr>
                <w:snapToGrid w:val="0"/>
                <w:kern w:val="0"/>
                <w:sz w:val="24"/>
                <w:szCs w:val="24"/>
              </w:rPr>
            </w:pPr>
            <w:r>
              <w:rPr>
                <w:rFonts w:hint="eastAsia"/>
                <w:snapToGrid w:val="0"/>
                <w:kern w:val="0"/>
                <w:sz w:val="24"/>
                <w:szCs w:val="24"/>
              </w:rPr>
              <w:t>2</w:t>
            </w:r>
            <w:r>
              <w:rPr>
                <w:rFonts w:hint="eastAsia"/>
                <w:snapToGrid w:val="0"/>
              </w:rPr>
              <w:t>只</w:t>
            </w:r>
          </w:p>
        </w:tc>
        <w:tc>
          <w:tcPr>
            <w:tcW w:w="1692"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99" w:hRule="atLeast"/>
        </w:trPr>
        <w:tc>
          <w:tcPr>
            <w:tcW w:w="931"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rFonts w:hint="eastAsia"/>
                <w:snapToGrid w:val="0"/>
                <w:kern w:val="0"/>
                <w:sz w:val="24"/>
                <w:szCs w:val="24"/>
              </w:rPr>
              <w:t>10</w:t>
            </w:r>
          </w:p>
        </w:tc>
        <w:tc>
          <w:tcPr>
            <w:tcW w:w="5033"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发电机轴接地</w:t>
            </w:r>
            <w:r>
              <w:rPr>
                <w:rFonts w:hint="eastAsia"/>
                <w:snapToGrid w:val="0"/>
                <w:kern w:val="0"/>
                <w:sz w:val="24"/>
                <w:szCs w:val="24"/>
              </w:rPr>
              <w:t>碳刷</w:t>
            </w:r>
          </w:p>
        </w:tc>
        <w:tc>
          <w:tcPr>
            <w:tcW w:w="1102" w:type="dxa"/>
            <w:tcBorders>
              <w:top w:val="single" w:color="auto" w:sz="2" w:space="0"/>
              <w:left w:val="single" w:color="auto" w:sz="2" w:space="0"/>
              <w:bottom w:val="single" w:color="auto" w:sz="2" w:space="0"/>
              <w:right w:val="single" w:color="auto" w:sz="2" w:space="0"/>
            </w:tcBorders>
            <w:tcMar>
              <w:left w:w="28" w:type="dxa"/>
              <w:right w:w="28" w:type="dxa"/>
            </w:tcMar>
            <w:vAlign w:val="center"/>
          </w:tcPr>
          <w:p>
            <w:pPr>
              <w:snapToGrid w:val="0"/>
              <w:spacing w:line="360" w:lineRule="auto"/>
              <w:jc w:val="left"/>
              <w:rPr>
                <w:snapToGrid w:val="0"/>
                <w:kern w:val="0"/>
                <w:sz w:val="24"/>
                <w:szCs w:val="24"/>
              </w:rPr>
            </w:pPr>
            <w:r>
              <w:rPr>
                <w:rFonts w:hint="eastAsia"/>
                <w:snapToGrid w:val="0"/>
                <w:kern w:val="0"/>
                <w:sz w:val="24"/>
                <w:szCs w:val="24"/>
              </w:rPr>
              <w:t>6</w:t>
            </w:r>
            <w:r>
              <w:rPr>
                <w:rFonts w:hint="eastAsia"/>
                <w:snapToGrid w:val="0"/>
              </w:rPr>
              <w:t>只</w:t>
            </w:r>
          </w:p>
        </w:tc>
        <w:tc>
          <w:tcPr>
            <w:tcW w:w="1692"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p>
        </w:tc>
      </w:tr>
    </w:tbl>
    <w:p>
      <w:pPr>
        <w:autoSpaceDE w:val="0"/>
        <w:autoSpaceDN w:val="0"/>
        <w:snapToGrid w:val="0"/>
        <w:spacing w:line="360" w:lineRule="auto"/>
        <w:textAlignment w:val="bottom"/>
        <w:rPr>
          <w:sz w:val="24"/>
        </w:rPr>
      </w:pPr>
    </w:p>
    <w:p>
      <w:pPr>
        <w:autoSpaceDE w:val="0"/>
        <w:autoSpaceDN w:val="0"/>
        <w:snapToGrid w:val="0"/>
        <w:spacing w:line="360" w:lineRule="auto"/>
        <w:textAlignment w:val="bottom"/>
        <w:rPr>
          <w:snapToGrid w:val="0"/>
          <w:kern w:val="0"/>
          <w:sz w:val="24"/>
        </w:rPr>
      </w:pPr>
      <w:r>
        <w:rPr>
          <w:sz w:val="24"/>
        </w:rPr>
        <w:br w:type="page"/>
      </w:r>
      <w:r>
        <w:rPr>
          <w:snapToGrid w:val="0"/>
          <w:kern w:val="0"/>
          <w:sz w:val="24"/>
        </w:rPr>
        <w:t xml:space="preserve">3.2.3 </w:t>
      </w:r>
      <w:bookmarkStart w:id="26" w:name="OLE_LINK1"/>
      <w:r>
        <w:rPr>
          <w:rFonts w:hint="eastAsia"/>
          <w:sz w:val="24"/>
        </w:rPr>
        <w:t>励磁系统随机备品备件</w:t>
      </w:r>
    </w:p>
    <w:p>
      <w:pPr>
        <w:autoSpaceDE w:val="0"/>
        <w:autoSpaceDN w:val="0"/>
        <w:snapToGrid w:val="0"/>
        <w:spacing w:line="360" w:lineRule="auto"/>
        <w:textAlignment w:val="bottom"/>
        <w:rPr>
          <w:snapToGrid w:val="0"/>
          <w:kern w:val="0"/>
          <w:sz w:val="24"/>
        </w:rPr>
      </w:pPr>
      <w:r>
        <w:rPr>
          <w:snapToGrid w:val="0"/>
          <w:kern w:val="0"/>
          <w:sz w:val="24"/>
        </w:rPr>
        <w:t>静态励磁</w:t>
      </w:r>
    </w:p>
    <w:tbl>
      <w:tblPr>
        <w:tblStyle w:val="49"/>
        <w:tblW w:w="8460"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276"/>
        <w:gridCol w:w="4678"/>
        <w:gridCol w:w="250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Pr>
        <w:tc>
          <w:tcPr>
            <w:tcW w:w="1276"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1</w:t>
            </w:r>
          </w:p>
        </w:tc>
        <w:tc>
          <w:tcPr>
            <w:tcW w:w="4678"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可控硅元件</w:t>
            </w:r>
            <w:r>
              <w:rPr>
                <w:snapToGrid w:val="0"/>
                <w:kern w:val="0"/>
                <w:sz w:val="24"/>
                <w:szCs w:val="24"/>
              </w:rPr>
              <w:tab/>
            </w:r>
          </w:p>
        </w:tc>
        <w:tc>
          <w:tcPr>
            <w:tcW w:w="2506" w:type="dxa"/>
            <w:tcBorders>
              <w:top w:val="single" w:color="auto" w:sz="2" w:space="0"/>
              <w:left w:val="single" w:color="auto" w:sz="2" w:space="0"/>
              <w:bottom w:val="single" w:color="auto" w:sz="2" w:space="0"/>
              <w:right w:val="single" w:color="auto" w:sz="2" w:space="0"/>
            </w:tcBorders>
            <w:tcMar>
              <w:left w:w="28" w:type="dxa"/>
              <w:right w:w="28" w:type="dxa"/>
            </w:tcMar>
            <w:vAlign w:val="center"/>
          </w:tcPr>
          <w:p>
            <w:pPr>
              <w:snapToGrid w:val="0"/>
              <w:spacing w:line="360" w:lineRule="auto"/>
              <w:jc w:val="left"/>
              <w:rPr>
                <w:snapToGrid w:val="0"/>
                <w:kern w:val="0"/>
                <w:sz w:val="24"/>
                <w:szCs w:val="24"/>
              </w:rPr>
            </w:pPr>
            <w:r>
              <w:rPr>
                <w:rFonts w:hint="eastAsia"/>
                <w:snapToGrid w:val="0"/>
                <w:kern w:val="0"/>
                <w:sz w:val="24"/>
                <w:szCs w:val="24"/>
              </w:rPr>
              <w:t>4只（同批次）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Pr>
        <w:tc>
          <w:tcPr>
            <w:tcW w:w="1276"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2</w:t>
            </w:r>
          </w:p>
        </w:tc>
        <w:tc>
          <w:tcPr>
            <w:tcW w:w="4678"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快速熔断器</w:t>
            </w:r>
          </w:p>
        </w:tc>
        <w:tc>
          <w:tcPr>
            <w:tcW w:w="2506" w:type="dxa"/>
            <w:tcBorders>
              <w:top w:val="single" w:color="auto" w:sz="2" w:space="0"/>
              <w:left w:val="single" w:color="auto" w:sz="2" w:space="0"/>
              <w:bottom w:val="single" w:color="auto" w:sz="2" w:space="0"/>
              <w:right w:val="single" w:color="auto" w:sz="2" w:space="0"/>
            </w:tcBorders>
            <w:tcMar>
              <w:left w:w="0" w:type="dxa"/>
              <w:right w:w="0" w:type="dxa"/>
            </w:tcMar>
            <w:vAlign w:val="center"/>
          </w:tcPr>
          <w:p>
            <w:pPr>
              <w:snapToGrid w:val="0"/>
              <w:spacing w:line="360" w:lineRule="auto"/>
              <w:jc w:val="left"/>
              <w:rPr>
                <w:snapToGrid w:val="0"/>
                <w:kern w:val="0"/>
                <w:sz w:val="24"/>
                <w:szCs w:val="24"/>
              </w:rPr>
            </w:pPr>
            <w:r>
              <w:rPr>
                <w:rFonts w:hint="eastAsia"/>
                <w:snapToGrid w:val="0"/>
                <w:kern w:val="0"/>
                <w:sz w:val="24"/>
                <w:szCs w:val="24"/>
              </w:rPr>
              <w:t>6只</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Pr>
        <w:tc>
          <w:tcPr>
            <w:tcW w:w="1276"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3</w:t>
            </w:r>
          </w:p>
        </w:tc>
        <w:tc>
          <w:tcPr>
            <w:tcW w:w="4678"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snapToGrid w:val="0"/>
                <w:kern w:val="0"/>
                <w:sz w:val="24"/>
                <w:szCs w:val="24"/>
              </w:rPr>
              <w:t>可控硅整流柜冷却风扇</w:t>
            </w:r>
          </w:p>
        </w:tc>
        <w:tc>
          <w:tcPr>
            <w:tcW w:w="2506" w:type="dxa"/>
            <w:tcBorders>
              <w:top w:val="single" w:color="auto" w:sz="2" w:space="0"/>
              <w:left w:val="single" w:color="auto" w:sz="2" w:space="0"/>
              <w:bottom w:val="single" w:color="auto" w:sz="2" w:space="0"/>
              <w:right w:val="single" w:color="auto" w:sz="2" w:space="0"/>
            </w:tcBorders>
            <w:tcMar>
              <w:left w:w="0" w:type="dxa"/>
              <w:right w:w="0" w:type="dxa"/>
            </w:tcMar>
            <w:vAlign w:val="center"/>
          </w:tcPr>
          <w:p>
            <w:pPr>
              <w:snapToGrid w:val="0"/>
              <w:spacing w:line="360" w:lineRule="auto"/>
              <w:jc w:val="left"/>
              <w:rPr>
                <w:snapToGrid w:val="0"/>
                <w:kern w:val="0"/>
                <w:sz w:val="24"/>
                <w:szCs w:val="24"/>
              </w:rPr>
            </w:pPr>
            <w:r>
              <w:rPr>
                <w:snapToGrid w:val="0"/>
                <w:kern w:val="0"/>
                <w:sz w:val="24"/>
                <w:szCs w:val="24"/>
              </w:rPr>
              <w:t>2只</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Pr>
        <w:tc>
          <w:tcPr>
            <w:tcW w:w="1276"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rFonts w:hint="eastAsia"/>
                <w:snapToGrid w:val="0"/>
                <w:kern w:val="0"/>
                <w:sz w:val="24"/>
                <w:szCs w:val="24"/>
              </w:rPr>
              <w:t>4</w:t>
            </w:r>
          </w:p>
        </w:tc>
        <w:tc>
          <w:tcPr>
            <w:tcW w:w="4678"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rFonts w:hint="eastAsia"/>
                <w:snapToGrid w:val="0"/>
                <w:kern w:val="0"/>
                <w:sz w:val="24"/>
                <w:szCs w:val="24"/>
              </w:rPr>
              <w:t>各种规格</w:t>
            </w:r>
            <w:r>
              <w:rPr>
                <w:snapToGrid w:val="0"/>
                <w:kern w:val="0"/>
                <w:sz w:val="24"/>
                <w:szCs w:val="24"/>
              </w:rPr>
              <w:t>控制熔断器</w:t>
            </w:r>
          </w:p>
        </w:tc>
        <w:tc>
          <w:tcPr>
            <w:tcW w:w="2506" w:type="dxa"/>
            <w:tcBorders>
              <w:top w:val="single" w:color="auto" w:sz="2" w:space="0"/>
              <w:left w:val="single" w:color="auto" w:sz="2" w:space="0"/>
              <w:bottom w:val="single" w:color="auto" w:sz="2" w:space="0"/>
              <w:right w:val="single" w:color="auto" w:sz="2" w:space="0"/>
            </w:tcBorders>
            <w:tcMar>
              <w:left w:w="0" w:type="dxa"/>
              <w:right w:w="0" w:type="dxa"/>
            </w:tcMar>
            <w:vAlign w:val="center"/>
          </w:tcPr>
          <w:p>
            <w:pPr>
              <w:snapToGrid w:val="0"/>
              <w:spacing w:line="360" w:lineRule="auto"/>
              <w:jc w:val="left"/>
              <w:rPr>
                <w:snapToGrid w:val="0"/>
                <w:kern w:val="0"/>
                <w:sz w:val="24"/>
                <w:szCs w:val="24"/>
              </w:rPr>
            </w:pPr>
            <w:r>
              <w:rPr>
                <w:rFonts w:hint="eastAsia"/>
                <w:snapToGrid w:val="0"/>
                <w:kern w:val="0"/>
                <w:sz w:val="24"/>
                <w:szCs w:val="24"/>
              </w:rPr>
              <w:t>各6</w:t>
            </w:r>
            <w:r>
              <w:rPr>
                <w:snapToGrid w:val="0"/>
                <w:kern w:val="0"/>
                <w:sz w:val="24"/>
                <w:szCs w:val="24"/>
              </w:rPr>
              <w:t>只</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Pr>
        <w:tc>
          <w:tcPr>
            <w:tcW w:w="1276"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rFonts w:hint="eastAsia"/>
                <w:snapToGrid w:val="0"/>
                <w:kern w:val="0"/>
                <w:sz w:val="24"/>
                <w:szCs w:val="24"/>
              </w:rPr>
              <w:t>6</w:t>
            </w:r>
          </w:p>
        </w:tc>
        <w:tc>
          <w:tcPr>
            <w:tcW w:w="4678"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rFonts w:hint="eastAsia"/>
                <w:snapToGrid w:val="0"/>
                <w:kern w:val="0"/>
                <w:sz w:val="24"/>
                <w:szCs w:val="24"/>
              </w:rPr>
              <w:t>各种规格继电器、接触器</w:t>
            </w:r>
          </w:p>
        </w:tc>
        <w:tc>
          <w:tcPr>
            <w:tcW w:w="2506" w:type="dxa"/>
            <w:tcBorders>
              <w:top w:val="single" w:color="auto" w:sz="2" w:space="0"/>
              <w:left w:val="single" w:color="auto" w:sz="2" w:space="0"/>
              <w:bottom w:val="single" w:color="auto" w:sz="2" w:space="0"/>
              <w:right w:val="single" w:color="auto" w:sz="2" w:space="0"/>
            </w:tcBorders>
            <w:tcMar>
              <w:left w:w="28" w:type="dxa"/>
              <w:right w:w="28" w:type="dxa"/>
            </w:tcMar>
            <w:vAlign w:val="center"/>
          </w:tcPr>
          <w:p>
            <w:pPr>
              <w:snapToGrid w:val="0"/>
              <w:spacing w:line="360" w:lineRule="auto"/>
              <w:jc w:val="left"/>
              <w:rPr>
                <w:snapToGrid w:val="0"/>
                <w:kern w:val="0"/>
                <w:sz w:val="24"/>
                <w:szCs w:val="24"/>
              </w:rPr>
            </w:pPr>
            <w:r>
              <w:rPr>
                <w:snapToGrid w:val="0"/>
                <w:kern w:val="0"/>
                <w:sz w:val="24"/>
                <w:szCs w:val="24"/>
              </w:rPr>
              <w:t>各3个</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Pr>
        <w:tc>
          <w:tcPr>
            <w:tcW w:w="1276"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rFonts w:hint="eastAsia"/>
                <w:snapToGrid w:val="0"/>
                <w:kern w:val="0"/>
                <w:sz w:val="24"/>
                <w:szCs w:val="24"/>
              </w:rPr>
              <w:t>7</w:t>
            </w:r>
          </w:p>
        </w:tc>
        <w:tc>
          <w:tcPr>
            <w:tcW w:w="4678" w:type="dxa"/>
            <w:tcBorders>
              <w:top w:val="single" w:color="auto" w:sz="2" w:space="0"/>
              <w:left w:val="single" w:color="auto" w:sz="2" w:space="0"/>
              <w:bottom w:val="single" w:color="auto" w:sz="2" w:space="0"/>
              <w:right w:val="single" w:color="auto" w:sz="2" w:space="0"/>
            </w:tcBorders>
            <w:vAlign w:val="center"/>
          </w:tcPr>
          <w:p>
            <w:pPr>
              <w:snapToGrid w:val="0"/>
              <w:spacing w:line="360" w:lineRule="auto"/>
              <w:jc w:val="left"/>
              <w:rPr>
                <w:snapToGrid w:val="0"/>
                <w:kern w:val="0"/>
                <w:sz w:val="24"/>
                <w:szCs w:val="24"/>
              </w:rPr>
            </w:pPr>
            <w:r>
              <w:rPr>
                <w:rFonts w:hint="eastAsia"/>
                <w:snapToGrid w:val="0"/>
                <w:kern w:val="0"/>
                <w:sz w:val="24"/>
                <w:szCs w:val="24"/>
              </w:rPr>
              <w:t>整流柜滤网</w:t>
            </w:r>
          </w:p>
        </w:tc>
        <w:tc>
          <w:tcPr>
            <w:tcW w:w="2506" w:type="dxa"/>
            <w:tcBorders>
              <w:top w:val="single" w:color="auto" w:sz="2" w:space="0"/>
              <w:left w:val="single" w:color="auto" w:sz="2" w:space="0"/>
              <w:bottom w:val="single" w:color="auto" w:sz="2" w:space="0"/>
              <w:right w:val="single" w:color="auto" w:sz="2" w:space="0"/>
            </w:tcBorders>
            <w:tcMar>
              <w:left w:w="28" w:type="dxa"/>
              <w:right w:w="28" w:type="dxa"/>
            </w:tcMar>
            <w:vAlign w:val="center"/>
          </w:tcPr>
          <w:p>
            <w:pPr>
              <w:snapToGrid w:val="0"/>
              <w:spacing w:line="360" w:lineRule="auto"/>
              <w:jc w:val="left"/>
              <w:rPr>
                <w:snapToGrid w:val="0"/>
                <w:kern w:val="0"/>
                <w:sz w:val="24"/>
                <w:szCs w:val="24"/>
              </w:rPr>
            </w:pPr>
            <w:r>
              <w:rPr>
                <w:rFonts w:hint="eastAsia"/>
                <w:snapToGrid w:val="0"/>
                <w:kern w:val="0"/>
                <w:sz w:val="24"/>
                <w:szCs w:val="24"/>
              </w:rPr>
              <w:t>8</w:t>
            </w:r>
            <w:r>
              <w:rPr>
                <w:snapToGrid w:val="0"/>
                <w:kern w:val="0"/>
                <w:sz w:val="24"/>
                <w:szCs w:val="24"/>
              </w:rPr>
              <w:t>只</w:t>
            </w:r>
          </w:p>
        </w:tc>
      </w:tr>
      <w:bookmarkEnd w:id="26"/>
    </w:tbl>
    <w:p>
      <w:pPr>
        <w:autoSpaceDE w:val="0"/>
        <w:autoSpaceDN w:val="0"/>
        <w:snapToGrid w:val="0"/>
        <w:spacing w:line="360" w:lineRule="auto"/>
        <w:textAlignment w:val="bottom"/>
        <w:rPr>
          <w:snapToGrid w:val="0"/>
          <w:kern w:val="0"/>
          <w:sz w:val="24"/>
        </w:rPr>
      </w:pPr>
    </w:p>
    <w:p>
      <w:pPr>
        <w:autoSpaceDE w:val="0"/>
        <w:autoSpaceDN w:val="0"/>
        <w:snapToGrid w:val="0"/>
        <w:spacing w:line="360" w:lineRule="auto"/>
        <w:textAlignment w:val="bottom"/>
        <w:rPr>
          <w:b/>
          <w:snapToGrid w:val="0"/>
          <w:kern w:val="0"/>
          <w:sz w:val="24"/>
        </w:rPr>
      </w:pPr>
      <w:r>
        <w:rPr>
          <w:b/>
          <w:snapToGrid w:val="0"/>
          <w:kern w:val="0"/>
          <w:sz w:val="24"/>
        </w:rPr>
        <w:t>4</w:t>
      </w:r>
      <w:r>
        <w:rPr>
          <w:b/>
          <w:snapToGrid w:val="0"/>
          <w:kern w:val="0"/>
          <w:sz w:val="24"/>
        </w:rPr>
        <w:tab/>
      </w:r>
      <w:r>
        <w:rPr>
          <w:b/>
          <w:snapToGrid w:val="0"/>
          <w:kern w:val="0"/>
          <w:sz w:val="24"/>
        </w:rPr>
        <w:t>推荐备品备件</w:t>
      </w:r>
    </w:p>
    <w:p>
      <w:pPr>
        <w:autoSpaceDE w:val="0"/>
        <w:autoSpaceDN w:val="0"/>
        <w:snapToGrid w:val="0"/>
        <w:spacing w:line="360" w:lineRule="auto"/>
        <w:textAlignment w:val="bottom"/>
        <w:rPr>
          <w:snapToGrid w:val="0"/>
          <w:kern w:val="0"/>
          <w:sz w:val="24"/>
        </w:rPr>
      </w:pPr>
      <w:r>
        <w:rPr>
          <w:snapToGrid w:val="0"/>
          <w:kern w:val="0"/>
          <w:sz w:val="24"/>
        </w:rPr>
        <w:t>4.1 投标书中应列出投标人认为必要的推荐性备品备件。</w:t>
      </w:r>
    </w:p>
    <w:p>
      <w:pPr>
        <w:autoSpaceDE w:val="0"/>
        <w:autoSpaceDN w:val="0"/>
        <w:snapToGrid w:val="0"/>
        <w:spacing w:line="360" w:lineRule="auto"/>
        <w:textAlignment w:val="bottom"/>
        <w:rPr>
          <w:snapToGrid w:val="0"/>
          <w:kern w:val="0"/>
          <w:sz w:val="24"/>
        </w:rPr>
      </w:pPr>
      <w:r>
        <w:rPr>
          <w:snapToGrid w:val="0"/>
          <w:kern w:val="0"/>
          <w:sz w:val="24"/>
        </w:rPr>
        <w:t>4.2 对每项推荐性备品备件的报价单应包括所有推荐的项目和设备部件的单价、数量、项目编号、型号、参考图纸等。</w:t>
      </w:r>
    </w:p>
    <w:p>
      <w:pPr>
        <w:autoSpaceDE w:val="0"/>
        <w:autoSpaceDN w:val="0"/>
        <w:snapToGrid w:val="0"/>
        <w:spacing w:line="360" w:lineRule="auto"/>
        <w:textAlignment w:val="bottom"/>
        <w:rPr>
          <w:snapToGrid w:val="0"/>
          <w:kern w:val="0"/>
          <w:sz w:val="24"/>
        </w:rPr>
      </w:pPr>
      <w:r>
        <w:rPr>
          <w:snapToGrid w:val="0"/>
          <w:kern w:val="0"/>
          <w:sz w:val="24"/>
        </w:rPr>
        <w:t>4.3 投标人应在其投标书中提出包括推荐供机组前三年连续运行和第一次大修所需一个完整的有标价备品备件清单及推荐选购数量。招标人可以选择全部的备品或其中的一部分。</w:t>
      </w:r>
    </w:p>
    <w:p>
      <w:pPr>
        <w:autoSpaceDE w:val="0"/>
        <w:autoSpaceDN w:val="0"/>
        <w:snapToGrid w:val="0"/>
        <w:spacing w:line="360" w:lineRule="auto"/>
        <w:textAlignment w:val="bottom"/>
        <w:rPr>
          <w:snapToGrid w:val="0"/>
          <w:kern w:val="0"/>
          <w:sz w:val="24"/>
        </w:rPr>
      </w:pPr>
      <w:r>
        <w:rPr>
          <w:snapToGrid w:val="0"/>
          <w:kern w:val="0"/>
          <w:sz w:val="24"/>
        </w:rPr>
        <w:t>4.4 投标人在完成合同设备的工程设计之后，应该提出一个完整的有标价的备品配件清单，含图纸和制造厂名，招标人在收到以上资料的二个月内，通知投标人所要购买的备品配件的名称和数量。</w:t>
      </w:r>
    </w:p>
    <w:p>
      <w:pPr>
        <w:spacing w:line="360" w:lineRule="auto"/>
        <w:jc w:val="center"/>
        <w:rPr>
          <w:snapToGrid w:val="0"/>
          <w:kern w:val="0"/>
          <w:sz w:val="24"/>
        </w:rPr>
      </w:pPr>
      <w:r>
        <w:rPr>
          <w:snapToGrid w:val="0"/>
          <w:kern w:val="0"/>
          <w:sz w:val="24"/>
        </w:rPr>
        <w:t>推荐备品备件清单：</w:t>
      </w:r>
    </w:p>
    <w:tbl>
      <w:tblPr>
        <w:tblStyle w:val="49"/>
        <w:tblW w:w="8341" w:type="dxa"/>
        <w:tblInd w:w="0" w:type="dxa"/>
        <w:tblLayout w:type="fixed"/>
        <w:tblCellMar>
          <w:top w:w="0" w:type="dxa"/>
          <w:left w:w="0" w:type="dxa"/>
          <w:bottom w:w="0" w:type="dxa"/>
          <w:right w:w="0" w:type="dxa"/>
        </w:tblCellMar>
      </w:tblPr>
      <w:tblGrid>
        <w:gridCol w:w="739"/>
        <w:gridCol w:w="3620"/>
        <w:gridCol w:w="1086"/>
        <w:gridCol w:w="2896"/>
      </w:tblGrid>
      <w:tr>
        <w:tblPrEx>
          <w:tblCellMar>
            <w:top w:w="0" w:type="dxa"/>
            <w:left w:w="0" w:type="dxa"/>
            <w:bottom w:w="0" w:type="dxa"/>
            <w:right w:w="0" w:type="dxa"/>
          </w:tblCellMar>
        </w:tblPrEx>
        <w:trPr>
          <w:cantSplit/>
          <w:trHeight w:val="510" w:hRule="atLeast"/>
          <w:tblHeader/>
        </w:trPr>
        <w:tc>
          <w:tcPr>
            <w:tcW w:w="739" w:type="dxa"/>
            <w:tcBorders>
              <w:top w:val="single" w:color="auto" w:sz="8" w:space="0"/>
              <w:left w:val="single" w:color="auto" w:sz="8" w:space="0"/>
              <w:bottom w:val="single" w:color="auto" w:sz="8" w:space="0"/>
              <w:right w:val="single" w:color="auto" w:sz="4" w:space="0"/>
            </w:tcBorders>
            <w:tcMar>
              <w:top w:w="15" w:type="dxa"/>
              <w:left w:w="15" w:type="dxa"/>
              <w:bottom w:w="0" w:type="dxa"/>
              <w:right w:w="15" w:type="dxa"/>
            </w:tcMar>
            <w:vAlign w:val="center"/>
          </w:tcPr>
          <w:p>
            <w:pPr>
              <w:spacing w:line="360" w:lineRule="auto"/>
              <w:jc w:val="center"/>
              <w:rPr>
                <w:snapToGrid w:val="0"/>
                <w:kern w:val="0"/>
                <w:sz w:val="24"/>
                <w:szCs w:val="24"/>
              </w:rPr>
            </w:pPr>
            <w:r>
              <w:rPr>
                <w:snapToGrid w:val="0"/>
                <w:kern w:val="0"/>
                <w:sz w:val="24"/>
                <w:szCs w:val="24"/>
              </w:rPr>
              <w:t>序号</w:t>
            </w:r>
          </w:p>
        </w:tc>
        <w:tc>
          <w:tcPr>
            <w:tcW w:w="3620" w:type="dxa"/>
            <w:tcBorders>
              <w:top w:val="single" w:color="auto" w:sz="8" w:space="0"/>
              <w:left w:val="single" w:color="auto" w:sz="4" w:space="0"/>
              <w:bottom w:val="single" w:color="auto" w:sz="8" w:space="0"/>
              <w:right w:val="single" w:color="000000" w:sz="4" w:space="0"/>
            </w:tcBorders>
            <w:tcMar>
              <w:top w:w="15" w:type="dxa"/>
              <w:left w:w="15" w:type="dxa"/>
              <w:bottom w:w="0" w:type="dxa"/>
              <w:right w:w="15" w:type="dxa"/>
            </w:tcMar>
            <w:vAlign w:val="center"/>
          </w:tcPr>
          <w:p>
            <w:pPr>
              <w:spacing w:line="360" w:lineRule="auto"/>
              <w:jc w:val="center"/>
              <w:rPr>
                <w:snapToGrid w:val="0"/>
                <w:kern w:val="0"/>
                <w:sz w:val="24"/>
                <w:szCs w:val="24"/>
              </w:rPr>
            </w:pPr>
            <w:r>
              <w:rPr>
                <w:snapToGrid w:val="0"/>
                <w:kern w:val="0"/>
                <w:sz w:val="24"/>
                <w:szCs w:val="24"/>
              </w:rPr>
              <w:t>名称</w:t>
            </w:r>
          </w:p>
        </w:tc>
        <w:tc>
          <w:tcPr>
            <w:tcW w:w="1086" w:type="dxa"/>
            <w:tcBorders>
              <w:top w:val="single" w:color="auto" w:sz="8" w:space="0"/>
              <w:left w:val="nil"/>
              <w:bottom w:val="single" w:color="auto" w:sz="8" w:space="0"/>
              <w:right w:val="single" w:color="auto" w:sz="2" w:space="0"/>
            </w:tcBorders>
            <w:tcMar>
              <w:top w:w="15" w:type="dxa"/>
              <w:left w:w="15" w:type="dxa"/>
              <w:bottom w:w="0" w:type="dxa"/>
              <w:right w:w="15" w:type="dxa"/>
            </w:tcMar>
            <w:vAlign w:val="center"/>
          </w:tcPr>
          <w:p>
            <w:pPr>
              <w:pStyle w:val="72"/>
              <w:adjustRightInd/>
              <w:spacing w:line="360" w:lineRule="auto"/>
              <w:textAlignment w:val="auto"/>
              <w:rPr>
                <w:rFonts w:ascii="Times New Roman"/>
                <w:snapToGrid w:val="0"/>
                <w:szCs w:val="24"/>
              </w:rPr>
            </w:pPr>
            <w:r>
              <w:rPr>
                <w:rFonts w:ascii="Times New Roman"/>
                <w:snapToGrid w:val="0"/>
                <w:szCs w:val="24"/>
              </w:rPr>
              <w:t>数量</w:t>
            </w:r>
          </w:p>
        </w:tc>
        <w:tc>
          <w:tcPr>
            <w:tcW w:w="2896" w:type="dxa"/>
            <w:tcBorders>
              <w:top w:val="single" w:color="auto" w:sz="8" w:space="0"/>
              <w:left w:val="single" w:color="auto" w:sz="2" w:space="0"/>
              <w:bottom w:val="single" w:color="auto" w:sz="8" w:space="0"/>
              <w:right w:val="single" w:color="auto" w:sz="8" w:space="0"/>
            </w:tcBorders>
            <w:vAlign w:val="center"/>
          </w:tcPr>
          <w:p>
            <w:pPr>
              <w:spacing w:line="360" w:lineRule="auto"/>
              <w:jc w:val="center"/>
              <w:rPr>
                <w:snapToGrid w:val="0"/>
                <w:kern w:val="0"/>
                <w:sz w:val="24"/>
                <w:szCs w:val="24"/>
              </w:rPr>
            </w:pPr>
            <w:r>
              <w:rPr>
                <w:snapToGrid w:val="0"/>
                <w:kern w:val="0"/>
                <w:sz w:val="24"/>
                <w:szCs w:val="24"/>
              </w:rPr>
              <w:t>备注</w:t>
            </w:r>
          </w:p>
        </w:tc>
      </w:tr>
      <w:tr>
        <w:tblPrEx>
          <w:tblCellMar>
            <w:top w:w="0" w:type="dxa"/>
            <w:left w:w="0" w:type="dxa"/>
            <w:bottom w:w="0" w:type="dxa"/>
            <w:right w:w="0" w:type="dxa"/>
          </w:tblCellMar>
        </w:tblPrEx>
        <w:trPr>
          <w:cantSplit/>
          <w:trHeight w:val="397" w:hRule="atLeast"/>
        </w:trPr>
        <w:tc>
          <w:tcPr>
            <w:tcW w:w="739"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snapToGrid w:val="0"/>
                <w:kern w:val="0"/>
                <w:sz w:val="24"/>
                <w:szCs w:val="24"/>
              </w:rPr>
            </w:pPr>
            <w:r>
              <w:rPr>
                <w:snapToGrid w:val="0"/>
                <w:kern w:val="0"/>
                <w:sz w:val="24"/>
                <w:szCs w:val="24"/>
              </w:rPr>
              <w:t>1</w:t>
            </w:r>
          </w:p>
        </w:tc>
        <w:tc>
          <w:tcPr>
            <w:tcW w:w="362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rPr>
                <w:snapToGrid w:val="0"/>
                <w:kern w:val="0"/>
                <w:sz w:val="24"/>
                <w:szCs w:val="24"/>
              </w:rPr>
            </w:pPr>
          </w:p>
        </w:tc>
        <w:tc>
          <w:tcPr>
            <w:tcW w:w="1086" w:type="dxa"/>
            <w:tcBorders>
              <w:top w:val="nil"/>
              <w:left w:val="nil"/>
              <w:bottom w:val="single" w:color="auto" w:sz="4" w:space="0"/>
              <w:right w:val="single" w:color="auto" w:sz="2" w:space="0"/>
            </w:tcBorders>
            <w:tcMar>
              <w:top w:w="15" w:type="dxa"/>
              <w:left w:w="15" w:type="dxa"/>
              <w:bottom w:w="0" w:type="dxa"/>
              <w:right w:w="15" w:type="dxa"/>
            </w:tcMar>
            <w:vAlign w:val="bottom"/>
          </w:tcPr>
          <w:p>
            <w:pPr>
              <w:spacing w:line="360" w:lineRule="auto"/>
              <w:jc w:val="center"/>
              <w:rPr>
                <w:snapToGrid w:val="0"/>
                <w:kern w:val="0"/>
                <w:sz w:val="24"/>
                <w:szCs w:val="24"/>
              </w:rPr>
            </w:pPr>
          </w:p>
        </w:tc>
        <w:tc>
          <w:tcPr>
            <w:tcW w:w="2896" w:type="dxa"/>
            <w:tcBorders>
              <w:top w:val="nil"/>
              <w:left w:val="single" w:color="auto" w:sz="2" w:space="0"/>
              <w:bottom w:val="single" w:color="auto" w:sz="4" w:space="0"/>
              <w:right w:val="single" w:color="auto" w:sz="8" w:space="0"/>
            </w:tcBorders>
            <w:tcMar>
              <w:top w:w="15" w:type="dxa"/>
              <w:left w:w="15" w:type="dxa"/>
              <w:bottom w:w="0" w:type="dxa"/>
              <w:right w:w="15" w:type="dxa"/>
            </w:tcMar>
            <w:vAlign w:val="center"/>
          </w:tcPr>
          <w:p>
            <w:pPr>
              <w:spacing w:line="360" w:lineRule="auto"/>
              <w:rPr>
                <w:snapToGrid w:val="0"/>
                <w:kern w:val="0"/>
                <w:sz w:val="24"/>
                <w:szCs w:val="24"/>
              </w:rPr>
            </w:pPr>
          </w:p>
        </w:tc>
      </w:tr>
      <w:tr>
        <w:tblPrEx>
          <w:tblCellMar>
            <w:top w:w="0" w:type="dxa"/>
            <w:left w:w="0" w:type="dxa"/>
            <w:bottom w:w="0" w:type="dxa"/>
            <w:right w:w="0" w:type="dxa"/>
          </w:tblCellMar>
        </w:tblPrEx>
        <w:trPr>
          <w:cantSplit/>
          <w:trHeight w:val="397" w:hRule="atLeast"/>
        </w:trPr>
        <w:tc>
          <w:tcPr>
            <w:tcW w:w="739"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snapToGrid w:val="0"/>
                <w:kern w:val="0"/>
                <w:sz w:val="24"/>
                <w:szCs w:val="24"/>
              </w:rPr>
            </w:pPr>
            <w:r>
              <w:rPr>
                <w:snapToGrid w:val="0"/>
                <w:kern w:val="0"/>
                <w:sz w:val="24"/>
                <w:szCs w:val="24"/>
              </w:rPr>
              <w:t>2</w:t>
            </w:r>
          </w:p>
        </w:tc>
        <w:tc>
          <w:tcPr>
            <w:tcW w:w="362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rPr>
                <w:snapToGrid w:val="0"/>
                <w:kern w:val="0"/>
                <w:sz w:val="24"/>
                <w:szCs w:val="24"/>
              </w:rPr>
            </w:pPr>
          </w:p>
        </w:tc>
        <w:tc>
          <w:tcPr>
            <w:tcW w:w="1086" w:type="dxa"/>
            <w:tcBorders>
              <w:top w:val="nil"/>
              <w:left w:val="nil"/>
              <w:bottom w:val="single" w:color="auto" w:sz="4" w:space="0"/>
              <w:right w:val="single" w:color="auto" w:sz="2" w:space="0"/>
            </w:tcBorders>
            <w:tcMar>
              <w:top w:w="15" w:type="dxa"/>
              <w:left w:w="15" w:type="dxa"/>
              <w:bottom w:w="0" w:type="dxa"/>
              <w:right w:w="15" w:type="dxa"/>
            </w:tcMar>
            <w:vAlign w:val="bottom"/>
          </w:tcPr>
          <w:p>
            <w:pPr>
              <w:spacing w:line="360" w:lineRule="auto"/>
              <w:jc w:val="center"/>
              <w:rPr>
                <w:snapToGrid w:val="0"/>
                <w:kern w:val="0"/>
                <w:sz w:val="24"/>
                <w:szCs w:val="24"/>
              </w:rPr>
            </w:pPr>
          </w:p>
        </w:tc>
        <w:tc>
          <w:tcPr>
            <w:tcW w:w="2896" w:type="dxa"/>
            <w:tcBorders>
              <w:top w:val="nil"/>
              <w:left w:val="single" w:color="auto" w:sz="2" w:space="0"/>
              <w:bottom w:val="single" w:color="auto" w:sz="4" w:space="0"/>
              <w:right w:val="single" w:color="auto" w:sz="8" w:space="0"/>
            </w:tcBorders>
            <w:tcMar>
              <w:top w:w="15" w:type="dxa"/>
              <w:left w:w="15" w:type="dxa"/>
              <w:bottom w:w="0" w:type="dxa"/>
              <w:right w:w="15" w:type="dxa"/>
            </w:tcMar>
            <w:vAlign w:val="center"/>
          </w:tcPr>
          <w:p>
            <w:pPr>
              <w:spacing w:line="360" w:lineRule="auto"/>
              <w:rPr>
                <w:snapToGrid w:val="0"/>
                <w:kern w:val="0"/>
                <w:sz w:val="24"/>
                <w:szCs w:val="24"/>
              </w:rPr>
            </w:pPr>
          </w:p>
        </w:tc>
      </w:tr>
      <w:tr>
        <w:tblPrEx>
          <w:tblCellMar>
            <w:top w:w="0" w:type="dxa"/>
            <w:left w:w="0" w:type="dxa"/>
            <w:bottom w:w="0" w:type="dxa"/>
            <w:right w:w="0" w:type="dxa"/>
          </w:tblCellMar>
        </w:tblPrEx>
        <w:trPr>
          <w:cantSplit/>
          <w:trHeight w:val="397" w:hRule="atLeast"/>
        </w:trPr>
        <w:tc>
          <w:tcPr>
            <w:tcW w:w="739" w:type="dxa"/>
            <w:tcBorders>
              <w:top w:val="nil"/>
              <w:left w:val="single" w:color="auto" w:sz="8"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snapToGrid w:val="0"/>
                <w:kern w:val="0"/>
                <w:sz w:val="24"/>
                <w:szCs w:val="24"/>
              </w:rPr>
            </w:pPr>
            <w:r>
              <w:rPr>
                <w:snapToGrid w:val="0"/>
                <w:kern w:val="0"/>
                <w:sz w:val="24"/>
                <w:szCs w:val="24"/>
              </w:rPr>
              <w:t>3</w:t>
            </w:r>
          </w:p>
        </w:tc>
        <w:tc>
          <w:tcPr>
            <w:tcW w:w="3620" w:type="dxa"/>
            <w:tcBorders>
              <w:top w:val="single" w:color="auto" w:sz="4" w:space="0"/>
              <w:left w:val="nil"/>
              <w:bottom w:val="single" w:color="000000" w:sz="6" w:space="0"/>
              <w:right w:val="single" w:color="auto" w:sz="4" w:space="0"/>
            </w:tcBorders>
            <w:tcMar>
              <w:top w:w="15" w:type="dxa"/>
              <w:left w:w="15" w:type="dxa"/>
              <w:bottom w:w="0" w:type="dxa"/>
              <w:right w:w="15" w:type="dxa"/>
            </w:tcMar>
            <w:vAlign w:val="center"/>
          </w:tcPr>
          <w:p>
            <w:pPr>
              <w:spacing w:line="360" w:lineRule="auto"/>
              <w:rPr>
                <w:snapToGrid w:val="0"/>
                <w:kern w:val="0"/>
                <w:sz w:val="24"/>
                <w:szCs w:val="24"/>
              </w:rPr>
            </w:pPr>
          </w:p>
        </w:tc>
        <w:tc>
          <w:tcPr>
            <w:tcW w:w="1086" w:type="dxa"/>
            <w:tcBorders>
              <w:top w:val="nil"/>
              <w:left w:val="nil"/>
              <w:bottom w:val="single" w:color="000000" w:sz="6" w:space="0"/>
              <w:right w:val="single" w:color="auto" w:sz="2" w:space="0"/>
            </w:tcBorders>
            <w:tcMar>
              <w:top w:w="15" w:type="dxa"/>
              <w:left w:w="15" w:type="dxa"/>
              <w:bottom w:w="0" w:type="dxa"/>
              <w:right w:w="15" w:type="dxa"/>
            </w:tcMar>
            <w:vAlign w:val="bottom"/>
          </w:tcPr>
          <w:p>
            <w:pPr>
              <w:spacing w:line="360" w:lineRule="auto"/>
              <w:jc w:val="center"/>
              <w:rPr>
                <w:snapToGrid w:val="0"/>
                <w:kern w:val="0"/>
                <w:sz w:val="24"/>
                <w:szCs w:val="24"/>
              </w:rPr>
            </w:pPr>
          </w:p>
        </w:tc>
        <w:tc>
          <w:tcPr>
            <w:tcW w:w="2896" w:type="dxa"/>
            <w:tcBorders>
              <w:top w:val="nil"/>
              <w:left w:val="single" w:color="auto" w:sz="2" w:space="0"/>
              <w:bottom w:val="single" w:color="000000" w:sz="6" w:space="0"/>
              <w:right w:val="single" w:color="auto" w:sz="8" w:space="0"/>
            </w:tcBorders>
            <w:tcMar>
              <w:top w:w="15" w:type="dxa"/>
              <w:left w:w="15" w:type="dxa"/>
              <w:bottom w:w="0" w:type="dxa"/>
              <w:right w:w="15" w:type="dxa"/>
            </w:tcMar>
            <w:vAlign w:val="center"/>
          </w:tcPr>
          <w:p>
            <w:pPr>
              <w:spacing w:line="360" w:lineRule="auto"/>
              <w:rPr>
                <w:snapToGrid w:val="0"/>
                <w:kern w:val="0"/>
                <w:sz w:val="24"/>
                <w:szCs w:val="24"/>
              </w:rPr>
            </w:pPr>
          </w:p>
        </w:tc>
      </w:tr>
      <w:tr>
        <w:tblPrEx>
          <w:tblCellMar>
            <w:top w:w="0" w:type="dxa"/>
            <w:left w:w="0" w:type="dxa"/>
            <w:bottom w:w="0" w:type="dxa"/>
            <w:right w:w="0" w:type="dxa"/>
          </w:tblCellMar>
        </w:tblPrEx>
        <w:trPr>
          <w:cantSplit/>
          <w:trHeight w:val="397" w:hRule="atLeast"/>
        </w:trPr>
        <w:tc>
          <w:tcPr>
            <w:tcW w:w="739" w:type="dxa"/>
            <w:tcBorders>
              <w:top w:val="nil"/>
              <w:left w:val="single" w:color="auto" w:sz="8" w:space="0"/>
              <w:bottom w:val="single" w:color="000000" w:sz="6" w:space="0"/>
              <w:right w:val="single" w:color="auto" w:sz="4" w:space="0"/>
            </w:tcBorders>
            <w:tcMar>
              <w:top w:w="15" w:type="dxa"/>
              <w:left w:w="15" w:type="dxa"/>
              <w:bottom w:w="0" w:type="dxa"/>
              <w:right w:w="15" w:type="dxa"/>
            </w:tcMar>
            <w:vAlign w:val="center"/>
          </w:tcPr>
          <w:p>
            <w:pPr>
              <w:spacing w:line="360" w:lineRule="auto"/>
              <w:jc w:val="center"/>
              <w:rPr>
                <w:snapToGrid w:val="0"/>
                <w:kern w:val="0"/>
                <w:sz w:val="24"/>
                <w:szCs w:val="24"/>
              </w:rPr>
            </w:pPr>
            <w:r>
              <w:rPr>
                <w:snapToGrid w:val="0"/>
                <w:kern w:val="0"/>
                <w:sz w:val="24"/>
                <w:szCs w:val="24"/>
              </w:rPr>
              <w:t>4</w:t>
            </w:r>
          </w:p>
        </w:tc>
        <w:tc>
          <w:tcPr>
            <w:tcW w:w="3620" w:type="dxa"/>
            <w:tcBorders>
              <w:top w:val="single" w:color="000000" w:sz="6" w:space="0"/>
              <w:left w:val="single" w:color="000000" w:sz="6" w:space="0"/>
              <w:bottom w:val="single" w:color="000000" w:sz="6" w:space="0"/>
              <w:right w:val="single" w:color="000000" w:sz="6" w:space="0"/>
            </w:tcBorders>
            <w:tcMar>
              <w:top w:w="15" w:type="dxa"/>
              <w:left w:w="15" w:type="dxa"/>
              <w:bottom w:w="0" w:type="dxa"/>
              <w:right w:w="15" w:type="dxa"/>
            </w:tcMar>
            <w:vAlign w:val="center"/>
          </w:tcPr>
          <w:p>
            <w:pPr>
              <w:spacing w:line="360" w:lineRule="auto"/>
              <w:rPr>
                <w:snapToGrid w:val="0"/>
                <w:kern w:val="0"/>
                <w:sz w:val="24"/>
                <w:szCs w:val="24"/>
              </w:rPr>
            </w:pPr>
          </w:p>
        </w:tc>
        <w:tc>
          <w:tcPr>
            <w:tcW w:w="1086" w:type="dxa"/>
            <w:tcBorders>
              <w:top w:val="single" w:color="000000" w:sz="6" w:space="0"/>
              <w:left w:val="single" w:color="000000" w:sz="6" w:space="0"/>
              <w:bottom w:val="single" w:color="000000" w:sz="6" w:space="0"/>
              <w:right w:val="single" w:color="auto" w:sz="2" w:space="0"/>
            </w:tcBorders>
            <w:tcMar>
              <w:top w:w="15" w:type="dxa"/>
              <w:left w:w="15" w:type="dxa"/>
              <w:bottom w:w="0" w:type="dxa"/>
              <w:right w:w="15" w:type="dxa"/>
            </w:tcMar>
            <w:vAlign w:val="bottom"/>
          </w:tcPr>
          <w:p>
            <w:pPr>
              <w:spacing w:line="360" w:lineRule="auto"/>
              <w:jc w:val="center"/>
              <w:rPr>
                <w:snapToGrid w:val="0"/>
                <w:kern w:val="0"/>
                <w:sz w:val="24"/>
                <w:szCs w:val="24"/>
              </w:rPr>
            </w:pPr>
          </w:p>
        </w:tc>
        <w:tc>
          <w:tcPr>
            <w:tcW w:w="2896" w:type="dxa"/>
            <w:tcBorders>
              <w:top w:val="single" w:color="000000" w:sz="6" w:space="0"/>
              <w:left w:val="single" w:color="auto" w:sz="2" w:space="0"/>
              <w:bottom w:val="single" w:color="000000" w:sz="6" w:space="0"/>
              <w:right w:val="single" w:color="auto" w:sz="8" w:space="0"/>
            </w:tcBorders>
            <w:tcMar>
              <w:top w:w="15" w:type="dxa"/>
              <w:left w:w="15" w:type="dxa"/>
              <w:bottom w:w="0" w:type="dxa"/>
              <w:right w:w="15" w:type="dxa"/>
            </w:tcMar>
            <w:vAlign w:val="center"/>
          </w:tcPr>
          <w:p>
            <w:pPr>
              <w:spacing w:line="360" w:lineRule="auto"/>
              <w:rPr>
                <w:snapToGrid w:val="0"/>
                <w:kern w:val="0"/>
                <w:sz w:val="24"/>
                <w:szCs w:val="24"/>
              </w:rPr>
            </w:pPr>
          </w:p>
        </w:tc>
      </w:tr>
      <w:tr>
        <w:tblPrEx>
          <w:tblCellMar>
            <w:top w:w="0" w:type="dxa"/>
            <w:left w:w="0" w:type="dxa"/>
            <w:bottom w:w="0" w:type="dxa"/>
            <w:right w:w="0" w:type="dxa"/>
          </w:tblCellMar>
        </w:tblPrEx>
        <w:trPr>
          <w:cantSplit/>
          <w:trHeight w:val="397" w:hRule="atLeast"/>
        </w:trPr>
        <w:tc>
          <w:tcPr>
            <w:tcW w:w="739" w:type="dxa"/>
            <w:tcBorders>
              <w:top w:val="single" w:color="000000" w:sz="6" w:space="0"/>
              <w:left w:val="single" w:color="auto" w:sz="8" w:space="0"/>
              <w:bottom w:val="single" w:color="000000" w:sz="6" w:space="0"/>
              <w:right w:val="single" w:color="000000" w:sz="6" w:space="0"/>
            </w:tcBorders>
            <w:tcMar>
              <w:top w:w="15" w:type="dxa"/>
              <w:left w:w="15" w:type="dxa"/>
              <w:bottom w:w="0" w:type="dxa"/>
              <w:right w:w="15" w:type="dxa"/>
            </w:tcMar>
            <w:vAlign w:val="center"/>
          </w:tcPr>
          <w:p>
            <w:pPr>
              <w:spacing w:line="360" w:lineRule="auto"/>
              <w:jc w:val="center"/>
              <w:rPr>
                <w:snapToGrid w:val="0"/>
                <w:kern w:val="0"/>
                <w:sz w:val="24"/>
                <w:szCs w:val="24"/>
              </w:rPr>
            </w:pPr>
            <w:r>
              <w:rPr>
                <w:snapToGrid w:val="0"/>
                <w:kern w:val="0"/>
                <w:sz w:val="24"/>
                <w:szCs w:val="24"/>
              </w:rPr>
              <w:t>5</w:t>
            </w:r>
          </w:p>
        </w:tc>
        <w:tc>
          <w:tcPr>
            <w:tcW w:w="3620" w:type="dxa"/>
            <w:tcBorders>
              <w:top w:val="single" w:color="000000" w:sz="6" w:space="0"/>
              <w:left w:val="single" w:color="000000" w:sz="6" w:space="0"/>
              <w:bottom w:val="single" w:color="000000" w:sz="6" w:space="0"/>
              <w:right w:val="single" w:color="000000" w:sz="6" w:space="0"/>
            </w:tcBorders>
            <w:tcMar>
              <w:top w:w="15" w:type="dxa"/>
              <w:left w:w="15" w:type="dxa"/>
              <w:bottom w:w="0" w:type="dxa"/>
              <w:right w:w="15" w:type="dxa"/>
            </w:tcMar>
            <w:vAlign w:val="center"/>
          </w:tcPr>
          <w:p>
            <w:pPr>
              <w:spacing w:line="360" w:lineRule="auto"/>
              <w:rPr>
                <w:snapToGrid w:val="0"/>
                <w:kern w:val="0"/>
                <w:sz w:val="24"/>
                <w:szCs w:val="24"/>
              </w:rPr>
            </w:pPr>
          </w:p>
        </w:tc>
        <w:tc>
          <w:tcPr>
            <w:tcW w:w="1086" w:type="dxa"/>
            <w:tcBorders>
              <w:top w:val="single" w:color="000000" w:sz="6" w:space="0"/>
              <w:left w:val="single" w:color="000000" w:sz="6" w:space="0"/>
              <w:bottom w:val="single" w:color="000000" w:sz="6" w:space="0"/>
              <w:right w:val="single" w:color="auto" w:sz="2" w:space="0"/>
            </w:tcBorders>
            <w:tcMar>
              <w:top w:w="15" w:type="dxa"/>
              <w:left w:w="15" w:type="dxa"/>
              <w:bottom w:w="0" w:type="dxa"/>
              <w:right w:w="15" w:type="dxa"/>
            </w:tcMar>
            <w:vAlign w:val="center"/>
          </w:tcPr>
          <w:p>
            <w:pPr>
              <w:spacing w:line="360" w:lineRule="auto"/>
              <w:jc w:val="center"/>
              <w:rPr>
                <w:snapToGrid w:val="0"/>
                <w:kern w:val="0"/>
                <w:sz w:val="24"/>
                <w:szCs w:val="24"/>
              </w:rPr>
            </w:pPr>
          </w:p>
        </w:tc>
        <w:tc>
          <w:tcPr>
            <w:tcW w:w="2896" w:type="dxa"/>
            <w:tcBorders>
              <w:top w:val="single" w:color="000000" w:sz="6" w:space="0"/>
              <w:left w:val="single" w:color="auto" w:sz="2" w:space="0"/>
              <w:bottom w:val="single" w:color="000000" w:sz="6" w:space="0"/>
              <w:right w:val="single" w:color="auto" w:sz="8" w:space="0"/>
            </w:tcBorders>
            <w:tcMar>
              <w:top w:w="15" w:type="dxa"/>
              <w:left w:w="15" w:type="dxa"/>
              <w:bottom w:w="0" w:type="dxa"/>
              <w:right w:w="15" w:type="dxa"/>
            </w:tcMar>
            <w:vAlign w:val="center"/>
          </w:tcPr>
          <w:p>
            <w:pPr>
              <w:spacing w:line="360" w:lineRule="auto"/>
              <w:rPr>
                <w:snapToGrid w:val="0"/>
                <w:kern w:val="0"/>
                <w:sz w:val="24"/>
                <w:szCs w:val="24"/>
              </w:rPr>
            </w:pPr>
          </w:p>
        </w:tc>
      </w:tr>
    </w:tbl>
    <w:p>
      <w:pPr>
        <w:rPr>
          <w:snapToGrid w:val="0"/>
          <w:kern w:val="0"/>
          <w:sz w:val="24"/>
        </w:rPr>
      </w:pPr>
    </w:p>
    <w:p>
      <w:pPr>
        <w:rPr>
          <w:snapToGrid w:val="0"/>
          <w:kern w:val="0"/>
          <w:sz w:val="24"/>
        </w:rPr>
      </w:pPr>
      <w:r>
        <w:rPr>
          <w:snapToGrid w:val="0"/>
          <w:kern w:val="0"/>
          <w:sz w:val="24"/>
        </w:rPr>
        <w:t>附表3  专用工具</w:t>
      </w:r>
    </w:p>
    <w:p>
      <w:pPr>
        <w:spacing w:line="360" w:lineRule="auto"/>
        <w:rPr>
          <w:snapToGrid w:val="0"/>
          <w:kern w:val="0"/>
          <w:sz w:val="24"/>
        </w:rPr>
      </w:pPr>
      <w:r>
        <w:rPr>
          <w:snapToGrid w:val="0"/>
          <w:kern w:val="0"/>
          <w:sz w:val="24"/>
        </w:rPr>
        <w:t>1. 对投标人提供的所有设备进行调整、拆卸、安装、调试和试验及维修等的专用工具及试验设备，由投标人提供。</w:t>
      </w:r>
    </w:p>
    <w:p>
      <w:pPr>
        <w:spacing w:line="360" w:lineRule="auto"/>
        <w:rPr>
          <w:snapToGrid w:val="0"/>
          <w:kern w:val="0"/>
          <w:sz w:val="24"/>
        </w:rPr>
      </w:pPr>
      <w:r>
        <w:rPr>
          <w:snapToGrid w:val="0"/>
          <w:kern w:val="0"/>
          <w:sz w:val="24"/>
        </w:rPr>
        <w:t>2.专用工具及测试设备应是新的，质量应是一流的。</w:t>
      </w:r>
    </w:p>
    <w:p>
      <w:pPr>
        <w:spacing w:line="360" w:lineRule="auto"/>
        <w:rPr>
          <w:snapToGrid w:val="0"/>
          <w:kern w:val="0"/>
          <w:sz w:val="24"/>
        </w:rPr>
      </w:pPr>
      <w:r>
        <w:rPr>
          <w:snapToGrid w:val="0"/>
          <w:kern w:val="0"/>
          <w:sz w:val="24"/>
        </w:rPr>
        <w:t>3.工具和测试设备应整齐地放置在箱子内，并且装在一个合适的、独立的集装箱里，集装箱上要清楚地标出设备名称。</w:t>
      </w:r>
    </w:p>
    <w:p>
      <w:pPr>
        <w:autoSpaceDE w:val="0"/>
        <w:autoSpaceDN w:val="0"/>
        <w:snapToGrid w:val="0"/>
        <w:spacing w:line="360" w:lineRule="auto"/>
        <w:textAlignment w:val="bottom"/>
        <w:rPr>
          <w:snapToGrid w:val="0"/>
          <w:kern w:val="0"/>
          <w:sz w:val="24"/>
        </w:rPr>
      </w:pPr>
      <w:r>
        <w:rPr>
          <w:snapToGrid w:val="0"/>
          <w:kern w:val="0"/>
          <w:sz w:val="24"/>
        </w:rPr>
        <w:t>4.投标人应在投标书中提供一份完整的专用工具清单及这些专用工具的可选价格。此表应详细地标出这些工具的功能以及所应用的特殊项目和其它项目。价格将作为评标的一部分。</w:t>
      </w:r>
    </w:p>
    <w:p>
      <w:pPr>
        <w:autoSpaceDE w:val="0"/>
        <w:autoSpaceDN w:val="0"/>
        <w:snapToGrid w:val="0"/>
        <w:spacing w:line="360" w:lineRule="auto"/>
        <w:textAlignment w:val="bottom"/>
        <w:rPr>
          <w:snapToGrid w:val="0"/>
          <w:kern w:val="0"/>
          <w:sz w:val="24"/>
        </w:rPr>
      </w:pPr>
      <w:r>
        <w:rPr>
          <w:snapToGrid w:val="0"/>
          <w:kern w:val="0"/>
          <w:sz w:val="24"/>
        </w:rPr>
        <w:t>5.除了随合同设备提供的专用工具以外，投标人还应提供一份建议增加的安装工具及试验、测量仪表清单，并列出每一项的单价，供招标人参考和选择。</w:t>
      </w:r>
    </w:p>
    <w:p>
      <w:pPr>
        <w:autoSpaceDE w:val="0"/>
        <w:autoSpaceDN w:val="0"/>
        <w:spacing w:line="360" w:lineRule="auto"/>
        <w:rPr>
          <w:snapToGrid w:val="0"/>
          <w:kern w:val="0"/>
          <w:sz w:val="24"/>
        </w:rPr>
      </w:pPr>
      <w:r>
        <w:rPr>
          <w:snapToGrid w:val="0"/>
          <w:kern w:val="0"/>
          <w:sz w:val="24"/>
        </w:rPr>
        <w:t>专用工具清单</w:t>
      </w:r>
    </w:p>
    <w:tbl>
      <w:tblPr>
        <w:tblStyle w:val="49"/>
        <w:tblW w:w="8280"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5"/>
        <w:gridCol w:w="4621"/>
        <w:gridCol w:w="1154"/>
        <w:gridCol w:w="900"/>
        <w:gridCol w:w="90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259" w:hRule="atLeast"/>
          <w:tblHeader/>
        </w:trPr>
        <w:tc>
          <w:tcPr>
            <w:tcW w:w="705" w:type="dxa"/>
            <w:tcBorders>
              <w:top w:val="single" w:color="auto" w:sz="2" w:space="0"/>
              <w:left w:val="single" w:color="auto" w:sz="2" w:space="0"/>
              <w:bottom w:val="single" w:color="auto" w:sz="2" w:space="0"/>
              <w:right w:val="single" w:color="auto" w:sz="2" w:space="0"/>
            </w:tcBorders>
            <w:vAlign w:val="center"/>
          </w:tcPr>
          <w:p>
            <w:pPr>
              <w:spacing w:line="360" w:lineRule="auto"/>
              <w:jc w:val="center"/>
              <w:rPr>
                <w:snapToGrid w:val="0"/>
                <w:kern w:val="0"/>
                <w:sz w:val="24"/>
                <w:szCs w:val="24"/>
              </w:rPr>
            </w:pPr>
            <w:r>
              <w:rPr>
                <w:rFonts w:hint="eastAsia"/>
                <w:snapToGrid w:val="0"/>
                <w:kern w:val="0"/>
                <w:sz w:val="24"/>
                <w:szCs w:val="24"/>
              </w:rPr>
              <w:t>序号</w:t>
            </w:r>
          </w:p>
        </w:tc>
        <w:tc>
          <w:tcPr>
            <w:tcW w:w="4621" w:type="dxa"/>
            <w:tcBorders>
              <w:top w:val="single" w:color="auto" w:sz="2" w:space="0"/>
              <w:left w:val="single" w:color="auto" w:sz="2" w:space="0"/>
              <w:bottom w:val="single" w:color="auto" w:sz="2" w:space="0"/>
              <w:right w:val="single" w:color="auto" w:sz="2" w:space="0"/>
            </w:tcBorders>
            <w:vAlign w:val="center"/>
          </w:tcPr>
          <w:p>
            <w:pPr>
              <w:spacing w:line="360" w:lineRule="auto"/>
              <w:jc w:val="center"/>
              <w:rPr>
                <w:snapToGrid w:val="0"/>
                <w:kern w:val="0"/>
                <w:sz w:val="24"/>
                <w:szCs w:val="24"/>
              </w:rPr>
            </w:pPr>
            <w:r>
              <w:rPr>
                <w:rFonts w:hint="eastAsia"/>
                <w:snapToGrid w:val="0"/>
                <w:kern w:val="0"/>
                <w:sz w:val="24"/>
                <w:szCs w:val="24"/>
              </w:rPr>
              <w:t>项目</w:t>
            </w:r>
          </w:p>
        </w:tc>
        <w:tc>
          <w:tcPr>
            <w:tcW w:w="1154" w:type="dxa"/>
            <w:tcBorders>
              <w:top w:val="single" w:color="auto" w:sz="2" w:space="0"/>
              <w:left w:val="single" w:color="auto" w:sz="2" w:space="0"/>
              <w:bottom w:val="single" w:color="auto" w:sz="2" w:space="0"/>
              <w:right w:val="single" w:color="auto" w:sz="2" w:space="0"/>
            </w:tcBorders>
            <w:vAlign w:val="center"/>
          </w:tcPr>
          <w:p>
            <w:pPr>
              <w:spacing w:line="360" w:lineRule="auto"/>
              <w:jc w:val="center"/>
              <w:rPr>
                <w:snapToGrid w:val="0"/>
                <w:kern w:val="0"/>
                <w:sz w:val="24"/>
                <w:szCs w:val="24"/>
              </w:rPr>
            </w:pPr>
            <w:r>
              <w:rPr>
                <w:rFonts w:hint="eastAsia"/>
                <w:snapToGrid w:val="0"/>
                <w:kern w:val="0"/>
                <w:sz w:val="24"/>
                <w:szCs w:val="24"/>
              </w:rPr>
              <w:t>数量</w:t>
            </w:r>
          </w:p>
        </w:tc>
        <w:tc>
          <w:tcPr>
            <w:tcW w:w="900" w:type="dxa"/>
            <w:tcBorders>
              <w:top w:val="single" w:color="auto" w:sz="2" w:space="0"/>
              <w:left w:val="single" w:color="auto" w:sz="2" w:space="0"/>
              <w:bottom w:val="single" w:color="auto" w:sz="2" w:space="0"/>
              <w:right w:val="single" w:color="auto" w:sz="2" w:space="0"/>
            </w:tcBorders>
            <w:vAlign w:val="center"/>
          </w:tcPr>
          <w:p>
            <w:pPr>
              <w:spacing w:line="360" w:lineRule="auto"/>
              <w:jc w:val="center"/>
              <w:rPr>
                <w:snapToGrid w:val="0"/>
                <w:kern w:val="0"/>
                <w:sz w:val="24"/>
                <w:szCs w:val="24"/>
              </w:rPr>
            </w:pPr>
            <w:r>
              <w:rPr>
                <w:rFonts w:hint="eastAsia"/>
                <w:snapToGrid w:val="0"/>
                <w:kern w:val="0"/>
                <w:sz w:val="24"/>
                <w:szCs w:val="24"/>
              </w:rPr>
              <w:t>型号</w:t>
            </w:r>
          </w:p>
        </w:tc>
        <w:tc>
          <w:tcPr>
            <w:tcW w:w="900" w:type="dxa"/>
            <w:tcBorders>
              <w:top w:val="single" w:color="auto" w:sz="2" w:space="0"/>
              <w:left w:val="single" w:color="auto" w:sz="2" w:space="0"/>
              <w:bottom w:val="single" w:color="auto" w:sz="2" w:space="0"/>
              <w:right w:val="single" w:color="auto" w:sz="2" w:space="0"/>
            </w:tcBorders>
            <w:vAlign w:val="center"/>
          </w:tcPr>
          <w:p>
            <w:pPr>
              <w:spacing w:line="360" w:lineRule="auto"/>
              <w:jc w:val="center"/>
              <w:rPr>
                <w:snapToGrid w:val="0"/>
                <w:kern w:val="0"/>
                <w:sz w:val="24"/>
                <w:szCs w:val="24"/>
              </w:rPr>
            </w:pPr>
            <w:r>
              <w:rPr>
                <w:rFonts w:hint="eastAsia"/>
                <w:snapToGrid w:val="0"/>
                <w:kern w:val="0"/>
                <w:sz w:val="24"/>
                <w:szCs w:val="24"/>
              </w:rPr>
              <w:t>厂商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284" w:hRule="atLeast"/>
        </w:trPr>
        <w:tc>
          <w:tcPr>
            <w:tcW w:w="705" w:type="dxa"/>
            <w:tcBorders>
              <w:top w:val="single" w:color="auto" w:sz="2" w:space="0"/>
              <w:left w:val="single" w:color="auto" w:sz="2" w:space="0"/>
              <w:bottom w:val="single" w:color="auto" w:sz="2" w:space="0"/>
              <w:right w:val="single" w:color="auto" w:sz="2" w:space="0"/>
            </w:tcBorders>
          </w:tcPr>
          <w:p>
            <w:pPr>
              <w:spacing w:line="360" w:lineRule="auto"/>
              <w:jc w:val="center"/>
              <w:rPr>
                <w:snapToGrid w:val="0"/>
                <w:kern w:val="0"/>
                <w:sz w:val="24"/>
                <w:szCs w:val="24"/>
              </w:rPr>
            </w:pPr>
            <w:r>
              <w:rPr>
                <w:snapToGrid w:val="0"/>
                <w:kern w:val="0"/>
                <w:sz w:val="24"/>
                <w:szCs w:val="24"/>
              </w:rPr>
              <w:t>1</w:t>
            </w:r>
          </w:p>
        </w:tc>
        <w:tc>
          <w:tcPr>
            <w:tcW w:w="4621" w:type="dxa"/>
            <w:tcBorders>
              <w:top w:val="single" w:color="auto" w:sz="2" w:space="0"/>
              <w:left w:val="single" w:color="auto" w:sz="2" w:space="0"/>
              <w:bottom w:val="single" w:color="auto" w:sz="2" w:space="0"/>
              <w:right w:val="single" w:color="auto" w:sz="2" w:space="0"/>
            </w:tcBorders>
          </w:tcPr>
          <w:p>
            <w:pPr>
              <w:spacing w:line="360" w:lineRule="auto"/>
              <w:jc w:val="left"/>
              <w:rPr>
                <w:snapToGrid w:val="0"/>
                <w:kern w:val="0"/>
                <w:sz w:val="24"/>
                <w:szCs w:val="24"/>
              </w:rPr>
            </w:pPr>
            <w:r>
              <w:rPr>
                <w:rFonts w:hint="eastAsia"/>
                <w:snapToGrid w:val="0"/>
                <w:kern w:val="0"/>
                <w:sz w:val="24"/>
                <w:szCs w:val="24"/>
              </w:rPr>
              <w:t>发电机装抽转子工具（含起吊工具、转子支架）</w:t>
            </w:r>
          </w:p>
        </w:tc>
        <w:tc>
          <w:tcPr>
            <w:tcW w:w="1154" w:type="dxa"/>
            <w:tcBorders>
              <w:top w:val="single" w:color="auto" w:sz="2" w:space="0"/>
              <w:left w:val="single" w:color="auto" w:sz="2" w:space="0"/>
              <w:bottom w:val="single" w:color="auto" w:sz="2" w:space="0"/>
              <w:right w:val="single" w:color="auto" w:sz="2" w:space="0"/>
            </w:tcBorders>
            <w:vAlign w:val="center"/>
          </w:tcPr>
          <w:p>
            <w:pPr>
              <w:spacing w:line="360" w:lineRule="auto"/>
              <w:jc w:val="center"/>
              <w:rPr>
                <w:snapToGrid w:val="0"/>
                <w:kern w:val="0"/>
                <w:sz w:val="24"/>
                <w:szCs w:val="24"/>
              </w:rPr>
            </w:pPr>
            <w:r>
              <w:rPr>
                <w:snapToGrid w:val="0"/>
                <w:kern w:val="0"/>
                <w:sz w:val="24"/>
                <w:szCs w:val="24"/>
              </w:rPr>
              <w:t>1</w:t>
            </w:r>
            <w:r>
              <w:rPr>
                <w:rFonts w:hint="eastAsia"/>
                <w:snapToGrid w:val="0"/>
                <w:kern w:val="0"/>
                <w:sz w:val="24"/>
                <w:szCs w:val="24"/>
              </w:rPr>
              <w:t>套</w:t>
            </w:r>
          </w:p>
        </w:tc>
        <w:tc>
          <w:tcPr>
            <w:tcW w:w="900" w:type="dxa"/>
            <w:tcBorders>
              <w:top w:val="single" w:color="auto" w:sz="2" w:space="0"/>
              <w:left w:val="single" w:color="auto" w:sz="2" w:space="0"/>
              <w:bottom w:val="single" w:color="auto" w:sz="2" w:space="0"/>
              <w:right w:val="single" w:color="auto" w:sz="2" w:space="0"/>
            </w:tcBorders>
          </w:tcPr>
          <w:p>
            <w:pPr>
              <w:spacing w:line="360" w:lineRule="auto"/>
              <w:jc w:val="center"/>
              <w:rPr>
                <w:snapToGrid w:val="0"/>
                <w:kern w:val="0"/>
                <w:sz w:val="24"/>
                <w:szCs w:val="24"/>
              </w:rPr>
            </w:pPr>
          </w:p>
        </w:tc>
        <w:tc>
          <w:tcPr>
            <w:tcW w:w="900" w:type="dxa"/>
            <w:tcBorders>
              <w:top w:val="single" w:color="auto" w:sz="2" w:space="0"/>
              <w:left w:val="single" w:color="auto" w:sz="2" w:space="0"/>
              <w:bottom w:val="single" w:color="auto" w:sz="2" w:space="0"/>
              <w:right w:val="single" w:color="auto" w:sz="2" w:space="0"/>
            </w:tcBorders>
          </w:tcPr>
          <w:p>
            <w:pPr>
              <w:spacing w:line="360" w:lineRule="auto"/>
              <w:jc w:val="center"/>
              <w:rPr>
                <w:snapToGrid w:val="0"/>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284" w:hRule="atLeast"/>
        </w:trPr>
        <w:tc>
          <w:tcPr>
            <w:tcW w:w="705" w:type="dxa"/>
            <w:tcBorders>
              <w:top w:val="single" w:color="auto" w:sz="2" w:space="0"/>
              <w:left w:val="single" w:color="auto" w:sz="2" w:space="0"/>
              <w:bottom w:val="single" w:color="auto" w:sz="2" w:space="0"/>
              <w:right w:val="single" w:color="auto" w:sz="2" w:space="0"/>
            </w:tcBorders>
          </w:tcPr>
          <w:p>
            <w:pPr>
              <w:spacing w:line="360" w:lineRule="auto"/>
              <w:jc w:val="center"/>
              <w:rPr>
                <w:snapToGrid w:val="0"/>
                <w:kern w:val="0"/>
                <w:sz w:val="24"/>
                <w:szCs w:val="24"/>
              </w:rPr>
            </w:pPr>
            <w:r>
              <w:rPr>
                <w:snapToGrid w:val="0"/>
                <w:kern w:val="0"/>
                <w:sz w:val="24"/>
                <w:szCs w:val="24"/>
              </w:rPr>
              <w:t>2</w:t>
            </w:r>
          </w:p>
        </w:tc>
        <w:tc>
          <w:tcPr>
            <w:tcW w:w="4621" w:type="dxa"/>
            <w:tcBorders>
              <w:top w:val="single" w:color="auto" w:sz="2" w:space="0"/>
              <w:left w:val="single" w:color="auto" w:sz="2" w:space="0"/>
              <w:bottom w:val="single" w:color="auto" w:sz="2" w:space="0"/>
              <w:right w:val="single" w:color="auto" w:sz="2" w:space="0"/>
            </w:tcBorders>
          </w:tcPr>
          <w:p>
            <w:pPr>
              <w:spacing w:line="360" w:lineRule="auto"/>
              <w:jc w:val="left"/>
              <w:rPr>
                <w:snapToGrid w:val="0"/>
                <w:kern w:val="0"/>
                <w:sz w:val="24"/>
                <w:szCs w:val="24"/>
              </w:rPr>
            </w:pPr>
            <w:r>
              <w:rPr>
                <w:rFonts w:hint="eastAsia"/>
                <w:snapToGrid w:val="0"/>
                <w:kern w:val="0"/>
                <w:sz w:val="24"/>
                <w:szCs w:val="24"/>
              </w:rPr>
              <w:t>轴承拆装工具</w:t>
            </w:r>
          </w:p>
        </w:tc>
        <w:tc>
          <w:tcPr>
            <w:tcW w:w="1154" w:type="dxa"/>
            <w:tcBorders>
              <w:top w:val="single" w:color="auto" w:sz="2" w:space="0"/>
              <w:left w:val="single" w:color="auto" w:sz="2" w:space="0"/>
              <w:bottom w:val="single" w:color="auto" w:sz="2" w:space="0"/>
              <w:right w:val="single" w:color="auto" w:sz="2" w:space="0"/>
            </w:tcBorders>
            <w:vAlign w:val="center"/>
          </w:tcPr>
          <w:p>
            <w:pPr>
              <w:spacing w:line="360" w:lineRule="auto"/>
              <w:jc w:val="center"/>
              <w:rPr>
                <w:snapToGrid w:val="0"/>
                <w:kern w:val="0"/>
                <w:sz w:val="24"/>
                <w:szCs w:val="24"/>
              </w:rPr>
            </w:pPr>
            <w:r>
              <w:rPr>
                <w:snapToGrid w:val="0"/>
                <w:kern w:val="0"/>
                <w:sz w:val="24"/>
                <w:szCs w:val="24"/>
              </w:rPr>
              <w:t>1</w:t>
            </w:r>
            <w:r>
              <w:rPr>
                <w:rFonts w:hint="eastAsia"/>
                <w:snapToGrid w:val="0"/>
                <w:kern w:val="0"/>
                <w:sz w:val="24"/>
                <w:szCs w:val="24"/>
              </w:rPr>
              <w:t>套</w:t>
            </w:r>
          </w:p>
        </w:tc>
        <w:tc>
          <w:tcPr>
            <w:tcW w:w="900" w:type="dxa"/>
            <w:tcBorders>
              <w:top w:val="single" w:color="auto" w:sz="2" w:space="0"/>
              <w:left w:val="single" w:color="auto" w:sz="2" w:space="0"/>
              <w:bottom w:val="single" w:color="auto" w:sz="2" w:space="0"/>
              <w:right w:val="single" w:color="auto" w:sz="2" w:space="0"/>
            </w:tcBorders>
          </w:tcPr>
          <w:p>
            <w:pPr>
              <w:spacing w:line="360" w:lineRule="auto"/>
              <w:jc w:val="center"/>
              <w:rPr>
                <w:snapToGrid w:val="0"/>
                <w:kern w:val="0"/>
                <w:sz w:val="24"/>
                <w:szCs w:val="24"/>
              </w:rPr>
            </w:pPr>
          </w:p>
        </w:tc>
        <w:tc>
          <w:tcPr>
            <w:tcW w:w="900" w:type="dxa"/>
            <w:tcBorders>
              <w:top w:val="single" w:color="auto" w:sz="2" w:space="0"/>
              <w:left w:val="single" w:color="auto" w:sz="2" w:space="0"/>
              <w:bottom w:val="single" w:color="auto" w:sz="2" w:space="0"/>
              <w:right w:val="single" w:color="auto" w:sz="2" w:space="0"/>
            </w:tcBorders>
          </w:tcPr>
          <w:p>
            <w:pPr>
              <w:spacing w:line="360" w:lineRule="auto"/>
              <w:jc w:val="center"/>
              <w:rPr>
                <w:snapToGrid w:val="0"/>
                <w:kern w:val="0"/>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284" w:hRule="atLeast"/>
        </w:trPr>
        <w:tc>
          <w:tcPr>
            <w:tcW w:w="705" w:type="dxa"/>
            <w:tcBorders>
              <w:top w:val="single" w:color="auto" w:sz="2" w:space="0"/>
              <w:left w:val="single" w:color="auto" w:sz="2" w:space="0"/>
              <w:bottom w:val="single" w:color="auto" w:sz="2" w:space="0"/>
              <w:right w:val="single" w:color="auto" w:sz="2" w:space="0"/>
            </w:tcBorders>
          </w:tcPr>
          <w:p>
            <w:pPr>
              <w:spacing w:line="360" w:lineRule="auto"/>
              <w:jc w:val="center"/>
              <w:rPr>
                <w:snapToGrid w:val="0"/>
                <w:kern w:val="0"/>
                <w:sz w:val="24"/>
                <w:szCs w:val="24"/>
              </w:rPr>
            </w:pPr>
            <w:r>
              <w:rPr>
                <w:rFonts w:hint="eastAsia"/>
                <w:snapToGrid w:val="0"/>
                <w:kern w:val="0"/>
                <w:sz w:val="24"/>
                <w:szCs w:val="24"/>
              </w:rPr>
              <w:t>3</w:t>
            </w:r>
          </w:p>
        </w:tc>
        <w:tc>
          <w:tcPr>
            <w:tcW w:w="4621" w:type="dxa"/>
            <w:tcBorders>
              <w:top w:val="single" w:color="auto" w:sz="2" w:space="0"/>
              <w:left w:val="single" w:color="auto" w:sz="2" w:space="0"/>
              <w:bottom w:val="single" w:color="auto" w:sz="2" w:space="0"/>
              <w:right w:val="single" w:color="auto" w:sz="2" w:space="0"/>
            </w:tcBorders>
          </w:tcPr>
          <w:p>
            <w:pPr>
              <w:spacing w:line="360" w:lineRule="auto"/>
              <w:jc w:val="left"/>
              <w:rPr>
                <w:snapToGrid w:val="0"/>
                <w:kern w:val="0"/>
                <w:sz w:val="24"/>
                <w:szCs w:val="24"/>
              </w:rPr>
            </w:pPr>
            <w:r>
              <w:rPr>
                <w:rFonts w:hint="eastAsia"/>
                <w:snapToGrid w:val="0"/>
                <w:kern w:val="0"/>
                <w:sz w:val="24"/>
                <w:szCs w:val="24"/>
              </w:rPr>
              <w:t>护环拆装工具</w:t>
            </w:r>
          </w:p>
        </w:tc>
        <w:tc>
          <w:tcPr>
            <w:tcW w:w="1154" w:type="dxa"/>
            <w:tcBorders>
              <w:top w:val="single" w:color="auto" w:sz="2" w:space="0"/>
              <w:left w:val="single" w:color="auto" w:sz="2" w:space="0"/>
              <w:bottom w:val="single" w:color="auto" w:sz="2" w:space="0"/>
              <w:right w:val="single" w:color="auto" w:sz="2" w:space="0"/>
            </w:tcBorders>
            <w:vAlign w:val="center"/>
          </w:tcPr>
          <w:p>
            <w:pPr>
              <w:spacing w:line="360" w:lineRule="auto"/>
              <w:jc w:val="center"/>
              <w:rPr>
                <w:snapToGrid w:val="0"/>
                <w:kern w:val="0"/>
                <w:sz w:val="24"/>
                <w:szCs w:val="24"/>
              </w:rPr>
            </w:pPr>
            <w:r>
              <w:rPr>
                <w:rFonts w:hint="eastAsia"/>
                <w:snapToGrid w:val="0"/>
                <w:kern w:val="0"/>
                <w:sz w:val="24"/>
                <w:szCs w:val="24"/>
              </w:rPr>
              <w:t>1套</w:t>
            </w:r>
          </w:p>
        </w:tc>
        <w:tc>
          <w:tcPr>
            <w:tcW w:w="900" w:type="dxa"/>
            <w:tcBorders>
              <w:top w:val="single" w:color="auto" w:sz="2" w:space="0"/>
              <w:left w:val="single" w:color="auto" w:sz="2" w:space="0"/>
              <w:bottom w:val="single" w:color="auto" w:sz="2" w:space="0"/>
              <w:right w:val="single" w:color="auto" w:sz="2" w:space="0"/>
            </w:tcBorders>
          </w:tcPr>
          <w:p>
            <w:pPr>
              <w:spacing w:line="360" w:lineRule="auto"/>
              <w:jc w:val="center"/>
              <w:rPr>
                <w:snapToGrid w:val="0"/>
                <w:kern w:val="0"/>
                <w:sz w:val="24"/>
                <w:szCs w:val="24"/>
              </w:rPr>
            </w:pPr>
          </w:p>
        </w:tc>
        <w:tc>
          <w:tcPr>
            <w:tcW w:w="900" w:type="dxa"/>
            <w:tcBorders>
              <w:top w:val="single" w:color="auto" w:sz="2" w:space="0"/>
              <w:left w:val="single" w:color="auto" w:sz="2" w:space="0"/>
              <w:bottom w:val="single" w:color="auto" w:sz="2" w:space="0"/>
              <w:right w:val="single" w:color="auto" w:sz="2" w:space="0"/>
            </w:tcBorders>
          </w:tcPr>
          <w:p>
            <w:pPr>
              <w:spacing w:line="360" w:lineRule="auto"/>
              <w:jc w:val="center"/>
              <w:rPr>
                <w:snapToGrid w:val="0"/>
                <w:kern w:val="0"/>
                <w:sz w:val="24"/>
                <w:szCs w:val="24"/>
              </w:rPr>
            </w:pPr>
          </w:p>
        </w:tc>
      </w:tr>
    </w:tbl>
    <w:p>
      <w:pPr>
        <w:rPr>
          <w:snapToGrid w:val="0"/>
          <w:kern w:val="0"/>
          <w:sz w:val="24"/>
        </w:rPr>
      </w:pPr>
    </w:p>
    <w:p>
      <w:pPr>
        <w:spacing w:line="360" w:lineRule="auto"/>
        <w:rPr>
          <w:sz w:val="24"/>
          <w:szCs w:val="24"/>
        </w:rPr>
      </w:pPr>
    </w:p>
    <w:p>
      <w:pPr>
        <w:rPr>
          <w:snapToGrid w:val="0"/>
          <w:kern w:val="0"/>
          <w:sz w:val="24"/>
          <w:szCs w:val="24"/>
        </w:rPr>
      </w:pPr>
      <w:r>
        <w:rPr>
          <w:snapToGrid w:val="0"/>
          <w:kern w:val="0"/>
          <w:sz w:val="24"/>
          <w:szCs w:val="24"/>
        </w:rPr>
        <w:t>附表</w:t>
      </w:r>
      <w:r>
        <w:rPr>
          <w:rFonts w:hint="eastAsia"/>
          <w:snapToGrid w:val="0"/>
          <w:kern w:val="0"/>
          <w:sz w:val="24"/>
          <w:szCs w:val="24"/>
        </w:rPr>
        <w:t>4外购</w:t>
      </w:r>
      <w:r>
        <w:rPr>
          <w:snapToGrid w:val="0"/>
          <w:kern w:val="0"/>
          <w:sz w:val="24"/>
          <w:szCs w:val="24"/>
        </w:rPr>
        <w:t>件清单：</w:t>
      </w:r>
    </w:p>
    <w:tbl>
      <w:tblPr>
        <w:tblStyle w:val="49"/>
        <w:tblW w:w="9040" w:type="dxa"/>
        <w:tblInd w:w="12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460"/>
        <w:gridCol w:w="2144"/>
        <w:gridCol w:w="1575"/>
        <w:gridCol w:w="735"/>
        <w:gridCol w:w="631"/>
        <w:gridCol w:w="1155"/>
        <w:gridCol w:w="1260"/>
        <w:gridCol w:w="108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blHeader/>
        </w:trPr>
        <w:tc>
          <w:tcPr>
            <w:tcW w:w="460" w:type="dxa"/>
            <w:vAlign w:val="center"/>
          </w:tcPr>
          <w:p>
            <w:pPr>
              <w:tabs>
                <w:tab w:val="left" w:pos="580"/>
              </w:tabs>
              <w:adjustRightInd w:val="0"/>
              <w:snapToGrid w:val="0"/>
              <w:spacing w:line="360" w:lineRule="auto"/>
              <w:jc w:val="center"/>
              <w:rPr>
                <w:snapToGrid w:val="0"/>
                <w:kern w:val="0"/>
                <w:sz w:val="24"/>
                <w:szCs w:val="24"/>
              </w:rPr>
            </w:pPr>
            <w:r>
              <w:rPr>
                <w:snapToGrid w:val="0"/>
                <w:kern w:val="0"/>
                <w:sz w:val="24"/>
                <w:szCs w:val="24"/>
              </w:rPr>
              <w:t>序号</w:t>
            </w:r>
          </w:p>
        </w:tc>
        <w:tc>
          <w:tcPr>
            <w:tcW w:w="2144" w:type="dxa"/>
            <w:vAlign w:val="center"/>
          </w:tcPr>
          <w:p>
            <w:pPr>
              <w:pStyle w:val="72"/>
              <w:tabs>
                <w:tab w:val="left" w:pos="580"/>
              </w:tabs>
              <w:snapToGrid w:val="0"/>
              <w:spacing w:line="360" w:lineRule="auto"/>
              <w:textAlignment w:val="auto"/>
              <w:rPr>
                <w:rFonts w:ascii="Times New Roman"/>
                <w:snapToGrid w:val="0"/>
                <w:szCs w:val="24"/>
              </w:rPr>
            </w:pPr>
            <w:r>
              <w:rPr>
                <w:rFonts w:ascii="Times New Roman"/>
                <w:snapToGrid w:val="0"/>
                <w:szCs w:val="24"/>
              </w:rPr>
              <w:t>名称</w:t>
            </w:r>
          </w:p>
        </w:tc>
        <w:tc>
          <w:tcPr>
            <w:tcW w:w="1575" w:type="dxa"/>
            <w:vAlign w:val="center"/>
          </w:tcPr>
          <w:p>
            <w:pPr>
              <w:tabs>
                <w:tab w:val="left" w:pos="580"/>
              </w:tabs>
              <w:adjustRightInd w:val="0"/>
              <w:snapToGrid w:val="0"/>
              <w:spacing w:line="360" w:lineRule="auto"/>
              <w:jc w:val="center"/>
              <w:rPr>
                <w:snapToGrid w:val="0"/>
                <w:kern w:val="0"/>
                <w:sz w:val="24"/>
                <w:szCs w:val="24"/>
              </w:rPr>
            </w:pPr>
            <w:r>
              <w:rPr>
                <w:snapToGrid w:val="0"/>
                <w:kern w:val="0"/>
                <w:sz w:val="24"/>
                <w:szCs w:val="24"/>
              </w:rPr>
              <w:t>规格和型号</w:t>
            </w:r>
          </w:p>
        </w:tc>
        <w:tc>
          <w:tcPr>
            <w:tcW w:w="735" w:type="dxa"/>
            <w:vAlign w:val="center"/>
          </w:tcPr>
          <w:p>
            <w:pPr>
              <w:tabs>
                <w:tab w:val="left" w:pos="580"/>
              </w:tabs>
              <w:adjustRightInd w:val="0"/>
              <w:snapToGrid w:val="0"/>
              <w:spacing w:line="360" w:lineRule="auto"/>
              <w:jc w:val="center"/>
              <w:rPr>
                <w:snapToGrid w:val="0"/>
                <w:kern w:val="0"/>
                <w:sz w:val="24"/>
                <w:szCs w:val="24"/>
              </w:rPr>
            </w:pPr>
            <w:r>
              <w:rPr>
                <w:snapToGrid w:val="0"/>
                <w:kern w:val="0"/>
                <w:sz w:val="24"/>
                <w:szCs w:val="24"/>
              </w:rPr>
              <w:t>单位</w:t>
            </w:r>
          </w:p>
        </w:tc>
        <w:tc>
          <w:tcPr>
            <w:tcW w:w="631" w:type="dxa"/>
            <w:vAlign w:val="center"/>
          </w:tcPr>
          <w:p>
            <w:pPr>
              <w:tabs>
                <w:tab w:val="left" w:pos="580"/>
              </w:tabs>
              <w:adjustRightInd w:val="0"/>
              <w:snapToGrid w:val="0"/>
              <w:spacing w:line="360" w:lineRule="auto"/>
              <w:jc w:val="center"/>
              <w:rPr>
                <w:snapToGrid w:val="0"/>
                <w:kern w:val="0"/>
                <w:sz w:val="24"/>
                <w:szCs w:val="24"/>
              </w:rPr>
            </w:pPr>
            <w:r>
              <w:rPr>
                <w:snapToGrid w:val="0"/>
                <w:kern w:val="0"/>
                <w:sz w:val="24"/>
                <w:szCs w:val="24"/>
              </w:rPr>
              <w:t>数量</w:t>
            </w:r>
          </w:p>
        </w:tc>
        <w:tc>
          <w:tcPr>
            <w:tcW w:w="1155" w:type="dxa"/>
            <w:vAlign w:val="center"/>
          </w:tcPr>
          <w:p>
            <w:pPr>
              <w:tabs>
                <w:tab w:val="left" w:pos="580"/>
              </w:tabs>
              <w:adjustRightInd w:val="0"/>
              <w:snapToGrid w:val="0"/>
              <w:spacing w:line="360" w:lineRule="auto"/>
              <w:jc w:val="center"/>
              <w:rPr>
                <w:snapToGrid w:val="0"/>
                <w:kern w:val="0"/>
                <w:sz w:val="24"/>
                <w:szCs w:val="24"/>
              </w:rPr>
            </w:pPr>
            <w:r>
              <w:rPr>
                <w:snapToGrid w:val="0"/>
                <w:kern w:val="0"/>
                <w:sz w:val="24"/>
                <w:szCs w:val="24"/>
              </w:rPr>
              <w:t>产地</w:t>
            </w:r>
          </w:p>
        </w:tc>
        <w:tc>
          <w:tcPr>
            <w:tcW w:w="1260" w:type="dxa"/>
            <w:vAlign w:val="center"/>
          </w:tcPr>
          <w:p>
            <w:pPr>
              <w:tabs>
                <w:tab w:val="left" w:pos="580"/>
              </w:tabs>
              <w:adjustRightInd w:val="0"/>
              <w:snapToGrid w:val="0"/>
              <w:spacing w:line="360" w:lineRule="auto"/>
              <w:jc w:val="center"/>
              <w:rPr>
                <w:snapToGrid w:val="0"/>
                <w:kern w:val="0"/>
                <w:sz w:val="24"/>
                <w:szCs w:val="24"/>
              </w:rPr>
            </w:pPr>
            <w:r>
              <w:rPr>
                <w:snapToGrid w:val="0"/>
                <w:kern w:val="0"/>
                <w:sz w:val="24"/>
                <w:szCs w:val="24"/>
              </w:rPr>
              <w:t>生产厂家</w:t>
            </w:r>
          </w:p>
        </w:tc>
        <w:tc>
          <w:tcPr>
            <w:tcW w:w="1080" w:type="dxa"/>
            <w:vAlign w:val="center"/>
          </w:tcPr>
          <w:p>
            <w:pPr>
              <w:tabs>
                <w:tab w:val="left" w:pos="580"/>
              </w:tabs>
              <w:adjustRightInd w:val="0"/>
              <w:snapToGrid w:val="0"/>
              <w:spacing w:line="360" w:lineRule="auto"/>
              <w:jc w:val="center"/>
              <w:rPr>
                <w:snapToGrid w:val="0"/>
                <w:kern w:val="0"/>
                <w:sz w:val="24"/>
                <w:szCs w:val="24"/>
              </w:rPr>
            </w:pPr>
            <w:r>
              <w:rPr>
                <w:snapToGrid w:val="0"/>
                <w:kern w:val="0"/>
                <w:sz w:val="24"/>
                <w:szCs w:val="24"/>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60" w:type="dxa"/>
            <w:vAlign w:val="center"/>
          </w:tcPr>
          <w:p>
            <w:pPr>
              <w:tabs>
                <w:tab w:val="left" w:pos="580"/>
              </w:tabs>
              <w:adjustRightInd w:val="0"/>
              <w:snapToGrid w:val="0"/>
              <w:spacing w:line="360" w:lineRule="auto"/>
              <w:jc w:val="center"/>
              <w:rPr>
                <w:snapToGrid w:val="0"/>
                <w:kern w:val="0"/>
                <w:sz w:val="24"/>
                <w:szCs w:val="24"/>
              </w:rPr>
            </w:pPr>
            <w:r>
              <w:rPr>
                <w:snapToGrid w:val="0"/>
                <w:kern w:val="0"/>
                <w:sz w:val="24"/>
                <w:szCs w:val="24"/>
              </w:rPr>
              <w:t>1</w:t>
            </w:r>
          </w:p>
        </w:tc>
        <w:tc>
          <w:tcPr>
            <w:tcW w:w="2144" w:type="dxa"/>
            <w:vAlign w:val="center"/>
          </w:tcPr>
          <w:p>
            <w:pPr>
              <w:tabs>
                <w:tab w:val="left" w:pos="580"/>
              </w:tabs>
              <w:adjustRightInd w:val="0"/>
              <w:snapToGrid w:val="0"/>
              <w:spacing w:line="360" w:lineRule="auto"/>
              <w:rPr>
                <w:snapToGrid w:val="0"/>
                <w:kern w:val="0"/>
                <w:sz w:val="24"/>
                <w:szCs w:val="24"/>
              </w:rPr>
            </w:pPr>
          </w:p>
        </w:tc>
        <w:tc>
          <w:tcPr>
            <w:tcW w:w="1575" w:type="dxa"/>
            <w:vAlign w:val="center"/>
          </w:tcPr>
          <w:p>
            <w:pPr>
              <w:tabs>
                <w:tab w:val="left" w:pos="580"/>
              </w:tabs>
              <w:adjustRightInd w:val="0"/>
              <w:snapToGrid w:val="0"/>
              <w:spacing w:line="360" w:lineRule="auto"/>
              <w:jc w:val="center"/>
              <w:rPr>
                <w:snapToGrid w:val="0"/>
                <w:kern w:val="0"/>
                <w:sz w:val="24"/>
                <w:szCs w:val="24"/>
              </w:rPr>
            </w:pPr>
          </w:p>
        </w:tc>
        <w:tc>
          <w:tcPr>
            <w:tcW w:w="735" w:type="dxa"/>
            <w:vAlign w:val="center"/>
          </w:tcPr>
          <w:p>
            <w:pPr>
              <w:tabs>
                <w:tab w:val="left" w:pos="580"/>
              </w:tabs>
              <w:adjustRightInd w:val="0"/>
              <w:snapToGrid w:val="0"/>
              <w:spacing w:line="360" w:lineRule="auto"/>
              <w:jc w:val="center"/>
              <w:rPr>
                <w:snapToGrid w:val="0"/>
                <w:kern w:val="0"/>
                <w:sz w:val="24"/>
                <w:szCs w:val="24"/>
              </w:rPr>
            </w:pPr>
          </w:p>
        </w:tc>
        <w:tc>
          <w:tcPr>
            <w:tcW w:w="631" w:type="dxa"/>
            <w:vAlign w:val="center"/>
          </w:tcPr>
          <w:p>
            <w:pPr>
              <w:tabs>
                <w:tab w:val="left" w:pos="580"/>
              </w:tabs>
              <w:adjustRightInd w:val="0"/>
              <w:snapToGrid w:val="0"/>
              <w:spacing w:line="360" w:lineRule="auto"/>
              <w:jc w:val="center"/>
              <w:rPr>
                <w:snapToGrid w:val="0"/>
                <w:kern w:val="0"/>
                <w:sz w:val="24"/>
                <w:szCs w:val="24"/>
              </w:rPr>
            </w:pPr>
          </w:p>
        </w:tc>
        <w:tc>
          <w:tcPr>
            <w:tcW w:w="1155" w:type="dxa"/>
            <w:vAlign w:val="center"/>
          </w:tcPr>
          <w:p>
            <w:pPr>
              <w:tabs>
                <w:tab w:val="left" w:pos="580"/>
              </w:tabs>
              <w:adjustRightInd w:val="0"/>
              <w:snapToGrid w:val="0"/>
              <w:spacing w:line="360" w:lineRule="auto"/>
              <w:jc w:val="center"/>
              <w:rPr>
                <w:snapToGrid w:val="0"/>
                <w:kern w:val="0"/>
                <w:sz w:val="24"/>
                <w:szCs w:val="24"/>
              </w:rPr>
            </w:pPr>
          </w:p>
        </w:tc>
        <w:tc>
          <w:tcPr>
            <w:tcW w:w="1260" w:type="dxa"/>
            <w:vAlign w:val="center"/>
          </w:tcPr>
          <w:p>
            <w:pPr>
              <w:tabs>
                <w:tab w:val="left" w:pos="580"/>
              </w:tabs>
              <w:adjustRightInd w:val="0"/>
              <w:snapToGrid w:val="0"/>
              <w:spacing w:line="360" w:lineRule="auto"/>
              <w:jc w:val="center"/>
              <w:rPr>
                <w:snapToGrid w:val="0"/>
                <w:kern w:val="0"/>
                <w:sz w:val="24"/>
                <w:szCs w:val="24"/>
              </w:rPr>
            </w:pPr>
          </w:p>
        </w:tc>
        <w:tc>
          <w:tcPr>
            <w:tcW w:w="1080" w:type="dxa"/>
            <w:vAlign w:val="center"/>
          </w:tcPr>
          <w:p>
            <w:pPr>
              <w:tabs>
                <w:tab w:val="left" w:pos="580"/>
              </w:tabs>
              <w:adjustRightInd w:val="0"/>
              <w:snapToGrid w:val="0"/>
              <w:spacing w:line="360" w:lineRule="auto"/>
              <w:jc w:val="center"/>
              <w:rPr>
                <w:snapToGrid w:val="0"/>
                <w:kern w:val="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Pr>
        <w:tc>
          <w:tcPr>
            <w:tcW w:w="460" w:type="dxa"/>
            <w:vAlign w:val="center"/>
          </w:tcPr>
          <w:p>
            <w:pPr>
              <w:tabs>
                <w:tab w:val="left" w:pos="580"/>
              </w:tabs>
              <w:adjustRightInd w:val="0"/>
              <w:snapToGrid w:val="0"/>
              <w:spacing w:line="360" w:lineRule="auto"/>
              <w:jc w:val="center"/>
              <w:rPr>
                <w:snapToGrid w:val="0"/>
                <w:kern w:val="0"/>
                <w:sz w:val="24"/>
                <w:szCs w:val="24"/>
              </w:rPr>
            </w:pPr>
            <w:r>
              <w:rPr>
                <w:snapToGrid w:val="0"/>
                <w:kern w:val="0"/>
                <w:sz w:val="24"/>
                <w:szCs w:val="24"/>
              </w:rPr>
              <w:t>2</w:t>
            </w:r>
          </w:p>
        </w:tc>
        <w:tc>
          <w:tcPr>
            <w:tcW w:w="2144" w:type="dxa"/>
            <w:vAlign w:val="center"/>
          </w:tcPr>
          <w:p>
            <w:pPr>
              <w:pStyle w:val="44"/>
              <w:tabs>
                <w:tab w:val="left" w:pos="580"/>
              </w:tabs>
              <w:adjustRightInd w:val="0"/>
              <w:snapToGrid w:val="0"/>
              <w:spacing w:before="120"/>
              <w:rPr>
                <w:snapToGrid w:val="0"/>
                <w:kern w:val="0"/>
                <w:szCs w:val="24"/>
              </w:rPr>
            </w:pPr>
          </w:p>
        </w:tc>
        <w:tc>
          <w:tcPr>
            <w:tcW w:w="1575" w:type="dxa"/>
            <w:vAlign w:val="center"/>
          </w:tcPr>
          <w:p>
            <w:pPr>
              <w:tabs>
                <w:tab w:val="left" w:pos="580"/>
              </w:tabs>
              <w:adjustRightInd w:val="0"/>
              <w:snapToGrid w:val="0"/>
              <w:spacing w:line="360" w:lineRule="auto"/>
              <w:jc w:val="center"/>
              <w:rPr>
                <w:snapToGrid w:val="0"/>
                <w:kern w:val="0"/>
                <w:sz w:val="24"/>
                <w:szCs w:val="24"/>
              </w:rPr>
            </w:pPr>
          </w:p>
        </w:tc>
        <w:tc>
          <w:tcPr>
            <w:tcW w:w="735" w:type="dxa"/>
            <w:vAlign w:val="center"/>
          </w:tcPr>
          <w:p>
            <w:pPr>
              <w:tabs>
                <w:tab w:val="left" w:pos="580"/>
              </w:tabs>
              <w:adjustRightInd w:val="0"/>
              <w:snapToGrid w:val="0"/>
              <w:spacing w:line="360" w:lineRule="auto"/>
              <w:jc w:val="center"/>
              <w:rPr>
                <w:snapToGrid w:val="0"/>
                <w:kern w:val="0"/>
                <w:sz w:val="24"/>
                <w:szCs w:val="24"/>
              </w:rPr>
            </w:pPr>
          </w:p>
        </w:tc>
        <w:tc>
          <w:tcPr>
            <w:tcW w:w="631" w:type="dxa"/>
            <w:vAlign w:val="center"/>
          </w:tcPr>
          <w:p>
            <w:pPr>
              <w:tabs>
                <w:tab w:val="left" w:pos="580"/>
              </w:tabs>
              <w:adjustRightInd w:val="0"/>
              <w:snapToGrid w:val="0"/>
              <w:spacing w:line="360" w:lineRule="auto"/>
              <w:jc w:val="center"/>
              <w:rPr>
                <w:snapToGrid w:val="0"/>
                <w:kern w:val="0"/>
                <w:sz w:val="24"/>
                <w:szCs w:val="24"/>
              </w:rPr>
            </w:pPr>
          </w:p>
        </w:tc>
        <w:tc>
          <w:tcPr>
            <w:tcW w:w="1155" w:type="dxa"/>
            <w:vAlign w:val="center"/>
          </w:tcPr>
          <w:p>
            <w:pPr>
              <w:tabs>
                <w:tab w:val="left" w:pos="580"/>
              </w:tabs>
              <w:adjustRightInd w:val="0"/>
              <w:snapToGrid w:val="0"/>
              <w:spacing w:line="360" w:lineRule="auto"/>
              <w:jc w:val="center"/>
              <w:rPr>
                <w:snapToGrid w:val="0"/>
                <w:kern w:val="0"/>
                <w:sz w:val="24"/>
                <w:szCs w:val="24"/>
              </w:rPr>
            </w:pPr>
          </w:p>
        </w:tc>
        <w:tc>
          <w:tcPr>
            <w:tcW w:w="1260" w:type="dxa"/>
            <w:vAlign w:val="center"/>
          </w:tcPr>
          <w:p>
            <w:pPr>
              <w:tabs>
                <w:tab w:val="left" w:pos="580"/>
              </w:tabs>
              <w:adjustRightInd w:val="0"/>
              <w:snapToGrid w:val="0"/>
              <w:spacing w:line="360" w:lineRule="auto"/>
              <w:jc w:val="center"/>
              <w:rPr>
                <w:snapToGrid w:val="0"/>
                <w:kern w:val="0"/>
                <w:sz w:val="24"/>
                <w:szCs w:val="24"/>
              </w:rPr>
            </w:pPr>
          </w:p>
        </w:tc>
        <w:tc>
          <w:tcPr>
            <w:tcW w:w="1080" w:type="dxa"/>
            <w:vAlign w:val="center"/>
          </w:tcPr>
          <w:p>
            <w:pPr>
              <w:tabs>
                <w:tab w:val="left" w:pos="580"/>
              </w:tabs>
              <w:adjustRightInd w:val="0"/>
              <w:snapToGrid w:val="0"/>
              <w:spacing w:line="360" w:lineRule="auto"/>
              <w:jc w:val="center"/>
              <w:rPr>
                <w:snapToGrid w:val="0"/>
                <w:kern w:val="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60" w:type="dxa"/>
            <w:vAlign w:val="center"/>
          </w:tcPr>
          <w:p>
            <w:pPr>
              <w:tabs>
                <w:tab w:val="left" w:pos="580"/>
              </w:tabs>
              <w:adjustRightInd w:val="0"/>
              <w:snapToGrid w:val="0"/>
              <w:spacing w:line="360" w:lineRule="auto"/>
              <w:jc w:val="center"/>
              <w:rPr>
                <w:snapToGrid w:val="0"/>
                <w:kern w:val="0"/>
                <w:sz w:val="24"/>
                <w:szCs w:val="24"/>
              </w:rPr>
            </w:pPr>
            <w:r>
              <w:rPr>
                <w:snapToGrid w:val="0"/>
                <w:kern w:val="0"/>
                <w:sz w:val="24"/>
                <w:szCs w:val="24"/>
              </w:rPr>
              <w:t>3</w:t>
            </w:r>
          </w:p>
        </w:tc>
        <w:tc>
          <w:tcPr>
            <w:tcW w:w="2144" w:type="dxa"/>
            <w:vAlign w:val="center"/>
          </w:tcPr>
          <w:p>
            <w:pPr>
              <w:tabs>
                <w:tab w:val="left" w:pos="580"/>
              </w:tabs>
              <w:adjustRightInd w:val="0"/>
              <w:snapToGrid w:val="0"/>
              <w:spacing w:line="360" w:lineRule="auto"/>
              <w:rPr>
                <w:snapToGrid w:val="0"/>
                <w:kern w:val="0"/>
                <w:sz w:val="24"/>
                <w:szCs w:val="24"/>
              </w:rPr>
            </w:pPr>
          </w:p>
        </w:tc>
        <w:tc>
          <w:tcPr>
            <w:tcW w:w="1575" w:type="dxa"/>
            <w:vAlign w:val="center"/>
          </w:tcPr>
          <w:p>
            <w:pPr>
              <w:tabs>
                <w:tab w:val="left" w:pos="580"/>
              </w:tabs>
              <w:adjustRightInd w:val="0"/>
              <w:snapToGrid w:val="0"/>
              <w:spacing w:line="360" w:lineRule="auto"/>
              <w:jc w:val="center"/>
              <w:rPr>
                <w:snapToGrid w:val="0"/>
                <w:kern w:val="0"/>
                <w:sz w:val="24"/>
                <w:szCs w:val="24"/>
              </w:rPr>
            </w:pPr>
          </w:p>
        </w:tc>
        <w:tc>
          <w:tcPr>
            <w:tcW w:w="735" w:type="dxa"/>
            <w:vAlign w:val="center"/>
          </w:tcPr>
          <w:p>
            <w:pPr>
              <w:tabs>
                <w:tab w:val="left" w:pos="580"/>
              </w:tabs>
              <w:autoSpaceDE w:val="0"/>
              <w:autoSpaceDN w:val="0"/>
              <w:adjustRightInd w:val="0"/>
              <w:snapToGrid w:val="0"/>
              <w:spacing w:line="360" w:lineRule="auto"/>
              <w:jc w:val="center"/>
              <w:rPr>
                <w:snapToGrid w:val="0"/>
                <w:kern w:val="0"/>
                <w:sz w:val="24"/>
                <w:szCs w:val="24"/>
              </w:rPr>
            </w:pPr>
          </w:p>
        </w:tc>
        <w:tc>
          <w:tcPr>
            <w:tcW w:w="631" w:type="dxa"/>
            <w:vAlign w:val="center"/>
          </w:tcPr>
          <w:p>
            <w:pPr>
              <w:tabs>
                <w:tab w:val="left" w:pos="580"/>
              </w:tabs>
              <w:autoSpaceDE w:val="0"/>
              <w:autoSpaceDN w:val="0"/>
              <w:adjustRightInd w:val="0"/>
              <w:snapToGrid w:val="0"/>
              <w:spacing w:line="360" w:lineRule="auto"/>
              <w:jc w:val="center"/>
              <w:rPr>
                <w:snapToGrid w:val="0"/>
                <w:kern w:val="0"/>
                <w:sz w:val="24"/>
                <w:szCs w:val="24"/>
              </w:rPr>
            </w:pPr>
          </w:p>
        </w:tc>
        <w:tc>
          <w:tcPr>
            <w:tcW w:w="1155" w:type="dxa"/>
            <w:vAlign w:val="center"/>
          </w:tcPr>
          <w:p>
            <w:pPr>
              <w:tabs>
                <w:tab w:val="left" w:pos="580"/>
              </w:tabs>
              <w:adjustRightInd w:val="0"/>
              <w:snapToGrid w:val="0"/>
              <w:spacing w:line="360" w:lineRule="auto"/>
              <w:jc w:val="center"/>
              <w:rPr>
                <w:snapToGrid w:val="0"/>
                <w:kern w:val="0"/>
                <w:sz w:val="24"/>
                <w:szCs w:val="24"/>
              </w:rPr>
            </w:pPr>
          </w:p>
        </w:tc>
        <w:tc>
          <w:tcPr>
            <w:tcW w:w="1260" w:type="dxa"/>
            <w:vAlign w:val="center"/>
          </w:tcPr>
          <w:p>
            <w:pPr>
              <w:tabs>
                <w:tab w:val="left" w:pos="580"/>
              </w:tabs>
              <w:adjustRightInd w:val="0"/>
              <w:snapToGrid w:val="0"/>
              <w:spacing w:line="360" w:lineRule="auto"/>
              <w:jc w:val="center"/>
              <w:rPr>
                <w:snapToGrid w:val="0"/>
                <w:kern w:val="0"/>
                <w:sz w:val="24"/>
                <w:szCs w:val="24"/>
              </w:rPr>
            </w:pPr>
          </w:p>
        </w:tc>
        <w:tc>
          <w:tcPr>
            <w:tcW w:w="1080" w:type="dxa"/>
            <w:vAlign w:val="center"/>
          </w:tcPr>
          <w:p>
            <w:pPr>
              <w:tabs>
                <w:tab w:val="left" w:pos="580"/>
              </w:tabs>
              <w:adjustRightInd w:val="0"/>
              <w:snapToGrid w:val="0"/>
              <w:spacing w:line="360" w:lineRule="auto"/>
              <w:jc w:val="center"/>
              <w:rPr>
                <w:snapToGrid w:val="0"/>
                <w:kern w:val="0"/>
                <w:sz w:val="24"/>
                <w:szCs w:val="24"/>
              </w:rPr>
            </w:pPr>
          </w:p>
        </w:tc>
      </w:tr>
    </w:tbl>
    <w:p>
      <w:pPr>
        <w:spacing w:line="360" w:lineRule="auto"/>
        <w:rPr>
          <w:sz w:val="24"/>
          <w:szCs w:val="24"/>
        </w:rPr>
        <w:sectPr>
          <w:pgSz w:w="11907" w:h="16840"/>
          <w:pgMar w:top="1302" w:right="1440" w:bottom="1440" w:left="1440" w:header="814" w:footer="1134" w:gutter="0"/>
          <w:cols w:space="720" w:num="1"/>
        </w:sectPr>
      </w:pPr>
    </w:p>
    <w:p>
      <w:pPr>
        <w:tabs>
          <w:tab w:val="left" w:pos="578"/>
        </w:tabs>
        <w:snapToGrid w:val="0"/>
        <w:spacing w:line="360" w:lineRule="auto"/>
        <w:outlineLvl w:val="0"/>
      </w:pPr>
      <w:bookmarkStart w:id="27" w:name="_Toc201637560"/>
      <w:bookmarkStart w:id="28" w:name="_Toc5863361"/>
      <w:bookmarkStart w:id="29" w:name="_Toc197658010"/>
      <w:bookmarkStart w:id="30" w:name="_Toc57891008"/>
      <w:bookmarkStart w:id="31" w:name="_Toc19776580"/>
      <w:r>
        <w:rPr>
          <w:b/>
          <w:sz w:val="28"/>
        </w:rPr>
        <w:t>附件</w:t>
      </w:r>
      <w:bookmarkStart w:id="32" w:name="_Toc399318769"/>
      <w:bookmarkStart w:id="33" w:name="_Toc399326513"/>
      <w:r>
        <w:rPr>
          <w:b/>
          <w:sz w:val="28"/>
        </w:rPr>
        <w:t>3  技术资料</w:t>
      </w:r>
      <w:bookmarkEnd w:id="32"/>
      <w:bookmarkEnd w:id="33"/>
      <w:r>
        <w:rPr>
          <w:b/>
          <w:sz w:val="28"/>
        </w:rPr>
        <w:t>及交付进度</w:t>
      </w:r>
      <w:bookmarkEnd w:id="27"/>
      <w:bookmarkEnd w:id="28"/>
      <w:bookmarkEnd w:id="29"/>
      <w:bookmarkEnd w:id="30"/>
      <w:bookmarkEnd w:id="31"/>
    </w:p>
    <w:p>
      <w:pPr>
        <w:tabs>
          <w:tab w:val="left" w:pos="578"/>
        </w:tabs>
        <w:snapToGrid w:val="0"/>
        <w:spacing w:line="360" w:lineRule="auto"/>
        <w:rPr>
          <w:b/>
          <w:sz w:val="24"/>
        </w:rPr>
      </w:pPr>
      <w:r>
        <w:rPr>
          <w:b/>
          <w:sz w:val="24"/>
        </w:rPr>
        <w:t>1.一般要求</w:t>
      </w:r>
    </w:p>
    <w:p>
      <w:pPr>
        <w:tabs>
          <w:tab w:val="left" w:pos="578"/>
        </w:tabs>
        <w:snapToGrid w:val="0"/>
        <w:spacing w:line="360" w:lineRule="auto"/>
        <w:rPr>
          <w:sz w:val="24"/>
        </w:rPr>
      </w:pPr>
      <w:r>
        <w:rPr>
          <w:sz w:val="24"/>
        </w:rPr>
        <w:t>1.1  投标人提供的资料应使用中国法定计量单位。技术资料和图纸的文种为中文。外方提供的图纸和资料应翻译成中文随同原文一并提交招标人。图纸资料以中文为准，图纸资料除提供书面文件外还应提供光盘或移动硬盘。图纸应为AutoCAD格式，文本文件应为Word/Excel格式。</w:t>
      </w:r>
    </w:p>
    <w:p>
      <w:pPr>
        <w:tabs>
          <w:tab w:val="left" w:pos="578"/>
        </w:tabs>
        <w:snapToGrid w:val="0"/>
        <w:spacing w:line="360" w:lineRule="auto"/>
        <w:rPr>
          <w:sz w:val="24"/>
        </w:rPr>
      </w:pPr>
      <w:r>
        <w:rPr>
          <w:sz w:val="24"/>
        </w:rPr>
        <w:t>1.2  资料的组织结构清晰、逻辑性强。资料内容要正确、准确、一致、清晰完整，满足工程要求。</w:t>
      </w:r>
    </w:p>
    <w:p>
      <w:pPr>
        <w:tabs>
          <w:tab w:val="left" w:pos="578"/>
        </w:tabs>
        <w:snapToGrid w:val="0"/>
        <w:spacing w:line="360" w:lineRule="auto"/>
        <w:rPr>
          <w:sz w:val="24"/>
        </w:rPr>
      </w:pPr>
      <w:r>
        <w:rPr>
          <w:sz w:val="24"/>
        </w:rPr>
        <w:t>1.3  投标人资料的提交应及时充分，满足工程进度要求。在合同草签后</w:t>
      </w:r>
      <w:r>
        <w:rPr>
          <w:rFonts w:hint="eastAsia"/>
          <w:sz w:val="24"/>
        </w:rPr>
        <w:t>7</w:t>
      </w:r>
      <w:r>
        <w:rPr>
          <w:sz w:val="24"/>
        </w:rPr>
        <w:t>天内提交主要技术资料清单及满足工程初步设计的图纸资料。</w:t>
      </w:r>
    </w:p>
    <w:p>
      <w:pPr>
        <w:tabs>
          <w:tab w:val="left" w:pos="578"/>
        </w:tabs>
        <w:snapToGrid w:val="0"/>
        <w:spacing w:line="360" w:lineRule="auto"/>
        <w:rPr>
          <w:sz w:val="24"/>
        </w:rPr>
      </w:pPr>
      <w:r>
        <w:rPr>
          <w:sz w:val="24"/>
        </w:rPr>
        <w:t>1.4  投标人提供的技术资料一般可分为投标阶段，配合工程设计阶段，设备监造检验，施工调试试运、性能验收试验和运行维护等四个方面。投标人须满足以上四个方面的具体要求。</w:t>
      </w:r>
    </w:p>
    <w:p>
      <w:pPr>
        <w:tabs>
          <w:tab w:val="left" w:pos="578"/>
        </w:tabs>
        <w:snapToGrid w:val="0"/>
        <w:spacing w:line="360" w:lineRule="auto"/>
        <w:rPr>
          <w:sz w:val="24"/>
        </w:rPr>
      </w:pPr>
      <w:r>
        <w:rPr>
          <w:kern w:val="16"/>
          <w:sz w:val="24"/>
        </w:rPr>
        <w:t xml:space="preserve">1.5 </w:t>
      </w:r>
      <w:r>
        <w:rPr>
          <w:sz w:val="24"/>
        </w:rPr>
        <w:t>对于其它没有列入合同技术资料清单，确是工程所必需的文件和资料，一经发现，投标人也应及时免费提供。</w:t>
      </w:r>
      <w:r>
        <w:rPr>
          <w:rFonts w:hint="eastAsia"/>
          <w:sz w:val="24"/>
        </w:rPr>
        <w:t>本</w:t>
      </w:r>
      <w:r>
        <w:rPr>
          <w:sz w:val="24"/>
        </w:rPr>
        <w:t>工程为1台机组（设备）构成，</w:t>
      </w:r>
      <w:r>
        <w:rPr>
          <w:rFonts w:hint="eastAsia"/>
          <w:sz w:val="24"/>
        </w:rPr>
        <w:t>后续</w:t>
      </w:r>
      <w:r>
        <w:rPr>
          <w:sz w:val="24"/>
        </w:rPr>
        <w:t>机组（设备）有改进时，投标人应及时免费提供新的技术资料。</w:t>
      </w:r>
    </w:p>
    <w:p>
      <w:pPr>
        <w:tabs>
          <w:tab w:val="left" w:pos="578"/>
        </w:tabs>
        <w:snapToGrid w:val="0"/>
        <w:spacing w:line="360" w:lineRule="auto"/>
        <w:rPr>
          <w:sz w:val="24"/>
        </w:rPr>
      </w:pPr>
      <w:r>
        <w:rPr>
          <w:sz w:val="24"/>
        </w:rPr>
        <w:t>1.6  招标人及时提供与合同设备设计制造有关的资料。</w:t>
      </w:r>
    </w:p>
    <w:p>
      <w:pPr>
        <w:tabs>
          <w:tab w:val="left" w:pos="578"/>
        </w:tabs>
        <w:snapToGrid w:val="0"/>
        <w:spacing w:line="360" w:lineRule="auto"/>
        <w:rPr>
          <w:sz w:val="24"/>
        </w:rPr>
      </w:pPr>
      <w:r>
        <w:rPr>
          <w:sz w:val="24"/>
        </w:rPr>
        <w:t>1.7  投标人提供的最终版技术资料为每台设备</w:t>
      </w:r>
      <w:r>
        <w:rPr>
          <w:rFonts w:hint="eastAsia"/>
          <w:sz w:val="24"/>
        </w:rPr>
        <w:t>15</w:t>
      </w:r>
      <w:r>
        <w:rPr>
          <w:sz w:val="24"/>
        </w:rPr>
        <w:t>套（随箱2套，设计院</w:t>
      </w:r>
      <w:r>
        <w:rPr>
          <w:rFonts w:hint="eastAsia"/>
          <w:sz w:val="24"/>
        </w:rPr>
        <w:t>1</w:t>
      </w:r>
      <w:r>
        <w:rPr>
          <w:sz w:val="24"/>
        </w:rPr>
        <w:t>套，招标人</w:t>
      </w:r>
      <w:r>
        <w:rPr>
          <w:rFonts w:hint="eastAsia"/>
          <w:sz w:val="24"/>
        </w:rPr>
        <w:t>12</w:t>
      </w:r>
      <w:r>
        <w:rPr>
          <w:sz w:val="24"/>
        </w:rPr>
        <w:t>套），电子文件每台设备3套（设计院1套，招标人2套）。</w:t>
      </w:r>
    </w:p>
    <w:p>
      <w:pPr>
        <w:tabs>
          <w:tab w:val="left" w:pos="578"/>
        </w:tabs>
        <w:snapToGrid w:val="0"/>
        <w:spacing w:line="360" w:lineRule="auto"/>
        <w:rPr>
          <w:sz w:val="24"/>
        </w:rPr>
      </w:pPr>
      <w:r>
        <w:rPr>
          <w:sz w:val="24"/>
        </w:rPr>
        <w:t>1.8  设备安装完毕后，投标人应按机组分别提供</w:t>
      </w:r>
      <w:r>
        <w:rPr>
          <w:rFonts w:hint="eastAsia"/>
          <w:sz w:val="24"/>
        </w:rPr>
        <w:t>10</w:t>
      </w:r>
      <w:r>
        <w:rPr>
          <w:sz w:val="24"/>
        </w:rPr>
        <w:t>套完整的设备竣工图</w:t>
      </w:r>
      <w:r>
        <w:rPr>
          <w:rFonts w:hint="eastAsia"/>
          <w:sz w:val="24"/>
        </w:rPr>
        <w:t>，另加2套电子版</w:t>
      </w:r>
      <w:r>
        <w:rPr>
          <w:sz w:val="24"/>
        </w:rPr>
        <w:t>。</w:t>
      </w:r>
    </w:p>
    <w:p>
      <w:pPr>
        <w:tabs>
          <w:tab w:val="left" w:pos="578"/>
        </w:tabs>
        <w:snapToGrid w:val="0"/>
        <w:spacing w:line="360" w:lineRule="auto"/>
        <w:rPr>
          <w:sz w:val="24"/>
        </w:rPr>
      </w:pPr>
      <w:r>
        <w:rPr>
          <w:sz w:val="24"/>
        </w:rPr>
        <w:t>1.9  投标人提供的图纸应清晰，不得提供缩微复印的图纸。</w:t>
      </w:r>
    </w:p>
    <w:p>
      <w:pPr>
        <w:tabs>
          <w:tab w:val="left" w:pos="578"/>
        </w:tabs>
        <w:snapToGrid w:val="0"/>
        <w:spacing w:line="360" w:lineRule="auto"/>
        <w:rPr>
          <w:sz w:val="24"/>
        </w:rPr>
      </w:pPr>
      <w:r>
        <w:rPr>
          <w:sz w:val="24"/>
        </w:rPr>
        <w:t>1.10  执行招标人提供的编码标识系统，具体要求在下阶段配合中详细提供。</w:t>
      </w:r>
    </w:p>
    <w:p>
      <w:pPr>
        <w:tabs>
          <w:tab w:val="left" w:pos="578"/>
        </w:tabs>
        <w:snapToGrid w:val="0"/>
        <w:spacing w:line="360" w:lineRule="auto"/>
        <w:rPr>
          <w:sz w:val="24"/>
        </w:rPr>
      </w:pPr>
      <w:r>
        <w:rPr>
          <w:sz w:val="24"/>
        </w:rPr>
        <w:t>1.11 投标人提供的所有资料（包括图纸）均应有本工程专用标识，即盖有如“浙江xx发电厂（__×______MW）专用”图章，修改版资料对修改部分应有明显的标识或标注。</w:t>
      </w:r>
    </w:p>
    <w:p>
      <w:pPr>
        <w:tabs>
          <w:tab w:val="left" w:pos="578"/>
        </w:tabs>
        <w:snapToGrid w:val="0"/>
        <w:spacing w:line="360" w:lineRule="auto"/>
        <w:rPr>
          <w:b/>
          <w:sz w:val="24"/>
        </w:rPr>
      </w:pPr>
      <w:r>
        <w:rPr>
          <w:b/>
          <w:sz w:val="24"/>
        </w:rPr>
        <w:t>2.资料提交的基本要求</w:t>
      </w:r>
    </w:p>
    <w:p>
      <w:pPr>
        <w:tabs>
          <w:tab w:val="left" w:pos="578"/>
        </w:tabs>
        <w:snapToGrid w:val="0"/>
        <w:spacing w:line="360" w:lineRule="auto"/>
        <w:rPr>
          <w:b/>
          <w:sz w:val="24"/>
        </w:rPr>
      </w:pPr>
      <w:r>
        <w:rPr>
          <w:b/>
          <w:sz w:val="24"/>
        </w:rPr>
        <w:t>2.1  在投标阶段提供的资料</w:t>
      </w:r>
    </w:p>
    <w:p>
      <w:pPr>
        <w:tabs>
          <w:tab w:val="left" w:pos="578"/>
        </w:tabs>
        <w:snapToGrid w:val="0"/>
        <w:spacing w:line="360" w:lineRule="auto"/>
        <w:ind w:firstLine="480" w:firstLineChars="200"/>
        <w:rPr>
          <w:sz w:val="24"/>
          <w:szCs w:val="24"/>
        </w:rPr>
      </w:pPr>
      <w:r>
        <w:rPr>
          <w:sz w:val="24"/>
          <w:szCs w:val="24"/>
        </w:rPr>
        <w:t>投标人应按</w:t>
      </w:r>
      <w:r>
        <w:rPr>
          <w:rFonts w:hint="eastAsia"/>
          <w:sz w:val="24"/>
          <w:szCs w:val="24"/>
        </w:rPr>
        <w:t>技术规范书</w:t>
      </w:r>
      <w:r>
        <w:rPr>
          <w:sz w:val="24"/>
          <w:szCs w:val="24"/>
        </w:rPr>
        <w:t>要求提供满足评标所需图纸资料。</w:t>
      </w:r>
    </w:p>
    <w:p>
      <w:pPr>
        <w:snapToGrid w:val="0"/>
        <w:spacing w:line="460" w:lineRule="exact"/>
        <w:ind w:firstLine="482" w:firstLineChars="200"/>
        <w:rPr>
          <w:b/>
          <w:sz w:val="24"/>
          <w:szCs w:val="24"/>
        </w:rPr>
      </w:pPr>
      <w:r>
        <w:rPr>
          <w:rFonts w:hint="eastAsia"/>
          <w:b/>
          <w:sz w:val="24"/>
          <w:szCs w:val="24"/>
        </w:rPr>
        <w:t>投标人提交的资料应为本工程特定设计编制，提交的资料（发电机总图、基础及荷重图等）必须满足土建施工初步设计的需要，具体要求如下：</w:t>
      </w:r>
    </w:p>
    <w:p>
      <w:pPr>
        <w:overflowPunct w:val="0"/>
        <w:spacing w:line="360" w:lineRule="auto"/>
        <w:rPr>
          <w:rFonts w:hint="eastAsia" w:hAnsi="宋体"/>
          <w:b/>
          <w:sz w:val="24"/>
          <w:szCs w:val="24"/>
        </w:rPr>
      </w:pPr>
      <w:r>
        <w:rPr>
          <w:b/>
          <w:sz w:val="24"/>
          <w:szCs w:val="24"/>
        </w:rPr>
        <w:t>1</w:t>
      </w:r>
      <w:r>
        <w:rPr>
          <w:rFonts w:hAnsi="宋体"/>
          <w:b/>
          <w:sz w:val="24"/>
          <w:szCs w:val="24"/>
        </w:rPr>
        <w:t>）</w:t>
      </w:r>
      <w:r>
        <w:rPr>
          <w:rFonts w:hint="eastAsia" w:hAnsi="宋体"/>
          <w:b/>
          <w:sz w:val="24"/>
          <w:szCs w:val="24"/>
        </w:rPr>
        <w:t>发电机总装图</w:t>
      </w:r>
    </w:p>
    <w:p>
      <w:pPr>
        <w:overflowPunct w:val="0"/>
        <w:spacing w:line="360" w:lineRule="auto"/>
        <w:rPr>
          <w:rFonts w:hint="eastAsia" w:hAnsi="宋体"/>
          <w:b/>
          <w:sz w:val="24"/>
          <w:szCs w:val="24"/>
        </w:rPr>
      </w:pPr>
      <w:r>
        <w:rPr>
          <w:rFonts w:hint="eastAsia"/>
          <w:b/>
          <w:sz w:val="24"/>
          <w:szCs w:val="24"/>
        </w:rPr>
        <w:t>2</w:t>
      </w:r>
      <w:r>
        <w:rPr>
          <w:rFonts w:hAnsi="宋体"/>
          <w:b/>
          <w:sz w:val="24"/>
          <w:szCs w:val="24"/>
        </w:rPr>
        <w:t>）</w:t>
      </w:r>
      <w:r>
        <w:rPr>
          <w:rFonts w:hint="eastAsia" w:hAnsi="宋体"/>
          <w:b/>
          <w:sz w:val="24"/>
          <w:szCs w:val="24"/>
        </w:rPr>
        <w:t>发电机安装图</w:t>
      </w:r>
    </w:p>
    <w:p>
      <w:pPr>
        <w:overflowPunct w:val="0"/>
        <w:spacing w:line="360" w:lineRule="auto"/>
        <w:rPr>
          <w:rFonts w:hint="eastAsia" w:hAnsi="宋体"/>
          <w:b/>
          <w:sz w:val="24"/>
          <w:szCs w:val="24"/>
        </w:rPr>
      </w:pPr>
      <w:r>
        <w:rPr>
          <w:rFonts w:hint="eastAsia" w:hAnsi="宋体"/>
          <w:b/>
          <w:sz w:val="24"/>
          <w:szCs w:val="24"/>
        </w:rPr>
        <w:t>3) 油、气系统图</w:t>
      </w:r>
    </w:p>
    <w:p>
      <w:pPr>
        <w:overflowPunct w:val="0"/>
        <w:spacing w:line="360" w:lineRule="auto"/>
        <w:rPr>
          <w:rFonts w:hint="eastAsia" w:hAnsi="宋体"/>
          <w:b/>
          <w:sz w:val="24"/>
          <w:szCs w:val="24"/>
        </w:rPr>
      </w:pPr>
      <w:r>
        <w:rPr>
          <w:rFonts w:hint="eastAsia"/>
          <w:b/>
          <w:sz w:val="24"/>
          <w:szCs w:val="24"/>
        </w:rPr>
        <w:t>4</w:t>
      </w:r>
      <w:r>
        <w:rPr>
          <w:rFonts w:hAnsi="宋体"/>
          <w:b/>
          <w:sz w:val="24"/>
          <w:szCs w:val="24"/>
        </w:rPr>
        <w:t>）</w:t>
      </w:r>
      <w:r>
        <w:rPr>
          <w:rFonts w:hint="eastAsia" w:hAnsi="宋体"/>
          <w:b/>
          <w:sz w:val="24"/>
          <w:szCs w:val="24"/>
        </w:rPr>
        <w:t>定子绕组出线图</w:t>
      </w:r>
    </w:p>
    <w:p>
      <w:pPr>
        <w:overflowPunct w:val="0"/>
        <w:spacing w:line="360" w:lineRule="auto"/>
        <w:rPr>
          <w:rFonts w:hint="eastAsia" w:hAnsi="宋体"/>
          <w:b/>
          <w:sz w:val="24"/>
          <w:szCs w:val="24"/>
        </w:rPr>
      </w:pPr>
      <w:r>
        <w:rPr>
          <w:rFonts w:hint="eastAsia"/>
          <w:b/>
          <w:sz w:val="24"/>
          <w:szCs w:val="24"/>
        </w:rPr>
        <w:t>5</w:t>
      </w:r>
      <w:r>
        <w:rPr>
          <w:rFonts w:hAnsi="宋体"/>
          <w:b/>
          <w:sz w:val="24"/>
          <w:szCs w:val="24"/>
        </w:rPr>
        <w:t>）</w:t>
      </w:r>
      <w:r>
        <w:rPr>
          <w:rFonts w:hint="eastAsia" w:hAnsi="宋体"/>
          <w:b/>
          <w:sz w:val="24"/>
          <w:szCs w:val="24"/>
        </w:rPr>
        <w:t>油控制系统图</w:t>
      </w:r>
    </w:p>
    <w:p>
      <w:pPr>
        <w:overflowPunct w:val="0"/>
        <w:spacing w:line="360" w:lineRule="auto"/>
        <w:rPr>
          <w:rFonts w:hint="eastAsia" w:hAnsi="宋体"/>
          <w:b/>
          <w:sz w:val="24"/>
          <w:szCs w:val="24"/>
        </w:rPr>
      </w:pPr>
      <w:r>
        <w:rPr>
          <w:rFonts w:hint="eastAsia"/>
          <w:b/>
          <w:sz w:val="24"/>
          <w:szCs w:val="24"/>
        </w:rPr>
        <w:t>6</w:t>
      </w:r>
      <w:r>
        <w:rPr>
          <w:rFonts w:hAnsi="宋体"/>
          <w:b/>
          <w:sz w:val="24"/>
          <w:szCs w:val="24"/>
        </w:rPr>
        <w:t>）</w:t>
      </w:r>
      <w:r>
        <w:rPr>
          <w:rFonts w:hint="eastAsia" w:hAnsi="宋体"/>
          <w:b/>
          <w:sz w:val="24"/>
          <w:szCs w:val="24"/>
        </w:rPr>
        <w:t>发电机外形尺寸图</w:t>
      </w:r>
    </w:p>
    <w:p>
      <w:pPr>
        <w:overflowPunct w:val="0"/>
        <w:spacing w:line="360" w:lineRule="auto"/>
        <w:rPr>
          <w:rFonts w:hint="eastAsia" w:hAnsi="宋体"/>
          <w:b/>
          <w:sz w:val="24"/>
          <w:szCs w:val="24"/>
        </w:rPr>
      </w:pPr>
      <w:r>
        <w:rPr>
          <w:rFonts w:hint="eastAsia"/>
          <w:b/>
          <w:sz w:val="24"/>
          <w:szCs w:val="24"/>
        </w:rPr>
        <w:t>7</w:t>
      </w:r>
      <w:r>
        <w:rPr>
          <w:rFonts w:hAnsi="宋体"/>
          <w:b/>
          <w:sz w:val="24"/>
          <w:szCs w:val="24"/>
        </w:rPr>
        <w:t>）</w:t>
      </w:r>
      <w:r>
        <w:rPr>
          <w:rFonts w:hint="eastAsia" w:hAnsi="宋体"/>
          <w:b/>
          <w:sz w:val="24"/>
          <w:szCs w:val="24"/>
        </w:rPr>
        <w:t>发电机转子拆装图</w:t>
      </w:r>
    </w:p>
    <w:p>
      <w:pPr>
        <w:overflowPunct w:val="0"/>
        <w:spacing w:line="360" w:lineRule="auto"/>
        <w:rPr>
          <w:rFonts w:hint="eastAsia" w:hAnsi="宋体"/>
          <w:b/>
          <w:sz w:val="24"/>
          <w:szCs w:val="24"/>
        </w:rPr>
      </w:pPr>
      <w:r>
        <w:rPr>
          <w:rFonts w:hint="eastAsia"/>
          <w:b/>
          <w:sz w:val="24"/>
          <w:szCs w:val="24"/>
        </w:rPr>
        <w:t>8</w:t>
      </w:r>
      <w:r>
        <w:rPr>
          <w:rFonts w:hAnsi="宋体"/>
          <w:b/>
          <w:sz w:val="24"/>
          <w:szCs w:val="24"/>
        </w:rPr>
        <w:t>）</w:t>
      </w:r>
      <w:r>
        <w:rPr>
          <w:rFonts w:hint="eastAsia" w:hAnsi="宋体"/>
          <w:b/>
          <w:sz w:val="24"/>
          <w:szCs w:val="24"/>
        </w:rPr>
        <w:t>发电机组荷载分布图</w:t>
      </w:r>
    </w:p>
    <w:p>
      <w:pPr>
        <w:tabs>
          <w:tab w:val="left" w:pos="567"/>
        </w:tabs>
        <w:overflowPunct w:val="0"/>
        <w:spacing w:line="360" w:lineRule="auto"/>
        <w:rPr>
          <w:rFonts w:hint="eastAsia" w:hAnsi="宋体"/>
          <w:b/>
          <w:sz w:val="24"/>
          <w:szCs w:val="24"/>
        </w:rPr>
      </w:pPr>
      <w:r>
        <w:rPr>
          <w:rFonts w:hint="eastAsia"/>
          <w:b/>
          <w:sz w:val="24"/>
          <w:szCs w:val="24"/>
        </w:rPr>
        <w:t>9</w:t>
      </w:r>
      <w:r>
        <w:rPr>
          <w:rFonts w:hAnsi="宋体"/>
          <w:b/>
          <w:sz w:val="24"/>
          <w:szCs w:val="24"/>
        </w:rPr>
        <w:t>）</w:t>
      </w:r>
      <w:r>
        <w:rPr>
          <w:rFonts w:hint="eastAsia" w:hAnsi="宋体"/>
          <w:b/>
          <w:sz w:val="24"/>
          <w:szCs w:val="24"/>
        </w:rPr>
        <w:t>定子运输尺寸图</w:t>
      </w:r>
    </w:p>
    <w:p>
      <w:pPr>
        <w:tabs>
          <w:tab w:val="left" w:pos="567"/>
        </w:tabs>
        <w:overflowPunct w:val="0"/>
        <w:spacing w:line="360" w:lineRule="auto"/>
        <w:rPr>
          <w:rFonts w:hint="eastAsia" w:hAnsi="宋体"/>
          <w:b/>
          <w:sz w:val="24"/>
          <w:szCs w:val="24"/>
        </w:rPr>
      </w:pPr>
      <w:r>
        <w:rPr>
          <w:rFonts w:hint="eastAsia"/>
          <w:b/>
          <w:sz w:val="24"/>
          <w:szCs w:val="24"/>
        </w:rPr>
        <w:t>10</w:t>
      </w:r>
      <w:r>
        <w:rPr>
          <w:rFonts w:hAnsi="宋体"/>
          <w:b/>
          <w:sz w:val="24"/>
          <w:szCs w:val="24"/>
        </w:rPr>
        <w:t>）</w:t>
      </w:r>
      <w:r>
        <w:rPr>
          <w:rFonts w:hint="eastAsia" w:hAnsi="宋体"/>
          <w:b/>
          <w:sz w:val="24"/>
          <w:szCs w:val="24"/>
        </w:rPr>
        <w:t>转子运输尺寸图</w:t>
      </w:r>
    </w:p>
    <w:p>
      <w:pPr>
        <w:overflowPunct w:val="0"/>
        <w:spacing w:line="360" w:lineRule="auto"/>
        <w:rPr>
          <w:rFonts w:hint="eastAsia" w:hAnsi="宋体"/>
          <w:b/>
          <w:sz w:val="24"/>
          <w:szCs w:val="24"/>
        </w:rPr>
      </w:pPr>
      <w:r>
        <w:rPr>
          <w:rFonts w:hint="eastAsia"/>
          <w:b/>
          <w:sz w:val="24"/>
          <w:szCs w:val="24"/>
        </w:rPr>
        <w:t>11</w:t>
      </w:r>
      <w:r>
        <w:rPr>
          <w:rFonts w:hAnsi="宋体"/>
          <w:b/>
          <w:sz w:val="24"/>
          <w:szCs w:val="24"/>
        </w:rPr>
        <w:t>）</w:t>
      </w:r>
      <w:r>
        <w:rPr>
          <w:rFonts w:hint="eastAsia" w:hAnsi="宋体"/>
          <w:b/>
          <w:sz w:val="24"/>
          <w:szCs w:val="24"/>
        </w:rPr>
        <w:t>连接母线接点图及断面图</w:t>
      </w:r>
    </w:p>
    <w:p>
      <w:pPr>
        <w:tabs>
          <w:tab w:val="left" w:pos="567"/>
        </w:tabs>
        <w:overflowPunct w:val="0"/>
        <w:spacing w:line="360" w:lineRule="auto"/>
        <w:rPr>
          <w:rFonts w:hint="eastAsia" w:hAnsi="宋体"/>
          <w:b/>
          <w:sz w:val="24"/>
          <w:szCs w:val="24"/>
        </w:rPr>
      </w:pPr>
      <w:r>
        <w:rPr>
          <w:rFonts w:hint="eastAsia"/>
          <w:b/>
          <w:sz w:val="24"/>
          <w:szCs w:val="24"/>
        </w:rPr>
        <w:t>12</w:t>
      </w:r>
      <w:r>
        <w:rPr>
          <w:rFonts w:hAnsi="宋体"/>
          <w:b/>
          <w:sz w:val="24"/>
          <w:szCs w:val="24"/>
        </w:rPr>
        <w:t>）</w:t>
      </w:r>
      <w:r>
        <w:rPr>
          <w:rFonts w:hint="eastAsia" w:hAnsi="宋体"/>
          <w:b/>
          <w:sz w:val="24"/>
          <w:szCs w:val="24"/>
        </w:rPr>
        <w:t>励磁系统外形图（含励磁调节屏、操作屏、功率屏、灭磁屏等）</w:t>
      </w:r>
    </w:p>
    <w:p>
      <w:pPr>
        <w:tabs>
          <w:tab w:val="left" w:pos="567"/>
        </w:tabs>
        <w:overflowPunct w:val="0"/>
        <w:spacing w:line="360" w:lineRule="auto"/>
        <w:rPr>
          <w:rFonts w:hint="eastAsia" w:hAnsi="宋体"/>
          <w:b/>
          <w:sz w:val="24"/>
          <w:szCs w:val="24"/>
        </w:rPr>
      </w:pPr>
      <w:r>
        <w:rPr>
          <w:rFonts w:hint="eastAsia"/>
          <w:b/>
          <w:sz w:val="24"/>
          <w:szCs w:val="24"/>
        </w:rPr>
        <w:t>13</w:t>
      </w:r>
      <w:r>
        <w:rPr>
          <w:rFonts w:hAnsi="宋体"/>
          <w:b/>
          <w:sz w:val="24"/>
          <w:szCs w:val="24"/>
        </w:rPr>
        <w:t>）</w:t>
      </w:r>
      <w:r>
        <w:rPr>
          <w:rFonts w:hint="eastAsia" w:hAnsi="宋体"/>
          <w:b/>
          <w:sz w:val="24"/>
          <w:szCs w:val="24"/>
        </w:rPr>
        <w:t>励磁部分连接封闭母线接点图及断面图</w:t>
      </w:r>
    </w:p>
    <w:p>
      <w:pPr>
        <w:overflowPunct w:val="0"/>
        <w:spacing w:line="360" w:lineRule="auto"/>
        <w:rPr>
          <w:rFonts w:hint="eastAsia" w:hAnsi="宋体"/>
          <w:b/>
          <w:sz w:val="24"/>
          <w:szCs w:val="24"/>
        </w:rPr>
      </w:pPr>
      <w:r>
        <w:rPr>
          <w:rFonts w:hint="eastAsia"/>
          <w:b/>
          <w:sz w:val="24"/>
          <w:szCs w:val="24"/>
        </w:rPr>
        <w:t>14</w:t>
      </w:r>
      <w:r>
        <w:rPr>
          <w:rFonts w:hAnsi="宋体"/>
          <w:b/>
          <w:sz w:val="24"/>
          <w:szCs w:val="24"/>
        </w:rPr>
        <w:t>）</w:t>
      </w:r>
      <w:r>
        <w:rPr>
          <w:rFonts w:hint="eastAsia" w:hAnsi="宋体"/>
          <w:b/>
          <w:sz w:val="24"/>
          <w:szCs w:val="24"/>
        </w:rPr>
        <w:t>发电机出力图</w:t>
      </w:r>
    </w:p>
    <w:p>
      <w:pPr>
        <w:tabs>
          <w:tab w:val="left" w:pos="578"/>
        </w:tabs>
        <w:overflowPunct w:val="0"/>
        <w:spacing w:line="360" w:lineRule="auto"/>
        <w:rPr>
          <w:b/>
          <w:sz w:val="24"/>
          <w:szCs w:val="24"/>
        </w:rPr>
      </w:pPr>
      <w:r>
        <w:rPr>
          <w:rFonts w:hint="eastAsia"/>
          <w:b/>
          <w:sz w:val="24"/>
          <w:szCs w:val="24"/>
        </w:rPr>
        <w:t>15</w:t>
      </w:r>
      <w:r>
        <w:rPr>
          <w:rFonts w:hAnsi="宋体"/>
          <w:b/>
          <w:sz w:val="24"/>
          <w:szCs w:val="24"/>
        </w:rPr>
        <w:t>）</w:t>
      </w:r>
      <w:r>
        <w:rPr>
          <w:rFonts w:hint="eastAsia" w:hAnsi="宋体"/>
          <w:b/>
          <w:sz w:val="24"/>
          <w:szCs w:val="24"/>
        </w:rPr>
        <w:t>励磁特性曲线</w:t>
      </w:r>
    </w:p>
    <w:p>
      <w:pPr>
        <w:numPr>
          <w:ilvl w:val="1"/>
          <w:numId w:val="35"/>
        </w:numPr>
        <w:tabs>
          <w:tab w:val="left" w:pos="578"/>
        </w:tabs>
        <w:snapToGrid w:val="0"/>
        <w:spacing w:line="360" w:lineRule="auto"/>
        <w:rPr>
          <w:b/>
          <w:sz w:val="24"/>
        </w:rPr>
      </w:pPr>
      <w:r>
        <w:rPr>
          <w:b/>
          <w:sz w:val="24"/>
        </w:rPr>
        <w:t>配合工程设计的资料与图纸</w:t>
      </w:r>
    </w:p>
    <w:p>
      <w:pPr>
        <w:spacing w:line="360" w:lineRule="auto"/>
        <w:ind w:firstLine="360" w:firstLineChars="150"/>
        <w:rPr>
          <w:sz w:val="24"/>
          <w:szCs w:val="24"/>
        </w:rPr>
      </w:pPr>
      <w:r>
        <w:rPr>
          <w:sz w:val="24"/>
          <w:szCs w:val="24"/>
        </w:rPr>
        <w:t>投标人应在合同签字后的6个月内提交轴系扭振固有频率和疲劳寿命损耗分析报告，包括下列数据：</w:t>
      </w:r>
    </w:p>
    <w:p>
      <w:pPr>
        <w:pStyle w:val="124"/>
        <w:numPr>
          <w:ilvl w:val="0"/>
          <w:numId w:val="36"/>
        </w:numPr>
        <w:tabs>
          <w:tab w:val="left" w:pos="540"/>
        </w:tabs>
        <w:spacing w:line="360" w:lineRule="auto"/>
        <w:ind w:left="0" w:firstLine="0" w:firstLineChars="0"/>
        <w:rPr>
          <w:sz w:val="24"/>
          <w:szCs w:val="24"/>
        </w:rPr>
      </w:pPr>
      <w:r>
        <w:rPr>
          <w:sz w:val="24"/>
          <w:szCs w:val="24"/>
        </w:rPr>
        <w:t xml:space="preserve">发电机出口两相或三相短路，疲劳损耗最大值 </w:t>
      </w:r>
      <w:r>
        <w:rPr>
          <w:rFonts w:hint="eastAsia"/>
          <w:sz w:val="24"/>
          <w:szCs w:val="24"/>
        </w:rPr>
        <w:t xml:space="preserve"> </w:t>
      </w:r>
      <w:r>
        <w:rPr>
          <w:sz w:val="24"/>
          <w:szCs w:val="24"/>
        </w:rPr>
        <w:t>%/次</w:t>
      </w:r>
      <w:r>
        <w:rPr>
          <w:rFonts w:hint="eastAsia"/>
          <w:sz w:val="24"/>
          <w:szCs w:val="24"/>
        </w:rPr>
        <w:t>；</w:t>
      </w:r>
    </w:p>
    <w:p>
      <w:pPr>
        <w:pStyle w:val="124"/>
        <w:numPr>
          <w:ilvl w:val="0"/>
          <w:numId w:val="36"/>
        </w:numPr>
        <w:tabs>
          <w:tab w:val="left" w:pos="540"/>
        </w:tabs>
        <w:spacing w:line="360" w:lineRule="auto"/>
        <w:ind w:left="0" w:firstLine="0" w:firstLineChars="0"/>
        <w:rPr>
          <w:sz w:val="24"/>
          <w:szCs w:val="24"/>
        </w:rPr>
      </w:pPr>
      <w:r>
        <w:rPr>
          <w:sz w:val="24"/>
        </w:rPr>
        <w:t>90</w:t>
      </w:r>
      <w:r>
        <w:rPr>
          <w:sz w:val="24"/>
          <w:vertAlign w:val="superscript"/>
        </w:rPr>
        <w:t xml:space="preserve">o </w:t>
      </w:r>
      <w:r>
        <w:rPr>
          <w:sz w:val="24"/>
        </w:rPr>
        <w:t>～135</w:t>
      </w:r>
      <w:r>
        <w:rPr>
          <w:sz w:val="24"/>
          <w:vertAlign w:val="superscript"/>
        </w:rPr>
        <w:t>o</w:t>
      </w:r>
      <w:r>
        <w:rPr>
          <w:sz w:val="24"/>
          <w:szCs w:val="24"/>
        </w:rPr>
        <w:t xml:space="preserve">误并列，疲劳损耗最大值 </w:t>
      </w:r>
      <w:r>
        <w:rPr>
          <w:rFonts w:hint="eastAsia"/>
          <w:sz w:val="24"/>
          <w:szCs w:val="24"/>
        </w:rPr>
        <w:t xml:space="preserve"> </w:t>
      </w:r>
      <w:r>
        <w:rPr>
          <w:sz w:val="24"/>
          <w:szCs w:val="24"/>
        </w:rPr>
        <w:t>%/次</w:t>
      </w:r>
      <w:r>
        <w:rPr>
          <w:rFonts w:hint="eastAsia"/>
          <w:sz w:val="24"/>
          <w:szCs w:val="24"/>
        </w:rPr>
        <w:t>；</w:t>
      </w:r>
    </w:p>
    <w:p>
      <w:pPr>
        <w:numPr>
          <w:ilvl w:val="0"/>
          <w:numId w:val="36"/>
        </w:numPr>
        <w:tabs>
          <w:tab w:val="left" w:pos="540"/>
        </w:tabs>
        <w:spacing w:line="360" w:lineRule="auto"/>
        <w:ind w:left="0" w:firstLine="0"/>
        <w:rPr>
          <w:sz w:val="24"/>
          <w:szCs w:val="24"/>
        </w:rPr>
      </w:pPr>
      <w:r>
        <w:rPr>
          <w:sz w:val="24"/>
          <w:szCs w:val="24"/>
        </w:rPr>
        <w:t>近处短路及切除，切除时间小于150ms时，疲劳损耗</w:t>
      </w:r>
      <w:r>
        <w:rPr>
          <w:rFonts w:hint="eastAsia"/>
          <w:sz w:val="24"/>
          <w:szCs w:val="24"/>
        </w:rPr>
        <w:t xml:space="preserve">  </w:t>
      </w:r>
      <w:r>
        <w:rPr>
          <w:sz w:val="24"/>
          <w:szCs w:val="24"/>
        </w:rPr>
        <w:t>%/次；切除时间大于150ms时，疲劳损耗</w:t>
      </w:r>
      <w:r>
        <w:rPr>
          <w:rFonts w:hint="eastAsia"/>
          <w:sz w:val="24"/>
          <w:szCs w:val="24"/>
        </w:rPr>
        <w:t xml:space="preserve">  </w:t>
      </w:r>
      <w:r>
        <w:rPr>
          <w:sz w:val="24"/>
          <w:szCs w:val="24"/>
        </w:rPr>
        <w:t>%/次</w:t>
      </w:r>
      <w:r>
        <w:rPr>
          <w:rFonts w:hint="eastAsia"/>
          <w:sz w:val="24"/>
          <w:szCs w:val="24"/>
        </w:rPr>
        <w:t>；</w:t>
      </w:r>
    </w:p>
    <w:p>
      <w:pPr>
        <w:numPr>
          <w:ilvl w:val="0"/>
          <w:numId w:val="36"/>
        </w:numPr>
        <w:tabs>
          <w:tab w:val="left" w:pos="540"/>
        </w:tabs>
        <w:spacing w:line="360" w:lineRule="auto"/>
        <w:ind w:left="0" w:firstLine="0"/>
        <w:rPr>
          <w:sz w:val="24"/>
          <w:szCs w:val="24"/>
        </w:rPr>
      </w:pPr>
      <w:r>
        <w:rPr>
          <w:sz w:val="24"/>
          <w:szCs w:val="24"/>
        </w:rPr>
        <w:t>线路单相快速重合闸应不受限制，疲劳损耗</w:t>
      </w:r>
      <w:r>
        <w:rPr>
          <w:rFonts w:hint="eastAsia"/>
          <w:sz w:val="24"/>
          <w:szCs w:val="24"/>
        </w:rPr>
        <w:t xml:space="preserve">  </w:t>
      </w:r>
      <w:r>
        <w:rPr>
          <w:sz w:val="24"/>
          <w:szCs w:val="24"/>
        </w:rPr>
        <w:t>%/次；</w:t>
      </w:r>
    </w:p>
    <w:p>
      <w:pPr>
        <w:numPr>
          <w:ilvl w:val="0"/>
          <w:numId w:val="36"/>
        </w:numPr>
        <w:tabs>
          <w:tab w:val="left" w:pos="540"/>
        </w:tabs>
        <w:spacing w:line="360" w:lineRule="auto"/>
        <w:ind w:left="0" w:firstLine="0"/>
        <w:rPr>
          <w:sz w:val="24"/>
          <w:szCs w:val="24"/>
        </w:rPr>
      </w:pPr>
      <w:r>
        <w:rPr>
          <w:sz w:val="24"/>
          <w:szCs w:val="24"/>
        </w:rPr>
        <w:t>机组带励磁失步，如振荡电流和力矩小于0.6～0.7出口短路相应值时，允许的运行时间</w:t>
      </w:r>
      <w:r>
        <w:rPr>
          <w:rFonts w:hint="eastAsia"/>
          <w:sz w:val="24"/>
          <w:szCs w:val="24"/>
        </w:rPr>
        <w:t xml:space="preserve">  </w:t>
      </w:r>
      <w:r>
        <w:rPr>
          <w:sz w:val="24"/>
          <w:szCs w:val="24"/>
        </w:rPr>
        <w:t>s。汽轮发电机组容许的失步运行最大滑极数为______。</w:t>
      </w:r>
    </w:p>
    <w:p>
      <w:pPr>
        <w:tabs>
          <w:tab w:val="left" w:pos="578"/>
        </w:tabs>
        <w:snapToGrid w:val="0"/>
        <w:spacing w:line="360" w:lineRule="auto"/>
        <w:rPr>
          <w:sz w:val="24"/>
        </w:rPr>
      </w:pPr>
      <w:r>
        <w:rPr>
          <w:sz w:val="24"/>
        </w:rPr>
        <w:tab/>
      </w:r>
      <w:r>
        <w:rPr>
          <w:sz w:val="24"/>
        </w:rPr>
        <w:t>投标人应及时提供满足工程初步设计及施工图各设计阶段的资料和图纸，投标人提供的满足工程各设计阶段的资料和图纸为每台设备5套（设计院3套，招标人2套），电子文件每台设备3套（设计院2套，招标人1套）。</w:t>
      </w:r>
    </w:p>
    <w:p>
      <w:pPr>
        <w:tabs>
          <w:tab w:val="left" w:pos="578"/>
        </w:tabs>
        <w:snapToGrid w:val="0"/>
        <w:spacing w:line="360" w:lineRule="auto"/>
        <w:rPr>
          <w:b/>
          <w:sz w:val="24"/>
        </w:rPr>
      </w:pPr>
      <w:r>
        <w:rPr>
          <w:b/>
          <w:sz w:val="24"/>
        </w:rPr>
        <w:t>2.3  设备监造检验所需要的技术资料</w:t>
      </w:r>
    </w:p>
    <w:p>
      <w:pPr>
        <w:tabs>
          <w:tab w:val="left" w:pos="578"/>
        </w:tabs>
        <w:snapToGrid w:val="0"/>
        <w:spacing w:line="360" w:lineRule="auto"/>
        <w:rPr>
          <w:sz w:val="24"/>
        </w:rPr>
      </w:pPr>
      <w:r>
        <w:rPr>
          <w:sz w:val="24"/>
        </w:rPr>
        <w:tab/>
      </w:r>
      <w:r>
        <w:rPr>
          <w:sz w:val="24"/>
        </w:rPr>
        <w:t>投标人应提供满足合同设备监造检验/见证所需的全部技术资料。</w:t>
      </w:r>
    </w:p>
    <w:p>
      <w:pPr>
        <w:tabs>
          <w:tab w:val="left" w:pos="578"/>
        </w:tabs>
        <w:snapToGrid w:val="0"/>
        <w:spacing w:line="360" w:lineRule="auto"/>
        <w:rPr>
          <w:b/>
          <w:sz w:val="24"/>
        </w:rPr>
      </w:pPr>
      <w:r>
        <w:rPr>
          <w:b/>
          <w:sz w:val="24"/>
        </w:rPr>
        <w:t>2.4  施工、调试、试运、机组性能试验和运行维护所需的技术资料包括但不限于：</w:t>
      </w:r>
    </w:p>
    <w:p>
      <w:pPr>
        <w:tabs>
          <w:tab w:val="left" w:pos="578"/>
        </w:tabs>
        <w:snapToGrid w:val="0"/>
        <w:spacing w:line="360" w:lineRule="auto"/>
        <w:rPr>
          <w:sz w:val="24"/>
        </w:rPr>
      </w:pPr>
      <w:r>
        <w:rPr>
          <w:sz w:val="24"/>
        </w:rPr>
        <w:t>2.4.1  提供设备安装、调试和试运说明书，以及组装、拆卸时所需用的技术资料。</w:t>
      </w:r>
    </w:p>
    <w:p>
      <w:pPr>
        <w:tabs>
          <w:tab w:val="left" w:pos="578"/>
        </w:tabs>
        <w:snapToGrid w:val="0"/>
        <w:spacing w:line="360" w:lineRule="auto"/>
        <w:rPr>
          <w:sz w:val="24"/>
        </w:rPr>
      </w:pPr>
      <w:r>
        <w:rPr>
          <w:sz w:val="24"/>
        </w:rPr>
        <w:t>2.4.2  安装、运行、维护、检修所需的详尽图纸和技术文件,包括设备总图、部件总图、分图和必要的零件图、计算资料等。</w:t>
      </w:r>
    </w:p>
    <w:p>
      <w:pPr>
        <w:tabs>
          <w:tab w:val="left" w:pos="578"/>
        </w:tabs>
        <w:snapToGrid w:val="0"/>
        <w:spacing w:line="360" w:lineRule="auto"/>
        <w:rPr>
          <w:sz w:val="24"/>
        </w:rPr>
      </w:pPr>
      <w:r>
        <w:rPr>
          <w:sz w:val="24"/>
        </w:rPr>
        <w:t>2.4.3  设备的安装、运行、维护、检修说明书,包括设备结构特点、安装程序和工艺要求、起动调试要领。运行操作规定和控制数据、定期校验和维护说明等。</w:t>
      </w:r>
    </w:p>
    <w:p>
      <w:pPr>
        <w:tabs>
          <w:tab w:val="left" w:pos="578"/>
        </w:tabs>
        <w:snapToGrid w:val="0"/>
        <w:spacing w:line="360" w:lineRule="auto"/>
        <w:rPr>
          <w:sz w:val="24"/>
        </w:rPr>
      </w:pPr>
      <w:r>
        <w:rPr>
          <w:sz w:val="24"/>
        </w:rPr>
        <w:t>2.4.4  投标人应提供备品、配件总清单和易损零件图。</w:t>
      </w:r>
    </w:p>
    <w:p>
      <w:pPr>
        <w:tabs>
          <w:tab w:val="left" w:pos="578"/>
        </w:tabs>
        <w:snapToGrid w:val="0"/>
        <w:spacing w:line="360" w:lineRule="auto"/>
        <w:rPr>
          <w:sz w:val="24"/>
        </w:rPr>
      </w:pPr>
      <w:r>
        <w:rPr>
          <w:sz w:val="24"/>
        </w:rPr>
        <w:t>2.4.5  投标人应提供专用工具使用说明及图纸。</w:t>
      </w:r>
    </w:p>
    <w:p>
      <w:pPr>
        <w:tabs>
          <w:tab w:val="left" w:pos="578"/>
        </w:tabs>
        <w:snapToGrid w:val="0"/>
        <w:spacing w:line="360" w:lineRule="auto"/>
        <w:rPr>
          <w:b/>
          <w:sz w:val="24"/>
        </w:rPr>
      </w:pPr>
      <w:r>
        <w:rPr>
          <w:b/>
          <w:sz w:val="24"/>
        </w:rPr>
        <w:t>2.5  投标人须提供的其它技术资料，包括以下但不限于：</w:t>
      </w:r>
    </w:p>
    <w:p>
      <w:pPr>
        <w:tabs>
          <w:tab w:val="left" w:pos="578"/>
        </w:tabs>
        <w:snapToGrid w:val="0"/>
        <w:spacing w:line="360" w:lineRule="auto"/>
        <w:rPr>
          <w:sz w:val="24"/>
        </w:rPr>
      </w:pPr>
      <w:r>
        <w:rPr>
          <w:sz w:val="24"/>
        </w:rPr>
        <w:t>2.5.1  检验记录、试验报告及质量合格证等出厂报告。</w:t>
      </w:r>
    </w:p>
    <w:p>
      <w:pPr>
        <w:tabs>
          <w:tab w:val="left" w:pos="578"/>
        </w:tabs>
        <w:snapToGrid w:val="0"/>
        <w:spacing w:line="360" w:lineRule="auto"/>
        <w:rPr>
          <w:sz w:val="24"/>
        </w:rPr>
      </w:pPr>
      <w:r>
        <w:rPr>
          <w:sz w:val="24"/>
        </w:rPr>
        <w:t>2.5.2  投标人提供在设计、制造、检验、验收时所遵循的标准、规范和规定等清单。</w:t>
      </w:r>
    </w:p>
    <w:p>
      <w:pPr>
        <w:tabs>
          <w:tab w:val="left" w:pos="578"/>
        </w:tabs>
        <w:snapToGrid w:val="0"/>
        <w:spacing w:line="360" w:lineRule="auto"/>
        <w:rPr>
          <w:sz w:val="24"/>
        </w:rPr>
      </w:pPr>
      <w:r>
        <w:rPr>
          <w:sz w:val="24"/>
        </w:rPr>
        <w:t>2.5.3  设备和备品管理资料文件,包括设备和备品发运和装箱的详细资料(各种清单),设备和备品存放与保管技术要求,运输超重和超大件的明细表和外形图。</w:t>
      </w:r>
    </w:p>
    <w:p>
      <w:pPr>
        <w:numPr>
          <w:ilvl w:val="2"/>
          <w:numId w:val="2"/>
        </w:numPr>
        <w:tabs>
          <w:tab w:val="left" w:pos="578"/>
        </w:tabs>
        <w:snapToGrid w:val="0"/>
        <w:spacing w:line="360" w:lineRule="auto"/>
        <w:ind w:left="0" w:firstLine="0"/>
        <w:rPr>
          <w:sz w:val="24"/>
        </w:rPr>
      </w:pPr>
      <w:r>
        <w:rPr>
          <w:sz w:val="24"/>
        </w:rPr>
        <w:t>详细的产品质量文件,包括材质、材质检验、焊接、热处理、加工质量、外形尺寸、水压试验和性能检验等的证明。</w:t>
      </w:r>
    </w:p>
    <w:p>
      <w:pPr>
        <w:tabs>
          <w:tab w:val="left" w:pos="578"/>
        </w:tabs>
        <w:snapToGrid w:val="0"/>
        <w:spacing w:line="360" w:lineRule="auto"/>
        <w:rPr>
          <w:b/>
          <w:sz w:val="24"/>
        </w:rPr>
      </w:pPr>
      <w:r>
        <w:rPr>
          <w:b/>
          <w:sz w:val="24"/>
        </w:rPr>
        <w:t>3.图纸资料清单</w:t>
      </w:r>
    </w:p>
    <w:p>
      <w:pPr>
        <w:spacing w:line="360" w:lineRule="auto"/>
        <w:rPr>
          <w:sz w:val="24"/>
          <w:szCs w:val="24"/>
        </w:rPr>
      </w:pPr>
      <w:r>
        <w:rPr>
          <w:kern w:val="16"/>
          <w:sz w:val="24"/>
        </w:rPr>
        <w:tab/>
      </w:r>
      <w:r>
        <w:rPr>
          <w:rFonts w:hint="eastAsia" w:hAnsi="宋体"/>
          <w:sz w:val="24"/>
          <w:szCs w:val="24"/>
        </w:rPr>
        <w:t>投标人至少提供下列图纸、资料、技术文件，投标人在投标文件中应列出分三阶段提供图纸资料技术文件的清单。</w:t>
      </w:r>
      <w:r>
        <w:rPr>
          <w:sz w:val="24"/>
          <w:szCs w:val="24"/>
        </w:rPr>
        <w:t>（但不限于此）。</w:t>
      </w:r>
    </w:p>
    <w:p>
      <w:pPr>
        <w:tabs>
          <w:tab w:val="left" w:pos="567"/>
        </w:tabs>
        <w:overflowPunct w:val="0"/>
        <w:spacing w:line="360" w:lineRule="auto"/>
        <w:rPr>
          <w:rFonts w:hint="eastAsia" w:hAnsi="宋体"/>
          <w:sz w:val="24"/>
          <w:szCs w:val="24"/>
        </w:rPr>
      </w:pPr>
      <w:r>
        <w:rPr>
          <w:rFonts w:hint="eastAsia" w:hAnsi="宋体"/>
          <w:sz w:val="24"/>
          <w:szCs w:val="24"/>
        </w:rPr>
        <w:t>一、发电机图纸；</w:t>
      </w:r>
    </w:p>
    <w:p>
      <w:pPr>
        <w:tabs>
          <w:tab w:val="left" w:pos="567"/>
        </w:tabs>
        <w:overflowPunct w:val="0"/>
        <w:spacing w:line="360" w:lineRule="auto"/>
        <w:rPr>
          <w:rFonts w:hint="eastAsia" w:hAnsi="宋体"/>
          <w:sz w:val="24"/>
          <w:szCs w:val="24"/>
        </w:rPr>
      </w:pPr>
      <w:r>
        <w:rPr>
          <w:rFonts w:hint="eastAsia" w:hAnsi="宋体"/>
          <w:sz w:val="24"/>
          <w:szCs w:val="24"/>
        </w:rPr>
        <w:t>○——发电机总装图</w:t>
      </w:r>
    </w:p>
    <w:p>
      <w:pPr>
        <w:tabs>
          <w:tab w:val="left" w:pos="567"/>
        </w:tabs>
        <w:overflowPunct w:val="0"/>
        <w:spacing w:line="360" w:lineRule="auto"/>
        <w:rPr>
          <w:rFonts w:hint="eastAsia" w:hAnsi="宋体"/>
          <w:sz w:val="24"/>
          <w:szCs w:val="24"/>
        </w:rPr>
      </w:pPr>
      <w:r>
        <w:rPr>
          <w:rFonts w:hAnsi="宋体"/>
          <w:sz w:val="24"/>
          <w:szCs w:val="24"/>
        </w:rPr>
        <w:t>*</w:t>
      </w:r>
      <w:r>
        <w:rPr>
          <w:rFonts w:hint="eastAsia" w:hAnsi="宋体"/>
          <w:sz w:val="24"/>
          <w:szCs w:val="24"/>
        </w:rPr>
        <w:t>——发电机安装图</w:t>
      </w:r>
    </w:p>
    <w:p>
      <w:pPr>
        <w:tabs>
          <w:tab w:val="left" w:pos="567"/>
        </w:tabs>
        <w:overflowPunct w:val="0"/>
        <w:spacing w:line="360" w:lineRule="auto"/>
        <w:rPr>
          <w:rFonts w:hint="eastAsia" w:hAnsi="宋体"/>
          <w:sz w:val="24"/>
          <w:szCs w:val="24"/>
        </w:rPr>
      </w:pPr>
      <w:r>
        <w:rPr>
          <w:rFonts w:hint="eastAsia" w:hAnsi="宋体"/>
          <w:sz w:val="24"/>
          <w:szCs w:val="24"/>
        </w:rPr>
        <w:t>○——发电机定子绕组装配图</w:t>
      </w:r>
    </w:p>
    <w:p>
      <w:pPr>
        <w:tabs>
          <w:tab w:val="left" w:pos="567"/>
        </w:tabs>
        <w:overflowPunct w:val="0"/>
        <w:spacing w:line="360" w:lineRule="auto"/>
        <w:rPr>
          <w:rFonts w:hint="eastAsia" w:hAnsi="宋体"/>
          <w:sz w:val="24"/>
          <w:szCs w:val="24"/>
        </w:rPr>
      </w:pPr>
      <w:r>
        <w:rPr>
          <w:rFonts w:hint="eastAsia" w:hAnsi="宋体"/>
          <w:sz w:val="24"/>
          <w:szCs w:val="24"/>
        </w:rPr>
        <w:t>○——定子绕组接线图</w:t>
      </w:r>
    </w:p>
    <w:p>
      <w:pPr>
        <w:tabs>
          <w:tab w:val="left" w:pos="567"/>
        </w:tabs>
        <w:overflowPunct w:val="0"/>
        <w:spacing w:line="360" w:lineRule="auto"/>
        <w:rPr>
          <w:rFonts w:hint="eastAsia" w:hAnsi="宋体"/>
          <w:sz w:val="24"/>
          <w:szCs w:val="24"/>
        </w:rPr>
      </w:pPr>
      <w:r>
        <w:rPr>
          <w:rFonts w:hint="eastAsia" w:hAnsi="宋体"/>
          <w:sz w:val="24"/>
          <w:szCs w:val="24"/>
        </w:rPr>
        <w:t>○——转子装配图</w:t>
      </w:r>
    </w:p>
    <w:p>
      <w:pPr>
        <w:tabs>
          <w:tab w:val="left" w:pos="567"/>
        </w:tabs>
        <w:overflowPunct w:val="0"/>
        <w:spacing w:line="360" w:lineRule="auto"/>
        <w:rPr>
          <w:rFonts w:hint="eastAsia" w:hAnsi="宋体"/>
          <w:sz w:val="24"/>
          <w:szCs w:val="24"/>
        </w:rPr>
      </w:pPr>
      <w:r>
        <w:rPr>
          <w:rFonts w:hint="eastAsia" w:hAnsi="宋体"/>
          <w:sz w:val="24"/>
          <w:szCs w:val="24"/>
        </w:rPr>
        <w:t>○——转子绕组接线图</w:t>
      </w:r>
    </w:p>
    <w:p>
      <w:pPr>
        <w:tabs>
          <w:tab w:val="left" w:pos="567"/>
        </w:tabs>
        <w:overflowPunct w:val="0"/>
        <w:spacing w:line="360" w:lineRule="auto"/>
        <w:rPr>
          <w:rFonts w:hint="eastAsia" w:hAnsi="宋体"/>
          <w:sz w:val="24"/>
          <w:szCs w:val="24"/>
        </w:rPr>
      </w:pPr>
      <w:r>
        <w:rPr>
          <w:rFonts w:hint="eastAsia" w:hAnsi="宋体"/>
          <w:sz w:val="24"/>
          <w:szCs w:val="24"/>
        </w:rPr>
        <w:t>○——转子引线及集电环装配图</w:t>
      </w:r>
    </w:p>
    <w:p>
      <w:pPr>
        <w:tabs>
          <w:tab w:val="left" w:pos="567"/>
        </w:tabs>
        <w:overflowPunct w:val="0"/>
        <w:spacing w:line="360" w:lineRule="auto"/>
        <w:rPr>
          <w:rFonts w:hint="eastAsia" w:hAnsi="宋体"/>
          <w:sz w:val="24"/>
          <w:szCs w:val="24"/>
        </w:rPr>
      </w:pPr>
      <w:r>
        <w:rPr>
          <w:rFonts w:hint="eastAsia" w:hAnsi="宋体"/>
          <w:sz w:val="24"/>
          <w:szCs w:val="24"/>
        </w:rPr>
        <w:t>○——轴瓦加工图</w:t>
      </w:r>
    </w:p>
    <w:p>
      <w:pPr>
        <w:tabs>
          <w:tab w:val="left" w:pos="567"/>
        </w:tabs>
        <w:overflowPunct w:val="0"/>
        <w:spacing w:line="360" w:lineRule="auto"/>
        <w:rPr>
          <w:rFonts w:hint="eastAsia" w:hAnsi="宋体"/>
          <w:sz w:val="24"/>
          <w:szCs w:val="24"/>
        </w:rPr>
      </w:pPr>
      <w:r>
        <w:rPr>
          <w:rFonts w:hint="eastAsia" w:hAnsi="宋体"/>
          <w:sz w:val="24"/>
          <w:szCs w:val="24"/>
        </w:rPr>
        <w:t>○——定子测温元件布置图及接线板接线图</w:t>
      </w:r>
    </w:p>
    <w:p>
      <w:pPr>
        <w:tabs>
          <w:tab w:val="left" w:pos="567"/>
        </w:tabs>
        <w:overflowPunct w:val="0"/>
        <w:spacing w:line="360" w:lineRule="auto"/>
        <w:rPr>
          <w:rFonts w:hint="eastAsia" w:hAnsi="宋体"/>
          <w:sz w:val="24"/>
          <w:szCs w:val="24"/>
        </w:rPr>
      </w:pPr>
      <w:r>
        <w:rPr>
          <w:rFonts w:hAnsi="宋体"/>
          <w:sz w:val="24"/>
          <w:szCs w:val="24"/>
        </w:rPr>
        <w:t>*</w:t>
      </w:r>
      <w:r>
        <w:rPr>
          <w:rFonts w:hint="eastAsia" w:hAnsi="宋体"/>
          <w:sz w:val="24"/>
          <w:szCs w:val="24"/>
        </w:rPr>
        <w:t>——油、气系统图</w:t>
      </w:r>
    </w:p>
    <w:p>
      <w:pPr>
        <w:tabs>
          <w:tab w:val="left" w:pos="567"/>
        </w:tabs>
        <w:overflowPunct w:val="0"/>
        <w:spacing w:line="360" w:lineRule="auto"/>
        <w:rPr>
          <w:rFonts w:hint="eastAsia" w:hAnsi="宋体"/>
          <w:sz w:val="24"/>
          <w:szCs w:val="24"/>
        </w:rPr>
      </w:pPr>
      <w:r>
        <w:rPr>
          <w:rFonts w:hAnsi="宋体"/>
          <w:sz w:val="24"/>
          <w:szCs w:val="24"/>
        </w:rPr>
        <w:t>*</w:t>
      </w:r>
      <w:r>
        <w:rPr>
          <w:rFonts w:hint="eastAsia" w:hAnsi="宋体"/>
          <w:sz w:val="24"/>
          <w:szCs w:val="24"/>
        </w:rPr>
        <w:t>——定子绕组出线图</w:t>
      </w:r>
    </w:p>
    <w:p>
      <w:pPr>
        <w:tabs>
          <w:tab w:val="left" w:pos="567"/>
        </w:tabs>
        <w:overflowPunct w:val="0"/>
        <w:spacing w:line="360" w:lineRule="auto"/>
        <w:rPr>
          <w:rFonts w:hint="eastAsia" w:hAnsi="宋体"/>
          <w:sz w:val="24"/>
          <w:szCs w:val="24"/>
        </w:rPr>
      </w:pPr>
      <w:r>
        <w:rPr>
          <w:rFonts w:hAnsi="宋体"/>
          <w:sz w:val="24"/>
          <w:szCs w:val="24"/>
        </w:rPr>
        <w:t>*</w:t>
      </w:r>
      <w:r>
        <w:rPr>
          <w:rFonts w:hint="eastAsia" w:hAnsi="宋体"/>
          <w:sz w:val="24"/>
          <w:szCs w:val="24"/>
        </w:rPr>
        <w:t>——油控制系统图</w:t>
      </w:r>
    </w:p>
    <w:p>
      <w:pPr>
        <w:tabs>
          <w:tab w:val="left" w:pos="567"/>
        </w:tabs>
        <w:overflowPunct w:val="0"/>
        <w:spacing w:line="360" w:lineRule="auto"/>
        <w:rPr>
          <w:rFonts w:hint="eastAsia" w:hAnsi="宋体"/>
          <w:sz w:val="24"/>
          <w:szCs w:val="24"/>
        </w:rPr>
      </w:pPr>
      <w:r>
        <w:rPr>
          <w:rFonts w:hAnsi="宋体"/>
          <w:sz w:val="24"/>
          <w:szCs w:val="24"/>
        </w:rPr>
        <w:t>*</w:t>
      </w:r>
      <w:r>
        <w:rPr>
          <w:rFonts w:hint="eastAsia" w:hAnsi="宋体"/>
          <w:sz w:val="24"/>
          <w:szCs w:val="24"/>
        </w:rPr>
        <w:t>——发电机外形尺寸图</w:t>
      </w:r>
    </w:p>
    <w:p>
      <w:pPr>
        <w:tabs>
          <w:tab w:val="left" w:pos="567"/>
        </w:tabs>
        <w:overflowPunct w:val="0"/>
        <w:spacing w:line="360" w:lineRule="auto"/>
        <w:rPr>
          <w:rFonts w:hint="eastAsia" w:hAnsi="宋体"/>
          <w:sz w:val="24"/>
          <w:szCs w:val="24"/>
        </w:rPr>
      </w:pPr>
      <w:r>
        <w:rPr>
          <w:rFonts w:hint="eastAsia" w:hAnsi="宋体"/>
          <w:sz w:val="24"/>
          <w:szCs w:val="24"/>
        </w:rPr>
        <w:t>○——油密封瓦加工图</w:t>
      </w:r>
    </w:p>
    <w:p>
      <w:pPr>
        <w:tabs>
          <w:tab w:val="left" w:pos="567"/>
        </w:tabs>
        <w:overflowPunct w:val="0"/>
        <w:spacing w:line="360" w:lineRule="auto"/>
        <w:rPr>
          <w:rFonts w:hint="eastAsia" w:hAnsi="宋体"/>
          <w:sz w:val="24"/>
          <w:szCs w:val="24"/>
        </w:rPr>
      </w:pPr>
      <w:r>
        <w:rPr>
          <w:rFonts w:hint="eastAsia" w:hAnsi="宋体"/>
          <w:sz w:val="24"/>
          <w:szCs w:val="24"/>
        </w:rPr>
        <w:t>○——滑环结构图</w:t>
      </w:r>
    </w:p>
    <w:p>
      <w:pPr>
        <w:tabs>
          <w:tab w:val="left" w:pos="567"/>
        </w:tabs>
        <w:overflowPunct w:val="0"/>
        <w:spacing w:line="360" w:lineRule="auto"/>
        <w:rPr>
          <w:rFonts w:hint="eastAsia" w:hAnsi="宋体"/>
          <w:sz w:val="24"/>
          <w:szCs w:val="24"/>
        </w:rPr>
      </w:pPr>
      <w:r>
        <w:rPr>
          <w:rFonts w:hAnsi="宋体"/>
          <w:sz w:val="24"/>
          <w:szCs w:val="24"/>
        </w:rPr>
        <w:t>*</w:t>
      </w:r>
      <w:r>
        <w:rPr>
          <w:rFonts w:hint="eastAsia" w:hAnsi="宋体"/>
          <w:sz w:val="24"/>
          <w:szCs w:val="24"/>
        </w:rPr>
        <w:t>——发电机转子拆装图</w:t>
      </w:r>
    </w:p>
    <w:p>
      <w:pPr>
        <w:tabs>
          <w:tab w:val="left" w:pos="567"/>
        </w:tabs>
        <w:overflowPunct w:val="0"/>
        <w:spacing w:line="360" w:lineRule="auto"/>
        <w:rPr>
          <w:rFonts w:hint="eastAsia" w:hAnsi="宋体"/>
          <w:sz w:val="24"/>
          <w:szCs w:val="24"/>
        </w:rPr>
      </w:pPr>
      <w:r>
        <w:rPr>
          <w:rFonts w:hAnsi="宋体"/>
          <w:sz w:val="24"/>
          <w:szCs w:val="24"/>
        </w:rPr>
        <w:t>*</w:t>
      </w:r>
      <w:r>
        <w:rPr>
          <w:rFonts w:hint="eastAsia" w:hAnsi="宋体"/>
          <w:sz w:val="24"/>
          <w:szCs w:val="24"/>
        </w:rPr>
        <w:t>——发电机组荷载分布图</w:t>
      </w:r>
    </w:p>
    <w:p>
      <w:pPr>
        <w:tabs>
          <w:tab w:val="left" w:pos="567"/>
        </w:tabs>
        <w:overflowPunct w:val="0"/>
        <w:spacing w:line="360" w:lineRule="auto"/>
        <w:rPr>
          <w:rFonts w:hint="eastAsia" w:hAnsi="宋体"/>
          <w:sz w:val="24"/>
          <w:szCs w:val="24"/>
        </w:rPr>
      </w:pPr>
      <w:r>
        <w:rPr>
          <w:rFonts w:hAnsi="宋体"/>
          <w:sz w:val="24"/>
          <w:szCs w:val="24"/>
        </w:rPr>
        <w:t>*</w:t>
      </w:r>
      <w:r>
        <w:rPr>
          <w:rFonts w:hint="eastAsia" w:hAnsi="宋体"/>
          <w:sz w:val="24"/>
          <w:szCs w:val="24"/>
        </w:rPr>
        <w:t>——定子运输尺寸图</w:t>
      </w:r>
    </w:p>
    <w:p>
      <w:pPr>
        <w:tabs>
          <w:tab w:val="left" w:pos="567"/>
        </w:tabs>
        <w:overflowPunct w:val="0"/>
        <w:spacing w:line="360" w:lineRule="auto"/>
        <w:rPr>
          <w:rFonts w:hint="eastAsia" w:hAnsi="宋体"/>
          <w:sz w:val="24"/>
          <w:szCs w:val="24"/>
        </w:rPr>
      </w:pPr>
      <w:r>
        <w:rPr>
          <w:rFonts w:hAnsi="宋体"/>
          <w:sz w:val="24"/>
          <w:szCs w:val="24"/>
        </w:rPr>
        <w:t>*</w:t>
      </w:r>
      <w:r>
        <w:rPr>
          <w:rFonts w:hint="eastAsia" w:hAnsi="宋体"/>
          <w:sz w:val="24"/>
          <w:szCs w:val="24"/>
        </w:rPr>
        <w:t>——转子运输尺寸图</w:t>
      </w:r>
    </w:p>
    <w:p>
      <w:pPr>
        <w:tabs>
          <w:tab w:val="left" w:pos="567"/>
        </w:tabs>
        <w:overflowPunct w:val="0"/>
        <w:spacing w:line="360" w:lineRule="auto"/>
        <w:rPr>
          <w:rFonts w:hint="eastAsia" w:hAnsi="宋体"/>
          <w:sz w:val="24"/>
          <w:szCs w:val="24"/>
        </w:rPr>
      </w:pPr>
      <w:r>
        <w:rPr>
          <w:rFonts w:hint="eastAsia" w:hAnsi="宋体"/>
          <w:sz w:val="24"/>
          <w:szCs w:val="24"/>
        </w:rPr>
        <w:t>○——发电机出力图</w:t>
      </w:r>
    </w:p>
    <w:p>
      <w:pPr>
        <w:tabs>
          <w:tab w:val="left" w:pos="567"/>
        </w:tabs>
        <w:overflowPunct w:val="0"/>
        <w:spacing w:line="360" w:lineRule="auto"/>
        <w:rPr>
          <w:rFonts w:hint="eastAsia" w:hAnsi="宋体"/>
          <w:sz w:val="24"/>
          <w:szCs w:val="24"/>
        </w:rPr>
      </w:pPr>
      <w:r>
        <w:rPr>
          <w:rFonts w:hint="eastAsia" w:hAnsi="宋体"/>
          <w:sz w:val="24"/>
          <w:szCs w:val="24"/>
        </w:rPr>
        <w:t>○——连接母线接点图及断面图</w:t>
      </w:r>
    </w:p>
    <w:p>
      <w:pPr>
        <w:tabs>
          <w:tab w:val="left" w:pos="567"/>
        </w:tabs>
        <w:overflowPunct w:val="0"/>
        <w:spacing w:line="360" w:lineRule="auto"/>
        <w:rPr>
          <w:rFonts w:hint="eastAsia" w:hAnsi="宋体"/>
          <w:sz w:val="24"/>
          <w:szCs w:val="24"/>
        </w:rPr>
      </w:pPr>
      <w:r>
        <w:rPr>
          <w:rFonts w:hint="eastAsia" w:hAnsi="宋体"/>
          <w:sz w:val="24"/>
          <w:szCs w:val="24"/>
        </w:rPr>
        <w:t>○——发电机油管路布置及连接图</w:t>
      </w:r>
    </w:p>
    <w:p>
      <w:pPr>
        <w:tabs>
          <w:tab w:val="left" w:pos="567"/>
        </w:tabs>
        <w:overflowPunct w:val="0"/>
        <w:spacing w:line="360" w:lineRule="auto"/>
        <w:rPr>
          <w:rFonts w:hint="eastAsia" w:hAnsi="宋体"/>
          <w:sz w:val="24"/>
          <w:szCs w:val="24"/>
        </w:rPr>
      </w:pPr>
      <w:r>
        <w:rPr>
          <w:rFonts w:hint="eastAsia" w:hAnsi="宋体"/>
          <w:sz w:val="24"/>
          <w:szCs w:val="24"/>
        </w:rPr>
        <w:t>○——备品备件加工图纸和技术要求</w:t>
      </w:r>
    </w:p>
    <w:p>
      <w:pPr>
        <w:tabs>
          <w:tab w:val="left" w:pos="567"/>
        </w:tabs>
        <w:overflowPunct w:val="0"/>
        <w:spacing w:line="360" w:lineRule="auto"/>
        <w:rPr>
          <w:rFonts w:hint="eastAsia" w:hAnsi="宋体"/>
          <w:sz w:val="24"/>
          <w:szCs w:val="24"/>
        </w:rPr>
      </w:pPr>
      <w:r>
        <w:rPr>
          <w:rFonts w:hint="eastAsia" w:hAnsi="宋体"/>
          <w:sz w:val="24"/>
          <w:szCs w:val="24"/>
        </w:rPr>
        <w:t>○——励磁系统原理图</w:t>
      </w:r>
    </w:p>
    <w:p>
      <w:pPr>
        <w:tabs>
          <w:tab w:val="left" w:pos="567"/>
        </w:tabs>
        <w:overflowPunct w:val="0"/>
        <w:spacing w:line="360" w:lineRule="auto"/>
        <w:rPr>
          <w:rFonts w:hint="eastAsia" w:hAnsi="宋体"/>
          <w:sz w:val="24"/>
          <w:szCs w:val="24"/>
        </w:rPr>
      </w:pPr>
      <w:r>
        <w:rPr>
          <w:rFonts w:hint="eastAsia" w:hAnsi="宋体"/>
          <w:sz w:val="24"/>
          <w:szCs w:val="24"/>
        </w:rPr>
        <w:t>○——励磁机调节器原理图、控制回路图、安装接线图</w:t>
      </w:r>
    </w:p>
    <w:p>
      <w:pPr>
        <w:tabs>
          <w:tab w:val="left" w:pos="567"/>
        </w:tabs>
        <w:overflowPunct w:val="0"/>
        <w:spacing w:line="360" w:lineRule="auto"/>
        <w:rPr>
          <w:rFonts w:hint="eastAsia" w:hAnsi="宋体"/>
          <w:sz w:val="24"/>
          <w:szCs w:val="24"/>
        </w:rPr>
      </w:pPr>
      <w:r>
        <w:rPr>
          <w:rFonts w:hint="eastAsia" w:hAnsi="宋体"/>
          <w:sz w:val="24"/>
          <w:szCs w:val="24"/>
        </w:rPr>
        <w:t>○——励磁调节器组装图</w:t>
      </w:r>
    </w:p>
    <w:p>
      <w:pPr>
        <w:tabs>
          <w:tab w:val="left" w:pos="567"/>
        </w:tabs>
        <w:overflowPunct w:val="0"/>
        <w:spacing w:line="360" w:lineRule="auto"/>
        <w:rPr>
          <w:rFonts w:hint="eastAsia" w:hAnsi="宋体"/>
          <w:sz w:val="24"/>
          <w:szCs w:val="24"/>
        </w:rPr>
      </w:pPr>
      <w:r>
        <w:rPr>
          <w:rFonts w:hAnsi="宋体"/>
          <w:sz w:val="24"/>
          <w:szCs w:val="24"/>
        </w:rPr>
        <w:t>*</w:t>
      </w:r>
      <w:r>
        <w:rPr>
          <w:rFonts w:hint="eastAsia" w:hAnsi="宋体"/>
          <w:sz w:val="24"/>
          <w:szCs w:val="24"/>
        </w:rPr>
        <w:t>——励磁系统外形图（含励磁调节屏、操作屏、功率屏、灭磁屏等）</w:t>
      </w:r>
    </w:p>
    <w:p>
      <w:pPr>
        <w:tabs>
          <w:tab w:val="left" w:pos="567"/>
        </w:tabs>
        <w:overflowPunct w:val="0"/>
        <w:spacing w:line="360" w:lineRule="auto"/>
        <w:rPr>
          <w:rFonts w:hint="eastAsia" w:hAnsi="宋体"/>
          <w:sz w:val="24"/>
          <w:szCs w:val="24"/>
        </w:rPr>
      </w:pPr>
      <w:r>
        <w:rPr>
          <w:rFonts w:hint="eastAsia" w:hAnsi="宋体"/>
          <w:sz w:val="24"/>
          <w:szCs w:val="24"/>
        </w:rPr>
        <w:t>○——灭磁装置原理图，安装接线图</w:t>
      </w:r>
    </w:p>
    <w:p>
      <w:pPr>
        <w:tabs>
          <w:tab w:val="left" w:pos="567"/>
        </w:tabs>
        <w:overflowPunct w:val="0"/>
        <w:spacing w:line="360" w:lineRule="auto"/>
        <w:rPr>
          <w:rFonts w:hint="eastAsia" w:hAnsi="宋体"/>
          <w:sz w:val="24"/>
          <w:szCs w:val="24"/>
        </w:rPr>
      </w:pPr>
      <w:r>
        <w:rPr>
          <w:rFonts w:hint="eastAsia" w:hAnsi="宋体"/>
          <w:sz w:val="24"/>
          <w:szCs w:val="24"/>
        </w:rPr>
        <w:t>○——转子过电压保护原理图、接线图及安装图</w:t>
      </w:r>
    </w:p>
    <w:p>
      <w:pPr>
        <w:tabs>
          <w:tab w:val="left" w:pos="567"/>
        </w:tabs>
        <w:overflowPunct w:val="0"/>
        <w:spacing w:line="360" w:lineRule="auto"/>
        <w:rPr>
          <w:rFonts w:hint="eastAsia" w:hAnsi="宋体"/>
          <w:sz w:val="24"/>
          <w:szCs w:val="24"/>
        </w:rPr>
      </w:pPr>
      <w:r>
        <w:rPr>
          <w:rFonts w:hint="eastAsia" w:hAnsi="宋体"/>
          <w:sz w:val="24"/>
          <w:szCs w:val="24"/>
        </w:rPr>
        <w:t>○——连接母线接点图及断面图</w:t>
      </w:r>
    </w:p>
    <w:p>
      <w:pPr>
        <w:tabs>
          <w:tab w:val="left" w:pos="567"/>
        </w:tabs>
        <w:overflowPunct w:val="0"/>
        <w:spacing w:line="360" w:lineRule="auto"/>
        <w:rPr>
          <w:rFonts w:hint="eastAsia" w:hAnsi="宋体"/>
          <w:sz w:val="24"/>
          <w:szCs w:val="24"/>
        </w:rPr>
      </w:pPr>
      <w:r>
        <w:rPr>
          <w:rFonts w:hint="eastAsia" w:hAnsi="宋体"/>
          <w:sz w:val="24"/>
          <w:szCs w:val="24"/>
        </w:rPr>
        <w:t>○——备品备件加工图纸和技术要求</w:t>
      </w:r>
    </w:p>
    <w:p>
      <w:pPr>
        <w:tabs>
          <w:tab w:val="left" w:pos="567"/>
        </w:tabs>
        <w:overflowPunct w:val="0"/>
        <w:spacing w:line="360" w:lineRule="auto"/>
        <w:rPr>
          <w:rFonts w:hint="eastAsia" w:hAnsi="宋体"/>
          <w:sz w:val="24"/>
          <w:szCs w:val="24"/>
        </w:rPr>
      </w:pPr>
      <w:r>
        <w:rPr>
          <w:rFonts w:hint="eastAsia" w:hAnsi="宋体"/>
          <w:sz w:val="24"/>
          <w:szCs w:val="24"/>
        </w:rPr>
        <w:t>二、技术资料：</w:t>
      </w:r>
    </w:p>
    <w:p>
      <w:pPr>
        <w:tabs>
          <w:tab w:val="left" w:pos="567"/>
        </w:tabs>
        <w:overflowPunct w:val="0"/>
        <w:spacing w:line="360" w:lineRule="auto"/>
        <w:rPr>
          <w:rFonts w:hint="eastAsia" w:hAnsi="宋体"/>
          <w:sz w:val="24"/>
          <w:szCs w:val="24"/>
        </w:rPr>
      </w:pPr>
      <w:r>
        <w:rPr>
          <w:rFonts w:hint="eastAsia" w:hAnsi="宋体"/>
          <w:sz w:val="24"/>
          <w:szCs w:val="24"/>
        </w:rPr>
        <w:t>○——发电机及其它部件使用说明书</w:t>
      </w:r>
    </w:p>
    <w:p>
      <w:pPr>
        <w:tabs>
          <w:tab w:val="left" w:pos="567"/>
        </w:tabs>
        <w:overflowPunct w:val="0"/>
        <w:spacing w:line="360" w:lineRule="auto"/>
        <w:rPr>
          <w:rFonts w:hint="eastAsia" w:hAnsi="宋体"/>
          <w:sz w:val="24"/>
          <w:szCs w:val="24"/>
        </w:rPr>
      </w:pPr>
      <w:r>
        <w:rPr>
          <w:rFonts w:hAnsi="宋体"/>
          <w:sz w:val="24"/>
          <w:szCs w:val="24"/>
        </w:rPr>
        <w:t>*</w:t>
      </w:r>
      <w:r>
        <w:rPr>
          <w:rFonts w:hint="eastAsia" w:hAnsi="宋体"/>
          <w:sz w:val="24"/>
          <w:szCs w:val="24"/>
        </w:rPr>
        <w:t>——有关设计数据</w:t>
      </w:r>
    </w:p>
    <w:p>
      <w:pPr>
        <w:tabs>
          <w:tab w:val="left" w:pos="567"/>
        </w:tabs>
        <w:overflowPunct w:val="0"/>
        <w:spacing w:line="360" w:lineRule="auto"/>
        <w:rPr>
          <w:rFonts w:hint="eastAsia" w:hAnsi="宋体"/>
          <w:sz w:val="24"/>
          <w:szCs w:val="24"/>
        </w:rPr>
      </w:pPr>
      <w:r>
        <w:rPr>
          <w:rFonts w:hint="eastAsia" w:hAnsi="宋体"/>
          <w:sz w:val="24"/>
          <w:szCs w:val="24"/>
        </w:rPr>
        <w:t>☆——转子锻件、护环锻件及其他重要材料检验报告</w:t>
      </w:r>
    </w:p>
    <w:p>
      <w:pPr>
        <w:tabs>
          <w:tab w:val="left" w:pos="567"/>
        </w:tabs>
        <w:overflowPunct w:val="0"/>
        <w:spacing w:line="360" w:lineRule="auto"/>
        <w:rPr>
          <w:rFonts w:hint="eastAsia" w:hAnsi="宋体"/>
          <w:sz w:val="24"/>
          <w:szCs w:val="24"/>
        </w:rPr>
      </w:pPr>
      <w:r>
        <w:rPr>
          <w:rFonts w:hint="eastAsia" w:hAnsi="宋体"/>
          <w:sz w:val="24"/>
          <w:szCs w:val="24"/>
        </w:rPr>
        <w:t>☆——出厂试验报告合格证</w:t>
      </w:r>
    </w:p>
    <w:p>
      <w:pPr>
        <w:tabs>
          <w:tab w:val="left" w:pos="567"/>
        </w:tabs>
        <w:overflowPunct w:val="0"/>
        <w:spacing w:line="360" w:lineRule="auto"/>
        <w:rPr>
          <w:rFonts w:hint="eastAsia" w:hAnsi="宋体"/>
          <w:sz w:val="24"/>
          <w:szCs w:val="24"/>
        </w:rPr>
      </w:pPr>
      <w:r>
        <w:rPr>
          <w:rFonts w:hint="eastAsia" w:hAnsi="宋体"/>
          <w:sz w:val="24"/>
          <w:szCs w:val="24"/>
        </w:rPr>
        <w:t>☆——交货明细表</w:t>
      </w:r>
    </w:p>
    <w:p>
      <w:pPr>
        <w:tabs>
          <w:tab w:val="left" w:pos="567"/>
        </w:tabs>
        <w:overflowPunct w:val="0"/>
        <w:spacing w:line="360" w:lineRule="auto"/>
        <w:rPr>
          <w:rFonts w:hint="eastAsia" w:hAnsi="宋体"/>
          <w:sz w:val="24"/>
          <w:szCs w:val="24"/>
        </w:rPr>
      </w:pPr>
      <w:r>
        <w:rPr>
          <w:rFonts w:hAnsi="宋体"/>
          <w:sz w:val="24"/>
          <w:szCs w:val="24"/>
        </w:rPr>
        <w:t>*</w:t>
      </w:r>
      <w:r>
        <w:rPr>
          <w:rFonts w:hint="eastAsia" w:hAnsi="宋体"/>
          <w:sz w:val="24"/>
          <w:szCs w:val="24"/>
        </w:rPr>
        <w:t>——发电机出力图</w:t>
      </w:r>
    </w:p>
    <w:p>
      <w:pPr>
        <w:tabs>
          <w:tab w:val="left" w:pos="567"/>
        </w:tabs>
        <w:overflowPunct w:val="0"/>
        <w:spacing w:line="360" w:lineRule="auto"/>
        <w:rPr>
          <w:rFonts w:hint="eastAsia" w:hAnsi="宋体"/>
          <w:sz w:val="24"/>
          <w:szCs w:val="24"/>
        </w:rPr>
      </w:pPr>
      <w:r>
        <w:rPr>
          <w:rFonts w:hAnsi="宋体"/>
          <w:sz w:val="24"/>
          <w:szCs w:val="24"/>
        </w:rPr>
        <w:t>*</w:t>
      </w:r>
      <w:r>
        <w:rPr>
          <w:rFonts w:hint="eastAsia" w:hAnsi="宋体"/>
          <w:sz w:val="24"/>
          <w:szCs w:val="24"/>
        </w:rPr>
        <w:t>——发电机冷却水温超过</w:t>
      </w:r>
      <w:r>
        <w:rPr>
          <w:rFonts w:hAnsi="宋体"/>
          <w:sz w:val="24"/>
          <w:szCs w:val="24"/>
        </w:rPr>
        <w:t>3</w:t>
      </w:r>
      <w:r>
        <w:rPr>
          <w:rFonts w:hint="eastAsia" w:hAnsi="宋体"/>
          <w:sz w:val="24"/>
          <w:szCs w:val="24"/>
        </w:rPr>
        <w:t>5</w:t>
      </w:r>
      <w:r>
        <w:rPr>
          <w:rFonts w:hint="eastAsia" w:ascii="宋体" w:hAnsi="宋体" w:cs="宋体"/>
          <w:sz w:val="24"/>
          <w:szCs w:val="24"/>
        </w:rPr>
        <w:t>℃</w:t>
      </w:r>
      <w:r>
        <w:rPr>
          <w:rFonts w:hint="eastAsia" w:hAnsi="宋体"/>
          <w:sz w:val="24"/>
          <w:szCs w:val="24"/>
        </w:rPr>
        <w:t>以后出力与温度关系曲线。</w:t>
      </w:r>
    </w:p>
    <w:p>
      <w:pPr>
        <w:tabs>
          <w:tab w:val="left" w:pos="567"/>
        </w:tabs>
        <w:overflowPunct w:val="0"/>
        <w:spacing w:line="360" w:lineRule="auto"/>
        <w:rPr>
          <w:rFonts w:hint="eastAsia" w:hAnsi="宋体"/>
          <w:sz w:val="24"/>
          <w:szCs w:val="24"/>
        </w:rPr>
      </w:pPr>
      <w:r>
        <w:rPr>
          <w:rFonts w:hint="eastAsia" w:hAnsi="宋体"/>
          <w:sz w:val="24"/>
          <w:szCs w:val="24"/>
        </w:rPr>
        <w:t>☆——严密性试验的方法及标准</w:t>
      </w:r>
    </w:p>
    <w:p>
      <w:pPr>
        <w:tabs>
          <w:tab w:val="left" w:pos="567"/>
        </w:tabs>
        <w:overflowPunct w:val="0"/>
        <w:spacing w:line="360" w:lineRule="auto"/>
        <w:rPr>
          <w:rFonts w:hint="eastAsia" w:hAnsi="宋体"/>
          <w:sz w:val="24"/>
          <w:szCs w:val="24"/>
        </w:rPr>
      </w:pPr>
      <w:r>
        <w:rPr>
          <w:rFonts w:hint="eastAsia" w:hAnsi="宋体"/>
          <w:sz w:val="24"/>
          <w:szCs w:val="24"/>
        </w:rPr>
        <w:t>○——励磁系统使用说明书</w:t>
      </w:r>
    </w:p>
    <w:p>
      <w:pPr>
        <w:tabs>
          <w:tab w:val="left" w:pos="567"/>
        </w:tabs>
        <w:overflowPunct w:val="0"/>
        <w:spacing w:line="360" w:lineRule="auto"/>
        <w:rPr>
          <w:rFonts w:hint="eastAsia" w:hAnsi="宋体"/>
          <w:sz w:val="24"/>
          <w:szCs w:val="24"/>
        </w:rPr>
      </w:pPr>
      <w:r>
        <w:rPr>
          <w:rFonts w:hAnsi="宋体"/>
          <w:sz w:val="24"/>
          <w:szCs w:val="24"/>
        </w:rPr>
        <w:t>*</w:t>
      </w:r>
      <w:r>
        <w:rPr>
          <w:rFonts w:hint="eastAsia" w:hAnsi="宋体"/>
          <w:sz w:val="24"/>
          <w:szCs w:val="24"/>
        </w:rPr>
        <w:t>——有关设计数据</w:t>
      </w:r>
    </w:p>
    <w:p>
      <w:pPr>
        <w:tabs>
          <w:tab w:val="left" w:pos="567"/>
        </w:tabs>
        <w:overflowPunct w:val="0"/>
        <w:spacing w:line="360" w:lineRule="auto"/>
        <w:rPr>
          <w:rFonts w:hint="eastAsia" w:hAnsi="宋体"/>
          <w:sz w:val="24"/>
          <w:szCs w:val="24"/>
        </w:rPr>
      </w:pPr>
      <w:r>
        <w:rPr>
          <w:rFonts w:hint="eastAsia" w:hAnsi="宋体"/>
          <w:sz w:val="24"/>
          <w:szCs w:val="24"/>
        </w:rPr>
        <w:t>☆——出厂试验报告合格证</w:t>
      </w:r>
    </w:p>
    <w:p>
      <w:pPr>
        <w:tabs>
          <w:tab w:val="left" w:pos="567"/>
        </w:tabs>
        <w:overflowPunct w:val="0"/>
        <w:spacing w:line="360" w:lineRule="auto"/>
        <w:rPr>
          <w:rFonts w:hint="eastAsia" w:hAnsi="宋体"/>
          <w:sz w:val="24"/>
          <w:szCs w:val="24"/>
        </w:rPr>
      </w:pPr>
      <w:r>
        <w:rPr>
          <w:rFonts w:hint="eastAsia" w:hAnsi="宋体"/>
          <w:sz w:val="24"/>
          <w:szCs w:val="24"/>
        </w:rPr>
        <w:t>☆——交货明细表（含单重及总重）</w:t>
      </w:r>
    </w:p>
    <w:p>
      <w:pPr>
        <w:tabs>
          <w:tab w:val="left" w:pos="567"/>
        </w:tabs>
        <w:overflowPunct w:val="0"/>
        <w:spacing w:line="360" w:lineRule="auto"/>
        <w:rPr>
          <w:rFonts w:hint="eastAsia" w:hAnsi="宋体"/>
          <w:sz w:val="24"/>
          <w:szCs w:val="24"/>
        </w:rPr>
      </w:pPr>
      <w:r>
        <w:rPr>
          <w:rFonts w:hAnsi="宋体"/>
          <w:sz w:val="24"/>
          <w:szCs w:val="24"/>
        </w:rPr>
        <w:t>*</w:t>
      </w:r>
      <w:r>
        <w:rPr>
          <w:rFonts w:hint="eastAsia" w:hAnsi="宋体"/>
          <w:sz w:val="24"/>
          <w:szCs w:val="24"/>
        </w:rPr>
        <w:t>——励磁特性曲线</w:t>
      </w:r>
    </w:p>
    <w:p>
      <w:pPr>
        <w:tabs>
          <w:tab w:val="left" w:pos="567"/>
        </w:tabs>
        <w:overflowPunct w:val="0"/>
        <w:spacing w:line="360" w:lineRule="auto"/>
        <w:rPr>
          <w:rFonts w:hint="eastAsia" w:hAnsi="宋体"/>
          <w:sz w:val="24"/>
          <w:szCs w:val="24"/>
        </w:rPr>
      </w:pPr>
      <w:r>
        <w:rPr>
          <w:rFonts w:hint="eastAsia" w:hAnsi="宋体"/>
          <w:sz w:val="24"/>
          <w:szCs w:val="24"/>
        </w:rPr>
        <w:t>☆——励磁调节器部件试验报告和整组试验报告</w:t>
      </w:r>
    </w:p>
    <w:p>
      <w:pPr>
        <w:tabs>
          <w:tab w:val="left" w:pos="567"/>
        </w:tabs>
        <w:overflowPunct w:val="0"/>
        <w:spacing w:line="360" w:lineRule="auto"/>
        <w:rPr>
          <w:rFonts w:hint="eastAsia" w:hAnsi="宋体"/>
          <w:sz w:val="24"/>
          <w:szCs w:val="24"/>
        </w:rPr>
      </w:pPr>
      <w:r>
        <w:rPr>
          <w:rFonts w:hint="eastAsia" w:hAnsi="宋体"/>
          <w:sz w:val="24"/>
          <w:szCs w:val="24"/>
        </w:rPr>
        <w:t>☆——励磁系统调试大纲</w:t>
      </w:r>
    </w:p>
    <w:p>
      <w:pPr>
        <w:tabs>
          <w:tab w:val="left" w:pos="567"/>
        </w:tabs>
        <w:overflowPunct w:val="0"/>
        <w:spacing w:line="360" w:lineRule="auto"/>
        <w:rPr>
          <w:rFonts w:hint="eastAsia" w:hAnsi="宋体"/>
          <w:sz w:val="24"/>
          <w:szCs w:val="24"/>
        </w:rPr>
      </w:pPr>
      <w:r>
        <w:rPr>
          <w:rFonts w:hint="eastAsia" w:hAnsi="宋体"/>
          <w:sz w:val="24"/>
          <w:szCs w:val="24"/>
        </w:rPr>
        <w:t>○——励磁调节器插件板原理图等</w:t>
      </w:r>
    </w:p>
    <w:p>
      <w:pPr>
        <w:tabs>
          <w:tab w:val="left" w:pos="567"/>
        </w:tabs>
        <w:overflowPunct w:val="0"/>
        <w:spacing w:line="360" w:lineRule="auto"/>
        <w:rPr>
          <w:rFonts w:hint="eastAsia" w:hAnsi="宋体"/>
          <w:sz w:val="24"/>
          <w:szCs w:val="24"/>
        </w:rPr>
      </w:pPr>
      <w:r>
        <w:rPr>
          <w:rFonts w:hint="eastAsia" w:hAnsi="宋体"/>
          <w:sz w:val="24"/>
          <w:szCs w:val="24"/>
        </w:rPr>
        <w:t>○——励磁调节器逻辑原理图及详细说明</w:t>
      </w:r>
    </w:p>
    <w:p>
      <w:pPr>
        <w:tabs>
          <w:tab w:val="left" w:pos="567"/>
        </w:tabs>
        <w:overflowPunct w:val="0"/>
        <w:spacing w:line="360" w:lineRule="auto"/>
        <w:rPr>
          <w:rFonts w:hint="eastAsia" w:hAnsi="宋体"/>
          <w:sz w:val="24"/>
          <w:szCs w:val="24"/>
        </w:rPr>
      </w:pPr>
      <w:r>
        <w:rPr>
          <w:rFonts w:hint="eastAsia" w:hAnsi="宋体"/>
          <w:sz w:val="24"/>
          <w:szCs w:val="24"/>
        </w:rPr>
        <w:t>三、计算书：</w:t>
      </w:r>
    </w:p>
    <w:p>
      <w:pPr>
        <w:tabs>
          <w:tab w:val="left" w:pos="567"/>
        </w:tabs>
        <w:overflowPunct w:val="0"/>
        <w:spacing w:line="360" w:lineRule="auto"/>
        <w:rPr>
          <w:rFonts w:hint="eastAsia" w:hAnsi="宋体"/>
          <w:sz w:val="24"/>
          <w:szCs w:val="24"/>
        </w:rPr>
      </w:pPr>
      <w:r>
        <w:rPr>
          <w:rFonts w:hint="eastAsia" w:hAnsi="宋体"/>
          <w:sz w:val="24"/>
          <w:szCs w:val="24"/>
        </w:rPr>
        <w:t>○——发电机感抗及时间常数</w:t>
      </w:r>
    </w:p>
    <w:p>
      <w:pPr>
        <w:tabs>
          <w:tab w:val="left" w:pos="567"/>
        </w:tabs>
        <w:overflowPunct w:val="0"/>
        <w:spacing w:line="360" w:lineRule="auto"/>
        <w:rPr>
          <w:rFonts w:hint="eastAsia" w:hAnsi="宋体"/>
          <w:sz w:val="24"/>
          <w:szCs w:val="24"/>
        </w:rPr>
      </w:pPr>
      <w:r>
        <w:rPr>
          <w:rFonts w:hint="eastAsia" w:hAnsi="宋体"/>
          <w:sz w:val="24"/>
          <w:szCs w:val="24"/>
        </w:rPr>
        <w:t>○——发电机的效率（计算方法和误差需得到招标人认可）</w:t>
      </w:r>
    </w:p>
    <w:p>
      <w:pPr>
        <w:tabs>
          <w:tab w:val="left" w:pos="567"/>
        </w:tabs>
        <w:overflowPunct w:val="0"/>
        <w:spacing w:line="360" w:lineRule="auto"/>
        <w:rPr>
          <w:rFonts w:hint="eastAsia" w:hAnsi="宋体"/>
          <w:sz w:val="24"/>
          <w:szCs w:val="24"/>
        </w:rPr>
      </w:pPr>
      <w:r>
        <w:rPr>
          <w:rFonts w:hint="eastAsia" w:hAnsi="宋体"/>
          <w:sz w:val="24"/>
          <w:szCs w:val="24"/>
        </w:rPr>
        <w:t>○——发电机额定励磁负载</w:t>
      </w:r>
    </w:p>
    <w:p>
      <w:pPr>
        <w:tabs>
          <w:tab w:val="left" w:pos="567"/>
        </w:tabs>
        <w:overflowPunct w:val="0"/>
        <w:spacing w:line="360" w:lineRule="auto"/>
        <w:rPr>
          <w:rFonts w:hint="eastAsia" w:hAnsi="宋体"/>
          <w:sz w:val="24"/>
          <w:szCs w:val="24"/>
        </w:rPr>
      </w:pPr>
      <w:r>
        <w:rPr>
          <w:rFonts w:hint="eastAsia" w:hAnsi="宋体"/>
          <w:sz w:val="24"/>
          <w:szCs w:val="24"/>
        </w:rPr>
        <w:t>○——发电机额定负载下的温度</w:t>
      </w:r>
    </w:p>
    <w:p>
      <w:pPr>
        <w:tabs>
          <w:tab w:val="left" w:pos="567"/>
        </w:tabs>
        <w:overflowPunct w:val="0"/>
        <w:spacing w:line="360" w:lineRule="auto"/>
        <w:rPr>
          <w:rFonts w:hint="eastAsia" w:hAnsi="宋体"/>
          <w:sz w:val="24"/>
          <w:szCs w:val="24"/>
        </w:rPr>
      </w:pPr>
      <w:r>
        <w:rPr>
          <w:rFonts w:hint="eastAsia" w:hAnsi="宋体"/>
          <w:sz w:val="24"/>
          <w:szCs w:val="24"/>
        </w:rPr>
        <w:t>注：</w:t>
      </w:r>
      <w:r>
        <w:rPr>
          <w:rFonts w:hAnsi="宋体"/>
          <w:sz w:val="24"/>
          <w:szCs w:val="24"/>
        </w:rPr>
        <w:t>*</w:t>
      </w:r>
      <w:r>
        <w:rPr>
          <w:rFonts w:hint="eastAsia" w:hAnsi="宋体"/>
          <w:sz w:val="24"/>
          <w:szCs w:val="24"/>
        </w:rPr>
        <w:t>——表示投标中的附图、资料</w:t>
      </w:r>
    </w:p>
    <w:p>
      <w:pPr>
        <w:tabs>
          <w:tab w:val="left" w:pos="567"/>
        </w:tabs>
        <w:overflowPunct w:val="0"/>
        <w:spacing w:line="360" w:lineRule="auto"/>
        <w:ind w:firstLine="480" w:firstLineChars="200"/>
        <w:rPr>
          <w:rFonts w:hint="eastAsia" w:hAnsi="宋体"/>
          <w:sz w:val="24"/>
          <w:szCs w:val="24"/>
        </w:rPr>
      </w:pPr>
      <w:r>
        <w:rPr>
          <w:rFonts w:hint="eastAsia" w:hAnsi="宋体"/>
          <w:sz w:val="24"/>
          <w:szCs w:val="24"/>
        </w:rPr>
        <w:t>○——表示设计阶段的附图、资料（应在技术协议签订后两周之内提供中文版。）</w:t>
      </w:r>
    </w:p>
    <w:p>
      <w:pPr>
        <w:tabs>
          <w:tab w:val="left" w:pos="567"/>
        </w:tabs>
        <w:overflowPunct w:val="0"/>
        <w:spacing w:line="360" w:lineRule="auto"/>
        <w:ind w:firstLine="480" w:firstLineChars="200"/>
        <w:rPr>
          <w:rFonts w:hint="eastAsia" w:hAnsi="宋体"/>
          <w:sz w:val="24"/>
          <w:szCs w:val="24"/>
        </w:rPr>
      </w:pPr>
      <w:r>
        <w:rPr>
          <w:rFonts w:hint="eastAsia" w:hAnsi="宋体"/>
          <w:sz w:val="24"/>
          <w:szCs w:val="24"/>
        </w:rPr>
        <w:t>☆——表示供货阶段的附图、资料</w:t>
      </w:r>
    </w:p>
    <w:p>
      <w:pPr>
        <w:snapToGrid w:val="0"/>
        <w:spacing w:line="336" w:lineRule="auto"/>
        <w:rPr>
          <w:sz w:val="24"/>
        </w:rPr>
      </w:pPr>
      <w:r>
        <w:rPr>
          <w:sz w:val="24"/>
        </w:rPr>
        <w:t>3. 4设备监造检验所需要的技术资料</w:t>
      </w:r>
    </w:p>
    <w:p>
      <w:pPr>
        <w:snapToGrid w:val="0"/>
        <w:spacing w:line="336" w:lineRule="auto"/>
        <w:ind w:right="420" w:rightChars="200" w:firstLine="480" w:firstLineChars="200"/>
        <w:rPr>
          <w:sz w:val="24"/>
        </w:rPr>
      </w:pPr>
      <w:r>
        <w:rPr>
          <w:sz w:val="24"/>
        </w:rPr>
        <w:t>公司提供满足合同设备监造检验/见证所需的全部技术资料。</w:t>
      </w:r>
    </w:p>
    <w:p>
      <w:pPr>
        <w:snapToGrid w:val="0"/>
        <w:spacing w:line="336" w:lineRule="auto"/>
        <w:rPr>
          <w:sz w:val="24"/>
        </w:rPr>
      </w:pPr>
      <w:r>
        <w:rPr>
          <w:sz w:val="24"/>
        </w:rPr>
        <w:t>3.5施工、调试、试运、机组性能试验和运行维护所需的技术资料包括但不限于：</w:t>
      </w:r>
    </w:p>
    <w:p>
      <w:pPr>
        <w:snapToGrid w:val="0"/>
        <w:spacing w:line="336" w:lineRule="auto"/>
        <w:rPr>
          <w:sz w:val="24"/>
        </w:rPr>
      </w:pPr>
      <w:r>
        <w:rPr>
          <w:sz w:val="24"/>
        </w:rPr>
        <w:t>3.5.1提供设备安装、调试和试运说明书，以及组装、拆卸时所需用的技术资料。</w:t>
      </w:r>
    </w:p>
    <w:p>
      <w:pPr>
        <w:snapToGrid w:val="0"/>
        <w:spacing w:line="336" w:lineRule="auto"/>
        <w:rPr>
          <w:sz w:val="24"/>
        </w:rPr>
      </w:pPr>
      <w:r>
        <w:rPr>
          <w:sz w:val="24"/>
        </w:rPr>
        <w:t>3.5.</w:t>
      </w:r>
      <w:r>
        <w:rPr>
          <w:rFonts w:hint="eastAsia"/>
          <w:sz w:val="24"/>
        </w:rPr>
        <w:t>2</w:t>
      </w:r>
      <w:r>
        <w:rPr>
          <w:sz w:val="24"/>
        </w:rPr>
        <w:t>安装、运行、维护、检修所需的详尽图纸和技术文件，包括设备总图、部件总图、分图和必要的零件图、计算资料等。</w:t>
      </w:r>
    </w:p>
    <w:p>
      <w:pPr>
        <w:snapToGrid w:val="0"/>
        <w:spacing w:line="336" w:lineRule="auto"/>
        <w:rPr>
          <w:sz w:val="24"/>
        </w:rPr>
      </w:pPr>
      <w:r>
        <w:rPr>
          <w:sz w:val="24"/>
        </w:rPr>
        <w:t>3.5.</w:t>
      </w:r>
      <w:r>
        <w:rPr>
          <w:rFonts w:hint="eastAsia"/>
          <w:sz w:val="24"/>
        </w:rPr>
        <w:t>3</w:t>
      </w:r>
      <w:r>
        <w:rPr>
          <w:sz w:val="24"/>
        </w:rPr>
        <w:t>设备的安装、运行、维护、检修说明书，包括设备结构特点、安装程序和工艺要求、起动调试要领。运行操作规定和控制数据、定期校验和维护说明等。</w:t>
      </w:r>
    </w:p>
    <w:p>
      <w:pPr>
        <w:snapToGrid w:val="0"/>
        <w:spacing w:line="336" w:lineRule="auto"/>
        <w:rPr>
          <w:sz w:val="24"/>
        </w:rPr>
      </w:pPr>
      <w:r>
        <w:rPr>
          <w:sz w:val="24"/>
        </w:rPr>
        <w:t>3.5.</w:t>
      </w:r>
      <w:r>
        <w:rPr>
          <w:rFonts w:hint="eastAsia"/>
          <w:sz w:val="24"/>
        </w:rPr>
        <w:t>4</w:t>
      </w:r>
      <w:r>
        <w:rPr>
          <w:sz w:val="24"/>
        </w:rPr>
        <w:t>投标人应提供备品、配件总清单和易损零件图。</w:t>
      </w:r>
    </w:p>
    <w:p>
      <w:pPr>
        <w:snapToGrid w:val="0"/>
        <w:spacing w:line="336" w:lineRule="auto"/>
        <w:rPr>
          <w:sz w:val="24"/>
        </w:rPr>
      </w:pPr>
      <w:r>
        <w:rPr>
          <w:sz w:val="24"/>
        </w:rPr>
        <w:t>3.6投标人须提供的其它技术资料包括以下但不限于：</w:t>
      </w:r>
    </w:p>
    <w:p>
      <w:pPr>
        <w:snapToGrid w:val="0"/>
        <w:spacing w:line="336" w:lineRule="auto"/>
        <w:rPr>
          <w:sz w:val="24"/>
        </w:rPr>
      </w:pPr>
      <w:r>
        <w:rPr>
          <w:rFonts w:hint="eastAsia"/>
          <w:sz w:val="24"/>
        </w:rPr>
        <w:t>3.6.1</w:t>
      </w:r>
      <w:r>
        <w:rPr>
          <w:sz w:val="24"/>
        </w:rPr>
        <w:t>检验记录、试验报告及质量合格证等出厂报告。</w:t>
      </w:r>
    </w:p>
    <w:p>
      <w:pPr>
        <w:snapToGrid w:val="0"/>
        <w:spacing w:line="336" w:lineRule="auto"/>
        <w:rPr>
          <w:sz w:val="24"/>
        </w:rPr>
      </w:pPr>
      <w:r>
        <w:rPr>
          <w:rFonts w:hint="eastAsia"/>
          <w:sz w:val="24"/>
        </w:rPr>
        <w:t>3.6.2</w:t>
      </w:r>
      <w:r>
        <w:rPr>
          <w:sz w:val="24"/>
        </w:rPr>
        <w:t>投标人提供在设计、制造时所遵循的规范、标准和规定清单。</w:t>
      </w:r>
    </w:p>
    <w:p>
      <w:pPr>
        <w:snapToGrid w:val="0"/>
        <w:spacing w:line="336" w:lineRule="auto"/>
        <w:rPr>
          <w:sz w:val="24"/>
        </w:rPr>
      </w:pPr>
      <w:r>
        <w:rPr>
          <w:rFonts w:hint="eastAsia"/>
          <w:sz w:val="24"/>
        </w:rPr>
        <w:t>3.6.3</w:t>
      </w:r>
      <w:r>
        <w:rPr>
          <w:sz w:val="24"/>
        </w:rPr>
        <w:t>设备和备品管理资料文件，包括设备和备品发运和装箱的详细资料(各种清单)，设备和备品存放与保管技术要求，运输超重和超大件的明细表和外形图。</w:t>
      </w:r>
    </w:p>
    <w:p>
      <w:pPr>
        <w:snapToGrid w:val="0"/>
        <w:spacing w:line="336" w:lineRule="auto"/>
        <w:rPr>
          <w:sz w:val="24"/>
        </w:rPr>
      </w:pPr>
      <w:r>
        <w:rPr>
          <w:rFonts w:hint="eastAsia"/>
          <w:sz w:val="24"/>
        </w:rPr>
        <w:t>3.6.4</w:t>
      </w:r>
      <w:r>
        <w:rPr>
          <w:sz w:val="24"/>
        </w:rPr>
        <w:t>详细的产品质量文件，包括材质、材质检验、焊接、热处理，加工质量，外形尺寸、水压试验和性能检验等的证明。</w:t>
      </w:r>
    </w:p>
    <w:p>
      <w:pPr>
        <w:snapToGrid w:val="0"/>
        <w:spacing w:before="120" w:beforeLines="50" w:line="336" w:lineRule="auto"/>
        <w:jc w:val="center"/>
        <w:rPr>
          <w:kern w:val="16"/>
          <w:sz w:val="24"/>
        </w:rPr>
      </w:pPr>
      <w:r>
        <w:rPr>
          <w:kern w:val="16"/>
          <w:sz w:val="24"/>
        </w:rPr>
        <w:t>投标文件应使用以下计量单位和符号</w:t>
      </w:r>
    </w:p>
    <w:tbl>
      <w:tblPr>
        <w:tblStyle w:val="49"/>
        <w:tblW w:w="8715" w:type="dxa"/>
        <w:tblInd w:w="11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
      <w:tblGrid>
        <w:gridCol w:w="1785"/>
        <w:gridCol w:w="2205"/>
        <w:gridCol w:w="1680"/>
        <w:gridCol w:w="30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blHeader/>
        </w:trPr>
        <w:tc>
          <w:tcPr>
            <w:tcW w:w="178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量</w:t>
            </w: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单位的读法</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单位的符号</w:t>
            </w:r>
          </w:p>
        </w:tc>
        <w:tc>
          <w:tcPr>
            <w:tcW w:w="304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长度</w:t>
            </w: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千米</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km</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48" w:afterLines="20"/>
              <w:jc w:val="center"/>
              <w:textAlignment w:val="bottom"/>
              <w:rPr>
                <w:rFonts w:hint="eastAsia" w:ascii="宋体" w:hAnsi="宋体"/>
                <w:b/>
                <w:kern w:val="16"/>
                <w:sz w:val="24"/>
              </w:rPr>
            </w:pPr>
          </w:p>
        </w:tc>
        <w:tc>
          <w:tcPr>
            <w:tcW w:w="2205" w:type="dxa"/>
            <w:vAlign w:val="center"/>
          </w:tcPr>
          <w:p>
            <w:pPr>
              <w:pStyle w:val="72"/>
              <w:widowControl/>
              <w:tabs>
                <w:tab w:val="left" w:pos="630"/>
              </w:tabs>
              <w:autoSpaceDE w:val="0"/>
              <w:autoSpaceDN w:val="0"/>
              <w:snapToGrid w:val="0"/>
              <w:spacing w:before="48" w:beforeLines="20" w:after="48" w:afterLines="20" w:line="240" w:lineRule="auto"/>
              <w:textAlignment w:val="bottom"/>
              <w:rPr>
                <w:rFonts w:ascii="Times New Roman"/>
                <w:kern w:val="16"/>
              </w:rPr>
            </w:pPr>
            <w:r>
              <w:rPr>
                <w:rFonts w:ascii="Times New Roman"/>
                <w:kern w:val="16"/>
              </w:rPr>
              <w:t>米</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m</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48" w:afterLines="20"/>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厘米</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cm</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48" w:afterLines="20"/>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毫米</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mm</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面积</w:t>
            </w: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平方米</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m</w:t>
            </w:r>
            <w:r>
              <w:rPr>
                <w:kern w:val="16"/>
                <w:sz w:val="24"/>
                <w:vertAlign w:val="superscript"/>
              </w:rPr>
              <w:t>2</w:t>
            </w:r>
          </w:p>
        </w:tc>
        <w:tc>
          <w:tcPr>
            <w:tcW w:w="3045" w:type="dxa"/>
            <w:vMerge w:val="restart"/>
            <w:vAlign w:val="center"/>
          </w:tcPr>
          <w:p>
            <w:pPr>
              <w:tabs>
                <w:tab w:val="left" w:pos="630"/>
              </w:tabs>
              <w:autoSpaceDE w:val="0"/>
              <w:autoSpaceDN w:val="0"/>
              <w:snapToGrid w:val="0"/>
              <w:spacing w:before="48" w:beforeLines="20" w:after="48" w:afterLines="20"/>
              <w:textAlignment w:val="bottom"/>
              <w:rPr>
                <w:kern w:val="16"/>
                <w:sz w:val="24"/>
              </w:rPr>
            </w:pPr>
            <w:r>
              <w:rPr>
                <w:kern w:val="16"/>
                <w:sz w:val="24"/>
              </w:rPr>
              <w:t>用于电缆截面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48" w:afterLines="20"/>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平方厘米</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cm</w:t>
            </w:r>
            <w:r>
              <w:rPr>
                <w:kern w:val="16"/>
                <w:sz w:val="24"/>
                <w:vertAlign w:val="superscript"/>
              </w:rPr>
              <w:t>2</w:t>
            </w:r>
          </w:p>
        </w:tc>
        <w:tc>
          <w:tcPr>
            <w:tcW w:w="3045" w:type="dxa"/>
            <w:vMerge w:val="continue"/>
            <w:vAlign w:val="center"/>
          </w:tcPr>
          <w:p>
            <w:pPr>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48" w:afterLines="20"/>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平方毫米</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mm</w:t>
            </w:r>
            <w:r>
              <w:rPr>
                <w:kern w:val="16"/>
                <w:sz w:val="24"/>
                <w:vertAlign w:val="superscript"/>
              </w:rPr>
              <w:t>2</w:t>
            </w:r>
          </w:p>
        </w:tc>
        <w:tc>
          <w:tcPr>
            <w:tcW w:w="3045" w:type="dxa"/>
            <w:vMerge w:val="continue"/>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体积</w:t>
            </w: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立方米</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m</w:t>
            </w:r>
            <w:r>
              <w:rPr>
                <w:kern w:val="16"/>
                <w:sz w:val="24"/>
                <w:vertAlign w:val="superscript"/>
              </w:rPr>
              <w:t>3</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48" w:afterLines="20"/>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立方厘米</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vertAlign w:val="superscript"/>
              </w:rPr>
            </w:pPr>
            <w:r>
              <w:rPr>
                <w:kern w:val="16"/>
                <w:sz w:val="24"/>
              </w:rPr>
              <w:t>cm</w:t>
            </w:r>
            <w:r>
              <w:rPr>
                <w:kern w:val="16"/>
                <w:sz w:val="24"/>
                <w:vertAlign w:val="superscript"/>
              </w:rPr>
              <w:t>3</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重量</w:t>
            </w: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（公）吨</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t</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48" w:afterLines="20"/>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克</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g</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48" w:afterLines="20"/>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千克</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kg</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c>
          <w:tcPr>
            <w:tcW w:w="178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质量</w:t>
            </w: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千克</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kg</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c>
          <w:tcPr>
            <w:tcW w:w="178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力</w:t>
            </w: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牛顿</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N</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时间</w:t>
            </w: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小时</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h</w:t>
            </w:r>
          </w:p>
        </w:tc>
        <w:tc>
          <w:tcPr>
            <w:tcW w:w="3045" w:type="dxa"/>
            <w:vMerge w:val="restart"/>
            <w:vAlign w:val="center"/>
          </w:tcPr>
          <w:p>
            <w:pPr>
              <w:widowControl/>
              <w:tabs>
                <w:tab w:val="left" w:pos="630"/>
              </w:tabs>
              <w:autoSpaceDE w:val="0"/>
              <w:autoSpaceDN w:val="0"/>
              <w:snapToGrid w:val="0"/>
              <w:spacing w:before="48" w:beforeLines="20" w:after="48" w:afterLines="20"/>
              <w:textAlignment w:val="bottom"/>
              <w:rPr>
                <w:kern w:val="16"/>
                <w:sz w:val="24"/>
              </w:rPr>
            </w:pPr>
            <w:r>
              <w:rPr>
                <w:kern w:val="16"/>
                <w:sz w:val="24"/>
              </w:rPr>
              <w:t>可以用分（min）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48" w:afterLines="20"/>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秒</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s</w:t>
            </w:r>
          </w:p>
        </w:tc>
        <w:tc>
          <w:tcPr>
            <w:tcW w:w="3045" w:type="dxa"/>
            <w:vMerge w:val="continue"/>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c>
          <w:tcPr>
            <w:tcW w:w="178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压力</w:t>
            </w: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帕斯卡</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Pa</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c>
          <w:tcPr>
            <w:tcW w:w="178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（压强、应</w:t>
            </w: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千帕</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kPa</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c>
          <w:tcPr>
            <w:tcW w:w="178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力、压头）</w:t>
            </w: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兆帕</w:t>
            </w:r>
          </w:p>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巴</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MPa</w:t>
            </w:r>
          </w:p>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bar</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c>
          <w:tcPr>
            <w:tcW w:w="178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温度</w:t>
            </w: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摄氏度</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流量</w:t>
            </w: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吨每小时</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t/h</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48" w:afterLines="20"/>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千克每小时</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kg/h</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48" w:afterLines="20"/>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立方米每小时</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m</w:t>
            </w:r>
            <w:r>
              <w:rPr>
                <w:kern w:val="16"/>
                <w:sz w:val="24"/>
                <w:vertAlign w:val="superscript"/>
              </w:rPr>
              <w:t>3</w:t>
            </w:r>
            <w:r>
              <w:rPr>
                <w:kern w:val="16"/>
                <w:sz w:val="24"/>
              </w:rPr>
              <w:t>/h</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48" w:afterLines="20"/>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立方米每秒</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m</w:t>
            </w:r>
            <w:r>
              <w:rPr>
                <w:kern w:val="16"/>
                <w:sz w:val="24"/>
                <w:vertAlign w:val="superscript"/>
              </w:rPr>
              <w:t>3</w:t>
            </w:r>
            <w:r>
              <w:rPr>
                <w:kern w:val="16"/>
                <w:sz w:val="24"/>
              </w:rPr>
              <w:t>/s</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速度</w:t>
            </w: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千米每小时</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km/s</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48" w:afterLines="20"/>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米每秒</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m/s</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48" w:afterLines="20"/>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厘米每秒</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cm/s</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热量</w:t>
            </w: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焦耳</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J</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48" w:afterLines="20"/>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千焦耳</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kJ</w:t>
            </w:r>
          </w:p>
        </w:tc>
        <w:tc>
          <w:tcPr>
            <w:tcW w:w="3045" w:type="dxa"/>
            <w:vAlign w:val="center"/>
          </w:tcPr>
          <w:p>
            <w:pPr>
              <w:widowControl/>
              <w:tabs>
                <w:tab w:val="left" w:pos="630"/>
              </w:tabs>
              <w:autoSpaceDE w:val="0"/>
              <w:autoSpaceDN w:val="0"/>
              <w:snapToGrid w:val="0"/>
              <w:spacing w:before="48" w:beforeLines="20" w:after="48" w:afterLines="20"/>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c>
          <w:tcPr>
            <w:tcW w:w="178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加速度</w:t>
            </w:r>
          </w:p>
        </w:tc>
        <w:tc>
          <w:tcPr>
            <w:tcW w:w="2205"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米每秒平方</w:t>
            </w:r>
          </w:p>
        </w:tc>
        <w:tc>
          <w:tcPr>
            <w:tcW w:w="1680" w:type="dxa"/>
            <w:vAlign w:val="center"/>
          </w:tcPr>
          <w:p>
            <w:pPr>
              <w:widowControl/>
              <w:tabs>
                <w:tab w:val="left" w:pos="630"/>
              </w:tabs>
              <w:autoSpaceDE w:val="0"/>
              <w:autoSpaceDN w:val="0"/>
              <w:snapToGrid w:val="0"/>
              <w:spacing w:before="48" w:beforeLines="20" w:after="48" w:afterLines="20"/>
              <w:jc w:val="center"/>
              <w:textAlignment w:val="bottom"/>
              <w:rPr>
                <w:kern w:val="16"/>
                <w:sz w:val="24"/>
              </w:rPr>
            </w:pPr>
            <w:r>
              <w:rPr>
                <w:kern w:val="16"/>
                <w:sz w:val="24"/>
              </w:rPr>
              <w:t>m/s</w:t>
            </w:r>
            <w:r>
              <w:rPr>
                <w:kern w:val="16"/>
                <w:sz w:val="24"/>
                <w:vertAlign w:val="superscript"/>
              </w:rPr>
              <w:t>2</w:t>
            </w:r>
          </w:p>
        </w:tc>
        <w:tc>
          <w:tcPr>
            <w:tcW w:w="3045" w:type="dxa"/>
            <w:vAlign w:val="center"/>
          </w:tcPr>
          <w:p>
            <w:pPr>
              <w:widowControl/>
              <w:tabs>
                <w:tab w:val="left" w:pos="630"/>
              </w:tabs>
              <w:autoSpaceDE w:val="0"/>
              <w:autoSpaceDN w:val="0"/>
              <w:snapToGrid w:val="0"/>
              <w:spacing w:before="48" w:beforeLines="20" w:after="48" w:afterLines="20"/>
              <w:textAlignment w:val="bottom"/>
              <w:rPr>
                <w:kern w:val="16"/>
                <w:sz w:val="24"/>
              </w:rPr>
            </w:pPr>
            <w:r>
              <w:rPr>
                <w:kern w:val="16"/>
                <w:sz w:val="24"/>
              </w:rPr>
              <w:t>g为重力加速度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密度（质量）</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吨每立方米</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t/m</w:t>
            </w:r>
            <w:r>
              <w:rPr>
                <w:kern w:val="16"/>
                <w:sz w:val="24"/>
                <w:vertAlign w:val="superscript"/>
              </w:rPr>
              <w:t>3</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36" w:afterLines="15"/>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千克每立方米</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kg/m</w:t>
            </w:r>
            <w:r>
              <w:rPr>
                <w:kern w:val="16"/>
                <w:sz w:val="24"/>
                <w:vertAlign w:val="superscript"/>
              </w:rPr>
              <w:t>3</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36" w:afterLines="15"/>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克每立方厘米</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g/cm</w:t>
            </w:r>
            <w:r>
              <w:rPr>
                <w:kern w:val="16"/>
                <w:sz w:val="24"/>
                <w:vertAlign w:val="superscript"/>
              </w:rPr>
              <w:t>3</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浓度</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毫克每升</w:t>
            </w:r>
          </w:p>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微克每升</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mg/l</w:t>
            </w:r>
          </w:p>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μg/l</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36" w:afterLines="15"/>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克每升</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g/l</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c>
          <w:tcPr>
            <w:tcW w:w="178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细度</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微米</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μm</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粘度</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泊（动力粘度）</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P</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36" w:afterLines="15"/>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沲（运动粘度）</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ST</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电流</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千安培</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kA</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36" w:afterLines="15"/>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安培</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A</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36" w:afterLines="15"/>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毫安</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mA</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电压</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千伏</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kV</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36" w:afterLines="15"/>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伏</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V</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电功率</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瓦</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W</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36" w:afterLines="15"/>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千瓦</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kW</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36" w:afterLines="15"/>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兆瓦</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MW</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电容</w:t>
            </w:r>
          </w:p>
        </w:tc>
        <w:tc>
          <w:tcPr>
            <w:tcW w:w="2205" w:type="dxa"/>
            <w:vAlign w:val="center"/>
          </w:tcPr>
          <w:p>
            <w:pPr>
              <w:pStyle w:val="72"/>
              <w:widowControl/>
              <w:tabs>
                <w:tab w:val="left" w:pos="630"/>
              </w:tabs>
              <w:autoSpaceDE w:val="0"/>
              <w:autoSpaceDN w:val="0"/>
              <w:snapToGrid w:val="0"/>
              <w:spacing w:before="48" w:beforeLines="20" w:after="36" w:afterLines="15" w:line="240" w:lineRule="auto"/>
              <w:textAlignment w:val="bottom"/>
              <w:rPr>
                <w:rFonts w:ascii="Times New Roman"/>
                <w:kern w:val="16"/>
              </w:rPr>
            </w:pPr>
            <w:r>
              <w:rPr>
                <w:rFonts w:ascii="Times New Roman"/>
                <w:kern w:val="16"/>
              </w:rPr>
              <w:t>法拉</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F</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36" w:afterLines="15"/>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微法</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μF</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容量</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兆伏安</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MVA</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36" w:afterLines="15"/>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千伏安</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kVA</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36" w:afterLines="15"/>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伏安</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VA</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restart"/>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电导率</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西门子</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S</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Pr>
        <w:tc>
          <w:tcPr>
            <w:tcW w:w="1785" w:type="dxa"/>
            <w:vMerge w:val="continue"/>
            <w:vAlign w:val="center"/>
          </w:tcPr>
          <w:p>
            <w:pPr>
              <w:widowControl/>
              <w:tabs>
                <w:tab w:val="left" w:pos="630"/>
              </w:tabs>
              <w:autoSpaceDE w:val="0"/>
              <w:autoSpaceDN w:val="0"/>
              <w:snapToGrid w:val="0"/>
              <w:spacing w:before="48" w:beforeLines="20" w:after="36" w:afterLines="15"/>
              <w:jc w:val="center"/>
              <w:textAlignment w:val="bottom"/>
              <w:rPr>
                <w:rFonts w:hint="eastAsia" w:ascii="宋体" w:hAnsi="宋体"/>
                <w:b/>
                <w:kern w:val="16"/>
                <w:sz w:val="24"/>
              </w:rPr>
            </w:pP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微西门子</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μS</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c>
          <w:tcPr>
            <w:tcW w:w="178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电阻</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欧姆</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Ω</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c>
          <w:tcPr>
            <w:tcW w:w="178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频率</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赫兹</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Hz</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c>
          <w:tcPr>
            <w:tcW w:w="178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电感</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亨利</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H</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c>
          <w:tcPr>
            <w:tcW w:w="178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转速</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转每分</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r/min</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c>
          <w:tcPr>
            <w:tcW w:w="178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电能</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千瓦时</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kWh</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c>
          <w:tcPr>
            <w:tcW w:w="178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力矩（扭矩）</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牛顿米</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Nm</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c>
          <w:tcPr>
            <w:tcW w:w="178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GD效应</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千克米－米</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kgm－m</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c>
          <w:tcPr>
            <w:tcW w:w="178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噪声</w:t>
            </w:r>
          </w:p>
        </w:tc>
        <w:tc>
          <w:tcPr>
            <w:tcW w:w="2205"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分贝</w:t>
            </w:r>
          </w:p>
        </w:tc>
        <w:tc>
          <w:tcPr>
            <w:tcW w:w="1680" w:type="dxa"/>
            <w:vAlign w:val="center"/>
          </w:tcPr>
          <w:p>
            <w:pPr>
              <w:widowControl/>
              <w:tabs>
                <w:tab w:val="left" w:pos="630"/>
              </w:tabs>
              <w:autoSpaceDE w:val="0"/>
              <w:autoSpaceDN w:val="0"/>
              <w:snapToGrid w:val="0"/>
              <w:spacing w:before="48" w:beforeLines="20" w:after="36" w:afterLines="15"/>
              <w:jc w:val="center"/>
              <w:textAlignment w:val="bottom"/>
              <w:rPr>
                <w:kern w:val="16"/>
                <w:sz w:val="24"/>
              </w:rPr>
            </w:pPr>
            <w:r>
              <w:rPr>
                <w:kern w:val="16"/>
                <w:sz w:val="24"/>
              </w:rPr>
              <w:t>dB</w:t>
            </w:r>
          </w:p>
        </w:tc>
        <w:tc>
          <w:tcPr>
            <w:tcW w:w="3045" w:type="dxa"/>
            <w:vAlign w:val="center"/>
          </w:tcPr>
          <w:p>
            <w:pPr>
              <w:widowControl/>
              <w:tabs>
                <w:tab w:val="left" w:pos="630"/>
              </w:tabs>
              <w:autoSpaceDE w:val="0"/>
              <w:autoSpaceDN w:val="0"/>
              <w:snapToGrid w:val="0"/>
              <w:spacing w:before="48" w:beforeLines="20" w:after="36" w:afterLines="15"/>
              <w:textAlignment w:val="bottom"/>
              <w:rPr>
                <w:rFonts w:hint="eastAsia" w:ascii="宋体" w:hAnsi="宋体"/>
                <w:b/>
                <w:kern w:val="16"/>
                <w:sz w:val="24"/>
              </w:rPr>
            </w:pPr>
          </w:p>
        </w:tc>
      </w:tr>
    </w:tbl>
    <w:p>
      <w:pPr>
        <w:tabs>
          <w:tab w:val="left" w:pos="578"/>
        </w:tabs>
        <w:snapToGrid w:val="0"/>
        <w:spacing w:line="360" w:lineRule="auto"/>
        <w:outlineLvl w:val="0"/>
        <w:rPr>
          <w:sz w:val="28"/>
        </w:rPr>
      </w:pPr>
      <w:r>
        <w:br w:type="page"/>
      </w:r>
      <w:bookmarkStart w:id="34" w:name="_Toc28348689"/>
      <w:bookmarkStart w:id="35" w:name="_Toc28940957"/>
      <w:bookmarkStart w:id="36" w:name="_Toc28697557"/>
      <w:bookmarkStart w:id="37" w:name="_Toc201637561"/>
      <w:bookmarkStart w:id="38" w:name="_Toc5863362"/>
      <w:bookmarkStart w:id="39" w:name="_Toc197658011"/>
      <w:r>
        <w:rPr>
          <w:b/>
          <w:sz w:val="28"/>
        </w:rPr>
        <w:t>附件4  交货进度</w:t>
      </w:r>
      <w:bookmarkEnd w:id="34"/>
      <w:bookmarkEnd w:id="35"/>
      <w:bookmarkEnd w:id="36"/>
      <w:bookmarkEnd w:id="37"/>
      <w:bookmarkEnd w:id="38"/>
      <w:bookmarkEnd w:id="39"/>
    </w:p>
    <w:p>
      <w:pPr>
        <w:spacing w:line="460" w:lineRule="exact"/>
        <w:rPr>
          <w:sz w:val="24"/>
        </w:rPr>
      </w:pPr>
      <w:r>
        <w:rPr>
          <w:sz w:val="24"/>
        </w:rPr>
        <w:t>1．</w:t>
      </w:r>
      <w:r>
        <w:rPr>
          <w:rFonts w:hint="eastAsia"/>
          <w:sz w:val="24"/>
        </w:rPr>
        <w:t>本工程</w:t>
      </w:r>
      <w:r>
        <w:rPr>
          <w:sz w:val="24"/>
        </w:rPr>
        <w:t>1</w:t>
      </w:r>
      <w:r>
        <w:rPr>
          <w:rFonts w:hint="eastAsia"/>
          <w:sz w:val="24"/>
        </w:rPr>
        <w:t>台</w:t>
      </w:r>
      <w:r>
        <w:rPr>
          <w:sz w:val="24"/>
        </w:rPr>
        <w:t>机组设备原则上同时投料，设备交货时间为设备交付到现场指定交货地点的时间，设备的交货顺序要满足工程安装进度的要求。</w:t>
      </w:r>
    </w:p>
    <w:p>
      <w:pPr>
        <w:spacing w:before="60" w:after="60" w:line="360" w:lineRule="auto"/>
        <w:rPr>
          <w:sz w:val="24"/>
        </w:rPr>
      </w:pPr>
      <w:r>
        <w:rPr>
          <w:sz w:val="24"/>
        </w:rPr>
        <w:t>2．表中数据按</w:t>
      </w:r>
      <w:r>
        <w:rPr>
          <w:rFonts w:hint="eastAsia"/>
          <w:sz w:val="24"/>
        </w:rPr>
        <w:t>2027  年9 月</w:t>
      </w:r>
      <w:r>
        <w:rPr>
          <w:sz w:val="24"/>
        </w:rPr>
        <w:t>机组发电。投标人应根据下表要求在投标文件中详细提出设备交货进度，并满足招标人要求。也可根据其工程经验在投标书中提出供货顺序和进度安排。（最终时间在设计联络会时确定）。</w:t>
      </w:r>
    </w:p>
    <w:p>
      <w:pPr>
        <w:spacing w:before="156" w:line="360" w:lineRule="auto"/>
        <w:ind w:firstLine="480"/>
        <w:jc w:val="center"/>
        <w:rPr>
          <w:b/>
          <w:sz w:val="24"/>
        </w:rPr>
      </w:pPr>
      <w:r>
        <w:rPr>
          <w:b/>
          <w:sz w:val="24"/>
        </w:rPr>
        <w:t>汽轮发电机设备交货进度</w:t>
      </w:r>
    </w:p>
    <w:tbl>
      <w:tblPr>
        <w:tblStyle w:val="49"/>
        <w:tblW w:w="8597" w:type="dxa"/>
        <w:jc w:val="center"/>
        <w:tblLayout w:type="fixed"/>
        <w:tblCellMar>
          <w:top w:w="0" w:type="dxa"/>
          <w:left w:w="108" w:type="dxa"/>
          <w:bottom w:w="0" w:type="dxa"/>
          <w:right w:w="108" w:type="dxa"/>
        </w:tblCellMar>
      </w:tblPr>
      <w:tblGrid>
        <w:gridCol w:w="873"/>
        <w:gridCol w:w="3336"/>
        <w:gridCol w:w="4377"/>
        <w:gridCol w:w="11"/>
      </w:tblGrid>
      <w:tr>
        <w:tblPrEx>
          <w:tblCellMar>
            <w:top w:w="0" w:type="dxa"/>
            <w:left w:w="108" w:type="dxa"/>
            <w:bottom w:w="0" w:type="dxa"/>
            <w:right w:w="108" w:type="dxa"/>
          </w:tblCellMar>
        </w:tblPrEx>
        <w:trPr>
          <w:trHeight w:val="998" w:hRule="atLeast"/>
          <w:tblHeader/>
          <w:jc w:val="center"/>
        </w:trPr>
        <w:tc>
          <w:tcPr>
            <w:tcW w:w="873"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sz w:val="24"/>
                <w:szCs w:val="24"/>
              </w:rPr>
            </w:pPr>
            <w:r>
              <w:rPr>
                <w:rFonts w:hint="eastAsia" w:cs="宋体"/>
                <w:sz w:val="24"/>
                <w:szCs w:val="24"/>
              </w:rPr>
              <w:t>序号</w:t>
            </w:r>
          </w:p>
        </w:tc>
        <w:tc>
          <w:tcPr>
            <w:tcW w:w="3336"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sz w:val="24"/>
                <w:szCs w:val="24"/>
              </w:rPr>
            </w:pPr>
            <w:r>
              <w:rPr>
                <w:rFonts w:hint="eastAsia" w:cs="宋体"/>
                <w:sz w:val="24"/>
                <w:szCs w:val="24"/>
              </w:rPr>
              <w:t>设备（部件）名称</w:t>
            </w:r>
          </w:p>
        </w:tc>
        <w:tc>
          <w:tcPr>
            <w:tcW w:w="4388" w:type="dxa"/>
            <w:gridSpan w:val="2"/>
            <w:tcBorders>
              <w:top w:val="single" w:color="auto" w:sz="4" w:space="0"/>
              <w:left w:val="nil"/>
              <w:bottom w:val="single" w:color="auto" w:sz="4" w:space="0"/>
              <w:right w:val="single" w:color="auto" w:sz="4" w:space="0"/>
            </w:tcBorders>
            <w:vAlign w:val="center"/>
          </w:tcPr>
          <w:p>
            <w:pPr>
              <w:widowControl/>
              <w:jc w:val="center"/>
              <w:rPr>
                <w:sz w:val="24"/>
                <w:szCs w:val="24"/>
              </w:rPr>
            </w:pPr>
            <w:r>
              <w:rPr>
                <w:rFonts w:hint="eastAsia" w:cs="宋体"/>
                <w:sz w:val="24"/>
                <w:szCs w:val="24"/>
              </w:rPr>
              <w:t>3号发电机</w:t>
            </w:r>
          </w:p>
        </w:tc>
      </w:tr>
      <w:tr>
        <w:tblPrEx>
          <w:tblCellMar>
            <w:top w:w="0" w:type="dxa"/>
            <w:left w:w="108" w:type="dxa"/>
            <w:bottom w:w="0" w:type="dxa"/>
            <w:right w:w="108" w:type="dxa"/>
          </w:tblCellMar>
        </w:tblPrEx>
        <w:trPr>
          <w:trHeight w:val="376" w:hRule="atLeast"/>
          <w:jc w:val="center"/>
        </w:trPr>
        <w:tc>
          <w:tcPr>
            <w:tcW w:w="873"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1</w:t>
            </w:r>
          </w:p>
        </w:tc>
        <w:tc>
          <w:tcPr>
            <w:tcW w:w="3336" w:type="dxa"/>
            <w:tcBorders>
              <w:top w:val="single" w:color="auto" w:sz="4" w:space="0"/>
              <w:left w:val="single" w:color="auto" w:sz="4" w:space="0"/>
              <w:bottom w:val="single" w:color="auto" w:sz="4" w:space="0"/>
              <w:right w:val="single" w:color="auto" w:sz="4" w:space="0"/>
            </w:tcBorders>
            <w:vAlign w:val="bottom"/>
          </w:tcPr>
          <w:p>
            <w:pPr>
              <w:widowControl/>
              <w:tabs>
                <w:tab w:val="left" w:pos="520"/>
              </w:tabs>
              <w:autoSpaceDE w:val="0"/>
              <w:autoSpaceDN w:val="0"/>
              <w:adjustRightInd w:val="0"/>
              <w:snapToGrid w:val="0"/>
              <w:jc w:val="center"/>
              <w:textAlignment w:val="bottom"/>
              <w:rPr>
                <w:kern w:val="16"/>
                <w:sz w:val="24"/>
                <w:szCs w:val="24"/>
              </w:rPr>
            </w:pPr>
            <w:r>
              <w:rPr>
                <w:rFonts w:hint="eastAsia"/>
                <w:kern w:val="16"/>
                <w:sz w:val="24"/>
                <w:szCs w:val="24"/>
              </w:rPr>
              <w:t>发电机及附属设备基础预埋件</w:t>
            </w:r>
          </w:p>
        </w:tc>
        <w:tc>
          <w:tcPr>
            <w:tcW w:w="4388" w:type="dxa"/>
            <w:gridSpan w:val="2"/>
            <w:tcBorders>
              <w:top w:val="nil"/>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2026年1月31日</w:t>
            </w:r>
          </w:p>
        </w:tc>
      </w:tr>
      <w:tr>
        <w:tblPrEx>
          <w:tblCellMar>
            <w:top w:w="0" w:type="dxa"/>
            <w:left w:w="108" w:type="dxa"/>
            <w:bottom w:w="0" w:type="dxa"/>
            <w:right w:w="108" w:type="dxa"/>
          </w:tblCellMar>
        </w:tblPrEx>
        <w:trPr>
          <w:trHeight w:val="221" w:hRule="atLeast"/>
          <w:jc w:val="center"/>
        </w:trPr>
        <w:tc>
          <w:tcPr>
            <w:tcW w:w="873"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2</w:t>
            </w:r>
          </w:p>
        </w:tc>
        <w:tc>
          <w:tcPr>
            <w:tcW w:w="3336" w:type="dxa"/>
            <w:tcBorders>
              <w:top w:val="single" w:color="auto" w:sz="4" w:space="0"/>
              <w:left w:val="single" w:color="auto" w:sz="4" w:space="0"/>
              <w:bottom w:val="single" w:color="auto" w:sz="4" w:space="0"/>
              <w:right w:val="single" w:color="auto" w:sz="4" w:space="0"/>
            </w:tcBorders>
            <w:vAlign w:val="bottom"/>
          </w:tcPr>
          <w:p>
            <w:pPr>
              <w:widowControl/>
              <w:tabs>
                <w:tab w:val="left" w:pos="520"/>
              </w:tabs>
              <w:autoSpaceDE w:val="0"/>
              <w:autoSpaceDN w:val="0"/>
              <w:adjustRightInd w:val="0"/>
              <w:snapToGrid w:val="0"/>
              <w:jc w:val="center"/>
              <w:textAlignment w:val="bottom"/>
              <w:rPr>
                <w:kern w:val="16"/>
                <w:sz w:val="24"/>
                <w:szCs w:val="24"/>
              </w:rPr>
            </w:pPr>
            <w:r>
              <w:rPr>
                <w:rFonts w:hint="eastAsia"/>
                <w:kern w:val="16"/>
                <w:sz w:val="24"/>
                <w:szCs w:val="24"/>
              </w:rPr>
              <w:t>发电机台板、地脚螺栓等</w:t>
            </w:r>
          </w:p>
        </w:tc>
        <w:tc>
          <w:tcPr>
            <w:tcW w:w="4388" w:type="dxa"/>
            <w:gridSpan w:val="2"/>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2026年7月31日</w:t>
            </w:r>
          </w:p>
        </w:tc>
      </w:tr>
      <w:tr>
        <w:tblPrEx>
          <w:tblCellMar>
            <w:top w:w="0" w:type="dxa"/>
            <w:left w:w="108" w:type="dxa"/>
            <w:bottom w:w="0" w:type="dxa"/>
            <w:right w:w="108" w:type="dxa"/>
          </w:tblCellMar>
        </w:tblPrEx>
        <w:trPr>
          <w:trHeight w:val="297" w:hRule="atLeast"/>
          <w:jc w:val="center"/>
        </w:trPr>
        <w:tc>
          <w:tcPr>
            <w:tcW w:w="873"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3</w:t>
            </w:r>
          </w:p>
        </w:tc>
        <w:tc>
          <w:tcPr>
            <w:tcW w:w="3336" w:type="dxa"/>
            <w:tcBorders>
              <w:top w:val="single" w:color="auto" w:sz="4" w:space="0"/>
              <w:left w:val="single" w:color="auto" w:sz="4" w:space="0"/>
              <w:bottom w:val="single" w:color="auto" w:sz="4" w:space="0"/>
              <w:right w:val="single" w:color="auto" w:sz="4" w:space="0"/>
            </w:tcBorders>
            <w:vAlign w:val="bottom"/>
          </w:tcPr>
          <w:p>
            <w:pPr>
              <w:widowControl/>
              <w:tabs>
                <w:tab w:val="left" w:pos="520"/>
              </w:tabs>
              <w:autoSpaceDE w:val="0"/>
              <w:autoSpaceDN w:val="0"/>
              <w:adjustRightInd w:val="0"/>
              <w:snapToGrid w:val="0"/>
              <w:jc w:val="center"/>
              <w:textAlignment w:val="bottom"/>
              <w:rPr>
                <w:kern w:val="16"/>
                <w:sz w:val="24"/>
                <w:szCs w:val="24"/>
              </w:rPr>
            </w:pPr>
            <w:r>
              <w:rPr>
                <w:rFonts w:hint="eastAsia"/>
                <w:kern w:val="16"/>
                <w:sz w:val="24"/>
                <w:szCs w:val="24"/>
              </w:rPr>
              <w:t>整机装运（最大装配运输）</w:t>
            </w:r>
          </w:p>
        </w:tc>
        <w:tc>
          <w:tcPr>
            <w:tcW w:w="4388" w:type="dxa"/>
            <w:gridSpan w:val="2"/>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2026年7月31日</w:t>
            </w:r>
          </w:p>
        </w:tc>
      </w:tr>
      <w:tr>
        <w:tblPrEx>
          <w:tblCellMar>
            <w:top w:w="0" w:type="dxa"/>
            <w:left w:w="108" w:type="dxa"/>
            <w:bottom w:w="0" w:type="dxa"/>
            <w:right w:w="108" w:type="dxa"/>
          </w:tblCellMar>
        </w:tblPrEx>
        <w:trPr>
          <w:trHeight w:val="297" w:hRule="atLeast"/>
          <w:jc w:val="center"/>
        </w:trPr>
        <w:tc>
          <w:tcPr>
            <w:tcW w:w="873"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4</w:t>
            </w:r>
          </w:p>
        </w:tc>
        <w:tc>
          <w:tcPr>
            <w:tcW w:w="3336" w:type="dxa"/>
            <w:tcBorders>
              <w:top w:val="single" w:color="auto" w:sz="4" w:space="0"/>
              <w:left w:val="nil"/>
              <w:bottom w:val="single" w:color="auto" w:sz="4" w:space="0"/>
              <w:right w:val="single" w:color="auto" w:sz="4" w:space="0"/>
            </w:tcBorders>
            <w:vAlign w:val="bottom"/>
          </w:tcPr>
          <w:p>
            <w:pPr>
              <w:widowControl/>
              <w:tabs>
                <w:tab w:val="left" w:pos="520"/>
              </w:tabs>
              <w:autoSpaceDE w:val="0"/>
              <w:autoSpaceDN w:val="0"/>
              <w:adjustRightInd w:val="0"/>
              <w:snapToGrid w:val="0"/>
              <w:jc w:val="center"/>
              <w:textAlignment w:val="bottom"/>
              <w:rPr>
                <w:kern w:val="16"/>
                <w:sz w:val="24"/>
                <w:szCs w:val="24"/>
              </w:rPr>
            </w:pPr>
            <w:r>
              <w:rPr>
                <w:rFonts w:hint="eastAsia"/>
                <w:kern w:val="16"/>
                <w:sz w:val="24"/>
                <w:szCs w:val="24"/>
              </w:rPr>
              <w:t>励磁系统</w:t>
            </w:r>
          </w:p>
        </w:tc>
        <w:tc>
          <w:tcPr>
            <w:tcW w:w="4388" w:type="dxa"/>
            <w:gridSpan w:val="2"/>
            <w:tcBorders>
              <w:top w:val="nil"/>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2026年7月31日</w:t>
            </w:r>
          </w:p>
        </w:tc>
      </w:tr>
      <w:tr>
        <w:tblPrEx>
          <w:tblCellMar>
            <w:top w:w="0" w:type="dxa"/>
            <w:left w:w="108" w:type="dxa"/>
            <w:bottom w:w="0" w:type="dxa"/>
            <w:right w:w="108" w:type="dxa"/>
          </w:tblCellMar>
        </w:tblPrEx>
        <w:trPr>
          <w:trHeight w:val="297" w:hRule="atLeast"/>
          <w:jc w:val="center"/>
        </w:trPr>
        <w:tc>
          <w:tcPr>
            <w:tcW w:w="873" w:type="dxa"/>
            <w:tcBorders>
              <w:top w:val="nil"/>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5</w:t>
            </w:r>
          </w:p>
        </w:tc>
        <w:tc>
          <w:tcPr>
            <w:tcW w:w="3336" w:type="dxa"/>
            <w:tcBorders>
              <w:top w:val="nil"/>
              <w:left w:val="nil"/>
              <w:bottom w:val="single" w:color="auto" w:sz="4" w:space="0"/>
              <w:right w:val="single" w:color="auto" w:sz="4" w:space="0"/>
            </w:tcBorders>
            <w:vAlign w:val="bottom"/>
          </w:tcPr>
          <w:p>
            <w:pPr>
              <w:widowControl/>
              <w:tabs>
                <w:tab w:val="left" w:pos="520"/>
              </w:tabs>
              <w:autoSpaceDE w:val="0"/>
              <w:autoSpaceDN w:val="0"/>
              <w:adjustRightInd w:val="0"/>
              <w:snapToGrid w:val="0"/>
              <w:jc w:val="center"/>
              <w:textAlignment w:val="bottom"/>
              <w:rPr>
                <w:kern w:val="16"/>
                <w:sz w:val="24"/>
                <w:szCs w:val="24"/>
              </w:rPr>
            </w:pPr>
            <w:r>
              <w:rPr>
                <w:rFonts w:hint="eastAsia"/>
                <w:kern w:val="16"/>
                <w:sz w:val="24"/>
                <w:szCs w:val="24"/>
              </w:rPr>
              <w:t>附属设备</w:t>
            </w:r>
          </w:p>
        </w:tc>
        <w:tc>
          <w:tcPr>
            <w:tcW w:w="4388" w:type="dxa"/>
            <w:gridSpan w:val="2"/>
            <w:tcBorders>
              <w:top w:val="nil"/>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2026年7月31日</w:t>
            </w:r>
          </w:p>
        </w:tc>
      </w:tr>
      <w:tr>
        <w:tblPrEx>
          <w:tblCellMar>
            <w:top w:w="0" w:type="dxa"/>
            <w:left w:w="108" w:type="dxa"/>
            <w:bottom w:w="0" w:type="dxa"/>
            <w:right w:w="108" w:type="dxa"/>
          </w:tblCellMar>
        </w:tblPrEx>
        <w:trPr>
          <w:gridAfter w:val="1"/>
          <w:wAfter w:w="11" w:type="dxa"/>
          <w:trHeight w:val="297" w:hRule="atLeast"/>
          <w:jc w:val="center"/>
        </w:trPr>
        <w:tc>
          <w:tcPr>
            <w:tcW w:w="873"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bCs/>
                <w:sz w:val="24"/>
                <w:szCs w:val="24"/>
              </w:rPr>
            </w:pPr>
            <w:r>
              <w:rPr>
                <w:rFonts w:hint="eastAsia" w:cs="宋体"/>
                <w:bCs/>
                <w:sz w:val="24"/>
                <w:szCs w:val="24"/>
              </w:rPr>
              <w:t>6</w:t>
            </w:r>
          </w:p>
        </w:tc>
        <w:tc>
          <w:tcPr>
            <w:tcW w:w="3336" w:type="dxa"/>
            <w:tcBorders>
              <w:top w:val="single" w:color="auto" w:sz="4" w:space="0"/>
              <w:left w:val="single" w:color="auto" w:sz="4" w:space="0"/>
              <w:bottom w:val="single" w:color="auto" w:sz="4" w:space="0"/>
              <w:right w:val="single" w:color="auto" w:sz="4" w:space="0"/>
            </w:tcBorders>
            <w:vAlign w:val="center"/>
          </w:tcPr>
          <w:p>
            <w:pPr>
              <w:jc w:val="center"/>
              <w:rPr>
                <w:rFonts w:cs="宋体"/>
                <w:bCs/>
                <w:sz w:val="24"/>
                <w:szCs w:val="24"/>
              </w:rPr>
            </w:pPr>
            <w:r>
              <w:rPr>
                <w:rFonts w:hint="eastAsia"/>
                <w:bCs/>
                <w:sz w:val="24"/>
                <w:szCs w:val="24"/>
              </w:rPr>
              <w:t>专用工具</w:t>
            </w:r>
          </w:p>
        </w:tc>
        <w:tc>
          <w:tcPr>
            <w:tcW w:w="4377"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bCs/>
                <w:sz w:val="24"/>
                <w:szCs w:val="24"/>
              </w:rPr>
            </w:pPr>
            <w:r>
              <w:rPr>
                <w:rFonts w:hint="eastAsia"/>
                <w:sz w:val="24"/>
                <w:szCs w:val="24"/>
              </w:rPr>
              <w:t>2026年7月31日</w:t>
            </w:r>
          </w:p>
        </w:tc>
      </w:tr>
      <w:tr>
        <w:tblPrEx>
          <w:tblCellMar>
            <w:top w:w="0" w:type="dxa"/>
            <w:left w:w="108" w:type="dxa"/>
            <w:bottom w:w="0" w:type="dxa"/>
            <w:right w:w="108" w:type="dxa"/>
          </w:tblCellMar>
        </w:tblPrEx>
        <w:trPr>
          <w:gridAfter w:val="1"/>
          <w:wAfter w:w="11" w:type="dxa"/>
          <w:trHeight w:val="297" w:hRule="atLeast"/>
          <w:jc w:val="center"/>
        </w:trPr>
        <w:tc>
          <w:tcPr>
            <w:tcW w:w="873"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bCs/>
                <w:sz w:val="24"/>
                <w:szCs w:val="24"/>
              </w:rPr>
            </w:pPr>
            <w:r>
              <w:rPr>
                <w:rFonts w:hint="eastAsia" w:cs="宋体"/>
                <w:bCs/>
                <w:sz w:val="24"/>
                <w:szCs w:val="24"/>
              </w:rPr>
              <w:t>7</w:t>
            </w:r>
          </w:p>
        </w:tc>
        <w:tc>
          <w:tcPr>
            <w:tcW w:w="3336" w:type="dxa"/>
            <w:tcBorders>
              <w:top w:val="single" w:color="auto" w:sz="4" w:space="0"/>
              <w:left w:val="single" w:color="auto" w:sz="4" w:space="0"/>
              <w:bottom w:val="single" w:color="auto" w:sz="4" w:space="0"/>
              <w:right w:val="single" w:color="auto" w:sz="4" w:space="0"/>
            </w:tcBorders>
            <w:vAlign w:val="center"/>
          </w:tcPr>
          <w:p>
            <w:pPr>
              <w:jc w:val="center"/>
              <w:rPr>
                <w:rFonts w:cs="宋体"/>
                <w:bCs/>
                <w:sz w:val="24"/>
                <w:szCs w:val="24"/>
              </w:rPr>
            </w:pPr>
            <w:r>
              <w:rPr>
                <w:rFonts w:hint="eastAsia"/>
                <w:bCs/>
                <w:sz w:val="24"/>
                <w:szCs w:val="24"/>
              </w:rPr>
              <w:t>备品备件</w:t>
            </w:r>
          </w:p>
        </w:tc>
        <w:tc>
          <w:tcPr>
            <w:tcW w:w="4377"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bCs/>
                <w:sz w:val="24"/>
                <w:szCs w:val="24"/>
              </w:rPr>
            </w:pPr>
            <w:r>
              <w:rPr>
                <w:rFonts w:hint="eastAsia"/>
                <w:sz w:val="24"/>
                <w:szCs w:val="24"/>
              </w:rPr>
              <w:t>2026年7月31日</w:t>
            </w:r>
          </w:p>
        </w:tc>
      </w:tr>
    </w:tbl>
    <w:p>
      <w:pPr>
        <w:spacing w:line="360" w:lineRule="auto"/>
        <w:ind w:left="610" w:hanging="610"/>
        <w:rPr>
          <w:sz w:val="24"/>
        </w:rPr>
      </w:pPr>
      <w:r>
        <w:rPr>
          <w:sz w:val="24"/>
        </w:rPr>
        <w:t>注：1. 各类备品、备件随各自的设备同期到货。</w:t>
      </w:r>
    </w:p>
    <w:p>
      <w:pPr>
        <w:spacing w:line="360" w:lineRule="auto"/>
        <w:ind w:left="599" w:leftChars="228" w:hanging="120" w:hangingChars="50"/>
        <w:rPr>
          <w:sz w:val="24"/>
        </w:rPr>
      </w:pPr>
      <w:r>
        <w:rPr>
          <w:sz w:val="24"/>
        </w:rPr>
        <w:t>2．专用工具随机发运。</w:t>
      </w:r>
    </w:p>
    <w:p/>
    <w:p/>
    <w:p>
      <w:pPr>
        <w:tabs>
          <w:tab w:val="left" w:pos="578"/>
        </w:tabs>
        <w:snapToGrid w:val="0"/>
        <w:spacing w:line="360" w:lineRule="auto"/>
        <w:rPr>
          <w:sz w:val="24"/>
        </w:rPr>
      </w:pPr>
    </w:p>
    <w:p>
      <w:pPr>
        <w:tabs>
          <w:tab w:val="left" w:pos="578"/>
        </w:tabs>
        <w:snapToGrid w:val="0"/>
        <w:spacing w:line="360" w:lineRule="auto"/>
        <w:rPr>
          <w:sz w:val="24"/>
        </w:rPr>
      </w:pPr>
    </w:p>
    <w:p>
      <w:pPr>
        <w:tabs>
          <w:tab w:val="left" w:pos="578"/>
        </w:tabs>
        <w:snapToGrid w:val="0"/>
        <w:spacing w:line="360" w:lineRule="auto"/>
        <w:rPr>
          <w:sz w:val="24"/>
        </w:rPr>
      </w:pPr>
    </w:p>
    <w:p>
      <w:pPr>
        <w:tabs>
          <w:tab w:val="left" w:pos="578"/>
        </w:tabs>
        <w:snapToGrid w:val="0"/>
        <w:spacing w:line="360" w:lineRule="auto"/>
        <w:rPr>
          <w:sz w:val="24"/>
        </w:rPr>
      </w:pPr>
    </w:p>
    <w:p>
      <w:pPr>
        <w:tabs>
          <w:tab w:val="left" w:pos="578"/>
        </w:tabs>
        <w:snapToGrid w:val="0"/>
        <w:spacing w:line="360" w:lineRule="auto"/>
        <w:rPr>
          <w:sz w:val="24"/>
        </w:rPr>
      </w:pPr>
    </w:p>
    <w:p>
      <w:pPr>
        <w:tabs>
          <w:tab w:val="left" w:pos="578"/>
        </w:tabs>
        <w:snapToGrid w:val="0"/>
        <w:spacing w:line="360" w:lineRule="auto"/>
        <w:rPr>
          <w:sz w:val="24"/>
        </w:rPr>
      </w:pPr>
    </w:p>
    <w:p>
      <w:pPr>
        <w:tabs>
          <w:tab w:val="left" w:pos="578"/>
        </w:tabs>
        <w:snapToGrid w:val="0"/>
        <w:spacing w:line="360" w:lineRule="auto"/>
        <w:rPr>
          <w:sz w:val="24"/>
        </w:rPr>
      </w:pPr>
    </w:p>
    <w:p>
      <w:pPr>
        <w:tabs>
          <w:tab w:val="left" w:pos="578"/>
        </w:tabs>
        <w:snapToGrid w:val="0"/>
        <w:spacing w:line="360" w:lineRule="auto"/>
        <w:rPr>
          <w:sz w:val="24"/>
        </w:rPr>
      </w:pPr>
    </w:p>
    <w:p>
      <w:pPr>
        <w:tabs>
          <w:tab w:val="left" w:pos="578"/>
        </w:tabs>
        <w:snapToGrid w:val="0"/>
        <w:spacing w:line="360" w:lineRule="auto"/>
        <w:rPr>
          <w:sz w:val="24"/>
        </w:rPr>
      </w:pPr>
    </w:p>
    <w:p>
      <w:pPr>
        <w:tabs>
          <w:tab w:val="left" w:pos="578"/>
        </w:tabs>
        <w:snapToGrid w:val="0"/>
        <w:spacing w:line="360" w:lineRule="auto"/>
        <w:rPr>
          <w:sz w:val="24"/>
        </w:rPr>
      </w:pPr>
    </w:p>
    <w:p>
      <w:pPr>
        <w:tabs>
          <w:tab w:val="left" w:pos="578"/>
        </w:tabs>
        <w:snapToGrid w:val="0"/>
        <w:spacing w:line="360" w:lineRule="auto"/>
        <w:rPr>
          <w:sz w:val="24"/>
        </w:rPr>
      </w:pPr>
    </w:p>
    <w:p>
      <w:pPr>
        <w:tabs>
          <w:tab w:val="left" w:pos="578"/>
        </w:tabs>
        <w:snapToGrid w:val="0"/>
        <w:spacing w:line="360" w:lineRule="auto"/>
        <w:rPr>
          <w:sz w:val="24"/>
        </w:rPr>
      </w:pPr>
    </w:p>
    <w:p>
      <w:pPr>
        <w:tabs>
          <w:tab w:val="left" w:pos="578"/>
        </w:tabs>
        <w:snapToGrid w:val="0"/>
        <w:spacing w:line="360" w:lineRule="auto"/>
        <w:rPr>
          <w:sz w:val="24"/>
        </w:rPr>
      </w:pPr>
    </w:p>
    <w:p>
      <w:pPr>
        <w:tabs>
          <w:tab w:val="left" w:pos="578"/>
        </w:tabs>
        <w:snapToGrid w:val="0"/>
        <w:spacing w:line="360" w:lineRule="auto"/>
        <w:rPr>
          <w:sz w:val="24"/>
        </w:rPr>
      </w:pPr>
    </w:p>
    <w:p>
      <w:pPr>
        <w:tabs>
          <w:tab w:val="left" w:pos="578"/>
        </w:tabs>
        <w:snapToGrid w:val="0"/>
        <w:spacing w:line="360" w:lineRule="auto"/>
        <w:outlineLvl w:val="0"/>
        <w:rPr>
          <w:b/>
          <w:sz w:val="28"/>
        </w:rPr>
      </w:pPr>
      <w:bookmarkStart w:id="40" w:name="_Toc57891010"/>
      <w:bookmarkStart w:id="41" w:name="_Toc19776582"/>
      <w:bookmarkStart w:id="42" w:name="_Toc5863363"/>
      <w:bookmarkStart w:id="43" w:name="_Toc197658012"/>
      <w:bookmarkStart w:id="44" w:name="_Toc201637562"/>
      <w:bookmarkStart w:id="45" w:name="_Toc424611004"/>
      <w:bookmarkStart w:id="46" w:name="_Toc424609400"/>
      <w:bookmarkStart w:id="47" w:name="_Toc424609584"/>
      <w:bookmarkStart w:id="48" w:name="_Toc424609911"/>
      <w:bookmarkStart w:id="49" w:name="_Toc424609863"/>
      <w:r>
        <w:rPr>
          <w:b/>
          <w:sz w:val="28"/>
        </w:rPr>
        <w:t xml:space="preserve">附件5  </w:t>
      </w:r>
      <w:bookmarkEnd w:id="40"/>
      <w:bookmarkEnd w:id="41"/>
      <w:r>
        <w:rPr>
          <w:b/>
          <w:sz w:val="28"/>
        </w:rPr>
        <w:t>设备监造、设备的出厂检验和性能验收试验</w:t>
      </w:r>
      <w:bookmarkEnd w:id="42"/>
      <w:bookmarkEnd w:id="43"/>
      <w:bookmarkEnd w:id="44"/>
    </w:p>
    <w:p>
      <w:pPr>
        <w:tabs>
          <w:tab w:val="left" w:pos="578"/>
        </w:tabs>
        <w:snapToGrid w:val="0"/>
        <w:spacing w:line="360" w:lineRule="auto"/>
        <w:rPr>
          <w:b/>
          <w:sz w:val="24"/>
        </w:rPr>
      </w:pPr>
      <w:r>
        <w:rPr>
          <w:b/>
          <w:sz w:val="24"/>
        </w:rPr>
        <w:t>1. 概述</w:t>
      </w:r>
    </w:p>
    <w:p>
      <w:pPr>
        <w:tabs>
          <w:tab w:val="left" w:pos="578"/>
        </w:tabs>
        <w:snapToGrid w:val="0"/>
        <w:spacing w:line="360" w:lineRule="auto"/>
        <w:rPr>
          <w:sz w:val="24"/>
        </w:rPr>
      </w:pPr>
      <w:r>
        <w:rPr>
          <w:sz w:val="24"/>
        </w:rPr>
        <w:t>1.1  本附件用于合同执行期间对投标人所提供的设备（包括对分包外购设备）进行检验、监造和性能验收试验，确保投标人所提供的设备符合附件1规定的要求。</w:t>
      </w:r>
    </w:p>
    <w:p>
      <w:pPr>
        <w:tabs>
          <w:tab w:val="left" w:pos="578"/>
        </w:tabs>
        <w:snapToGrid w:val="0"/>
        <w:spacing w:line="360" w:lineRule="auto"/>
        <w:rPr>
          <w:b/>
          <w:sz w:val="24"/>
        </w:rPr>
      </w:pPr>
      <w:r>
        <w:rPr>
          <w:sz w:val="24"/>
        </w:rPr>
        <w:t>1.2投标人应在本合同生效后3个月内，向招标人提供与本合同设备有关的监造、检验、性能验收试验标准。有关标准应符合附件1的规定。</w:t>
      </w:r>
    </w:p>
    <w:p>
      <w:pPr>
        <w:tabs>
          <w:tab w:val="left" w:pos="578"/>
        </w:tabs>
        <w:snapToGrid w:val="0"/>
        <w:spacing w:line="360" w:lineRule="auto"/>
        <w:rPr>
          <w:b/>
          <w:sz w:val="24"/>
        </w:rPr>
      </w:pPr>
      <w:r>
        <w:rPr>
          <w:b/>
          <w:sz w:val="24"/>
        </w:rPr>
        <w:t>2. 工厂检验</w:t>
      </w:r>
    </w:p>
    <w:p>
      <w:pPr>
        <w:tabs>
          <w:tab w:val="left" w:pos="578"/>
        </w:tabs>
        <w:snapToGrid w:val="0"/>
        <w:spacing w:line="360" w:lineRule="auto"/>
        <w:rPr>
          <w:sz w:val="24"/>
        </w:rPr>
      </w:pPr>
      <w:r>
        <w:rPr>
          <w:sz w:val="24"/>
        </w:rPr>
        <w:t>2.1  工厂检验是质量控制的一个重要组成部分。投标人须严格进行厂内各生产环节的检验和试验。投标人提供的合同设备须签发质量证明、检验记录和测试报告，并且作为交货时质量证明文件的组成部分。</w:t>
      </w:r>
    </w:p>
    <w:p>
      <w:pPr>
        <w:tabs>
          <w:tab w:val="left" w:pos="578"/>
        </w:tabs>
        <w:snapToGrid w:val="0"/>
        <w:spacing w:line="360" w:lineRule="auto"/>
        <w:rPr>
          <w:sz w:val="24"/>
        </w:rPr>
      </w:pPr>
      <w:r>
        <w:rPr>
          <w:sz w:val="24"/>
        </w:rPr>
        <w:t>2.2  检验的范围包括原材料和元器件的进厂，部件的加工、组装、试验至出厂试验。</w:t>
      </w:r>
    </w:p>
    <w:p>
      <w:pPr>
        <w:tabs>
          <w:tab w:val="left" w:pos="578"/>
        </w:tabs>
        <w:snapToGrid w:val="0"/>
        <w:spacing w:line="360" w:lineRule="auto"/>
        <w:rPr>
          <w:sz w:val="24"/>
        </w:rPr>
      </w:pPr>
      <w:r>
        <w:rPr>
          <w:sz w:val="24"/>
        </w:rPr>
        <w:t>2.3  投标人检验的结果要满足附件1的要求，如有不符之处或达不到标准要求，投标人要采取措施处理直至满足要求，同时向招标人提交不一致性报告。投标人发生重大质量问题时应将情况及时通知招标人。</w:t>
      </w:r>
    </w:p>
    <w:p>
      <w:pPr>
        <w:tabs>
          <w:tab w:val="left" w:pos="578"/>
        </w:tabs>
        <w:snapToGrid w:val="0"/>
        <w:spacing w:line="360" w:lineRule="auto"/>
        <w:rPr>
          <w:b/>
          <w:sz w:val="24"/>
        </w:rPr>
      </w:pPr>
      <w:r>
        <w:rPr>
          <w:b/>
          <w:sz w:val="24"/>
        </w:rPr>
        <w:t>3. 设备监造</w:t>
      </w:r>
    </w:p>
    <w:p>
      <w:pPr>
        <w:tabs>
          <w:tab w:val="left" w:pos="578"/>
        </w:tabs>
        <w:snapToGrid w:val="0"/>
        <w:spacing w:line="360" w:lineRule="auto"/>
        <w:rPr>
          <w:sz w:val="24"/>
        </w:rPr>
      </w:pPr>
      <w:r>
        <w:rPr>
          <w:sz w:val="24"/>
        </w:rPr>
        <w:t>3.1  招标人对投标人设备的监造</w:t>
      </w:r>
    </w:p>
    <w:p>
      <w:pPr>
        <w:tabs>
          <w:tab w:val="left" w:pos="578"/>
        </w:tabs>
        <w:snapToGrid w:val="0"/>
        <w:spacing w:line="360" w:lineRule="auto"/>
        <w:rPr>
          <w:sz w:val="24"/>
        </w:rPr>
      </w:pPr>
      <w:r>
        <w:rPr>
          <w:sz w:val="24"/>
        </w:rPr>
        <w:t>3.1.1 招标人对投标人在国内、外生产的合同设备进行监造。招标人的监造并不代表能免除任何投标人对设备制造质量所应负的责任。</w:t>
      </w:r>
    </w:p>
    <w:p>
      <w:pPr>
        <w:tabs>
          <w:tab w:val="left" w:pos="578"/>
        </w:tabs>
        <w:snapToGrid w:val="0"/>
        <w:spacing w:line="360" w:lineRule="auto"/>
        <w:rPr>
          <w:sz w:val="24"/>
        </w:rPr>
      </w:pPr>
      <w:r>
        <w:rPr>
          <w:sz w:val="24"/>
        </w:rPr>
        <w:t>3.1.2  重要部件的原材料在加工前应由监造代表确认(文件见证)后方可投料。</w:t>
      </w:r>
    </w:p>
    <w:p>
      <w:pPr>
        <w:tabs>
          <w:tab w:val="left" w:pos="578"/>
        </w:tabs>
        <w:snapToGrid w:val="0"/>
        <w:spacing w:line="360" w:lineRule="auto"/>
        <w:rPr>
          <w:sz w:val="24"/>
        </w:rPr>
      </w:pPr>
      <w:r>
        <w:rPr>
          <w:sz w:val="24"/>
        </w:rPr>
        <w:t>3.1.3  国内部分的设备文件见证和现场见证资料需在见证前10天内提供给招标人监造代表；</w:t>
      </w:r>
    </w:p>
    <w:p>
      <w:pPr>
        <w:tabs>
          <w:tab w:val="left" w:pos="578"/>
        </w:tabs>
        <w:snapToGrid w:val="0"/>
        <w:spacing w:line="360" w:lineRule="auto"/>
        <w:rPr>
          <w:sz w:val="24"/>
        </w:rPr>
      </w:pPr>
      <w:r>
        <w:rPr>
          <w:sz w:val="24"/>
        </w:rPr>
        <w:t>3.1.4  投标人在设备投料前提供生产计划，每月第一周内将加工计划和检验试验计划书面通知监造代表。</w:t>
      </w:r>
    </w:p>
    <w:p>
      <w:pPr>
        <w:tabs>
          <w:tab w:val="left" w:pos="578"/>
        </w:tabs>
        <w:snapToGrid w:val="0"/>
        <w:spacing w:line="360" w:lineRule="auto"/>
        <w:rPr>
          <w:sz w:val="24"/>
        </w:rPr>
      </w:pPr>
      <w:r>
        <w:rPr>
          <w:sz w:val="24"/>
        </w:rPr>
        <w:t>3.1.5  招标人监造代表有权查阅与监造设备有关的技术资料，投标人应积极配合并提供相关资料的复印件。</w:t>
      </w:r>
    </w:p>
    <w:p>
      <w:pPr>
        <w:tabs>
          <w:tab w:val="left" w:pos="578"/>
        </w:tabs>
        <w:snapToGrid w:val="0"/>
        <w:spacing w:line="360" w:lineRule="auto"/>
        <w:rPr>
          <w:sz w:val="24"/>
        </w:rPr>
      </w:pPr>
      <w:r>
        <w:rPr>
          <w:sz w:val="24"/>
        </w:rPr>
        <w:t>3.1.6  合同设备的重要部件和专用部件未经招标人允许，投标人不得擅自调换。</w:t>
      </w:r>
    </w:p>
    <w:p>
      <w:pPr>
        <w:tabs>
          <w:tab w:val="left" w:pos="578"/>
        </w:tabs>
        <w:snapToGrid w:val="0"/>
        <w:spacing w:line="360" w:lineRule="auto"/>
        <w:rPr>
          <w:sz w:val="24"/>
        </w:rPr>
      </w:pPr>
      <w:r>
        <w:rPr>
          <w:sz w:val="24"/>
        </w:rPr>
        <w:t>3.1.7  招标人监造代表有权随时到车间检查设备质量生产情况。</w:t>
      </w:r>
    </w:p>
    <w:p>
      <w:pPr>
        <w:tabs>
          <w:tab w:val="left" w:pos="578"/>
        </w:tabs>
        <w:snapToGrid w:val="0"/>
        <w:spacing w:line="360" w:lineRule="auto"/>
        <w:rPr>
          <w:sz w:val="24"/>
        </w:rPr>
      </w:pPr>
      <w:r>
        <w:rPr>
          <w:sz w:val="24"/>
        </w:rPr>
        <w:t>3.1.8  投标人应给招标人监造代表提供专用办公室及通讯、生活方便。</w:t>
      </w:r>
    </w:p>
    <w:p>
      <w:pPr>
        <w:tabs>
          <w:tab w:val="left" w:pos="578"/>
        </w:tabs>
        <w:snapToGrid w:val="0"/>
        <w:spacing w:line="360" w:lineRule="auto"/>
        <w:rPr>
          <w:sz w:val="24"/>
        </w:rPr>
      </w:pPr>
      <w:r>
        <w:rPr>
          <w:sz w:val="24"/>
        </w:rPr>
        <w:t>3.1.9  投标人应在现场见证前10天（国外设备应提前30天）以书面形式通知招标人监造代表。</w:t>
      </w:r>
    </w:p>
    <w:p>
      <w:pPr>
        <w:tabs>
          <w:tab w:val="left" w:pos="578"/>
        </w:tabs>
        <w:snapToGrid w:val="0"/>
        <w:spacing w:line="360" w:lineRule="auto"/>
        <w:rPr>
          <w:sz w:val="24"/>
        </w:rPr>
      </w:pPr>
      <w:r>
        <w:rPr>
          <w:sz w:val="24"/>
        </w:rPr>
        <w:t>3.1.10  监造依据</w:t>
      </w:r>
    </w:p>
    <w:p>
      <w:pPr>
        <w:tabs>
          <w:tab w:val="left" w:pos="578"/>
        </w:tabs>
        <w:snapToGrid w:val="0"/>
        <w:spacing w:line="360" w:lineRule="auto"/>
        <w:rPr>
          <w:sz w:val="24"/>
        </w:rPr>
      </w:pPr>
      <w:r>
        <w:rPr>
          <w:sz w:val="24"/>
        </w:rPr>
        <w:tab/>
      </w:r>
      <w:r>
        <w:rPr>
          <w:sz w:val="24"/>
        </w:rPr>
        <w:t>根据本招标书和国电电源[2002]267号《国家电力公司电力设备监造实施办法》和《驻大型电力设备制造厂总代表组工作条例》的规定，以及国家有关规定。</w:t>
      </w:r>
    </w:p>
    <w:p>
      <w:pPr>
        <w:tabs>
          <w:tab w:val="left" w:pos="578"/>
        </w:tabs>
        <w:snapToGrid w:val="0"/>
        <w:spacing w:line="360" w:lineRule="auto"/>
        <w:rPr>
          <w:sz w:val="24"/>
        </w:rPr>
      </w:pPr>
      <w:r>
        <w:rPr>
          <w:sz w:val="24"/>
        </w:rPr>
        <w:t>3.1.11  监造方式</w:t>
      </w:r>
    </w:p>
    <w:p>
      <w:pPr>
        <w:pStyle w:val="82"/>
        <w:tabs>
          <w:tab w:val="left" w:pos="578"/>
        </w:tabs>
        <w:snapToGrid w:val="0"/>
        <w:spacing w:line="360" w:lineRule="auto"/>
        <w:jc w:val="both"/>
      </w:pPr>
      <w:r>
        <w:tab/>
      </w:r>
      <w:r>
        <w:t>文件见证、现场见证和停工待检，即 R点、W点、H点。</w:t>
      </w:r>
    </w:p>
    <w:p>
      <w:pPr>
        <w:pStyle w:val="82"/>
        <w:tabs>
          <w:tab w:val="left" w:pos="578"/>
        </w:tabs>
        <w:snapToGrid w:val="0"/>
        <w:spacing w:line="360" w:lineRule="auto"/>
        <w:jc w:val="both"/>
      </w:pPr>
      <w:r>
        <w:tab/>
      </w:r>
      <w:r>
        <w:t>R 点：投标人提供检验或试验记录或报告的项目，即文件见证。</w:t>
      </w:r>
    </w:p>
    <w:p>
      <w:pPr>
        <w:pStyle w:val="82"/>
        <w:tabs>
          <w:tab w:val="left" w:pos="578"/>
        </w:tabs>
        <w:snapToGrid w:val="0"/>
        <w:spacing w:line="360" w:lineRule="auto"/>
        <w:jc w:val="both"/>
      </w:pPr>
      <w:r>
        <w:tab/>
      </w:r>
      <w:r>
        <w:t>W 点：招标人监造代表参加的检验或试验项目，检验或试验后投标人提供检验或试验记录，即现场见证。</w:t>
      </w:r>
    </w:p>
    <w:p>
      <w:pPr>
        <w:pStyle w:val="82"/>
        <w:tabs>
          <w:tab w:val="left" w:pos="578"/>
        </w:tabs>
        <w:snapToGrid w:val="0"/>
        <w:spacing w:line="360" w:lineRule="auto"/>
        <w:jc w:val="both"/>
      </w:pPr>
      <w:r>
        <w:tab/>
      </w:r>
      <w:r>
        <w:t>H 点：停工待检。投标人在进行至该点时必须停工等待招标人监造代表参加的检验或试验项目，检验或试验后投标人提供检验或试验记录。</w:t>
      </w:r>
    </w:p>
    <w:p>
      <w:pPr>
        <w:tabs>
          <w:tab w:val="left" w:pos="578"/>
        </w:tabs>
        <w:snapToGrid w:val="0"/>
        <w:spacing w:line="360" w:lineRule="auto"/>
        <w:rPr>
          <w:sz w:val="24"/>
        </w:rPr>
      </w:pPr>
      <w:r>
        <w:rPr>
          <w:sz w:val="24"/>
        </w:rPr>
        <w:tab/>
      </w:r>
      <w:r>
        <w:rPr>
          <w:sz w:val="24"/>
        </w:rPr>
        <w:t>招标人接到质量见证通知后,应及时派代表到投标人参加现场见证。如果招标人代表不能按期参加，W点自动转为R点，但H点没有招标人书面通知同意转为R点时，投标人不得自行转入下道工序，应与招标人联系商定更改见证日期，如果更改时间后，招标人仍未按时到达，则H点自动转为R点。</w:t>
      </w:r>
    </w:p>
    <w:p>
      <w:pPr>
        <w:tabs>
          <w:tab w:val="left" w:pos="578"/>
        </w:tabs>
        <w:snapToGrid w:val="0"/>
        <w:spacing w:line="360" w:lineRule="auto"/>
        <w:rPr>
          <w:sz w:val="24"/>
        </w:rPr>
      </w:pPr>
      <w:r>
        <w:rPr>
          <w:sz w:val="24"/>
        </w:rPr>
        <w:tab/>
      </w:r>
      <w:r>
        <w:rPr>
          <w:sz w:val="24"/>
        </w:rPr>
        <w:t>每次监造内容完成后，投标人和招标人监造代表均须在见证表上履行签字手续。投标人复印3份，交招标人监造代表1份。</w:t>
      </w:r>
    </w:p>
    <w:p>
      <w:pPr>
        <w:tabs>
          <w:tab w:val="left" w:pos="578"/>
        </w:tabs>
        <w:snapToGrid w:val="0"/>
        <w:spacing w:line="360" w:lineRule="auto"/>
        <w:rPr>
          <w:sz w:val="24"/>
        </w:rPr>
      </w:pPr>
      <w:r>
        <w:rPr>
          <w:sz w:val="24"/>
        </w:rPr>
        <w:t>3.1.12  监造内容</w:t>
      </w:r>
    </w:p>
    <w:p>
      <w:pPr>
        <w:pStyle w:val="82"/>
        <w:tabs>
          <w:tab w:val="left" w:pos="578"/>
        </w:tabs>
        <w:snapToGrid w:val="0"/>
        <w:spacing w:line="360" w:lineRule="auto"/>
        <w:jc w:val="both"/>
      </w:pPr>
      <w:r>
        <w:tab/>
      </w:r>
      <w:r>
        <w:t>监造的主要项目如下表。招标人可以对表中的项目增加或对监造方式调整，例如招标人认为有必要时，可将W点调整为H点，投标人必须无条件接受。</w:t>
      </w:r>
    </w:p>
    <w:p>
      <w:pPr>
        <w:tabs>
          <w:tab w:val="left" w:pos="578"/>
        </w:tabs>
        <w:snapToGrid w:val="0"/>
        <w:spacing w:line="360" w:lineRule="auto"/>
        <w:rPr>
          <w:sz w:val="24"/>
        </w:rPr>
      </w:pPr>
      <w:r>
        <w:rPr>
          <w:sz w:val="24"/>
        </w:rPr>
        <w:t>3.1.1</w:t>
      </w:r>
      <w:r>
        <w:rPr>
          <w:rFonts w:hint="eastAsia"/>
          <w:sz w:val="24"/>
        </w:rPr>
        <w:t>3</w:t>
      </w:r>
      <w:r>
        <w:rPr>
          <w:sz w:val="24"/>
        </w:rPr>
        <w:t xml:space="preserve">  监造标准</w:t>
      </w:r>
    </w:p>
    <w:p>
      <w:pPr>
        <w:spacing w:line="360" w:lineRule="auto"/>
        <w:ind w:firstLine="600" w:firstLineChars="250"/>
        <w:rPr>
          <w:sz w:val="24"/>
        </w:rPr>
      </w:pPr>
      <w:r>
        <w:rPr>
          <w:sz w:val="24"/>
        </w:rPr>
        <w:t>监造标准采用国标及IEC标准及引进技术标准。</w:t>
      </w:r>
    </w:p>
    <w:p>
      <w:pPr>
        <w:spacing w:line="360" w:lineRule="auto"/>
        <w:ind w:firstLine="720"/>
        <w:rPr>
          <w:sz w:val="24"/>
        </w:rPr>
      </w:pPr>
      <w:r>
        <w:rPr>
          <w:sz w:val="24"/>
        </w:rPr>
        <w:t>表1：发电机监造、检验和性能验收试验主要项目</w:t>
      </w:r>
    </w:p>
    <w:tbl>
      <w:tblPr>
        <w:tblStyle w:val="49"/>
        <w:tblW w:w="9104"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4"/>
        <w:gridCol w:w="1824"/>
        <w:gridCol w:w="3347"/>
        <w:gridCol w:w="710"/>
        <w:gridCol w:w="506"/>
        <w:gridCol w:w="710"/>
        <w:gridCol w:w="129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3" w:hRule="atLeast"/>
          <w:tblHeader/>
        </w:trPr>
        <w:tc>
          <w:tcPr>
            <w:tcW w:w="714" w:type="dxa"/>
            <w:vMerge w:val="restart"/>
            <w:tcBorders>
              <w:top w:val="single" w:color="auto" w:sz="4" w:space="0"/>
              <w:left w:val="single" w:color="auto" w:sz="4" w:space="0"/>
              <w:right w:val="single" w:color="auto" w:sz="4" w:space="0"/>
            </w:tcBorders>
            <w:vAlign w:val="center"/>
          </w:tcPr>
          <w:p>
            <w:pPr>
              <w:tabs>
                <w:tab w:val="left" w:pos="520"/>
              </w:tabs>
              <w:adjustRightInd w:val="0"/>
              <w:snapToGrid w:val="0"/>
              <w:spacing w:line="300" w:lineRule="auto"/>
              <w:jc w:val="center"/>
              <w:rPr>
                <w:b/>
                <w:spacing w:val="6"/>
                <w:kern w:val="32"/>
                <w:sz w:val="24"/>
                <w:szCs w:val="24"/>
              </w:rPr>
            </w:pPr>
            <w:r>
              <w:rPr>
                <w:b/>
                <w:spacing w:val="6"/>
                <w:kern w:val="32"/>
                <w:sz w:val="24"/>
                <w:szCs w:val="24"/>
              </w:rPr>
              <w:t>序号</w:t>
            </w:r>
          </w:p>
        </w:tc>
        <w:tc>
          <w:tcPr>
            <w:tcW w:w="1824" w:type="dxa"/>
            <w:vMerge w:val="restart"/>
            <w:tcBorders>
              <w:top w:val="single" w:color="auto" w:sz="4" w:space="0"/>
              <w:left w:val="single" w:color="auto" w:sz="4" w:space="0"/>
              <w:right w:val="single" w:color="auto" w:sz="4" w:space="0"/>
            </w:tcBorders>
            <w:vAlign w:val="center"/>
          </w:tcPr>
          <w:p>
            <w:pPr>
              <w:pStyle w:val="29"/>
              <w:tabs>
                <w:tab w:val="left" w:pos="520"/>
              </w:tabs>
              <w:snapToGrid w:val="0"/>
              <w:spacing w:line="300" w:lineRule="auto"/>
              <w:ind w:left="99" w:leftChars="47"/>
              <w:jc w:val="center"/>
              <w:rPr>
                <w:rFonts w:ascii="Times New Roman"/>
                <w:b/>
                <w:bCs/>
                <w:spacing w:val="6"/>
                <w:kern w:val="32"/>
                <w:szCs w:val="24"/>
              </w:rPr>
            </w:pPr>
            <w:r>
              <w:rPr>
                <w:rFonts w:ascii="Times New Roman"/>
                <w:b/>
                <w:bCs/>
                <w:spacing w:val="6"/>
                <w:kern w:val="32"/>
                <w:szCs w:val="24"/>
              </w:rPr>
              <w:t>监造部件</w:t>
            </w:r>
          </w:p>
        </w:tc>
        <w:tc>
          <w:tcPr>
            <w:tcW w:w="3347" w:type="dxa"/>
            <w:vMerge w:val="restart"/>
            <w:tcBorders>
              <w:top w:val="single" w:color="auto" w:sz="4" w:space="0"/>
              <w:left w:val="single" w:color="auto" w:sz="4" w:space="0"/>
              <w:right w:val="single" w:color="auto" w:sz="4" w:space="0"/>
            </w:tcBorders>
            <w:vAlign w:val="center"/>
          </w:tcPr>
          <w:p>
            <w:pPr>
              <w:tabs>
                <w:tab w:val="left" w:pos="520"/>
              </w:tabs>
              <w:adjustRightInd w:val="0"/>
              <w:snapToGrid w:val="0"/>
              <w:spacing w:line="300" w:lineRule="auto"/>
              <w:jc w:val="center"/>
              <w:rPr>
                <w:b/>
                <w:bCs/>
                <w:spacing w:val="6"/>
                <w:kern w:val="32"/>
                <w:sz w:val="24"/>
                <w:szCs w:val="24"/>
              </w:rPr>
            </w:pPr>
            <w:r>
              <w:rPr>
                <w:b/>
                <w:bCs/>
                <w:spacing w:val="6"/>
                <w:kern w:val="32"/>
                <w:sz w:val="24"/>
                <w:szCs w:val="24"/>
              </w:rPr>
              <w:t>监造项目</w:t>
            </w:r>
          </w:p>
        </w:tc>
        <w:tc>
          <w:tcPr>
            <w:tcW w:w="3219" w:type="dxa"/>
            <w:gridSpan w:val="4"/>
            <w:tcBorders>
              <w:top w:val="single" w:color="auto" w:sz="4" w:space="0"/>
              <w:left w:val="single" w:color="auto" w:sz="4" w:space="0"/>
              <w:right w:val="single" w:color="auto" w:sz="4" w:space="0"/>
            </w:tcBorders>
            <w:vAlign w:val="center"/>
          </w:tcPr>
          <w:p>
            <w:pPr>
              <w:tabs>
                <w:tab w:val="left" w:pos="520"/>
              </w:tabs>
              <w:adjustRightInd w:val="0"/>
              <w:snapToGrid w:val="0"/>
              <w:spacing w:line="300" w:lineRule="auto"/>
              <w:jc w:val="center"/>
              <w:rPr>
                <w:b/>
                <w:spacing w:val="6"/>
                <w:kern w:val="32"/>
                <w:sz w:val="24"/>
                <w:szCs w:val="24"/>
              </w:rPr>
            </w:pPr>
            <w:r>
              <w:rPr>
                <w:b/>
                <w:spacing w:val="6"/>
                <w:kern w:val="32"/>
                <w:sz w:val="24"/>
                <w:szCs w:val="24"/>
              </w:rPr>
              <w:t>见证方式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2" w:hRule="atLeast"/>
          <w:tblHeader/>
        </w:trPr>
        <w:tc>
          <w:tcPr>
            <w:tcW w:w="714" w:type="dxa"/>
            <w:vMerge w:val="continue"/>
            <w:tcBorders>
              <w:left w:val="single" w:color="auto" w:sz="4" w:space="0"/>
              <w:right w:val="single" w:color="auto" w:sz="4" w:space="0"/>
            </w:tcBorders>
            <w:vAlign w:val="center"/>
          </w:tcPr>
          <w:p>
            <w:pPr>
              <w:tabs>
                <w:tab w:val="left" w:pos="520"/>
              </w:tabs>
              <w:adjustRightInd w:val="0"/>
              <w:snapToGrid w:val="0"/>
              <w:spacing w:line="300" w:lineRule="auto"/>
              <w:jc w:val="center"/>
              <w:rPr>
                <w:b/>
                <w:spacing w:val="6"/>
                <w:kern w:val="32"/>
                <w:sz w:val="24"/>
                <w:szCs w:val="24"/>
              </w:rPr>
            </w:pPr>
          </w:p>
        </w:tc>
        <w:tc>
          <w:tcPr>
            <w:tcW w:w="1824" w:type="dxa"/>
            <w:vMerge w:val="continue"/>
            <w:tcBorders>
              <w:left w:val="single" w:color="auto" w:sz="4" w:space="0"/>
              <w:right w:val="single" w:color="auto" w:sz="4" w:space="0"/>
            </w:tcBorders>
            <w:vAlign w:val="center"/>
          </w:tcPr>
          <w:p>
            <w:pPr>
              <w:pStyle w:val="29"/>
              <w:tabs>
                <w:tab w:val="left" w:pos="520"/>
              </w:tabs>
              <w:snapToGrid w:val="0"/>
              <w:spacing w:line="300" w:lineRule="auto"/>
              <w:ind w:left="99" w:leftChars="47"/>
              <w:jc w:val="center"/>
              <w:rPr>
                <w:rFonts w:ascii="Times New Roman"/>
                <w:spacing w:val="6"/>
                <w:kern w:val="32"/>
                <w:szCs w:val="24"/>
              </w:rPr>
            </w:pPr>
          </w:p>
        </w:tc>
        <w:tc>
          <w:tcPr>
            <w:tcW w:w="3347" w:type="dxa"/>
            <w:vMerge w:val="continue"/>
            <w:tcBorders>
              <w:left w:val="single" w:color="auto" w:sz="4" w:space="0"/>
              <w:right w:val="single" w:color="auto" w:sz="4" w:space="0"/>
            </w:tcBorders>
            <w:vAlign w:val="center"/>
          </w:tcPr>
          <w:p>
            <w:pPr>
              <w:tabs>
                <w:tab w:val="left" w:pos="520"/>
              </w:tabs>
              <w:adjustRightInd w:val="0"/>
              <w:snapToGrid w:val="0"/>
              <w:spacing w:line="300" w:lineRule="auto"/>
              <w:jc w:val="center"/>
              <w:rPr>
                <w:b/>
                <w:spacing w:val="6"/>
                <w:kern w:val="32"/>
                <w:sz w:val="24"/>
                <w:szCs w:val="24"/>
              </w:rPr>
            </w:pPr>
          </w:p>
        </w:tc>
        <w:tc>
          <w:tcPr>
            <w:tcW w:w="710" w:type="dxa"/>
            <w:tcBorders>
              <w:top w:val="single" w:color="auto" w:sz="4" w:space="0"/>
              <w:left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r>
              <w:rPr>
                <w:spacing w:val="6"/>
                <w:kern w:val="32"/>
                <w:sz w:val="24"/>
                <w:szCs w:val="24"/>
              </w:rPr>
              <w:t>H</w:t>
            </w:r>
          </w:p>
        </w:tc>
        <w:tc>
          <w:tcPr>
            <w:tcW w:w="506" w:type="dxa"/>
            <w:tcBorders>
              <w:top w:val="single" w:color="auto" w:sz="4" w:space="0"/>
              <w:left w:val="single" w:color="auto" w:sz="4" w:space="0"/>
              <w:right w:val="single" w:color="auto" w:sz="4" w:space="0"/>
            </w:tcBorders>
            <w:vAlign w:val="center"/>
          </w:tcPr>
          <w:p>
            <w:pPr>
              <w:tabs>
                <w:tab w:val="left" w:pos="520"/>
              </w:tabs>
              <w:adjustRightInd w:val="0"/>
              <w:snapToGrid w:val="0"/>
              <w:spacing w:line="300" w:lineRule="auto"/>
              <w:jc w:val="center"/>
              <w:rPr>
                <w:b/>
                <w:spacing w:val="6"/>
                <w:kern w:val="32"/>
                <w:sz w:val="24"/>
                <w:szCs w:val="24"/>
              </w:rPr>
            </w:pPr>
            <w:r>
              <w:rPr>
                <w:b/>
                <w:spacing w:val="6"/>
                <w:kern w:val="32"/>
                <w:sz w:val="24"/>
                <w:szCs w:val="24"/>
              </w:rPr>
              <w:t>W</w:t>
            </w:r>
          </w:p>
        </w:tc>
        <w:tc>
          <w:tcPr>
            <w:tcW w:w="710" w:type="dxa"/>
            <w:tcBorders>
              <w:top w:val="single" w:color="auto" w:sz="4" w:space="0"/>
              <w:left w:val="single" w:color="auto" w:sz="4" w:space="0"/>
              <w:right w:val="single" w:color="auto" w:sz="4" w:space="0"/>
            </w:tcBorders>
            <w:vAlign w:val="center"/>
          </w:tcPr>
          <w:p>
            <w:pPr>
              <w:tabs>
                <w:tab w:val="left" w:pos="520"/>
              </w:tabs>
              <w:adjustRightInd w:val="0"/>
              <w:snapToGrid w:val="0"/>
              <w:spacing w:line="300" w:lineRule="auto"/>
              <w:jc w:val="center"/>
              <w:rPr>
                <w:b/>
                <w:spacing w:val="6"/>
                <w:kern w:val="32"/>
                <w:sz w:val="24"/>
                <w:szCs w:val="24"/>
              </w:rPr>
            </w:pPr>
            <w:r>
              <w:rPr>
                <w:b/>
                <w:spacing w:val="6"/>
                <w:kern w:val="32"/>
                <w:sz w:val="24"/>
                <w:szCs w:val="24"/>
              </w:rPr>
              <w:t>R</w:t>
            </w:r>
          </w:p>
        </w:tc>
        <w:tc>
          <w:tcPr>
            <w:tcW w:w="1293" w:type="dxa"/>
            <w:tcBorders>
              <w:top w:val="single" w:color="auto" w:sz="4" w:space="0"/>
              <w:left w:val="single" w:color="auto" w:sz="4" w:space="0"/>
              <w:right w:val="single" w:color="auto" w:sz="4" w:space="0"/>
            </w:tcBorders>
            <w:vAlign w:val="center"/>
          </w:tcPr>
          <w:p>
            <w:pPr>
              <w:tabs>
                <w:tab w:val="left" w:pos="520"/>
              </w:tabs>
              <w:adjustRightInd w:val="0"/>
              <w:snapToGrid w:val="0"/>
              <w:spacing w:line="300" w:lineRule="auto"/>
              <w:jc w:val="center"/>
              <w:rPr>
                <w:b/>
                <w:spacing w:val="6"/>
                <w:kern w:val="32"/>
                <w:sz w:val="24"/>
                <w:szCs w:val="24"/>
              </w:rPr>
            </w:pPr>
            <w:r>
              <w:rPr>
                <w:b/>
                <w:spacing w:val="6"/>
                <w:kern w:val="32"/>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sz w:val="24"/>
                <w:szCs w:val="24"/>
              </w:rPr>
            </w:pPr>
            <w:r>
              <w:rPr>
                <w:sz w:val="24"/>
                <w:szCs w:val="24"/>
              </w:rPr>
              <w:t>1</w:t>
            </w:r>
          </w:p>
        </w:tc>
        <w:tc>
          <w:tcPr>
            <w:tcW w:w="1824" w:type="dxa"/>
            <w:vMerge w:val="restart"/>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ind w:firstLine="126" w:firstLineChars="50"/>
              <w:jc w:val="center"/>
              <w:rPr>
                <w:spacing w:val="6"/>
                <w:kern w:val="32"/>
                <w:sz w:val="24"/>
                <w:szCs w:val="24"/>
              </w:rPr>
            </w:pPr>
            <w:r>
              <w:rPr>
                <w:spacing w:val="6"/>
                <w:kern w:val="32"/>
                <w:sz w:val="24"/>
                <w:szCs w:val="24"/>
              </w:rPr>
              <w:t>转轴</w:t>
            </w: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 原材料质量见证</w:t>
            </w:r>
          </w:p>
        </w:tc>
        <w:tc>
          <w:tcPr>
            <w:tcW w:w="1926" w:type="dxa"/>
            <w:gridSpan w:val="3"/>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ind w:firstLine="120" w:firstLineChars="50"/>
              <w:jc w:val="center"/>
              <w:rPr>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1.1原材料质保书</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1.2 机械性能试验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1.3 转轴探伤</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1.4 残余应力试验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1.5 导磁率测定</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1.6化学成分分析</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2 关键部位加工尺寸及精度</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sz w:val="24"/>
                <w:szCs w:val="24"/>
              </w:rPr>
            </w:pPr>
            <w:r>
              <w:rPr>
                <w:sz w:val="24"/>
                <w:szCs w:val="24"/>
              </w:rPr>
              <w:t>2</w:t>
            </w:r>
          </w:p>
        </w:tc>
        <w:tc>
          <w:tcPr>
            <w:tcW w:w="1824" w:type="dxa"/>
            <w:vMerge w:val="restart"/>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ind w:firstLine="126" w:firstLineChars="50"/>
              <w:jc w:val="center"/>
              <w:rPr>
                <w:spacing w:val="6"/>
                <w:kern w:val="32"/>
                <w:sz w:val="24"/>
                <w:szCs w:val="24"/>
              </w:rPr>
            </w:pPr>
            <w:r>
              <w:rPr>
                <w:spacing w:val="6"/>
                <w:kern w:val="32"/>
                <w:sz w:val="24"/>
                <w:szCs w:val="24"/>
              </w:rPr>
              <w:t>护环</w:t>
            </w: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 原材料质量见证</w:t>
            </w:r>
          </w:p>
        </w:tc>
        <w:tc>
          <w:tcPr>
            <w:tcW w:w="1926" w:type="dxa"/>
            <w:gridSpan w:val="3"/>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ind w:firstLine="126" w:firstLineChars="50"/>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1.1 原材料质保书</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1.2机械性能试验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1.3化学成分分析</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1.4超声波探伤</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1.5残余应力试验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2 关键部位加工尺寸及精度</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sz w:val="24"/>
                <w:szCs w:val="24"/>
              </w:rPr>
            </w:pPr>
            <w:r>
              <w:rPr>
                <w:sz w:val="24"/>
                <w:szCs w:val="24"/>
              </w:rPr>
              <w:t>3</w:t>
            </w:r>
          </w:p>
        </w:tc>
        <w:tc>
          <w:tcPr>
            <w:tcW w:w="182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auto"/>
              <w:ind w:firstLine="126" w:firstLineChars="50"/>
              <w:jc w:val="center"/>
              <w:rPr>
                <w:spacing w:val="6"/>
                <w:kern w:val="32"/>
                <w:sz w:val="24"/>
                <w:szCs w:val="24"/>
              </w:rPr>
            </w:pPr>
            <w:r>
              <w:rPr>
                <w:spacing w:val="6"/>
                <w:kern w:val="32"/>
                <w:sz w:val="24"/>
                <w:szCs w:val="24"/>
              </w:rPr>
              <w:t>中心环</w:t>
            </w: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 原材料质量见证</w:t>
            </w:r>
          </w:p>
        </w:tc>
        <w:tc>
          <w:tcPr>
            <w:tcW w:w="1926" w:type="dxa"/>
            <w:gridSpan w:val="3"/>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ind w:firstLine="126" w:firstLineChars="50"/>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1.1原材料质保书</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1.2 机械性能试验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1.3 化学成分分析</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2 关键部位加工尺寸及精度</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14" w:type="dxa"/>
            <w:vMerge w:val="restart"/>
            <w:tcBorders>
              <w:top w:val="single" w:color="auto" w:sz="4" w:space="0"/>
              <w:left w:val="single" w:color="auto" w:sz="4" w:space="0"/>
              <w:right w:val="single" w:color="auto" w:sz="4" w:space="0"/>
            </w:tcBorders>
            <w:vAlign w:val="center"/>
          </w:tcPr>
          <w:p>
            <w:pPr>
              <w:spacing w:line="300" w:lineRule="auto"/>
              <w:jc w:val="center"/>
              <w:rPr>
                <w:sz w:val="24"/>
                <w:szCs w:val="24"/>
              </w:rPr>
            </w:pPr>
            <w:r>
              <w:rPr>
                <w:sz w:val="24"/>
                <w:szCs w:val="24"/>
              </w:rPr>
              <w:t>4</w:t>
            </w:r>
          </w:p>
        </w:tc>
        <w:tc>
          <w:tcPr>
            <w:tcW w:w="1824" w:type="dxa"/>
            <w:vMerge w:val="restart"/>
            <w:tcBorders>
              <w:top w:val="single" w:color="auto" w:sz="4" w:space="0"/>
              <w:left w:val="single" w:color="auto" w:sz="4" w:space="0"/>
              <w:right w:val="single" w:color="auto" w:sz="4" w:space="0"/>
            </w:tcBorders>
            <w:vAlign w:val="center"/>
          </w:tcPr>
          <w:p>
            <w:pPr>
              <w:tabs>
                <w:tab w:val="left" w:pos="520"/>
              </w:tabs>
              <w:adjustRightInd w:val="0"/>
              <w:snapToGrid w:val="0"/>
              <w:spacing w:line="300" w:lineRule="auto"/>
              <w:ind w:firstLine="126" w:firstLineChars="50"/>
              <w:jc w:val="center"/>
              <w:rPr>
                <w:spacing w:val="6"/>
                <w:kern w:val="32"/>
                <w:sz w:val="24"/>
                <w:szCs w:val="24"/>
              </w:rPr>
            </w:pPr>
            <w:r>
              <w:rPr>
                <w:spacing w:val="6"/>
                <w:kern w:val="32"/>
                <w:sz w:val="24"/>
                <w:szCs w:val="24"/>
              </w:rPr>
              <w:t>槽楔</w:t>
            </w: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 原材料质保书</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14" w:type="dxa"/>
            <w:vMerge w:val="continue"/>
            <w:tcBorders>
              <w:left w:val="single" w:color="auto" w:sz="4" w:space="0"/>
              <w:right w:val="single" w:color="auto" w:sz="4" w:space="0"/>
            </w:tcBorders>
            <w:vAlign w:val="center"/>
          </w:tcPr>
          <w:p>
            <w:pPr>
              <w:spacing w:line="300" w:lineRule="auto"/>
              <w:jc w:val="center"/>
              <w:rPr>
                <w:sz w:val="24"/>
                <w:szCs w:val="24"/>
              </w:rPr>
            </w:pPr>
          </w:p>
        </w:tc>
        <w:tc>
          <w:tcPr>
            <w:tcW w:w="1824" w:type="dxa"/>
            <w:vMerge w:val="continue"/>
            <w:tcBorders>
              <w:left w:val="single" w:color="auto" w:sz="4" w:space="0"/>
              <w:right w:val="single" w:color="auto" w:sz="4" w:space="0"/>
            </w:tcBorders>
            <w:vAlign w:val="center"/>
          </w:tcPr>
          <w:p>
            <w:pPr>
              <w:tabs>
                <w:tab w:val="left" w:pos="520"/>
              </w:tabs>
              <w:adjustRightInd w:val="0"/>
              <w:snapToGrid w:val="0"/>
              <w:spacing w:line="300" w:lineRule="auto"/>
              <w:ind w:firstLine="126" w:firstLineChars="50"/>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2 机械性能试验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14" w:type="dxa"/>
            <w:vMerge w:val="continue"/>
            <w:tcBorders>
              <w:left w:val="single" w:color="auto" w:sz="4" w:space="0"/>
              <w:bottom w:val="single" w:color="auto" w:sz="4" w:space="0"/>
              <w:right w:val="single" w:color="auto" w:sz="4" w:space="0"/>
            </w:tcBorders>
            <w:vAlign w:val="center"/>
          </w:tcPr>
          <w:p>
            <w:pPr>
              <w:spacing w:line="300" w:lineRule="auto"/>
              <w:jc w:val="center"/>
              <w:rPr>
                <w:sz w:val="24"/>
                <w:szCs w:val="24"/>
              </w:rPr>
            </w:pPr>
          </w:p>
        </w:tc>
        <w:tc>
          <w:tcPr>
            <w:tcW w:w="1824" w:type="dxa"/>
            <w:vMerge w:val="continue"/>
            <w:tcBorders>
              <w:left w:val="single" w:color="auto" w:sz="4" w:space="0"/>
              <w:bottom w:val="single" w:color="auto" w:sz="4" w:space="0"/>
              <w:right w:val="single" w:color="auto" w:sz="4" w:space="0"/>
            </w:tcBorders>
            <w:vAlign w:val="center"/>
          </w:tcPr>
          <w:p>
            <w:pPr>
              <w:tabs>
                <w:tab w:val="left" w:pos="520"/>
              </w:tabs>
              <w:adjustRightInd w:val="0"/>
              <w:snapToGrid w:val="0"/>
              <w:spacing w:line="300" w:lineRule="auto"/>
              <w:ind w:firstLine="126" w:firstLineChars="50"/>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3 化学成分分析</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14" w:type="dxa"/>
            <w:vMerge w:val="restart"/>
            <w:tcBorders>
              <w:top w:val="single" w:color="auto" w:sz="4" w:space="0"/>
              <w:left w:val="single" w:color="auto" w:sz="4" w:space="0"/>
              <w:right w:val="single" w:color="auto" w:sz="4" w:space="0"/>
            </w:tcBorders>
            <w:vAlign w:val="center"/>
          </w:tcPr>
          <w:p>
            <w:pPr>
              <w:spacing w:line="300" w:lineRule="auto"/>
              <w:jc w:val="center"/>
              <w:rPr>
                <w:sz w:val="24"/>
                <w:szCs w:val="24"/>
              </w:rPr>
            </w:pPr>
            <w:r>
              <w:rPr>
                <w:sz w:val="24"/>
                <w:szCs w:val="24"/>
              </w:rPr>
              <w:t>5</w:t>
            </w:r>
          </w:p>
        </w:tc>
        <w:tc>
          <w:tcPr>
            <w:tcW w:w="1824" w:type="dxa"/>
            <w:vMerge w:val="restart"/>
            <w:tcBorders>
              <w:top w:val="single" w:color="auto" w:sz="4" w:space="0"/>
              <w:left w:val="single" w:color="auto" w:sz="4" w:space="0"/>
              <w:right w:val="single" w:color="auto" w:sz="4" w:space="0"/>
            </w:tcBorders>
            <w:vAlign w:val="center"/>
          </w:tcPr>
          <w:p>
            <w:pPr>
              <w:tabs>
                <w:tab w:val="left" w:pos="520"/>
              </w:tabs>
              <w:adjustRightInd w:val="0"/>
              <w:snapToGrid w:val="0"/>
              <w:spacing w:line="300" w:lineRule="auto"/>
              <w:ind w:firstLine="126" w:firstLineChars="50"/>
              <w:jc w:val="center"/>
              <w:rPr>
                <w:spacing w:val="6"/>
                <w:kern w:val="32"/>
                <w:sz w:val="24"/>
                <w:szCs w:val="24"/>
              </w:rPr>
            </w:pPr>
            <w:r>
              <w:rPr>
                <w:spacing w:val="6"/>
                <w:kern w:val="32"/>
                <w:sz w:val="24"/>
                <w:szCs w:val="24"/>
              </w:rPr>
              <w:t>风叶</w:t>
            </w: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 原材料质保书</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14" w:type="dxa"/>
            <w:vMerge w:val="continue"/>
            <w:tcBorders>
              <w:left w:val="single" w:color="auto" w:sz="4" w:space="0"/>
              <w:bottom w:val="single" w:color="auto" w:sz="4" w:space="0"/>
              <w:right w:val="single" w:color="auto" w:sz="4" w:space="0"/>
            </w:tcBorders>
            <w:vAlign w:val="center"/>
          </w:tcPr>
          <w:p>
            <w:pPr>
              <w:spacing w:line="300" w:lineRule="auto"/>
              <w:jc w:val="center"/>
              <w:rPr>
                <w:sz w:val="24"/>
                <w:szCs w:val="24"/>
              </w:rPr>
            </w:pPr>
          </w:p>
        </w:tc>
        <w:tc>
          <w:tcPr>
            <w:tcW w:w="1824" w:type="dxa"/>
            <w:vMerge w:val="continue"/>
            <w:tcBorders>
              <w:left w:val="single" w:color="auto" w:sz="4" w:space="0"/>
              <w:bottom w:val="single" w:color="auto" w:sz="4" w:space="0"/>
              <w:right w:val="single" w:color="auto" w:sz="4" w:space="0"/>
            </w:tcBorders>
            <w:vAlign w:val="center"/>
          </w:tcPr>
          <w:p>
            <w:pPr>
              <w:tabs>
                <w:tab w:val="left" w:pos="520"/>
              </w:tabs>
              <w:adjustRightInd w:val="0"/>
              <w:snapToGrid w:val="0"/>
              <w:spacing w:line="300" w:lineRule="auto"/>
              <w:ind w:firstLine="126" w:firstLineChars="50"/>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2 测频试验或无损探伤</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sz w:val="24"/>
                <w:szCs w:val="24"/>
              </w:rPr>
            </w:pPr>
            <w:r>
              <w:rPr>
                <w:sz w:val="24"/>
                <w:szCs w:val="24"/>
              </w:rPr>
              <w:t>6</w:t>
            </w:r>
          </w:p>
        </w:tc>
        <w:tc>
          <w:tcPr>
            <w:tcW w:w="1824" w:type="dxa"/>
            <w:vMerge w:val="restart"/>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ind w:firstLine="126" w:firstLineChars="50"/>
              <w:jc w:val="center"/>
              <w:rPr>
                <w:spacing w:val="6"/>
                <w:kern w:val="32"/>
                <w:sz w:val="24"/>
                <w:szCs w:val="24"/>
              </w:rPr>
            </w:pPr>
            <w:r>
              <w:rPr>
                <w:spacing w:val="6"/>
                <w:kern w:val="32"/>
                <w:sz w:val="24"/>
                <w:szCs w:val="24"/>
              </w:rPr>
              <w:t>集电环</w:t>
            </w: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 原材料质量见证</w:t>
            </w:r>
          </w:p>
        </w:tc>
        <w:tc>
          <w:tcPr>
            <w:tcW w:w="1926" w:type="dxa"/>
            <w:gridSpan w:val="3"/>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ind w:firstLine="126" w:firstLineChars="50"/>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1.1原材料质保书</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1.2 机械性能试验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1.3 化学成份分析</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1.4 探伤报告</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2 关键部位加工尺寸及精度</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restart"/>
            <w:tcBorders>
              <w:top w:val="single" w:color="auto" w:sz="4" w:space="0"/>
              <w:left w:val="single" w:color="auto" w:sz="4" w:space="0"/>
              <w:right w:val="single" w:color="auto" w:sz="4" w:space="0"/>
            </w:tcBorders>
            <w:vAlign w:val="center"/>
          </w:tcPr>
          <w:p>
            <w:pPr>
              <w:spacing w:line="300" w:lineRule="auto"/>
              <w:jc w:val="center"/>
              <w:rPr>
                <w:sz w:val="24"/>
                <w:szCs w:val="24"/>
              </w:rPr>
            </w:pPr>
            <w:r>
              <w:rPr>
                <w:sz w:val="24"/>
                <w:szCs w:val="24"/>
              </w:rPr>
              <w:t>7</w:t>
            </w:r>
          </w:p>
        </w:tc>
        <w:tc>
          <w:tcPr>
            <w:tcW w:w="1824" w:type="dxa"/>
            <w:vMerge w:val="restart"/>
            <w:tcBorders>
              <w:top w:val="single" w:color="auto" w:sz="4" w:space="0"/>
              <w:left w:val="single" w:color="auto" w:sz="4" w:space="0"/>
              <w:right w:val="single" w:color="auto" w:sz="4" w:space="0"/>
            </w:tcBorders>
            <w:vAlign w:val="center"/>
          </w:tcPr>
          <w:p>
            <w:pPr>
              <w:widowControl/>
              <w:spacing w:line="300" w:lineRule="auto"/>
              <w:ind w:firstLine="126" w:firstLineChars="50"/>
              <w:jc w:val="center"/>
              <w:rPr>
                <w:spacing w:val="6"/>
                <w:kern w:val="32"/>
                <w:sz w:val="24"/>
                <w:szCs w:val="24"/>
              </w:rPr>
            </w:pPr>
            <w:r>
              <w:rPr>
                <w:spacing w:val="6"/>
                <w:kern w:val="32"/>
                <w:sz w:val="24"/>
                <w:szCs w:val="24"/>
              </w:rPr>
              <w:t>转子铜线</w:t>
            </w: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 原材料质量见证</w:t>
            </w:r>
          </w:p>
        </w:tc>
        <w:tc>
          <w:tcPr>
            <w:tcW w:w="1926" w:type="dxa"/>
            <w:gridSpan w:val="3"/>
            <w:tcBorders>
              <w:top w:val="single" w:color="auto" w:sz="4" w:space="0"/>
              <w:left w:val="single" w:color="auto" w:sz="4" w:space="0"/>
              <w:bottom w:val="single" w:color="auto" w:sz="4" w:space="0"/>
              <w:right w:val="single" w:color="auto" w:sz="4" w:space="0"/>
            </w:tcBorders>
            <w:vAlign w:val="center"/>
          </w:tcPr>
          <w:p>
            <w:pPr>
              <w:jc w:val="center"/>
              <w:rPr>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left w:val="single" w:color="auto" w:sz="4" w:space="0"/>
              <w:right w:val="single" w:color="auto" w:sz="4" w:space="0"/>
            </w:tcBorders>
            <w:vAlign w:val="center"/>
          </w:tcPr>
          <w:p>
            <w:pPr>
              <w:spacing w:line="300" w:lineRule="auto"/>
              <w:jc w:val="center"/>
              <w:rPr>
                <w:sz w:val="24"/>
                <w:szCs w:val="24"/>
              </w:rPr>
            </w:pPr>
          </w:p>
        </w:tc>
        <w:tc>
          <w:tcPr>
            <w:tcW w:w="1824" w:type="dxa"/>
            <w:vMerge w:val="continue"/>
            <w:tcBorders>
              <w:left w:val="single" w:color="auto" w:sz="4" w:space="0"/>
              <w:right w:val="single" w:color="auto" w:sz="4" w:space="0"/>
            </w:tcBorders>
            <w:vAlign w:val="center"/>
          </w:tcPr>
          <w:p>
            <w:pPr>
              <w:widowControl/>
              <w:spacing w:line="300" w:lineRule="auto"/>
              <w:ind w:firstLine="126" w:firstLineChars="50"/>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1.1 原材料质保书</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left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left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1.2 机械性能试验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left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left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1.3 化学成分分析</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left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left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1.4 导电率测量</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2 空心导线探伤检查</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pStyle w:val="42"/>
              <w:ind w:left="0"/>
              <w:rPr>
                <w:spacing w:val="6"/>
                <w:kern w:val="32"/>
                <w:sz w:val="24"/>
                <w:szCs w:val="24"/>
              </w:rPr>
            </w:pPr>
            <w:r>
              <w:rPr>
                <w:sz w:val="24"/>
                <w:szCs w:val="24"/>
              </w:rPr>
              <w:t>适用于水内冷发电机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36" w:hRule="atLeast"/>
        </w:trPr>
        <w:tc>
          <w:tcPr>
            <w:tcW w:w="714" w:type="dxa"/>
            <w:vMerge w:val="restart"/>
            <w:tcBorders>
              <w:top w:val="single" w:color="auto" w:sz="4" w:space="0"/>
              <w:left w:val="single" w:color="auto" w:sz="4" w:space="0"/>
              <w:right w:val="single" w:color="auto" w:sz="4" w:space="0"/>
            </w:tcBorders>
            <w:vAlign w:val="center"/>
          </w:tcPr>
          <w:p>
            <w:pPr>
              <w:jc w:val="center"/>
              <w:rPr>
                <w:sz w:val="24"/>
                <w:szCs w:val="24"/>
              </w:rPr>
            </w:pPr>
            <w:r>
              <w:rPr>
                <w:sz w:val="24"/>
                <w:szCs w:val="24"/>
              </w:rPr>
              <w:t>8</w:t>
            </w:r>
          </w:p>
        </w:tc>
        <w:tc>
          <w:tcPr>
            <w:tcW w:w="1824" w:type="dxa"/>
            <w:vMerge w:val="restart"/>
            <w:tcBorders>
              <w:top w:val="single" w:color="auto" w:sz="4" w:space="0"/>
              <w:left w:val="single" w:color="auto" w:sz="4" w:space="0"/>
              <w:right w:val="single" w:color="auto" w:sz="4" w:space="0"/>
            </w:tcBorders>
            <w:vAlign w:val="center"/>
          </w:tcPr>
          <w:p>
            <w:pPr>
              <w:pStyle w:val="42"/>
              <w:ind w:left="0"/>
              <w:jc w:val="center"/>
              <w:rPr>
                <w:sz w:val="24"/>
                <w:szCs w:val="24"/>
              </w:rPr>
            </w:pPr>
            <w:r>
              <w:rPr>
                <w:sz w:val="24"/>
                <w:szCs w:val="24"/>
              </w:rPr>
              <w:t>转子导电螺钉</w:t>
            </w: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1原材料质保书</w:t>
            </w:r>
          </w:p>
        </w:tc>
        <w:tc>
          <w:tcPr>
            <w:tcW w:w="710" w:type="dxa"/>
            <w:tcBorders>
              <w:top w:val="single" w:color="auto" w:sz="4" w:space="0"/>
              <w:left w:val="single" w:color="auto" w:sz="4" w:space="0"/>
              <w:bottom w:val="single" w:color="auto" w:sz="4" w:space="0"/>
              <w:right w:val="single" w:color="auto" w:sz="4" w:space="0"/>
            </w:tcBorders>
            <w:vAlign w:val="center"/>
          </w:tcPr>
          <w:p>
            <w:pPr>
              <w:rPr>
                <w:b/>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b/>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rPr>
                <w:b/>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0" w:hRule="atLeast"/>
        </w:trPr>
        <w:tc>
          <w:tcPr>
            <w:tcW w:w="714" w:type="dxa"/>
            <w:vMerge w:val="continue"/>
            <w:tcBorders>
              <w:left w:val="single" w:color="auto" w:sz="4" w:space="0"/>
              <w:bottom w:val="single" w:color="auto" w:sz="4" w:space="0"/>
              <w:right w:val="single" w:color="auto" w:sz="4" w:space="0"/>
            </w:tcBorders>
            <w:vAlign w:val="center"/>
          </w:tcPr>
          <w:p>
            <w:pPr>
              <w:jc w:val="center"/>
              <w:rPr>
                <w:sz w:val="24"/>
                <w:szCs w:val="24"/>
              </w:rPr>
            </w:pPr>
          </w:p>
        </w:tc>
        <w:tc>
          <w:tcPr>
            <w:tcW w:w="1824" w:type="dxa"/>
            <w:vMerge w:val="continue"/>
            <w:tcBorders>
              <w:left w:val="single" w:color="auto" w:sz="4" w:space="0"/>
              <w:bottom w:val="single" w:color="auto" w:sz="4" w:space="0"/>
              <w:right w:val="single" w:color="auto" w:sz="4" w:space="0"/>
            </w:tcBorders>
            <w:vAlign w:val="center"/>
          </w:tcPr>
          <w:p>
            <w:pPr>
              <w:pStyle w:val="42"/>
              <w:ind w:left="0"/>
              <w:jc w:val="center"/>
              <w:rPr>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2 探伤检查</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0" w:hRule="atLeast"/>
        </w:trPr>
        <w:tc>
          <w:tcPr>
            <w:tcW w:w="714" w:type="dxa"/>
            <w:vMerge w:val="restart"/>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9</w:t>
            </w:r>
          </w:p>
        </w:tc>
        <w:tc>
          <w:tcPr>
            <w:tcW w:w="1824" w:type="dxa"/>
            <w:vMerge w:val="restart"/>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r>
              <w:rPr>
                <w:sz w:val="24"/>
                <w:szCs w:val="24"/>
              </w:rPr>
              <w:t>硅钢片</w:t>
            </w: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 原材料质保书</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0" w:hRule="atLeas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2 毛刺检查</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tcPr>
          <w:p>
            <w:pPr>
              <w:tabs>
                <w:tab w:val="left" w:pos="520"/>
              </w:tabs>
              <w:adjustRightInd w:val="0"/>
              <w:snapToGrid w:val="0"/>
              <w:spacing w:line="300" w:lineRule="auto"/>
              <w:jc w:val="center"/>
              <w:rPr>
                <w:spacing w:val="6"/>
                <w:kern w:val="32"/>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tabs>
                <w:tab w:val="left" w:pos="520"/>
              </w:tabs>
              <w:adjustRightInd w:val="0"/>
              <w:snapToGrid w:val="0"/>
              <w:spacing w:line="300" w:lineRule="auto"/>
              <w:jc w:val="cente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0" w:hRule="atLeas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3 冲片漆膜外观、厚度检查</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tabs>
                <w:tab w:val="left" w:pos="520"/>
              </w:tabs>
              <w:adjustRightInd w:val="0"/>
              <w:snapToGrid w:val="0"/>
              <w:spacing w:line="300" w:lineRule="auto"/>
              <w:jc w:val="cente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0" w:hRule="atLeas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4表面绝缘电阻测量</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tabs>
                <w:tab w:val="left" w:pos="520"/>
              </w:tabs>
              <w:adjustRightInd w:val="0"/>
              <w:snapToGrid w:val="0"/>
              <w:spacing w:line="300" w:lineRule="auto"/>
              <w:jc w:val="cente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r>
              <w:rPr>
                <w:sz w:val="24"/>
                <w:szCs w:val="24"/>
              </w:rPr>
              <w:t>10</w:t>
            </w:r>
          </w:p>
        </w:tc>
        <w:tc>
          <w:tcPr>
            <w:tcW w:w="1824" w:type="dxa"/>
            <w:vMerge w:val="restart"/>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r>
              <w:rPr>
                <w:sz w:val="24"/>
                <w:szCs w:val="24"/>
              </w:rPr>
              <w:t>定子空心导线</w:t>
            </w:r>
            <w:r>
              <w:rPr>
                <w:rFonts w:hint="eastAsia"/>
                <w:sz w:val="24"/>
                <w:szCs w:val="24"/>
              </w:rPr>
              <w:t>（如有）</w:t>
            </w: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1质量见证</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1.1原材料质保书</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tcPr>
          <w:p>
            <w:pPr>
              <w:jc w:val="center"/>
              <w:rPr>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1.2机械性能试验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1.3 化学成分分析</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1.4 导电率测试</w:t>
            </w:r>
          </w:p>
        </w:tc>
        <w:tc>
          <w:tcPr>
            <w:tcW w:w="710" w:type="dxa"/>
            <w:tcBorders>
              <w:top w:val="single" w:color="auto" w:sz="4" w:space="0"/>
              <w:left w:val="single" w:color="auto" w:sz="4" w:space="0"/>
              <w:bottom w:val="single" w:color="auto" w:sz="4" w:space="0"/>
              <w:right w:val="single" w:color="auto" w:sz="4" w:space="0"/>
            </w:tcBorders>
            <w:vAlign w:val="center"/>
          </w:tcPr>
          <w:p>
            <w:pPr>
              <w:pStyle w:val="103"/>
              <w:widowControl w:val="0"/>
              <w:tabs>
                <w:tab w:val="left" w:pos="520"/>
              </w:tabs>
              <w:adjustRightInd w:val="0"/>
              <w:snapToGrid w:val="0"/>
              <w:spacing w:before="0" w:beforeAutospacing="0" w:after="0" w:afterAutospacing="0" w:line="300" w:lineRule="auto"/>
              <w:jc w:val="left"/>
              <w:rPr>
                <w:rFonts w:ascii="Times New Roman" w:hAnsi="Times New Roman"/>
                <w:spacing w:val="6"/>
                <w:kern w:val="32"/>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pStyle w:val="103"/>
              <w:widowControl w:val="0"/>
              <w:tabs>
                <w:tab w:val="left" w:pos="520"/>
              </w:tabs>
              <w:adjustRightInd w:val="0"/>
              <w:snapToGrid w:val="0"/>
              <w:spacing w:before="0" w:beforeAutospacing="0" w:after="0" w:afterAutospacing="0" w:line="300" w:lineRule="auto"/>
              <w:rPr>
                <w:rFonts w:ascii="Times New Roman" w:hAnsi="Times New Roman"/>
                <w:spacing w:val="6"/>
                <w:kern w:val="32"/>
                <w:szCs w:val="24"/>
              </w:rPr>
            </w:pPr>
          </w:p>
        </w:tc>
        <w:tc>
          <w:tcPr>
            <w:tcW w:w="710" w:type="dxa"/>
            <w:tcBorders>
              <w:top w:val="single" w:color="auto" w:sz="4" w:space="0"/>
              <w:left w:val="single" w:color="auto" w:sz="4" w:space="0"/>
              <w:bottom w:val="single" w:color="auto" w:sz="4" w:space="0"/>
              <w:right w:val="single" w:color="auto" w:sz="4" w:space="0"/>
            </w:tcBorders>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pStyle w:val="103"/>
              <w:widowControl w:val="0"/>
              <w:tabs>
                <w:tab w:val="left" w:pos="520"/>
              </w:tabs>
              <w:adjustRightInd w:val="0"/>
              <w:snapToGrid w:val="0"/>
              <w:spacing w:before="0" w:beforeAutospacing="0" w:after="0" w:afterAutospacing="0" w:line="300" w:lineRule="auto"/>
              <w:jc w:val="left"/>
              <w:rPr>
                <w:rFonts w:ascii="Times New Roman" w:hAnsi="Times New Roman"/>
                <w:spacing w:val="6"/>
                <w:kern w:val="32"/>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1" w:hRule="atLeas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1.5 空心导线探伤</w:t>
            </w:r>
          </w:p>
        </w:tc>
        <w:tc>
          <w:tcPr>
            <w:tcW w:w="710" w:type="dxa"/>
            <w:tcBorders>
              <w:top w:val="single" w:color="auto" w:sz="4" w:space="0"/>
              <w:left w:val="single" w:color="auto" w:sz="4" w:space="0"/>
              <w:bottom w:val="single" w:color="auto" w:sz="4" w:space="0"/>
              <w:right w:val="single" w:color="auto" w:sz="4" w:space="0"/>
            </w:tcBorders>
            <w:vAlign w:val="center"/>
          </w:tcPr>
          <w:p>
            <w:pPr>
              <w:pStyle w:val="103"/>
              <w:widowControl w:val="0"/>
              <w:tabs>
                <w:tab w:val="left" w:pos="520"/>
              </w:tabs>
              <w:adjustRightInd w:val="0"/>
              <w:snapToGrid w:val="0"/>
              <w:spacing w:before="0" w:beforeAutospacing="0" w:after="0" w:afterAutospacing="0" w:line="300" w:lineRule="auto"/>
              <w:jc w:val="left"/>
              <w:rPr>
                <w:rFonts w:ascii="Times New Roman" w:hAnsi="Times New Roman"/>
                <w:spacing w:val="6"/>
                <w:kern w:val="32"/>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pStyle w:val="103"/>
              <w:widowControl w:val="0"/>
              <w:tabs>
                <w:tab w:val="left" w:pos="520"/>
              </w:tabs>
              <w:adjustRightInd w:val="0"/>
              <w:snapToGrid w:val="0"/>
              <w:spacing w:before="0" w:beforeAutospacing="0" w:after="0" w:afterAutospacing="0" w:line="300" w:lineRule="auto"/>
              <w:rPr>
                <w:rFonts w:ascii="Times New Roman" w:hAnsi="Times New Roman"/>
                <w:spacing w:val="6"/>
                <w:kern w:val="32"/>
                <w:szCs w:val="24"/>
              </w:rPr>
            </w:pPr>
          </w:p>
        </w:tc>
        <w:tc>
          <w:tcPr>
            <w:tcW w:w="710" w:type="dxa"/>
            <w:tcBorders>
              <w:top w:val="single" w:color="auto" w:sz="4" w:space="0"/>
              <w:left w:val="single" w:color="auto" w:sz="4" w:space="0"/>
              <w:bottom w:val="single" w:color="auto" w:sz="4" w:space="0"/>
              <w:right w:val="single" w:color="auto" w:sz="4" w:space="0"/>
            </w:tcBorders>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pStyle w:val="42"/>
              <w:ind w:left="0"/>
              <w:rPr>
                <w:spacing w:val="6"/>
                <w:kern w:val="32"/>
                <w:sz w:val="24"/>
                <w:szCs w:val="24"/>
              </w:rPr>
            </w:pPr>
            <w:r>
              <w:rPr>
                <w:sz w:val="24"/>
                <w:szCs w:val="24"/>
              </w:rPr>
              <w:t>100%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14"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sz w:val="24"/>
                <w:szCs w:val="24"/>
              </w:rPr>
            </w:pPr>
            <w:r>
              <w:rPr>
                <w:sz w:val="24"/>
                <w:szCs w:val="24"/>
              </w:rPr>
              <w:t>11</w:t>
            </w:r>
          </w:p>
        </w:tc>
        <w:tc>
          <w:tcPr>
            <w:tcW w:w="1824" w:type="dxa"/>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r>
              <w:rPr>
                <w:sz w:val="24"/>
                <w:szCs w:val="24"/>
              </w:rPr>
              <w:t>定子实心铜线</w:t>
            </w: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实心铜线质保书</w:t>
            </w:r>
          </w:p>
        </w:tc>
        <w:tc>
          <w:tcPr>
            <w:tcW w:w="710" w:type="dxa"/>
            <w:tcBorders>
              <w:top w:val="single" w:color="auto" w:sz="4" w:space="0"/>
              <w:left w:val="single" w:color="auto" w:sz="4" w:space="0"/>
              <w:bottom w:val="single" w:color="auto" w:sz="4" w:space="0"/>
              <w:right w:val="single" w:color="auto" w:sz="4" w:space="0"/>
            </w:tcBorders>
            <w:vAlign w:val="center"/>
          </w:tcPr>
          <w:p>
            <w:pPr>
              <w:pStyle w:val="3"/>
              <w:spacing w:before="0" w:after="0" w:line="240" w:lineRule="auto"/>
              <w:rPr>
                <w:rFonts w:ascii="Times New Roman" w:hAnsi="Times New Roman"/>
                <w:b w:val="0"/>
                <w:kern w:val="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pStyle w:val="3"/>
              <w:spacing w:before="0" w:after="0" w:line="240" w:lineRule="auto"/>
              <w:rPr>
                <w:rFonts w:ascii="Times New Roman" w:hAnsi="Times New Roman"/>
                <w:b w:val="0"/>
                <w:kern w:val="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pStyle w:val="3"/>
              <w:spacing w:before="0" w:after="0" w:line="240" w:lineRule="auto"/>
              <w:rPr>
                <w:rFonts w:ascii="Times New Roman" w:hAnsi="Times New Roman"/>
                <w:b w:val="0"/>
                <w:kern w:val="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5" w:hRule="atLeast"/>
        </w:trPr>
        <w:tc>
          <w:tcPr>
            <w:tcW w:w="714" w:type="dxa"/>
            <w:vMerge w:val="restart"/>
            <w:tcBorders>
              <w:top w:val="single" w:color="auto" w:sz="4" w:space="0"/>
              <w:left w:val="single" w:color="auto" w:sz="4" w:space="0"/>
              <w:right w:val="single" w:color="auto" w:sz="4" w:space="0"/>
            </w:tcBorders>
            <w:vAlign w:val="center"/>
          </w:tcPr>
          <w:p>
            <w:pPr>
              <w:spacing w:line="300" w:lineRule="auto"/>
              <w:jc w:val="center"/>
              <w:rPr>
                <w:sz w:val="24"/>
                <w:szCs w:val="24"/>
              </w:rPr>
            </w:pPr>
            <w:r>
              <w:rPr>
                <w:sz w:val="24"/>
                <w:szCs w:val="24"/>
              </w:rPr>
              <w:t>12</w:t>
            </w:r>
          </w:p>
        </w:tc>
        <w:tc>
          <w:tcPr>
            <w:tcW w:w="1824" w:type="dxa"/>
            <w:vMerge w:val="restart"/>
            <w:tcBorders>
              <w:top w:val="single" w:color="auto" w:sz="4" w:space="0"/>
              <w:left w:val="single" w:color="auto" w:sz="4" w:space="0"/>
              <w:right w:val="single" w:color="auto" w:sz="4" w:space="0"/>
            </w:tcBorders>
            <w:vAlign w:val="center"/>
          </w:tcPr>
          <w:p>
            <w:pPr>
              <w:pStyle w:val="42"/>
              <w:ind w:left="0"/>
              <w:jc w:val="center"/>
              <w:rPr>
                <w:sz w:val="24"/>
                <w:szCs w:val="24"/>
              </w:rPr>
            </w:pPr>
            <w:r>
              <w:rPr>
                <w:sz w:val="24"/>
                <w:szCs w:val="24"/>
              </w:rPr>
              <w:t>定子引线导电铜管</w:t>
            </w: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1原材料质保书</w:t>
            </w:r>
          </w:p>
        </w:tc>
        <w:tc>
          <w:tcPr>
            <w:tcW w:w="710" w:type="dxa"/>
            <w:tcBorders>
              <w:top w:val="single" w:color="auto" w:sz="4" w:space="0"/>
              <w:left w:val="single" w:color="auto" w:sz="4" w:space="0"/>
              <w:bottom w:val="single" w:color="auto" w:sz="4" w:space="0"/>
              <w:right w:val="single" w:color="auto" w:sz="4" w:space="0"/>
            </w:tcBorders>
            <w:vAlign w:val="center"/>
          </w:tcPr>
          <w:p>
            <w:pPr>
              <w:pStyle w:val="3"/>
              <w:spacing w:before="0" w:after="0" w:line="240" w:lineRule="auto"/>
              <w:rPr>
                <w:rFonts w:ascii="Times New Roman" w:hAnsi="Times New Roman"/>
                <w:b w:val="0"/>
                <w:kern w:val="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pStyle w:val="3"/>
              <w:spacing w:before="0" w:after="0" w:line="240" w:lineRule="auto"/>
              <w:jc w:val="center"/>
              <w:rPr>
                <w:rFonts w:ascii="Times New Roman" w:hAnsi="Times New Roman"/>
                <w:kern w:val="2"/>
                <w:sz w:val="24"/>
                <w:szCs w:val="24"/>
              </w:rPr>
            </w:pPr>
          </w:p>
        </w:tc>
        <w:tc>
          <w:tcPr>
            <w:tcW w:w="710" w:type="dxa"/>
            <w:tcBorders>
              <w:top w:val="single" w:color="auto" w:sz="4" w:space="0"/>
              <w:left w:val="single" w:color="auto" w:sz="4" w:space="0"/>
              <w:bottom w:val="single" w:color="auto" w:sz="4" w:space="0"/>
              <w:right w:val="single" w:color="auto" w:sz="4" w:space="0"/>
            </w:tcBorders>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pStyle w:val="3"/>
              <w:spacing w:before="0" w:after="0" w:line="240" w:lineRule="auto"/>
              <w:rPr>
                <w:rFonts w:ascii="Times New Roman" w:hAnsi="Times New Roman"/>
                <w:kern w:val="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5" w:hRule="atLeast"/>
        </w:trPr>
        <w:tc>
          <w:tcPr>
            <w:tcW w:w="714" w:type="dxa"/>
            <w:vMerge w:val="continue"/>
            <w:tcBorders>
              <w:left w:val="single" w:color="auto" w:sz="4" w:space="0"/>
              <w:right w:val="single" w:color="auto" w:sz="4" w:space="0"/>
            </w:tcBorders>
            <w:vAlign w:val="center"/>
          </w:tcPr>
          <w:p>
            <w:pPr>
              <w:spacing w:line="300" w:lineRule="auto"/>
              <w:jc w:val="center"/>
              <w:rPr>
                <w:sz w:val="24"/>
                <w:szCs w:val="24"/>
              </w:rPr>
            </w:pPr>
          </w:p>
        </w:tc>
        <w:tc>
          <w:tcPr>
            <w:tcW w:w="1824" w:type="dxa"/>
            <w:vMerge w:val="continue"/>
            <w:tcBorders>
              <w:left w:val="single" w:color="auto" w:sz="4" w:space="0"/>
              <w:right w:val="single" w:color="auto" w:sz="4" w:space="0"/>
            </w:tcBorders>
            <w:vAlign w:val="center"/>
          </w:tcPr>
          <w:p>
            <w:pPr>
              <w:pStyle w:val="42"/>
              <w:ind w:left="0"/>
              <w:jc w:val="center"/>
              <w:rPr>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2铜管与水接头焊接面探伤检查</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tabs>
                <w:tab w:val="left" w:pos="520"/>
              </w:tabs>
              <w:adjustRightInd w:val="0"/>
              <w:snapToGrid w:val="0"/>
              <w:spacing w:line="300" w:lineRule="auto"/>
              <w:jc w:val="center"/>
              <w:rPr>
                <w:b/>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b/>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sz w:val="24"/>
                <w:szCs w:val="24"/>
              </w:rPr>
            </w:pPr>
            <w:r>
              <w:rPr>
                <w:sz w:val="24"/>
                <w:szCs w:val="24"/>
              </w:rPr>
              <w:t>13</w:t>
            </w:r>
          </w:p>
        </w:tc>
        <w:tc>
          <w:tcPr>
            <w:tcW w:w="1824" w:type="dxa"/>
            <w:vMerge w:val="restart"/>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r>
              <w:rPr>
                <w:sz w:val="24"/>
                <w:szCs w:val="24"/>
              </w:rPr>
              <w:t>转子</w:t>
            </w: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 槽衬装配质量检查</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tabs>
                <w:tab w:val="left" w:pos="520"/>
              </w:tabs>
              <w:adjustRightInd w:val="0"/>
              <w:snapToGrid w:val="0"/>
              <w:spacing w:line="300" w:lineRule="auto"/>
              <w:jc w:val="cente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2 绕组下线及焊接检查</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tabs>
                <w:tab w:val="left" w:pos="520"/>
              </w:tabs>
              <w:adjustRightInd w:val="0"/>
              <w:snapToGrid w:val="0"/>
              <w:spacing w:line="300" w:lineRule="auto"/>
              <w:jc w:val="cente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3槽楔装配质量检查</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tabs>
                <w:tab w:val="left" w:pos="520"/>
              </w:tabs>
              <w:adjustRightInd w:val="0"/>
              <w:snapToGrid w:val="0"/>
              <w:spacing w:line="300" w:lineRule="auto"/>
              <w:jc w:val="cente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4转子通风孔检查及通风试验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tabs>
                <w:tab w:val="left" w:pos="520"/>
              </w:tabs>
              <w:adjustRightInd w:val="0"/>
              <w:snapToGrid w:val="0"/>
              <w:spacing w:line="300" w:lineRule="auto"/>
              <w:jc w:val="cente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tcPr>
          <w:p>
            <w:pPr>
              <w:tabs>
                <w:tab w:val="left" w:pos="520"/>
              </w:tabs>
              <w:adjustRightInd w:val="0"/>
              <w:snapToGrid w:val="0"/>
              <w:spacing w:line="300" w:lineRule="auto"/>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5绕组绝缘电阻测量</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tabs>
                <w:tab w:val="left" w:pos="520"/>
              </w:tabs>
              <w:adjustRightInd w:val="0"/>
              <w:snapToGrid w:val="0"/>
              <w:spacing w:line="300" w:lineRule="auto"/>
              <w:jc w:val="cente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6绕组冷态直流电阻测定</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tabs>
                <w:tab w:val="left" w:pos="520"/>
              </w:tabs>
              <w:adjustRightInd w:val="0"/>
              <w:snapToGrid w:val="0"/>
              <w:spacing w:line="300" w:lineRule="auto"/>
              <w:jc w:val="cente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7绕组工频耐压试验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tabs>
                <w:tab w:val="left" w:pos="520"/>
              </w:tabs>
              <w:adjustRightInd w:val="0"/>
              <w:snapToGrid w:val="0"/>
              <w:spacing w:line="300" w:lineRule="auto"/>
              <w:jc w:val="cente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8转子绕组匝间短路试验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9转子引线气密试验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10转子动平衡试验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11超速试验</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12轴系动平衡试验</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sz w:val="24"/>
                <w:szCs w:val="24"/>
              </w:rPr>
            </w:pPr>
            <w:r>
              <w:rPr>
                <w:sz w:val="24"/>
                <w:szCs w:val="24"/>
              </w:rPr>
              <w:t>14</w:t>
            </w:r>
          </w:p>
        </w:tc>
        <w:tc>
          <w:tcPr>
            <w:tcW w:w="1824" w:type="dxa"/>
            <w:vMerge w:val="restart"/>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r>
              <w:rPr>
                <w:sz w:val="24"/>
                <w:szCs w:val="24"/>
              </w:rPr>
              <w:t>定子线棒</w:t>
            </w: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1线棒绝缘整体性检查</w:t>
            </w:r>
          </w:p>
        </w:tc>
        <w:tc>
          <w:tcPr>
            <w:tcW w:w="710" w:type="dxa"/>
            <w:tcBorders>
              <w:top w:val="single" w:color="auto" w:sz="4" w:space="0"/>
              <w:left w:val="single" w:color="auto" w:sz="4" w:space="0"/>
              <w:bottom w:val="single" w:color="auto" w:sz="4" w:space="0"/>
              <w:right w:val="single" w:color="auto" w:sz="4" w:space="0"/>
            </w:tcBorders>
            <w:vAlign w:val="center"/>
          </w:tcPr>
          <w:p>
            <w:pPr>
              <w:pStyle w:val="103"/>
              <w:widowControl w:val="0"/>
              <w:tabs>
                <w:tab w:val="left" w:pos="520"/>
              </w:tabs>
              <w:adjustRightInd w:val="0"/>
              <w:snapToGrid w:val="0"/>
              <w:spacing w:before="0" w:beforeAutospacing="0" w:after="0" w:afterAutospacing="0" w:line="300" w:lineRule="auto"/>
              <w:rPr>
                <w:rFonts w:ascii="Times New Roman" w:hAnsi="Times New Roman"/>
                <w:spacing w:val="6"/>
                <w:kern w:val="32"/>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vAlign w:val="center"/>
          </w:tcPr>
          <w:p>
            <w:pPr>
              <w:pStyle w:val="103"/>
              <w:widowControl w:val="0"/>
              <w:tabs>
                <w:tab w:val="left" w:pos="520"/>
              </w:tabs>
              <w:adjustRightInd w:val="0"/>
              <w:snapToGrid w:val="0"/>
              <w:spacing w:before="0" w:beforeAutospacing="0" w:after="0" w:afterAutospacing="0" w:line="300" w:lineRule="auto"/>
              <w:rPr>
                <w:rFonts w:ascii="Times New Roman" w:hAnsi="Times New Roman"/>
                <w:spacing w:val="6"/>
                <w:kern w:val="32"/>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pStyle w:val="103"/>
              <w:widowControl w:val="0"/>
              <w:tabs>
                <w:tab w:val="left" w:pos="520"/>
              </w:tabs>
              <w:adjustRightInd w:val="0"/>
              <w:snapToGrid w:val="0"/>
              <w:spacing w:before="0" w:beforeAutospacing="0" w:after="0" w:afterAutospacing="0" w:line="300" w:lineRule="auto"/>
              <w:jc w:val="left"/>
              <w:rPr>
                <w:rFonts w:ascii="Times New Roman" w:hAnsi="Times New Roman"/>
                <w:spacing w:val="6"/>
                <w:kern w:val="32"/>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2线棒密封性检验</w:t>
            </w:r>
          </w:p>
        </w:tc>
        <w:tc>
          <w:tcPr>
            <w:tcW w:w="710" w:type="dxa"/>
            <w:tcBorders>
              <w:top w:val="single" w:color="auto" w:sz="4" w:space="0"/>
              <w:left w:val="single" w:color="auto" w:sz="4" w:space="0"/>
              <w:bottom w:val="single" w:color="auto" w:sz="4" w:space="0"/>
              <w:right w:val="single" w:color="auto" w:sz="4" w:space="0"/>
            </w:tcBorders>
            <w:vAlign w:val="center"/>
          </w:tcPr>
          <w:p>
            <w:pPr>
              <w:pStyle w:val="103"/>
              <w:widowControl w:val="0"/>
              <w:tabs>
                <w:tab w:val="left" w:pos="520"/>
              </w:tabs>
              <w:adjustRightInd w:val="0"/>
              <w:snapToGrid w:val="0"/>
              <w:spacing w:before="0" w:beforeAutospacing="0" w:after="0" w:afterAutospacing="0" w:line="300" w:lineRule="auto"/>
              <w:rPr>
                <w:rFonts w:ascii="Times New Roman" w:hAnsi="Times New Roman"/>
                <w:spacing w:val="6"/>
                <w:kern w:val="32"/>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vAlign w:val="center"/>
          </w:tcPr>
          <w:p>
            <w:pPr>
              <w:pStyle w:val="103"/>
              <w:widowControl w:val="0"/>
              <w:tabs>
                <w:tab w:val="left" w:pos="520"/>
              </w:tabs>
              <w:adjustRightInd w:val="0"/>
              <w:snapToGrid w:val="0"/>
              <w:spacing w:before="0" w:beforeAutospacing="0" w:after="0" w:afterAutospacing="0" w:line="300" w:lineRule="auto"/>
              <w:rPr>
                <w:rFonts w:ascii="Times New Roman" w:hAnsi="Times New Roman"/>
                <w:spacing w:val="6"/>
                <w:kern w:val="32"/>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pStyle w:val="103"/>
              <w:widowControl w:val="0"/>
              <w:tabs>
                <w:tab w:val="left" w:pos="520"/>
              </w:tabs>
              <w:adjustRightInd w:val="0"/>
              <w:snapToGrid w:val="0"/>
              <w:spacing w:before="0" w:beforeAutospacing="0" w:after="0" w:afterAutospacing="0" w:line="300" w:lineRule="auto"/>
              <w:jc w:val="left"/>
              <w:rPr>
                <w:rFonts w:ascii="Times New Roman" w:hAnsi="Times New Roman"/>
                <w:spacing w:val="6"/>
                <w:kern w:val="32"/>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3线棒通流性检验</w:t>
            </w:r>
          </w:p>
        </w:tc>
        <w:tc>
          <w:tcPr>
            <w:tcW w:w="710" w:type="dxa"/>
            <w:tcBorders>
              <w:top w:val="single" w:color="auto" w:sz="4" w:space="0"/>
              <w:left w:val="single" w:color="auto" w:sz="4" w:space="0"/>
              <w:bottom w:val="single" w:color="auto" w:sz="4" w:space="0"/>
              <w:right w:val="single" w:color="auto" w:sz="4" w:space="0"/>
            </w:tcBorders>
            <w:vAlign w:val="center"/>
          </w:tcPr>
          <w:p>
            <w:pPr>
              <w:pStyle w:val="103"/>
              <w:widowControl w:val="0"/>
              <w:tabs>
                <w:tab w:val="left" w:pos="520"/>
              </w:tabs>
              <w:adjustRightInd w:val="0"/>
              <w:snapToGrid w:val="0"/>
              <w:spacing w:before="0" w:beforeAutospacing="0" w:after="0" w:afterAutospacing="0" w:line="300" w:lineRule="auto"/>
              <w:rPr>
                <w:rFonts w:ascii="Times New Roman" w:hAnsi="Times New Roman"/>
                <w:spacing w:val="6"/>
                <w:kern w:val="32"/>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vAlign w:val="center"/>
          </w:tcPr>
          <w:p>
            <w:pPr>
              <w:pStyle w:val="103"/>
              <w:widowControl w:val="0"/>
              <w:tabs>
                <w:tab w:val="left" w:pos="520"/>
              </w:tabs>
              <w:adjustRightInd w:val="0"/>
              <w:snapToGrid w:val="0"/>
              <w:spacing w:before="0" w:beforeAutospacing="0" w:after="0" w:afterAutospacing="0" w:line="300" w:lineRule="auto"/>
              <w:rPr>
                <w:rFonts w:ascii="Times New Roman" w:hAnsi="Times New Roman"/>
                <w:spacing w:val="6"/>
                <w:kern w:val="32"/>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pStyle w:val="103"/>
              <w:widowControl w:val="0"/>
              <w:tabs>
                <w:tab w:val="left" w:pos="520"/>
              </w:tabs>
              <w:adjustRightInd w:val="0"/>
              <w:snapToGrid w:val="0"/>
              <w:spacing w:before="0" w:beforeAutospacing="0" w:after="0" w:afterAutospacing="0" w:line="300" w:lineRule="auto"/>
              <w:jc w:val="left"/>
              <w:rPr>
                <w:rFonts w:ascii="Times New Roman" w:hAnsi="Times New Roman"/>
                <w:spacing w:val="6"/>
                <w:kern w:val="32"/>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4线棒绝缘介质损耗因数测定</w:t>
            </w:r>
          </w:p>
        </w:tc>
        <w:tc>
          <w:tcPr>
            <w:tcW w:w="710" w:type="dxa"/>
            <w:tcBorders>
              <w:top w:val="single" w:color="auto" w:sz="4" w:space="0"/>
              <w:left w:val="single" w:color="auto" w:sz="4" w:space="0"/>
              <w:bottom w:val="single" w:color="auto" w:sz="4" w:space="0"/>
              <w:right w:val="single" w:color="auto" w:sz="4" w:space="0"/>
            </w:tcBorders>
            <w:vAlign w:val="center"/>
          </w:tcPr>
          <w:p>
            <w:pPr>
              <w:pStyle w:val="103"/>
              <w:widowControl w:val="0"/>
              <w:tabs>
                <w:tab w:val="left" w:pos="520"/>
              </w:tabs>
              <w:adjustRightInd w:val="0"/>
              <w:snapToGrid w:val="0"/>
              <w:spacing w:before="0" w:beforeAutospacing="0" w:after="0" w:afterAutospacing="0" w:line="300" w:lineRule="auto"/>
              <w:rPr>
                <w:rFonts w:ascii="Times New Roman" w:hAnsi="Times New Roman"/>
                <w:spacing w:val="6"/>
                <w:kern w:val="32"/>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vAlign w:val="center"/>
          </w:tcPr>
          <w:p>
            <w:pPr>
              <w:pStyle w:val="103"/>
              <w:widowControl w:val="0"/>
              <w:tabs>
                <w:tab w:val="left" w:pos="520"/>
              </w:tabs>
              <w:adjustRightInd w:val="0"/>
              <w:snapToGrid w:val="0"/>
              <w:spacing w:before="0" w:beforeAutospacing="0" w:after="0" w:afterAutospacing="0" w:line="300" w:lineRule="auto"/>
              <w:rPr>
                <w:rFonts w:ascii="Times New Roman" w:hAnsi="Times New Roman"/>
                <w:spacing w:val="6"/>
                <w:kern w:val="32"/>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pStyle w:val="42"/>
              <w:ind w:left="0"/>
              <w:rPr>
                <w:spacing w:val="6"/>
                <w:kern w:val="32"/>
                <w:sz w:val="24"/>
                <w:szCs w:val="24"/>
              </w:rPr>
            </w:pPr>
            <w:r>
              <w:rPr>
                <w:sz w:val="24"/>
                <w:szCs w:val="24"/>
              </w:rPr>
              <w:t>抽样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pStyle w:val="42"/>
              <w:ind w:left="0"/>
              <w:rPr>
                <w:sz w:val="24"/>
                <w:szCs w:val="24"/>
              </w:rPr>
            </w:pPr>
            <w:r>
              <w:rPr>
                <w:sz w:val="24"/>
                <w:szCs w:val="24"/>
              </w:rPr>
              <w:t>5工频耐压试验</w:t>
            </w:r>
          </w:p>
        </w:tc>
        <w:tc>
          <w:tcPr>
            <w:tcW w:w="710" w:type="dxa"/>
            <w:tcBorders>
              <w:top w:val="single" w:color="auto" w:sz="4" w:space="0"/>
              <w:left w:val="single" w:color="auto" w:sz="4" w:space="0"/>
              <w:bottom w:val="single" w:color="auto" w:sz="4" w:space="0"/>
              <w:right w:val="single" w:color="auto" w:sz="4" w:space="0"/>
            </w:tcBorders>
            <w:vAlign w:val="center"/>
          </w:tcPr>
          <w:p>
            <w:pPr>
              <w:pStyle w:val="42"/>
              <w:rPr>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vAlign w:val="center"/>
          </w:tcPr>
          <w:p>
            <w:pPr>
              <w:pStyle w:val="42"/>
              <w:rPr>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pStyle w:val="42"/>
              <w:rPr>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restart"/>
            <w:tcBorders>
              <w:top w:val="single" w:color="auto" w:sz="4" w:space="0"/>
              <w:left w:val="single" w:color="auto" w:sz="4" w:space="0"/>
              <w:right w:val="single" w:color="auto" w:sz="4" w:space="0"/>
            </w:tcBorders>
            <w:vAlign w:val="center"/>
          </w:tcPr>
          <w:p>
            <w:pPr>
              <w:jc w:val="center"/>
              <w:rPr>
                <w:sz w:val="24"/>
                <w:szCs w:val="24"/>
              </w:rPr>
            </w:pPr>
            <w:r>
              <w:rPr>
                <w:sz w:val="24"/>
                <w:szCs w:val="24"/>
              </w:rPr>
              <w:t>15</w:t>
            </w:r>
          </w:p>
        </w:tc>
        <w:tc>
          <w:tcPr>
            <w:tcW w:w="1824" w:type="dxa"/>
            <w:vMerge w:val="restart"/>
            <w:tcBorders>
              <w:top w:val="single" w:color="auto" w:sz="4" w:space="0"/>
              <w:left w:val="single" w:color="auto" w:sz="4" w:space="0"/>
              <w:right w:val="single" w:color="auto" w:sz="4" w:space="0"/>
            </w:tcBorders>
            <w:vAlign w:val="center"/>
          </w:tcPr>
          <w:p>
            <w:pPr>
              <w:pStyle w:val="42"/>
              <w:ind w:left="0"/>
              <w:jc w:val="center"/>
              <w:rPr>
                <w:sz w:val="24"/>
                <w:szCs w:val="24"/>
              </w:rPr>
            </w:pPr>
            <w:r>
              <w:rPr>
                <w:sz w:val="24"/>
                <w:szCs w:val="24"/>
              </w:rPr>
              <w:t>定子</w:t>
            </w:r>
          </w:p>
        </w:tc>
        <w:tc>
          <w:tcPr>
            <w:tcW w:w="334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1铁心尺寸及压紧量检查</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left w:val="single" w:color="auto" w:sz="4" w:space="0"/>
              <w:right w:val="single" w:color="auto" w:sz="4" w:space="0"/>
            </w:tcBorders>
            <w:vAlign w:val="center"/>
          </w:tcPr>
          <w:p>
            <w:pPr>
              <w:jc w:val="center"/>
              <w:rPr>
                <w:b/>
                <w:sz w:val="24"/>
                <w:szCs w:val="24"/>
              </w:rPr>
            </w:pPr>
          </w:p>
        </w:tc>
        <w:tc>
          <w:tcPr>
            <w:tcW w:w="1824" w:type="dxa"/>
            <w:vMerge w:val="continue"/>
            <w:tcBorders>
              <w:left w:val="single" w:color="auto" w:sz="4" w:space="0"/>
              <w:right w:val="single" w:color="auto" w:sz="4" w:space="0"/>
            </w:tcBorders>
            <w:vAlign w:val="center"/>
          </w:tcPr>
          <w:p>
            <w:pPr>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r>
              <w:rPr>
                <w:spacing w:val="6"/>
                <w:kern w:val="32"/>
                <w:sz w:val="24"/>
                <w:szCs w:val="24"/>
              </w:rPr>
              <w:t>2测温元件直流电阻和绝缘电阻测定</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left w:val="single" w:color="auto" w:sz="4" w:space="0"/>
              <w:right w:val="single" w:color="auto" w:sz="4" w:space="0"/>
            </w:tcBorders>
            <w:vAlign w:val="center"/>
          </w:tcPr>
          <w:p>
            <w:pPr>
              <w:jc w:val="center"/>
              <w:rPr>
                <w:b/>
                <w:sz w:val="24"/>
                <w:szCs w:val="24"/>
              </w:rPr>
            </w:pPr>
          </w:p>
        </w:tc>
        <w:tc>
          <w:tcPr>
            <w:tcW w:w="1824" w:type="dxa"/>
            <w:vMerge w:val="continue"/>
            <w:tcBorders>
              <w:left w:val="single" w:color="auto" w:sz="4" w:space="0"/>
              <w:right w:val="single" w:color="auto" w:sz="4" w:space="0"/>
            </w:tcBorders>
            <w:vAlign w:val="center"/>
          </w:tcPr>
          <w:p>
            <w:pPr>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r>
              <w:rPr>
                <w:spacing w:val="6"/>
                <w:kern w:val="32"/>
                <w:sz w:val="24"/>
                <w:szCs w:val="24"/>
              </w:rPr>
              <w:t>3铁心发热损耗试验</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left w:val="single" w:color="auto" w:sz="4" w:space="0"/>
              <w:right w:val="single" w:color="auto" w:sz="4" w:space="0"/>
            </w:tcBorders>
            <w:vAlign w:val="center"/>
          </w:tcPr>
          <w:p>
            <w:pPr>
              <w:jc w:val="center"/>
              <w:rPr>
                <w:b/>
                <w:sz w:val="24"/>
                <w:szCs w:val="24"/>
              </w:rPr>
            </w:pPr>
          </w:p>
        </w:tc>
        <w:tc>
          <w:tcPr>
            <w:tcW w:w="1824" w:type="dxa"/>
            <w:vMerge w:val="continue"/>
            <w:tcBorders>
              <w:left w:val="single" w:color="auto" w:sz="4" w:space="0"/>
              <w:right w:val="single" w:color="auto" w:sz="4" w:space="0"/>
            </w:tcBorders>
            <w:vAlign w:val="center"/>
          </w:tcPr>
          <w:p>
            <w:pPr>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r>
              <w:rPr>
                <w:spacing w:val="6"/>
                <w:kern w:val="32"/>
                <w:sz w:val="24"/>
                <w:szCs w:val="24"/>
              </w:rPr>
              <w:t>4线圈焊接质量检查</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left w:val="single" w:color="auto" w:sz="4" w:space="0"/>
              <w:right w:val="single" w:color="auto" w:sz="4" w:space="0"/>
            </w:tcBorders>
            <w:vAlign w:val="center"/>
          </w:tcPr>
          <w:p>
            <w:pPr>
              <w:jc w:val="center"/>
              <w:rPr>
                <w:b/>
                <w:sz w:val="24"/>
                <w:szCs w:val="24"/>
              </w:rPr>
            </w:pPr>
          </w:p>
        </w:tc>
        <w:tc>
          <w:tcPr>
            <w:tcW w:w="1824" w:type="dxa"/>
            <w:vMerge w:val="continue"/>
            <w:tcBorders>
              <w:left w:val="single" w:color="auto" w:sz="4" w:space="0"/>
              <w:right w:val="single" w:color="auto" w:sz="4" w:space="0"/>
            </w:tcBorders>
            <w:vAlign w:val="center"/>
          </w:tcPr>
          <w:p>
            <w:pPr>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r>
              <w:rPr>
                <w:spacing w:val="6"/>
                <w:kern w:val="32"/>
                <w:sz w:val="24"/>
                <w:szCs w:val="24"/>
              </w:rPr>
              <w:t>5定子内部水系统流通性检验</w:t>
            </w:r>
            <w:r>
              <w:rPr>
                <w:rFonts w:hint="eastAsia"/>
                <w:spacing w:val="6"/>
                <w:kern w:val="32"/>
                <w:sz w:val="24"/>
                <w:szCs w:val="24"/>
              </w:rPr>
              <w:t>（如有）</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left w:val="single" w:color="auto" w:sz="4" w:space="0"/>
              <w:right w:val="single" w:color="auto" w:sz="4" w:space="0"/>
            </w:tcBorders>
            <w:vAlign w:val="center"/>
          </w:tcPr>
          <w:p>
            <w:pPr>
              <w:jc w:val="center"/>
              <w:rPr>
                <w:b/>
                <w:sz w:val="24"/>
                <w:szCs w:val="24"/>
              </w:rPr>
            </w:pPr>
          </w:p>
        </w:tc>
        <w:tc>
          <w:tcPr>
            <w:tcW w:w="1824" w:type="dxa"/>
            <w:vMerge w:val="continue"/>
            <w:tcBorders>
              <w:left w:val="single" w:color="auto" w:sz="4" w:space="0"/>
              <w:right w:val="single" w:color="auto" w:sz="4" w:space="0"/>
            </w:tcBorders>
            <w:vAlign w:val="center"/>
          </w:tcPr>
          <w:p>
            <w:pPr>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r>
              <w:rPr>
                <w:spacing w:val="6"/>
                <w:kern w:val="32"/>
                <w:sz w:val="24"/>
                <w:szCs w:val="24"/>
              </w:rPr>
              <w:t>6定子内部水系统</w:t>
            </w:r>
            <w:r>
              <w:rPr>
                <w:sz w:val="24"/>
                <w:szCs w:val="24"/>
              </w:rPr>
              <w:t>密封性</w:t>
            </w:r>
            <w:r>
              <w:rPr>
                <w:spacing w:val="6"/>
                <w:kern w:val="32"/>
                <w:sz w:val="24"/>
                <w:szCs w:val="24"/>
              </w:rPr>
              <w:t>试验</w:t>
            </w:r>
            <w:r>
              <w:rPr>
                <w:rFonts w:hint="eastAsia"/>
                <w:spacing w:val="6"/>
                <w:kern w:val="32"/>
                <w:sz w:val="24"/>
                <w:szCs w:val="24"/>
              </w:rPr>
              <w:t>（如有）</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left w:val="single" w:color="auto" w:sz="4" w:space="0"/>
              <w:right w:val="single" w:color="auto" w:sz="4" w:space="0"/>
            </w:tcBorders>
            <w:vAlign w:val="center"/>
          </w:tcPr>
          <w:p>
            <w:pPr>
              <w:jc w:val="center"/>
              <w:rPr>
                <w:b/>
                <w:sz w:val="24"/>
                <w:szCs w:val="24"/>
              </w:rPr>
            </w:pPr>
          </w:p>
        </w:tc>
        <w:tc>
          <w:tcPr>
            <w:tcW w:w="1824" w:type="dxa"/>
            <w:vMerge w:val="continue"/>
            <w:tcBorders>
              <w:left w:val="single" w:color="auto" w:sz="4" w:space="0"/>
              <w:right w:val="single" w:color="auto" w:sz="4" w:space="0"/>
            </w:tcBorders>
            <w:vAlign w:val="center"/>
          </w:tcPr>
          <w:p>
            <w:pPr>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r>
              <w:rPr>
                <w:spacing w:val="6"/>
                <w:kern w:val="32"/>
                <w:sz w:val="24"/>
                <w:szCs w:val="24"/>
              </w:rPr>
              <w:t>7绕组冷态直流电阻</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left w:val="single" w:color="auto" w:sz="4" w:space="0"/>
              <w:right w:val="single" w:color="auto" w:sz="4" w:space="0"/>
            </w:tcBorders>
            <w:vAlign w:val="center"/>
          </w:tcPr>
          <w:p>
            <w:pPr>
              <w:jc w:val="center"/>
              <w:rPr>
                <w:b/>
                <w:sz w:val="24"/>
                <w:szCs w:val="24"/>
              </w:rPr>
            </w:pPr>
          </w:p>
        </w:tc>
        <w:tc>
          <w:tcPr>
            <w:tcW w:w="1824" w:type="dxa"/>
            <w:vMerge w:val="continue"/>
            <w:tcBorders>
              <w:left w:val="single" w:color="auto" w:sz="4" w:space="0"/>
              <w:right w:val="single" w:color="auto" w:sz="4" w:space="0"/>
            </w:tcBorders>
            <w:vAlign w:val="center"/>
          </w:tcPr>
          <w:p>
            <w:pPr>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r>
              <w:rPr>
                <w:spacing w:val="6"/>
                <w:kern w:val="32"/>
                <w:sz w:val="24"/>
                <w:szCs w:val="24"/>
              </w:rPr>
              <w:t>8绕组绝缘电阻测定</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left w:val="single" w:color="auto" w:sz="4" w:space="0"/>
              <w:right w:val="single" w:color="auto" w:sz="4" w:space="0"/>
            </w:tcBorders>
            <w:vAlign w:val="center"/>
          </w:tcPr>
          <w:p>
            <w:pPr>
              <w:jc w:val="center"/>
              <w:rPr>
                <w:b/>
                <w:sz w:val="24"/>
                <w:szCs w:val="24"/>
              </w:rPr>
            </w:pPr>
          </w:p>
        </w:tc>
        <w:tc>
          <w:tcPr>
            <w:tcW w:w="1824" w:type="dxa"/>
            <w:vMerge w:val="continue"/>
            <w:tcBorders>
              <w:left w:val="single" w:color="auto" w:sz="4" w:space="0"/>
              <w:right w:val="single" w:color="auto" w:sz="4" w:space="0"/>
            </w:tcBorders>
            <w:vAlign w:val="center"/>
          </w:tcPr>
          <w:p>
            <w:pPr>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r>
              <w:rPr>
                <w:spacing w:val="6"/>
                <w:kern w:val="32"/>
                <w:sz w:val="24"/>
                <w:szCs w:val="24"/>
              </w:rPr>
              <w:t>9绕组直流耐压及泄漏电流试验</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left w:val="single" w:color="auto" w:sz="4" w:space="0"/>
              <w:right w:val="single" w:color="auto" w:sz="4" w:space="0"/>
            </w:tcBorders>
            <w:vAlign w:val="center"/>
          </w:tcPr>
          <w:p>
            <w:pPr>
              <w:jc w:val="center"/>
              <w:rPr>
                <w:b/>
                <w:sz w:val="24"/>
                <w:szCs w:val="24"/>
              </w:rPr>
            </w:pPr>
          </w:p>
        </w:tc>
        <w:tc>
          <w:tcPr>
            <w:tcW w:w="1824" w:type="dxa"/>
            <w:vMerge w:val="continue"/>
            <w:tcBorders>
              <w:left w:val="single" w:color="auto" w:sz="4" w:space="0"/>
              <w:right w:val="single" w:color="auto" w:sz="4" w:space="0"/>
            </w:tcBorders>
            <w:vAlign w:val="center"/>
          </w:tcPr>
          <w:p>
            <w:pPr>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r>
              <w:rPr>
                <w:spacing w:val="6"/>
                <w:kern w:val="32"/>
                <w:sz w:val="24"/>
                <w:szCs w:val="24"/>
              </w:rPr>
              <w:t>10绕组工频耐压试验</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r>
              <w:rPr>
                <w:sz w:val="24"/>
                <w:szCs w:val="24"/>
              </w:rPr>
              <w:t>√</w:t>
            </w: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p>
        </w:tc>
        <w:tc>
          <w:tcPr>
            <w:tcW w:w="710" w:type="dxa"/>
            <w:tcBorders>
              <w:top w:val="single" w:color="auto" w:sz="4" w:space="0"/>
              <w:left w:val="single" w:color="auto" w:sz="4" w:space="0"/>
              <w:bottom w:val="single" w:color="auto" w:sz="4" w:space="0"/>
              <w:right w:val="single" w:color="auto" w:sz="4" w:space="0"/>
            </w:tcBorders>
          </w:tcPr>
          <w:p>
            <w:pP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32" w:hRule="atLeast"/>
        </w:trPr>
        <w:tc>
          <w:tcPr>
            <w:tcW w:w="714" w:type="dxa"/>
            <w:vMerge w:val="continue"/>
            <w:tcBorders>
              <w:left w:val="single" w:color="auto" w:sz="4" w:space="0"/>
              <w:right w:val="single" w:color="auto" w:sz="4" w:space="0"/>
            </w:tcBorders>
            <w:vAlign w:val="center"/>
          </w:tcPr>
          <w:p>
            <w:pPr>
              <w:jc w:val="center"/>
              <w:rPr>
                <w:b/>
                <w:sz w:val="24"/>
                <w:szCs w:val="24"/>
              </w:rPr>
            </w:pPr>
          </w:p>
        </w:tc>
        <w:tc>
          <w:tcPr>
            <w:tcW w:w="1824" w:type="dxa"/>
            <w:vMerge w:val="continue"/>
            <w:tcBorders>
              <w:left w:val="single" w:color="auto" w:sz="4" w:space="0"/>
              <w:right w:val="single" w:color="auto" w:sz="4" w:space="0"/>
            </w:tcBorders>
            <w:vAlign w:val="center"/>
          </w:tcPr>
          <w:p>
            <w:pPr>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jc w:val="left"/>
              <w:rPr>
                <w:spacing w:val="6"/>
                <w:kern w:val="32"/>
                <w:sz w:val="24"/>
                <w:szCs w:val="24"/>
              </w:rPr>
            </w:pPr>
            <w:r>
              <w:rPr>
                <w:spacing w:val="6"/>
                <w:kern w:val="32"/>
                <w:sz w:val="24"/>
                <w:szCs w:val="24"/>
              </w:rPr>
              <w:t>11绕组端部手包绝缘直流泄漏电流试验</w:t>
            </w:r>
          </w:p>
        </w:tc>
        <w:tc>
          <w:tcPr>
            <w:tcW w:w="710" w:type="dxa"/>
            <w:tcBorders>
              <w:top w:val="single" w:color="auto" w:sz="4" w:space="0"/>
              <w:left w:val="single" w:color="auto" w:sz="4" w:space="0"/>
              <w:bottom w:val="single" w:color="auto" w:sz="4" w:space="0"/>
              <w:right w:val="single" w:color="auto" w:sz="4" w:space="0"/>
            </w:tcBorders>
            <w:vAlign w:val="center"/>
          </w:tcPr>
          <w:p>
            <w:pPr>
              <w:rPr>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rPr>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39" w:hRule="atLeast"/>
        </w:trPr>
        <w:tc>
          <w:tcPr>
            <w:tcW w:w="714" w:type="dxa"/>
            <w:vMerge w:val="continue"/>
            <w:tcBorders>
              <w:left w:val="single" w:color="auto" w:sz="4" w:space="0"/>
              <w:right w:val="single" w:color="auto" w:sz="4" w:space="0"/>
            </w:tcBorders>
            <w:vAlign w:val="center"/>
          </w:tcPr>
          <w:p>
            <w:pPr>
              <w:jc w:val="center"/>
              <w:rPr>
                <w:b/>
                <w:sz w:val="24"/>
                <w:szCs w:val="24"/>
              </w:rPr>
            </w:pPr>
          </w:p>
        </w:tc>
        <w:tc>
          <w:tcPr>
            <w:tcW w:w="1824" w:type="dxa"/>
            <w:vMerge w:val="continue"/>
            <w:tcBorders>
              <w:left w:val="single" w:color="auto" w:sz="4" w:space="0"/>
              <w:right w:val="single" w:color="auto" w:sz="4" w:space="0"/>
            </w:tcBorders>
            <w:vAlign w:val="center"/>
          </w:tcPr>
          <w:p>
            <w:pPr>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jc w:val="left"/>
              <w:rPr>
                <w:spacing w:val="6"/>
                <w:kern w:val="32"/>
                <w:sz w:val="24"/>
                <w:szCs w:val="24"/>
              </w:rPr>
            </w:pPr>
            <w:r>
              <w:rPr>
                <w:spacing w:val="6"/>
                <w:kern w:val="32"/>
                <w:sz w:val="24"/>
                <w:szCs w:val="24"/>
              </w:rPr>
              <w:t>12定子装配检查</w:t>
            </w:r>
          </w:p>
        </w:tc>
        <w:tc>
          <w:tcPr>
            <w:tcW w:w="710" w:type="dxa"/>
            <w:tcBorders>
              <w:top w:val="single" w:color="auto" w:sz="4" w:space="0"/>
              <w:left w:val="single" w:color="auto" w:sz="4" w:space="0"/>
              <w:bottom w:val="single" w:color="auto" w:sz="4" w:space="0"/>
              <w:right w:val="single" w:color="auto" w:sz="4" w:space="0"/>
            </w:tcBorders>
            <w:vAlign w:val="center"/>
          </w:tcPr>
          <w:p>
            <w:pPr>
              <w:rPr>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rPr>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8" w:hRule="atLeast"/>
        </w:trPr>
        <w:tc>
          <w:tcPr>
            <w:tcW w:w="714" w:type="dxa"/>
            <w:vMerge w:val="continue"/>
            <w:tcBorders>
              <w:left w:val="single" w:color="auto" w:sz="4" w:space="0"/>
              <w:right w:val="single" w:color="auto" w:sz="4" w:space="0"/>
            </w:tcBorders>
            <w:vAlign w:val="center"/>
          </w:tcPr>
          <w:p>
            <w:pPr>
              <w:jc w:val="center"/>
              <w:rPr>
                <w:b/>
                <w:sz w:val="24"/>
                <w:szCs w:val="24"/>
              </w:rPr>
            </w:pPr>
          </w:p>
        </w:tc>
        <w:tc>
          <w:tcPr>
            <w:tcW w:w="1824" w:type="dxa"/>
            <w:vMerge w:val="continue"/>
            <w:tcBorders>
              <w:left w:val="single" w:color="auto" w:sz="4" w:space="0"/>
              <w:right w:val="single" w:color="auto" w:sz="4" w:space="0"/>
            </w:tcBorders>
            <w:vAlign w:val="center"/>
          </w:tcPr>
          <w:p>
            <w:pPr>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jc w:val="left"/>
              <w:rPr>
                <w:spacing w:val="6"/>
                <w:kern w:val="32"/>
                <w:sz w:val="24"/>
                <w:szCs w:val="24"/>
              </w:rPr>
            </w:pPr>
            <w:r>
              <w:rPr>
                <w:spacing w:val="6"/>
                <w:kern w:val="32"/>
                <w:sz w:val="24"/>
                <w:szCs w:val="24"/>
              </w:rPr>
              <w:t>13定子气密试验</w:t>
            </w:r>
          </w:p>
        </w:tc>
        <w:tc>
          <w:tcPr>
            <w:tcW w:w="710" w:type="dxa"/>
            <w:tcBorders>
              <w:top w:val="single" w:color="auto" w:sz="4" w:space="0"/>
              <w:left w:val="single" w:color="auto" w:sz="4" w:space="0"/>
              <w:bottom w:val="single" w:color="auto" w:sz="4" w:space="0"/>
              <w:right w:val="single" w:color="auto" w:sz="4" w:space="0"/>
            </w:tcBorders>
            <w:vAlign w:val="center"/>
          </w:tcPr>
          <w:p>
            <w:pPr>
              <w:rPr>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rPr>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4" w:hRule="atLeast"/>
        </w:trPr>
        <w:tc>
          <w:tcPr>
            <w:tcW w:w="714" w:type="dxa"/>
            <w:vMerge w:val="continue"/>
            <w:tcBorders>
              <w:left w:val="single" w:color="auto" w:sz="4" w:space="0"/>
              <w:right w:val="single" w:color="auto" w:sz="4" w:space="0"/>
            </w:tcBorders>
            <w:vAlign w:val="center"/>
          </w:tcPr>
          <w:p>
            <w:pPr>
              <w:jc w:val="center"/>
              <w:rPr>
                <w:b/>
                <w:sz w:val="24"/>
                <w:szCs w:val="24"/>
              </w:rPr>
            </w:pPr>
          </w:p>
        </w:tc>
        <w:tc>
          <w:tcPr>
            <w:tcW w:w="1824" w:type="dxa"/>
            <w:vMerge w:val="continue"/>
            <w:tcBorders>
              <w:left w:val="single" w:color="auto" w:sz="4" w:space="0"/>
              <w:right w:val="single" w:color="auto" w:sz="4" w:space="0"/>
            </w:tcBorders>
            <w:vAlign w:val="center"/>
          </w:tcPr>
          <w:p>
            <w:pPr>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jc w:val="left"/>
              <w:rPr>
                <w:spacing w:val="6"/>
                <w:kern w:val="32"/>
                <w:sz w:val="24"/>
                <w:szCs w:val="24"/>
              </w:rPr>
            </w:pPr>
            <w:r>
              <w:rPr>
                <w:spacing w:val="6"/>
                <w:kern w:val="32"/>
                <w:sz w:val="24"/>
                <w:szCs w:val="24"/>
              </w:rPr>
              <w:t>14定子线圈端部固有频率试验</w:t>
            </w:r>
          </w:p>
        </w:tc>
        <w:tc>
          <w:tcPr>
            <w:tcW w:w="710" w:type="dxa"/>
            <w:tcBorders>
              <w:top w:val="single" w:color="auto" w:sz="4" w:space="0"/>
              <w:left w:val="single" w:color="auto" w:sz="4" w:space="0"/>
              <w:bottom w:val="single" w:color="auto" w:sz="4" w:space="0"/>
              <w:right w:val="single" w:color="auto" w:sz="4" w:space="0"/>
            </w:tcBorders>
            <w:vAlign w:val="center"/>
          </w:tcPr>
          <w:p>
            <w:pPr>
              <w:rPr>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rPr>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43" w:hRule="atLeast"/>
        </w:trPr>
        <w:tc>
          <w:tcPr>
            <w:tcW w:w="714" w:type="dxa"/>
            <w:vMerge w:val="continue"/>
            <w:tcBorders>
              <w:left w:val="single" w:color="auto" w:sz="4" w:space="0"/>
              <w:bottom w:val="single" w:color="auto" w:sz="4" w:space="0"/>
              <w:right w:val="single" w:color="auto" w:sz="4" w:space="0"/>
            </w:tcBorders>
            <w:vAlign w:val="center"/>
          </w:tcPr>
          <w:p>
            <w:pPr>
              <w:jc w:val="center"/>
              <w:rPr>
                <w:b/>
                <w:sz w:val="24"/>
                <w:szCs w:val="24"/>
              </w:rPr>
            </w:pPr>
          </w:p>
        </w:tc>
        <w:tc>
          <w:tcPr>
            <w:tcW w:w="1824" w:type="dxa"/>
            <w:vMerge w:val="continue"/>
            <w:tcBorders>
              <w:left w:val="single" w:color="auto" w:sz="4" w:space="0"/>
              <w:bottom w:val="single" w:color="auto" w:sz="4" w:space="0"/>
              <w:right w:val="single" w:color="auto" w:sz="4" w:space="0"/>
            </w:tcBorders>
            <w:vAlign w:val="center"/>
          </w:tcPr>
          <w:p>
            <w:pPr>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jc w:val="left"/>
              <w:rPr>
                <w:spacing w:val="6"/>
                <w:kern w:val="32"/>
                <w:sz w:val="24"/>
                <w:szCs w:val="24"/>
              </w:rPr>
            </w:pPr>
            <w:r>
              <w:rPr>
                <w:spacing w:val="6"/>
                <w:kern w:val="32"/>
                <w:sz w:val="24"/>
                <w:szCs w:val="24"/>
              </w:rPr>
              <w:t>15定子内部清洁度检查</w:t>
            </w:r>
          </w:p>
        </w:tc>
        <w:tc>
          <w:tcPr>
            <w:tcW w:w="710" w:type="dxa"/>
            <w:tcBorders>
              <w:top w:val="single" w:color="auto" w:sz="4" w:space="0"/>
              <w:left w:val="single" w:color="auto" w:sz="4" w:space="0"/>
              <w:bottom w:val="single" w:color="auto" w:sz="4" w:space="0"/>
              <w:right w:val="single" w:color="auto" w:sz="4" w:space="0"/>
            </w:tcBorders>
            <w:vAlign w:val="center"/>
          </w:tcPr>
          <w:p>
            <w:pPr>
              <w:rPr>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rPr>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16</w:t>
            </w:r>
          </w:p>
        </w:tc>
        <w:tc>
          <w:tcPr>
            <w:tcW w:w="1824" w:type="dxa"/>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r>
              <w:rPr>
                <w:sz w:val="24"/>
                <w:szCs w:val="24"/>
              </w:rPr>
              <w:t>出线瓷套</w:t>
            </w:r>
          </w:p>
        </w:tc>
        <w:tc>
          <w:tcPr>
            <w:tcW w:w="3347" w:type="dxa"/>
            <w:tcBorders>
              <w:top w:val="single" w:color="auto" w:sz="4" w:space="0"/>
              <w:left w:val="single" w:color="auto" w:sz="4" w:space="0"/>
              <w:bottom w:val="single" w:color="auto" w:sz="4" w:space="0"/>
              <w:right w:val="single" w:color="auto" w:sz="4" w:space="0"/>
            </w:tcBorders>
            <w:vAlign w:val="center"/>
          </w:tcPr>
          <w:p>
            <w:pPr>
              <w:jc w:val="left"/>
              <w:rPr>
                <w:spacing w:val="6"/>
                <w:kern w:val="32"/>
                <w:sz w:val="24"/>
                <w:szCs w:val="24"/>
              </w:rPr>
            </w:pPr>
            <w:r>
              <w:rPr>
                <w:spacing w:val="6"/>
                <w:kern w:val="32"/>
                <w:sz w:val="24"/>
                <w:szCs w:val="24"/>
              </w:rPr>
              <w:t>产品质量检验报告</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tcPr>
          <w:p>
            <w:pP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tcBorders>
              <w:left w:val="single" w:color="auto" w:sz="4" w:space="0"/>
              <w:bottom w:val="single" w:color="auto" w:sz="4" w:space="0"/>
              <w:right w:val="single" w:color="auto" w:sz="4" w:space="0"/>
            </w:tcBorders>
            <w:vAlign w:val="center"/>
          </w:tcPr>
          <w:p>
            <w:pPr>
              <w:jc w:val="center"/>
              <w:rPr>
                <w:sz w:val="24"/>
                <w:szCs w:val="24"/>
              </w:rPr>
            </w:pPr>
            <w:r>
              <w:rPr>
                <w:sz w:val="24"/>
                <w:szCs w:val="24"/>
              </w:rPr>
              <w:t>17</w:t>
            </w:r>
          </w:p>
        </w:tc>
        <w:tc>
          <w:tcPr>
            <w:tcW w:w="1824" w:type="dxa"/>
            <w:tcBorders>
              <w:left w:val="single" w:color="auto" w:sz="4" w:space="0"/>
              <w:bottom w:val="single" w:color="auto" w:sz="4" w:space="0"/>
              <w:right w:val="single" w:color="auto" w:sz="4" w:space="0"/>
            </w:tcBorders>
            <w:vAlign w:val="center"/>
          </w:tcPr>
          <w:p>
            <w:pPr>
              <w:pStyle w:val="42"/>
              <w:ind w:left="0"/>
              <w:jc w:val="center"/>
              <w:rPr>
                <w:sz w:val="24"/>
                <w:szCs w:val="24"/>
              </w:rPr>
            </w:pPr>
            <w:r>
              <w:rPr>
                <w:sz w:val="24"/>
                <w:szCs w:val="24"/>
              </w:rPr>
              <w:t>油密封瓦</w:t>
            </w:r>
          </w:p>
        </w:tc>
        <w:tc>
          <w:tcPr>
            <w:tcW w:w="3347" w:type="dxa"/>
            <w:tcBorders>
              <w:top w:val="single" w:color="auto" w:sz="4" w:space="0"/>
              <w:left w:val="single" w:color="auto" w:sz="4" w:space="0"/>
              <w:bottom w:val="single" w:color="auto" w:sz="4" w:space="0"/>
              <w:right w:val="single" w:color="auto" w:sz="4" w:space="0"/>
            </w:tcBorders>
            <w:vAlign w:val="center"/>
          </w:tcPr>
          <w:p>
            <w:pPr>
              <w:jc w:val="left"/>
              <w:rPr>
                <w:spacing w:val="6"/>
                <w:kern w:val="32"/>
                <w:sz w:val="24"/>
                <w:szCs w:val="24"/>
              </w:rPr>
            </w:pPr>
            <w:r>
              <w:rPr>
                <w:spacing w:val="6"/>
                <w:kern w:val="32"/>
                <w:sz w:val="24"/>
                <w:szCs w:val="24"/>
              </w:rPr>
              <w:t>油密封瓦尺寸精度检查</w:t>
            </w:r>
          </w:p>
        </w:tc>
        <w:tc>
          <w:tcPr>
            <w:tcW w:w="710" w:type="dxa"/>
            <w:tcBorders>
              <w:top w:val="single" w:color="auto" w:sz="4" w:space="0"/>
              <w:left w:val="single" w:color="auto" w:sz="4" w:space="0"/>
              <w:bottom w:val="single" w:color="auto" w:sz="4" w:space="0"/>
              <w:right w:val="single" w:color="auto" w:sz="4" w:space="0"/>
            </w:tcBorders>
            <w:vAlign w:val="center"/>
          </w:tcPr>
          <w:p>
            <w:pPr>
              <w:rPr>
                <w:b/>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tcPr>
          <w:p>
            <w:pP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tcPr>
          <w:p>
            <w:pP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rPr>
                <w:b/>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14" w:type="dxa"/>
            <w:vMerge w:val="restart"/>
            <w:tcBorders>
              <w:top w:val="single" w:color="auto" w:sz="4" w:space="0"/>
              <w:left w:val="single" w:color="auto" w:sz="4" w:space="0"/>
              <w:right w:val="single" w:color="auto" w:sz="4" w:space="0"/>
            </w:tcBorders>
            <w:vAlign w:val="center"/>
          </w:tcPr>
          <w:p>
            <w:pPr>
              <w:jc w:val="center"/>
              <w:rPr>
                <w:sz w:val="24"/>
                <w:szCs w:val="24"/>
              </w:rPr>
            </w:pPr>
            <w:r>
              <w:rPr>
                <w:sz w:val="24"/>
                <w:szCs w:val="24"/>
              </w:rPr>
              <w:t>18</w:t>
            </w:r>
          </w:p>
        </w:tc>
        <w:tc>
          <w:tcPr>
            <w:tcW w:w="1824" w:type="dxa"/>
            <w:vMerge w:val="restart"/>
            <w:tcBorders>
              <w:top w:val="single" w:color="auto" w:sz="4" w:space="0"/>
              <w:left w:val="single" w:color="auto" w:sz="4" w:space="0"/>
              <w:right w:val="single" w:color="auto" w:sz="4" w:space="0"/>
            </w:tcBorders>
            <w:vAlign w:val="center"/>
          </w:tcPr>
          <w:p>
            <w:pPr>
              <w:pStyle w:val="42"/>
              <w:ind w:left="0"/>
              <w:jc w:val="center"/>
              <w:rPr>
                <w:sz w:val="24"/>
                <w:szCs w:val="24"/>
              </w:rPr>
            </w:pPr>
            <w:r>
              <w:rPr>
                <w:rFonts w:hint="eastAsia"/>
                <w:sz w:val="24"/>
                <w:szCs w:val="24"/>
              </w:rPr>
              <w:t>冷却器</w:t>
            </w:r>
          </w:p>
        </w:tc>
        <w:tc>
          <w:tcPr>
            <w:tcW w:w="3347" w:type="dxa"/>
            <w:tcBorders>
              <w:top w:val="single" w:color="auto" w:sz="4" w:space="0"/>
              <w:left w:val="single" w:color="auto" w:sz="4" w:space="0"/>
              <w:bottom w:val="single" w:color="auto" w:sz="4" w:space="0"/>
              <w:right w:val="single" w:color="auto" w:sz="4" w:space="0"/>
            </w:tcBorders>
            <w:vAlign w:val="center"/>
          </w:tcPr>
          <w:p>
            <w:pPr>
              <w:jc w:val="left"/>
              <w:rPr>
                <w:spacing w:val="6"/>
                <w:kern w:val="32"/>
                <w:sz w:val="24"/>
                <w:szCs w:val="24"/>
              </w:rPr>
            </w:pPr>
            <w:r>
              <w:rPr>
                <w:spacing w:val="6"/>
                <w:kern w:val="32"/>
                <w:sz w:val="24"/>
                <w:szCs w:val="24"/>
              </w:rPr>
              <w:t>1产品质量检验报告</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tcPr>
          <w:p>
            <w:pP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tcPr>
          <w:p>
            <w:pP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14" w:type="dxa"/>
            <w:vMerge w:val="continue"/>
            <w:tcBorders>
              <w:left w:val="single" w:color="auto" w:sz="4" w:space="0"/>
              <w:bottom w:val="single" w:color="auto" w:sz="4" w:space="0"/>
              <w:right w:val="single" w:color="auto" w:sz="4" w:space="0"/>
            </w:tcBorders>
            <w:vAlign w:val="center"/>
          </w:tcPr>
          <w:p>
            <w:pPr>
              <w:jc w:val="center"/>
              <w:rPr>
                <w:sz w:val="24"/>
                <w:szCs w:val="24"/>
              </w:rPr>
            </w:pPr>
          </w:p>
        </w:tc>
        <w:tc>
          <w:tcPr>
            <w:tcW w:w="1824" w:type="dxa"/>
            <w:vMerge w:val="continue"/>
            <w:tcBorders>
              <w:left w:val="single" w:color="auto" w:sz="4" w:space="0"/>
              <w:bottom w:val="single" w:color="auto" w:sz="4" w:space="0"/>
              <w:right w:val="single" w:color="auto" w:sz="4" w:space="0"/>
            </w:tcBorders>
            <w:vAlign w:val="center"/>
          </w:tcPr>
          <w:p>
            <w:pPr>
              <w:pStyle w:val="42"/>
              <w:ind w:left="0"/>
              <w:jc w:val="center"/>
              <w:rPr>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jc w:val="left"/>
              <w:rPr>
                <w:spacing w:val="6"/>
                <w:kern w:val="32"/>
                <w:sz w:val="24"/>
                <w:szCs w:val="24"/>
              </w:rPr>
            </w:pPr>
            <w:r>
              <w:rPr>
                <w:spacing w:val="6"/>
                <w:kern w:val="32"/>
                <w:sz w:val="24"/>
                <w:szCs w:val="24"/>
              </w:rPr>
              <w:t>2 冷</w:t>
            </w:r>
            <w:r>
              <w:rPr>
                <w:rFonts w:hint="eastAsia"/>
                <w:spacing w:val="6"/>
                <w:kern w:val="32"/>
                <w:sz w:val="24"/>
                <w:szCs w:val="24"/>
              </w:rPr>
              <w:t>却</w:t>
            </w:r>
            <w:r>
              <w:rPr>
                <w:spacing w:val="6"/>
                <w:kern w:val="32"/>
                <w:sz w:val="24"/>
                <w:szCs w:val="24"/>
              </w:rPr>
              <w:t>器水压试验</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tcPr>
          <w:p>
            <w:pPr>
              <w:rPr>
                <w:spacing w:val="6"/>
                <w:kern w:val="32"/>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tcPr>
          <w:p>
            <w:pPr>
              <w:rPr>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14"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19</w:t>
            </w:r>
          </w:p>
        </w:tc>
        <w:tc>
          <w:tcPr>
            <w:tcW w:w="1824" w:type="dxa"/>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r>
              <w:rPr>
                <w:sz w:val="24"/>
                <w:szCs w:val="24"/>
              </w:rPr>
              <w:t>水控制系统</w:t>
            </w:r>
          </w:p>
        </w:tc>
        <w:tc>
          <w:tcPr>
            <w:tcW w:w="3347" w:type="dxa"/>
            <w:tcBorders>
              <w:top w:val="single" w:color="auto" w:sz="4" w:space="0"/>
              <w:left w:val="single" w:color="auto" w:sz="4" w:space="0"/>
              <w:bottom w:val="single" w:color="auto" w:sz="4" w:space="0"/>
              <w:right w:val="single" w:color="auto" w:sz="4" w:space="0"/>
            </w:tcBorders>
            <w:vAlign w:val="center"/>
          </w:tcPr>
          <w:p>
            <w:pPr>
              <w:jc w:val="left"/>
              <w:rPr>
                <w:spacing w:val="6"/>
                <w:kern w:val="32"/>
                <w:sz w:val="24"/>
                <w:szCs w:val="24"/>
              </w:rPr>
            </w:pPr>
            <w:r>
              <w:rPr>
                <w:spacing w:val="6"/>
                <w:kern w:val="32"/>
                <w:sz w:val="24"/>
                <w:szCs w:val="24"/>
              </w:rPr>
              <w:t>出厂试验</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14"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20</w:t>
            </w:r>
          </w:p>
        </w:tc>
        <w:tc>
          <w:tcPr>
            <w:tcW w:w="1824" w:type="dxa"/>
            <w:tcBorders>
              <w:top w:val="single" w:color="auto" w:sz="4" w:space="0"/>
              <w:left w:val="single" w:color="auto" w:sz="4" w:space="0"/>
              <w:bottom w:val="single" w:color="auto" w:sz="4" w:space="0"/>
              <w:right w:val="single" w:color="auto" w:sz="4" w:space="0"/>
            </w:tcBorders>
            <w:vAlign w:val="center"/>
          </w:tcPr>
          <w:p>
            <w:pPr>
              <w:pStyle w:val="42"/>
              <w:ind w:left="0"/>
              <w:jc w:val="center"/>
              <w:rPr>
                <w:sz w:val="24"/>
                <w:szCs w:val="24"/>
              </w:rPr>
            </w:pPr>
            <w:r>
              <w:rPr>
                <w:sz w:val="24"/>
                <w:szCs w:val="24"/>
              </w:rPr>
              <w:t>油控制系统</w:t>
            </w:r>
          </w:p>
        </w:tc>
        <w:tc>
          <w:tcPr>
            <w:tcW w:w="3347" w:type="dxa"/>
            <w:tcBorders>
              <w:top w:val="single" w:color="auto" w:sz="4" w:space="0"/>
              <w:left w:val="single" w:color="auto" w:sz="4" w:space="0"/>
              <w:bottom w:val="single" w:color="auto" w:sz="4" w:space="0"/>
              <w:right w:val="single" w:color="auto" w:sz="4" w:space="0"/>
            </w:tcBorders>
            <w:vAlign w:val="center"/>
          </w:tcPr>
          <w:p>
            <w:pPr>
              <w:jc w:val="left"/>
              <w:rPr>
                <w:spacing w:val="6"/>
                <w:kern w:val="32"/>
                <w:sz w:val="24"/>
                <w:szCs w:val="24"/>
              </w:rPr>
            </w:pPr>
            <w:r>
              <w:rPr>
                <w:spacing w:val="6"/>
                <w:kern w:val="32"/>
                <w:sz w:val="24"/>
                <w:szCs w:val="24"/>
              </w:rPr>
              <w:t>出厂试验</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w:t>
            </w:r>
          </w:p>
        </w:tc>
        <w:tc>
          <w:tcPr>
            <w:tcW w:w="710"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c>
          <w:tcPr>
            <w:tcW w:w="1293" w:type="dxa"/>
            <w:tcBorders>
              <w:top w:val="single" w:color="auto" w:sz="4" w:space="0"/>
              <w:left w:val="single" w:color="auto" w:sz="4" w:space="0"/>
              <w:bottom w:val="single" w:color="auto" w:sz="4" w:space="0"/>
              <w:right w:val="single" w:color="auto" w:sz="4" w:space="0"/>
            </w:tcBorders>
            <w:vAlign w:val="center"/>
          </w:tcPr>
          <w:p>
            <w:pP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14"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sz w:val="24"/>
                <w:szCs w:val="24"/>
              </w:rPr>
            </w:pPr>
            <w:r>
              <w:rPr>
                <w:sz w:val="24"/>
                <w:szCs w:val="24"/>
              </w:rPr>
              <w:t>2</w:t>
            </w:r>
            <w:r>
              <w:rPr>
                <w:rFonts w:hint="eastAsia"/>
                <w:sz w:val="24"/>
                <w:szCs w:val="24"/>
              </w:rPr>
              <w:t>1</w:t>
            </w:r>
          </w:p>
        </w:tc>
        <w:tc>
          <w:tcPr>
            <w:tcW w:w="1824" w:type="dxa"/>
            <w:tcBorders>
              <w:top w:val="single" w:color="auto" w:sz="4" w:space="0"/>
              <w:left w:val="single" w:color="auto" w:sz="4" w:space="0"/>
              <w:bottom w:val="single" w:color="auto" w:sz="4" w:space="0"/>
              <w:right w:val="single" w:color="auto" w:sz="4" w:space="0"/>
            </w:tcBorders>
            <w:vAlign w:val="center"/>
          </w:tcPr>
          <w:p>
            <w:pPr>
              <w:jc w:val="center"/>
              <w:rPr>
                <w:b/>
                <w:spacing w:val="6"/>
                <w:kern w:val="32"/>
                <w:sz w:val="24"/>
                <w:szCs w:val="24"/>
              </w:rPr>
            </w:pPr>
            <w:r>
              <w:rPr>
                <w:bCs/>
                <w:sz w:val="24"/>
                <w:szCs w:val="24"/>
              </w:rPr>
              <w:t>励磁系统</w:t>
            </w:r>
          </w:p>
        </w:tc>
        <w:tc>
          <w:tcPr>
            <w:tcW w:w="3347" w:type="dxa"/>
            <w:tcBorders>
              <w:top w:val="single" w:color="auto" w:sz="4" w:space="0"/>
              <w:left w:val="single" w:color="auto" w:sz="4" w:space="0"/>
              <w:bottom w:val="single" w:color="auto" w:sz="4" w:space="0"/>
              <w:right w:val="single" w:color="auto" w:sz="4" w:space="0"/>
            </w:tcBorders>
            <w:vAlign w:val="center"/>
          </w:tcPr>
          <w:p>
            <w:pPr>
              <w:jc w:val="left"/>
              <w:rPr>
                <w:spacing w:val="6"/>
                <w:kern w:val="32"/>
                <w:sz w:val="24"/>
                <w:szCs w:val="24"/>
              </w:rPr>
            </w:pPr>
            <w:r>
              <w:rPr>
                <w:spacing w:val="6"/>
                <w:kern w:val="32"/>
                <w:sz w:val="24"/>
                <w:szCs w:val="24"/>
              </w:rPr>
              <w:t>出厂试验报告</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restart"/>
            <w:tcBorders>
              <w:top w:val="single" w:color="auto" w:sz="4" w:space="0"/>
              <w:left w:val="single" w:color="auto" w:sz="4" w:space="0"/>
              <w:bottom w:val="single" w:color="auto" w:sz="4" w:space="0"/>
              <w:right w:val="single" w:color="auto" w:sz="4" w:space="0"/>
            </w:tcBorders>
            <w:vAlign w:val="center"/>
          </w:tcPr>
          <w:p>
            <w:pPr>
              <w:spacing w:line="300" w:lineRule="auto"/>
              <w:jc w:val="center"/>
              <w:rPr>
                <w:sz w:val="24"/>
                <w:szCs w:val="24"/>
              </w:rPr>
            </w:pPr>
            <w:r>
              <w:rPr>
                <w:sz w:val="24"/>
                <w:szCs w:val="24"/>
              </w:rPr>
              <w:t>2</w:t>
            </w:r>
            <w:r>
              <w:rPr>
                <w:rFonts w:hint="eastAsia"/>
                <w:sz w:val="24"/>
                <w:szCs w:val="24"/>
              </w:rPr>
              <w:t>2</w:t>
            </w:r>
          </w:p>
        </w:tc>
        <w:tc>
          <w:tcPr>
            <w:tcW w:w="182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r>
              <w:rPr>
                <w:spacing w:val="6"/>
                <w:kern w:val="32"/>
                <w:sz w:val="24"/>
                <w:szCs w:val="24"/>
              </w:rPr>
              <w:t>整机型式试验报告</w:t>
            </w:r>
          </w:p>
        </w:tc>
        <w:tc>
          <w:tcPr>
            <w:tcW w:w="3347" w:type="dxa"/>
            <w:tcBorders>
              <w:top w:val="single" w:color="auto" w:sz="4" w:space="0"/>
              <w:left w:val="single" w:color="auto" w:sz="4" w:space="0"/>
              <w:bottom w:val="single" w:color="auto" w:sz="4" w:space="0"/>
              <w:right w:val="single" w:color="auto" w:sz="4" w:space="0"/>
            </w:tcBorders>
            <w:vAlign w:val="center"/>
          </w:tcPr>
          <w:p>
            <w:pPr>
              <w:jc w:val="left"/>
              <w:rPr>
                <w:spacing w:val="6"/>
                <w:kern w:val="32"/>
                <w:sz w:val="24"/>
                <w:szCs w:val="24"/>
              </w:rPr>
            </w:pPr>
            <w:r>
              <w:rPr>
                <w:spacing w:val="6"/>
                <w:kern w:val="32"/>
                <w:sz w:val="24"/>
                <w:szCs w:val="24"/>
              </w:rPr>
              <w:t>1 轴电压试验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b/>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b/>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jc w:val="left"/>
              <w:rPr>
                <w:spacing w:val="6"/>
                <w:kern w:val="32"/>
                <w:sz w:val="24"/>
                <w:szCs w:val="24"/>
              </w:rPr>
            </w:pPr>
            <w:r>
              <w:rPr>
                <w:spacing w:val="6"/>
                <w:kern w:val="32"/>
                <w:sz w:val="24"/>
                <w:szCs w:val="24"/>
              </w:rPr>
              <w:t>2效率试验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tcPr>
          <w:p>
            <w:pPr>
              <w:jc w:val="left"/>
              <w:rPr>
                <w:spacing w:val="6"/>
                <w:kern w:val="32"/>
                <w:sz w:val="24"/>
                <w:szCs w:val="24"/>
              </w:rPr>
            </w:pPr>
            <w:r>
              <w:rPr>
                <w:spacing w:val="6"/>
                <w:kern w:val="32"/>
                <w:sz w:val="24"/>
                <w:szCs w:val="24"/>
              </w:rPr>
              <w:t>3电话谐波因数</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tcPr>
          <w:p>
            <w:pPr>
              <w:jc w:val="left"/>
              <w:rPr>
                <w:spacing w:val="6"/>
                <w:kern w:val="32"/>
                <w:sz w:val="24"/>
                <w:szCs w:val="24"/>
              </w:rPr>
            </w:pPr>
            <w:r>
              <w:rPr>
                <w:spacing w:val="6"/>
                <w:kern w:val="32"/>
                <w:sz w:val="24"/>
                <w:szCs w:val="24"/>
              </w:rPr>
              <w:t>4电压波形畸变率</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b/>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b/>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tcPr>
          <w:p>
            <w:pPr>
              <w:jc w:val="left"/>
              <w:rPr>
                <w:spacing w:val="6"/>
                <w:kern w:val="32"/>
                <w:sz w:val="24"/>
                <w:szCs w:val="24"/>
              </w:rPr>
            </w:pPr>
            <w:r>
              <w:rPr>
                <w:spacing w:val="6"/>
                <w:kern w:val="32"/>
                <w:sz w:val="24"/>
                <w:szCs w:val="24"/>
              </w:rPr>
              <w:t>5温升试验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tcPr>
          <w:p>
            <w:pPr>
              <w:jc w:val="left"/>
              <w:rPr>
                <w:spacing w:val="6"/>
                <w:kern w:val="32"/>
                <w:sz w:val="24"/>
                <w:szCs w:val="24"/>
              </w:rPr>
            </w:pPr>
            <w:r>
              <w:rPr>
                <w:spacing w:val="6"/>
                <w:kern w:val="32"/>
                <w:sz w:val="24"/>
                <w:szCs w:val="24"/>
              </w:rPr>
              <w:t>6短路比</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tcPr>
          <w:p>
            <w:pPr>
              <w:jc w:val="left"/>
              <w:rPr>
                <w:spacing w:val="6"/>
                <w:kern w:val="32"/>
                <w:sz w:val="24"/>
                <w:szCs w:val="24"/>
              </w:rPr>
            </w:pPr>
            <w:r>
              <w:rPr>
                <w:spacing w:val="6"/>
                <w:kern w:val="32"/>
                <w:sz w:val="24"/>
                <w:szCs w:val="24"/>
              </w:rPr>
              <w:t>7电抗和时间常数</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b/>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b/>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jc w:val="left"/>
              <w:rPr>
                <w:spacing w:val="6"/>
                <w:kern w:val="32"/>
                <w:sz w:val="24"/>
                <w:szCs w:val="24"/>
              </w:rPr>
            </w:pPr>
            <w:r>
              <w:rPr>
                <w:spacing w:val="6"/>
                <w:kern w:val="32"/>
                <w:sz w:val="24"/>
                <w:szCs w:val="24"/>
              </w:rPr>
              <w:t>8空载特性试验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7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z w:val="24"/>
                <w:szCs w:val="24"/>
              </w:rPr>
            </w:pPr>
          </w:p>
        </w:tc>
        <w:tc>
          <w:tcPr>
            <w:tcW w:w="18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spacing w:val="6"/>
                <w:kern w:val="32"/>
                <w:sz w:val="24"/>
                <w:szCs w:val="24"/>
              </w:rPr>
            </w:pPr>
          </w:p>
        </w:tc>
        <w:tc>
          <w:tcPr>
            <w:tcW w:w="3347" w:type="dxa"/>
            <w:tcBorders>
              <w:top w:val="single" w:color="auto" w:sz="4" w:space="0"/>
              <w:left w:val="single" w:color="auto" w:sz="4" w:space="0"/>
              <w:bottom w:val="single" w:color="auto" w:sz="4" w:space="0"/>
              <w:right w:val="single" w:color="auto" w:sz="4" w:space="0"/>
            </w:tcBorders>
            <w:vAlign w:val="center"/>
          </w:tcPr>
          <w:p>
            <w:pPr>
              <w:jc w:val="left"/>
              <w:rPr>
                <w:spacing w:val="6"/>
                <w:kern w:val="32"/>
                <w:sz w:val="24"/>
                <w:szCs w:val="24"/>
              </w:rPr>
            </w:pPr>
            <w:r>
              <w:rPr>
                <w:spacing w:val="6"/>
                <w:kern w:val="32"/>
                <w:sz w:val="24"/>
                <w:szCs w:val="24"/>
              </w:rPr>
              <w:t>9 稳态短路特性试验</w:t>
            </w:r>
          </w:p>
        </w:tc>
        <w:tc>
          <w:tcPr>
            <w:tcW w:w="710"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506" w:type="dxa"/>
            <w:tcBorders>
              <w:top w:val="single" w:color="auto" w:sz="4" w:space="0"/>
              <w:left w:val="single" w:color="auto" w:sz="4" w:space="0"/>
              <w:bottom w:val="single" w:color="auto" w:sz="4" w:space="0"/>
              <w:right w:val="single" w:color="auto" w:sz="4" w:space="0"/>
            </w:tcBorders>
            <w:vAlign w:val="center"/>
          </w:tcPr>
          <w:p>
            <w:pPr>
              <w:tabs>
                <w:tab w:val="left" w:pos="520"/>
              </w:tabs>
              <w:adjustRightInd w:val="0"/>
              <w:snapToGrid w:val="0"/>
              <w:spacing w:line="300" w:lineRule="auto"/>
              <w:jc w:val="center"/>
              <w:rPr>
                <w:spacing w:val="6"/>
                <w:kern w:val="32"/>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sz w:val="24"/>
                <w:szCs w:val="24"/>
              </w:rPr>
              <w:t>√</w:t>
            </w:r>
          </w:p>
        </w:tc>
        <w:tc>
          <w:tcPr>
            <w:tcW w:w="1293" w:type="dxa"/>
            <w:tcBorders>
              <w:top w:val="single" w:color="auto" w:sz="4" w:space="0"/>
              <w:left w:val="single" w:color="auto" w:sz="4" w:space="0"/>
              <w:bottom w:val="single" w:color="auto" w:sz="4" w:space="0"/>
              <w:right w:val="single" w:color="auto" w:sz="4" w:space="0"/>
            </w:tcBorders>
          </w:tcPr>
          <w:p>
            <w:pPr>
              <w:tabs>
                <w:tab w:val="left" w:pos="520"/>
              </w:tabs>
              <w:adjustRightInd w:val="0"/>
              <w:snapToGrid w:val="0"/>
              <w:spacing w:line="300" w:lineRule="auto"/>
              <w:jc w:val="center"/>
              <w:rPr>
                <w:spacing w:val="6"/>
                <w:kern w:val="32"/>
                <w:sz w:val="24"/>
                <w:szCs w:val="24"/>
              </w:rPr>
            </w:pPr>
          </w:p>
        </w:tc>
      </w:tr>
    </w:tbl>
    <w:p>
      <w:pPr>
        <w:tabs>
          <w:tab w:val="left" w:pos="578"/>
        </w:tabs>
        <w:snapToGrid w:val="0"/>
        <w:spacing w:line="360" w:lineRule="auto"/>
        <w:rPr>
          <w:b/>
          <w:sz w:val="28"/>
        </w:rPr>
      </w:pPr>
      <w:r>
        <w:rPr>
          <w:b/>
          <w:sz w:val="28"/>
        </w:rPr>
        <w:t>4.</w:t>
      </w:r>
      <w:r>
        <w:rPr>
          <w:b/>
          <w:sz w:val="24"/>
        </w:rPr>
        <w:t>型式试验</w:t>
      </w:r>
    </w:p>
    <w:p>
      <w:pPr>
        <w:spacing w:line="360" w:lineRule="auto"/>
        <w:rPr>
          <w:sz w:val="24"/>
        </w:rPr>
      </w:pPr>
      <w:r>
        <w:rPr>
          <w:sz w:val="24"/>
        </w:rPr>
        <w:t>4.1汽轮发电机的型式试验检查项目，分在制造厂内进行的型式试验和检查项目，以及在安装地点进行的交接试验检查项目。投标人在第一次设计联络会时提供型式试验（包括）报告。</w:t>
      </w:r>
    </w:p>
    <w:p>
      <w:pPr>
        <w:spacing w:line="360" w:lineRule="auto"/>
        <w:rPr>
          <w:sz w:val="24"/>
        </w:rPr>
      </w:pPr>
      <w:r>
        <w:rPr>
          <w:sz w:val="24"/>
        </w:rPr>
        <w:t>4.2汽轮发电机在制造厂对原材料、零部件精度、主要工序间的试验，均应符合制造厂标准并提供检验报告。</w:t>
      </w:r>
    </w:p>
    <w:p>
      <w:pPr>
        <w:tabs>
          <w:tab w:val="left" w:pos="578"/>
        </w:tabs>
        <w:snapToGrid w:val="0"/>
        <w:spacing w:line="360" w:lineRule="auto"/>
        <w:rPr>
          <w:b/>
          <w:sz w:val="24"/>
        </w:rPr>
      </w:pPr>
      <w:r>
        <w:rPr>
          <w:b/>
          <w:sz w:val="24"/>
        </w:rPr>
        <w:t>5.工厂试验</w:t>
      </w:r>
    </w:p>
    <w:p>
      <w:pPr>
        <w:spacing w:line="360" w:lineRule="auto"/>
        <w:rPr>
          <w:sz w:val="24"/>
        </w:rPr>
      </w:pPr>
      <w:r>
        <w:rPr>
          <w:sz w:val="24"/>
        </w:rPr>
        <w:t>5.1工厂检验是质量控制的一个重要组成部分。投标人须严格进行厂内各生产环节的检验和试验。投标人提供的合同设备须签发质量证明、检验记录和测试报告，并且作为交货时质量证明文件的组成部分。</w:t>
      </w:r>
    </w:p>
    <w:p>
      <w:pPr>
        <w:spacing w:line="360" w:lineRule="auto"/>
        <w:rPr>
          <w:sz w:val="24"/>
        </w:rPr>
      </w:pPr>
      <w:r>
        <w:rPr>
          <w:sz w:val="24"/>
        </w:rPr>
        <w:t>5.2检验的范围包括原材料和元器件的进厂，部件的加工、组装、试验至出厂试验。</w:t>
      </w:r>
    </w:p>
    <w:p>
      <w:pPr>
        <w:spacing w:line="360" w:lineRule="auto"/>
        <w:rPr>
          <w:sz w:val="24"/>
        </w:rPr>
      </w:pPr>
      <w:r>
        <w:rPr>
          <w:sz w:val="24"/>
        </w:rPr>
        <w:t>5.3投标人检验的结果要满足技术协议的要求，如有不符之处或达不到标准要求，投标人要采取措施处理直至满足要求，同时向招标人提交不一致性报告。投标人发生重大质量问题时应将情况及时通知招标人。</w:t>
      </w:r>
    </w:p>
    <w:p>
      <w:pPr>
        <w:pStyle w:val="39"/>
        <w:ind w:left="0"/>
        <w:rPr>
          <w:rFonts w:ascii="Times New Roman"/>
        </w:rPr>
      </w:pPr>
      <w:r>
        <w:rPr>
          <w:rFonts w:ascii="Times New Roman"/>
        </w:rPr>
        <w:t>5.4</w:t>
      </w:r>
      <w:r>
        <w:rPr>
          <w:rFonts w:hint="eastAsia" w:ascii="Times New Roman"/>
        </w:rPr>
        <w:t>发电机</w:t>
      </w:r>
      <w:r>
        <w:rPr>
          <w:rFonts w:ascii="Times New Roman"/>
        </w:rPr>
        <w:t>部件的工厂试验应至少包括以下试验：</w:t>
      </w:r>
    </w:p>
    <w:p>
      <w:pPr>
        <w:pStyle w:val="111"/>
        <w:spacing w:line="360" w:lineRule="auto"/>
        <w:rPr>
          <w:rFonts w:ascii="Times New Roman"/>
          <w:sz w:val="24"/>
          <w:szCs w:val="24"/>
        </w:rPr>
      </w:pPr>
      <w:r>
        <w:rPr>
          <w:rFonts w:ascii="Times New Roman"/>
          <w:sz w:val="24"/>
          <w:szCs w:val="24"/>
        </w:rPr>
        <w:t>（1）空载特性试验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（2）短路特性试验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（3）效率测定</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（4）温升试验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（5）突然短路试验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（6）波形畸变因数测定</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（7）谐波分析和电话干扰因数试验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 xml:space="preserve">     ×</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（8）电抗测量</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（9）发电机时间常数</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（10）转子静态和动平衡试验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（11）转子超速试验（额定转速的120％ 2分钟〕</w:t>
      </w:r>
      <w:r>
        <w:rPr>
          <w:rFonts w:ascii="Times New Roman"/>
          <w:sz w:val="24"/>
          <w:szCs w:val="24"/>
        </w:rPr>
        <w:tab/>
      </w:r>
      <w:r>
        <w:rPr>
          <w:rFonts w:ascii="Times New Roman"/>
          <w:sz w:val="24"/>
          <w:szCs w:val="24"/>
        </w:rPr>
        <w:tab/>
      </w:r>
      <w:r>
        <w:rPr>
          <w:rFonts w:ascii="Times New Roman"/>
          <w:sz w:val="24"/>
          <w:szCs w:val="24"/>
        </w:rPr>
        <w:t xml:space="preserve">     ×</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（12）定子绕组电阻测量</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（13）转子绕组电阻测量</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（14）定子绕组绝缘电阻测量</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（15）转子绕组绝缘电阻测量</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（16）定子绕组介质试验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（17）转子绕组介质试验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（18）电阻型测温元件（定子绕组〕</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（19）热电耦测温元件</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（2</w:t>
      </w:r>
      <w:r>
        <w:rPr>
          <w:rFonts w:hint="eastAsia" w:ascii="Times New Roman"/>
          <w:sz w:val="24"/>
          <w:szCs w:val="24"/>
        </w:rPr>
        <w:t>0</w:t>
      </w:r>
      <w:r>
        <w:rPr>
          <w:rFonts w:ascii="Times New Roman"/>
          <w:sz w:val="24"/>
          <w:szCs w:val="24"/>
        </w:rPr>
        <w:t>）励磁设备介质试验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（2</w:t>
      </w:r>
      <w:r>
        <w:rPr>
          <w:rFonts w:hint="eastAsia" w:ascii="Times New Roman"/>
          <w:sz w:val="24"/>
          <w:szCs w:val="24"/>
        </w:rPr>
        <w:t>1</w:t>
      </w:r>
      <w:r>
        <w:rPr>
          <w:rFonts w:ascii="Times New Roman"/>
          <w:sz w:val="24"/>
          <w:szCs w:val="24"/>
        </w:rPr>
        <w:t>）励磁设备绕组电阻测量</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（2</w:t>
      </w:r>
      <w:r>
        <w:rPr>
          <w:rFonts w:hint="eastAsia" w:ascii="Times New Roman"/>
          <w:sz w:val="24"/>
          <w:szCs w:val="24"/>
        </w:rPr>
        <w:t>2</w:t>
      </w:r>
      <w:r>
        <w:rPr>
          <w:rFonts w:ascii="Times New Roman"/>
          <w:sz w:val="24"/>
          <w:szCs w:val="24"/>
        </w:rPr>
        <w:t>）励磁设备绝缘电阻测量</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r>
        <w:rPr>
          <w:rFonts w:ascii="Times New Roman"/>
          <w:sz w:val="24"/>
          <w:szCs w:val="24"/>
        </w:rPr>
        <w:tab/>
      </w:r>
      <w:r>
        <w:rPr>
          <w:rFonts w:ascii="Times New Roman"/>
          <w:sz w:val="24"/>
          <w:szCs w:val="24"/>
        </w:rPr>
        <w:tab/>
      </w:r>
    </w:p>
    <w:p>
      <w:pPr>
        <w:pStyle w:val="111"/>
        <w:spacing w:line="360" w:lineRule="auto"/>
        <w:rPr>
          <w:rFonts w:ascii="Times New Roman"/>
          <w:sz w:val="24"/>
          <w:szCs w:val="24"/>
        </w:rPr>
      </w:pPr>
      <w:r>
        <w:rPr>
          <w:rFonts w:ascii="Times New Roman"/>
          <w:sz w:val="24"/>
          <w:szCs w:val="24"/>
        </w:rPr>
        <w:t>（</w:t>
      </w:r>
      <w:r>
        <w:rPr>
          <w:rFonts w:hint="eastAsia" w:ascii="Times New Roman"/>
          <w:sz w:val="24"/>
          <w:szCs w:val="24"/>
        </w:rPr>
        <w:t>23</w:t>
      </w:r>
      <w:r>
        <w:rPr>
          <w:rFonts w:ascii="Times New Roman"/>
          <w:sz w:val="24"/>
          <w:szCs w:val="24"/>
        </w:rPr>
        <w:t>）气阀紧密试验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r>
        <w:rPr>
          <w:rFonts w:ascii="Times New Roman"/>
          <w:sz w:val="24"/>
          <w:szCs w:val="24"/>
        </w:rPr>
        <w:tab/>
      </w:r>
    </w:p>
    <w:p>
      <w:pPr>
        <w:pStyle w:val="111"/>
        <w:spacing w:line="360" w:lineRule="auto"/>
        <w:ind w:firstLine="480" w:firstLineChars="200"/>
        <w:rPr>
          <w:rFonts w:ascii="Times New Roman"/>
          <w:sz w:val="24"/>
          <w:szCs w:val="24"/>
        </w:rPr>
      </w:pPr>
      <w:r>
        <w:rPr>
          <w:rFonts w:ascii="Times New Roman"/>
          <w:sz w:val="24"/>
          <w:szCs w:val="24"/>
        </w:rPr>
        <w:t>注：“×”为必做试验。</w:t>
      </w:r>
    </w:p>
    <w:p>
      <w:pPr>
        <w:pStyle w:val="39"/>
        <w:ind w:left="0"/>
        <w:rPr>
          <w:rFonts w:ascii="Times New Roman"/>
          <w:szCs w:val="24"/>
        </w:rPr>
      </w:pPr>
      <w:r>
        <w:rPr>
          <w:rFonts w:ascii="Times New Roman"/>
          <w:szCs w:val="24"/>
        </w:rPr>
        <w:t>注：以上属型式试验的项目投标人提供型式试验报告。</w:t>
      </w:r>
    </w:p>
    <w:p>
      <w:pPr>
        <w:pStyle w:val="111"/>
        <w:spacing w:line="360" w:lineRule="auto"/>
        <w:ind w:firstLine="480" w:firstLineChars="200"/>
        <w:rPr>
          <w:rFonts w:ascii="Times New Roman"/>
          <w:sz w:val="24"/>
          <w:szCs w:val="24"/>
        </w:rPr>
      </w:pPr>
      <w:r>
        <w:rPr>
          <w:rFonts w:ascii="Times New Roman"/>
          <w:sz w:val="24"/>
          <w:szCs w:val="24"/>
        </w:rPr>
        <w:t>汽轮发电机的设备包括辅机和附属设备，如是在压力下使用液体的，应以系统的，部分系统，或元件的方式，在工厂做检查或泄漏试验，试验应按照投标人可接受的标准、方法进行，以保证操作适当。</w:t>
      </w:r>
    </w:p>
    <w:p>
      <w:pPr>
        <w:pStyle w:val="111"/>
        <w:spacing w:line="360" w:lineRule="auto"/>
        <w:rPr>
          <w:rFonts w:ascii="Times New Roman"/>
          <w:sz w:val="24"/>
          <w:szCs w:val="24"/>
        </w:rPr>
      </w:pPr>
      <w:r>
        <w:rPr>
          <w:rFonts w:ascii="Times New Roman"/>
          <w:sz w:val="24"/>
          <w:szCs w:val="24"/>
        </w:rPr>
        <w:t>5.5　控制板和盘试验</w:t>
      </w:r>
    </w:p>
    <w:p>
      <w:pPr>
        <w:pStyle w:val="111"/>
        <w:spacing w:line="360" w:lineRule="auto"/>
        <w:ind w:firstLine="480" w:firstLineChars="200"/>
        <w:rPr>
          <w:rFonts w:ascii="Times New Roman"/>
          <w:sz w:val="24"/>
          <w:szCs w:val="24"/>
        </w:rPr>
      </w:pPr>
      <w:r>
        <w:rPr>
          <w:rFonts w:ascii="Times New Roman"/>
          <w:sz w:val="24"/>
          <w:szCs w:val="24"/>
        </w:rPr>
        <w:t>对所有的控制板和盘设备应作常规的工厂电气试验，包括电力设备的高压试验和操作试验，以验证设备能正确可靠运行并符合规范要求。电气试验将按IEC进行。</w:t>
      </w:r>
    </w:p>
    <w:p>
      <w:pPr>
        <w:pStyle w:val="111"/>
        <w:spacing w:line="360" w:lineRule="auto"/>
        <w:ind w:firstLine="480" w:firstLineChars="200"/>
        <w:rPr>
          <w:rFonts w:ascii="Times New Roman"/>
          <w:sz w:val="24"/>
          <w:szCs w:val="24"/>
        </w:rPr>
      </w:pPr>
      <w:r>
        <w:rPr>
          <w:rFonts w:ascii="Times New Roman"/>
          <w:sz w:val="24"/>
          <w:szCs w:val="24"/>
        </w:rPr>
        <w:t>控制回路试验用来验证所有仪表，表计，继电器，仪用互感器等结线正确与否，并在通电后能以给定方式运行。</w:t>
      </w:r>
    </w:p>
    <w:p>
      <w:pPr>
        <w:pStyle w:val="111"/>
        <w:spacing w:line="360" w:lineRule="auto"/>
        <w:ind w:firstLine="720"/>
        <w:rPr>
          <w:rFonts w:ascii="Times New Roman"/>
          <w:sz w:val="24"/>
          <w:szCs w:val="24"/>
        </w:rPr>
      </w:pPr>
    </w:p>
    <w:p>
      <w:pPr>
        <w:tabs>
          <w:tab w:val="left" w:pos="578"/>
        </w:tabs>
        <w:snapToGrid w:val="0"/>
        <w:spacing w:line="360" w:lineRule="auto"/>
        <w:rPr>
          <w:b/>
          <w:sz w:val="24"/>
        </w:rPr>
      </w:pPr>
      <w:r>
        <w:rPr>
          <w:b/>
          <w:sz w:val="24"/>
        </w:rPr>
        <w:t>6.现场验收试验</w:t>
      </w:r>
    </w:p>
    <w:p>
      <w:pPr>
        <w:pStyle w:val="111"/>
        <w:spacing w:line="360" w:lineRule="auto"/>
        <w:ind w:firstLine="480" w:firstLineChars="200"/>
        <w:rPr>
          <w:rFonts w:ascii="Times New Roman"/>
          <w:sz w:val="24"/>
          <w:szCs w:val="24"/>
        </w:rPr>
      </w:pPr>
      <w:r>
        <w:rPr>
          <w:rFonts w:ascii="Times New Roman"/>
          <w:sz w:val="24"/>
          <w:szCs w:val="24"/>
        </w:rPr>
        <w:t>投标人应承担下述所有试验且把试验报告提交招标人，招标人应配合投标人进行所有现场试验，现场验收试验应至少包括以下试验：</w:t>
      </w:r>
    </w:p>
    <w:p>
      <w:pPr>
        <w:pStyle w:val="111"/>
        <w:spacing w:line="360" w:lineRule="auto"/>
        <w:rPr>
          <w:rFonts w:ascii="Times New Roman"/>
          <w:sz w:val="24"/>
        </w:rPr>
      </w:pPr>
      <w:r>
        <w:rPr>
          <w:rFonts w:ascii="Times New Roman"/>
          <w:sz w:val="24"/>
        </w:rPr>
        <w:t>6.1机械平衡试验</w:t>
      </w:r>
    </w:p>
    <w:p>
      <w:pPr>
        <w:pStyle w:val="111"/>
        <w:spacing w:line="360" w:lineRule="auto"/>
        <w:ind w:firstLine="480" w:firstLineChars="200"/>
        <w:rPr>
          <w:rFonts w:ascii="Times New Roman"/>
          <w:sz w:val="24"/>
        </w:rPr>
      </w:pPr>
      <w:r>
        <w:rPr>
          <w:rFonts w:ascii="Times New Roman"/>
          <w:sz w:val="24"/>
        </w:rPr>
        <w:t>在设备安装</w:t>
      </w:r>
      <w:r>
        <w:rPr>
          <w:rFonts w:ascii="Times New Roman"/>
          <w:sz w:val="24"/>
          <w:szCs w:val="24"/>
        </w:rPr>
        <w:t>完毕</w:t>
      </w:r>
      <w:r>
        <w:rPr>
          <w:rFonts w:ascii="Times New Roman"/>
          <w:sz w:val="24"/>
        </w:rPr>
        <w:t>后，投标人应对每台汽轮发电机组进行振动检查并进行必要的重新平衡，应进行超速跳闸试验和甩负荷试验。</w:t>
      </w:r>
    </w:p>
    <w:p>
      <w:pPr>
        <w:pStyle w:val="111"/>
        <w:spacing w:line="360" w:lineRule="auto"/>
        <w:rPr>
          <w:rFonts w:ascii="Times New Roman"/>
          <w:sz w:val="24"/>
        </w:rPr>
      </w:pPr>
      <w:r>
        <w:rPr>
          <w:rFonts w:ascii="Times New Roman"/>
          <w:sz w:val="24"/>
        </w:rPr>
        <w:t>6.2发电机电气试验</w:t>
      </w:r>
    </w:p>
    <w:p>
      <w:pPr>
        <w:pStyle w:val="111"/>
        <w:spacing w:line="360" w:lineRule="auto"/>
        <w:ind w:firstLine="480" w:firstLineChars="200"/>
        <w:rPr>
          <w:rFonts w:ascii="Times New Roman"/>
          <w:sz w:val="24"/>
        </w:rPr>
      </w:pPr>
      <w:r>
        <w:rPr>
          <w:rFonts w:ascii="Times New Roman"/>
          <w:sz w:val="24"/>
        </w:rPr>
        <w:t>发电机电气</w:t>
      </w:r>
      <w:r>
        <w:rPr>
          <w:rFonts w:ascii="Times New Roman"/>
          <w:sz w:val="24"/>
          <w:szCs w:val="24"/>
        </w:rPr>
        <w:t>试验</w:t>
      </w:r>
      <w:r>
        <w:rPr>
          <w:rFonts w:ascii="Times New Roman"/>
          <w:sz w:val="24"/>
        </w:rPr>
        <w:t>应按IEC标准和IEEE115在现场完成，它包括:</w:t>
      </w:r>
    </w:p>
    <w:p>
      <w:pPr>
        <w:pStyle w:val="111"/>
        <w:numPr>
          <w:ilvl w:val="0"/>
          <w:numId w:val="37"/>
        </w:numPr>
        <w:spacing w:line="360" w:lineRule="auto"/>
        <w:rPr>
          <w:rFonts w:ascii="Times New Roman"/>
          <w:sz w:val="24"/>
          <w:szCs w:val="24"/>
        </w:rPr>
      </w:pPr>
      <w:r>
        <w:rPr>
          <w:rFonts w:ascii="Times New Roman"/>
          <w:sz w:val="24"/>
          <w:szCs w:val="24"/>
        </w:rPr>
        <w:t>功能试验</w:t>
      </w:r>
      <w:r>
        <w:rPr>
          <w:rFonts w:ascii="Times New Roman"/>
          <w:sz w:val="24"/>
          <w:szCs w:val="24"/>
        </w:rPr>
        <w:tab/>
      </w:r>
      <w:r>
        <w:rPr>
          <w:rFonts w:ascii="Times New Roman"/>
          <w:sz w:val="24"/>
          <w:szCs w:val="24"/>
        </w:rPr>
        <w:tab/>
      </w:r>
      <w:r>
        <w:rPr>
          <w:rFonts w:ascii="Times New Roman"/>
          <w:sz w:val="24"/>
          <w:szCs w:val="24"/>
        </w:rPr>
        <w:tab/>
      </w:r>
      <w:r>
        <w:rPr>
          <w:rFonts w:hint="eastAsia" w:ascii="Times New Roman"/>
          <w:sz w:val="24"/>
          <w:szCs w:val="24"/>
        </w:rPr>
        <w:t xml:space="preserve">     </w:t>
      </w:r>
      <w:r>
        <w:rPr>
          <w:rFonts w:ascii="Times New Roman"/>
          <w:sz w:val="24"/>
          <w:szCs w:val="24"/>
        </w:rPr>
        <w:tab/>
      </w:r>
      <w:r>
        <w:rPr>
          <w:rFonts w:ascii="Times New Roman"/>
          <w:sz w:val="24"/>
          <w:szCs w:val="24"/>
        </w:rPr>
        <w:t>×</w:t>
      </w:r>
    </w:p>
    <w:p>
      <w:pPr>
        <w:pStyle w:val="111"/>
        <w:numPr>
          <w:ilvl w:val="0"/>
          <w:numId w:val="37"/>
        </w:numPr>
        <w:spacing w:line="360" w:lineRule="auto"/>
        <w:rPr>
          <w:rFonts w:ascii="Times New Roman"/>
          <w:sz w:val="24"/>
          <w:szCs w:val="24"/>
        </w:rPr>
      </w:pPr>
      <w:r>
        <w:rPr>
          <w:rFonts w:ascii="Times New Roman"/>
          <w:sz w:val="24"/>
          <w:szCs w:val="24"/>
        </w:rPr>
        <w:t>空气泄漏试验</w:t>
      </w:r>
      <w:r>
        <w:rPr>
          <w:rFonts w:ascii="Times New Roman"/>
          <w:sz w:val="24"/>
          <w:szCs w:val="24"/>
        </w:rPr>
        <w:tab/>
      </w:r>
      <w:r>
        <w:rPr>
          <w:rFonts w:ascii="Times New Roman"/>
          <w:sz w:val="24"/>
          <w:szCs w:val="24"/>
        </w:rPr>
        <w:tab/>
      </w:r>
      <w:r>
        <w:rPr>
          <w:rFonts w:ascii="Times New Roman"/>
          <w:sz w:val="24"/>
          <w:szCs w:val="24"/>
        </w:rPr>
        <w:tab/>
      </w:r>
      <w:r>
        <w:rPr>
          <w:rFonts w:hint="eastAsia" w:ascii="Times New Roman"/>
          <w:sz w:val="24"/>
          <w:szCs w:val="24"/>
        </w:rPr>
        <w:t xml:space="preserve">     </w:t>
      </w:r>
      <w:r>
        <w:rPr>
          <w:rFonts w:ascii="Times New Roman"/>
          <w:sz w:val="24"/>
          <w:szCs w:val="24"/>
        </w:rPr>
        <w:tab/>
      </w:r>
      <w:r>
        <w:rPr>
          <w:rFonts w:ascii="Times New Roman"/>
          <w:sz w:val="24"/>
          <w:szCs w:val="24"/>
        </w:rPr>
        <w:t>×</w:t>
      </w:r>
    </w:p>
    <w:p>
      <w:pPr>
        <w:pStyle w:val="111"/>
        <w:numPr>
          <w:ilvl w:val="0"/>
          <w:numId w:val="37"/>
        </w:numPr>
        <w:spacing w:line="360" w:lineRule="auto"/>
        <w:rPr>
          <w:rFonts w:ascii="Times New Roman"/>
          <w:sz w:val="24"/>
          <w:szCs w:val="24"/>
        </w:rPr>
      </w:pPr>
      <w:r>
        <w:rPr>
          <w:rFonts w:ascii="Times New Roman"/>
          <w:sz w:val="24"/>
          <w:szCs w:val="24"/>
        </w:rPr>
        <w:t>所有绕组的绝缘电阻测量</w:t>
      </w:r>
      <w:r>
        <w:rPr>
          <w:rFonts w:ascii="Times New Roman"/>
          <w:sz w:val="24"/>
          <w:szCs w:val="24"/>
        </w:rPr>
        <w:tab/>
      </w:r>
      <w:r>
        <w:rPr>
          <w:rFonts w:ascii="Times New Roman"/>
          <w:sz w:val="24"/>
          <w:szCs w:val="24"/>
        </w:rPr>
        <w:tab/>
      </w:r>
      <w:r>
        <w:rPr>
          <w:rFonts w:hint="eastAsia" w:ascii="Times New Roman"/>
          <w:sz w:val="24"/>
          <w:szCs w:val="24"/>
        </w:rPr>
        <w:t xml:space="preserve">     </w:t>
      </w:r>
      <w:r>
        <w:rPr>
          <w:rFonts w:ascii="Times New Roman"/>
          <w:sz w:val="24"/>
          <w:szCs w:val="24"/>
        </w:rPr>
        <w:t>×</w:t>
      </w:r>
    </w:p>
    <w:p>
      <w:pPr>
        <w:pStyle w:val="111"/>
        <w:numPr>
          <w:ilvl w:val="0"/>
          <w:numId w:val="37"/>
        </w:numPr>
        <w:spacing w:line="360" w:lineRule="auto"/>
        <w:rPr>
          <w:rFonts w:ascii="Times New Roman"/>
          <w:sz w:val="24"/>
          <w:szCs w:val="24"/>
        </w:rPr>
      </w:pPr>
      <w:r>
        <w:rPr>
          <w:rFonts w:ascii="Times New Roman"/>
          <w:sz w:val="24"/>
          <w:szCs w:val="24"/>
        </w:rPr>
        <w:t>所有绕组的电阻测量</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p>
    <w:p>
      <w:pPr>
        <w:pStyle w:val="111"/>
        <w:numPr>
          <w:ilvl w:val="0"/>
          <w:numId w:val="37"/>
        </w:numPr>
        <w:spacing w:line="360" w:lineRule="auto"/>
        <w:rPr>
          <w:rFonts w:ascii="Times New Roman"/>
          <w:sz w:val="24"/>
          <w:szCs w:val="24"/>
        </w:rPr>
      </w:pPr>
      <w:r>
        <w:rPr>
          <w:rFonts w:ascii="Times New Roman"/>
          <w:sz w:val="24"/>
          <w:szCs w:val="24"/>
        </w:rPr>
        <w:t>轴电压测量</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p>
    <w:p>
      <w:pPr>
        <w:pStyle w:val="111"/>
        <w:numPr>
          <w:ilvl w:val="0"/>
          <w:numId w:val="37"/>
        </w:numPr>
        <w:spacing w:line="360" w:lineRule="auto"/>
        <w:rPr>
          <w:rFonts w:ascii="Times New Roman"/>
          <w:sz w:val="24"/>
          <w:szCs w:val="24"/>
        </w:rPr>
      </w:pPr>
      <w:r>
        <w:rPr>
          <w:rFonts w:ascii="Times New Roman"/>
          <w:sz w:val="24"/>
          <w:szCs w:val="24"/>
        </w:rPr>
        <w:t>运行振动测量</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p>
    <w:p>
      <w:pPr>
        <w:pStyle w:val="111"/>
        <w:numPr>
          <w:ilvl w:val="0"/>
          <w:numId w:val="37"/>
        </w:numPr>
        <w:spacing w:line="360" w:lineRule="auto"/>
        <w:rPr>
          <w:rFonts w:ascii="Times New Roman"/>
          <w:sz w:val="24"/>
          <w:szCs w:val="24"/>
        </w:rPr>
      </w:pPr>
      <w:r>
        <w:rPr>
          <w:rFonts w:ascii="Times New Roman"/>
          <w:sz w:val="24"/>
          <w:szCs w:val="24"/>
        </w:rPr>
        <w:t>温升试验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p>
    <w:p>
      <w:pPr>
        <w:pStyle w:val="111"/>
        <w:spacing w:line="360" w:lineRule="auto"/>
        <w:rPr>
          <w:rFonts w:ascii="Times New Roman"/>
          <w:sz w:val="24"/>
          <w:szCs w:val="24"/>
        </w:rPr>
      </w:pPr>
      <w:r>
        <w:rPr>
          <w:rFonts w:hint="eastAsia" w:ascii="Times New Roman"/>
          <w:sz w:val="24"/>
          <w:szCs w:val="24"/>
        </w:rPr>
        <w:t>6.3</w:t>
      </w:r>
      <w:r>
        <w:rPr>
          <w:rFonts w:ascii="Times New Roman"/>
          <w:sz w:val="24"/>
          <w:szCs w:val="24"/>
        </w:rPr>
        <w:t>励磁设备</w:t>
      </w:r>
    </w:p>
    <w:p>
      <w:pPr>
        <w:pStyle w:val="111"/>
        <w:numPr>
          <w:ilvl w:val="0"/>
          <w:numId w:val="38"/>
        </w:numPr>
        <w:spacing w:line="360" w:lineRule="auto"/>
        <w:rPr>
          <w:rFonts w:ascii="Times New Roman"/>
          <w:sz w:val="24"/>
          <w:szCs w:val="24"/>
        </w:rPr>
      </w:pPr>
      <w:r>
        <w:rPr>
          <w:rFonts w:ascii="Times New Roman"/>
          <w:sz w:val="24"/>
          <w:szCs w:val="24"/>
        </w:rPr>
        <w:t>功能试验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p>
    <w:p>
      <w:pPr>
        <w:pStyle w:val="111"/>
        <w:numPr>
          <w:ilvl w:val="0"/>
          <w:numId w:val="38"/>
        </w:numPr>
        <w:spacing w:line="360" w:lineRule="auto"/>
        <w:rPr>
          <w:rFonts w:ascii="Times New Roman"/>
          <w:sz w:val="24"/>
          <w:szCs w:val="24"/>
        </w:rPr>
      </w:pPr>
      <w:r>
        <w:rPr>
          <w:rFonts w:ascii="Times New Roman"/>
          <w:sz w:val="24"/>
          <w:szCs w:val="24"/>
        </w:rPr>
        <w:t>灭磁功能试验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p>
    <w:p>
      <w:pPr>
        <w:pStyle w:val="111"/>
        <w:numPr>
          <w:ilvl w:val="0"/>
          <w:numId w:val="38"/>
        </w:numPr>
        <w:spacing w:line="360" w:lineRule="auto"/>
        <w:rPr>
          <w:rFonts w:ascii="Times New Roman"/>
          <w:sz w:val="24"/>
          <w:szCs w:val="24"/>
        </w:rPr>
      </w:pPr>
      <w:r>
        <w:rPr>
          <w:rFonts w:ascii="Times New Roman"/>
          <w:sz w:val="24"/>
          <w:szCs w:val="24"/>
        </w:rPr>
        <w:t>自动/手动切换试验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p>
    <w:p>
      <w:pPr>
        <w:pStyle w:val="111"/>
        <w:numPr>
          <w:ilvl w:val="0"/>
          <w:numId w:val="38"/>
        </w:numPr>
        <w:spacing w:line="360" w:lineRule="auto"/>
        <w:rPr>
          <w:rFonts w:ascii="Times New Roman"/>
          <w:sz w:val="24"/>
          <w:szCs w:val="24"/>
        </w:rPr>
      </w:pPr>
      <w:r>
        <w:rPr>
          <w:rFonts w:ascii="Times New Roman"/>
          <w:sz w:val="24"/>
          <w:szCs w:val="24"/>
        </w:rPr>
        <w:t>手动功能试验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p>
    <w:p>
      <w:pPr>
        <w:pStyle w:val="111"/>
        <w:numPr>
          <w:ilvl w:val="0"/>
          <w:numId w:val="38"/>
        </w:numPr>
        <w:spacing w:line="360" w:lineRule="auto"/>
        <w:rPr>
          <w:rFonts w:ascii="Times New Roman"/>
          <w:sz w:val="24"/>
          <w:szCs w:val="24"/>
        </w:rPr>
      </w:pPr>
      <w:r>
        <w:rPr>
          <w:rFonts w:ascii="Times New Roman"/>
          <w:sz w:val="24"/>
          <w:szCs w:val="24"/>
        </w:rPr>
        <w:t>电压调整范围试验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p>
    <w:p>
      <w:pPr>
        <w:pStyle w:val="111"/>
        <w:numPr>
          <w:ilvl w:val="0"/>
          <w:numId w:val="38"/>
        </w:numPr>
        <w:spacing w:line="360" w:lineRule="auto"/>
        <w:rPr>
          <w:rFonts w:ascii="Times New Roman"/>
          <w:sz w:val="24"/>
          <w:szCs w:val="24"/>
        </w:rPr>
      </w:pPr>
      <w:r>
        <w:rPr>
          <w:rFonts w:ascii="Times New Roman"/>
          <w:sz w:val="24"/>
          <w:szCs w:val="24"/>
        </w:rPr>
        <w:t>分段响应试验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p>
    <w:p>
      <w:pPr>
        <w:pStyle w:val="111"/>
        <w:numPr>
          <w:ilvl w:val="0"/>
          <w:numId w:val="38"/>
        </w:numPr>
        <w:spacing w:line="360" w:lineRule="auto"/>
        <w:rPr>
          <w:rFonts w:ascii="Times New Roman"/>
          <w:sz w:val="24"/>
          <w:szCs w:val="24"/>
        </w:rPr>
      </w:pPr>
      <w:r>
        <w:rPr>
          <w:rFonts w:ascii="Times New Roman"/>
          <w:sz w:val="24"/>
          <w:szCs w:val="24"/>
        </w:rPr>
        <w:t>低励和过励限制器试验</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p>
    <w:p>
      <w:pPr>
        <w:pStyle w:val="111"/>
        <w:numPr>
          <w:ilvl w:val="0"/>
          <w:numId w:val="38"/>
        </w:numPr>
        <w:spacing w:line="360" w:lineRule="auto"/>
        <w:rPr>
          <w:rFonts w:ascii="Times New Roman"/>
          <w:sz w:val="24"/>
          <w:szCs w:val="24"/>
        </w:rPr>
      </w:pPr>
      <w:r>
        <w:rPr>
          <w:rFonts w:ascii="Times New Roman"/>
          <w:sz w:val="24"/>
          <w:szCs w:val="24"/>
        </w:rPr>
        <w:t>励磁设备绝缘电阻测量</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p>
    <w:p>
      <w:pPr>
        <w:pStyle w:val="111"/>
        <w:numPr>
          <w:ilvl w:val="0"/>
          <w:numId w:val="38"/>
        </w:numPr>
        <w:spacing w:line="360" w:lineRule="auto"/>
        <w:rPr>
          <w:rFonts w:ascii="Times New Roman"/>
          <w:sz w:val="24"/>
          <w:szCs w:val="24"/>
        </w:rPr>
      </w:pPr>
      <w:r>
        <w:rPr>
          <w:rFonts w:ascii="Times New Roman"/>
          <w:sz w:val="24"/>
          <w:szCs w:val="24"/>
        </w:rPr>
        <w:t>励磁设备直流电阻测量</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p>
    <w:p>
      <w:pPr>
        <w:pStyle w:val="111"/>
        <w:numPr>
          <w:ilvl w:val="0"/>
          <w:numId w:val="38"/>
        </w:numPr>
        <w:spacing w:line="360" w:lineRule="auto"/>
        <w:rPr>
          <w:rFonts w:ascii="Times New Roman"/>
          <w:sz w:val="24"/>
          <w:szCs w:val="24"/>
        </w:rPr>
      </w:pPr>
      <w:r>
        <w:rPr>
          <w:rFonts w:ascii="Times New Roman"/>
          <w:sz w:val="24"/>
          <w:szCs w:val="24"/>
        </w:rPr>
        <w:t>响应比测量</w:t>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ab/>
      </w:r>
      <w:r>
        <w:rPr>
          <w:rFonts w:ascii="Times New Roman"/>
          <w:sz w:val="24"/>
          <w:szCs w:val="24"/>
        </w:rPr>
        <w:t>×</w:t>
      </w:r>
    </w:p>
    <w:p>
      <w:pPr>
        <w:pStyle w:val="111"/>
        <w:spacing w:line="360" w:lineRule="auto"/>
        <w:ind w:firstLine="480" w:firstLineChars="200"/>
        <w:rPr>
          <w:rFonts w:ascii="Times New Roman"/>
          <w:sz w:val="24"/>
          <w:szCs w:val="24"/>
        </w:rPr>
      </w:pPr>
      <w:r>
        <w:rPr>
          <w:rFonts w:ascii="Times New Roman"/>
          <w:sz w:val="24"/>
          <w:szCs w:val="24"/>
        </w:rPr>
        <w:t>注：“×”为必做试验。</w:t>
      </w:r>
    </w:p>
    <w:p>
      <w:pPr>
        <w:spacing w:line="360" w:lineRule="auto"/>
        <w:rPr>
          <w:b/>
          <w:sz w:val="24"/>
        </w:rPr>
      </w:pPr>
      <w:r>
        <w:rPr>
          <w:b/>
          <w:sz w:val="24"/>
        </w:rPr>
        <w:t>7.性能考核验收试验</w:t>
      </w:r>
    </w:p>
    <w:p>
      <w:pPr>
        <w:spacing w:line="360" w:lineRule="auto"/>
        <w:rPr>
          <w:sz w:val="24"/>
        </w:rPr>
      </w:pPr>
      <w:r>
        <w:rPr>
          <w:sz w:val="24"/>
        </w:rPr>
        <w:t>7.1性能验收试验的目的为了检验合同设备的所有性能是否符合技术协议的要求。测试单位为招标人指定的国家级测试单位。</w:t>
      </w:r>
    </w:p>
    <w:p>
      <w:pPr>
        <w:spacing w:line="360" w:lineRule="auto"/>
        <w:ind w:left="840" w:hanging="840" w:hangingChars="350"/>
        <w:rPr>
          <w:sz w:val="24"/>
        </w:rPr>
      </w:pPr>
      <w:r>
        <w:rPr>
          <w:sz w:val="24"/>
        </w:rPr>
        <w:t>7.2性能验收试验的地点为设备安装的现场。</w:t>
      </w:r>
    </w:p>
    <w:p>
      <w:pPr>
        <w:spacing w:line="360" w:lineRule="auto"/>
        <w:rPr>
          <w:sz w:val="24"/>
        </w:rPr>
      </w:pPr>
      <w:r>
        <w:rPr>
          <w:sz w:val="24"/>
        </w:rPr>
        <w:t>7.3性能验收试验由招标人主持，投标人参加。试验大纲由招标人或受委托的第三方提供，与投标人讨论后确定。如试验在现场进行，投标人要按本附件4.7款要求进行配合；如个别部套件试验在工厂进行，试验所需的人力和物力等由投标人提供。</w:t>
      </w:r>
    </w:p>
    <w:p>
      <w:pPr>
        <w:spacing w:line="360" w:lineRule="auto"/>
        <w:ind w:left="840" w:hanging="840" w:hangingChars="350"/>
        <w:rPr>
          <w:sz w:val="24"/>
        </w:rPr>
      </w:pPr>
      <w:r>
        <w:rPr>
          <w:sz w:val="24"/>
        </w:rPr>
        <w:t>7.4性能验收试验至少包括以下试验：</w:t>
      </w:r>
    </w:p>
    <w:p>
      <w:pPr>
        <w:numPr>
          <w:ilvl w:val="2"/>
          <w:numId w:val="39"/>
        </w:numPr>
        <w:spacing w:line="360" w:lineRule="auto"/>
        <w:rPr>
          <w:sz w:val="24"/>
          <w:szCs w:val="24"/>
        </w:rPr>
      </w:pPr>
      <w:r>
        <w:rPr>
          <w:sz w:val="24"/>
          <w:szCs w:val="24"/>
        </w:rPr>
        <w:t>发电机的出力</w:t>
      </w:r>
    </w:p>
    <w:p>
      <w:pPr>
        <w:numPr>
          <w:ilvl w:val="2"/>
          <w:numId w:val="39"/>
        </w:numPr>
        <w:spacing w:line="360" w:lineRule="auto"/>
        <w:rPr>
          <w:sz w:val="24"/>
          <w:szCs w:val="24"/>
        </w:rPr>
      </w:pPr>
      <w:r>
        <w:rPr>
          <w:sz w:val="24"/>
          <w:szCs w:val="24"/>
        </w:rPr>
        <w:t>发电机轴承座（轴）振动</w:t>
      </w:r>
    </w:p>
    <w:p>
      <w:pPr>
        <w:numPr>
          <w:ilvl w:val="2"/>
          <w:numId w:val="39"/>
        </w:numPr>
        <w:spacing w:line="360" w:lineRule="auto"/>
        <w:rPr>
          <w:sz w:val="24"/>
          <w:szCs w:val="24"/>
        </w:rPr>
      </w:pPr>
      <w:r>
        <w:rPr>
          <w:sz w:val="24"/>
          <w:szCs w:val="24"/>
        </w:rPr>
        <w:t>发电机定子绕组端部振动</w:t>
      </w:r>
    </w:p>
    <w:p>
      <w:pPr>
        <w:numPr>
          <w:ilvl w:val="2"/>
          <w:numId w:val="39"/>
        </w:numPr>
        <w:spacing w:line="360" w:lineRule="auto"/>
        <w:rPr>
          <w:sz w:val="24"/>
          <w:szCs w:val="24"/>
        </w:rPr>
      </w:pPr>
      <w:r>
        <w:rPr>
          <w:sz w:val="24"/>
          <w:szCs w:val="24"/>
        </w:rPr>
        <w:t>机座自振频率</w:t>
      </w:r>
    </w:p>
    <w:p>
      <w:pPr>
        <w:numPr>
          <w:ilvl w:val="2"/>
          <w:numId w:val="39"/>
        </w:numPr>
        <w:spacing w:line="360" w:lineRule="auto"/>
        <w:rPr>
          <w:sz w:val="24"/>
          <w:szCs w:val="24"/>
        </w:rPr>
      </w:pPr>
      <w:r>
        <w:rPr>
          <w:sz w:val="24"/>
          <w:szCs w:val="24"/>
        </w:rPr>
        <w:t>发电机各部分温升</w:t>
      </w:r>
    </w:p>
    <w:p>
      <w:pPr>
        <w:numPr>
          <w:ilvl w:val="2"/>
          <w:numId w:val="39"/>
        </w:numPr>
        <w:spacing w:line="360" w:lineRule="auto"/>
        <w:rPr>
          <w:sz w:val="24"/>
          <w:szCs w:val="24"/>
        </w:rPr>
      </w:pPr>
      <w:r>
        <w:rPr>
          <w:sz w:val="24"/>
          <w:szCs w:val="24"/>
        </w:rPr>
        <w:t>噪声</w:t>
      </w:r>
    </w:p>
    <w:p>
      <w:pPr>
        <w:numPr>
          <w:ilvl w:val="2"/>
          <w:numId w:val="39"/>
        </w:numPr>
        <w:spacing w:line="360" w:lineRule="auto"/>
        <w:rPr>
          <w:sz w:val="24"/>
          <w:szCs w:val="24"/>
        </w:rPr>
      </w:pPr>
      <w:r>
        <w:rPr>
          <w:sz w:val="24"/>
          <w:szCs w:val="24"/>
        </w:rPr>
        <w:t>为顺利进行这些机组性能验收试验，投标人应分担下列准备事项：</w:t>
      </w:r>
    </w:p>
    <w:p>
      <w:pPr>
        <w:numPr>
          <w:ilvl w:val="0"/>
          <w:numId w:val="40"/>
        </w:numPr>
        <w:spacing w:line="360" w:lineRule="auto"/>
        <w:rPr>
          <w:sz w:val="24"/>
          <w:szCs w:val="24"/>
        </w:rPr>
      </w:pPr>
      <w:r>
        <w:rPr>
          <w:sz w:val="24"/>
          <w:szCs w:val="24"/>
        </w:rPr>
        <w:t>在机组供货范围内的设备上，提供试验所需的全部测点。</w:t>
      </w:r>
    </w:p>
    <w:p>
      <w:pPr>
        <w:numPr>
          <w:ilvl w:val="0"/>
          <w:numId w:val="40"/>
        </w:numPr>
        <w:spacing w:line="360" w:lineRule="auto"/>
        <w:rPr>
          <w:sz w:val="24"/>
          <w:szCs w:val="24"/>
        </w:rPr>
      </w:pPr>
      <w:r>
        <w:rPr>
          <w:sz w:val="24"/>
          <w:szCs w:val="24"/>
        </w:rPr>
        <w:t>对所使用的试验方法、测试仪器提出建议。</w:t>
      </w:r>
    </w:p>
    <w:p>
      <w:pPr>
        <w:spacing w:line="360" w:lineRule="auto"/>
        <w:rPr>
          <w:sz w:val="24"/>
          <w:szCs w:val="24"/>
        </w:rPr>
      </w:pPr>
      <w:r>
        <w:rPr>
          <w:sz w:val="24"/>
          <w:szCs w:val="24"/>
        </w:rPr>
        <w:t>7.5性能验收试验的标准和方法</w:t>
      </w:r>
    </w:p>
    <w:p>
      <w:pPr>
        <w:numPr>
          <w:ilvl w:val="0"/>
          <w:numId w:val="41"/>
        </w:numPr>
        <w:spacing w:line="360" w:lineRule="auto"/>
        <w:ind w:left="0" w:firstLine="0"/>
        <w:rPr>
          <w:sz w:val="24"/>
          <w:szCs w:val="24"/>
        </w:rPr>
      </w:pPr>
      <w:r>
        <w:rPr>
          <w:sz w:val="24"/>
          <w:szCs w:val="24"/>
        </w:rPr>
        <w:t>关于性能验收试验，除按GB/T7064《隐极同步电机的技术要求》中规定的发电机出厂前在制造厂内进行检查试验项目和到工地安装后进行交接试验项目[见表1：发电机</w:t>
      </w:r>
      <w:r>
        <w:rPr>
          <w:sz w:val="24"/>
        </w:rPr>
        <w:t>监造</w:t>
      </w:r>
      <w:r>
        <w:rPr>
          <w:sz w:val="24"/>
          <w:szCs w:val="24"/>
        </w:rPr>
        <w:t>（检验）和性能验收试验主要项目]外，根据合同要求对以下四项在现场进行验收试验。</w:t>
      </w:r>
    </w:p>
    <w:p>
      <w:pPr>
        <w:pStyle w:val="29"/>
        <w:tabs>
          <w:tab w:val="left" w:pos="0"/>
        </w:tabs>
        <w:adjustRightInd/>
        <w:spacing w:line="360" w:lineRule="auto"/>
        <w:textAlignment w:val="auto"/>
        <w:rPr>
          <w:rFonts w:ascii="Times New Roman"/>
          <w:szCs w:val="24"/>
        </w:rPr>
      </w:pPr>
      <w:r>
        <w:rPr>
          <w:szCs w:val="24"/>
        </w:rPr>
        <w:t>7.5.1发电机的出力</w:t>
      </w:r>
    </w:p>
    <w:p>
      <w:pPr>
        <w:numPr>
          <w:ilvl w:val="0"/>
          <w:numId w:val="42"/>
        </w:numPr>
        <w:spacing w:line="360" w:lineRule="auto"/>
        <w:ind w:left="0" w:firstLine="0"/>
        <w:rPr>
          <w:sz w:val="24"/>
        </w:rPr>
      </w:pPr>
      <w:r>
        <w:rPr>
          <w:sz w:val="24"/>
          <w:szCs w:val="24"/>
        </w:rPr>
        <w:t>额定功率：是指发电机在额定定子电压、额定定子电流、</w:t>
      </w:r>
      <w:r>
        <w:rPr>
          <w:sz w:val="24"/>
        </w:rPr>
        <w:t>额定功率因数（cosф=0.</w:t>
      </w:r>
      <w:r>
        <w:rPr>
          <w:rFonts w:hint="eastAsia"/>
          <w:sz w:val="24"/>
        </w:rPr>
        <w:t>8</w:t>
      </w:r>
      <w:r>
        <w:rPr>
          <w:sz w:val="24"/>
        </w:rPr>
        <w:t>）、冷却水温3</w:t>
      </w:r>
      <w:r>
        <w:rPr>
          <w:rFonts w:hint="eastAsia"/>
          <w:sz w:val="24"/>
        </w:rPr>
        <w:t>8</w:t>
      </w:r>
      <w:r>
        <w:rPr>
          <w:sz w:val="24"/>
        </w:rPr>
        <w:t>ºC、额定转速下、发电机机端输出的功率</w:t>
      </w:r>
    </w:p>
    <w:p>
      <w:pPr>
        <w:numPr>
          <w:ilvl w:val="0"/>
          <w:numId w:val="42"/>
        </w:numPr>
        <w:spacing w:line="360" w:lineRule="auto"/>
        <w:rPr>
          <w:sz w:val="24"/>
        </w:rPr>
      </w:pPr>
      <w:r>
        <w:rPr>
          <w:sz w:val="24"/>
        </w:rPr>
        <w:t>额定功率是当发电机正式移交生产后在保证期间进行温升试验时来确定。</w:t>
      </w:r>
    </w:p>
    <w:p>
      <w:pPr>
        <w:numPr>
          <w:ilvl w:val="0"/>
          <w:numId w:val="42"/>
        </w:numPr>
        <w:spacing w:line="360" w:lineRule="auto"/>
        <w:rPr>
          <w:sz w:val="24"/>
        </w:rPr>
      </w:pPr>
      <w:r>
        <w:rPr>
          <w:sz w:val="24"/>
        </w:rPr>
        <w:t>发电机最大连续输出功率（应与汽机TMCR出力相匹配）。</w:t>
      </w:r>
    </w:p>
    <w:p>
      <w:pPr>
        <w:spacing w:line="360" w:lineRule="auto"/>
        <w:rPr>
          <w:sz w:val="24"/>
        </w:rPr>
      </w:pPr>
      <w:r>
        <w:rPr>
          <w:sz w:val="24"/>
        </w:rPr>
        <w:t>7.5.2试验方法</w:t>
      </w:r>
    </w:p>
    <w:p>
      <w:pPr>
        <w:numPr>
          <w:ilvl w:val="0"/>
          <w:numId w:val="43"/>
        </w:numPr>
        <w:spacing w:line="360" w:lineRule="auto"/>
        <w:ind w:left="0" w:firstLine="0"/>
        <w:rPr>
          <w:sz w:val="24"/>
        </w:rPr>
      </w:pPr>
      <w:r>
        <w:rPr>
          <w:sz w:val="24"/>
        </w:rPr>
        <w:t>试前准备：在发电机定子输出端的PT、CT二次回路中接入经校正过合格的（在有效期间）电压、电流、功率表，在励磁回路中接入电压、电流表，必要时在定子端部件上加装测温元件引出机外。对已埋入定子内的测温元件也要进行检查与校核。</w:t>
      </w:r>
    </w:p>
    <w:p>
      <w:pPr>
        <w:numPr>
          <w:ilvl w:val="0"/>
          <w:numId w:val="43"/>
        </w:numPr>
        <w:spacing w:line="360" w:lineRule="auto"/>
        <w:ind w:left="0" w:firstLine="0"/>
        <w:rPr>
          <w:sz w:val="24"/>
        </w:rPr>
      </w:pPr>
      <w:r>
        <w:rPr>
          <w:sz w:val="24"/>
        </w:rPr>
        <w:t>启动机组在额定条件下带负荷作50%、75%、90%、100%额定功率的温升试验，试验期间维持水温、电压频率不变，测量各表计及温度计的数值，以确定定、转子、线圈和定子铁芯温度。</w:t>
      </w:r>
    </w:p>
    <w:p>
      <w:pPr>
        <w:numPr>
          <w:ilvl w:val="0"/>
          <w:numId w:val="43"/>
        </w:numPr>
        <w:spacing w:line="360" w:lineRule="auto"/>
        <w:ind w:left="0" w:firstLine="0"/>
        <w:rPr>
          <w:sz w:val="24"/>
        </w:rPr>
      </w:pPr>
      <w:r>
        <w:rPr>
          <w:sz w:val="24"/>
        </w:rPr>
        <w:t>各部分温度限值以GB/T7064《透平型同步电机的技术要求》中的规定为准。</w:t>
      </w:r>
    </w:p>
    <w:p>
      <w:pPr>
        <w:spacing w:line="360" w:lineRule="auto"/>
        <w:rPr>
          <w:sz w:val="24"/>
        </w:rPr>
      </w:pPr>
      <w:r>
        <w:rPr>
          <w:sz w:val="24"/>
        </w:rPr>
        <w:t>7.5.3发电机的效率</w:t>
      </w:r>
    </w:p>
    <w:p>
      <w:pPr>
        <w:spacing w:line="360" w:lineRule="auto"/>
        <w:ind w:firstLine="540"/>
        <w:rPr>
          <w:sz w:val="24"/>
        </w:rPr>
      </w:pPr>
      <w:r>
        <w:rPr>
          <w:sz w:val="24"/>
        </w:rPr>
        <w:t>发电机的效率是指发电机输出功率和输入功率之比，通常用百分数表示。</w:t>
      </w:r>
    </w:p>
    <w:p>
      <w:pPr>
        <w:spacing w:line="360" w:lineRule="auto"/>
        <w:ind w:firstLine="540"/>
        <w:rPr>
          <w:sz w:val="24"/>
        </w:rPr>
      </w:pPr>
      <w:r>
        <w:rPr>
          <w:sz w:val="24"/>
        </w:rPr>
        <w:t>效率的测量方法有直接法和间接法两种，可任选一种。</w:t>
      </w:r>
    </w:p>
    <w:p>
      <w:pPr>
        <w:numPr>
          <w:ilvl w:val="0"/>
          <w:numId w:val="44"/>
        </w:numPr>
        <w:spacing w:line="360" w:lineRule="auto"/>
        <w:rPr>
          <w:sz w:val="24"/>
        </w:rPr>
      </w:pPr>
      <w:r>
        <w:rPr>
          <w:sz w:val="24"/>
        </w:rPr>
        <w:t>间接测量法：</w:t>
      </w:r>
    </w:p>
    <w:p>
      <w:pPr>
        <w:spacing w:line="360" w:lineRule="auto"/>
        <w:ind w:firstLine="540"/>
        <w:rPr>
          <w:sz w:val="24"/>
        </w:rPr>
      </w:pPr>
      <w:r>
        <w:rPr>
          <w:sz w:val="24"/>
        </w:rPr>
        <w:t>量出发电机本身各部分和辅助设备的损耗，这些损耗是：恒定损耗；负载损耗在制造厂内用电动机将发电机带动作空转、空载、三相短路等试验，分别测耗；励磁损耗；杂散损耗；辅助设备损耗等，将所有损耗加起来将得到总损耗∑P，按下式计算出效率，</w:t>
      </w:r>
    </w:p>
    <w:p>
      <w:pPr>
        <w:spacing w:line="360" w:lineRule="auto"/>
        <w:ind w:left="1800" w:firstLine="720"/>
        <w:rPr>
          <w:sz w:val="24"/>
        </w:rPr>
      </w:pPr>
      <w:r>
        <w:rPr>
          <w:sz w:val="24"/>
        </w:rPr>
        <w:t>η＝（１－∑P/（P</w:t>
      </w:r>
      <w:r>
        <w:rPr>
          <w:sz w:val="24"/>
          <w:vertAlign w:val="subscript"/>
        </w:rPr>
        <w:t>N</w:t>
      </w:r>
      <w:r>
        <w:rPr>
          <w:sz w:val="24"/>
        </w:rPr>
        <w:t>＋∑P））× 100%</w:t>
      </w:r>
    </w:p>
    <w:p>
      <w:pPr>
        <w:spacing w:line="360" w:lineRule="auto"/>
        <w:ind w:firstLine="540"/>
        <w:rPr>
          <w:sz w:val="24"/>
        </w:rPr>
      </w:pPr>
      <w:r>
        <w:rPr>
          <w:sz w:val="24"/>
        </w:rPr>
        <w:t>式中：P</w:t>
      </w:r>
      <w:r>
        <w:rPr>
          <w:sz w:val="24"/>
          <w:vertAlign w:val="subscript"/>
        </w:rPr>
        <w:t>N</w:t>
      </w:r>
      <w:r>
        <w:rPr>
          <w:sz w:val="24"/>
        </w:rPr>
        <w:t>－－发电机额定输出功率</w:t>
      </w:r>
    </w:p>
    <w:p>
      <w:pPr>
        <w:spacing w:line="360" w:lineRule="auto"/>
        <w:rPr>
          <w:sz w:val="24"/>
        </w:rPr>
      </w:pPr>
      <w:r>
        <w:rPr>
          <w:sz w:val="24"/>
        </w:rPr>
        <w:t xml:space="preserve">          ∑P －－发电机在额定负载时所有损耗之和</w:t>
      </w:r>
    </w:p>
    <w:p>
      <w:pPr>
        <w:spacing w:line="360" w:lineRule="auto"/>
        <w:rPr>
          <w:sz w:val="24"/>
        </w:rPr>
      </w:pPr>
      <w:r>
        <w:rPr>
          <w:sz w:val="24"/>
        </w:rPr>
        <w:t>试验方法详见GB1029《三相同步电机试验方法》</w:t>
      </w:r>
    </w:p>
    <w:p>
      <w:pPr>
        <w:numPr>
          <w:ilvl w:val="0"/>
          <w:numId w:val="44"/>
        </w:numPr>
        <w:spacing w:line="360" w:lineRule="auto"/>
        <w:rPr>
          <w:sz w:val="24"/>
        </w:rPr>
      </w:pPr>
      <w:r>
        <w:rPr>
          <w:sz w:val="24"/>
        </w:rPr>
        <w:t>直接测量法又称“量热法”</w:t>
      </w:r>
    </w:p>
    <w:p>
      <w:pPr>
        <w:spacing w:line="360" w:lineRule="auto"/>
        <w:ind w:firstLine="540"/>
        <w:rPr>
          <w:sz w:val="24"/>
        </w:rPr>
      </w:pPr>
      <w:r>
        <w:rPr>
          <w:sz w:val="24"/>
        </w:rPr>
        <w:t>此方法是在发电机带额定负荷下</w:t>
      </w:r>
    </w:p>
    <w:p>
      <w:pPr>
        <w:numPr>
          <w:ilvl w:val="0"/>
          <w:numId w:val="45"/>
        </w:numPr>
        <w:spacing w:line="360" w:lineRule="auto"/>
        <w:ind w:left="0" w:firstLine="0"/>
        <w:rPr>
          <w:sz w:val="24"/>
        </w:rPr>
      </w:pPr>
      <w:r>
        <w:rPr>
          <w:sz w:val="24"/>
        </w:rPr>
        <w:t>测量发电机基准表面内部损耗，这部分损耗包括定子线圈冷却水带走的损耗；通过冷却水带走的损耗；热传导到基础及轴上的损耗；机壳表面散掉的热量（折算成损耗）。</w:t>
      </w:r>
    </w:p>
    <w:p>
      <w:pPr>
        <w:numPr>
          <w:ilvl w:val="0"/>
          <w:numId w:val="45"/>
        </w:numPr>
        <w:spacing w:line="360" w:lineRule="auto"/>
        <w:ind w:left="0" w:firstLine="0"/>
        <w:rPr>
          <w:sz w:val="24"/>
        </w:rPr>
      </w:pPr>
      <w:r>
        <w:rPr>
          <w:sz w:val="24"/>
        </w:rPr>
        <w:t>测量基准表面外部损耗，这部分损耗包括励磁机冷却水带走的损耗；发电机轴承油带走的损耗；氢侧密封油带走的损耗；空侧密封油带走的损耗；励磁机轴承油带走的损耗。</w:t>
      </w:r>
    </w:p>
    <w:p>
      <w:pPr>
        <w:numPr>
          <w:ilvl w:val="0"/>
          <w:numId w:val="45"/>
        </w:numPr>
        <w:spacing w:line="360" w:lineRule="auto"/>
        <w:ind w:left="0" w:firstLine="0"/>
        <w:rPr>
          <w:sz w:val="24"/>
        </w:rPr>
      </w:pPr>
      <w:r>
        <w:rPr>
          <w:sz w:val="24"/>
        </w:rPr>
        <w:t>将所有的损耗加起来即为总损耗∑P</w:t>
      </w:r>
      <w:r>
        <w:rPr>
          <w:rFonts w:hint="eastAsia"/>
          <w:sz w:val="24"/>
        </w:rPr>
        <w:t>。</w:t>
      </w:r>
    </w:p>
    <w:p>
      <w:pPr>
        <w:numPr>
          <w:ilvl w:val="0"/>
          <w:numId w:val="45"/>
        </w:numPr>
        <w:spacing w:line="360" w:lineRule="auto"/>
        <w:ind w:left="0" w:firstLine="0"/>
        <w:rPr>
          <w:sz w:val="24"/>
        </w:rPr>
      </w:pPr>
      <w:r>
        <w:rPr>
          <w:sz w:val="24"/>
        </w:rPr>
        <w:t>按上式计算出效率。</w:t>
      </w:r>
    </w:p>
    <w:p>
      <w:pPr>
        <w:spacing w:line="360" w:lineRule="auto"/>
        <w:rPr>
          <w:sz w:val="24"/>
        </w:rPr>
      </w:pPr>
      <w:r>
        <w:rPr>
          <w:sz w:val="24"/>
        </w:rPr>
        <w:t>7.5.4发电机轴承座（轴），定子绕组端部振动和机座的自振频率</w:t>
      </w:r>
    </w:p>
    <w:p>
      <w:pPr>
        <w:numPr>
          <w:ilvl w:val="0"/>
          <w:numId w:val="46"/>
        </w:numPr>
        <w:spacing w:line="360" w:lineRule="auto"/>
        <w:rPr>
          <w:sz w:val="24"/>
        </w:rPr>
      </w:pPr>
      <w:r>
        <w:rPr>
          <w:sz w:val="24"/>
        </w:rPr>
        <w:t>发电机在现场机组成轴系，在额定转速、额定状态下测量各轴承座和轴振，定子绕组端部的振动值和机座的自振频率。</w:t>
      </w:r>
    </w:p>
    <w:p>
      <w:pPr>
        <w:numPr>
          <w:ilvl w:val="0"/>
          <w:numId w:val="46"/>
        </w:numPr>
        <w:spacing w:line="360" w:lineRule="auto"/>
        <w:rPr>
          <w:sz w:val="24"/>
        </w:rPr>
      </w:pPr>
      <w:r>
        <w:rPr>
          <w:sz w:val="24"/>
        </w:rPr>
        <w:t>测振表计使用前应经过有关单位进行校验，且在有效期间。</w:t>
      </w:r>
    </w:p>
    <w:p>
      <w:pPr>
        <w:numPr>
          <w:ilvl w:val="0"/>
          <w:numId w:val="46"/>
        </w:numPr>
        <w:spacing w:line="360" w:lineRule="auto"/>
        <w:rPr>
          <w:sz w:val="24"/>
        </w:rPr>
      </w:pPr>
      <w:r>
        <w:rPr>
          <w:sz w:val="24"/>
        </w:rPr>
        <w:t>轴承座振动限值。</w:t>
      </w:r>
    </w:p>
    <w:p>
      <w:pPr>
        <w:numPr>
          <w:ilvl w:val="1"/>
          <w:numId w:val="47"/>
        </w:numPr>
        <w:spacing w:line="360" w:lineRule="auto"/>
        <w:rPr>
          <w:sz w:val="24"/>
        </w:rPr>
      </w:pPr>
      <w:r>
        <w:rPr>
          <w:sz w:val="24"/>
        </w:rPr>
        <w:t>发电机各部分温升的测定。</w:t>
      </w:r>
    </w:p>
    <w:p>
      <w:pPr>
        <w:numPr>
          <w:ilvl w:val="1"/>
          <w:numId w:val="47"/>
        </w:numPr>
        <w:spacing w:line="360" w:lineRule="auto"/>
        <w:rPr>
          <w:sz w:val="24"/>
        </w:rPr>
      </w:pPr>
      <w:r>
        <w:rPr>
          <w:sz w:val="24"/>
        </w:rPr>
        <w:t>噪声的测定。</w:t>
      </w:r>
    </w:p>
    <w:p>
      <w:pPr>
        <w:numPr>
          <w:ilvl w:val="1"/>
          <w:numId w:val="47"/>
        </w:numPr>
        <w:spacing w:line="360" w:lineRule="auto"/>
        <w:ind w:left="0" w:firstLine="0"/>
        <w:rPr>
          <w:sz w:val="24"/>
        </w:rPr>
      </w:pPr>
      <w:r>
        <w:rPr>
          <w:sz w:val="24"/>
        </w:rPr>
        <w:t>性能验收试验所需的属于投标人供货范围内的测点、一次元件和就地仪表的装设应由投标人提供，并应符合有关规程、规范、标准的规定，并须经招标人确认。投标人也要提供试验所需的技术配合和人员配合。</w:t>
      </w:r>
    </w:p>
    <w:p>
      <w:pPr>
        <w:numPr>
          <w:ilvl w:val="1"/>
          <w:numId w:val="47"/>
        </w:numPr>
        <w:spacing w:line="360" w:lineRule="auto"/>
        <w:rPr>
          <w:sz w:val="24"/>
        </w:rPr>
      </w:pPr>
      <w:r>
        <w:rPr>
          <w:sz w:val="24"/>
        </w:rPr>
        <w:t>性能验收试验结果的确认（详见本合同商务部分）</w:t>
      </w:r>
    </w:p>
    <w:p>
      <w:pPr>
        <w:numPr>
          <w:ilvl w:val="0"/>
          <w:numId w:val="48"/>
        </w:numPr>
        <w:spacing w:line="360" w:lineRule="auto"/>
        <w:rPr>
          <w:sz w:val="24"/>
        </w:rPr>
      </w:pPr>
      <w:r>
        <w:rPr>
          <w:sz w:val="24"/>
        </w:rPr>
        <w:t>性能验收试验报告由测试单位编写，报告结论买卖双方均承认。</w:t>
      </w:r>
    </w:p>
    <w:p>
      <w:pPr>
        <w:numPr>
          <w:ilvl w:val="0"/>
          <w:numId w:val="48"/>
        </w:numPr>
        <w:spacing w:line="360" w:lineRule="auto"/>
        <w:rPr>
          <w:sz w:val="24"/>
        </w:rPr>
      </w:pPr>
      <w:r>
        <w:rPr>
          <w:sz w:val="24"/>
        </w:rPr>
        <w:t>进行性能验收试验时，一方接到另一方试验通知而不派人参加试验，则被视为对验收试验结果的同意。</w:t>
      </w:r>
    </w:p>
    <w:p>
      <w:pPr>
        <w:pStyle w:val="75"/>
        <w:spacing w:line="360" w:lineRule="auto"/>
        <w:rPr>
          <w:b/>
          <w:sz w:val="24"/>
        </w:rPr>
      </w:pPr>
      <w:r>
        <w:rPr>
          <w:b/>
          <w:sz w:val="24"/>
        </w:rPr>
        <w:t>8</w:t>
      </w:r>
      <w:r>
        <w:rPr>
          <w:b/>
          <w:sz w:val="24"/>
        </w:rPr>
        <w:tab/>
      </w:r>
      <w:r>
        <w:rPr>
          <w:b/>
          <w:sz w:val="24"/>
        </w:rPr>
        <w:t>仪表及控制系统试验及验收</w:t>
      </w:r>
    </w:p>
    <w:p>
      <w:pPr>
        <w:pStyle w:val="75"/>
        <w:spacing w:line="360" w:lineRule="auto"/>
        <w:rPr>
          <w:sz w:val="24"/>
        </w:rPr>
      </w:pPr>
      <w:r>
        <w:rPr>
          <w:sz w:val="24"/>
        </w:rPr>
        <w:t>8.1总则</w:t>
      </w:r>
    </w:p>
    <w:p>
      <w:pPr>
        <w:numPr>
          <w:ilvl w:val="0"/>
          <w:numId w:val="49"/>
        </w:numPr>
        <w:spacing w:line="360" w:lineRule="auto"/>
        <w:ind w:left="0" w:firstLine="0"/>
        <w:rPr>
          <w:sz w:val="24"/>
        </w:rPr>
      </w:pPr>
      <w:r>
        <w:rPr>
          <w:sz w:val="24"/>
        </w:rPr>
        <w:t>投标人在制造过程中，对设备的材料、连接、组装、工艺、整体以及功能进行试验和检查，以保证完全符合本规范书和已确认的设计图纸的要求。</w:t>
      </w:r>
    </w:p>
    <w:p>
      <w:pPr>
        <w:numPr>
          <w:ilvl w:val="0"/>
          <w:numId w:val="49"/>
        </w:numPr>
        <w:spacing w:line="360" w:lineRule="auto"/>
        <w:rPr>
          <w:sz w:val="24"/>
        </w:rPr>
      </w:pPr>
      <w:bookmarkStart w:id="50" w:name="_Toc155710370"/>
      <w:r>
        <w:rPr>
          <w:sz w:val="24"/>
        </w:rPr>
        <w:t>招标人有权在任何时候，对设备的质量管理情况，包括设备试验的记录进行检查。此外，还进行工厂验收试验、演示和现场试验。</w:t>
      </w:r>
      <w:bookmarkEnd w:id="50"/>
    </w:p>
    <w:p>
      <w:pPr>
        <w:numPr>
          <w:ilvl w:val="0"/>
          <w:numId w:val="49"/>
        </w:numPr>
        <w:spacing w:line="360" w:lineRule="auto"/>
        <w:rPr>
          <w:sz w:val="24"/>
        </w:rPr>
      </w:pPr>
      <w:bookmarkStart w:id="51" w:name="_Toc155710371"/>
      <w:r>
        <w:rPr>
          <w:sz w:val="24"/>
        </w:rPr>
        <w:t>在试验、检查和演示过程中，如发现任何不符合本规范书要求的硬件和软件。投标人都必须及时更换。由此而引起的任何费用都由投标人承担。更换后的硬件或软件还必须通过本规范书规定的试验和演示的要求。</w:t>
      </w:r>
      <w:bookmarkEnd w:id="51"/>
    </w:p>
    <w:p>
      <w:pPr>
        <w:pStyle w:val="75"/>
        <w:spacing w:line="360" w:lineRule="auto"/>
        <w:rPr>
          <w:sz w:val="24"/>
        </w:rPr>
      </w:pPr>
      <w:bookmarkStart w:id="52" w:name="_Toc155710372"/>
      <w:r>
        <w:rPr>
          <w:sz w:val="24"/>
        </w:rPr>
        <w:t>8.2</w:t>
      </w:r>
      <w:r>
        <w:rPr>
          <w:sz w:val="24"/>
        </w:rPr>
        <w:tab/>
      </w:r>
      <w:r>
        <w:rPr>
          <w:sz w:val="24"/>
        </w:rPr>
        <w:t>工厂验收试验和演示</w:t>
      </w:r>
      <w:bookmarkEnd w:id="52"/>
    </w:p>
    <w:p>
      <w:pPr>
        <w:spacing w:line="360" w:lineRule="auto"/>
        <w:ind w:firstLine="480" w:firstLineChars="200"/>
        <w:rPr>
          <w:sz w:val="24"/>
        </w:rPr>
      </w:pPr>
      <w:r>
        <w:rPr>
          <w:sz w:val="24"/>
        </w:rPr>
        <w:t>系统在设备制造、软件编制和反映目前系统真实状况的有关文件完成后，投标人应在发货前进行能使招标人满意的工厂验收试验和演示。</w:t>
      </w:r>
    </w:p>
    <w:p>
      <w:pPr>
        <w:spacing w:line="360" w:lineRule="auto"/>
        <w:ind w:firstLine="425"/>
        <w:rPr>
          <w:sz w:val="24"/>
        </w:rPr>
      </w:pPr>
      <w:r>
        <w:rPr>
          <w:sz w:val="24"/>
        </w:rPr>
        <w:t>除规定的工厂验收试验和演示外，招标人有权在投标人的工厂进行各单独功能的试验，包括硬件试验以及逐个回路的检查。在工厂验收和演示前，系统设计应体现出投标人在设备上所作的最新修改。</w:t>
      </w:r>
    </w:p>
    <w:p>
      <w:pPr>
        <w:numPr>
          <w:ilvl w:val="0"/>
          <w:numId w:val="50"/>
        </w:numPr>
        <w:spacing w:line="360" w:lineRule="auto"/>
        <w:rPr>
          <w:sz w:val="24"/>
        </w:rPr>
      </w:pPr>
      <w:bookmarkStart w:id="53" w:name="_Toc155710373"/>
      <w:r>
        <w:rPr>
          <w:sz w:val="24"/>
        </w:rPr>
        <w:t>试验步骤</w:t>
      </w:r>
      <w:bookmarkEnd w:id="53"/>
    </w:p>
    <w:p>
      <w:pPr>
        <w:spacing w:line="360" w:lineRule="auto"/>
        <w:ind w:firstLine="480" w:firstLineChars="200"/>
        <w:rPr>
          <w:sz w:val="24"/>
        </w:rPr>
      </w:pPr>
      <w:r>
        <w:rPr>
          <w:sz w:val="24"/>
        </w:rPr>
        <w:t>试验应包括所有的对系统的硬件和软件可能预期执行的功能进行合理的演示。试验应当是真实的。采用仿真设备对所有输入信号、组态和控制输出进行一个完整的功能闭环试验。</w:t>
      </w:r>
    </w:p>
    <w:p>
      <w:pPr>
        <w:spacing w:line="360" w:lineRule="auto"/>
        <w:ind w:firstLine="480" w:firstLineChars="200"/>
        <w:rPr>
          <w:sz w:val="24"/>
        </w:rPr>
      </w:pPr>
      <w:r>
        <w:rPr>
          <w:sz w:val="24"/>
        </w:rPr>
        <w:t>完成工厂试验后，招标人应观察一个被试验系统所进行的完整演示过程。投标人应提供充足的时间，至少应有三天时间来进行这一演示。如需延长试验时间，投标人应无偿满足要求。投标人应提供6套与目前系统设计功能一致的图纸，供招标人在试验期间使用。</w:t>
      </w:r>
    </w:p>
    <w:p>
      <w:pPr>
        <w:numPr>
          <w:ilvl w:val="0"/>
          <w:numId w:val="50"/>
        </w:numPr>
        <w:spacing w:line="360" w:lineRule="auto"/>
        <w:rPr>
          <w:sz w:val="24"/>
        </w:rPr>
      </w:pPr>
      <w:bookmarkStart w:id="54" w:name="_Toc155710374"/>
      <w:r>
        <w:rPr>
          <w:sz w:val="24"/>
        </w:rPr>
        <w:t>日程安排</w:t>
      </w:r>
      <w:bookmarkEnd w:id="54"/>
    </w:p>
    <w:p>
      <w:pPr>
        <w:spacing w:line="360" w:lineRule="auto"/>
        <w:ind w:firstLine="480" w:firstLineChars="200"/>
        <w:rPr>
          <w:sz w:val="24"/>
        </w:rPr>
      </w:pPr>
      <w:r>
        <w:rPr>
          <w:sz w:val="24"/>
        </w:rPr>
        <w:t>投标人在试验前应向招标人提交一份详细的试验方案，并在计划的工厂验收和演示试验前三周向招标人告知他们的准备情况，在招标人认可后，所有图纸和试验步骤才有效。</w:t>
      </w:r>
    </w:p>
    <w:p>
      <w:pPr>
        <w:numPr>
          <w:ilvl w:val="0"/>
          <w:numId w:val="50"/>
        </w:numPr>
        <w:spacing w:line="360" w:lineRule="auto"/>
        <w:rPr>
          <w:sz w:val="24"/>
        </w:rPr>
      </w:pPr>
      <w:bookmarkStart w:id="55" w:name="_Toc155710375"/>
      <w:r>
        <w:rPr>
          <w:sz w:val="24"/>
        </w:rPr>
        <w:t>设备</w:t>
      </w:r>
      <w:bookmarkEnd w:id="55"/>
    </w:p>
    <w:p>
      <w:pPr>
        <w:spacing w:line="360" w:lineRule="auto"/>
        <w:ind w:firstLine="480" w:firstLineChars="200"/>
        <w:rPr>
          <w:sz w:val="24"/>
        </w:rPr>
      </w:pPr>
      <w:r>
        <w:rPr>
          <w:sz w:val="24"/>
        </w:rPr>
        <w:t>投标人应提供进行全部工厂验收试验包括招标人选择的单独功能试验所必需的各种试验设备、仿真设备和人员。所有试验设备在试验前都须经过校验，并有校验记录。招标人在需要时应能得到这些数据。</w:t>
      </w:r>
    </w:p>
    <w:p>
      <w:pPr>
        <w:numPr>
          <w:ilvl w:val="0"/>
          <w:numId w:val="50"/>
        </w:numPr>
        <w:spacing w:line="360" w:lineRule="auto"/>
        <w:rPr>
          <w:sz w:val="24"/>
        </w:rPr>
      </w:pPr>
      <w:bookmarkStart w:id="56" w:name="_Toc155710376"/>
      <w:r>
        <w:rPr>
          <w:sz w:val="24"/>
        </w:rPr>
        <w:t>试验失败</w:t>
      </w:r>
      <w:bookmarkEnd w:id="56"/>
    </w:p>
    <w:p>
      <w:pPr>
        <w:spacing w:line="360" w:lineRule="auto"/>
        <w:ind w:firstLine="480" w:firstLineChars="200"/>
        <w:rPr>
          <w:sz w:val="24"/>
        </w:rPr>
      </w:pPr>
      <w:r>
        <w:rPr>
          <w:sz w:val="24"/>
        </w:rPr>
        <w:t>投标人应负责修改试验中碰到的所有系统问题，若某些系统需重新试验，则应进行由招标人任意指定的附加项目的试验和检查。投标人所供设备只有在成功地通过了试验和演示，并且双方在试验和演示报告上签字后，才能发运。</w:t>
      </w:r>
    </w:p>
    <w:p>
      <w:pPr>
        <w:spacing w:line="360" w:lineRule="auto"/>
        <w:ind w:firstLine="480" w:firstLineChars="200"/>
        <w:rPr>
          <w:sz w:val="24"/>
        </w:rPr>
      </w:pPr>
      <w:r>
        <w:rPr>
          <w:sz w:val="24"/>
        </w:rPr>
        <w:t>投标人理解并承诺完全响应上述条款的要求。</w:t>
      </w:r>
    </w:p>
    <w:p>
      <w:pPr>
        <w:spacing w:line="360" w:lineRule="auto"/>
        <w:outlineLvl w:val="0"/>
        <w:rPr>
          <w:b/>
          <w:sz w:val="28"/>
        </w:rPr>
      </w:pPr>
      <w:r>
        <w:rPr>
          <w:b/>
          <w:sz w:val="28"/>
        </w:rPr>
        <w:br w:type="page"/>
      </w:r>
      <w:bookmarkStart w:id="57" w:name="_Toc90192567"/>
      <w:bookmarkStart w:id="58" w:name="_Toc5863364"/>
      <w:bookmarkStart w:id="59" w:name="_Toc201637563"/>
      <w:bookmarkStart w:id="60" w:name="_Toc197658014"/>
      <w:r>
        <w:rPr>
          <w:b/>
          <w:sz w:val="28"/>
        </w:rPr>
        <w:t>附件6技术服务</w:t>
      </w:r>
      <w:bookmarkEnd w:id="57"/>
      <w:bookmarkStart w:id="61" w:name="_Toc90192568"/>
      <w:r>
        <w:rPr>
          <w:b/>
          <w:sz w:val="28"/>
        </w:rPr>
        <w:t>和设计联络</w:t>
      </w:r>
      <w:bookmarkEnd w:id="58"/>
      <w:bookmarkEnd w:id="59"/>
      <w:bookmarkEnd w:id="60"/>
    </w:p>
    <w:p>
      <w:pPr>
        <w:spacing w:line="360" w:lineRule="auto"/>
        <w:rPr>
          <w:b/>
          <w:sz w:val="24"/>
        </w:rPr>
      </w:pPr>
      <w:r>
        <w:rPr>
          <w:b/>
          <w:sz w:val="24"/>
        </w:rPr>
        <w:t>1.投标人现场技术服务</w:t>
      </w:r>
      <w:bookmarkEnd w:id="61"/>
    </w:p>
    <w:p>
      <w:pPr>
        <w:spacing w:line="360" w:lineRule="auto"/>
        <w:rPr>
          <w:sz w:val="24"/>
        </w:rPr>
      </w:pPr>
      <w:r>
        <w:rPr>
          <w:sz w:val="24"/>
        </w:rPr>
        <w:t>1.1为保证所供设备的正确安装、启动、安全运行和性能指标，以及相互的工作联系，投标人要派若干合格的现场服务人员到现场服务。投标人应将服务人月数计划表按下表列出。如果该人月数不能满足今后实际工程需要，投标人应免费追加人月数。合同设备处在安装调试状态时，投标人服务人员必须始终在施工现场。</w:t>
      </w:r>
    </w:p>
    <w:p>
      <w:pPr>
        <w:pStyle w:val="20"/>
        <w:rPr>
          <w:rFonts w:ascii="Times New Roman"/>
          <w:sz w:val="24"/>
        </w:rPr>
      </w:pPr>
      <w:r>
        <w:rPr>
          <w:rFonts w:ascii="Times New Roman"/>
          <w:kern w:val="2"/>
          <w:sz w:val="24"/>
        </w:rPr>
        <w:t>服务人员计划表</w:t>
      </w:r>
    </w:p>
    <w:tbl>
      <w:tblPr>
        <w:tblStyle w:val="49"/>
        <w:tblW w:w="870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6"/>
        <w:gridCol w:w="2964"/>
        <w:gridCol w:w="1080"/>
        <w:gridCol w:w="900"/>
        <w:gridCol w:w="900"/>
        <w:gridCol w:w="21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0" w:hRule="atLeast"/>
        </w:trPr>
        <w:tc>
          <w:tcPr>
            <w:tcW w:w="696" w:type="dxa"/>
            <w:vMerge w:val="restart"/>
            <w:vAlign w:val="center"/>
          </w:tcPr>
          <w:p>
            <w:pPr>
              <w:spacing w:line="360" w:lineRule="auto"/>
              <w:jc w:val="center"/>
              <w:rPr>
                <w:sz w:val="24"/>
              </w:rPr>
            </w:pPr>
            <w:r>
              <w:rPr>
                <w:sz w:val="24"/>
              </w:rPr>
              <w:t>序号</w:t>
            </w:r>
          </w:p>
        </w:tc>
        <w:tc>
          <w:tcPr>
            <w:tcW w:w="2964" w:type="dxa"/>
            <w:vMerge w:val="restart"/>
            <w:vAlign w:val="center"/>
          </w:tcPr>
          <w:p>
            <w:pPr>
              <w:spacing w:line="360" w:lineRule="auto"/>
              <w:jc w:val="center"/>
              <w:rPr>
                <w:sz w:val="24"/>
              </w:rPr>
            </w:pPr>
            <w:r>
              <w:rPr>
                <w:sz w:val="24"/>
              </w:rPr>
              <w:t>技术服务内容</w:t>
            </w:r>
          </w:p>
        </w:tc>
        <w:tc>
          <w:tcPr>
            <w:tcW w:w="1080" w:type="dxa"/>
            <w:vMerge w:val="restart"/>
            <w:vAlign w:val="center"/>
          </w:tcPr>
          <w:p>
            <w:pPr>
              <w:spacing w:line="360" w:lineRule="auto"/>
              <w:jc w:val="center"/>
              <w:rPr>
                <w:sz w:val="24"/>
              </w:rPr>
            </w:pPr>
            <w:r>
              <w:rPr>
                <w:sz w:val="24"/>
              </w:rPr>
              <w:t>计划</w:t>
            </w:r>
          </w:p>
          <w:p>
            <w:pPr>
              <w:spacing w:line="360" w:lineRule="auto"/>
              <w:jc w:val="center"/>
              <w:rPr>
                <w:sz w:val="24"/>
              </w:rPr>
            </w:pPr>
            <w:r>
              <w:rPr>
                <w:sz w:val="24"/>
              </w:rPr>
              <w:t>人日数</w:t>
            </w:r>
          </w:p>
        </w:tc>
        <w:tc>
          <w:tcPr>
            <w:tcW w:w="1800" w:type="dxa"/>
            <w:gridSpan w:val="2"/>
            <w:vAlign w:val="center"/>
          </w:tcPr>
          <w:p>
            <w:pPr>
              <w:spacing w:line="360" w:lineRule="auto"/>
              <w:jc w:val="center"/>
              <w:rPr>
                <w:sz w:val="24"/>
              </w:rPr>
            </w:pPr>
            <w:r>
              <w:rPr>
                <w:sz w:val="24"/>
              </w:rPr>
              <w:t>派出人员构成</w:t>
            </w:r>
          </w:p>
        </w:tc>
        <w:tc>
          <w:tcPr>
            <w:tcW w:w="2160" w:type="dxa"/>
            <w:vMerge w:val="restart"/>
            <w:vAlign w:val="center"/>
          </w:tcPr>
          <w:p>
            <w:pPr>
              <w:spacing w:line="360" w:lineRule="auto"/>
              <w:jc w:val="center"/>
              <w:rPr>
                <w:sz w:val="24"/>
              </w:rPr>
            </w:pPr>
            <w:r>
              <w:rPr>
                <w:sz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0" w:hRule="atLeast"/>
        </w:trPr>
        <w:tc>
          <w:tcPr>
            <w:tcW w:w="696" w:type="dxa"/>
            <w:vMerge w:val="continue"/>
          </w:tcPr>
          <w:p>
            <w:pPr>
              <w:spacing w:line="360" w:lineRule="auto"/>
              <w:rPr>
                <w:sz w:val="24"/>
              </w:rPr>
            </w:pPr>
          </w:p>
        </w:tc>
        <w:tc>
          <w:tcPr>
            <w:tcW w:w="2964" w:type="dxa"/>
            <w:vMerge w:val="continue"/>
          </w:tcPr>
          <w:p>
            <w:pPr>
              <w:spacing w:line="360" w:lineRule="auto"/>
              <w:rPr>
                <w:sz w:val="24"/>
              </w:rPr>
            </w:pPr>
          </w:p>
        </w:tc>
        <w:tc>
          <w:tcPr>
            <w:tcW w:w="1080" w:type="dxa"/>
            <w:vMerge w:val="continue"/>
          </w:tcPr>
          <w:p>
            <w:pPr>
              <w:spacing w:line="360" w:lineRule="auto"/>
              <w:rPr>
                <w:sz w:val="24"/>
              </w:rPr>
            </w:pPr>
          </w:p>
        </w:tc>
        <w:tc>
          <w:tcPr>
            <w:tcW w:w="900" w:type="dxa"/>
          </w:tcPr>
          <w:p>
            <w:pPr>
              <w:spacing w:line="360" w:lineRule="auto"/>
              <w:jc w:val="center"/>
              <w:rPr>
                <w:sz w:val="24"/>
              </w:rPr>
            </w:pPr>
            <w:r>
              <w:rPr>
                <w:sz w:val="24"/>
              </w:rPr>
              <w:t>职称</w:t>
            </w:r>
          </w:p>
        </w:tc>
        <w:tc>
          <w:tcPr>
            <w:tcW w:w="900" w:type="dxa"/>
          </w:tcPr>
          <w:p>
            <w:pPr>
              <w:spacing w:line="360" w:lineRule="auto"/>
              <w:jc w:val="center"/>
              <w:rPr>
                <w:sz w:val="24"/>
              </w:rPr>
            </w:pPr>
            <w:r>
              <w:rPr>
                <w:sz w:val="24"/>
              </w:rPr>
              <w:t>人数</w:t>
            </w:r>
          </w:p>
        </w:tc>
        <w:tc>
          <w:tcPr>
            <w:tcW w:w="2160" w:type="dxa"/>
            <w:vMerge w:val="continue"/>
          </w:tcPr>
          <w:p>
            <w:pPr>
              <w:spacing w:line="360" w:lineRule="auto"/>
              <w:rPr>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96" w:type="dxa"/>
          </w:tcPr>
          <w:p>
            <w:pPr>
              <w:spacing w:line="360" w:lineRule="auto"/>
              <w:jc w:val="center"/>
              <w:rPr>
                <w:sz w:val="24"/>
              </w:rPr>
            </w:pPr>
          </w:p>
        </w:tc>
        <w:tc>
          <w:tcPr>
            <w:tcW w:w="2964" w:type="dxa"/>
            <w:vAlign w:val="center"/>
          </w:tcPr>
          <w:p>
            <w:pPr>
              <w:spacing w:line="360" w:lineRule="auto"/>
              <w:rPr>
                <w:sz w:val="24"/>
              </w:rPr>
            </w:pPr>
          </w:p>
        </w:tc>
        <w:tc>
          <w:tcPr>
            <w:tcW w:w="1080" w:type="dxa"/>
          </w:tcPr>
          <w:p>
            <w:pPr>
              <w:spacing w:line="360" w:lineRule="auto"/>
              <w:jc w:val="center"/>
              <w:rPr>
                <w:sz w:val="24"/>
              </w:rPr>
            </w:pPr>
          </w:p>
        </w:tc>
        <w:tc>
          <w:tcPr>
            <w:tcW w:w="900" w:type="dxa"/>
          </w:tcPr>
          <w:p>
            <w:pPr>
              <w:spacing w:line="360" w:lineRule="auto"/>
              <w:jc w:val="center"/>
              <w:rPr>
                <w:sz w:val="24"/>
              </w:rPr>
            </w:pPr>
          </w:p>
        </w:tc>
        <w:tc>
          <w:tcPr>
            <w:tcW w:w="900" w:type="dxa"/>
          </w:tcPr>
          <w:p>
            <w:pPr>
              <w:spacing w:line="360" w:lineRule="auto"/>
              <w:jc w:val="center"/>
              <w:rPr>
                <w:sz w:val="24"/>
              </w:rPr>
            </w:pPr>
          </w:p>
        </w:tc>
        <w:tc>
          <w:tcPr>
            <w:tcW w:w="2160" w:type="dxa"/>
          </w:tcPr>
          <w:p>
            <w:pPr>
              <w:spacing w:line="360" w:lineRule="auto"/>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96" w:type="dxa"/>
          </w:tcPr>
          <w:p>
            <w:pPr>
              <w:spacing w:line="360" w:lineRule="auto"/>
              <w:jc w:val="center"/>
              <w:rPr>
                <w:sz w:val="24"/>
              </w:rPr>
            </w:pPr>
          </w:p>
        </w:tc>
        <w:tc>
          <w:tcPr>
            <w:tcW w:w="2964" w:type="dxa"/>
            <w:vAlign w:val="center"/>
          </w:tcPr>
          <w:p>
            <w:pPr>
              <w:spacing w:line="360" w:lineRule="auto"/>
              <w:rPr>
                <w:sz w:val="24"/>
              </w:rPr>
            </w:pPr>
          </w:p>
        </w:tc>
        <w:tc>
          <w:tcPr>
            <w:tcW w:w="1080" w:type="dxa"/>
          </w:tcPr>
          <w:p>
            <w:pPr>
              <w:spacing w:line="360" w:lineRule="auto"/>
              <w:jc w:val="center"/>
              <w:rPr>
                <w:sz w:val="24"/>
              </w:rPr>
            </w:pPr>
          </w:p>
        </w:tc>
        <w:tc>
          <w:tcPr>
            <w:tcW w:w="900" w:type="dxa"/>
          </w:tcPr>
          <w:p>
            <w:pPr>
              <w:spacing w:line="360" w:lineRule="auto"/>
              <w:jc w:val="center"/>
              <w:rPr>
                <w:sz w:val="24"/>
              </w:rPr>
            </w:pPr>
          </w:p>
        </w:tc>
        <w:tc>
          <w:tcPr>
            <w:tcW w:w="900" w:type="dxa"/>
          </w:tcPr>
          <w:p>
            <w:pPr>
              <w:spacing w:line="360" w:lineRule="auto"/>
              <w:jc w:val="center"/>
              <w:rPr>
                <w:sz w:val="24"/>
              </w:rPr>
            </w:pPr>
          </w:p>
        </w:tc>
        <w:tc>
          <w:tcPr>
            <w:tcW w:w="2160" w:type="dxa"/>
          </w:tcPr>
          <w:p>
            <w:pPr>
              <w:spacing w:line="360" w:lineRule="auto"/>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96" w:type="dxa"/>
          </w:tcPr>
          <w:p>
            <w:pPr>
              <w:spacing w:line="360" w:lineRule="auto"/>
              <w:jc w:val="center"/>
              <w:rPr>
                <w:sz w:val="24"/>
              </w:rPr>
            </w:pPr>
          </w:p>
        </w:tc>
        <w:tc>
          <w:tcPr>
            <w:tcW w:w="2964" w:type="dxa"/>
            <w:vAlign w:val="center"/>
          </w:tcPr>
          <w:p>
            <w:pPr>
              <w:spacing w:line="360" w:lineRule="auto"/>
              <w:rPr>
                <w:sz w:val="24"/>
              </w:rPr>
            </w:pPr>
          </w:p>
        </w:tc>
        <w:tc>
          <w:tcPr>
            <w:tcW w:w="1080" w:type="dxa"/>
          </w:tcPr>
          <w:p>
            <w:pPr>
              <w:spacing w:line="360" w:lineRule="auto"/>
              <w:jc w:val="center"/>
              <w:rPr>
                <w:sz w:val="24"/>
              </w:rPr>
            </w:pPr>
          </w:p>
        </w:tc>
        <w:tc>
          <w:tcPr>
            <w:tcW w:w="900" w:type="dxa"/>
          </w:tcPr>
          <w:p>
            <w:pPr>
              <w:spacing w:line="360" w:lineRule="auto"/>
              <w:jc w:val="center"/>
              <w:rPr>
                <w:sz w:val="24"/>
              </w:rPr>
            </w:pPr>
          </w:p>
        </w:tc>
        <w:tc>
          <w:tcPr>
            <w:tcW w:w="900" w:type="dxa"/>
          </w:tcPr>
          <w:p>
            <w:pPr>
              <w:spacing w:line="360" w:lineRule="auto"/>
              <w:jc w:val="center"/>
              <w:rPr>
                <w:sz w:val="24"/>
              </w:rPr>
            </w:pPr>
          </w:p>
        </w:tc>
        <w:tc>
          <w:tcPr>
            <w:tcW w:w="2160" w:type="dxa"/>
          </w:tcPr>
          <w:p>
            <w:pPr>
              <w:spacing w:line="360" w:lineRule="auto"/>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96" w:type="dxa"/>
          </w:tcPr>
          <w:p>
            <w:pPr>
              <w:spacing w:line="360" w:lineRule="auto"/>
              <w:rPr>
                <w:sz w:val="24"/>
              </w:rPr>
            </w:pPr>
          </w:p>
        </w:tc>
        <w:tc>
          <w:tcPr>
            <w:tcW w:w="2964" w:type="dxa"/>
            <w:vAlign w:val="center"/>
          </w:tcPr>
          <w:p>
            <w:pPr>
              <w:spacing w:line="360" w:lineRule="auto"/>
              <w:rPr>
                <w:sz w:val="24"/>
              </w:rPr>
            </w:pPr>
          </w:p>
        </w:tc>
        <w:tc>
          <w:tcPr>
            <w:tcW w:w="1080" w:type="dxa"/>
          </w:tcPr>
          <w:p>
            <w:pPr>
              <w:spacing w:line="360" w:lineRule="auto"/>
              <w:ind w:firstLine="240" w:firstLineChars="100"/>
              <w:rPr>
                <w:sz w:val="24"/>
              </w:rPr>
            </w:pPr>
          </w:p>
        </w:tc>
        <w:tc>
          <w:tcPr>
            <w:tcW w:w="900" w:type="dxa"/>
          </w:tcPr>
          <w:p>
            <w:pPr>
              <w:spacing w:line="360" w:lineRule="auto"/>
              <w:rPr>
                <w:sz w:val="24"/>
              </w:rPr>
            </w:pPr>
          </w:p>
        </w:tc>
        <w:tc>
          <w:tcPr>
            <w:tcW w:w="900" w:type="dxa"/>
          </w:tcPr>
          <w:p>
            <w:pPr>
              <w:spacing w:line="360" w:lineRule="auto"/>
              <w:ind w:firstLine="240" w:firstLineChars="100"/>
              <w:rPr>
                <w:sz w:val="24"/>
              </w:rPr>
            </w:pPr>
          </w:p>
        </w:tc>
        <w:tc>
          <w:tcPr>
            <w:tcW w:w="2160" w:type="dxa"/>
          </w:tcPr>
          <w:p>
            <w:pPr>
              <w:spacing w:line="360" w:lineRule="auto"/>
              <w:rPr>
                <w:sz w:val="24"/>
              </w:rPr>
            </w:pPr>
          </w:p>
        </w:tc>
      </w:tr>
    </w:tbl>
    <w:p>
      <w:pPr>
        <w:pStyle w:val="20"/>
        <w:ind w:firstLine="480" w:firstLineChars="200"/>
        <w:rPr>
          <w:rFonts w:ascii="Times New Roman"/>
          <w:kern w:val="2"/>
          <w:sz w:val="24"/>
        </w:rPr>
      </w:pPr>
      <w:r>
        <w:rPr>
          <w:rFonts w:ascii="Times New Roman"/>
          <w:kern w:val="2"/>
          <w:sz w:val="24"/>
        </w:rPr>
        <w:t>投标人现场技术服务人员所发生的一切费用包括工资、差旅费、住宿、办公及通讯联络等均包括在合同报价内。</w:t>
      </w:r>
    </w:p>
    <w:p>
      <w:pPr>
        <w:spacing w:line="360" w:lineRule="auto"/>
        <w:rPr>
          <w:sz w:val="24"/>
        </w:rPr>
      </w:pPr>
      <w:r>
        <w:rPr>
          <w:sz w:val="24"/>
        </w:rPr>
        <w:t>1.2投标人现场服务人员的条件：</w:t>
      </w:r>
    </w:p>
    <w:p>
      <w:pPr>
        <w:spacing w:line="360" w:lineRule="auto"/>
        <w:rPr>
          <w:sz w:val="24"/>
        </w:rPr>
      </w:pPr>
      <w:r>
        <w:rPr>
          <w:sz w:val="24"/>
        </w:rPr>
        <w:t>1.2.1遵纪守法，遵守现场的各项规章和制度，熟悉并掌握现场和电厂有关安全方面的规章制度。</w:t>
      </w:r>
    </w:p>
    <w:p>
      <w:pPr>
        <w:spacing w:line="360" w:lineRule="auto"/>
        <w:rPr>
          <w:sz w:val="24"/>
        </w:rPr>
      </w:pPr>
      <w:r>
        <w:rPr>
          <w:sz w:val="24"/>
        </w:rPr>
        <w:t>1.2.2工作责任心强，身体健康，适应现场工作条件。</w:t>
      </w:r>
    </w:p>
    <w:p>
      <w:pPr>
        <w:spacing w:line="360" w:lineRule="auto"/>
        <w:rPr>
          <w:sz w:val="24"/>
        </w:rPr>
      </w:pPr>
      <w:r>
        <w:rPr>
          <w:sz w:val="24"/>
        </w:rPr>
        <w:t>1.2.3了解合同设备的设计，熟悉其结构，有三年以上相同或相近机组的现场工作经验，能够正确地进行现场指导。</w:t>
      </w:r>
    </w:p>
    <w:p>
      <w:pPr>
        <w:spacing w:line="360" w:lineRule="auto"/>
        <w:rPr>
          <w:sz w:val="24"/>
        </w:rPr>
      </w:pPr>
      <w:r>
        <w:rPr>
          <w:sz w:val="24"/>
        </w:rPr>
        <w:t>1.2.4招标人有权要求更换不称职的投标人现场技术服务人员，投标人应及时更换。</w:t>
      </w:r>
    </w:p>
    <w:p>
      <w:pPr>
        <w:spacing w:line="360" w:lineRule="auto"/>
        <w:rPr>
          <w:sz w:val="24"/>
        </w:rPr>
      </w:pPr>
      <w:r>
        <w:rPr>
          <w:sz w:val="24"/>
        </w:rPr>
        <w:t>1.2.5国外技术人员到现场的语言交流翻译应由投标人配备，外国专家在现场期间的管理由投标人负责。</w:t>
      </w:r>
    </w:p>
    <w:p>
      <w:pPr>
        <w:spacing w:line="360" w:lineRule="auto"/>
        <w:rPr>
          <w:sz w:val="24"/>
        </w:rPr>
      </w:pPr>
      <w:r>
        <w:rPr>
          <w:sz w:val="24"/>
        </w:rPr>
        <w:t>1.3投标人现场服务人员的职责</w:t>
      </w:r>
    </w:p>
    <w:p>
      <w:pPr>
        <w:spacing w:line="360" w:lineRule="auto"/>
        <w:rPr>
          <w:sz w:val="24"/>
        </w:rPr>
      </w:pPr>
      <w:r>
        <w:rPr>
          <w:sz w:val="24"/>
        </w:rPr>
        <w:t>1.3.1投标人现场服务人员的任务主要包括设备催交、货物的开箱检验及买卖双方的日常技术联络。在设备开始安装后的任务为指导安装和调试工作，监督工程质量及调试质量，并符合工厂设计要求，处理设备缺陷及设计变更等，后期要参加试运行和性能考核试验。</w:t>
      </w:r>
    </w:p>
    <w:p>
      <w:pPr>
        <w:spacing w:line="360" w:lineRule="auto"/>
        <w:rPr>
          <w:sz w:val="24"/>
        </w:rPr>
      </w:pPr>
      <w:r>
        <w:rPr>
          <w:sz w:val="24"/>
        </w:rPr>
        <w:t>1.3.2在安装和调试前，投标人技术服务人员应向招标人进行设计意图和安装程序及安装要点的技术交底和解释，必要时进行示范操作。对重要工作项目应实行每个工序的检查指导和监督，实行工序签证制度，否则，招标人不能进行下一道工序。经投标人签证的工序如因投标人技术服务人员的指导错误而发生的问题，由投标人负全部责任。投标人对重要工作项目的认定，见下表：</w:t>
      </w:r>
    </w:p>
    <w:tbl>
      <w:tblPr>
        <w:tblStyle w:val="49"/>
        <w:tblW w:w="918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340"/>
        <w:gridCol w:w="5040"/>
        <w:gridCol w:w="10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20" w:type="dxa"/>
          </w:tcPr>
          <w:p>
            <w:pPr>
              <w:spacing w:line="360" w:lineRule="auto"/>
              <w:rPr>
                <w:sz w:val="24"/>
              </w:rPr>
            </w:pPr>
            <w:r>
              <w:rPr>
                <w:sz w:val="24"/>
              </w:rPr>
              <w:t>序号</w:t>
            </w:r>
          </w:p>
        </w:tc>
        <w:tc>
          <w:tcPr>
            <w:tcW w:w="2340" w:type="dxa"/>
          </w:tcPr>
          <w:p>
            <w:pPr>
              <w:spacing w:line="360" w:lineRule="auto"/>
              <w:rPr>
                <w:sz w:val="24"/>
              </w:rPr>
            </w:pPr>
            <w:r>
              <w:rPr>
                <w:sz w:val="24"/>
              </w:rPr>
              <w:t>工作项目名称</w:t>
            </w:r>
          </w:p>
        </w:tc>
        <w:tc>
          <w:tcPr>
            <w:tcW w:w="5040" w:type="dxa"/>
          </w:tcPr>
          <w:p>
            <w:pPr>
              <w:spacing w:line="360" w:lineRule="auto"/>
              <w:rPr>
                <w:sz w:val="24"/>
              </w:rPr>
            </w:pPr>
            <w:r>
              <w:rPr>
                <w:sz w:val="24"/>
              </w:rPr>
              <w:t>工序主要内容</w:t>
            </w:r>
          </w:p>
        </w:tc>
        <w:tc>
          <w:tcPr>
            <w:tcW w:w="1080" w:type="dxa"/>
          </w:tcPr>
          <w:p>
            <w:pPr>
              <w:spacing w:line="360" w:lineRule="auto"/>
              <w:rPr>
                <w:sz w:val="24"/>
              </w:rPr>
            </w:pPr>
            <w:r>
              <w:rPr>
                <w:sz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spacing w:line="360" w:lineRule="auto"/>
              <w:rPr>
                <w:sz w:val="24"/>
              </w:rPr>
            </w:pPr>
          </w:p>
        </w:tc>
        <w:tc>
          <w:tcPr>
            <w:tcW w:w="2340" w:type="dxa"/>
            <w:vAlign w:val="center"/>
          </w:tcPr>
          <w:p>
            <w:pPr>
              <w:spacing w:line="360" w:lineRule="auto"/>
              <w:rPr>
                <w:sz w:val="24"/>
              </w:rPr>
            </w:pPr>
          </w:p>
        </w:tc>
        <w:tc>
          <w:tcPr>
            <w:tcW w:w="5040" w:type="dxa"/>
            <w:vAlign w:val="center"/>
          </w:tcPr>
          <w:p>
            <w:pPr>
              <w:spacing w:line="360" w:lineRule="auto"/>
              <w:rPr>
                <w:sz w:val="24"/>
              </w:rPr>
            </w:pPr>
          </w:p>
        </w:tc>
        <w:tc>
          <w:tcPr>
            <w:tcW w:w="1080" w:type="dxa"/>
          </w:tcPr>
          <w:p>
            <w:pPr>
              <w:spacing w:line="360" w:lineRule="auto"/>
              <w:rPr>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spacing w:line="360" w:lineRule="auto"/>
              <w:rPr>
                <w:sz w:val="24"/>
              </w:rPr>
            </w:pPr>
          </w:p>
        </w:tc>
        <w:tc>
          <w:tcPr>
            <w:tcW w:w="2340" w:type="dxa"/>
            <w:vAlign w:val="center"/>
          </w:tcPr>
          <w:p>
            <w:pPr>
              <w:spacing w:line="360" w:lineRule="auto"/>
              <w:rPr>
                <w:sz w:val="24"/>
              </w:rPr>
            </w:pPr>
          </w:p>
        </w:tc>
        <w:tc>
          <w:tcPr>
            <w:tcW w:w="5040" w:type="dxa"/>
            <w:vAlign w:val="center"/>
          </w:tcPr>
          <w:p>
            <w:pPr>
              <w:spacing w:line="360" w:lineRule="auto"/>
              <w:rPr>
                <w:sz w:val="24"/>
              </w:rPr>
            </w:pPr>
          </w:p>
        </w:tc>
        <w:tc>
          <w:tcPr>
            <w:tcW w:w="1080" w:type="dxa"/>
          </w:tcPr>
          <w:p>
            <w:pPr>
              <w:spacing w:line="360" w:lineRule="auto"/>
              <w:rPr>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20" w:type="dxa"/>
            <w:vAlign w:val="center"/>
          </w:tcPr>
          <w:p>
            <w:pPr>
              <w:spacing w:line="360" w:lineRule="auto"/>
              <w:rPr>
                <w:sz w:val="24"/>
              </w:rPr>
            </w:pPr>
          </w:p>
        </w:tc>
        <w:tc>
          <w:tcPr>
            <w:tcW w:w="2340" w:type="dxa"/>
            <w:vAlign w:val="center"/>
          </w:tcPr>
          <w:p>
            <w:pPr>
              <w:spacing w:line="360" w:lineRule="auto"/>
              <w:rPr>
                <w:sz w:val="24"/>
              </w:rPr>
            </w:pPr>
          </w:p>
        </w:tc>
        <w:tc>
          <w:tcPr>
            <w:tcW w:w="5040" w:type="dxa"/>
            <w:vAlign w:val="center"/>
          </w:tcPr>
          <w:p>
            <w:pPr>
              <w:spacing w:line="360" w:lineRule="auto"/>
              <w:rPr>
                <w:sz w:val="24"/>
              </w:rPr>
            </w:pPr>
          </w:p>
        </w:tc>
        <w:tc>
          <w:tcPr>
            <w:tcW w:w="1080" w:type="dxa"/>
          </w:tcPr>
          <w:p>
            <w:pPr>
              <w:spacing w:line="360" w:lineRule="auto"/>
              <w:rPr>
                <w:sz w:val="24"/>
              </w:rPr>
            </w:pPr>
          </w:p>
        </w:tc>
      </w:tr>
    </w:tbl>
    <w:p>
      <w:pPr>
        <w:spacing w:line="360" w:lineRule="auto"/>
        <w:rPr>
          <w:sz w:val="24"/>
        </w:rPr>
      </w:pPr>
    </w:p>
    <w:p>
      <w:pPr>
        <w:spacing w:line="360" w:lineRule="auto"/>
        <w:rPr>
          <w:sz w:val="24"/>
        </w:rPr>
      </w:pPr>
      <w:r>
        <w:rPr>
          <w:sz w:val="24"/>
        </w:rPr>
        <w:t>1.3.3投标人现场服务人员应有权全权处理现场出现的一切技术和商务问题。如现场发生质量问题或有重大设计变更，投标人现场人员要在招标人规定的时间内予以解决。如投标人委托招标人进行处理，要出具委托书并承担相应的经济责任。</w:t>
      </w:r>
    </w:p>
    <w:p>
      <w:pPr>
        <w:spacing w:line="360" w:lineRule="auto"/>
        <w:rPr>
          <w:sz w:val="24"/>
        </w:rPr>
      </w:pPr>
      <w:r>
        <w:rPr>
          <w:sz w:val="24"/>
        </w:rPr>
        <w:t>1.3.4投标人现场服务人员的正常来去和更换应事先与招标人协商。</w:t>
      </w:r>
    </w:p>
    <w:p>
      <w:pPr>
        <w:spacing w:line="360" w:lineRule="auto"/>
        <w:rPr>
          <w:sz w:val="24"/>
        </w:rPr>
      </w:pPr>
      <w:r>
        <w:rPr>
          <w:sz w:val="24"/>
        </w:rPr>
        <w:t>1.3.5投标人对其现场服务人员的一切行为负全部责任。</w:t>
      </w:r>
    </w:p>
    <w:p>
      <w:pPr>
        <w:spacing w:line="360" w:lineRule="auto"/>
        <w:rPr>
          <w:sz w:val="24"/>
        </w:rPr>
      </w:pPr>
      <w:r>
        <w:rPr>
          <w:sz w:val="24"/>
        </w:rPr>
        <w:t>1.4招标人的义务</w:t>
      </w:r>
    </w:p>
    <w:p>
      <w:pPr>
        <w:spacing w:line="360" w:lineRule="auto"/>
        <w:ind w:firstLine="600" w:firstLineChars="250"/>
        <w:rPr>
          <w:sz w:val="24"/>
        </w:rPr>
      </w:pPr>
      <w:r>
        <w:rPr>
          <w:sz w:val="24"/>
        </w:rPr>
        <w:t>招标人要配合投标人现场服务人员的工作，并在生活、交通和通讯上</w:t>
      </w:r>
      <w:r>
        <w:rPr>
          <w:rFonts w:hint="eastAsia"/>
          <w:sz w:val="24"/>
        </w:rPr>
        <w:t>为</w:t>
      </w:r>
      <w:r>
        <w:rPr>
          <w:sz w:val="24"/>
        </w:rPr>
        <w:t>投标人</w:t>
      </w:r>
      <w:r>
        <w:rPr>
          <w:rFonts w:hint="eastAsia"/>
          <w:sz w:val="24"/>
        </w:rPr>
        <w:t>提供便利</w:t>
      </w:r>
      <w:r>
        <w:rPr>
          <w:sz w:val="24"/>
        </w:rPr>
        <w:t>，费用自理。</w:t>
      </w:r>
    </w:p>
    <w:p>
      <w:pPr>
        <w:spacing w:line="360" w:lineRule="auto"/>
        <w:rPr>
          <w:b/>
          <w:sz w:val="24"/>
        </w:rPr>
      </w:pPr>
      <w:r>
        <w:rPr>
          <w:b/>
          <w:sz w:val="24"/>
        </w:rPr>
        <w:t>2.培训</w:t>
      </w:r>
    </w:p>
    <w:p>
      <w:pPr>
        <w:spacing w:line="360" w:lineRule="auto"/>
        <w:rPr>
          <w:sz w:val="24"/>
        </w:rPr>
      </w:pPr>
      <w:r>
        <w:rPr>
          <w:sz w:val="24"/>
        </w:rPr>
        <w:t>2.1为使合同设备能正常安装、调试、运行、维护及检修，投标人有责任对招标人的技术熟练、身体健康的人员在制造商的工厂/或相似的安装或调试中的电厂提供相应的技术培训。培训内容应与工程进度相一致。培训的目的是培训招标人的安装及运行人员以便操作和维护合同内所有的设备。培训内容应与工程进度相一致，</w:t>
      </w:r>
    </w:p>
    <w:p>
      <w:pPr>
        <w:spacing w:line="360" w:lineRule="auto"/>
        <w:rPr>
          <w:sz w:val="24"/>
        </w:rPr>
      </w:pPr>
      <w:r>
        <w:rPr>
          <w:sz w:val="24"/>
        </w:rPr>
        <w:t>培训的专业和详细的计划应在设计联络会上确定。</w:t>
      </w:r>
    </w:p>
    <w:p>
      <w:pPr>
        <w:spacing w:line="360" w:lineRule="auto"/>
        <w:rPr>
          <w:sz w:val="24"/>
        </w:rPr>
      </w:pPr>
      <w:r>
        <w:rPr>
          <w:sz w:val="24"/>
        </w:rPr>
        <w:t>2.2投标人的责任和义务：</w:t>
      </w:r>
    </w:p>
    <w:p>
      <w:pPr>
        <w:spacing w:line="360" w:lineRule="auto"/>
        <w:rPr>
          <w:sz w:val="24"/>
        </w:rPr>
      </w:pPr>
      <w:r>
        <w:rPr>
          <w:sz w:val="24"/>
        </w:rPr>
        <w:t>2.2.1投标人应尽努力使招标人的技术人员达到满足培训的要求。</w:t>
      </w:r>
    </w:p>
    <w:p>
      <w:pPr>
        <w:spacing w:line="360" w:lineRule="auto"/>
        <w:rPr>
          <w:sz w:val="24"/>
        </w:rPr>
      </w:pPr>
      <w:r>
        <w:rPr>
          <w:sz w:val="24"/>
        </w:rPr>
        <w:t>2.2.2投标人应指定一个人来负责组织、协调工作。</w:t>
      </w:r>
    </w:p>
    <w:p>
      <w:pPr>
        <w:spacing w:line="360" w:lineRule="auto"/>
        <w:rPr>
          <w:sz w:val="24"/>
        </w:rPr>
      </w:pPr>
      <w:r>
        <w:rPr>
          <w:sz w:val="24"/>
        </w:rPr>
        <w:t>2.2.3在培训中，投标人应选定经验丰富、技术熟练的指导员来指导、培训招标人的技术人员。</w:t>
      </w:r>
    </w:p>
    <w:p>
      <w:pPr>
        <w:spacing w:line="360" w:lineRule="auto"/>
        <w:rPr>
          <w:sz w:val="24"/>
        </w:rPr>
      </w:pPr>
      <w:r>
        <w:rPr>
          <w:sz w:val="24"/>
        </w:rPr>
        <w:t>2.2.4制定的培训计划要符合每个专业的要求。</w:t>
      </w:r>
    </w:p>
    <w:p>
      <w:pPr>
        <w:spacing w:line="360" w:lineRule="auto"/>
        <w:rPr>
          <w:sz w:val="24"/>
        </w:rPr>
      </w:pPr>
      <w:r>
        <w:rPr>
          <w:sz w:val="24"/>
        </w:rPr>
        <w:tab/>
      </w:r>
      <w:r>
        <w:rPr>
          <w:sz w:val="24"/>
        </w:rPr>
        <w:t>计划主要包括：</w:t>
      </w:r>
    </w:p>
    <w:p>
      <w:pPr>
        <w:numPr>
          <w:ilvl w:val="0"/>
          <w:numId w:val="51"/>
        </w:numPr>
        <w:spacing w:line="360" w:lineRule="auto"/>
        <w:rPr>
          <w:sz w:val="24"/>
        </w:rPr>
      </w:pPr>
      <w:r>
        <w:rPr>
          <w:sz w:val="24"/>
        </w:rPr>
        <w:t>对诸如：设备性能、结构、主要及辅助系统等的具体专题，在课堂内进行系统的讲解。</w:t>
      </w:r>
    </w:p>
    <w:p>
      <w:pPr>
        <w:numPr>
          <w:ilvl w:val="0"/>
          <w:numId w:val="51"/>
        </w:numPr>
        <w:spacing w:line="360" w:lineRule="auto"/>
        <w:rPr>
          <w:sz w:val="24"/>
        </w:rPr>
      </w:pPr>
      <w:r>
        <w:rPr>
          <w:sz w:val="24"/>
        </w:rPr>
        <w:t>参观电厂</w:t>
      </w:r>
      <w:r>
        <w:rPr>
          <w:rFonts w:hint="eastAsia"/>
          <w:sz w:val="24"/>
        </w:rPr>
        <w:t>。</w:t>
      </w:r>
    </w:p>
    <w:p>
      <w:pPr>
        <w:numPr>
          <w:ilvl w:val="0"/>
          <w:numId w:val="51"/>
        </w:numPr>
        <w:spacing w:line="360" w:lineRule="auto"/>
        <w:rPr>
          <w:sz w:val="24"/>
        </w:rPr>
      </w:pPr>
      <w:r>
        <w:rPr>
          <w:sz w:val="24"/>
        </w:rPr>
        <w:t>到安装和调试中的相似电厂进行实践培训。</w:t>
      </w:r>
    </w:p>
    <w:p>
      <w:pPr>
        <w:numPr>
          <w:ilvl w:val="0"/>
          <w:numId w:val="51"/>
        </w:numPr>
        <w:spacing w:line="360" w:lineRule="auto"/>
        <w:rPr>
          <w:sz w:val="24"/>
        </w:rPr>
      </w:pPr>
      <w:r>
        <w:rPr>
          <w:sz w:val="24"/>
        </w:rPr>
        <w:t>在仿真机和相似的电厂进行实践培训。</w:t>
      </w:r>
    </w:p>
    <w:p>
      <w:pPr>
        <w:numPr>
          <w:ilvl w:val="0"/>
          <w:numId w:val="51"/>
        </w:numPr>
        <w:spacing w:line="360" w:lineRule="auto"/>
        <w:rPr>
          <w:sz w:val="24"/>
        </w:rPr>
      </w:pPr>
      <w:r>
        <w:rPr>
          <w:sz w:val="24"/>
        </w:rPr>
        <w:t>提供所有必须的培训资料(如：课本、手册及图纸)设备、工具和仪器等。</w:t>
      </w:r>
    </w:p>
    <w:p>
      <w:pPr>
        <w:numPr>
          <w:ilvl w:val="0"/>
          <w:numId w:val="51"/>
        </w:numPr>
        <w:spacing w:line="360" w:lineRule="auto"/>
        <w:rPr>
          <w:sz w:val="24"/>
        </w:rPr>
      </w:pPr>
      <w:r>
        <w:rPr>
          <w:sz w:val="24"/>
        </w:rPr>
        <w:t>了解主要设备的制造过程和组装及检修。</w:t>
      </w:r>
    </w:p>
    <w:p>
      <w:pPr>
        <w:numPr>
          <w:ilvl w:val="0"/>
          <w:numId w:val="51"/>
        </w:numPr>
        <w:spacing w:line="360" w:lineRule="auto"/>
        <w:rPr>
          <w:sz w:val="24"/>
        </w:rPr>
      </w:pPr>
      <w:r>
        <w:rPr>
          <w:sz w:val="24"/>
        </w:rPr>
        <w:t>了解质量控制和管理系统的组织情况。</w:t>
      </w:r>
    </w:p>
    <w:p>
      <w:pPr>
        <w:numPr>
          <w:ilvl w:val="0"/>
          <w:numId w:val="51"/>
        </w:numPr>
        <w:spacing w:line="360" w:lineRule="auto"/>
        <w:rPr>
          <w:sz w:val="24"/>
        </w:rPr>
      </w:pPr>
      <w:r>
        <w:rPr>
          <w:sz w:val="24"/>
        </w:rPr>
        <w:t>了解合同设备的设计，并确认文件与IEC标准及相关标准的一致性。</w:t>
      </w:r>
    </w:p>
    <w:p>
      <w:pPr>
        <w:numPr>
          <w:ilvl w:val="0"/>
          <w:numId w:val="51"/>
        </w:numPr>
        <w:spacing w:line="360" w:lineRule="auto"/>
        <w:rPr>
          <w:sz w:val="24"/>
        </w:rPr>
      </w:pPr>
      <w:r>
        <w:rPr>
          <w:sz w:val="24"/>
        </w:rPr>
        <w:t>掌握合同设备组装的要求及工厂检验的项目/要求。</w:t>
      </w:r>
    </w:p>
    <w:p>
      <w:pPr>
        <w:numPr>
          <w:ilvl w:val="0"/>
          <w:numId w:val="51"/>
        </w:numPr>
        <w:spacing w:line="360" w:lineRule="auto"/>
        <w:rPr>
          <w:sz w:val="24"/>
        </w:rPr>
      </w:pPr>
      <w:r>
        <w:rPr>
          <w:sz w:val="24"/>
        </w:rPr>
        <w:t>掌握安装、调试和维修的要求和注意事项。</w:t>
      </w:r>
    </w:p>
    <w:p>
      <w:pPr>
        <w:numPr>
          <w:ilvl w:val="0"/>
          <w:numId w:val="51"/>
        </w:numPr>
        <w:spacing w:line="360" w:lineRule="auto"/>
        <w:rPr>
          <w:sz w:val="24"/>
        </w:rPr>
      </w:pPr>
      <w:r>
        <w:rPr>
          <w:sz w:val="24"/>
        </w:rPr>
        <w:t>了解设备的制造周期限和并安排运输安排。</w:t>
      </w:r>
    </w:p>
    <w:p>
      <w:pPr>
        <w:spacing w:line="360" w:lineRule="auto"/>
        <w:rPr>
          <w:sz w:val="24"/>
        </w:rPr>
      </w:pPr>
      <w:r>
        <w:rPr>
          <w:sz w:val="24"/>
        </w:rPr>
        <w:tab/>
      </w:r>
      <w:r>
        <w:rPr>
          <w:sz w:val="24"/>
        </w:rPr>
        <w:t>投标人应与有关部门尽最大努力满足以上d及c项的要求。</w:t>
      </w:r>
    </w:p>
    <w:p>
      <w:pPr>
        <w:spacing w:line="360" w:lineRule="auto"/>
        <w:rPr>
          <w:sz w:val="24"/>
        </w:rPr>
      </w:pPr>
      <w:r>
        <w:rPr>
          <w:sz w:val="24"/>
        </w:rPr>
        <w:t>2.2.5投标人应按培训计划的要求，为招标人的技术人员免费提供工作服、安全帽和文具等。</w:t>
      </w:r>
    </w:p>
    <w:p>
      <w:pPr>
        <w:spacing w:line="360" w:lineRule="auto"/>
        <w:rPr>
          <w:sz w:val="24"/>
        </w:rPr>
      </w:pPr>
      <w:r>
        <w:rPr>
          <w:sz w:val="24"/>
        </w:rPr>
        <w:t>2.2.6投标人应允许招标人的技术人员把培训期间提供的所有技术文件带回厂。</w:t>
      </w:r>
    </w:p>
    <w:p>
      <w:pPr>
        <w:spacing w:line="360" w:lineRule="auto"/>
        <w:rPr>
          <w:sz w:val="24"/>
        </w:rPr>
      </w:pPr>
      <w:r>
        <w:rPr>
          <w:sz w:val="24"/>
        </w:rPr>
        <w:t>2.2.7投标人为招标人培训人员提供设备、场地、资料等培训条件，并提供食宿和交通方便。</w:t>
      </w:r>
    </w:p>
    <w:p>
      <w:pPr>
        <w:spacing w:line="360" w:lineRule="auto"/>
        <w:rPr>
          <w:sz w:val="24"/>
        </w:rPr>
      </w:pPr>
      <w:r>
        <w:rPr>
          <w:sz w:val="24"/>
        </w:rPr>
        <w:t>2.2.8如果培训在境外进行，投标人应列表报出相应的培训计划、内容、人月数等及相关费用。投标人应协助招标人的技术人员办理其入境签证及国外居住期间的所有手续。投标人应采取必要的措施确保招标人的技术人员在国外居住期间的人身安全。投标人应指定一人负责后勤协调工作。此人按招标人的要求负责预定房间，并安排从住处到培训地点的免费交通设施。</w:t>
      </w:r>
    </w:p>
    <w:p>
      <w:pPr>
        <w:spacing w:line="360" w:lineRule="auto"/>
        <w:rPr>
          <w:sz w:val="24"/>
        </w:rPr>
      </w:pPr>
      <w:r>
        <w:rPr>
          <w:sz w:val="24"/>
        </w:rPr>
        <w:t>2.3招标人的责任：</w:t>
      </w:r>
    </w:p>
    <w:p>
      <w:pPr>
        <w:spacing w:line="360" w:lineRule="auto"/>
        <w:rPr>
          <w:sz w:val="24"/>
        </w:rPr>
      </w:pPr>
      <w:r>
        <w:rPr>
          <w:sz w:val="24"/>
        </w:rPr>
        <w:t>2.3.1招标人应及时向投标人提供培训时间和人员安排。</w:t>
      </w:r>
    </w:p>
    <w:p>
      <w:pPr>
        <w:spacing w:line="360" w:lineRule="auto"/>
        <w:rPr>
          <w:sz w:val="24"/>
        </w:rPr>
      </w:pPr>
      <w:r>
        <w:rPr>
          <w:sz w:val="24"/>
        </w:rPr>
        <w:t>2.3.2为了培训计划的顺利实施，除非双方同意，该计划不能由于放假而中断。</w:t>
      </w:r>
    </w:p>
    <w:p>
      <w:pPr>
        <w:spacing w:line="360" w:lineRule="auto"/>
        <w:rPr>
          <w:sz w:val="24"/>
        </w:rPr>
      </w:pPr>
      <w:r>
        <w:rPr>
          <w:sz w:val="24"/>
        </w:rPr>
        <w:t>2.3.3收到招标人通知后2周内，投标人应就人员居住方面的协议进行认可或指出困难之处(如果有的话)</w:t>
      </w:r>
      <w:r>
        <w:rPr>
          <w:rFonts w:hint="eastAsia"/>
          <w:sz w:val="24"/>
        </w:rPr>
        <w:t>。</w:t>
      </w:r>
    </w:p>
    <w:p>
      <w:pPr>
        <w:pStyle w:val="20"/>
        <w:spacing w:before="120" w:beforeLines="50"/>
        <w:rPr>
          <w:rFonts w:ascii="Times New Roman"/>
          <w:kern w:val="2"/>
          <w:sz w:val="24"/>
        </w:rPr>
      </w:pPr>
      <w:r>
        <w:rPr>
          <w:rFonts w:ascii="Times New Roman"/>
          <w:kern w:val="2"/>
          <w:sz w:val="24"/>
        </w:rPr>
        <w:t>2.4培训的时间、人数、地点等具体内容由买卖双方商定。</w:t>
      </w:r>
    </w:p>
    <w:p>
      <w:pPr>
        <w:spacing w:line="360" w:lineRule="auto"/>
        <w:rPr>
          <w:b/>
          <w:sz w:val="24"/>
        </w:rPr>
      </w:pPr>
      <w:r>
        <w:rPr>
          <w:b/>
          <w:sz w:val="24"/>
        </w:rPr>
        <w:t>3.设计联络会</w:t>
      </w:r>
    </w:p>
    <w:p>
      <w:pPr>
        <w:spacing w:line="360" w:lineRule="auto"/>
        <w:rPr>
          <w:sz w:val="24"/>
        </w:rPr>
      </w:pPr>
      <w:r>
        <w:rPr>
          <w:sz w:val="24"/>
        </w:rPr>
        <w:t>3.1设计联络会的目的是保证各方的成功设计，及时协调和解决设计中的技术问题和各方的接口问题。设计联络会采用各专业联合召开的方式，发电机本体及其它部分设计联络会原则上召开三次。第一次会议召开地点设在招标人所在地，第二次会议召开地点设在投标人所在地，第三次会议召开地点设在投标人所在地。联络会议由招标人主持，会议所在地单位提供交通、食宿、办公方便。励磁系统设计联络会原则上召开二次。</w:t>
      </w:r>
    </w:p>
    <w:p>
      <w:pPr>
        <w:spacing w:line="360" w:lineRule="auto"/>
        <w:rPr>
          <w:sz w:val="24"/>
        </w:rPr>
      </w:pPr>
      <w:r>
        <w:rPr>
          <w:sz w:val="24"/>
        </w:rPr>
        <w:t>3.2发电机本体及其它部分设计联络会议题：</w:t>
      </w:r>
    </w:p>
    <w:p>
      <w:pPr>
        <w:numPr>
          <w:ilvl w:val="0"/>
          <w:numId w:val="52"/>
        </w:numPr>
        <w:spacing w:line="360" w:lineRule="auto"/>
        <w:rPr>
          <w:sz w:val="24"/>
        </w:rPr>
      </w:pPr>
      <w:r>
        <w:rPr>
          <w:sz w:val="24"/>
        </w:rPr>
        <w:t>第一次设计联络会议题：</w:t>
      </w:r>
    </w:p>
    <w:p>
      <w:pPr>
        <w:numPr>
          <w:ilvl w:val="0"/>
          <w:numId w:val="53"/>
        </w:numPr>
        <w:spacing w:line="360" w:lineRule="auto"/>
        <w:rPr>
          <w:sz w:val="24"/>
        </w:rPr>
      </w:pPr>
      <w:r>
        <w:rPr>
          <w:sz w:val="24"/>
        </w:rPr>
        <w:t>投标人提供初步的整体设计资料，满足招标人初步设计进度和深度的要求。</w:t>
      </w:r>
    </w:p>
    <w:p>
      <w:pPr>
        <w:numPr>
          <w:ilvl w:val="0"/>
          <w:numId w:val="53"/>
        </w:numPr>
        <w:spacing w:line="360" w:lineRule="auto"/>
        <w:rPr>
          <w:sz w:val="24"/>
        </w:rPr>
      </w:pPr>
      <w:r>
        <w:rPr>
          <w:sz w:val="24"/>
        </w:rPr>
        <w:t>投标人与招标人就设备的基本安装工艺进行讨论。</w:t>
      </w:r>
    </w:p>
    <w:p>
      <w:pPr>
        <w:numPr>
          <w:ilvl w:val="0"/>
          <w:numId w:val="53"/>
        </w:numPr>
        <w:spacing w:line="360" w:lineRule="auto"/>
        <w:rPr>
          <w:sz w:val="24"/>
        </w:rPr>
      </w:pPr>
      <w:r>
        <w:rPr>
          <w:sz w:val="24"/>
        </w:rPr>
        <w:t>讨论并确定设备基础设计所需的接口与数据。</w:t>
      </w:r>
    </w:p>
    <w:p>
      <w:pPr>
        <w:numPr>
          <w:ilvl w:val="0"/>
          <w:numId w:val="52"/>
        </w:numPr>
        <w:spacing w:line="360" w:lineRule="auto"/>
        <w:rPr>
          <w:sz w:val="24"/>
        </w:rPr>
      </w:pPr>
      <w:r>
        <w:rPr>
          <w:sz w:val="24"/>
        </w:rPr>
        <w:t>第二次设计联络会议题：</w:t>
      </w:r>
    </w:p>
    <w:p>
      <w:pPr>
        <w:numPr>
          <w:ilvl w:val="0"/>
          <w:numId w:val="54"/>
        </w:numPr>
        <w:spacing w:line="360" w:lineRule="auto"/>
        <w:rPr>
          <w:sz w:val="24"/>
        </w:rPr>
      </w:pPr>
      <w:r>
        <w:rPr>
          <w:sz w:val="24"/>
        </w:rPr>
        <w:t>讨论并协调施工图的设计进度和图纸交付进度。</w:t>
      </w:r>
    </w:p>
    <w:p>
      <w:pPr>
        <w:numPr>
          <w:ilvl w:val="0"/>
          <w:numId w:val="54"/>
        </w:numPr>
        <w:spacing w:line="360" w:lineRule="auto"/>
        <w:rPr>
          <w:sz w:val="24"/>
        </w:rPr>
      </w:pPr>
      <w:r>
        <w:rPr>
          <w:sz w:val="24"/>
        </w:rPr>
        <w:t>讨论并确定大件运输方案。</w:t>
      </w:r>
    </w:p>
    <w:p>
      <w:pPr>
        <w:numPr>
          <w:ilvl w:val="0"/>
          <w:numId w:val="54"/>
        </w:numPr>
        <w:spacing w:line="360" w:lineRule="auto"/>
        <w:rPr>
          <w:sz w:val="24"/>
        </w:rPr>
      </w:pPr>
      <w:r>
        <w:rPr>
          <w:sz w:val="24"/>
        </w:rPr>
        <w:t>确认工艺系统设计的细节，特别是讨论有关设备的维修和运行条件。</w:t>
      </w:r>
    </w:p>
    <w:p>
      <w:pPr>
        <w:numPr>
          <w:ilvl w:val="0"/>
          <w:numId w:val="54"/>
        </w:numPr>
        <w:spacing w:line="360" w:lineRule="auto"/>
        <w:rPr>
          <w:sz w:val="24"/>
        </w:rPr>
      </w:pPr>
      <w:r>
        <w:rPr>
          <w:sz w:val="24"/>
        </w:rPr>
        <w:t>双方设计接口的协调确认。</w:t>
      </w:r>
    </w:p>
    <w:p>
      <w:pPr>
        <w:numPr>
          <w:ilvl w:val="0"/>
          <w:numId w:val="54"/>
        </w:numPr>
        <w:spacing w:line="360" w:lineRule="auto"/>
        <w:rPr>
          <w:sz w:val="24"/>
        </w:rPr>
      </w:pPr>
      <w:r>
        <w:rPr>
          <w:sz w:val="24"/>
        </w:rPr>
        <w:t>投标人提供满足招标人采购DCS设备的技术要求并讨论确认。</w:t>
      </w:r>
    </w:p>
    <w:p>
      <w:pPr>
        <w:numPr>
          <w:ilvl w:val="0"/>
          <w:numId w:val="52"/>
        </w:numPr>
        <w:spacing w:line="360" w:lineRule="auto"/>
        <w:rPr>
          <w:sz w:val="24"/>
        </w:rPr>
      </w:pPr>
      <w:r>
        <w:rPr>
          <w:sz w:val="24"/>
        </w:rPr>
        <w:t>第三次设计联络会议题：</w:t>
      </w:r>
    </w:p>
    <w:p>
      <w:pPr>
        <w:numPr>
          <w:ilvl w:val="0"/>
          <w:numId w:val="54"/>
        </w:numPr>
        <w:spacing w:line="360" w:lineRule="auto"/>
        <w:rPr>
          <w:sz w:val="24"/>
        </w:rPr>
      </w:pPr>
      <w:r>
        <w:rPr>
          <w:sz w:val="24"/>
        </w:rPr>
        <w:t>双方设计接口的进一步协调确认。</w:t>
      </w:r>
    </w:p>
    <w:p>
      <w:pPr>
        <w:numPr>
          <w:ilvl w:val="0"/>
          <w:numId w:val="54"/>
        </w:numPr>
        <w:spacing w:line="360" w:lineRule="auto"/>
        <w:rPr>
          <w:sz w:val="24"/>
        </w:rPr>
      </w:pPr>
      <w:r>
        <w:rPr>
          <w:sz w:val="24"/>
        </w:rPr>
        <w:t>设备检查、验收和调试的技术讨论。</w:t>
      </w:r>
    </w:p>
    <w:p>
      <w:pPr>
        <w:spacing w:line="360" w:lineRule="auto"/>
        <w:rPr>
          <w:sz w:val="24"/>
        </w:rPr>
      </w:pPr>
      <w:r>
        <w:rPr>
          <w:sz w:val="24"/>
        </w:rPr>
        <w:t>3.3励磁系统设计联络会议题待定。</w:t>
      </w:r>
    </w:p>
    <w:p>
      <w:pPr>
        <w:pStyle w:val="20"/>
        <w:spacing w:before="120" w:beforeLines="50"/>
        <w:rPr>
          <w:rFonts w:ascii="Times New Roman"/>
          <w:kern w:val="2"/>
          <w:sz w:val="24"/>
        </w:rPr>
      </w:pPr>
      <w:r>
        <w:rPr>
          <w:rFonts w:ascii="Times New Roman"/>
          <w:sz w:val="24"/>
        </w:rPr>
        <w:t>3.4每次设计联络会双方应在相关协议纪要上签字，该协议书和纪要将成为合同的组成部分。</w:t>
      </w:r>
    </w:p>
    <w:p>
      <w:pPr>
        <w:pStyle w:val="20"/>
        <w:spacing w:before="120" w:beforeLines="50"/>
        <w:rPr>
          <w:rFonts w:ascii="Times New Roman"/>
          <w:kern w:val="2"/>
          <w:sz w:val="24"/>
        </w:rPr>
      </w:pPr>
      <w:r>
        <w:rPr>
          <w:rFonts w:ascii="Times New Roman"/>
          <w:sz w:val="24"/>
        </w:rPr>
        <w:t>3.5招标人可对其认为有必要解决的技术问题组织专题设计联络会，召开地点在招标人或设计院所在地，具体日期及最终人员安排在合同谈判中确定。</w:t>
      </w:r>
    </w:p>
    <w:bookmarkEnd w:id="45"/>
    <w:bookmarkEnd w:id="46"/>
    <w:bookmarkEnd w:id="47"/>
    <w:bookmarkEnd w:id="48"/>
    <w:bookmarkEnd w:id="49"/>
    <w:p>
      <w:pPr>
        <w:tabs>
          <w:tab w:val="left" w:pos="578"/>
        </w:tabs>
        <w:snapToGrid w:val="0"/>
        <w:spacing w:line="360" w:lineRule="auto"/>
        <w:rPr>
          <w:sz w:val="24"/>
        </w:rPr>
      </w:pPr>
    </w:p>
    <w:p>
      <w:pPr>
        <w:tabs>
          <w:tab w:val="left" w:pos="578"/>
        </w:tabs>
        <w:snapToGrid w:val="0"/>
        <w:spacing w:line="360" w:lineRule="auto"/>
        <w:rPr>
          <w:sz w:val="24"/>
        </w:rPr>
      </w:pPr>
    </w:p>
    <w:p>
      <w:pPr>
        <w:tabs>
          <w:tab w:val="left" w:pos="578"/>
        </w:tabs>
        <w:snapToGrid w:val="0"/>
        <w:spacing w:line="360" w:lineRule="auto"/>
        <w:rPr>
          <w:sz w:val="24"/>
        </w:rPr>
      </w:pPr>
    </w:p>
    <w:p>
      <w:pPr>
        <w:spacing w:line="360" w:lineRule="auto"/>
        <w:outlineLvl w:val="0"/>
        <w:rPr>
          <w:b/>
          <w:sz w:val="28"/>
        </w:rPr>
      </w:pPr>
      <w:bookmarkStart w:id="62" w:name="_Toc197658015"/>
      <w:bookmarkStart w:id="63" w:name="_Toc5863365"/>
      <w:bookmarkStart w:id="64" w:name="_Toc56434956"/>
      <w:bookmarkStart w:id="65" w:name="_Toc201637564"/>
    </w:p>
    <w:p>
      <w:pPr>
        <w:spacing w:line="360" w:lineRule="auto"/>
        <w:outlineLvl w:val="0"/>
        <w:rPr>
          <w:b/>
          <w:sz w:val="28"/>
        </w:rPr>
      </w:pPr>
    </w:p>
    <w:p>
      <w:pPr>
        <w:spacing w:line="360" w:lineRule="auto"/>
        <w:outlineLvl w:val="0"/>
        <w:rPr>
          <w:b/>
          <w:sz w:val="28"/>
        </w:rPr>
      </w:pPr>
      <w:r>
        <w:rPr>
          <w:b/>
          <w:sz w:val="28"/>
        </w:rPr>
        <w:t>附件7  分包与外购</w:t>
      </w:r>
      <w:bookmarkEnd w:id="62"/>
      <w:bookmarkEnd w:id="63"/>
      <w:bookmarkEnd w:id="64"/>
      <w:bookmarkEnd w:id="65"/>
    </w:p>
    <w:p>
      <w:pPr>
        <w:spacing w:line="360" w:lineRule="auto"/>
        <w:rPr>
          <w:sz w:val="24"/>
        </w:rPr>
      </w:pPr>
      <w:r>
        <w:rPr>
          <w:sz w:val="24"/>
        </w:rPr>
        <w:t>1投标人要按下列表格填写分包及外购情况表，每项设备的候选分包厂家一般不小于3家，并报各分包及外购厂家的简要资质情况。</w:t>
      </w:r>
    </w:p>
    <w:p>
      <w:pPr>
        <w:spacing w:line="460" w:lineRule="exact"/>
        <w:ind w:firstLine="420" w:firstLineChars="175"/>
        <w:jc w:val="center"/>
        <w:rPr>
          <w:sz w:val="24"/>
        </w:rPr>
      </w:pPr>
      <w:r>
        <w:rPr>
          <w:sz w:val="24"/>
        </w:rPr>
        <w:t>分包及外购情况表</w:t>
      </w:r>
    </w:p>
    <w:tbl>
      <w:tblPr>
        <w:tblStyle w:val="49"/>
        <w:tblW w:w="9240" w:type="dxa"/>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735"/>
        <w:gridCol w:w="1260"/>
        <w:gridCol w:w="840"/>
        <w:gridCol w:w="840"/>
        <w:gridCol w:w="830"/>
        <w:gridCol w:w="900"/>
        <w:gridCol w:w="1210"/>
        <w:gridCol w:w="1680"/>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735" w:type="dxa"/>
            <w:vAlign w:val="center"/>
          </w:tcPr>
          <w:p>
            <w:pPr>
              <w:spacing w:line="360" w:lineRule="auto"/>
              <w:jc w:val="center"/>
              <w:rPr>
                <w:sz w:val="24"/>
              </w:rPr>
            </w:pPr>
            <w:r>
              <w:rPr>
                <w:sz w:val="24"/>
              </w:rPr>
              <w:t>序号</w:t>
            </w:r>
          </w:p>
        </w:tc>
        <w:tc>
          <w:tcPr>
            <w:tcW w:w="1260" w:type="dxa"/>
            <w:vAlign w:val="center"/>
          </w:tcPr>
          <w:p>
            <w:pPr>
              <w:spacing w:line="360" w:lineRule="auto"/>
              <w:jc w:val="center"/>
              <w:rPr>
                <w:sz w:val="24"/>
              </w:rPr>
            </w:pPr>
            <w:r>
              <w:rPr>
                <w:sz w:val="24"/>
              </w:rPr>
              <w:t>设备/部件</w:t>
            </w:r>
          </w:p>
        </w:tc>
        <w:tc>
          <w:tcPr>
            <w:tcW w:w="840" w:type="dxa"/>
            <w:vAlign w:val="center"/>
          </w:tcPr>
          <w:p>
            <w:pPr>
              <w:spacing w:line="360" w:lineRule="auto"/>
              <w:jc w:val="center"/>
              <w:rPr>
                <w:sz w:val="24"/>
              </w:rPr>
            </w:pPr>
            <w:r>
              <w:rPr>
                <w:sz w:val="24"/>
              </w:rPr>
              <w:t>型号</w:t>
            </w:r>
          </w:p>
        </w:tc>
        <w:tc>
          <w:tcPr>
            <w:tcW w:w="840" w:type="dxa"/>
            <w:vAlign w:val="center"/>
          </w:tcPr>
          <w:p>
            <w:pPr>
              <w:spacing w:line="360" w:lineRule="auto"/>
              <w:jc w:val="center"/>
              <w:rPr>
                <w:sz w:val="24"/>
              </w:rPr>
            </w:pPr>
            <w:r>
              <w:rPr>
                <w:sz w:val="24"/>
              </w:rPr>
              <w:t>单位</w:t>
            </w:r>
          </w:p>
        </w:tc>
        <w:tc>
          <w:tcPr>
            <w:tcW w:w="830" w:type="dxa"/>
            <w:vAlign w:val="center"/>
          </w:tcPr>
          <w:p>
            <w:pPr>
              <w:spacing w:line="360" w:lineRule="auto"/>
              <w:jc w:val="center"/>
              <w:rPr>
                <w:sz w:val="24"/>
              </w:rPr>
            </w:pPr>
            <w:r>
              <w:rPr>
                <w:sz w:val="24"/>
              </w:rPr>
              <w:t>数量</w:t>
            </w:r>
          </w:p>
        </w:tc>
        <w:tc>
          <w:tcPr>
            <w:tcW w:w="900" w:type="dxa"/>
            <w:vAlign w:val="center"/>
          </w:tcPr>
          <w:p>
            <w:pPr>
              <w:spacing w:line="360" w:lineRule="auto"/>
              <w:jc w:val="center"/>
              <w:rPr>
                <w:sz w:val="24"/>
              </w:rPr>
            </w:pPr>
            <w:r>
              <w:rPr>
                <w:sz w:val="24"/>
              </w:rPr>
              <w:t>产地</w:t>
            </w:r>
          </w:p>
        </w:tc>
        <w:tc>
          <w:tcPr>
            <w:tcW w:w="1210" w:type="dxa"/>
            <w:vAlign w:val="center"/>
          </w:tcPr>
          <w:p>
            <w:pPr>
              <w:spacing w:line="360" w:lineRule="auto"/>
              <w:jc w:val="center"/>
              <w:rPr>
                <w:sz w:val="24"/>
              </w:rPr>
            </w:pPr>
            <w:r>
              <w:rPr>
                <w:sz w:val="24"/>
              </w:rPr>
              <w:t>厂家名称</w:t>
            </w:r>
          </w:p>
        </w:tc>
        <w:tc>
          <w:tcPr>
            <w:tcW w:w="1680" w:type="dxa"/>
            <w:vAlign w:val="center"/>
          </w:tcPr>
          <w:p>
            <w:pPr>
              <w:spacing w:line="360" w:lineRule="auto"/>
              <w:jc w:val="center"/>
              <w:rPr>
                <w:sz w:val="24"/>
              </w:rPr>
            </w:pPr>
            <w:r>
              <w:rPr>
                <w:sz w:val="24"/>
              </w:rPr>
              <w:t>近两年同类型机组主要业绩</w:t>
            </w:r>
          </w:p>
        </w:tc>
        <w:tc>
          <w:tcPr>
            <w:tcW w:w="945" w:type="dxa"/>
            <w:vAlign w:val="center"/>
          </w:tcPr>
          <w:p>
            <w:pPr>
              <w:spacing w:line="360" w:lineRule="auto"/>
              <w:jc w:val="center"/>
              <w:rPr>
                <w:sz w:val="24"/>
              </w:rPr>
            </w:pPr>
            <w:r>
              <w:rPr>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73" w:hRule="atLeast"/>
        </w:trPr>
        <w:tc>
          <w:tcPr>
            <w:tcW w:w="735" w:type="dxa"/>
            <w:vAlign w:val="center"/>
          </w:tcPr>
          <w:p>
            <w:pPr>
              <w:spacing w:line="360" w:lineRule="auto"/>
              <w:jc w:val="center"/>
              <w:rPr>
                <w:sz w:val="24"/>
              </w:rPr>
            </w:pPr>
            <w:r>
              <w:rPr>
                <w:sz w:val="24"/>
              </w:rPr>
              <w:t>1</w:t>
            </w:r>
          </w:p>
        </w:tc>
        <w:tc>
          <w:tcPr>
            <w:tcW w:w="1260" w:type="dxa"/>
          </w:tcPr>
          <w:p>
            <w:pPr>
              <w:pStyle w:val="34"/>
              <w:spacing w:before="0" w:line="360" w:lineRule="auto"/>
              <w:rPr>
                <w:sz w:val="24"/>
              </w:rPr>
            </w:pPr>
          </w:p>
        </w:tc>
        <w:tc>
          <w:tcPr>
            <w:tcW w:w="840" w:type="dxa"/>
          </w:tcPr>
          <w:p>
            <w:pPr>
              <w:spacing w:line="360" w:lineRule="auto"/>
              <w:rPr>
                <w:sz w:val="24"/>
              </w:rPr>
            </w:pPr>
          </w:p>
        </w:tc>
        <w:tc>
          <w:tcPr>
            <w:tcW w:w="840" w:type="dxa"/>
          </w:tcPr>
          <w:p>
            <w:pPr>
              <w:spacing w:line="360" w:lineRule="auto"/>
              <w:rPr>
                <w:sz w:val="24"/>
              </w:rPr>
            </w:pPr>
          </w:p>
        </w:tc>
        <w:tc>
          <w:tcPr>
            <w:tcW w:w="830" w:type="dxa"/>
          </w:tcPr>
          <w:p>
            <w:pPr>
              <w:spacing w:line="360" w:lineRule="auto"/>
              <w:rPr>
                <w:sz w:val="24"/>
              </w:rPr>
            </w:pPr>
          </w:p>
        </w:tc>
        <w:tc>
          <w:tcPr>
            <w:tcW w:w="900" w:type="dxa"/>
          </w:tcPr>
          <w:p>
            <w:pPr>
              <w:spacing w:line="360" w:lineRule="auto"/>
              <w:rPr>
                <w:sz w:val="24"/>
              </w:rPr>
            </w:pPr>
          </w:p>
        </w:tc>
        <w:tc>
          <w:tcPr>
            <w:tcW w:w="1210" w:type="dxa"/>
          </w:tcPr>
          <w:p>
            <w:pPr>
              <w:spacing w:line="360" w:lineRule="auto"/>
              <w:rPr>
                <w:sz w:val="24"/>
              </w:rPr>
            </w:pPr>
          </w:p>
        </w:tc>
        <w:tc>
          <w:tcPr>
            <w:tcW w:w="1680" w:type="dxa"/>
          </w:tcPr>
          <w:p>
            <w:pPr>
              <w:spacing w:line="360" w:lineRule="auto"/>
              <w:rPr>
                <w:sz w:val="24"/>
              </w:rPr>
            </w:pPr>
          </w:p>
        </w:tc>
        <w:tc>
          <w:tcPr>
            <w:tcW w:w="945" w:type="dxa"/>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Pr>
        <w:tc>
          <w:tcPr>
            <w:tcW w:w="735" w:type="dxa"/>
            <w:vAlign w:val="center"/>
          </w:tcPr>
          <w:p>
            <w:pPr>
              <w:spacing w:line="360" w:lineRule="auto"/>
              <w:jc w:val="center"/>
              <w:rPr>
                <w:sz w:val="24"/>
              </w:rPr>
            </w:pPr>
            <w:r>
              <w:rPr>
                <w:sz w:val="24"/>
              </w:rPr>
              <w:t>2</w:t>
            </w:r>
          </w:p>
        </w:tc>
        <w:tc>
          <w:tcPr>
            <w:tcW w:w="1260" w:type="dxa"/>
          </w:tcPr>
          <w:p>
            <w:pPr>
              <w:spacing w:line="360" w:lineRule="auto"/>
              <w:jc w:val="center"/>
              <w:rPr>
                <w:sz w:val="24"/>
              </w:rPr>
            </w:pPr>
          </w:p>
        </w:tc>
        <w:tc>
          <w:tcPr>
            <w:tcW w:w="840" w:type="dxa"/>
          </w:tcPr>
          <w:p>
            <w:pPr>
              <w:spacing w:line="360" w:lineRule="auto"/>
              <w:jc w:val="center"/>
              <w:rPr>
                <w:sz w:val="24"/>
              </w:rPr>
            </w:pPr>
          </w:p>
        </w:tc>
        <w:tc>
          <w:tcPr>
            <w:tcW w:w="840" w:type="dxa"/>
          </w:tcPr>
          <w:p>
            <w:pPr>
              <w:spacing w:line="360" w:lineRule="auto"/>
              <w:jc w:val="center"/>
              <w:rPr>
                <w:sz w:val="24"/>
              </w:rPr>
            </w:pPr>
          </w:p>
        </w:tc>
        <w:tc>
          <w:tcPr>
            <w:tcW w:w="830" w:type="dxa"/>
          </w:tcPr>
          <w:p>
            <w:pPr>
              <w:spacing w:line="360" w:lineRule="auto"/>
              <w:jc w:val="center"/>
              <w:rPr>
                <w:sz w:val="24"/>
              </w:rPr>
            </w:pPr>
          </w:p>
        </w:tc>
        <w:tc>
          <w:tcPr>
            <w:tcW w:w="900" w:type="dxa"/>
          </w:tcPr>
          <w:p>
            <w:pPr>
              <w:spacing w:line="360" w:lineRule="auto"/>
              <w:jc w:val="center"/>
              <w:rPr>
                <w:sz w:val="24"/>
              </w:rPr>
            </w:pPr>
          </w:p>
        </w:tc>
        <w:tc>
          <w:tcPr>
            <w:tcW w:w="1210" w:type="dxa"/>
          </w:tcPr>
          <w:p>
            <w:pPr>
              <w:spacing w:line="360" w:lineRule="auto"/>
              <w:jc w:val="center"/>
              <w:rPr>
                <w:sz w:val="24"/>
              </w:rPr>
            </w:pPr>
          </w:p>
        </w:tc>
        <w:tc>
          <w:tcPr>
            <w:tcW w:w="1680" w:type="dxa"/>
          </w:tcPr>
          <w:p>
            <w:pPr>
              <w:spacing w:line="360" w:lineRule="auto"/>
              <w:jc w:val="center"/>
              <w:rPr>
                <w:sz w:val="24"/>
              </w:rPr>
            </w:pPr>
          </w:p>
        </w:tc>
        <w:tc>
          <w:tcPr>
            <w:tcW w:w="945" w:type="dxa"/>
          </w:tcPr>
          <w:p>
            <w:pPr>
              <w:spacing w:line="360" w:lineRule="auto"/>
              <w:jc w:val="center"/>
              <w:rPr>
                <w:sz w:val="24"/>
              </w:rPr>
            </w:pPr>
          </w:p>
        </w:tc>
      </w:tr>
    </w:tbl>
    <w:p>
      <w:pPr>
        <w:spacing w:line="460" w:lineRule="exact"/>
        <w:ind w:firstLine="420" w:firstLineChars="175"/>
        <w:rPr>
          <w:sz w:val="24"/>
        </w:rPr>
      </w:pPr>
      <w:r>
        <w:rPr>
          <w:sz w:val="24"/>
        </w:rPr>
        <w:t>注：上表中的序号和内容应与附件2的一致。</w:t>
      </w:r>
    </w:p>
    <w:p>
      <w:pPr>
        <w:spacing w:line="460" w:lineRule="exact"/>
        <w:rPr>
          <w:sz w:val="24"/>
        </w:rPr>
      </w:pPr>
      <w:r>
        <w:rPr>
          <w:rFonts w:hint="eastAsia"/>
          <w:sz w:val="24"/>
        </w:rPr>
        <w:t>2</w:t>
      </w:r>
      <w:r>
        <w:rPr>
          <w:sz w:val="24"/>
        </w:rPr>
        <w:t>投标人要按下列表格填写制造投标设备所需的进口部件一览表。</w:t>
      </w:r>
    </w:p>
    <w:p>
      <w:pPr>
        <w:spacing w:line="460" w:lineRule="exact"/>
        <w:ind w:firstLine="420" w:firstLineChars="175"/>
        <w:jc w:val="center"/>
        <w:rPr>
          <w:sz w:val="24"/>
        </w:rPr>
      </w:pPr>
      <w:r>
        <w:rPr>
          <w:sz w:val="24"/>
        </w:rPr>
        <w:t>进口部件一览表</w:t>
      </w:r>
    </w:p>
    <w:tbl>
      <w:tblPr>
        <w:tblStyle w:val="49"/>
        <w:tblW w:w="90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970"/>
        <w:gridCol w:w="1155"/>
        <w:gridCol w:w="945"/>
        <w:gridCol w:w="876"/>
        <w:gridCol w:w="799"/>
        <w:gridCol w:w="1116"/>
        <w:gridCol w:w="1377"/>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9" w:hRule="atLeast"/>
          <w:tblHeader/>
          <w:jc w:val="center"/>
        </w:trPr>
        <w:tc>
          <w:tcPr>
            <w:tcW w:w="766" w:type="dxa"/>
            <w:vAlign w:val="center"/>
          </w:tcPr>
          <w:p>
            <w:pPr>
              <w:spacing w:line="360" w:lineRule="auto"/>
              <w:jc w:val="center"/>
              <w:rPr>
                <w:sz w:val="24"/>
              </w:rPr>
            </w:pPr>
            <w:r>
              <w:rPr>
                <w:sz w:val="24"/>
              </w:rPr>
              <w:t>序号</w:t>
            </w:r>
          </w:p>
        </w:tc>
        <w:tc>
          <w:tcPr>
            <w:tcW w:w="970" w:type="dxa"/>
            <w:vAlign w:val="center"/>
          </w:tcPr>
          <w:p>
            <w:pPr>
              <w:spacing w:line="360" w:lineRule="auto"/>
              <w:jc w:val="center"/>
              <w:rPr>
                <w:sz w:val="24"/>
              </w:rPr>
            </w:pPr>
            <w:r>
              <w:rPr>
                <w:sz w:val="24"/>
              </w:rPr>
              <w:t>名称</w:t>
            </w:r>
          </w:p>
        </w:tc>
        <w:tc>
          <w:tcPr>
            <w:tcW w:w="1155" w:type="dxa"/>
            <w:vAlign w:val="center"/>
          </w:tcPr>
          <w:p>
            <w:pPr>
              <w:spacing w:line="360" w:lineRule="auto"/>
              <w:jc w:val="center"/>
              <w:rPr>
                <w:sz w:val="24"/>
              </w:rPr>
            </w:pPr>
            <w:r>
              <w:rPr>
                <w:sz w:val="24"/>
              </w:rPr>
              <w:t>规格</w:t>
            </w:r>
          </w:p>
        </w:tc>
        <w:tc>
          <w:tcPr>
            <w:tcW w:w="945" w:type="dxa"/>
            <w:vAlign w:val="center"/>
          </w:tcPr>
          <w:p>
            <w:pPr>
              <w:spacing w:line="360" w:lineRule="auto"/>
              <w:jc w:val="center"/>
              <w:rPr>
                <w:sz w:val="24"/>
              </w:rPr>
            </w:pPr>
            <w:r>
              <w:rPr>
                <w:sz w:val="24"/>
              </w:rPr>
              <w:t>单位</w:t>
            </w:r>
          </w:p>
        </w:tc>
        <w:tc>
          <w:tcPr>
            <w:tcW w:w="876" w:type="dxa"/>
            <w:vAlign w:val="center"/>
          </w:tcPr>
          <w:p>
            <w:pPr>
              <w:pStyle w:val="72"/>
              <w:adjustRightInd/>
              <w:spacing w:line="360" w:lineRule="auto"/>
              <w:textAlignment w:val="auto"/>
              <w:rPr>
                <w:rFonts w:ascii="Times New Roman"/>
                <w:kern w:val="2"/>
              </w:rPr>
            </w:pPr>
            <w:r>
              <w:rPr>
                <w:rFonts w:ascii="Times New Roman"/>
                <w:kern w:val="2"/>
              </w:rPr>
              <w:t>数量</w:t>
            </w:r>
          </w:p>
        </w:tc>
        <w:tc>
          <w:tcPr>
            <w:tcW w:w="799" w:type="dxa"/>
            <w:vAlign w:val="center"/>
          </w:tcPr>
          <w:p>
            <w:pPr>
              <w:spacing w:line="360" w:lineRule="auto"/>
              <w:jc w:val="center"/>
              <w:rPr>
                <w:sz w:val="24"/>
              </w:rPr>
            </w:pPr>
            <w:r>
              <w:rPr>
                <w:sz w:val="24"/>
              </w:rPr>
              <w:t>重量</w:t>
            </w:r>
          </w:p>
        </w:tc>
        <w:tc>
          <w:tcPr>
            <w:tcW w:w="1116" w:type="dxa"/>
            <w:vAlign w:val="center"/>
          </w:tcPr>
          <w:p>
            <w:pPr>
              <w:spacing w:line="360" w:lineRule="auto"/>
              <w:jc w:val="center"/>
              <w:rPr>
                <w:sz w:val="24"/>
              </w:rPr>
            </w:pPr>
            <w:r>
              <w:rPr>
                <w:sz w:val="24"/>
              </w:rPr>
              <w:t>原产地</w:t>
            </w:r>
          </w:p>
        </w:tc>
        <w:tc>
          <w:tcPr>
            <w:tcW w:w="1377" w:type="dxa"/>
            <w:vAlign w:val="center"/>
          </w:tcPr>
          <w:p>
            <w:pPr>
              <w:spacing w:line="360" w:lineRule="auto"/>
              <w:jc w:val="center"/>
              <w:rPr>
                <w:sz w:val="24"/>
              </w:rPr>
            </w:pPr>
            <w:r>
              <w:rPr>
                <w:sz w:val="24"/>
              </w:rPr>
              <w:t>制造厂商</w:t>
            </w:r>
          </w:p>
        </w:tc>
        <w:tc>
          <w:tcPr>
            <w:tcW w:w="1050" w:type="dxa"/>
            <w:vAlign w:val="center"/>
          </w:tcPr>
          <w:p>
            <w:pPr>
              <w:spacing w:line="360" w:lineRule="auto"/>
              <w:jc w:val="center"/>
              <w:rPr>
                <w:sz w:val="24"/>
              </w:rPr>
            </w:pPr>
            <w:r>
              <w:rPr>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766" w:type="dxa"/>
            <w:vAlign w:val="center"/>
          </w:tcPr>
          <w:p>
            <w:pPr>
              <w:spacing w:line="360" w:lineRule="auto"/>
              <w:jc w:val="center"/>
              <w:rPr>
                <w:sz w:val="24"/>
              </w:rPr>
            </w:pPr>
            <w:r>
              <w:rPr>
                <w:sz w:val="24"/>
              </w:rPr>
              <w:t>1</w:t>
            </w:r>
          </w:p>
        </w:tc>
        <w:tc>
          <w:tcPr>
            <w:tcW w:w="970" w:type="dxa"/>
            <w:vAlign w:val="center"/>
          </w:tcPr>
          <w:p>
            <w:pPr>
              <w:spacing w:line="360" w:lineRule="auto"/>
              <w:rPr>
                <w:sz w:val="24"/>
              </w:rPr>
            </w:pPr>
          </w:p>
        </w:tc>
        <w:tc>
          <w:tcPr>
            <w:tcW w:w="1155" w:type="dxa"/>
            <w:vAlign w:val="center"/>
          </w:tcPr>
          <w:p>
            <w:pPr>
              <w:spacing w:line="360" w:lineRule="auto"/>
              <w:rPr>
                <w:sz w:val="24"/>
              </w:rPr>
            </w:pPr>
          </w:p>
        </w:tc>
        <w:tc>
          <w:tcPr>
            <w:tcW w:w="945" w:type="dxa"/>
            <w:vAlign w:val="center"/>
          </w:tcPr>
          <w:p>
            <w:pPr>
              <w:spacing w:line="360" w:lineRule="auto"/>
              <w:jc w:val="center"/>
              <w:rPr>
                <w:sz w:val="24"/>
              </w:rPr>
            </w:pPr>
          </w:p>
        </w:tc>
        <w:tc>
          <w:tcPr>
            <w:tcW w:w="876" w:type="dxa"/>
            <w:vAlign w:val="center"/>
          </w:tcPr>
          <w:p>
            <w:pPr>
              <w:spacing w:line="360" w:lineRule="auto"/>
              <w:jc w:val="center"/>
              <w:rPr>
                <w:sz w:val="24"/>
              </w:rPr>
            </w:pPr>
          </w:p>
        </w:tc>
        <w:tc>
          <w:tcPr>
            <w:tcW w:w="799" w:type="dxa"/>
            <w:vAlign w:val="center"/>
          </w:tcPr>
          <w:p>
            <w:pPr>
              <w:spacing w:line="360" w:lineRule="auto"/>
              <w:jc w:val="center"/>
              <w:rPr>
                <w:sz w:val="24"/>
              </w:rPr>
            </w:pPr>
          </w:p>
        </w:tc>
        <w:tc>
          <w:tcPr>
            <w:tcW w:w="1116" w:type="dxa"/>
            <w:vAlign w:val="center"/>
          </w:tcPr>
          <w:p>
            <w:pPr>
              <w:spacing w:line="360" w:lineRule="auto"/>
              <w:jc w:val="center"/>
              <w:rPr>
                <w:sz w:val="24"/>
              </w:rPr>
            </w:pPr>
          </w:p>
        </w:tc>
        <w:tc>
          <w:tcPr>
            <w:tcW w:w="1377" w:type="dxa"/>
            <w:vAlign w:val="center"/>
          </w:tcPr>
          <w:p>
            <w:pPr>
              <w:spacing w:line="360" w:lineRule="auto"/>
              <w:jc w:val="center"/>
              <w:rPr>
                <w:sz w:val="24"/>
              </w:rPr>
            </w:pPr>
          </w:p>
        </w:tc>
        <w:tc>
          <w:tcPr>
            <w:tcW w:w="1050"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766" w:type="dxa"/>
            <w:vAlign w:val="center"/>
          </w:tcPr>
          <w:p>
            <w:pPr>
              <w:spacing w:line="360" w:lineRule="auto"/>
              <w:jc w:val="center"/>
              <w:rPr>
                <w:sz w:val="24"/>
              </w:rPr>
            </w:pPr>
            <w:r>
              <w:rPr>
                <w:sz w:val="24"/>
              </w:rPr>
              <w:t>2</w:t>
            </w:r>
          </w:p>
        </w:tc>
        <w:tc>
          <w:tcPr>
            <w:tcW w:w="970" w:type="dxa"/>
            <w:vAlign w:val="center"/>
          </w:tcPr>
          <w:p>
            <w:pPr>
              <w:spacing w:line="360" w:lineRule="auto"/>
              <w:rPr>
                <w:sz w:val="24"/>
              </w:rPr>
            </w:pPr>
          </w:p>
        </w:tc>
        <w:tc>
          <w:tcPr>
            <w:tcW w:w="1155" w:type="dxa"/>
            <w:vAlign w:val="center"/>
          </w:tcPr>
          <w:p>
            <w:pPr>
              <w:spacing w:line="360" w:lineRule="auto"/>
              <w:rPr>
                <w:sz w:val="24"/>
              </w:rPr>
            </w:pPr>
          </w:p>
        </w:tc>
        <w:tc>
          <w:tcPr>
            <w:tcW w:w="945" w:type="dxa"/>
            <w:vAlign w:val="center"/>
          </w:tcPr>
          <w:p>
            <w:pPr>
              <w:spacing w:line="360" w:lineRule="auto"/>
              <w:jc w:val="center"/>
              <w:rPr>
                <w:sz w:val="24"/>
              </w:rPr>
            </w:pPr>
          </w:p>
        </w:tc>
        <w:tc>
          <w:tcPr>
            <w:tcW w:w="876" w:type="dxa"/>
            <w:vAlign w:val="center"/>
          </w:tcPr>
          <w:p>
            <w:pPr>
              <w:spacing w:line="360" w:lineRule="auto"/>
              <w:jc w:val="center"/>
              <w:rPr>
                <w:sz w:val="24"/>
              </w:rPr>
            </w:pPr>
          </w:p>
        </w:tc>
        <w:tc>
          <w:tcPr>
            <w:tcW w:w="799" w:type="dxa"/>
            <w:vAlign w:val="center"/>
          </w:tcPr>
          <w:p>
            <w:pPr>
              <w:spacing w:line="360" w:lineRule="auto"/>
              <w:jc w:val="center"/>
              <w:rPr>
                <w:sz w:val="24"/>
              </w:rPr>
            </w:pPr>
          </w:p>
        </w:tc>
        <w:tc>
          <w:tcPr>
            <w:tcW w:w="1116" w:type="dxa"/>
            <w:vAlign w:val="center"/>
          </w:tcPr>
          <w:p>
            <w:pPr>
              <w:spacing w:line="360" w:lineRule="auto"/>
              <w:jc w:val="center"/>
              <w:rPr>
                <w:sz w:val="24"/>
              </w:rPr>
            </w:pPr>
          </w:p>
        </w:tc>
        <w:tc>
          <w:tcPr>
            <w:tcW w:w="1377" w:type="dxa"/>
            <w:vAlign w:val="center"/>
          </w:tcPr>
          <w:p>
            <w:pPr>
              <w:spacing w:line="360" w:lineRule="auto"/>
              <w:jc w:val="center"/>
              <w:rPr>
                <w:sz w:val="24"/>
              </w:rPr>
            </w:pPr>
          </w:p>
        </w:tc>
        <w:tc>
          <w:tcPr>
            <w:tcW w:w="1050" w:type="dxa"/>
            <w:vAlign w:val="center"/>
          </w:tcPr>
          <w:p>
            <w:pPr>
              <w:spacing w:line="360" w:lineRule="auto"/>
              <w:jc w:val="center"/>
              <w:rPr>
                <w:sz w:val="24"/>
              </w:rPr>
            </w:pPr>
          </w:p>
        </w:tc>
      </w:tr>
    </w:tbl>
    <w:p>
      <w:pPr>
        <w:spacing w:line="460" w:lineRule="exact"/>
        <w:ind w:firstLine="420" w:firstLineChars="175"/>
        <w:rPr>
          <w:sz w:val="24"/>
          <w:szCs w:val="24"/>
        </w:rPr>
      </w:pPr>
      <w:r>
        <w:rPr>
          <w:sz w:val="24"/>
          <w:szCs w:val="24"/>
        </w:rPr>
        <w:t>★除按要求填写本部分的表格外，投标人需详细提供所有分包外购设备的备选厂家的资质文件、业绩（对与投标人配合的业绩要单独注明），并将此资料单独装订成册。</w:t>
      </w:r>
      <w:bookmarkStart w:id="66" w:name="_Toc56434957"/>
      <w:bookmarkStart w:id="67" w:name="_Toc197658016"/>
    </w:p>
    <w:p>
      <w:pPr>
        <w:spacing w:line="460" w:lineRule="exact"/>
        <w:ind w:firstLine="420" w:firstLineChars="175"/>
        <w:rPr>
          <w:sz w:val="24"/>
        </w:rPr>
      </w:pPr>
    </w:p>
    <w:p>
      <w:pPr>
        <w:spacing w:line="460" w:lineRule="exact"/>
        <w:ind w:firstLine="420" w:firstLineChars="175"/>
        <w:rPr>
          <w:sz w:val="24"/>
        </w:rPr>
      </w:pPr>
    </w:p>
    <w:p>
      <w:pPr>
        <w:spacing w:line="460" w:lineRule="exact"/>
        <w:ind w:firstLine="420" w:firstLineChars="175"/>
        <w:rPr>
          <w:sz w:val="24"/>
        </w:rPr>
      </w:pPr>
    </w:p>
    <w:p>
      <w:pPr>
        <w:spacing w:line="460" w:lineRule="exact"/>
        <w:ind w:firstLine="420" w:firstLineChars="175"/>
        <w:rPr>
          <w:sz w:val="24"/>
        </w:rPr>
      </w:pPr>
    </w:p>
    <w:p>
      <w:pPr>
        <w:spacing w:line="460" w:lineRule="exact"/>
        <w:ind w:firstLine="420" w:firstLineChars="175"/>
        <w:rPr>
          <w:sz w:val="24"/>
        </w:rPr>
      </w:pPr>
    </w:p>
    <w:p>
      <w:pPr>
        <w:spacing w:line="460" w:lineRule="exact"/>
        <w:ind w:firstLine="420" w:firstLineChars="175"/>
        <w:rPr>
          <w:sz w:val="24"/>
        </w:rPr>
      </w:pPr>
    </w:p>
    <w:p>
      <w:pPr>
        <w:spacing w:line="460" w:lineRule="exact"/>
        <w:ind w:firstLine="420" w:firstLineChars="175"/>
        <w:rPr>
          <w:sz w:val="24"/>
        </w:rPr>
      </w:pPr>
    </w:p>
    <w:p>
      <w:pPr>
        <w:spacing w:line="360" w:lineRule="auto"/>
        <w:outlineLvl w:val="0"/>
        <w:rPr>
          <w:b/>
          <w:sz w:val="28"/>
        </w:rPr>
        <w:sectPr>
          <w:pgSz w:w="11907" w:h="16840"/>
          <w:pgMar w:top="1302" w:right="1440" w:bottom="1440" w:left="1440" w:header="814" w:footer="1134" w:gutter="0"/>
          <w:cols w:space="720" w:num="1"/>
        </w:sectPr>
      </w:pPr>
      <w:bookmarkStart w:id="68" w:name="_Toc201637565"/>
      <w:bookmarkStart w:id="69" w:name="_Toc5863366"/>
    </w:p>
    <w:p>
      <w:pPr>
        <w:spacing w:line="360" w:lineRule="auto"/>
        <w:outlineLvl w:val="0"/>
        <w:rPr>
          <w:b/>
          <w:sz w:val="28"/>
        </w:rPr>
      </w:pPr>
      <w:r>
        <w:rPr>
          <w:b/>
          <w:sz w:val="28"/>
        </w:rPr>
        <w:t>附件8  运行维护手册</w:t>
      </w:r>
      <w:bookmarkEnd w:id="68"/>
      <w:r>
        <w:rPr>
          <w:b/>
          <w:sz w:val="28"/>
        </w:rPr>
        <w:t>编写格式</w:t>
      </w:r>
      <w:bookmarkEnd w:id="69"/>
    </w:p>
    <w:p>
      <w:pPr>
        <w:spacing w:line="360" w:lineRule="auto"/>
        <w:rPr>
          <w:sz w:val="24"/>
        </w:rPr>
      </w:pPr>
      <w:r>
        <w:rPr>
          <w:sz w:val="24"/>
        </w:rPr>
        <w:t>运行维护手册格式要求如下（参考）：</w:t>
      </w:r>
    </w:p>
    <w:p>
      <w:pPr>
        <w:spacing w:line="360" w:lineRule="auto"/>
        <w:rPr>
          <w:sz w:val="24"/>
        </w:rPr>
      </w:pPr>
    </w:p>
    <w:p>
      <w:pPr>
        <w:spacing w:line="360" w:lineRule="auto"/>
        <w:rPr>
          <w:sz w:val="24"/>
        </w:rPr>
      </w:pPr>
    </w:p>
    <w:p>
      <w:pPr>
        <w:spacing w:line="360" w:lineRule="auto"/>
        <w:jc w:val="center"/>
        <w:rPr>
          <w:b/>
          <w:sz w:val="24"/>
        </w:rPr>
      </w:pPr>
      <w:r>
        <w:rPr>
          <w:rFonts w:hint="eastAsia"/>
          <w:b/>
          <w:sz w:val="24"/>
        </w:rPr>
        <w:t>台州临港热电有限公司扩建项目</w:t>
      </w:r>
    </w:p>
    <w:p>
      <w:pPr>
        <w:pStyle w:val="105"/>
        <w:spacing w:line="360" w:lineRule="auto"/>
        <w:jc w:val="left"/>
        <w:rPr>
          <w:rFonts w:ascii="Times New Roman"/>
          <w:kern w:val="2"/>
          <w:sz w:val="24"/>
        </w:rPr>
      </w:pPr>
    </w:p>
    <w:p>
      <w:pPr>
        <w:spacing w:line="360" w:lineRule="auto"/>
        <w:jc w:val="center"/>
        <w:rPr>
          <w:b/>
          <w:sz w:val="24"/>
        </w:rPr>
      </w:pPr>
      <w:r>
        <w:rPr>
          <w:b/>
          <w:sz w:val="24"/>
        </w:rPr>
        <w:t>发电机</w:t>
      </w:r>
    </w:p>
    <w:p>
      <w:pPr>
        <w:spacing w:line="360" w:lineRule="auto"/>
        <w:jc w:val="center"/>
        <w:rPr>
          <w:b/>
          <w:sz w:val="24"/>
        </w:rPr>
      </w:pPr>
    </w:p>
    <w:p>
      <w:pPr>
        <w:spacing w:line="360" w:lineRule="auto"/>
        <w:jc w:val="center"/>
        <w:rPr>
          <w:b/>
          <w:sz w:val="24"/>
        </w:rPr>
      </w:pPr>
    </w:p>
    <w:p>
      <w:pPr>
        <w:spacing w:line="360" w:lineRule="auto"/>
        <w:jc w:val="center"/>
        <w:rPr>
          <w:b/>
          <w:sz w:val="24"/>
        </w:rPr>
      </w:pPr>
      <w:r>
        <w:rPr>
          <w:b/>
          <w:sz w:val="24"/>
        </w:rPr>
        <w:t>运行维护</w:t>
      </w:r>
    </w:p>
    <w:p>
      <w:pPr>
        <w:spacing w:line="360" w:lineRule="auto"/>
        <w:jc w:val="center"/>
        <w:rPr>
          <w:b/>
          <w:sz w:val="24"/>
        </w:rPr>
      </w:pPr>
    </w:p>
    <w:p>
      <w:pPr>
        <w:spacing w:line="360" w:lineRule="auto"/>
        <w:jc w:val="center"/>
        <w:rPr>
          <w:b/>
          <w:sz w:val="24"/>
        </w:rPr>
      </w:pPr>
      <w:r>
        <w:rPr>
          <w:b/>
          <w:sz w:val="24"/>
        </w:rPr>
        <w:t>手</w:t>
      </w:r>
    </w:p>
    <w:p>
      <w:pPr>
        <w:spacing w:line="360" w:lineRule="auto"/>
        <w:jc w:val="center"/>
        <w:rPr>
          <w:b/>
          <w:sz w:val="24"/>
        </w:rPr>
      </w:pPr>
    </w:p>
    <w:p>
      <w:pPr>
        <w:spacing w:line="360" w:lineRule="auto"/>
        <w:jc w:val="center"/>
        <w:rPr>
          <w:b/>
          <w:sz w:val="24"/>
        </w:rPr>
      </w:pPr>
      <w:r>
        <w:rPr>
          <w:b/>
          <w:sz w:val="24"/>
        </w:rPr>
        <w:t>册</w:t>
      </w:r>
    </w:p>
    <w:p>
      <w:pPr>
        <w:spacing w:line="360" w:lineRule="auto"/>
        <w:jc w:val="center"/>
        <w:rPr>
          <w:b/>
          <w:sz w:val="24"/>
        </w:rPr>
      </w:pPr>
    </w:p>
    <w:p>
      <w:pPr>
        <w:spacing w:line="360" w:lineRule="auto"/>
        <w:rPr>
          <w:sz w:val="24"/>
        </w:rPr>
      </w:pPr>
      <w:r>
        <w:rPr>
          <w:sz w:val="24"/>
        </w:rPr>
        <w:t>要求：一式16套</w:t>
      </w:r>
    </w:p>
    <w:p>
      <w:pPr>
        <w:spacing w:line="360" w:lineRule="auto"/>
        <w:rPr>
          <w:sz w:val="24"/>
        </w:rPr>
      </w:pPr>
      <w:r>
        <w:rPr>
          <w:sz w:val="24"/>
        </w:rPr>
        <w:t>纸张：A4</w:t>
      </w:r>
    </w:p>
    <w:p>
      <w:pPr>
        <w:spacing w:line="360" w:lineRule="auto"/>
        <w:rPr>
          <w:sz w:val="24"/>
        </w:rPr>
      </w:pPr>
      <w:r>
        <w:rPr>
          <w:sz w:val="24"/>
        </w:rPr>
        <w:t>字体：宋体，小四号</w:t>
      </w:r>
    </w:p>
    <w:p>
      <w:pPr>
        <w:spacing w:line="360" w:lineRule="auto"/>
        <w:rPr>
          <w:sz w:val="24"/>
        </w:rPr>
      </w:pPr>
      <w:r>
        <w:rPr>
          <w:sz w:val="24"/>
        </w:rPr>
        <w:t>行间距：1.5倍</w:t>
      </w:r>
    </w:p>
    <w:p>
      <w:pPr>
        <w:spacing w:line="360" w:lineRule="auto"/>
        <w:rPr>
          <w:sz w:val="24"/>
        </w:rPr>
      </w:pPr>
      <w:r>
        <w:rPr>
          <w:sz w:val="24"/>
        </w:rPr>
        <w:t>页边距（mm）：左-30  右-25  上-30  下-40</w:t>
      </w:r>
    </w:p>
    <w:p>
      <w:pPr>
        <w:spacing w:line="360" w:lineRule="auto"/>
        <w:rPr>
          <w:sz w:val="24"/>
        </w:rPr>
      </w:pPr>
      <w:r>
        <w:rPr>
          <w:sz w:val="24"/>
        </w:rPr>
        <w:t>页眉：XX设备运行维护手册</w:t>
      </w:r>
    </w:p>
    <w:p>
      <w:pPr>
        <w:spacing w:line="360" w:lineRule="auto"/>
        <w:rPr>
          <w:sz w:val="24"/>
        </w:rPr>
      </w:pPr>
      <w:r>
        <w:rPr>
          <w:sz w:val="24"/>
        </w:rPr>
        <w:t>注：在正式提交前，先由招标人审定。</w:t>
      </w:r>
    </w:p>
    <w:p>
      <w:pPr>
        <w:spacing w:line="360" w:lineRule="auto"/>
        <w:rPr>
          <w:sz w:val="24"/>
        </w:rPr>
      </w:pPr>
    </w:p>
    <w:p>
      <w:pPr>
        <w:spacing w:line="360" w:lineRule="auto"/>
        <w:rPr>
          <w:sz w:val="24"/>
        </w:rPr>
      </w:pPr>
    </w:p>
    <w:p>
      <w:pPr>
        <w:spacing w:line="360" w:lineRule="auto"/>
        <w:ind w:firstLine="480" w:firstLineChars="200"/>
        <w:rPr>
          <w:sz w:val="24"/>
        </w:rPr>
      </w:pPr>
      <w:r>
        <w:rPr>
          <w:sz w:val="24"/>
        </w:rPr>
        <w:t>设备运行和维护手册的目的是能够把全部必要的数据和说明装订成册，这样，运行人员可以较好地查阅和理解最初调试及试运行工作、有效操作以及在正常、事故和异常(非设计情况)下怎样正确操作设备和停机。在提交之前，双方应商定操作和维护手册的形式和内容。</w:t>
      </w:r>
    </w:p>
    <w:p>
      <w:pPr>
        <w:spacing w:line="360" w:lineRule="auto"/>
        <w:ind w:firstLine="480" w:firstLineChars="200"/>
        <w:rPr>
          <w:sz w:val="24"/>
        </w:rPr>
      </w:pPr>
      <w:r>
        <w:rPr>
          <w:sz w:val="24"/>
        </w:rPr>
        <w:t>该手册应详细地叙述和说明设备构造，使新来的操作和维护人员能够研究和理解设备的功能的控制方法。</w:t>
      </w:r>
    </w:p>
    <w:p>
      <w:pPr>
        <w:spacing w:line="360" w:lineRule="auto"/>
        <w:ind w:firstLine="480" w:firstLineChars="200"/>
        <w:rPr>
          <w:sz w:val="24"/>
        </w:rPr>
      </w:pPr>
      <w:r>
        <w:rPr>
          <w:sz w:val="24"/>
        </w:rPr>
        <w:t>手册中应能够快速查阅运行参数、设备说明书、操作、维护和安全程度。</w:t>
      </w:r>
    </w:p>
    <w:p>
      <w:pPr>
        <w:spacing w:line="360" w:lineRule="auto"/>
        <w:ind w:firstLine="480" w:firstLineChars="200"/>
        <w:rPr>
          <w:sz w:val="24"/>
        </w:rPr>
      </w:pPr>
      <w:r>
        <w:rPr>
          <w:sz w:val="24"/>
        </w:rPr>
        <w:t>运行和维护手册应包括，但不限于下述内容：</w:t>
      </w:r>
    </w:p>
    <w:p>
      <w:pPr>
        <w:tabs>
          <w:tab w:val="left" w:pos="360"/>
        </w:tabs>
        <w:spacing w:line="360" w:lineRule="auto"/>
        <w:rPr>
          <w:sz w:val="24"/>
        </w:rPr>
      </w:pPr>
      <w:r>
        <w:rPr>
          <w:sz w:val="24"/>
        </w:rPr>
        <w:t>设备概述，包括设备、系统说明、设备结构、功能说明、技术规范等。</w:t>
      </w:r>
    </w:p>
    <w:p>
      <w:pPr>
        <w:tabs>
          <w:tab w:val="left" w:pos="360"/>
        </w:tabs>
        <w:spacing w:line="360" w:lineRule="auto"/>
        <w:rPr>
          <w:sz w:val="24"/>
        </w:rPr>
      </w:pPr>
      <w:r>
        <w:rPr>
          <w:sz w:val="24"/>
        </w:rPr>
        <w:t>设备启动、运行和停运的操作程序及注意事项。</w:t>
      </w:r>
    </w:p>
    <w:p>
      <w:pPr>
        <w:tabs>
          <w:tab w:val="left" w:pos="360"/>
        </w:tabs>
        <w:spacing w:line="360" w:lineRule="auto"/>
        <w:rPr>
          <w:sz w:val="24"/>
        </w:rPr>
      </w:pPr>
      <w:r>
        <w:rPr>
          <w:sz w:val="24"/>
        </w:rPr>
        <w:t>设备联锁和保护功能说明。</w:t>
      </w:r>
    </w:p>
    <w:p>
      <w:pPr>
        <w:tabs>
          <w:tab w:val="left" w:pos="360"/>
        </w:tabs>
        <w:spacing w:line="360" w:lineRule="auto"/>
        <w:rPr>
          <w:sz w:val="24"/>
        </w:rPr>
      </w:pPr>
      <w:r>
        <w:rPr>
          <w:sz w:val="24"/>
        </w:rPr>
        <w:t>设备安装、拆卸、维护的程序及注意事项。</w:t>
      </w:r>
    </w:p>
    <w:p>
      <w:pPr>
        <w:tabs>
          <w:tab w:val="left" w:pos="360"/>
        </w:tabs>
        <w:spacing w:line="360" w:lineRule="auto"/>
        <w:rPr>
          <w:sz w:val="24"/>
        </w:rPr>
      </w:pPr>
      <w:r>
        <w:rPr>
          <w:sz w:val="24"/>
        </w:rPr>
        <w:t>设备零、</w:t>
      </w:r>
      <w:bookmarkStart w:id="100" w:name="_GoBack"/>
      <w:bookmarkEnd w:id="100"/>
      <w:r>
        <w:rPr>
          <w:sz w:val="24"/>
        </w:rPr>
        <w:t>部件清单，包括名称、图号、规格、材质、制造厂家全称等。</w:t>
      </w:r>
    </w:p>
    <w:p>
      <w:pPr>
        <w:tabs>
          <w:tab w:val="left" w:pos="360"/>
        </w:tabs>
        <w:spacing w:line="360" w:lineRule="auto"/>
        <w:rPr>
          <w:sz w:val="24"/>
        </w:rPr>
      </w:pPr>
      <w:r>
        <w:rPr>
          <w:sz w:val="24"/>
        </w:rPr>
        <w:t>设备易损件、消耗性材料清单，包括名称、规格、制造厂家全称等。</w:t>
      </w:r>
    </w:p>
    <w:p>
      <w:pPr>
        <w:spacing w:line="360" w:lineRule="auto"/>
        <w:ind w:firstLine="480" w:firstLineChars="200"/>
        <w:rPr>
          <w:sz w:val="24"/>
        </w:rPr>
      </w:pPr>
      <w:r>
        <w:rPr>
          <w:sz w:val="24"/>
        </w:rPr>
        <w:t>为便于使用和查阅，手册应分成卷，每一卷包括封面的最大厚度为50mm。</w:t>
      </w:r>
    </w:p>
    <w:p>
      <w:pPr>
        <w:tabs>
          <w:tab w:val="left" w:pos="360"/>
        </w:tabs>
        <w:spacing w:line="360" w:lineRule="auto"/>
        <w:rPr>
          <w:sz w:val="24"/>
        </w:rPr>
      </w:pPr>
      <w:r>
        <w:rPr>
          <w:sz w:val="24"/>
        </w:rPr>
        <w:t>每一卷的版式应尽可能地一致，每一部分的系统、设备等描述顺序也应一致。</w:t>
      </w:r>
    </w:p>
    <w:p>
      <w:pPr>
        <w:tabs>
          <w:tab w:val="left" w:pos="360"/>
        </w:tabs>
        <w:spacing w:line="360" w:lineRule="auto"/>
        <w:outlineLvl w:val="0"/>
        <w:rPr>
          <w:b/>
          <w:sz w:val="30"/>
        </w:rPr>
      </w:pPr>
      <w:r>
        <w:br w:type="page"/>
      </w:r>
      <w:bookmarkStart w:id="70" w:name="_Toc5863367"/>
      <w:bookmarkStart w:id="71" w:name="_Toc201637566"/>
      <w:r>
        <w:rPr>
          <w:b/>
          <w:sz w:val="28"/>
        </w:rPr>
        <w:t>附件9  大（部）件情况</w:t>
      </w:r>
      <w:bookmarkEnd w:id="66"/>
      <w:bookmarkEnd w:id="67"/>
      <w:bookmarkEnd w:id="70"/>
      <w:bookmarkEnd w:id="71"/>
    </w:p>
    <w:p>
      <w:pPr>
        <w:spacing w:line="360" w:lineRule="auto"/>
        <w:ind w:left="420"/>
        <w:rPr>
          <w:sz w:val="24"/>
        </w:rPr>
      </w:pPr>
    </w:p>
    <w:p>
      <w:pPr>
        <w:spacing w:line="360" w:lineRule="auto"/>
        <w:ind w:left="420"/>
        <w:rPr>
          <w:sz w:val="24"/>
        </w:rPr>
      </w:pPr>
      <w:r>
        <w:rPr>
          <w:sz w:val="24"/>
        </w:rPr>
        <w:t>投标人应把超级超限的情况详细予以说明</w:t>
      </w:r>
    </w:p>
    <w:tbl>
      <w:tblPr>
        <w:tblStyle w:val="49"/>
        <w:tblW w:w="939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468"/>
        <w:gridCol w:w="1666"/>
        <w:gridCol w:w="434"/>
        <w:gridCol w:w="868"/>
        <w:gridCol w:w="1015"/>
        <w:gridCol w:w="868"/>
        <w:gridCol w:w="1015"/>
        <w:gridCol w:w="723"/>
        <w:gridCol w:w="1024"/>
        <w:gridCol w:w="632"/>
        <w:gridCol w:w="67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7" w:hRule="atLeast"/>
          <w:jc w:val="center"/>
        </w:trPr>
        <w:tc>
          <w:tcPr>
            <w:tcW w:w="468" w:type="dxa"/>
            <w:vMerge w:val="restart"/>
            <w:tcBorders>
              <w:top w:val="single" w:color="auto" w:sz="6" w:space="0"/>
              <w:left w:val="single" w:color="auto" w:sz="6" w:space="0"/>
              <w:bottom w:val="nil"/>
              <w:right w:val="single" w:color="auto" w:sz="6" w:space="0"/>
            </w:tcBorders>
            <w:vAlign w:val="center"/>
          </w:tcPr>
          <w:p>
            <w:pPr>
              <w:spacing w:line="360" w:lineRule="auto"/>
              <w:jc w:val="center"/>
              <w:rPr>
                <w:sz w:val="24"/>
              </w:rPr>
            </w:pPr>
            <w:r>
              <w:rPr>
                <w:sz w:val="24"/>
              </w:rPr>
              <w:t>序号</w:t>
            </w:r>
          </w:p>
        </w:tc>
        <w:tc>
          <w:tcPr>
            <w:tcW w:w="1666" w:type="dxa"/>
            <w:vMerge w:val="restart"/>
            <w:tcBorders>
              <w:top w:val="single" w:color="auto" w:sz="6" w:space="0"/>
              <w:left w:val="nil"/>
              <w:bottom w:val="nil"/>
              <w:right w:val="single" w:color="auto" w:sz="6" w:space="0"/>
            </w:tcBorders>
            <w:vAlign w:val="center"/>
          </w:tcPr>
          <w:p>
            <w:pPr>
              <w:spacing w:line="360" w:lineRule="auto"/>
              <w:jc w:val="center"/>
              <w:rPr>
                <w:sz w:val="24"/>
              </w:rPr>
            </w:pPr>
            <w:r>
              <w:rPr>
                <w:sz w:val="24"/>
              </w:rPr>
              <w:t>部件名称</w:t>
            </w:r>
          </w:p>
          <w:p>
            <w:pPr>
              <w:rPr>
                <w:sz w:val="24"/>
              </w:rPr>
            </w:pPr>
          </w:p>
        </w:tc>
        <w:tc>
          <w:tcPr>
            <w:tcW w:w="434" w:type="dxa"/>
            <w:vMerge w:val="restart"/>
            <w:tcBorders>
              <w:top w:val="single" w:color="auto" w:sz="6" w:space="0"/>
              <w:left w:val="nil"/>
              <w:bottom w:val="nil"/>
              <w:right w:val="single" w:color="auto" w:sz="6" w:space="0"/>
            </w:tcBorders>
            <w:vAlign w:val="center"/>
          </w:tcPr>
          <w:p>
            <w:pPr>
              <w:spacing w:line="360" w:lineRule="auto"/>
              <w:jc w:val="center"/>
              <w:rPr>
                <w:sz w:val="24"/>
              </w:rPr>
            </w:pPr>
            <w:r>
              <w:rPr>
                <w:sz w:val="24"/>
              </w:rPr>
              <w:t>数量</w:t>
            </w:r>
          </w:p>
        </w:tc>
        <w:tc>
          <w:tcPr>
            <w:tcW w:w="1883" w:type="dxa"/>
            <w:gridSpan w:val="2"/>
            <w:tcBorders>
              <w:top w:val="single" w:color="auto" w:sz="6" w:space="0"/>
              <w:left w:val="nil"/>
              <w:bottom w:val="single" w:color="auto" w:sz="6" w:space="0"/>
              <w:right w:val="nil"/>
            </w:tcBorders>
            <w:vAlign w:val="center"/>
          </w:tcPr>
          <w:p>
            <w:pPr>
              <w:spacing w:line="360" w:lineRule="auto"/>
              <w:jc w:val="center"/>
              <w:rPr>
                <w:sz w:val="24"/>
              </w:rPr>
            </w:pPr>
            <w:r>
              <w:rPr>
                <w:sz w:val="24"/>
              </w:rPr>
              <w:t>长 x 宽 x 高</w:t>
            </w:r>
          </w:p>
        </w:tc>
        <w:tc>
          <w:tcPr>
            <w:tcW w:w="1883" w:type="dxa"/>
            <w:gridSpan w:val="2"/>
            <w:tcBorders>
              <w:top w:val="single" w:color="auto" w:sz="6" w:space="0"/>
              <w:left w:val="single" w:color="auto" w:sz="6" w:space="0"/>
              <w:bottom w:val="single" w:color="auto" w:sz="6" w:space="0"/>
              <w:right w:val="nil"/>
            </w:tcBorders>
            <w:vAlign w:val="center"/>
          </w:tcPr>
          <w:p>
            <w:pPr>
              <w:spacing w:line="360" w:lineRule="auto"/>
              <w:jc w:val="center"/>
              <w:rPr>
                <w:sz w:val="24"/>
              </w:rPr>
            </w:pPr>
            <w:r>
              <w:rPr>
                <w:sz w:val="24"/>
              </w:rPr>
              <w:t>重量</w:t>
            </w:r>
          </w:p>
        </w:tc>
        <w:tc>
          <w:tcPr>
            <w:tcW w:w="723" w:type="dxa"/>
            <w:vMerge w:val="restart"/>
            <w:tcBorders>
              <w:top w:val="single" w:color="auto" w:sz="6" w:space="0"/>
              <w:left w:val="single" w:color="auto" w:sz="6" w:space="0"/>
              <w:bottom w:val="nil"/>
              <w:right w:val="nil"/>
            </w:tcBorders>
            <w:vAlign w:val="center"/>
          </w:tcPr>
          <w:p>
            <w:pPr>
              <w:spacing w:line="360" w:lineRule="auto"/>
              <w:jc w:val="center"/>
              <w:rPr>
                <w:sz w:val="24"/>
              </w:rPr>
            </w:pPr>
            <w:r>
              <w:rPr>
                <w:sz w:val="24"/>
              </w:rPr>
              <w:t>厂家名称</w:t>
            </w:r>
          </w:p>
        </w:tc>
        <w:tc>
          <w:tcPr>
            <w:tcW w:w="1024" w:type="dxa"/>
            <w:vMerge w:val="restart"/>
            <w:tcBorders>
              <w:top w:val="single" w:color="auto" w:sz="6" w:space="0"/>
              <w:left w:val="single" w:color="auto" w:sz="6" w:space="0"/>
              <w:bottom w:val="nil"/>
              <w:right w:val="nil"/>
            </w:tcBorders>
            <w:vAlign w:val="center"/>
          </w:tcPr>
          <w:p>
            <w:pPr>
              <w:spacing w:line="360" w:lineRule="auto"/>
              <w:jc w:val="center"/>
              <w:rPr>
                <w:sz w:val="24"/>
              </w:rPr>
            </w:pPr>
            <w:r>
              <w:rPr>
                <w:sz w:val="24"/>
              </w:rPr>
              <w:t>货物发运地点</w:t>
            </w:r>
          </w:p>
        </w:tc>
        <w:tc>
          <w:tcPr>
            <w:tcW w:w="632" w:type="dxa"/>
            <w:vMerge w:val="restart"/>
            <w:tcBorders>
              <w:top w:val="single" w:color="auto" w:sz="6" w:space="0"/>
              <w:left w:val="single" w:color="auto" w:sz="6" w:space="0"/>
              <w:bottom w:val="nil"/>
              <w:right w:val="nil"/>
            </w:tcBorders>
            <w:vAlign w:val="center"/>
          </w:tcPr>
          <w:p>
            <w:pPr>
              <w:spacing w:line="360" w:lineRule="auto"/>
              <w:jc w:val="center"/>
              <w:rPr>
                <w:sz w:val="24"/>
              </w:rPr>
            </w:pPr>
            <w:r>
              <w:rPr>
                <w:sz w:val="24"/>
              </w:rPr>
              <w:t>运输方式</w:t>
            </w:r>
          </w:p>
        </w:tc>
        <w:tc>
          <w:tcPr>
            <w:tcW w:w="678" w:type="dxa"/>
            <w:vMerge w:val="restart"/>
            <w:tcBorders>
              <w:top w:val="single" w:color="auto" w:sz="6" w:space="0"/>
              <w:left w:val="single" w:color="auto" w:sz="6" w:space="0"/>
              <w:bottom w:val="nil"/>
              <w:right w:val="single" w:color="auto" w:sz="6" w:space="0"/>
            </w:tcBorders>
            <w:vAlign w:val="center"/>
          </w:tcPr>
          <w:p>
            <w:pPr>
              <w:spacing w:line="360" w:lineRule="auto"/>
              <w:jc w:val="center"/>
              <w:rPr>
                <w:sz w:val="24"/>
              </w:rPr>
            </w:pPr>
            <w:r>
              <w:rPr>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186" w:hRule="atLeast"/>
          <w:jc w:val="center"/>
        </w:trPr>
        <w:tc>
          <w:tcPr>
            <w:tcW w:w="468" w:type="dxa"/>
            <w:vMerge w:val="continue"/>
            <w:tcBorders>
              <w:top w:val="nil"/>
              <w:left w:val="single" w:color="auto" w:sz="6" w:space="0"/>
              <w:bottom w:val="single" w:color="auto" w:sz="6" w:space="0"/>
              <w:right w:val="single" w:color="auto" w:sz="6" w:space="0"/>
            </w:tcBorders>
            <w:vAlign w:val="center"/>
          </w:tcPr>
          <w:p>
            <w:pPr>
              <w:spacing w:line="360" w:lineRule="auto"/>
              <w:jc w:val="center"/>
              <w:rPr>
                <w:sz w:val="24"/>
              </w:rPr>
            </w:pPr>
          </w:p>
        </w:tc>
        <w:tc>
          <w:tcPr>
            <w:tcW w:w="1666" w:type="dxa"/>
            <w:vMerge w:val="continue"/>
            <w:tcBorders>
              <w:top w:val="nil"/>
              <w:left w:val="nil"/>
              <w:bottom w:val="single" w:color="auto" w:sz="6" w:space="0"/>
              <w:right w:val="single" w:color="auto" w:sz="6" w:space="0"/>
            </w:tcBorders>
            <w:vAlign w:val="center"/>
          </w:tcPr>
          <w:p>
            <w:pPr>
              <w:spacing w:line="360" w:lineRule="auto"/>
              <w:jc w:val="center"/>
              <w:rPr>
                <w:sz w:val="24"/>
              </w:rPr>
            </w:pPr>
          </w:p>
        </w:tc>
        <w:tc>
          <w:tcPr>
            <w:tcW w:w="434" w:type="dxa"/>
            <w:vMerge w:val="continue"/>
            <w:tcBorders>
              <w:top w:val="nil"/>
              <w:left w:val="nil"/>
              <w:bottom w:val="single" w:color="auto" w:sz="6" w:space="0"/>
              <w:right w:val="single" w:color="auto" w:sz="6" w:space="0"/>
            </w:tcBorders>
            <w:vAlign w:val="center"/>
          </w:tcPr>
          <w:p>
            <w:pPr>
              <w:spacing w:line="360" w:lineRule="auto"/>
              <w:jc w:val="center"/>
              <w:rPr>
                <w:sz w:val="24"/>
              </w:rPr>
            </w:pPr>
          </w:p>
        </w:tc>
        <w:tc>
          <w:tcPr>
            <w:tcW w:w="868" w:type="dxa"/>
            <w:tcBorders>
              <w:top w:val="nil"/>
              <w:left w:val="nil"/>
            </w:tcBorders>
            <w:vAlign w:val="center"/>
          </w:tcPr>
          <w:p>
            <w:pPr>
              <w:spacing w:line="360" w:lineRule="auto"/>
              <w:jc w:val="center"/>
              <w:rPr>
                <w:sz w:val="24"/>
              </w:rPr>
            </w:pPr>
            <w:r>
              <w:rPr>
                <w:sz w:val="24"/>
              </w:rPr>
              <w:t>包装</w:t>
            </w:r>
          </w:p>
        </w:tc>
        <w:tc>
          <w:tcPr>
            <w:tcW w:w="1015" w:type="dxa"/>
            <w:tcBorders>
              <w:top w:val="nil"/>
            </w:tcBorders>
            <w:vAlign w:val="center"/>
          </w:tcPr>
          <w:p>
            <w:pPr>
              <w:pStyle w:val="72"/>
              <w:spacing w:line="360" w:lineRule="auto"/>
              <w:rPr>
                <w:rFonts w:ascii="Times New Roman"/>
              </w:rPr>
            </w:pPr>
            <w:r>
              <w:rPr>
                <w:rFonts w:ascii="Times New Roman"/>
              </w:rPr>
              <w:t>未包装</w:t>
            </w:r>
          </w:p>
        </w:tc>
        <w:tc>
          <w:tcPr>
            <w:tcW w:w="868" w:type="dxa"/>
            <w:tcBorders>
              <w:top w:val="nil"/>
            </w:tcBorders>
            <w:vAlign w:val="center"/>
          </w:tcPr>
          <w:p>
            <w:pPr>
              <w:spacing w:line="360" w:lineRule="auto"/>
              <w:jc w:val="center"/>
              <w:rPr>
                <w:sz w:val="24"/>
              </w:rPr>
            </w:pPr>
            <w:r>
              <w:rPr>
                <w:sz w:val="24"/>
              </w:rPr>
              <w:t>包装</w:t>
            </w:r>
          </w:p>
        </w:tc>
        <w:tc>
          <w:tcPr>
            <w:tcW w:w="1015" w:type="dxa"/>
            <w:tcBorders>
              <w:top w:val="nil"/>
              <w:right w:val="nil"/>
            </w:tcBorders>
            <w:vAlign w:val="center"/>
          </w:tcPr>
          <w:p>
            <w:pPr>
              <w:spacing w:line="360" w:lineRule="auto"/>
              <w:jc w:val="center"/>
              <w:rPr>
                <w:sz w:val="24"/>
              </w:rPr>
            </w:pPr>
            <w:r>
              <w:rPr>
                <w:sz w:val="24"/>
              </w:rPr>
              <w:t>未包装</w:t>
            </w:r>
          </w:p>
        </w:tc>
        <w:tc>
          <w:tcPr>
            <w:tcW w:w="723" w:type="dxa"/>
            <w:vMerge w:val="continue"/>
            <w:tcBorders>
              <w:top w:val="nil"/>
              <w:left w:val="single" w:color="auto" w:sz="6" w:space="0"/>
              <w:bottom w:val="single" w:color="auto" w:sz="6" w:space="0"/>
              <w:right w:val="nil"/>
            </w:tcBorders>
            <w:vAlign w:val="center"/>
          </w:tcPr>
          <w:p>
            <w:pPr>
              <w:spacing w:line="360" w:lineRule="auto"/>
              <w:jc w:val="center"/>
              <w:rPr>
                <w:sz w:val="24"/>
              </w:rPr>
            </w:pPr>
          </w:p>
        </w:tc>
        <w:tc>
          <w:tcPr>
            <w:tcW w:w="1024" w:type="dxa"/>
            <w:vMerge w:val="continue"/>
            <w:tcBorders>
              <w:top w:val="nil"/>
              <w:left w:val="single" w:color="auto" w:sz="6" w:space="0"/>
              <w:bottom w:val="single" w:color="auto" w:sz="6" w:space="0"/>
              <w:right w:val="nil"/>
            </w:tcBorders>
            <w:vAlign w:val="center"/>
          </w:tcPr>
          <w:p>
            <w:pPr>
              <w:spacing w:line="360" w:lineRule="auto"/>
              <w:jc w:val="center"/>
              <w:rPr>
                <w:sz w:val="24"/>
              </w:rPr>
            </w:pPr>
          </w:p>
        </w:tc>
        <w:tc>
          <w:tcPr>
            <w:tcW w:w="632" w:type="dxa"/>
            <w:vMerge w:val="continue"/>
            <w:tcBorders>
              <w:top w:val="nil"/>
              <w:left w:val="single" w:color="auto" w:sz="6" w:space="0"/>
              <w:bottom w:val="single" w:color="auto" w:sz="6" w:space="0"/>
              <w:right w:val="nil"/>
            </w:tcBorders>
            <w:vAlign w:val="center"/>
          </w:tcPr>
          <w:p>
            <w:pPr>
              <w:spacing w:line="360" w:lineRule="auto"/>
              <w:jc w:val="center"/>
              <w:rPr>
                <w:sz w:val="24"/>
              </w:rPr>
            </w:pPr>
          </w:p>
        </w:tc>
        <w:tc>
          <w:tcPr>
            <w:tcW w:w="678" w:type="dxa"/>
            <w:vMerge w:val="continue"/>
            <w:tcBorders>
              <w:top w:val="nil"/>
              <w:left w:val="single" w:color="auto" w:sz="6" w:space="0"/>
              <w:bottom w:val="single" w:color="auto" w:sz="6" w:space="0"/>
              <w:right w:val="single" w:color="auto" w:sz="6" w:space="0"/>
            </w:tcBorders>
            <w:vAlign w:val="center"/>
          </w:tcPr>
          <w:p>
            <w:pPr>
              <w:spacing w:line="360" w:lineRule="auto"/>
              <w:jc w:val="center"/>
              <w:rPr>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45" w:hRule="atLeast"/>
          <w:jc w:val="center"/>
        </w:trPr>
        <w:tc>
          <w:tcPr>
            <w:tcW w:w="468" w:type="dxa"/>
            <w:tcBorders>
              <w:top w:val="nil"/>
            </w:tcBorders>
          </w:tcPr>
          <w:p>
            <w:pPr>
              <w:spacing w:line="360" w:lineRule="auto"/>
              <w:jc w:val="center"/>
              <w:rPr>
                <w:sz w:val="24"/>
              </w:rPr>
            </w:pPr>
            <w:r>
              <w:rPr>
                <w:sz w:val="24"/>
              </w:rPr>
              <w:t>1</w:t>
            </w:r>
          </w:p>
        </w:tc>
        <w:tc>
          <w:tcPr>
            <w:tcW w:w="1666" w:type="dxa"/>
            <w:tcBorders>
              <w:top w:val="nil"/>
            </w:tcBorders>
          </w:tcPr>
          <w:p>
            <w:pPr>
              <w:spacing w:line="360" w:lineRule="auto"/>
              <w:rPr>
                <w:sz w:val="24"/>
              </w:rPr>
            </w:pPr>
          </w:p>
        </w:tc>
        <w:tc>
          <w:tcPr>
            <w:tcW w:w="434" w:type="dxa"/>
            <w:tcBorders>
              <w:top w:val="nil"/>
            </w:tcBorders>
            <w:vAlign w:val="center"/>
          </w:tcPr>
          <w:p>
            <w:pPr>
              <w:spacing w:line="360" w:lineRule="auto"/>
              <w:jc w:val="center"/>
              <w:rPr>
                <w:sz w:val="24"/>
              </w:rPr>
            </w:pPr>
          </w:p>
        </w:tc>
        <w:tc>
          <w:tcPr>
            <w:tcW w:w="868" w:type="dxa"/>
            <w:vAlign w:val="center"/>
          </w:tcPr>
          <w:p>
            <w:pPr>
              <w:spacing w:line="360" w:lineRule="auto"/>
              <w:jc w:val="center"/>
              <w:rPr>
                <w:sz w:val="24"/>
              </w:rPr>
            </w:pPr>
          </w:p>
        </w:tc>
        <w:tc>
          <w:tcPr>
            <w:tcW w:w="1015" w:type="dxa"/>
            <w:vAlign w:val="center"/>
          </w:tcPr>
          <w:p>
            <w:pPr>
              <w:spacing w:line="360" w:lineRule="auto"/>
              <w:jc w:val="center"/>
              <w:rPr>
                <w:sz w:val="24"/>
              </w:rPr>
            </w:pPr>
          </w:p>
        </w:tc>
        <w:tc>
          <w:tcPr>
            <w:tcW w:w="868" w:type="dxa"/>
            <w:vAlign w:val="center"/>
          </w:tcPr>
          <w:p>
            <w:pPr>
              <w:spacing w:line="360" w:lineRule="auto"/>
              <w:jc w:val="center"/>
              <w:rPr>
                <w:sz w:val="24"/>
              </w:rPr>
            </w:pPr>
          </w:p>
        </w:tc>
        <w:tc>
          <w:tcPr>
            <w:tcW w:w="1015" w:type="dxa"/>
            <w:vAlign w:val="center"/>
          </w:tcPr>
          <w:p>
            <w:pPr>
              <w:spacing w:line="360" w:lineRule="auto"/>
              <w:jc w:val="center"/>
              <w:rPr>
                <w:sz w:val="24"/>
              </w:rPr>
            </w:pPr>
          </w:p>
        </w:tc>
        <w:tc>
          <w:tcPr>
            <w:tcW w:w="723" w:type="dxa"/>
            <w:tcBorders>
              <w:top w:val="nil"/>
            </w:tcBorders>
            <w:vAlign w:val="center"/>
          </w:tcPr>
          <w:p>
            <w:pPr>
              <w:spacing w:line="360" w:lineRule="auto"/>
              <w:jc w:val="center"/>
              <w:rPr>
                <w:sz w:val="24"/>
              </w:rPr>
            </w:pPr>
          </w:p>
        </w:tc>
        <w:tc>
          <w:tcPr>
            <w:tcW w:w="1024" w:type="dxa"/>
            <w:tcBorders>
              <w:top w:val="nil"/>
            </w:tcBorders>
            <w:vAlign w:val="center"/>
          </w:tcPr>
          <w:p>
            <w:pPr>
              <w:spacing w:line="360" w:lineRule="auto"/>
              <w:jc w:val="center"/>
              <w:rPr>
                <w:sz w:val="24"/>
              </w:rPr>
            </w:pPr>
          </w:p>
        </w:tc>
        <w:tc>
          <w:tcPr>
            <w:tcW w:w="632" w:type="dxa"/>
            <w:tcBorders>
              <w:top w:val="nil"/>
            </w:tcBorders>
            <w:vAlign w:val="center"/>
          </w:tcPr>
          <w:p>
            <w:pPr>
              <w:spacing w:line="360" w:lineRule="auto"/>
              <w:jc w:val="center"/>
              <w:rPr>
                <w:sz w:val="24"/>
              </w:rPr>
            </w:pPr>
          </w:p>
        </w:tc>
        <w:tc>
          <w:tcPr>
            <w:tcW w:w="678" w:type="dxa"/>
            <w:tcBorders>
              <w:top w:val="nil"/>
            </w:tcBorders>
            <w:vAlign w:val="center"/>
          </w:tcPr>
          <w:p>
            <w:pPr>
              <w:spacing w:line="360" w:lineRule="auto"/>
              <w:jc w:val="center"/>
              <w:rPr>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45" w:hRule="atLeast"/>
          <w:jc w:val="center"/>
        </w:trPr>
        <w:tc>
          <w:tcPr>
            <w:tcW w:w="468" w:type="dxa"/>
          </w:tcPr>
          <w:p>
            <w:pPr>
              <w:spacing w:line="360" w:lineRule="auto"/>
              <w:jc w:val="center"/>
              <w:rPr>
                <w:sz w:val="24"/>
              </w:rPr>
            </w:pPr>
            <w:r>
              <w:rPr>
                <w:sz w:val="24"/>
              </w:rPr>
              <w:t>2</w:t>
            </w:r>
          </w:p>
        </w:tc>
        <w:tc>
          <w:tcPr>
            <w:tcW w:w="1666" w:type="dxa"/>
          </w:tcPr>
          <w:p>
            <w:pPr>
              <w:spacing w:line="360" w:lineRule="auto"/>
              <w:rPr>
                <w:sz w:val="24"/>
              </w:rPr>
            </w:pPr>
          </w:p>
        </w:tc>
        <w:tc>
          <w:tcPr>
            <w:tcW w:w="434" w:type="dxa"/>
            <w:vAlign w:val="center"/>
          </w:tcPr>
          <w:p>
            <w:pPr>
              <w:spacing w:line="360" w:lineRule="auto"/>
              <w:jc w:val="center"/>
              <w:rPr>
                <w:sz w:val="24"/>
              </w:rPr>
            </w:pPr>
          </w:p>
        </w:tc>
        <w:tc>
          <w:tcPr>
            <w:tcW w:w="868" w:type="dxa"/>
            <w:vAlign w:val="center"/>
          </w:tcPr>
          <w:p>
            <w:pPr>
              <w:spacing w:line="360" w:lineRule="auto"/>
              <w:jc w:val="center"/>
              <w:rPr>
                <w:sz w:val="24"/>
              </w:rPr>
            </w:pPr>
          </w:p>
        </w:tc>
        <w:tc>
          <w:tcPr>
            <w:tcW w:w="1015" w:type="dxa"/>
            <w:vAlign w:val="center"/>
          </w:tcPr>
          <w:p>
            <w:pPr>
              <w:spacing w:line="360" w:lineRule="auto"/>
              <w:jc w:val="center"/>
              <w:rPr>
                <w:sz w:val="24"/>
              </w:rPr>
            </w:pPr>
          </w:p>
        </w:tc>
        <w:tc>
          <w:tcPr>
            <w:tcW w:w="868" w:type="dxa"/>
            <w:vAlign w:val="center"/>
          </w:tcPr>
          <w:p>
            <w:pPr>
              <w:spacing w:line="360" w:lineRule="auto"/>
              <w:jc w:val="center"/>
              <w:rPr>
                <w:sz w:val="24"/>
              </w:rPr>
            </w:pPr>
          </w:p>
        </w:tc>
        <w:tc>
          <w:tcPr>
            <w:tcW w:w="1015" w:type="dxa"/>
            <w:vAlign w:val="center"/>
          </w:tcPr>
          <w:p>
            <w:pPr>
              <w:spacing w:line="360" w:lineRule="auto"/>
              <w:jc w:val="center"/>
              <w:rPr>
                <w:sz w:val="24"/>
              </w:rPr>
            </w:pPr>
          </w:p>
        </w:tc>
        <w:tc>
          <w:tcPr>
            <w:tcW w:w="723" w:type="dxa"/>
            <w:vAlign w:val="center"/>
          </w:tcPr>
          <w:p>
            <w:pPr>
              <w:spacing w:line="360" w:lineRule="auto"/>
              <w:jc w:val="center"/>
              <w:rPr>
                <w:sz w:val="24"/>
              </w:rPr>
            </w:pPr>
          </w:p>
        </w:tc>
        <w:tc>
          <w:tcPr>
            <w:tcW w:w="1024" w:type="dxa"/>
            <w:vAlign w:val="center"/>
          </w:tcPr>
          <w:p>
            <w:pPr>
              <w:spacing w:line="360" w:lineRule="auto"/>
              <w:jc w:val="center"/>
              <w:rPr>
                <w:sz w:val="24"/>
              </w:rPr>
            </w:pPr>
          </w:p>
        </w:tc>
        <w:tc>
          <w:tcPr>
            <w:tcW w:w="632" w:type="dxa"/>
            <w:vAlign w:val="center"/>
          </w:tcPr>
          <w:p>
            <w:pPr>
              <w:spacing w:line="360" w:lineRule="auto"/>
              <w:jc w:val="center"/>
              <w:rPr>
                <w:sz w:val="24"/>
              </w:rPr>
            </w:pPr>
          </w:p>
        </w:tc>
        <w:tc>
          <w:tcPr>
            <w:tcW w:w="678" w:type="dxa"/>
            <w:vAlign w:val="center"/>
          </w:tcPr>
          <w:p>
            <w:pPr>
              <w:spacing w:line="360" w:lineRule="auto"/>
              <w:jc w:val="center"/>
              <w:rPr>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27" w:hRule="atLeast"/>
          <w:jc w:val="center"/>
        </w:trPr>
        <w:tc>
          <w:tcPr>
            <w:tcW w:w="468" w:type="dxa"/>
          </w:tcPr>
          <w:p>
            <w:pPr>
              <w:spacing w:line="360" w:lineRule="auto"/>
              <w:jc w:val="center"/>
              <w:rPr>
                <w:sz w:val="24"/>
              </w:rPr>
            </w:pPr>
            <w:r>
              <w:rPr>
                <w:sz w:val="24"/>
              </w:rPr>
              <w:t>3</w:t>
            </w:r>
          </w:p>
        </w:tc>
        <w:tc>
          <w:tcPr>
            <w:tcW w:w="1666" w:type="dxa"/>
          </w:tcPr>
          <w:p>
            <w:pPr>
              <w:spacing w:line="360" w:lineRule="auto"/>
              <w:rPr>
                <w:sz w:val="24"/>
              </w:rPr>
            </w:pPr>
          </w:p>
        </w:tc>
        <w:tc>
          <w:tcPr>
            <w:tcW w:w="434" w:type="dxa"/>
            <w:vAlign w:val="center"/>
          </w:tcPr>
          <w:p>
            <w:pPr>
              <w:spacing w:line="360" w:lineRule="auto"/>
              <w:jc w:val="center"/>
              <w:rPr>
                <w:sz w:val="24"/>
              </w:rPr>
            </w:pPr>
          </w:p>
        </w:tc>
        <w:tc>
          <w:tcPr>
            <w:tcW w:w="868" w:type="dxa"/>
            <w:vAlign w:val="center"/>
          </w:tcPr>
          <w:p>
            <w:pPr>
              <w:spacing w:line="360" w:lineRule="auto"/>
              <w:jc w:val="center"/>
              <w:rPr>
                <w:sz w:val="24"/>
              </w:rPr>
            </w:pPr>
          </w:p>
        </w:tc>
        <w:tc>
          <w:tcPr>
            <w:tcW w:w="1015" w:type="dxa"/>
            <w:vAlign w:val="center"/>
          </w:tcPr>
          <w:p>
            <w:pPr>
              <w:spacing w:line="360" w:lineRule="auto"/>
              <w:jc w:val="center"/>
              <w:rPr>
                <w:sz w:val="24"/>
              </w:rPr>
            </w:pPr>
          </w:p>
        </w:tc>
        <w:tc>
          <w:tcPr>
            <w:tcW w:w="868" w:type="dxa"/>
            <w:vAlign w:val="center"/>
          </w:tcPr>
          <w:p>
            <w:pPr>
              <w:spacing w:line="360" w:lineRule="auto"/>
              <w:jc w:val="center"/>
              <w:rPr>
                <w:sz w:val="24"/>
              </w:rPr>
            </w:pPr>
          </w:p>
        </w:tc>
        <w:tc>
          <w:tcPr>
            <w:tcW w:w="1015" w:type="dxa"/>
            <w:vAlign w:val="center"/>
          </w:tcPr>
          <w:p>
            <w:pPr>
              <w:spacing w:line="360" w:lineRule="auto"/>
              <w:jc w:val="center"/>
              <w:rPr>
                <w:sz w:val="24"/>
              </w:rPr>
            </w:pPr>
          </w:p>
        </w:tc>
        <w:tc>
          <w:tcPr>
            <w:tcW w:w="723" w:type="dxa"/>
            <w:vAlign w:val="center"/>
          </w:tcPr>
          <w:p>
            <w:pPr>
              <w:spacing w:line="360" w:lineRule="auto"/>
              <w:jc w:val="center"/>
              <w:rPr>
                <w:sz w:val="24"/>
              </w:rPr>
            </w:pPr>
          </w:p>
        </w:tc>
        <w:tc>
          <w:tcPr>
            <w:tcW w:w="1024" w:type="dxa"/>
            <w:vAlign w:val="center"/>
          </w:tcPr>
          <w:p>
            <w:pPr>
              <w:spacing w:line="360" w:lineRule="auto"/>
              <w:jc w:val="center"/>
              <w:rPr>
                <w:sz w:val="24"/>
              </w:rPr>
            </w:pPr>
          </w:p>
        </w:tc>
        <w:tc>
          <w:tcPr>
            <w:tcW w:w="632" w:type="dxa"/>
            <w:vAlign w:val="center"/>
          </w:tcPr>
          <w:p>
            <w:pPr>
              <w:spacing w:line="360" w:lineRule="auto"/>
              <w:jc w:val="center"/>
              <w:rPr>
                <w:sz w:val="24"/>
              </w:rPr>
            </w:pPr>
          </w:p>
        </w:tc>
        <w:tc>
          <w:tcPr>
            <w:tcW w:w="678" w:type="dxa"/>
            <w:vAlign w:val="center"/>
          </w:tcPr>
          <w:p>
            <w:pPr>
              <w:spacing w:line="360" w:lineRule="auto"/>
              <w:jc w:val="center"/>
              <w:rPr>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04" w:hRule="atLeast"/>
          <w:jc w:val="center"/>
        </w:trPr>
        <w:tc>
          <w:tcPr>
            <w:tcW w:w="468" w:type="dxa"/>
            <w:vAlign w:val="center"/>
          </w:tcPr>
          <w:p>
            <w:pPr>
              <w:spacing w:line="360" w:lineRule="auto"/>
              <w:jc w:val="center"/>
              <w:rPr>
                <w:sz w:val="24"/>
              </w:rPr>
            </w:pPr>
          </w:p>
        </w:tc>
        <w:tc>
          <w:tcPr>
            <w:tcW w:w="1666" w:type="dxa"/>
            <w:vAlign w:val="center"/>
          </w:tcPr>
          <w:p>
            <w:pPr>
              <w:spacing w:line="360" w:lineRule="auto"/>
              <w:jc w:val="center"/>
              <w:rPr>
                <w:sz w:val="24"/>
              </w:rPr>
            </w:pPr>
          </w:p>
        </w:tc>
        <w:tc>
          <w:tcPr>
            <w:tcW w:w="434" w:type="dxa"/>
            <w:vAlign w:val="center"/>
          </w:tcPr>
          <w:p>
            <w:pPr>
              <w:spacing w:line="360" w:lineRule="auto"/>
              <w:jc w:val="center"/>
              <w:rPr>
                <w:sz w:val="24"/>
              </w:rPr>
            </w:pPr>
          </w:p>
        </w:tc>
        <w:tc>
          <w:tcPr>
            <w:tcW w:w="868" w:type="dxa"/>
            <w:vAlign w:val="center"/>
          </w:tcPr>
          <w:p>
            <w:pPr>
              <w:spacing w:line="360" w:lineRule="auto"/>
              <w:jc w:val="center"/>
              <w:rPr>
                <w:sz w:val="24"/>
              </w:rPr>
            </w:pPr>
          </w:p>
        </w:tc>
        <w:tc>
          <w:tcPr>
            <w:tcW w:w="1015" w:type="dxa"/>
            <w:vAlign w:val="center"/>
          </w:tcPr>
          <w:p>
            <w:pPr>
              <w:spacing w:line="360" w:lineRule="auto"/>
              <w:jc w:val="center"/>
              <w:rPr>
                <w:sz w:val="24"/>
              </w:rPr>
            </w:pPr>
          </w:p>
        </w:tc>
        <w:tc>
          <w:tcPr>
            <w:tcW w:w="868" w:type="dxa"/>
            <w:vAlign w:val="center"/>
          </w:tcPr>
          <w:p>
            <w:pPr>
              <w:spacing w:line="360" w:lineRule="auto"/>
              <w:jc w:val="center"/>
              <w:rPr>
                <w:sz w:val="24"/>
              </w:rPr>
            </w:pPr>
          </w:p>
        </w:tc>
        <w:tc>
          <w:tcPr>
            <w:tcW w:w="1015" w:type="dxa"/>
            <w:vAlign w:val="center"/>
          </w:tcPr>
          <w:p>
            <w:pPr>
              <w:spacing w:line="360" w:lineRule="auto"/>
              <w:jc w:val="center"/>
              <w:rPr>
                <w:sz w:val="24"/>
              </w:rPr>
            </w:pPr>
          </w:p>
        </w:tc>
        <w:tc>
          <w:tcPr>
            <w:tcW w:w="723" w:type="dxa"/>
            <w:vAlign w:val="center"/>
          </w:tcPr>
          <w:p>
            <w:pPr>
              <w:spacing w:line="360" w:lineRule="auto"/>
              <w:jc w:val="center"/>
              <w:rPr>
                <w:sz w:val="24"/>
              </w:rPr>
            </w:pPr>
          </w:p>
        </w:tc>
        <w:tc>
          <w:tcPr>
            <w:tcW w:w="1024" w:type="dxa"/>
            <w:vAlign w:val="center"/>
          </w:tcPr>
          <w:p>
            <w:pPr>
              <w:spacing w:line="360" w:lineRule="auto"/>
              <w:jc w:val="center"/>
              <w:rPr>
                <w:sz w:val="24"/>
              </w:rPr>
            </w:pPr>
          </w:p>
        </w:tc>
        <w:tc>
          <w:tcPr>
            <w:tcW w:w="632" w:type="dxa"/>
            <w:vAlign w:val="center"/>
          </w:tcPr>
          <w:p>
            <w:pPr>
              <w:spacing w:line="360" w:lineRule="auto"/>
              <w:jc w:val="center"/>
              <w:rPr>
                <w:sz w:val="24"/>
              </w:rPr>
            </w:pPr>
          </w:p>
        </w:tc>
        <w:tc>
          <w:tcPr>
            <w:tcW w:w="678" w:type="dxa"/>
            <w:vAlign w:val="center"/>
          </w:tcPr>
          <w:p>
            <w:pPr>
              <w:spacing w:line="360" w:lineRule="auto"/>
              <w:jc w:val="center"/>
              <w:rPr>
                <w:sz w:val="24"/>
              </w:rPr>
            </w:pPr>
          </w:p>
        </w:tc>
      </w:tr>
    </w:tbl>
    <w:p>
      <w:pPr>
        <w:spacing w:line="360" w:lineRule="auto"/>
        <w:ind w:left="420"/>
        <w:rPr>
          <w:sz w:val="24"/>
        </w:rPr>
      </w:pPr>
      <w:r>
        <w:rPr>
          <w:sz w:val="24"/>
        </w:rPr>
        <w:t>说明：</w:t>
      </w:r>
    </w:p>
    <w:p>
      <w:pPr>
        <w:spacing w:line="360" w:lineRule="auto"/>
        <w:rPr>
          <w:sz w:val="24"/>
        </w:rPr>
      </w:pPr>
      <w:r>
        <w:rPr>
          <w:sz w:val="24"/>
        </w:rPr>
        <w:t>1. 投标人应在投标文件中按附表要求提供设备各大件的运输尺寸（长×宽×高）、重量，并附运输外形尺寸图及其重心位置。</w:t>
      </w:r>
    </w:p>
    <w:p>
      <w:pPr>
        <w:spacing w:line="360" w:lineRule="auto"/>
        <w:rPr>
          <w:sz w:val="24"/>
        </w:rPr>
      </w:pPr>
      <w:r>
        <w:rPr>
          <w:sz w:val="24"/>
        </w:rPr>
        <w:t>2. 设备运输尺寸，指设备包装后的各部分尺寸。</w:t>
      </w:r>
    </w:p>
    <w:p>
      <w:pPr>
        <w:spacing w:line="360" w:lineRule="auto"/>
        <w:rPr>
          <w:sz w:val="24"/>
        </w:rPr>
      </w:pPr>
      <w:r>
        <w:rPr>
          <w:sz w:val="24"/>
        </w:rPr>
        <w:t>3. 当采用铁路运输时，设备的运输外形尺寸，应考虑该设备拟采用的运输车辆装载面至轨面的高度要求。</w:t>
      </w:r>
    </w:p>
    <w:p>
      <w:pPr>
        <w:spacing w:line="360" w:lineRule="auto"/>
        <w:rPr>
          <w:sz w:val="24"/>
        </w:rPr>
      </w:pPr>
      <w:r>
        <w:rPr>
          <w:sz w:val="24"/>
        </w:rPr>
        <w:t>4. 投标人应根据大件运输的线路及运输方式，对沿途中所经过的涵洞、桥梁等构、建筑物进行充分的调查和论证，在投标文件中提出大件运输的方案，确保设备大件安全运至现场。</w:t>
      </w:r>
    </w:p>
    <w:p>
      <w:pPr>
        <w:spacing w:line="360" w:lineRule="auto"/>
        <w:rPr>
          <w:sz w:val="24"/>
        </w:rPr>
      </w:pPr>
      <w:r>
        <w:rPr>
          <w:sz w:val="24"/>
        </w:rPr>
        <w:t>5. 投标人还应在投标文件中说明所有其它设备的运输方案，包括车辆型号、数量、运输路线等。</w:t>
      </w:r>
    </w:p>
    <w:p>
      <w:pPr>
        <w:spacing w:line="360" w:lineRule="auto"/>
        <w:rPr>
          <w:sz w:val="24"/>
        </w:rPr>
      </w:pPr>
      <w:r>
        <w:rPr>
          <w:sz w:val="24"/>
        </w:rPr>
        <w:t>6. 当投标人设备的运输尺寸超出上述给定的铁路运输界限规定的界限要求时，投标人应承担由于采取必要措施进行运输而发生的费用。</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before="60" w:line="360" w:lineRule="auto"/>
        <w:jc w:val="right"/>
      </w:pPr>
    </w:p>
    <w:p>
      <w:pPr>
        <w:pStyle w:val="39"/>
        <w:ind w:left="1"/>
        <w:outlineLvl w:val="0"/>
        <w:rPr>
          <w:rFonts w:ascii="Times New Roman"/>
          <w:b/>
          <w:sz w:val="28"/>
        </w:rPr>
      </w:pPr>
      <w:r>
        <w:rPr>
          <w:rFonts w:ascii="Times New Roman"/>
        </w:rPr>
        <w:br w:type="page"/>
      </w:r>
      <w:bookmarkStart w:id="72" w:name="_Toc5863368"/>
      <w:bookmarkStart w:id="73" w:name="_Toc28348698"/>
      <w:bookmarkStart w:id="74" w:name="_Toc201637568"/>
      <w:bookmarkStart w:id="75" w:name="_Toc27813180"/>
      <w:bookmarkStart w:id="76" w:name="_Toc28940969"/>
      <w:bookmarkStart w:id="77" w:name="_Toc197658020"/>
      <w:r>
        <w:rPr>
          <w:rFonts w:ascii="Times New Roman"/>
          <w:b/>
          <w:sz w:val="28"/>
        </w:rPr>
        <w:t>附件10 业绩及用户评价</w:t>
      </w:r>
      <w:bookmarkEnd w:id="72"/>
    </w:p>
    <w:p>
      <w:pPr>
        <w:pStyle w:val="39"/>
        <w:ind w:left="1"/>
        <w:rPr>
          <w:rFonts w:ascii="Times New Roman"/>
          <w:b/>
          <w:sz w:val="28"/>
        </w:rPr>
      </w:pPr>
    </w:p>
    <w:p>
      <w:pPr>
        <w:pStyle w:val="39"/>
        <w:ind w:left="1"/>
        <w:rPr>
          <w:rFonts w:ascii="Times New Roman"/>
          <w:b/>
          <w:sz w:val="28"/>
        </w:rPr>
      </w:pPr>
    </w:p>
    <w:p>
      <w:pPr>
        <w:pStyle w:val="39"/>
        <w:ind w:left="1"/>
        <w:rPr>
          <w:rFonts w:ascii="Times New Roman"/>
          <w:b/>
          <w:sz w:val="28"/>
        </w:rPr>
      </w:pPr>
    </w:p>
    <w:p>
      <w:pPr>
        <w:pStyle w:val="39"/>
        <w:ind w:left="1"/>
        <w:rPr>
          <w:rFonts w:ascii="Times New Roman"/>
          <w:b/>
          <w:sz w:val="28"/>
        </w:rPr>
      </w:pPr>
    </w:p>
    <w:p>
      <w:pPr>
        <w:pStyle w:val="39"/>
        <w:ind w:left="1"/>
        <w:rPr>
          <w:rFonts w:ascii="Times New Roman"/>
          <w:b/>
          <w:sz w:val="28"/>
        </w:rPr>
      </w:pPr>
    </w:p>
    <w:p>
      <w:pPr>
        <w:pStyle w:val="39"/>
        <w:ind w:left="1"/>
        <w:rPr>
          <w:rFonts w:ascii="Times New Roman"/>
          <w:b/>
          <w:sz w:val="28"/>
        </w:rPr>
      </w:pPr>
    </w:p>
    <w:p>
      <w:pPr>
        <w:pStyle w:val="39"/>
        <w:ind w:left="1"/>
        <w:rPr>
          <w:rFonts w:ascii="Times New Roman"/>
        </w:rPr>
        <w:sectPr>
          <w:pgSz w:w="11907" w:h="16840"/>
          <w:pgMar w:top="1302" w:right="1440" w:bottom="1440" w:left="1440" w:header="814" w:footer="1134" w:gutter="0"/>
          <w:cols w:space="720" w:num="1"/>
        </w:sectPr>
      </w:pPr>
    </w:p>
    <w:p>
      <w:pPr>
        <w:pStyle w:val="39"/>
        <w:ind w:left="1"/>
        <w:outlineLvl w:val="0"/>
        <w:rPr>
          <w:rFonts w:ascii="Times New Roman"/>
          <w:b/>
          <w:sz w:val="28"/>
        </w:rPr>
      </w:pPr>
      <w:bookmarkStart w:id="78" w:name="_Toc5863369"/>
      <w:r>
        <w:rPr>
          <w:rFonts w:ascii="Times New Roman"/>
          <w:b/>
          <w:sz w:val="28"/>
        </w:rPr>
        <w:t>附件11  技术差异表</w:t>
      </w:r>
      <w:bookmarkEnd w:id="73"/>
      <w:bookmarkEnd w:id="74"/>
      <w:bookmarkEnd w:id="75"/>
      <w:bookmarkEnd w:id="76"/>
      <w:bookmarkEnd w:id="77"/>
      <w:bookmarkEnd w:id="78"/>
    </w:p>
    <w:p>
      <w:pPr>
        <w:spacing w:line="360" w:lineRule="auto"/>
        <w:jc w:val="center"/>
        <w:rPr>
          <w:sz w:val="24"/>
        </w:rPr>
      </w:pPr>
    </w:p>
    <w:p>
      <w:pPr>
        <w:pStyle w:val="39"/>
        <w:rPr>
          <w:rFonts w:ascii="Times New Roman"/>
        </w:rPr>
      </w:pPr>
      <w:r>
        <w:rPr>
          <w:rFonts w:ascii="Times New Roman"/>
        </w:rPr>
        <w:t>投标人要将投标文件和</w:t>
      </w:r>
      <w:r>
        <w:rPr>
          <w:rFonts w:hint="eastAsia" w:ascii="Times New Roman"/>
        </w:rPr>
        <w:t>技术规范书</w:t>
      </w:r>
      <w:r>
        <w:rPr>
          <w:rFonts w:ascii="Times New Roman"/>
        </w:rPr>
        <w:t>的差异之处汇集成表。</w:t>
      </w:r>
    </w:p>
    <w:p>
      <w:pPr>
        <w:spacing w:line="360" w:lineRule="auto"/>
        <w:jc w:val="center"/>
        <w:rPr>
          <w:sz w:val="24"/>
        </w:rPr>
      </w:pPr>
    </w:p>
    <w:p>
      <w:pPr>
        <w:spacing w:line="360" w:lineRule="auto"/>
        <w:jc w:val="center"/>
        <w:rPr>
          <w:sz w:val="24"/>
        </w:rPr>
      </w:pPr>
      <w:r>
        <w:rPr>
          <w:sz w:val="24"/>
        </w:rPr>
        <w:t>技术差异表</w:t>
      </w:r>
    </w:p>
    <w:tbl>
      <w:tblPr>
        <w:tblStyle w:val="49"/>
        <w:tblW w:w="852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008"/>
        <w:gridCol w:w="1440"/>
        <w:gridCol w:w="2160"/>
        <w:gridCol w:w="1440"/>
        <w:gridCol w:w="247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08" w:type="dxa"/>
            <w:vMerge w:val="restart"/>
          </w:tcPr>
          <w:p>
            <w:pPr>
              <w:spacing w:line="360" w:lineRule="auto"/>
              <w:jc w:val="center"/>
              <w:rPr>
                <w:caps/>
                <w:sz w:val="24"/>
              </w:rPr>
            </w:pPr>
            <w:r>
              <w:rPr>
                <w:caps/>
                <w:sz w:val="24"/>
              </w:rPr>
              <w:t>序号</w:t>
            </w:r>
          </w:p>
        </w:tc>
        <w:tc>
          <w:tcPr>
            <w:tcW w:w="3600" w:type="dxa"/>
            <w:gridSpan w:val="2"/>
          </w:tcPr>
          <w:p>
            <w:pPr>
              <w:spacing w:line="360" w:lineRule="auto"/>
              <w:jc w:val="center"/>
              <w:rPr>
                <w:caps/>
                <w:sz w:val="24"/>
              </w:rPr>
            </w:pPr>
            <w:r>
              <w:rPr>
                <w:rFonts w:hint="eastAsia"/>
                <w:caps/>
                <w:sz w:val="24"/>
              </w:rPr>
              <w:t>技术规范书</w:t>
            </w:r>
          </w:p>
        </w:tc>
        <w:tc>
          <w:tcPr>
            <w:tcW w:w="3912" w:type="dxa"/>
            <w:gridSpan w:val="2"/>
          </w:tcPr>
          <w:p>
            <w:pPr>
              <w:spacing w:line="360" w:lineRule="auto"/>
              <w:jc w:val="center"/>
              <w:rPr>
                <w:caps/>
                <w:sz w:val="24"/>
              </w:rPr>
            </w:pPr>
            <w:r>
              <w:rPr>
                <w:caps/>
                <w:sz w:val="24"/>
              </w:rPr>
              <w:t>投标文件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08" w:type="dxa"/>
            <w:vMerge w:val="continue"/>
          </w:tcPr>
          <w:p>
            <w:pPr>
              <w:spacing w:line="360" w:lineRule="auto"/>
              <w:jc w:val="center"/>
              <w:rPr>
                <w:sz w:val="24"/>
              </w:rPr>
            </w:pPr>
          </w:p>
        </w:tc>
        <w:tc>
          <w:tcPr>
            <w:tcW w:w="1440" w:type="dxa"/>
          </w:tcPr>
          <w:p>
            <w:pPr>
              <w:spacing w:line="360" w:lineRule="auto"/>
              <w:jc w:val="center"/>
              <w:rPr>
                <w:sz w:val="24"/>
              </w:rPr>
            </w:pPr>
            <w:r>
              <w:rPr>
                <w:sz w:val="24"/>
              </w:rPr>
              <w:t>条目</w:t>
            </w:r>
          </w:p>
        </w:tc>
        <w:tc>
          <w:tcPr>
            <w:tcW w:w="2160" w:type="dxa"/>
          </w:tcPr>
          <w:p>
            <w:pPr>
              <w:spacing w:line="360" w:lineRule="auto"/>
              <w:jc w:val="center"/>
              <w:rPr>
                <w:sz w:val="24"/>
              </w:rPr>
            </w:pPr>
            <w:r>
              <w:rPr>
                <w:sz w:val="24"/>
              </w:rPr>
              <w:t>简要内容</w:t>
            </w:r>
          </w:p>
        </w:tc>
        <w:tc>
          <w:tcPr>
            <w:tcW w:w="1440" w:type="dxa"/>
          </w:tcPr>
          <w:p>
            <w:pPr>
              <w:spacing w:line="360" w:lineRule="auto"/>
              <w:jc w:val="center"/>
              <w:rPr>
                <w:sz w:val="24"/>
              </w:rPr>
            </w:pPr>
            <w:r>
              <w:rPr>
                <w:sz w:val="24"/>
              </w:rPr>
              <w:t>条目</w:t>
            </w:r>
          </w:p>
        </w:tc>
        <w:tc>
          <w:tcPr>
            <w:tcW w:w="2472" w:type="dxa"/>
          </w:tcPr>
          <w:p>
            <w:pPr>
              <w:spacing w:line="360" w:lineRule="auto"/>
              <w:jc w:val="center"/>
              <w:rPr>
                <w:sz w:val="24"/>
              </w:rPr>
            </w:pPr>
            <w:r>
              <w:rPr>
                <w:sz w:val="24"/>
              </w:rPr>
              <w:t>简要内容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008" w:type="dxa"/>
          </w:tcPr>
          <w:p>
            <w:pPr>
              <w:spacing w:line="360" w:lineRule="auto"/>
              <w:rPr>
                <w:sz w:val="24"/>
              </w:rPr>
            </w:pPr>
          </w:p>
        </w:tc>
        <w:tc>
          <w:tcPr>
            <w:tcW w:w="1440" w:type="dxa"/>
          </w:tcPr>
          <w:p>
            <w:pPr>
              <w:spacing w:line="360" w:lineRule="auto"/>
              <w:rPr>
                <w:sz w:val="24"/>
              </w:rPr>
            </w:pPr>
          </w:p>
        </w:tc>
        <w:tc>
          <w:tcPr>
            <w:tcW w:w="2160" w:type="dxa"/>
          </w:tcPr>
          <w:p>
            <w:pPr>
              <w:spacing w:line="360" w:lineRule="auto"/>
              <w:rPr>
                <w:sz w:val="24"/>
              </w:rPr>
            </w:pPr>
          </w:p>
        </w:tc>
        <w:tc>
          <w:tcPr>
            <w:tcW w:w="1440" w:type="dxa"/>
          </w:tcPr>
          <w:p>
            <w:pPr>
              <w:spacing w:line="360" w:lineRule="auto"/>
              <w:rPr>
                <w:sz w:val="24"/>
              </w:rPr>
            </w:pPr>
          </w:p>
        </w:tc>
        <w:tc>
          <w:tcPr>
            <w:tcW w:w="2472" w:type="dxa"/>
          </w:tcPr>
          <w:p>
            <w:pPr>
              <w:spacing w:line="360" w:lineRule="auto"/>
              <w:rPr>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008" w:type="dxa"/>
          </w:tcPr>
          <w:p>
            <w:pPr>
              <w:spacing w:line="360" w:lineRule="auto"/>
              <w:rPr>
                <w:sz w:val="24"/>
              </w:rPr>
            </w:pPr>
          </w:p>
        </w:tc>
        <w:tc>
          <w:tcPr>
            <w:tcW w:w="1440" w:type="dxa"/>
          </w:tcPr>
          <w:p>
            <w:pPr>
              <w:spacing w:line="360" w:lineRule="auto"/>
              <w:rPr>
                <w:sz w:val="24"/>
              </w:rPr>
            </w:pPr>
          </w:p>
        </w:tc>
        <w:tc>
          <w:tcPr>
            <w:tcW w:w="2160" w:type="dxa"/>
          </w:tcPr>
          <w:p>
            <w:pPr>
              <w:spacing w:line="360" w:lineRule="auto"/>
              <w:rPr>
                <w:sz w:val="24"/>
              </w:rPr>
            </w:pPr>
          </w:p>
        </w:tc>
        <w:tc>
          <w:tcPr>
            <w:tcW w:w="1440" w:type="dxa"/>
          </w:tcPr>
          <w:p>
            <w:pPr>
              <w:spacing w:line="360" w:lineRule="auto"/>
              <w:rPr>
                <w:sz w:val="24"/>
              </w:rPr>
            </w:pPr>
          </w:p>
        </w:tc>
        <w:tc>
          <w:tcPr>
            <w:tcW w:w="2472" w:type="dxa"/>
          </w:tcPr>
          <w:p>
            <w:pPr>
              <w:spacing w:line="360" w:lineRule="auto"/>
              <w:rPr>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008" w:type="dxa"/>
          </w:tcPr>
          <w:p>
            <w:pPr>
              <w:spacing w:line="360" w:lineRule="auto"/>
              <w:rPr>
                <w:sz w:val="24"/>
              </w:rPr>
            </w:pPr>
          </w:p>
        </w:tc>
        <w:tc>
          <w:tcPr>
            <w:tcW w:w="1440" w:type="dxa"/>
          </w:tcPr>
          <w:p>
            <w:pPr>
              <w:spacing w:line="360" w:lineRule="auto"/>
              <w:rPr>
                <w:sz w:val="24"/>
              </w:rPr>
            </w:pPr>
          </w:p>
        </w:tc>
        <w:tc>
          <w:tcPr>
            <w:tcW w:w="2160" w:type="dxa"/>
          </w:tcPr>
          <w:p>
            <w:pPr>
              <w:spacing w:line="360" w:lineRule="auto"/>
              <w:rPr>
                <w:sz w:val="24"/>
              </w:rPr>
            </w:pPr>
          </w:p>
        </w:tc>
        <w:tc>
          <w:tcPr>
            <w:tcW w:w="1440" w:type="dxa"/>
          </w:tcPr>
          <w:p>
            <w:pPr>
              <w:spacing w:line="360" w:lineRule="auto"/>
              <w:rPr>
                <w:sz w:val="24"/>
              </w:rPr>
            </w:pPr>
          </w:p>
        </w:tc>
        <w:tc>
          <w:tcPr>
            <w:tcW w:w="2472" w:type="dxa"/>
          </w:tcPr>
          <w:p>
            <w:pPr>
              <w:spacing w:line="360" w:lineRule="auto"/>
              <w:rPr>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008" w:type="dxa"/>
          </w:tcPr>
          <w:p>
            <w:pPr>
              <w:spacing w:line="360" w:lineRule="auto"/>
              <w:rPr>
                <w:sz w:val="24"/>
              </w:rPr>
            </w:pPr>
          </w:p>
        </w:tc>
        <w:tc>
          <w:tcPr>
            <w:tcW w:w="1440" w:type="dxa"/>
          </w:tcPr>
          <w:p>
            <w:pPr>
              <w:spacing w:line="360" w:lineRule="auto"/>
              <w:rPr>
                <w:sz w:val="24"/>
              </w:rPr>
            </w:pPr>
          </w:p>
        </w:tc>
        <w:tc>
          <w:tcPr>
            <w:tcW w:w="2160" w:type="dxa"/>
          </w:tcPr>
          <w:p>
            <w:pPr>
              <w:spacing w:line="360" w:lineRule="auto"/>
              <w:rPr>
                <w:sz w:val="24"/>
              </w:rPr>
            </w:pPr>
          </w:p>
        </w:tc>
        <w:tc>
          <w:tcPr>
            <w:tcW w:w="1440" w:type="dxa"/>
          </w:tcPr>
          <w:p>
            <w:pPr>
              <w:spacing w:line="360" w:lineRule="auto"/>
              <w:rPr>
                <w:sz w:val="24"/>
              </w:rPr>
            </w:pPr>
          </w:p>
        </w:tc>
        <w:tc>
          <w:tcPr>
            <w:tcW w:w="2472" w:type="dxa"/>
          </w:tcPr>
          <w:p>
            <w:pPr>
              <w:spacing w:line="360" w:lineRule="auto"/>
              <w:rPr>
                <w:sz w:val="24"/>
              </w:rPr>
            </w:pPr>
          </w:p>
        </w:tc>
      </w:tr>
    </w:tbl>
    <w:p>
      <w:pPr>
        <w:sectPr>
          <w:pgSz w:w="11907" w:h="16840"/>
          <w:pgMar w:top="1302" w:right="1440" w:bottom="1440" w:left="1440" w:header="814" w:footer="1134" w:gutter="0"/>
          <w:cols w:space="720" w:num="1"/>
        </w:sectPr>
      </w:pPr>
    </w:p>
    <w:p>
      <w:pPr>
        <w:pStyle w:val="20"/>
        <w:ind w:left="210" w:leftChars="100"/>
        <w:outlineLvl w:val="0"/>
        <w:rPr>
          <w:rFonts w:ascii="Times New Roman"/>
          <w:b/>
        </w:rPr>
      </w:pPr>
      <w:bookmarkStart w:id="79" w:name="_Toc5863370"/>
      <w:bookmarkStart w:id="80" w:name="_Toc201637569"/>
      <w:r>
        <w:rPr>
          <w:rFonts w:ascii="Times New Roman"/>
          <w:b/>
        </w:rPr>
        <w:t>附件12  订货情况和排产计划说明</w:t>
      </w:r>
      <w:bookmarkEnd w:id="79"/>
      <w:bookmarkEnd w:id="80"/>
    </w:p>
    <w:p>
      <w:pPr>
        <w:pStyle w:val="20"/>
        <w:ind w:firstLine="480" w:firstLineChars="200"/>
      </w:pPr>
      <w:r>
        <w:rPr>
          <w:rFonts w:ascii="Times New Roman"/>
          <w:sz w:val="24"/>
        </w:rPr>
        <w:t>投标人应详细说明目前正在执行合同情况，包括近三年的订货情况及合同执行情况和未来五年的排产情况。</w:t>
      </w:r>
    </w:p>
    <w:p>
      <w:pPr>
        <w:numPr>
          <w:ilvl w:val="1"/>
          <w:numId w:val="55"/>
        </w:numPr>
        <w:tabs>
          <w:tab w:val="left" w:pos="0"/>
          <w:tab w:val="left" w:pos="840"/>
          <w:tab w:val="clear" w:pos="1294"/>
        </w:tabs>
        <w:adjustRightInd w:val="0"/>
        <w:spacing w:line="360" w:lineRule="auto"/>
        <w:ind w:left="0" w:firstLine="0"/>
        <w:jc w:val="left"/>
        <w:textAlignment w:val="baseline"/>
        <w:rPr>
          <w:sz w:val="24"/>
        </w:rPr>
      </w:pPr>
      <w:r>
        <w:rPr>
          <w:sz w:val="24"/>
        </w:rPr>
        <w:t>投标人需根据本项目的工程形象（计划）进度提供截至投标时间前，投标人针对已获订单在近五年的生产排产具体情况，包括每年针对不同容量机组设备的实际拥有生产能力（产能容量）和订单计划排产容量（预计产量）的汇总情况。汇总表格式自行设计。</w:t>
      </w:r>
    </w:p>
    <w:p>
      <w:pPr>
        <w:numPr>
          <w:ilvl w:val="1"/>
          <w:numId w:val="55"/>
        </w:numPr>
        <w:tabs>
          <w:tab w:val="left" w:pos="0"/>
          <w:tab w:val="left" w:pos="840"/>
          <w:tab w:val="clear" w:pos="1294"/>
        </w:tabs>
        <w:adjustRightInd w:val="0"/>
        <w:spacing w:line="360" w:lineRule="auto"/>
        <w:ind w:left="0" w:firstLine="0"/>
        <w:jc w:val="left"/>
        <w:textAlignment w:val="baseline"/>
        <w:rPr>
          <w:sz w:val="24"/>
        </w:rPr>
      </w:pPr>
      <w:r>
        <w:rPr>
          <w:sz w:val="24"/>
        </w:rPr>
        <w:t>投标人需根据前述生产排产的具体情况，针对本次招标各项目的投产时间提出如何保证实现本项目计划进度的真实可靠而合理的具体方案与措施，此方案与措施的制定应充分考虑本项目工程在具体实施中进行有限调整的可能和可行空间。</w:t>
      </w:r>
    </w:p>
    <w:p>
      <w:pPr>
        <w:numPr>
          <w:ilvl w:val="1"/>
          <w:numId w:val="55"/>
        </w:numPr>
        <w:tabs>
          <w:tab w:val="left" w:pos="0"/>
          <w:tab w:val="left" w:pos="840"/>
          <w:tab w:val="clear" w:pos="1294"/>
        </w:tabs>
        <w:adjustRightInd w:val="0"/>
        <w:spacing w:line="360" w:lineRule="auto"/>
        <w:ind w:left="0" w:firstLine="0"/>
        <w:jc w:val="left"/>
        <w:textAlignment w:val="baseline"/>
        <w:rPr>
          <w:sz w:val="24"/>
        </w:rPr>
      </w:pPr>
      <w:r>
        <w:rPr>
          <w:sz w:val="24"/>
        </w:rPr>
        <w:t>上述方案与措施的制定内容包括但不限于：原材料从准备至采购完成的计划、生产排产计划、进口件和国内外购件及分包件的订购进度计划、产品发运交货计划、培训计划、技术资料（设计资料和工艺流程资料）从准备至完成的计划等方面，投标人需专题说明如何保证此方案与措施实施的可行性。</w:t>
      </w:r>
    </w:p>
    <w:p>
      <w:pPr>
        <w:adjustRightInd w:val="0"/>
        <w:spacing w:line="360" w:lineRule="auto"/>
        <w:jc w:val="left"/>
        <w:textAlignment w:val="baseline"/>
        <w:rPr>
          <w:sz w:val="24"/>
        </w:rPr>
      </w:pPr>
    </w:p>
    <w:p>
      <w:pPr>
        <w:adjustRightInd w:val="0"/>
        <w:spacing w:line="360" w:lineRule="auto"/>
        <w:jc w:val="left"/>
        <w:textAlignment w:val="baseline"/>
        <w:rPr>
          <w:sz w:val="24"/>
        </w:rPr>
      </w:pPr>
    </w:p>
    <w:p>
      <w:pPr>
        <w:adjustRightInd w:val="0"/>
        <w:spacing w:line="360" w:lineRule="auto"/>
        <w:jc w:val="left"/>
        <w:textAlignment w:val="baseline"/>
        <w:rPr>
          <w:sz w:val="24"/>
        </w:rPr>
      </w:pPr>
    </w:p>
    <w:p>
      <w:pPr>
        <w:adjustRightInd w:val="0"/>
        <w:spacing w:line="360" w:lineRule="auto"/>
        <w:jc w:val="left"/>
        <w:textAlignment w:val="baseline"/>
        <w:rPr>
          <w:sz w:val="24"/>
        </w:rPr>
      </w:pPr>
    </w:p>
    <w:p>
      <w:pPr>
        <w:adjustRightInd w:val="0"/>
        <w:spacing w:line="360" w:lineRule="auto"/>
        <w:jc w:val="left"/>
        <w:textAlignment w:val="baseline"/>
        <w:rPr>
          <w:sz w:val="24"/>
        </w:rPr>
      </w:pPr>
    </w:p>
    <w:p>
      <w:pPr>
        <w:adjustRightInd w:val="0"/>
        <w:spacing w:line="360" w:lineRule="auto"/>
        <w:jc w:val="left"/>
        <w:textAlignment w:val="baseline"/>
        <w:rPr>
          <w:sz w:val="24"/>
        </w:rPr>
      </w:pPr>
    </w:p>
    <w:p>
      <w:pPr>
        <w:adjustRightInd w:val="0"/>
        <w:spacing w:line="360" w:lineRule="auto"/>
        <w:jc w:val="left"/>
        <w:textAlignment w:val="baseline"/>
        <w:rPr>
          <w:sz w:val="24"/>
        </w:rPr>
      </w:pPr>
    </w:p>
    <w:p>
      <w:pPr>
        <w:adjustRightInd w:val="0"/>
        <w:spacing w:line="360" w:lineRule="auto"/>
        <w:jc w:val="left"/>
        <w:textAlignment w:val="baseline"/>
        <w:rPr>
          <w:sz w:val="24"/>
        </w:rPr>
      </w:pPr>
    </w:p>
    <w:p>
      <w:pPr>
        <w:adjustRightInd w:val="0"/>
        <w:spacing w:line="360" w:lineRule="auto"/>
        <w:jc w:val="left"/>
        <w:textAlignment w:val="baseline"/>
        <w:rPr>
          <w:sz w:val="24"/>
        </w:rPr>
      </w:pPr>
    </w:p>
    <w:p>
      <w:pPr>
        <w:adjustRightInd w:val="0"/>
        <w:spacing w:line="360" w:lineRule="auto"/>
        <w:jc w:val="left"/>
        <w:textAlignment w:val="baseline"/>
        <w:rPr>
          <w:sz w:val="24"/>
        </w:rPr>
      </w:pPr>
    </w:p>
    <w:p>
      <w:pPr>
        <w:adjustRightInd w:val="0"/>
        <w:spacing w:line="360" w:lineRule="auto"/>
        <w:jc w:val="left"/>
        <w:textAlignment w:val="baseline"/>
        <w:rPr>
          <w:sz w:val="24"/>
        </w:rPr>
      </w:pPr>
    </w:p>
    <w:p>
      <w:pPr>
        <w:adjustRightInd w:val="0"/>
        <w:spacing w:line="360" w:lineRule="auto"/>
        <w:jc w:val="left"/>
        <w:textAlignment w:val="baseline"/>
        <w:rPr>
          <w:sz w:val="24"/>
        </w:rPr>
      </w:pPr>
    </w:p>
    <w:p>
      <w:pPr>
        <w:adjustRightInd w:val="0"/>
        <w:spacing w:line="360" w:lineRule="auto"/>
        <w:jc w:val="left"/>
        <w:textAlignment w:val="baseline"/>
        <w:rPr>
          <w:sz w:val="24"/>
        </w:rPr>
      </w:pPr>
    </w:p>
    <w:p>
      <w:pPr>
        <w:adjustRightInd w:val="0"/>
        <w:spacing w:line="360" w:lineRule="auto"/>
        <w:jc w:val="left"/>
        <w:textAlignment w:val="baseline"/>
        <w:rPr>
          <w:sz w:val="24"/>
        </w:rPr>
      </w:pPr>
    </w:p>
    <w:p>
      <w:pPr>
        <w:spacing w:line="360" w:lineRule="auto"/>
        <w:outlineLvl w:val="0"/>
        <w:rPr>
          <w:b/>
          <w:sz w:val="28"/>
        </w:rPr>
        <w:sectPr>
          <w:footerReference r:id="rId6" w:type="default"/>
          <w:pgSz w:w="11906" w:h="16838"/>
          <w:pgMar w:top="1440" w:right="1440" w:bottom="1440" w:left="1440" w:header="814" w:footer="1077" w:gutter="0"/>
          <w:cols w:space="720" w:num="1"/>
          <w:docGrid w:linePitch="312" w:charSpace="0"/>
        </w:sectPr>
      </w:pPr>
      <w:bookmarkStart w:id="81" w:name="_Toc203236148"/>
      <w:bookmarkStart w:id="82" w:name="_Toc5863371"/>
      <w:bookmarkStart w:id="83" w:name="_Toc201637570"/>
      <w:bookmarkStart w:id="84" w:name="_Toc28348699"/>
      <w:bookmarkStart w:id="85" w:name="_Toc197658021"/>
      <w:bookmarkStart w:id="86" w:name="_Toc27813181"/>
      <w:bookmarkStart w:id="87" w:name="_Toc28940970"/>
    </w:p>
    <w:p>
      <w:pPr>
        <w:spacing w:line="360" w:lineRule="auto"/>
        <w:outlineLvl w:val="0"/>
        <w:rPr>
          <w:b/>
          <w:sz w:val="28"/>
        </w:rPr>
      </w:pPr>
      <w:r>
        <w:rPr>
          <w:b/>
          <w:sz w:val="28"/>
        </w:rPr>
        <w:t xml:space="preserve">附件13 </w:t>
      </w:r>
      <w:bookmarkEnd w:id="81"/>
      <w:r>
        <w:rPr>
          <w:b/>
          <w:sz w:val="28"/>
        </w:rPr>
        <w:t>投标人需要说明的其他问题（质量承诺及售后服务承诺等）</w:t>
      </w:r>
      <w:bookmarkEnd w:id="82"/>
    </w:p>
    <w:p>
      <w:pPr>
        <w:spacing w:line="360" w:lineRule="auto"/>
        <w:ind w:firstLine="420"/>
        <w:rPr>
          <w:sz w:val="24"/>
        </w:rPr>
      </w:pPr>
    </w:p>
    <w:p>
      <w:pPr>
        <w:spacing w:line="360" w:lineRule="auto"/>
        <w:ind w:firstLine="420"/>
        <w:rPr>
          <w:sz w:val="24"/>
        </w:rPr>
      </w:pPr>
      <w:r>
        <w:rPr>
          <w:sz w:val="24"/>
        </w:rPr>
        <w:t>投标人提供在专业技术、设备设施、人员组织、业绩经验等方面具有设计、制造、质量控制、经营管理的相应的资格和能力的资料。</w:t>
      </w:r>
    </w:p>
    <w:bookmarkEnd w:id="83"/>
    <w:bookmarkEnd w:id="84"/>
    <w:bookmarkEnd w:id="85"/>
    <w:bookmarkEnd w:id="86"/>
    <w:bookmarkEnd w:id="87"/>
    <w:p>
      <w:bookmarkStart w:id="88" w:name="_Toc5537043"/>
      <w:bookmarkEnd w:id="88"/>
      <w:bookmarkStart w:id="89" w:name="_Toc5537042"/>
      <w:bookmarkEnd w:id="89"/>
      <w:bookmarkStart w:id="90" w:name="_Hlt527688067"/>
      <w:bookmarkEnd w:id="90"/>
    </w:p>
    <w:p>
      <w:pPr>
        <w:pageBreakBefore/>
        <w:spacing w:line="360" w:lineRule="auto"/>
        <w:outlineLvl w:val="0"/>
        <w:rPr>
          <w:b/>
          <w:sz w:val="28"/>
        </w:rPr>
      </w:pPr>
      <w:bookmarkStart w:id="91" w:name="_Toc5863372"/>
      <w:r>
        <w:rPr>
          <w:b/>
          <w:sz w:val="28"/>
        </w:rPr>
        <w:t>附件1</w:t>
      </w:r>
      <w:r>
        <w:rPr>
          <w:rFonts w:hint="eastAsia"/>
          <w:b/>
          <w:sz w:val="28"/>
        </w:rPr>
        <w:t>4工程概况及机组运行条件</w:t>
      </w:r>
      <w:bookmarkEnd w:id="91"/>
    </w:p>
    <w:p>
      <w:pPr>
        <w:pStyle w:val="128"/>
        <w:tabs>
          <w:tab w:val="left" w:pos="807"/>
        </w:tabs>
        <w:snapToGrid w:val="0"/>
        <w:spacing w:line="360" w:lineRule="auto"/>
        <w:ind w:left="420" w:firstLine="0" w:firstLineChars="0"/>
        <w:rPr>
          <w:sz w:val="24"/>
        </w:rPr>
      </w:pPr>
      <w:bookmarkStart w:id="92" w:name="_Toc44988109"/>
      <w:bookmarkStart w:id="93" w:name="_Hlt44469273"/>
      <w:r>
        <w:rPr>
          <w:rFonts w:hAnsi="宋体"/>
          <w:sz w:val="24"/>
        </w:rPr>
        <w:t>本工程厂址位于浙江省化学原料药基地临海医化园区内。</w:t>
      </w:r>
    </w:p>
    <w:p>
      <w:pPr>
        <w:pStyle w:val="128"/>
        <w:tabs>
          <w:tab w:val="left" w:pos="807"/>
        </w:tabs>
        <w:snapToGrid w:val="0"/>
        <w:spacing w:line="360" w:lineRule="auto"/>
        <w:ind w:firstLine="480"/>
        <w:rPr>
          <w:rFonts w:hint="eastAsia" w:hAnsi="宋体"/>
          <w:sz w:val="24"/>
        </w:rPr>
      </w:pPr>
      <w:r>
        <w:rPr>
          <w:rFonts w:hAnsi="宋体"/>
          <w:sz w:val="24"/>
        </w:rPr>
        <w:t>现有机组规模为3台150t/h高温高压循环流化床锅炉（2用1备）和 2台15MW高温高压汽轮发电机组。</w:t>
      </w:r>
      <w:r>
        <w:rPr>
          <w:rFonts w:hint="eastAsia" w:hAnsi="宋体"/>
          <w:sz w:val="24"/>
        </w:rPr>
        <w:t>根据热负荷需求，本期项目拟扩建1台240t/h高温高压</w:t>
      </w:r>
      <w:r>
        <w:rPr>
          <w:rFonts w:hAnsi="宋体"/>
          <w:sz w:val="24"/>
        </w:rPr>
        <w:t>循环流化床锅炉，配1台30MW汽轮发电机组。</w:t>
      </w:r>
    </w:p>
    <w:p>
      <w:pPr>
        <w:pStyle w:val="123"/>
        <w:numPr>
          <w:ilvl w:val="0"/>
          <w:numId w:val="56"/>
        </w:numPr>
        <w:spacing w:line="360" w:lineRule="auto"/>
        <w:ind w:firstLineChars="0"/>
        <w:rPr>
          <w:rFonts w:hint="eastAsia" w:hAnsi="宋体"/>
          <w:sz w:val="24"/>
          <w:szCs w:val="24"/>
        </w:rPr>
      </w:pPr>
      <w:r>
        <w:rPr>
          <w:rFonts w:hAnsi="宋体"/>
          <w:b/>
          <w:sz w:val="24"/>
          <w:szCs w:val="24"/>
        </w:rPr>
        <w:t>厂址条件</w:t>
      </w:r>
      <w:bookmarkEnd w:id="92"/>
    </w:p>
    <w:p>
      <w:pPr>
        <w:pStyle w:val="13"/>
        <w:spacing w:line="360" w:lineRule="auto"/>
        <w:ind w:firstLine="480"/>
        <w:rPr>
          <w:rFonts w:hint="eastAsia" w:asciiTheme="minorEastAsia" w:hAnsiTheme="minorEastAsia" w:eastAsiaTheme="minorEastAsia"/>
          <w:sz w:val="24"/>
          <w:szCs w:val="24"/>
        </w:rPr>
      </w:pPr>
      <w:r>
        <w:rPr>
          <w:rFonts w:hAnsi="宋体"/>
          <w:sz w:val="24"/>
          <w:szCs w:val="24"/>
        </w:rPr>
        <w:t>本工程厂址位于</w:t>
      </w:r>
      <w:r>
        <w:rPr>
          <w:rFonts w:hAnsi="宋体"/>
          <w:sz w:val="24"/>
        </w:rPr>
        <w:t>浙江省化学原料药基地临海医化园区内</w:t>
      </w:r>
      <w:r>
        <w:rPr>
          <w:rFonts w:hint="eastAsia" w:hAnsi="宋体"/>
          <w:sz w:val="24"/>
        </w:rPr>
        <w:t>，扩建机组位于台州临港热电有限公司主厂房东侧的拟留扩建空地上</w:t>
      </w:r>
      <w:r>
        <w:rPr>
          <w:rFonts w:hint="eastAsia" w:asciiTheme="minorEastAsia" w:hAnsiTheme="minorEastAsia" w:eastAsiaTheme="minorEastAsia"/>
          <w:sz w:val="24"/>
          <w:szCs w:val="24"/>
        </w:rPr>
        <w:t>。</w:t>
      </w:r>
      <w:r>
        <w:rPr>
          <w:rFonts w:asciiTheme="minorEastAsia" w:hAnsiTheme="minorEastAsia" w:eastAsiaTheme="minorEastAsia"/>
          <w:sz w:val="24"/>
          <w:szCs w:val="24"/>
        </w:rPr>
        <w:t>全厂占地面积为 7.9176 公顷，约 118.76 亩。</w:t>
      </w:r>
    </w:p>
    <w:p>
      <w:pPr>
        <w:snapToGrid w:val="0"/>
        <w:spacing w:line="360" w:lineRule="auto"/>
        <w:rPr>
          <w:sz w:val="24"/>
          <w:szCs w:val="24"/>
        </w:rPr>
      </w:pPr>
      <w:r>
        <w:rPr>
          <w:sz w:val="24"/>
          <w:szCs w:val="24"/>
        </w:rPr>
        <w:t>1.1</w:t>
      </w:r>
      <w:r>
        <w:rPr>
          <w:rFonts w:hAnsi="宋体"/>
          <w:sz w:val="24"/>
          <w:szCs w:val="24"/>
        </w:rPr>
        <w:t>厂址自然条件</w:t>
      </w:r>
    </w:p>
    <w:p>
      <w:pPr>
        <w:tabs>
          <w:tab w:val="left" w:pos="578"/>
        </w:tabs>
        <w:snapToGrid w:val="0"/>
        <w:spacing w:line="360" w:lineRule="auto"/>
        <w:rPr>
          <w:rFonts w:hint="eastAsia" w:hAnsi="宋体"/>
          <w:sz w:val="24"/>
          <w:szCs w:val="24"/>
        </w:rPr>
      </w:pPr>
      <w:r>
        <w:rPr>
          <w:bCs/>
          <w:sz w:val="24"/>
          <w:szCs w:val="24"/>
        </w:rPr>
        <w:t>1.1.</w:t>
      </w:r>
      <w:r>
        <w:rPr>
          <w:rFonts w:hAnsi="宋体"/>
          <w:sz w:val="24"/>
          <w:szCs w:val="24"/>
        </w:rPr>
        <w:t>1地震烈度</w:t>
      </w:r>
    </w:p>
    <w:p>
      <w:pPr>
        <w:snapToGrid w:val="0"/>
        <w:spacing w:line="360" w:lineRule="auto"/>
        <w:ind w:firstLine="480"/>
        <w:rPr>
          <w:rFonts w:hint="eastAsia" w:hAnsi="宋体"/>
          <w:sz w:val="24"/>
          <w:szCs w:val="24"/>
        </w:rPr>
      </w:pPr>
      <w:r>
        <w:rPr>
          <w:rFonts w:hint="eastAsia" w:hAnsi="宋体"/>
          <w:sz w:val="24"/>
          <w:szCs w:val="24"/>
        </w:rPr>
        <w:t>根据建场地的地层结构、地基土的工程性质分析，按《建筑抗震设计规范》,场地地质情况稳定。</w:t>
      </w:r>
    </w:p>
    <w:p>
      <w:pPr>
        <w:snapToGrid w:val="0"/>
        <w:spacing w:line="360" w:lineRule="auto"/>
        <w:ind w:firstLine="480"/>
        <w:rPr>
          <w:rFonts w:hint="eastAsia" w:hAnsi="宋体"/>
          <w:sz w:val="24"/>
          <w:szCs w:val="24"/>
        </w:rPr>
      </w:pPr>
      <w:r>
        <w:rPr>
          <w:rFonts w:hint="eastAsia" w:hAnsi="宋体"/>
          <w:sz w:val="24"/>
          <w:szCs w:val="24"/>
        </w:rPr>
        <w:t>设计基本地震加速度为</w:t>
      </w:r>
      <w:r>
        <w:rPr>
          <w:rFonts w:hAnsi="宋体"/>
          <w:sz w:val="24"/>
          <w:szCs w:val="24"/>
        </w:rPr>
        <w:t>0.05g</w:t>
      </w:r>
      <w:r>
        <w:rPr>
          <w:rFonts w:hint="eastAsia" w:hAnsi="宋体"/>
          <w:sz w:val="24"/>
          <w:szCs w:val="24"/>
        </w:rPr>
        <w:t>，抗震设防烈度6度。</w:t>
      </w:r>
    </w:p>
    <w:p>
      <w:pPr>
        <w:tabs>
          <w:tab w:val="left" w:pos="578"/>
        </w:tabs>
        <w:snapToGrid w:val="0"/>
        <w:spacing w:line="360" w:lineRule="auto"/>
        <w:rPr>
          <w:rFonts w:hint="eastAsia" w:hAnsi="宋体"/>
          <w:sz w:val="24"/>
          <w:szCs w:val="24"/>
        </w:rPr>
      </w:pPr>
      <w:r>
        <w:rPr>
          <w:rFonts w:hAnsi="宋体"/>
          <w:sz w:val="24"/>
          <w:szCs w:val="24"/>
        </w:rPr>
        <w:t>1.1.2运输</w:t>
      </w:r>
    </w:p>
    <w:p>
      <w:pPr>
        <w:spacing w:line="360" w:lineRule="auto"/>
        <w:ind w:firstLine="480" w:firstLineChars="200"/>
        <w:rPr>
          <w:rFonts w:hint="eastAsia" w:ascii="宋体" w:hAnsi="宋体" w:cs="宋体"/>
          <w:b/>
          <w:sz w:val="24"/>
          <w:szCs w:val="24"/>
        </w:rPr>
      </w:pPr>
      <w:r>
        <w:rPr>
          <w:rFonts w:hint="eastAsia" w:ascii="宋体" w:hAnsi="宋体" w:cs="宋体"/>
          <w:color w:val="000000"/>
          <w:sz w:val="24"/>
          <w:szCs w:val="24"/>
        </w:rPr>
        <w:t>台州临港热电有限公司地处临海医化园区，厂址南侧为园区东海第四大道通过，周边河网分布，其中椒江距离厂址南侧不到1公里。该区域交通运输十分便捷，</w:t>
      </w:r>
      <w:r>
        <w:rPr>
          <w:rFonts w:hint="eastAsia" w:ascii="宋体" w:hAnsi="宋体" w:cs="宋体"/>
          <w:sz w:val="24"/>
          <w:szCs w:val="24"/>
        </w:rPr>
        <w:t>距台州市区10公里，黄岩机场20公里，海门港8公里，并距温州、宁波、杭州机场2-3小时车程，同时基地紧邻104国道、甬台温、上三高速公路，并与建设中的台缙高速公路、甬台温高速公路复线，规划中的甬台温铁路相连接。</w:t>
      </w:r>
    </w:p>
    <w:p>
      <w:pPr>
        <w:adjustRightInd w:val="0"/>
        <w:snapToGrid w:val="0"/>
        <w:spacing w:line="360" w:lineRule="auto"/>
        <w:ind w:right="-109" w:rightChars="-52" w:firstLine="510"/>
        <w:textAlignment w:val="baseline"/>
        <w:rPr>
          <w:rFonts w:hint="eastAsia" w:hAnsi="宋体"/>
          <w:sz w:val="24"/>
          <w:szCs w:val="24"/>
        </w:rPr>
      </w:pPr>
    </w:p>
    <w:p>
      <w:pPr>
        <w:tabs>
          <w:tab w:val="left" w:pos="578"/>
        </w:tabs>
        <w:snapToGrid w:val="0"/>
        <w:spacing w:line="360" w:lineRule="auto"/>
        <w:rPr>
          <w:bCs/>
          <w:sz w:val="24"/>
          <w:szCs w:val="24"/>
        </w:rPr>
      </w:pPr>
      <w:r>
        <w:rPr>
          <w:bCs/>
          <w:sz w:val="24"/>
          <w:szCs w:val="24"/>
        </w:rPr>
        <w:t xml:space="preserve">1.1.3 </w:t>
      </w:r>
      <w:r>
        <w:rPr>
          <w:rFonts w:hAnsi="宋体"/>
          <w:bCs/>
          <w:sz w:val="24"/>
          <w:szCs w:val="24"/>
        </w:rPr>
        <w:t>燃料</w:t>
      </w:r>
    </w:p>
    <w:p>
      <w:pPr>
        <w:tabs>
          <w:tab w:val="left" w:pos="1680"/>
          <w:tab w:val="left" w:pos="2940"/>
        </w:tabs>
        <w:snapToGrid w:val="0"/>
        <w:spacing w:line="360" w:lineRule="auto"/>
        <w:ind w:firstLine="480" w:firstLineChars="200"/>
        <w:rPr>
          <w:sz w:val="24"/>
          <w:szCs w:val="24"/>
        </w:rPr>
      </w:pPr>
      <w:r>
        <w:rPr>
          <w:rFonts w:hAnsi="宋体"/>
          <w:sz w:val="24"/>
          <w:szCs w:val="24"/>
        </w:rPr>
        <w:t>本工程采用</w:t>
      </w:r>
      <w:r>
        <w:rPr>
          <w:rFonts w:hint="eastAsia" w:hAnsi="宋体"/>
          <w:sz w:val="24"/>
          <w:szCs w:val="24"/>
        </w:rPr>
        <w:t>混合烟煤为主</w:t>
      </w:r>
      <w:r>
        <w:rPr>
          <w:rFonts w:hAnsi="宋体"/>
          <w:sz w:val="24"/>
          <w:szCs w:val="24"/>
        </w:rPr>
        <w:t>。</w:t>
      </w:r>
    </w:p>
    <w:p>
      <w:pPr>
        <w:tabs>
          <w:tab w:val="left" w:pos="578"/>
        </w:tabs>
        <w:snapToGrid w:val="0"/>
        <w:spacing w:line="360" w:lineRule="auto"/>
        <w:rPr>
          <w:bCs/>
          <w:sz w:val="24"/>
          <w:szCs w:val="24"/>
        </w:rPr>
      </w:pPr>
      <w:r>
        <w:rPr>
          <w:bCs/>
          <w:sz w:val="24"/>
          <w:szCs w:val="24"/>
        </w:rPr>
        <w:t xml:space="preserve">1.1.4 </w:t>
      </w:r>
      <w:r>
        <w:rPr>
          <w:rFonts w:hint="eastAsia" w:hAnsi="宋体"/>
          <w:bCs/>
          <w:sz w:val="24"/>
          <w:szCs w:val="24"/>
        </w:rPr>
        <w:t>循环冷却水系统</w:t>
      </w:r>
    </w:p>
    <w:p>
      <w:pPr>
        <w:adjustRightInd w:val="0"/>
        <w:snapToGrid w:val="0"/>
        <w:spacing w:line="360" w:lineRule="auto"/>
        <w:ind w:right="-109" w:rightChars="-52" w:firstLine="480" w:firstLineChars="200"/>
        <w:textAlignment w:val="baseline"/>
        <w:rPr>
          <w:rFonts w:hint="eastAsia" w:hAnsi="宋体"/>
          <w:sz w:val="24"/>
          <w:szCs w:val="24"/>
        </w:rPr>
      </w:pPr>
      <w:r>
        <w:rPr>
          <w:rFonts w:hAnsi="宋体"/>
          <w:sz w:val="24"/>
          <w:szCs w:val="24"/>
        </w:rPr>
        <w:t>辅机循环冷却水采用二次循环冷却塔供水系统，采用机力通风冷却塔的母管制循环供水系统。</w:t>
      </w:r>
    </w:p>
    <w:p>
      <w:pPr>
        <w:pStyle w:val="123"/>
        <w:numPr>
          <w:ilvl w:val="0"/>
          <w:numId w:val="56"/>
        </w:numPr>
        <w:ind w:firstLineChars="0"/>
        <w:rPr>
          <w:rFonts w:hint="eastAsia" w:hAnsi="宋体"/>
          <w:sz w:val="24"/>
          <w:szCs w:val="24"/>
        </w:rPr>
      </w:pPr>
      <w:r>
        <w:rPr>
          <w:rFonts w:hint="eastAsia" w:hAnsi="宋体"/>
          <w:b/>
          <w:sz w:val="24"/>
          <w:szCs w:val="24"/>
        </w:rPr>
        <w:t>气象</w:t>
      </w:r>
    </w:p>
    <w:p>
      <w:pPr>
        <w:pStyle w:val="128"/>
        <w:widowControl/>
        <w:spacing w:line="480" w:lineRule="exact"/>
        <w:ind w:left="420" w:firstLine="0" w:firstLineChars="0"/>
        <w:rPr>
          <w:sz w:val="24"/>
        </w:rPr>
      </w:pPr>
      <w:r>
        <w:rPr>
          <w:rFonts w:hAnsi="宋体"/>
          <w:sz w:val="24"/>
        </w:rPr>
        <w:t>临海市属亚热带季风性湿润气候，四季分明，年平均气温</w:t>
      </w:r>
      <w:r>
        <w:rPr>
          <w:sz w:val="24"/>
        </w:rPr>
        <w:t>17</w:t>
      </w:r>
      <w:r>
        <w:rPr>
          <w:rFonts w:hAnsi="宋体"/>
          <w:sz w:val="24"/>
        </w:rPr>
        <w:t>℃，受海洋水体调节和西北高山对寒流的阻滞，境内夏少酷热，冬无邪寒，热量丰富，雨水充沛，气候温和湿润。</w:t>
      </w:r>
    </w:p>
    <w:p>
      <w:pPr>
        <w:pStyle w:val="128"/>
        <w:widowControl/>
        <w:spacing w:line="480" w:lineRule="exact"/>
        <w:ind w:left="420" w:firstLine="0" w:firstLineChars="0"/>
        <w:rPr>
          <w:sz w:val="24"/>
        </w:rPr>
      </w:pPr>
      <w:r>
        <w:rPr>
          <w:rFonts w:hAnsi="宋体"/>
          <w:sz w:val="24"/>
        </w:rPr>
        <w:t>多年平均气温</w:t>
      </w:r>
      <w:r>
        <w:rPr>
          <w:sz w:val="24"/>
        </w:rPr>
        <w:t>17.9</w:t>
      </w:r>
      <w:r>
        <w:rPr>
          <w:rFonts w:hAnsi="宋体"/>
          <w:sz w:val="24"/>
        </w:rPr>
        <w:t>℃；</w:t>
      </w:r>
    </w:p>
    <w:p>
      <w:pPr>
        <w:pStyle w:val="128"/>
        <w:widowControl/>
        <w:spacing w:line="480" w:lineRule="exact"/>
        <w:ind w:left="420" w:firstLine="0" w:firstLineChars="0"/>
        <w:rPr>
          <w:sz w:val="24"/>
        </w:rPr>
      </w:pPr>
      <w:r>
        <w:rPr>
          <w:rFonts w:hAnsi="宋体"/>
          <w:sz w:val="24"/>
        </w:rPr>
        <w:t>极端最高气温</w:t>
      </w:r>
      <w:r>
        <w:rPr>
          <w:sz w:val="24"/>
        </w:rPr>
        <w:t>36.6°(1966</w:t>
      </w:r>
      <w:r>
        <w:rPr>
          <w:rFonts w:hAnsi="宋体"/>
          <w:sz w:val="24"/>
        </w:rPr>
        <w:t>年定</w:t>
      </w:r>
      <w:r>
        <w:rPr>
          <w:rFonts w:hint="eastAsia" w:hAnsi="宋体"/>
          <w:sz w:val="24"/>
        </w:rPr>
        <w:t>，</w:t>
      </w:r>
      <w:r>
        <w:rPr>
          <w:sz w:val="24"/>
        </w:rPr>
        <w:t>8</w:t>
      </w:r>
      <w:r>
        <w:rPr>
          <w:rFonts w:hAnsi="宋体"/>
          <w:sz w:val="24"/>
        </w:rPr>
        <w:t>月</w:t>
      </w:r>
      <w:r>
        <w:rPr>
          <w:sz w:val="24"/>
        </w:rPr>
        <w:t>9</w:t>
      </w:r>
      <w:r>
        <w:rPr>
          <w:rFonts w:hAnsi="宋体"/>
          <w:sz w:val="24"/>
        </w:rPr>
        <w:t>日</w:t>
      </w:r>
      <w:r>
        <w:rPr>
          <w:sz w:val="24"/>
        </w:rPr>
        <w:t>)</w:t>
      </w:r>
      <w:r>
        <w:rPr>
          <w:rFonts w:hAnsi="宋体"/>
          <w:sz w:val="24"/>
        </w:rPr>
        <w:t>；</w:t>
      </w:r>
    </w:p>
    <w:p>
      <w:pPr>
        <w:pStyle w:val="128"/>
        <w:widowControl/>
        <w:spacing w:line="480" w:lineRule="exact"/>
        <w:ind w:left="420" w:firstLine="0" w:firstLineChars="0"/>
        <w:rPr>
          <w:sz w:val="24"/>
        </w:rPr>
      </w:pPr>
      <w:r>
        <w:rPr>
          <w:rFonts w:hAnsi="宋体"/>
          <w:sz w:val="24"/>
        </w:rPr>
        <w:t>极端最低气温</w:t>
      </w:r>
      <w:r>
        <w:rPr>
          <w:rFonts w:hint="eastAsia" w:hAnsi="宋体"/>
          <w:sz w:val="24"/>
        </w:rPr>
        <w:t>-</w:t>
      </w:r>
      <w:r>
        <w:rPr>
          <w:sz w:val="24"/>
        </w:rPr>
        <w:t>5.8°</w:t>
      </w:r>
      <w:r>
        <w:rPr>
          <w:rFonts w:hAnsi="宋体"/>
          <w:sz w:val="24"/>
        </w:rPr>
        <w:t>；</w:t>
      </w:r>
    </w:p>
    <w:p>
      <w:pPr>
        <w:pStyle w:val="128"/>
        <w:widowControl/>
        <w:spacing w:line="480" w:lineRule="exact"/>
        <w:ind w:left="420" w:firstLine="0" w:firstLineChars="0"/>
        <w:rPr>
          <w:sz w:val="24"/>
        </w:rPr>
      </w:pPr>
      <w:r>
        <w:rPr>
          <w:rFonts w:hAnsi="宋体"/>
          <w:sz w:val="24"/>
        </w:rPr>
        <w:t>多年平均降水量</w:t>
      </w:r>
      <w:r>
        <w:rPr>
          <w:sz w:val="24"/>
        </w:rPr>
        <w:t>1558.47.1mm</w:t>
      </w:r>
      <w:r>
        <w:rPr>
          <w:rFonts w:hAnsi="宋体"/>
          <w:sz w:val="24"/>
        </w:rPr>
        <w:t>；</w:t>
      </w:r>
    </w:p>
    <w:p>
      <w:pPr>
        <w:pStyle w:val="128"/>
        <w:widowControl/>
        <w:spacing w:line="480" w:lineRule="exact"/>
        <w:ind w:left="420" w:firstLine="0" w:firstLineChars="0"/>
        <w:rPr>
          <w:sz w:val="24"/>
        </w:rPr>
      </w:pPr>
      <w:r>
        <w:rPr>
          <w:rFonts w:hAnsi="宋体"/>
          <w:sz w:val="24"/>
        </w:rPr>
        <w:t>最大降水量</w:t>
      </w:r>
      <w:r>
        <w:rPr>
          <w:sz w:val="24"/>
        </w:rPr>
        <w:t>2375.1mm</w:t>
      </w:r>
      <w:r>
        <w:rPr>
          <w:rFonts w:hAnsi="宋体"/>
          <w:sz w:val="24"/>
        </w:rPr>
        <w:t>；</w:t>
      </w:r>
    </w:p>
    <w:p>
      <w:pPr>
        <w:pStyle w:val="128"/>
        <w:widowControl/>
        <w:spacing w:line="480" w:lineRule="exact"/>
        <w:ind w:left="420" w:firstLine="0" w:firstLineChars="0"/>
        <w:rPr>
          <w:sz w:val="24"/>
        </w:rPr>
      </w:pPr>
      <w:r>
        <w:rPr>
          <w:rFonts w:hAnsi="宋体"/>
          <w:sz w:val="24"/>
        </w:rPr>
        <w:t>最小降水量</w:t>
      </w:r>
      <w:r>
        <w:rPr>
          <w:sz w:val="24"/>
        </w:rPr>
        <w:t>912.8mm</w:t>
      </w:r>
      <w:r>
        <w:rPr>
          <w:rFonts w:hAnsi="宋体"/>
          <w:sz w:val="24"/>
        </w:rPr>
        <w:t>；</w:t>
      </w:r>
    </w:p>
    <w:p>
      <w:pPr>
        <w:pStyle w:val="128"/>
        <w:widowControl/>
        <w:spacing w:line="480" w:lineRule="exact"/>
        <w:ind w:left="420" w:firstLine="0" w:firstLineChars="0"/>
        <w:rPr>
          <w:sz w:val="24"/>
        </w:rPr>
      </w:pPr>
      <w:r>
        <w:rPr>
          <w:rFonts w:hAnsi="宋体"/>
          <w:sz w:val="24"/>
        </w:rPr>
        <w:t>多年平均蒸发量</w:t>
      </w:r>
      <w:r>
        <w:rPr>
          <w:sz w:val="24"/>
        </w:rPr>
        <w:t>1360.4mm</w:t>
      </w:r>
      <w:r>
        <w:rPr>
          <w:rFonts w:hAnsi="宋体"/>
          <w:sz w:val="24"/>
        </w:rPr>
        <w:t>；</w:t>
      </w:r>
    </w:p>
    <w:p>
      <w:pPr>
        <w:pStyle w:val="128"/>
        <w:widowControl/>
        <w:spacing w:line="480" w:lineRule="exact"/>
        <w:ind w:left="420" w:firstLine="0" w:firstLineChars="0"/>
        <w:rPr>
          <w:sz w:val="24"/>
        </w:rPr>
      </w:pPr>
      <w:r>
        <w:rPr>
          <w:rFonts w:hAnsi="宋体"/>
          <w:sz w:val="24"/>
        </w:rPr>
        <w:t>多年平均风速为</w:t>
      </w:r>
      <w:r>
        <w:rPr>
          <w:sz w:val="24"/>
        </w:rPr>
        <w:t>2.7m/s</w:t>
      </w:r>
      <w:r>
        <w:rPr>
          <w:rFonts w:hAnsi="宋体"/>
          <w:sz w:val="24"/>
        </w:rPr>
        <w:t>；</w:t>
      </w:r>
    </w:p>
    <w:p>
      <w:pPr>
        <w:pStyle w:val="128"/>
        <w:widowControl/>
        <w:spacing w:line="480" w:lineRule="exact"/>
        <w:ind w:left="420" w:firstLine="0" w:firstLineChars="0"/>
        <w:rPr>
          <w:sz w:val="24"/>
        </w:rPr>
      </w:pPr>
      <w:r>
        <w:rPr>
          <w:rFonts w:hAnsi="宋体"/>
          <w:sz w:val="24"/>
        </w:rPr>
        <w:t>瞬时极端最大风速</w:t>
      </w:r>
      <w:r>
        <w:rPr>
          <w:sz w:val="24"/>
        </w:rPr>
        <w:t>45m/s</w:t>
      </w:r>
      <w:r>
        <w:rPr>
          <w:rFonts w:hAnsi="宋体"/>
          <w:sz w:val="24"/>
        </w:rPr>
        <w:t>；</w:t>
      </w:r>
    </w:p>
    <w:p>
      <w:pPr>
        <w:pStyle w:val="128"/>
        <w:widowControl/>
        <w:spacing w:line="480" w:lineRule="exact"/>
        <w:ind w:left="420" w:firstLine="0" w:firstLineChars="0"/>
        <w:rPr>
          <w:sz w:val="24"/>
        </w:rPr>
      </w:pPr>
      <w:r>
        <w:rPr>
          <w:rFonts w:hAnsi="宋体"/>
          <w:sz w:val="24"/>
        </w:rPr>
        <w:t>最大</w:t>
      </w:r>
      <w:r>
        <w:rPr>
          <w:sz w:val="24"/>
        </w:rPr>
        <w:t>24</w:t>
      </w:r>
      <w:r>
        <w:rPr>
          <w:rFonts w:hAnsi="宋体"/>
          <w:sz w:val="24"/>
        </w:rPr>
        <w:t>小时降水量</w:t>
      </w:r>
      <w:r>
        <w:rPr>
          <w:sz w:val="24"/>
        </w:rPr>
        <w:t>446.7mm</w:t>
      </w:r>
      <w:r>
        <w:rPr>
          <w:rFonts w:hAnsi="宋体"/>
          <w:sz w:val="24"/>
        </w:rPr>
        <w:t>；</w:t>
      </w:r>
    </w:p>
    <w:p>
      <w:pPr>
        <w:pStyle w:val="128"/>
        <w:widowControl/>
        <w:spacing w:line="480" w:lineRule="exact"/>
        <w:ind w:left="420" w:firstLine="0" w:firstLineChars="0"/>
        <w:rPr>
          <w:rFonts w:hint="eastAsia" w:hAnsi="宋体"/>
          <w:sz w:val="24"/>
        </w:rPr>
      </w:pPr>
      <w:r>
        <w:rPr>
          <w:rFonts w:hAnsi="宋体"/>
          <w:sz w:val="24"/>
        </w:rPr>
        <w:t>最大1小时降水量58.2mm；</w:t>
      </w:r>
    </w:p>
    <w:p>
      <w:pPr>
        <w:pStyle w:val="128"/>
        <w:widowControl/>
        <w:spacing w:line="480" w:lineRule="exact"/>
        <w:ind w:left="420" w:firstLine="0" w:firstLineChars="0"/>
        <w:rPr>
          <w:rFonts w:hint="eastAsia" w:hAnsi="宋体"/>
          <w:sz w:val="24"/>
        </w:rPr>
      </w:pPr>
      <w:r>
        <w:rPr>
          <w:rFonts w:hAnsi="宋体"/>
          <w:sz w:val="24"/>
        </w:rPr>
        <w:t>最长连续降雨天数18天，过程降雨量254.6mm。降水一般集中在4～6月和7～9月。建设场地台风规律一般为每年1-2次，最高为3-4次，影响季节一般为7-9月，最早为5月，最迟为11月，台风暴雨常常是形成地质灾害的重要引发因素之一。</w:t>
      </w:r>
    </w:p>
    <w:p>
      <w:pPr>
        <w:pStyle w:val="128"/>
        <w:widowControl/>
        <w:spacing w:line="480" w:lineRule="exact"/>
        <w:ind w:left="420" w:firstLine="0" w:firstLineChars="0"/>
        <w:rPr>
          <w:rFonts w:hint="eastAsia" w:hAnsi="宋体"/>
          <w:sz w:val="24"/>
        </w:rPr>
      </w:pPr>
    </w:p>
    <w:p>
      <w:pPr>
        <w:pStyle w:val="123"/>
        <w:numPr>
          <w:ilvl w:val="0"/>
          <w:numId w:val="56"/>
        </w:numPr>
        <w:ind w:firstLineChars="0"/>
        <w:rPr>
          <w:rFonts w:hint="eastAsia" w:hAnsi="宋体"/>
          <w:sz w:val="24"/>
          <w:szCs w:val="24"/>
        </w:rPr>
      </w:pPr>
      <w:bookmarkStart w:id="94" w:name="_Toc44988111"/>
      <w:r>
        <w:rPr>
          <w:rFonts w:hint="eastAsia" w:hAnsi="宋体"/>
          <w:b/>
          <w:sz w:val="24"/>
          <w:szCs w:val="24"/>
        </w:rPr>
        <w:t>电厂水源</w:t>
      </w:r>
      <w:bookmarkEnd w:id="94"/>
    </w:p>
    <w:p>
      <w:pPr>
        <w:adjustRightInd w:val="0"/>
        <w:snapToGrid w:val="0"/>
        <w:spacing w:line="360" w:lineRule="auto"/>
        <w:ind w:right="-109" w:rightChars="-52" w:firstLine="510"/>
        <w:textAlignment w:val="baseline"/>
        <w:rPr>
          <w:kern w:val="0"/>
          <w:sz w:val="24"/>
        </w:rPr>
      </w:pPr>
      <w:r>
        <w:rPr>
          <w:kern w:val="0"/>
          <w:sz w:val="24"/>
        </w:rPr>
        <w:t>本期工程循环水及工业用水补给水取至</w:t>
      </w:r>
      <w:r>
        <w:rPr>
          <w:rFonts w:hint="eastAsia"/>
          <w:kern w:val="0"/>
          <w:sz w:val="24"/>
        </w:rPr>
        <w:t>化水反渗透浓水</w:t>
      </w:r>
      <w:r>
        <w:rPr>
          <w:kern w:val="0"/>
          <w:sz w:val="24"/>
        </w:rPr>
        <w:t>，辅机循环冷却水采用二次循环冷却塔供水系统，采用机力冷却塔。</w:t>
      </w:r>
    </w:p>
    <w:bookmarkEnd w:id="93"/>
    <w:p>
      <w:bookmarkStart w:id="95" w:name="_Toc44988115"/>
    </w:p>
    <w:p>
      <w:pPr>
        <w:pStyle w:val="123"/>
        <w:numPr>
          <w:ilvl w:val="0"/>
          <w:numId w:val="56"/>
        </w:numPr>
        <w:ind w:firstLineChars="0"/>
        <w:rPr>
          <w:rFonts w:hint="eastAsia" w:hAnsi="宋体"/>
          <w:sz w:val="24"/>
          <w:szCs w:val="24"/>
        </w:rPr>
      </w:pPr>
      <w:r>
        <w:rPr>
          <w:rFonts w:hint="eastAsia" w:hAnsi="宋体"/>
          <w:b/>
          <w:sz w:val="24"/>
          <w:szCs w:val="24"/>
        </w:rPr>
        <w:t>全厂总体规划及厂区总平面布置</w:t>
      </w:r>
      <w:bookmarkEnd w:id="95"/>
    </w:p>
    <w:p>
      <w:pPr>
        <w:adjustRightInd w:val="0"/>
        <w:snapToGrid w:val="0"/>
        <w:spacing w:line="360" w:lineRule="auto"/>
        <w:ind w:right="-109" w:rightChars="-52" w:firstLine="510"/>
        <w:textAlignment w:val="baseline"/>
        <w:rPr>
          <w:rFonts w:hint="eastAsia" w:hAnsi="宋体"/>
          <w:sz w:val="24"/>
          <w:szCs w:val="24"/>
        </w:rPr>
      </w:pPr>
      <w:r>
        <w:rPr>
          <w:rFonts w:hint="eastAsia" w:ascii="宋体" w:hAnsi="宋体" w:cs="宋体"/>
          <w:sz w:val="24"/>
          <w:szCs w:val="24"/>
        </w:rPr>
        <w:t>本期项目场地位于原主厂房东侧的扩建预留用地内。新建主厂房及炉后设施沿原主厂房东侧扩建端建造，机力冷却塔布置在原消防水池的上方，新增20kV配电装置布置在原20kV 配电装置室内，#3主变布置在原#2主变的东侧。</w:t>
      </w:r>
    </w:p>
    <w:p>
      <w:pPr>
        <w:adjustRightInd w:val="0"/>
        <w:snapToGrid w:val="0"/>
        <w:spacing w:line="360" w:lineRule="auto"/>
        <w:ind w:right="-109" w:rightChars="-52" w:firstLine="510"/>
        <w:textAlignment w:val="baseline"/>
        <w:rPr>
          <w:kern w:val="0"/>
          <w:sz w:val="24"/>
        </w:rPr>
      </w:pPr>
      <w:r>
        <w:rPr>
          <w:rFonts w:hAnsi="宋体"/>
          <w:sz w:val="24"/>
          <w:szCs w:val="24"/>
        </w:rPr>
        <w:t>升压站：</w:t>
      </w:r>
      <w:r>
        <w:rPr>
          <w:rFonts w:hint="eastAsia" w:hAnsi="宋体" w:cs="宋体"/>
          <w:sz w:val="24"/>
          <w:szCs w:val="24"/>
        </w:rPr>
        <w:t>根据电力系统接入方案，电厂接入系统电压等级为</w:t>
      </w:r>
      <w:r>
        <w:rPr>
          <w:rFonts w:hAnsi="宋体" w:cs="宋体"/>
          <w:sz w:val="24"/>
          <w:szCs w:val="24"/>
        </w:rPr>
        <w:t>20</w:t>
      </w:r>
      <w:r>
        <w:rPr>
          <w:rFonts w:hint="eastAsia" w:hAnsi="宋体" w:cs="宋体"/>
          <w:sz w:val="24"/>
          <w:szCs w:val="24"/>
        </w:rPr>
        <w:t>千伏，</w:t>
      </w:r>
      <w:r>
        <w:rPr>
          <w:rFonts w:hint="eastAsia"/>
          <w:kern w:val="0"/>
          <w:sz w:val="24"/>
        </w:rPr>
        <w:t>本期1台</w:t>
      </w:r>
      <w:r>
        <w:rPr>
          <w:rFonts w:hint="eastAsia"/>
          <w:snapToGrid w:val="0"/>
          <w:kern w:val="0"/>
          <w:sz w:val="24"/>
        </w:rPr>
        <w:t>30</w:t>
      </w:r>
      <w:r>
        <w:rPr>
          <w:snapToGrid w:val="0"/>
          <w:kern w:val="0"/>
          <w:sz w:val="24"/>
        </w:rPr>
        <w:t>MW</w:t>
      </w:r>
      <w:r>
        <w:rPr>
          <w:rFonts w:hint="eastAsia"/>
          <w:kern w:val="0"/>
          <w:sz w:val="24"/>
        </w:rPr>
        <w:t>燃煤供热发电机组升压至20kV，接入附近110kV经纬变20kV母线。</w:t>
      </w:r>
    </w:p>
    <w:p>
      <w:pPr>
        <w:pStyle w:val="123"/>
        <w:numPr>
          <w:ilvl w:val="0"/>
          <w:numId w:val="56"/>
        </w:numPr>
        <w:ind w:firstLineChars="0"/>
        <w:rPr>
          <w:rFonts w:hint="eastAsia" w:hAnsi="宋体"/>
          <w:sz w:val="24"/>
          <w:szCs w:val="24"/>
        </w:rPr>
      </w:pPr>
      <w:bookmarkStart w:id="96" w:name="_Hlt43855675"/>
      <w:bookmarkEnd w:id="96"/>
      <w:bookmarkStart w:id="97" w:name="_Toc44988116"/>
      <w:r>
        <w:rPr>
          <w:rFonts w:hint="eastAsia" w:hAnsi="宋体"/>
          <w:b/>
          <w:sz w:val="24"/>
          <w:szCs w:val="24"/>
        </w:rPr>
        <w:t>装机方案</w:t>
      </w:r>
      <w:bookmarkEnd w:id="97"/>
    </w:p>
    <w:p>
      <w:pPr>
        <w:adjustRightInd w:val="0"/>
        <w:snapToGrid w:val="0"/>
        <w:spacing w:line="360" w:lineRule="auto"/>
        <w:rPr>
          <w:sz w:val="24"/>
          <w:szCs w:val="24"/>
        </w:rPr>
      </w:pPr>
      <w:r>
        <w:rPr>
          <w:rFonts w:hint="eastAsia"/>
          <w:sz w:val="24"/>
          <w:szCs w:val="24"/>
        </w:rPr>
        <w:t>5</w:t>
      </w:r>
      <w:r>
        <w:rPr>
          <w:sz w:val="24"/>
          <w:szCs w:val="24"/>
        </w:rPr>
        <w:t>.1</w:t>
      </w:r>
      <w:r>
        <w:rPr>
          <w:rFonts w:hAnsi="宋体"/>
          <w:sz w:val="24"/>
          <w:szCs w:val="24"/>
        </w:rPr>
        <w:t>锅炉</w:t>
      </w:r>
    </w:p>
    <w:p>
      <w:pPr>
        <w:adjustRightInd w:val="0"/>
        <w:snapToGrid w:val="0"/>
        <w:spacing w:line="360" w:lineRule="auto"/>
        <w:rPr>
          <w:rFonts w:hint="eastAsia" w:hAnsi="宋体"/>
          <w:sz w:val="24"/>
          <w:szCs w:val="24"/>
          <w:lang w:val="zh-CN"/>
        </w:rPr>
      </w:pPr>
      <w:r>
        <w:rPr>
          <w:rFonts w:hAnsi="宋体"/>
          <w:sz w:val="24"/>
          <w:szCs w:val="24"/>
          <w:lang w:val="zh-CN"/>
        </w:rPr>
        <w:t>本期工程采用高温高压燃煤锅炉，锅炉的主蒸汽的压力、温度、流量等要求与汽轮机的参数相匹配。锅炉出口蒸汽参数为</w:t>
      </w:r>
      <w:r>
        <w:rPr>
          <w:rFonts w:hint="eastAsia" w:hAnsi="宋体"/>
          <w:sz w:val="24"/>
          <w:szCs w:val="24"/>
        </w:rPr>
        <w:t>9.81</w:t>
      </w:r>
      <w:r>
        <w:rPr>
          <w:rFonts w:hAnsi="宋体"/>
          <w:sz w:val="24"/>
          <w:szCs w:val="24"/>
          <w:lang w:val="zh-CN"/>
        </w:rPr>
        <w:t>MPa（a）/5</w:t>
      </w:r>
      <w:r>
        <w:rPr>
          <w:rFonts w:hint="eastAsia" w:hAnsi="宋体"/>
          <w:sz w:val="24"/>
          <w:szCs w:val="24"/>
        </w:rPr>
        <w:t>40</w:t>
      </w:r>
      <w:r>
        <w:rPr>
          <w:rFonts w:hAnsi="宋体"/>
          <w:sz w:val="24"/>
          <w:szCs w:val="24"/>
          <w:lang w:val="zh-CN"/>
        </w:rPr>
        <w:t>℃，最大连续蒸发量</w:t>
      </w:r>
      <w:r>
        <w:rPr>
          <w:rFonts w:hint="eastAsia" w:hAnsi="宋体"/>
          <w:sz w:val="24"/>
          <w:szCs w:val="24"/>
        </w:rPr>
        <w:t>280</w:t>
      </w:r>
      <w:r>
        <w:rPr>
          <w:rFonts w:hAnsi="宋体"/>
          <w:sz w:val="24"/>
          <w:szCs w:val="24"/>
          <w:lang w:val="zh-CN"/>
        </w:rPr>
        <w:t xml:space="preserve"> t/h，对应汽机的入口参数</w:t>
      </w:r>
      <w:r>
        <w:rPr>
          <w:rFonts w:hint="eastAsia" w:hAnsi="宋体"/>
          <w:sz w:val="24"/>
          <w:szCs w:val="24"/>
        </w:rPr>
        <w:t>9.3</w:t>
      </w:r>
      <w:r>
        <w:rPr>
          <w:rFonts w:hAnsi="宋体"/>
          <w:sz w:val="24"/>
          <w:szCs w:val="24"/>
          <w:lang w:val="zh-CN"/>
        </w:rPr>
        <w:t>MPa（a）/5</w:t>
      </w:r>
      <w:r>
        <w:rPr>
          <w:rFonts w:hint="eastAsia" w:hAnsi="宋体"/>
          <w:sz w:val="24"/>
          <w:szCs w:val="24"/>
        </w:rPr>
        <w:t>35</w:t>
      </w:r>
      <w:r>
        <w:rPr>
          <w:rFonts w:hAnsi="宋体"/>
          <w:sz w:val="24"/>
          <w:szCs w:val="24"/>
          <w:lang w:val="zh-CN"/>
        </w:rPr>
        <w:t>℃。</w:t>
      </w:r>
    </w:p>
    <w:p>
      <w:pPr>
        <w:adjustRightInd w:val="0"/>
        <w:snapToGrid w:val="0"/>
        <w:spacing w:line="360" w:lineRule="auto"/>
        <w:rPr>
          <w:sz w:val="24"/>
          <w:szCs w:val="24"/>
        </w:rPr>
      </w:pPr>
      <w:r>
        <w:rPr>
          <w:rFonts w:hint="eastAsia"/>
          <w:sz w:val="24"/>
          <w:szCs w:val="24"/>
        </w:rPr>
        <w:t>5</w:t>
      </w:r>
      <w:r>
        <w:rPr>
          <w:sz w:val="24"/>
          <w:szCs w:val="24"/>
        </w:rPr>
        <w:t>.2</w:t>
      </w:r>
      <w:r>
        <w:rPr>
          <w:rFonts w:hAnsi="宋体"/>
          <w:sz w:val="24"/>
          <w:szCs w:val="24"/>
        </w:rPr>
        <w:t>汽轮机</w:t>
      </w:r>
    </w:p>
    <w:p>
      <w:pPr>
        <w:adjustRightInd w:val="0"/>
        <w:snapToGrid w:val="0"/>
        <w:spacing w:line="360" w:lineRule="auto"/>
        <w:ind w:firstLine="420"/>
        <w:rPr>
          <w:rFonts w:hint="eastAsia" w:hAnsi="宋体"/>
          <w:sz w:val="24"/>
          <w:szCs w:val="24"/>
          <w:lang w:val="zh-CN"/>
        </w:rPr>
      </w:pPr>
      <w:r>
        <w:rPr>
          <w:rFonts w:hAnsi="宋体"/>
          <w:sz w:val="24"/>
          <w:szCs w:val="24"/>
          <w:lang w:val="zh-CN"/>
        </w:rPr>
        <w:t>本期工程采用</w:t>
      </w:r>
      <w:r>
        <w:rPr>
          <w:rFonts w:hint="eastAsia" w:hAnsi="宋体"/>
          <w:sz w:val="24"/>
          <w:szCs w:val="24"/>
        </w:rPr>
        <w:t>9.3</w:t>
      </w:r>
      <w:r>
        <w:rPr>
          <w:rFonts w:hAnsi="宋体"/>
          <w:sz w:val="24"/>
          <w:szCs w:val="24"/>
          <w:lang w:val="zh-CN"/>
        </w:rPr>
        <w:t>MPa（a）/5</w:t>
      </w:r>
      <w:r>
        <w:rPr>
          <w:rFonts w:hint="eastAsia" w:hAnsi="宋体"/>
          <w:sz w:val="24"/>
          <w:szCs w:val="24"/>
        </w:rPr>
        <w:t>35</w:t>
      </w:r>
      <w:r>
        <w:rPr>
          <w:rFonts w:hAnsi="宋体"/>
          <w:sz w:val="24"/>
          <w:szCs w:val="24"/>
          <w:lang w:val="zh-CN"/>
        </w:rPr>
        <w:t>℃，高温高压背压式汽轮机。</w:t>
      </w:r>
    </w:p>
    <w:p>
      <w:pPr>
        <w:adjustRightInd w:val="0"/>
        <w:snapToGrid w:val="0"/>
        <w:spacing w:line="360" w:lineRule="auto"/>
        <w:rPr>
          <w:sz w:val="24"/>
          <w:szCs w:val="24"/>
        </w:rPr>
      </w:pPr>
      <w:r>
        <w:rPr>
          <w:rFonts w:hint="eastAsia"/>
          <w:sz w:val="24"/>
          <w:szCs w:val="24"/>
        </w:rPr>
        <w:t>5</w:t>
      </w:r>
      <w:r>
        <w:rPr>
          <w:sz w:val="24"/>
          <w:szCs w:val="24"/>
        </w:rPr>
        <w:t>.3</w:t>
      </w:r>
      <w:r>
        <w:rPr>
          <w:rFonts w:hAnsi="宋体"/>
          <w:sz w:val="24"/>
          <w:szCs w:val="24"/>
        </w:rPr>
        <w:t>发电机</w:t>
      </w:r>
    </w:p>
    <w:p>
      <w:pPr>
        <w:adjustRightInd w:val="0"/>
        <w:snapToGrid w:val="0"/>
        <w:spacing w:line="360" w:lineRule="auto"/>
        <w:ind w:firstLine="420"/>
        <w:rPr>
          <w:sz w:val="24"/>
          <w:szCs w:val="24"/>
        </w:rPr>
      </w:pPr>
      <w:r>
        <w:rPr>
          <w:rFonts w:hAnsi="宋体"/>
          <w:sz w:val="24"/>
          <w:szCs w:val="24"/>
        </w:rPr>
        <w:t>本期工程采用额定功率为</w:t>
      </w:r>
      <w:r>
        <w:rPr>
          <w:rFonts w:hint="eastAsia" w:hAnsi="宋体"/>
          <w:sz w:val="24"/>
          <w:szCs w:val="24"/>
        </w:rPr>
        <w:t>30</w:t>
      </w:r>
      <w:r>
        <w:rPr>
          <w:rFonts w:hAnsi="宋体"/>
          <w:sz w:val="24"/>
          <w:szCs w:val="24"/>
        </w:rPr>
        <w:t>MW，</w:t>
      </w:r>
      <w:r>
        <w:rPr>
          <w:rFonts w:hint="eastAsia" w:hAnsi="宋体"/>
          <w:sz w:val="24"/>
          <w:szCs w:val="24"/>
        </w:rPr>
        <w:t>空气</w:t>
      </w:r>
      <w:r>
        <w:rPr>
          <w:rFonts w:hAnsi="宋体"/>
          <w:sz w:val="24"/>
          <w:szCs w:val="24"/>
        </w:rPr>
        <w:t>冷却发电机</w:t>
      </w:r>
      <w:r>
        <w:rPr>
          <w:rFonts w:hint="eastAsia" w:hAnsi="宋体"/>
          <w:sz w:val="24"/>
          <w:szCs w:val="24"/>
        </w:rPr>
        <w:t>。</w:t>
      </w:r>
    </w:p>
    <w:p>
      <w:pPr>
        <w:adjustRightInd w:val="0"/>
        <w:snapToGrid w:val="0"/>
        <w:spacing w:line="360" w:lineRule="auto"/>
        <w:rPr>
          <w:sz w:val="24"/>
          <w:szCs w:val="24"/>
        </w:rPr>
      </w:pPr>
      <w:r>
        <w:rPr>
          <w:rFonts w:hint="eastAsia"/>
          <w:sz w:val="24"/>
          <w:szCs w:val="24"/>
        </w:rPr>
        <w:t>5</w:t>
      </w:r>
      <w:r>
        <w:rPr>
          <w:sz w:val="24"/>
          <w:szCs w:val="24"/>
        </w:rPr>
        <w:t xml:space="preserve">.4 </w:t>
      </w:r>
      <w:r>
        <w:rPr>
          <w:rFonts w:hAnsi="宋体"/>
          <w:bCs/>
          <w:sz w:val="24"/>
          <w:szCs w:val="24"/>
        </w:rPr>
        <w:t>电气出线</w:t>
      </w:r>
    </w:p>
    <w:p>
      <w:pPr>
        <w:adjustRightInd w:val="0"/>
        <w:snapToGrid w:val="0"/>
        <w:spacing w:line="360" w:lineRule="auto"/>
        <w:ind w:right="-109" w:rightChars="-52" w:firstLine="480" w:firstLineChars="200"/>
        <w:textAlignment w:val="baseline"/>
        <w:rPr>
          <w:rFonts w:hint="eastAsia" w:hAnsi="宋体" w:cs="宋体"/>
          <w:sz w:val="24"/>
          <w:szCs w:val="24"/>
        </w:rPr>
      </w:pPr>
      <w:r>
        <w:rPr>
          <w:rFonts w:hint="eastAsia" w:hAnsi="宋体" w:cs="宋体"/>
          <w:sz w:val="24"/>
          <w:szCs w:val="24"/>
        </w:rPr>
        <w:t>二期机组采用线路-变压器组单元接线，经一台40</w:t>
      </w:r>
      <w:r>
        <w:rPr>
          <w:rFonts w:hAnsi="宋体" w:cs="宋体"/>
          <w:sz w:val="24"/>
          <w:szCs w:val="24"/>
        </w:rPr>
        <w:t>MVA</w:t>
      </w:r>
      <w:r>
        <w:rPr>
          <w:rFonts w:hint="eastAsia" w:hAnsi="宋体" w:cs="宋体"/>
          <w:sz w:val="24"/>
          <w:szCs w:val="24"/>
        </w:rPr>
        <w:t>三相变压器升压接至</w:t>
      </w:r>
      <w:r>
        <w:rPr>
          <w:rFonts w:hAnsi="宋体" w:cs="宋体"/>
          <w:sz w:val="24"/>
          <w:szCs w:val="24"/>
        </w:rPr>
        <w:t>20kV</w:t>
      </w:r>
      <w:r>
        <w:rPr>
          <w:rFonts w:hint="eastAsia" w:hAnsi="宋体" w:cs="宋体"/>
          <w:sz w:val="24"/>
          <w:szCs w:val="24"/>
        </w:rPr>
        <w:t>配电装置，利用</w:t>
      </w:r>
      <w:r>
        <w:rPr>
          <w:rFonts w:hAnsi="宋体" w:cs="宋体"/>
          <w:sz w:val="24"/>
          <w:szCs w:val="24"/>
        </w:rPr>
        <w:t>20kV</w:t>
      </w:r>
      <w:r>
        <w:rPr>
          <w:rFonts w:hint="eastAsia" w:hAnsi="宋体" w:cs="宋体"/>
          <w:sz w:val="24"/>
          <w:szCs w:val="24"/>
        </w:rPr>
        <w:t>出线送出至经纬变。</w:t>
      </w:r>
    </w:p>
    <w:p>
      <w:pPr>
        <w:pageBreakBefore/>
        <w:outlineLvl w:val="0"/>
        <w:rPr>
          <w:b/>
          <w:sz w:val="28"/>
        </w:rPr>
      </w:pPr>
      <w:bookmarkStart w:id="98" w:name="_Toc5863373"/>
      <w:r>
        <w:rPr>
          <w:rFonts w:hint="eastAsia"/>
          <w:b/>
          <w:sz w:val="28"/>
        </w:rPr>
        <w:t xml:space="preserve">附件15 </w:t>
      </w:r>
      <w:r>
        <w:rPr>
          <w:b/>
          <w:sz w:val="28"/>
        </w:rPr>
        <w:t>附图</w:t>
      </w:r>
      <w:bookmarkEnd w:id="98"/>
    </w:p>
    <w:p/>
    <w:p>
      <w:pPr>
        <w:pageBreakBefore/>
        <w:outlineLvl w:val="0"/>
        <w:rPr>
          <w:b/>
          <w:sz w:val="28"/>
        </w:rPr>
      </w:pPr>
      <w:bookmarkStart w:id="99" w:name="_Toc5863374"/>
      <w:r>
        <w:rPr>
          <w:rFonts w:hint="eastAsia"/>
          <w:b/>
          <w:sz w:val="28"/>
        </w:rPr>
        <w:t>附件16 性能考核</w:t>
      </w:r>
      <w:bookmarkEnd w:id="99"/>
    </w:p>
    <w:p>
      <w:pPr>
        <w:spacing w:line="360" w:lineRule="auto"/>
        <w:ind w:firstLine="480" w:firstLineChars="200"/>
        <w:rPr>
          <w:rFonts w:hint="eastAsia" w:ascii="宋体" w:hAnsi="宋体"/>
          <w:sz w:val="24"/>
        </w:rPr>
      </w:pPr>
      <w:r>
        <w:rPr>
          <w:rFonts w:ascii="宋体" w:hAnsi="宋体"/>
          <w:sz w:val="24"/>
        </w:rPr>
        <w:t>1.</w:t>
      </w:r>
      <w:r>
        <w:rPr>
          <w:rFonts w:hint="eastAsia" w:ascii="宋体" w:hAnsi="宋体"/>
          <w:sz w:val="24"/>
        </w:rPr>
        <w:t>由于投标人责任，如经性能验收试验</w:t>
      </w:r>
      <w:r>
        <w:rPr>
          <w:rFonts w:ascii="宋体" w:hAnsi="宋体"/>
          <w:sz w:val="24"/>
        </w:rPr>
        <w:t>(</w:t>
      </w:r>
      <w:r>
        <w:rPr>
          <w:rFonts w:hint="eastAsia" w:ascii="宋体" w:hAnsi="宋体"/>
          <w:sz w:val="24"/>
        </w:rPr>
        <w:t>由于投标人原因</w:t>
      </w:r>
      <w:r>
        <w:rPr>
          <w:rFonts w:ascii="宋体" w:hAnsi="宋体"/>
          <w:sz w:val="24"/>
        </w:rPr>
        <w:t>)</w:t>
      </w:r>
      <w:r>
        <w:rPr>
          <w:rFonts w:hint="eastAsia" w:ascii="宋体" w:hAnsi="宋体"/>
          <w:sz w:val="24"/>
        </w:rPr>
        <w:t>达不到投标人提供的一项或多项保证指标时，投标人应按下述承担违约金。</w:t>
      </w:r>
    </w:p>
    <w:p>
      <w:pPr>
        <w:spacing w:line="360" w:lineRule="auto"/>
        <w:ind w:firstLine="480" w:firstLineChars="200"/>
        <w:rPr>
          <w:rFonts w:hint="eastAsia" w:ascii="宋体" w:hAnsi="宋体"/>
          <w:sz w:val="24"/>
        </w:rPr>
      </w:pPr>
      <w:r>
        <w:rPr>
          <w:rFonts w:ascii="宋体" w:hAnsi="宋体"/>
          <w:sz w:val="24"/>
        </w:rPr>
        <w:t>发电机在额定条件下出力降低</w:t>
      </w:r>
      <w:r>
        <w:rPr>
          <w:rFonts w:hint="eastAsia" w:ascii="宋体" w:hAnsi="宋体"/>
          <w:sz w:val="24"/>
        </w:rPr>
        <w:t>扣</w:t>
      </w:r>
      <w:r>
        <w:rPr>
          <w:rFonts w:ascii="宋体" w:hAnsi="宋体"/>
          <w:sz w:val="24"/>
        </w:rPr>
        <w:t>￥5,000元/kW</w:t>
      </w:r>
    </w:p>
    <w:p>
      <w:pPr>
        <w:spacing w:line="360" w:lineRule="auto"/>
        <w:ind w:firstLine="480" w:firstLineChars="200"/>
        <w:rPr>
          <w:rFonts w:hint="eastAsia" w:ascii="宋体" w:hAnsi="宋体"/>
          <w:sz w:val="24"/>
        </w:rPr>
      </w:pPr>
      <w:r>
        <w:rPr>
          <w:rFonts w:ascii="宋体" w:hAnsi="宋体"/>
          <w:sz w:val="24"/>
        </w:rPr>
        <w:t>发电机效率降低</w:t>
      </w:r>
      <w:r>
        <w:rPr>
          <w:rFonts w:hint="eastAsia" w:ascii="宋体" w:hAnsi="宋体"/>
          <w:sz w:val="24"/>
        </w:rPr>
        <w:t>扣</w:t>
      </w:r>
      <w:r>
        <w:rPr>
          <w:rFonts w:ascii="宋体" w:hAnsi="宋体"/>
          <w:sz w:val="24"/>
        </w:rPr>
        <w:t>￥</w:t>
      </w:r>
      <w:r>
        <w:rPr>
          <w:rFonts w:hint="eastAsia" w:ascii="宋体" w:hAnsi="宋体"/>
          <w:sz w:val="24"/>
        </w:rPr>
        <w:t>5</w:t>
      </w:r>
      <w:r>
        <w:rPr>
          <w:rFonts w:ascii="宋体" w:hAnsi="宋体"/>
          <w:sz w:val="24"/>
        </w:rPr>
        <w:t xml:space="preserve">0,000元/0.01% </w:t>
      </w:r>
    </w:p>
    <w:p>
      <w:pPr>
        <w:spacing w:line="360" w:lineRule="auto"/>
        <w:ind w:firstLine="480" w:firstLineChars="200"/>
        <w:rPr>
          <w:rFonts w:hint="eastAsia" w:ascii="宋体" w:hAnsi="宋体"/>
          <w:sz w:val="24"/>
        </w:rPr>
      </w:pPr>
      <w:r>
        <w:rPr>
          <w:rFonts w:ascii="宋体" w:hAnsi="宋体"/>
          <w:sz w:val="24"/>
        </w:rPr>
        <w:t>轴振动值升高</w:t>
      </w:r>
      <w:r>
        <w:rPr>
          <w:rFonts w:hint="eastAsia" w:ascii="宋体" w:hAnsi="宋体"/>
          <w:sz w:val="24"/>
        </w:rPr>
        <w:t>扣</w:t>
      </w:r>
      <w:r>
        <w:rPr>
          <w:rFonts w:ascii="宋体" w:hAnsi="宋体"/>
          <w:sz w:val="24"/>
        </w:rPr>
        <w:t>￥</w:t>
      </w:r>
      <w:r>
        <w:rPr>
          <w:rFonts w:hint="eastAsia" w:ascii="宋体" w:hAnsi="宋体"/>
          <w:sz w:val="24"/>
        </w:rPr>
        <w:t>2</w:t>
      </w:r>
      <w:r>
        <w:rPr>
          <w:rFonts w:ascii="宋体" w:hAnsi="宋体"/>
          <w:sz w:val="24"/>
        </w:rPr>
        <w:t xml:space="preserve">0,000元/0.001mm </w:t>
      </w:r>
    </w:p>
    <w:p>
      <w:pPr>
        <w:spacing w:line="360" w:lineRule="auto"/>
        <w:ind w:firstLine="480" w:firstLineChars="200"/>
        <w:rPr>
          <w:rFonts w:hint="eastAsia" w:ascii="宋体" w:hAnsi="宋体"/>
          <w:sz w:val="24"/>
        </w:rPr>
      </w:pPr>
      <w:r>
        <w:rPr>
          <w:rFonts w:hint="eastAsia" w:ascii="宋体" w:hAnsi="宋体"/>
          <w:sz w:val="24"/>
        </w:rPr>
        <w:t>每台/套合同设备按照以上各项累积计算的最大违约金总金额将不超过每台/套合同设备总价的</w:t>
      </w:r>
      <w:r>
        <w:rPr>
          <w:rFonts w:ascii="宋体" w:hAnsi="宋体"/>
          <w:sz w:val="24"/>
        </w:rPr>
        <w:t>10</w:t>
      </w:r>
      <w:r>
        <w:rPr>
          <w:rFonts w:hint="eastAsia" w:ascii="宋体" w:hAnsi="宋体"/>
          <w:sz w:val="24"/>
        </w:rPr>
        <w:t>％。不满一个违约金计算单位的，按实际偏差计算性能违约金金额。投标人支付违约金后，仍有义务协助招标人采取各种措施以使设备达到附件</w:t>
      </w:r>
      <w:r>
        <w:rPr>
          <w:rFonts w:ascii="宋体" w:hAnsi="宋体"/>
          <w:sz w:val="24"/>
        </w:rPr>
        <w:t>1</w:t>
      </w:r>
      <w:r>
        <w:rPr>
          <w:rFonts w:hint="eastAsia" w:ascii="宋体" w:hAnsi="宋体"/>
          <w:sz w:val="24"/>
        </w:rPr>
        <w:t>规定的各项性能指标。</w:t>
      </w:r>
    </w:p>
    <w:p>
      <w:pPr>
        <w:spacing w:before="240" w:beforeLines="100" w:line="360" w:lineRule="auto"/>
        <w:ind w:firstLine="480" w:firstLineChars="200"/>
        <w:rPr>
          <w:rFonts w:hint="eastAsia" w:ascii="宋体" w:hAnsi="宋体"/>
          <w:sz w:val="24"/>
        </w:rPr>
      </w:pPr>
      <w:r>
        <w:rPr>
          <w:rFonts w:hint="eastAsia" w:ascii="宋体" w:hAnsi="宋体"/>
          <w:sz w:val="24"/>
        </w:rPr>
        <w:t>如果上述任何一项的违约金金额超过以上条款指出的一个违约金单位的5倍时，招标人有权选择拒绝违约金方式，投标人应自费在招标人同意的时间内采取更换相应设备和采取其他各种补救措施以使设备达到附件</w:t>
      </w:r>
      <w:r>
        <w:rPr>
          <w:rFonts w:ascii="宋体" w:hAnsi="宋体"/>
          <w:sz w:val="24"/>
        </w:rPr>
        <w:t>1</w:t>
      </w:r>
      <w:r>
        <w:rPr>
          <w:rFonts w:hint="eastAsia" w:ascii="宋体" w:hAnsi="宋体"/>
          <w:sz w:val="24"/>
        </w:rPr>
        <w:t>规定的各项性能指标，或要求投标人采用其他补救措施补偿招标人的实际损失。</w:t>
      </w:r>
    </w:p>
    <w:p>
      <w:pPr>
        <w:outlineLvl w:val="0"/>
        <w:rPr>
          <w:b/>
          <w:sz w:val="28"/>
        </w:rPr>
      </w:pPr>
    </w:p>
    <w:p/>
    <w:sectPr>
      <w:pgSz w:w="11906" w:h="16838"/>
      <w:pgMar w:top="1440" w:right="1440" w:bottom="1440" w:left="1440" w:header="814" w:footer="1077"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Sans Serif">
    <w:altName w:val="Arial"/>
    <w:panose1 w:val="00000000000000000000"/>
    <w:charset w:val="00"/>
    <w:family w:val="swiss"/>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center"/>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tabs>
        <w:tab w:val="center" w:pos="-3600"/>
        <w:tab w:val="right" w:pos="-3420"/>
      </w:tabs>
      <w:jc w:val="center"/>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2"/>
                            <w:tabs>
                              <w:tab w:val="center" w:pos="-3600"/>
                              <w:tab w:val="right" w:pos="-3420"/>
                            </w:tabs>
                            <w:jc w:val="center"/>
                          </w:pPr>
                          <w:r>
                            <w:rPr>
                              <w:rFonts w:ascii="宋体"/>
                              <w:b/>
                            </w:rPr>
                            <w:t xml:space="preserve">- </w:t>
                          </w:r>
                          <w:r>
                            <w:rPr>
                              <w:rFonts w:ascii="宋体"/>
                            </w:rPr>
                            <w:fldChar w:fldCharType="begin"/>
                          </w:r>
                          <w:r>
                            <w:rPr>
                              <w:rFonts w:ascii="宋体"/>
                            </w:rPr>
                            <w:instrText xml:space="preserve"> PAGE </w:instrText>
                          </w:r>
                          <w:r>
                            <w:rPr>
                              <w:rFonts w:ascii="宋体"/>
                            </w:rPr>
                            <w:fldChar w:fldCharType="separate"/>
                          </w:r>
                          <w:r>
                            <w:rPr>
                              <w:rFonts w:ascii="宋体"/>
                            </w:rPr>
                            <w:t>80</w:t>
                          </w:r>
                          <w:r>
                            <w:rPr>
                              <w:rFonts w:ascii="宋体"/>
                            </w:rPr>
                            <w:fldChar w:fldCharType="end"/>
                          </w:r>
                          <w:r>
                            <w:rPr>
                              <w:rFonts w:ascii="宋体"/>
                            </w:rPr>
                            <w:t xml:space="preserve">  </w:t>
                          </w:r>
                          <w:r>
                            <w:rPr>
                              <w:rFonts w:ascii="宋体"/>
                              <w:b/>
                            </w:rPr>
                            <w:t>-</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32"/>
                      <w:tabs>
                        <w:tab w:val="center" w:pos="-3600"/>
                        <w:tab w:val="right" w:pos="-3420"/>
                      </w:tabs>
                      <w:jc w:val="center"/>
                    </w:pPr>
                    <w:r>
                      <w:rPr>
                        <w:rFonts w:ascii="宋体"/>
                        <w:b/>
                      </w:rPr>
                      <w:t xml:space="preserve">- </w:t>
                    </w:r>
                    <w:r>
                      <w:rPr>
                        <w:rFonts w:ascii="宋体"/>
                      </w:rPr>
                      <w:fldChar w:fldCharType="begin"/>
                    </w:r>
                    <w:r>
                      <w:rPr>
                        <w:rFonts w:ascii="宋体"/>
                      </w:rPr>
                      <w:instrText xml:space="preserve"> PAGE </w:instrText>
                    </w:r>
                    <w:r>
                      <w:rPr>
                        <w:rFonts w:ascii="宋体"/>
                      </w:rPr>
                      <w:fldChar w:fldCharType="separate"/>
                    </w:r>
                    <w:r>
                      <w:rPr>
                        <w:rFonts w:ascii="宋体"/>
                      </w:rPr>
                      <w:t>80</w:t>
                    </w:r>
                    <w:r>
                      <w:rPr>
                        <w:rFonts w:ascii="宋体"/>
                      </w:rPr>
                      <w:fldChar w:fldCharType="end"/>
                    </w:r>
                    <w:r>
                      <w:rPr>
                        <w:rFonts w:ascii="宋体"/>
                      </w:rPr>
                      <w:t xml:space="preserve">  </w:t>
                    </w:r>
                    <w:r>
                      <w:rPr>
                        <w:rFonts w:ascii="宋体"/>
                        <w:b/>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center"/>
      <w:rPr>
        <w:rFonts w:ascii="Arial" w:hAnsi="Arial" w:cs="Arial"/>
        <w:b/>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2"/>
                            <w:jc w:val="center"/>
                          </w:pPr>
                          <w:r>
                            <w:rPr>
                              <w:rFonts w:ascii="Arial" w:hAnsi="Arial" w:cs="Arial"/>
                              <w:b/>
                            </w:rPr>
                            <w:fldChar w:fldCharType="begin"/>
                          </w:r>
                          <w:r>
                            <w:rPr>
                              <w:rStyle w:val="51"/>
                              <w:rFonts w:ascii="Arial" w:hAnsi="Arial" w:cs="Arial"/>
                              <w:b/>
                            </w:rPr>
                            <w:instrText xml:space="preserve"> PAGE </w:instrText>
                          </w:r>
                          <w:r>
                            <w:rPr>
                              <w:rFonts w:ascii="Arial" w:hAnsi="Arial" w:cs="Arial"/>
                              <w:b/>
                            </w:rPr>
                            <w:fldChar w:fldCharType="separate"/>
                          </w:r>
                          <w:r>
                            <w:rPr>
                              <w:rStyle w:val="51"/>
                              <w:rFonts w:ascii="Arial" w:hAnsi="Arial" w:cs="Arial"/>
                              <w:b/>
                            </w:rPr>
                            <w:t>86</w:t>
                          </w:r>
                          <w:r>
                            <w:rPr>
                              <w:rFonts w:ascii="Arial" w:hAnsi="Arial" w:cs="Arial"/>
                              <w:b/>
                            </w:rPr>
                            <w:fldChar w:fldCharType="end"/>
                          </w:r>
                          <w:r>
                            <w:rPr>
                              <w:rFonts w:ascii="Arial" w:hAnsi="Arial" w:cs="Arial"/>
                              <w:b/>
                            </w:rPr>
                            <w:t xml:space="preserve">  </w:t>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32"/>
                      <w:jc w:val="center"/>
                    </w:pPr>
                    <w:r>
                      <w:rPr>
                        <w:rFonts w:ascii="Arial" w:hAnsi="Arial" w:cs="Arial"/>
                        <w:b/>
                      </w:rPr>
                      <w:fldChar w:fldCharType="begin"/>
                    </w:r>
                    <w:r>
                      <w:rPr>
                        <w:rStyle w:val="51"/>
                        <w:rFonts w:ascii="Arial" w:hAnsi="Arial" w:cs="Arial"/>
                        <w:b/>
                      </w:rPr>
                      <w:instrText xml:space="preserve"> PAGE </w:instrText>
                    </w:r>
                    <w:r>
                      <w:rPr>
                        <w:rFonts w:ascii="Arial" w:hAnsi="Arial" w:cs="Arial"/>
                        <w:b/>
                      </w:rPr>
                      <w:fldChar w:fldCharType="separate"/>
                    </w:r>
                    <w:r>
                      <w:rPr>
                        <w:rStyle w:val="51"/>
                        <w:rFonts w:ascii="Arial" w:hAnsi="Arial" w:cs="Arial"/>
                        <w:b/>
                      </w:rPr>
                      <w:t>86</w:t>
                    </w:r>
                    <w:r>
                      <w:rPr>
                        <w:rFonts w:ascii="Arial" w:hAnsi="Arial" w:cs="Arial"/>
                        <w:b/>
                      </w:rPr>
                      <w:fldChar w:fldCharType="end"/>
                    </w:r>
                    <w:r>
                      <w:rPr>
                        <w:rFonts w:ascii="Arial" w:hAnsi="Arial" w:cs="Arial"/>
                        <w:b/>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ind w:firstLine="480"/>
      <w:jc w:val="both"/>
      <w:rPr>
        <w:rFonts w:hint="eastAsia" w:ascii="宋体" w:hAnsi="宋体"/>
      </w:rPr>
    </w:pPr>
    <w:r>
      <w:rPr>
        <w:rFonts w:hint="eastAsia" w:ascii="宋体" w:hAnsi="宋体"/>
      </w:rPr>
      <w:t xml:space="preserve">    </w:t>
    </w:r>
  </w:p>
  <w:p>
    <w:pPr>
      <w:pStyle w:val="33"/>
      <w:jc w:val="both"/>
    </w:pPr>
    <w:r>
      <w:rPr>
        <w:rFonts w:hint="eastAsia" w:ascii="宋体" w:hAnsi="宋体"/>
      </w:rPr>
      <w:t xml:space="preserve">   台州临港热电有限公司扩建项目                                     </w:t>
    </w:r>
    <w:r>
      <w:rPr>
        <w:rFonts w:hint="eastAsia"/>
      </w:rPr>
      <w:t>30MW发电机及附属设备技术规范书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69C1B4"/>
    <w:multiLevelType w:val="singleLevel"/>
    <w:tmpl w:val="8869C1B4"/>
    <w:lvl w:ilvl="0" w:tentative="0">
      <w:start w:val="1"/>
      <w:numFmt w:val="decimal"/>
      <w:lvlText w:val="(%1)"/>
      <w:lvlJc w:val="left"/>
      <w:pPr>
        <w:ind w:left="425" w:hanging="425"/>
      </w:pPr>
      <w:rPr>
        <w:rFonts w:hint="default"/>
      </w:rPr>
    </w:lvl>
  </w:abstractNum>
  <w:abstractNum w:abstractNumId="1">
    <w:nsid w:val="89E6C0EB"/>
    <w:multiLevelType w:val="singleLevel"/>
    <w:tmpl w:val="89E6C0EB"/>
    <w:lvl w:ilvl="0" w:tentative="0">
      <w:start w:val="1"/>
      <w:numFmt w:val="decimal"/>
      <w:lvlText w:val="(%1)"/>
      <w:lvlJc w:val="left"/>
      <w:pPr>
        <w:ind w:left="425" w:hanging="425"/>
      </w:pPr>
      <w:rPr>
        <w:rFonts w:hint="default"/>
      </w:rPr>
    </w:lvl>
  </w:abstractNum>
  <w:abstractNum w:abstractNumId="2">
    <w:nsid w:val="948D558D"/>
    <w:multiLevelType w:val="multilevel"/>
    <w:tmpl w:val="948D558D"/>
    <w:lvl w:ilvl="0" w:tentative="0">
      <w:start w:val="4"/>
      <w:numFmt w:val="decimal"/>
      <w:lvlText w:val="%1."/>
      <w:lvlJc w:val="left"/>
      <w:pPr>
        <w:tabs>
          <w:tab w:val="left" w:pos="480"/>
        </w:tabs>
        <w:ind w:left="480" w:hanging="480"/>
      </w:pPr>
      <w:rPr>
        <w:rFonts w:hint="eastAsia"/>
      </w:rPr>
    </w:lvl>
    <w:lvl w:ilvl="1" w:tentative="0">
      <w:start w:val="3"/>
      <w:numFmt w:val="decimal"/>
      <w:lvlText w:val="%1.%2."/>
      <w:lvlJc w:val="left"/>
      <w:pPr>
        <w:tabs>
          <w:tab w:val="left" w:pos="720"/>
        </w:tabs>
        <w:ind w:left="720" w:hanging="720"/>
      </w:pPr>
      <w:rPr>
        <w:rFonts w:hint="eastAsia"/>
      </w:rPr>
    </w:lvl>
    <w:lvl w:ilvl="2" w:tentative="0">
      <w:start w:val="1"/>
      <w:numFmt w:val="decimal"/>
      <w:lvlText w:val="7.4.%3"/>
      <w:lvlJc w:val="left"/>
      <w:pPr>
        <w:tabs>
          <w:tab w:val="left" w:pos="720"/>
        </w:tabs>
        <w:ind w:left="720" w:hanging="720"/>
      </w:pPr>
      <w:rPr>
        <w:rFonts w:hint="default" w:ascii="宋体" w:hAnsi="宋体" w:eastAsia="宋体" w:cs="宋体"/>
      </w:rPr>
    </w:lvl>
    <w:lvl w:ilvl="3" w:tentative="0">
      <w:start w:val="1"/>
      <w:numFmt w:val="decimal"/>
      <w:lvlText w:val="%1.%2.%3.%4."/>
      <w:lvlJc w:val="left"/>
      <w:pPr>
        <w:tabs>
          <w:tab w:val="left" w:pos="1080"/>
        </w:tabs>
        <w:ind w:left="1080" w:hanging="1080"/>
      </w:pPr>
      <w:rPr>
        <w:rFonts w:hint="eastAsia"/>
      </w:rPr>
    </w:lvl>
    <w:lvl w:ilvl="4" w:tentative="0">
      <w:start w:val="1"/>
      <w:numFmt w:val="decimal"/>
      <w:lvlText w:val="%1.%2.%3.%4.%5."/>
      <w:lvlJc w:val="left"/>
      <w:pPr>
        <w:tabs>
          <w:tab w:val="left" w:pos="1440"/>
        </w:tabs>
        <w:ind w:left="1440" w:hanging="144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800"/>
        </w:tabs>
        <w:ind w:left="1800" w:hanging="1800"/>
      </w:pPr>
      <w:rPr>
        <w:rFonts w:hint="eastAsia"/>
      </w:rPr>
    </w:lvl>
    <w:lvl w:ilvl="7" w:tentative="0">
      <w:start w:val="1"/>
      <w:numFmt w:val="decimal"/>
      <w:lvlText w:val="%1.%2.%3.%4.%5.%6.%7.%8."/>
      <w:lvlJc w:val="left"/>
      <w:pPr>
        <w:tabs>
          <w:tab w:val="left" w:pos="2160"/>
        </w:tabs>
        <w:ind w:left="2160" w:hanging="2160"/>
      </w:pPr>
      <w:rPr>
        <w:rFonts w:hint="eastAsia"/>
      </w:rPr>
    </w:lvl>
    <w:lvl w:ilvl="8" w:tentative="0">
      <w:start w:val="1"/>
      <w:numFmt w:val="decimal"/>
      <w:lvlText w:val="%1.%2.%3.%4.%5.%6.%7.%8.%9."/>
      <w:lvlJc w:val="left"/>
      <w:pPr>
        <w:tabs>
          <w:tab w:val="left" w:pos="2160"/>
        </w:tabs>
        <w:ind w:left="2160" w:hanging="2160"/>
      </w:pPr>
      <w:rPr>
        <w:rFonts w:hint="eastAsia"/>
      </w:rPr>
    </w:lvl>
  </w:abstractNum>
  <w:abstractNum w:abstractNumId="3">
    <w:nsid w:val="A05BC44F"/>
    <w:multiLevelType w:val="singleLevel"/>
    <w:tmpl w:val="A05BC44F"/>
    <w:lvl w:ilvl="0" w:tentative="0">
      <w:start w:val="1"/>
      <w:numFmt w:val="decimal"/>
      <w:lvlText w:val="(%1)"/>
      <w:lvlJc w:val="left"/>
      <w:pPr>
        <w:ind w:left="425" w:hanging="425"/>
      </w:pPr>
      <w:rPr>
        <w:rFonts w:hint="default"/>
      </w:rPr>
    </w:lvl>
  </w:abstractNum>
  <w:abstractNum w:abstractNumId="4">
    <w:nsid w:val="A195DC59"/>
    <w:multiLevelType w:val="singleLevel"/>
    <w:tmpl w:val="A195DC59"/>
    <w:lvl w:ilvl="0" w:tentative="0">
      <w:start w:val="1"/>
      <w:numFmt w:val="lowerLetter"/>
      <w:lvlText w:val="%1."/>
      <w:lvlJc w:val="left"/>
      <w:pPr>
        <w:ind w:left="425" w:hanging="425"/>
      </w:pPr>
      <w:rPr>
        <w:rFonts w:hint="default"/>
      </w:rPr>
    </w:lvl>
  </w:abstractNum>
  <w:abstractNum w:abstractNumId="5">
    <w:nsid w:val="A717D0BC"/>
    <w:multiLevelType w:val="multilevel"/>
    <w:tmpl w:val="A717D0BC"/>
    <w:lvl w:ilvl="0" w:tentative="0">
      <w:start w:val="6"/>
      <w:numFmt w:val="decimal"/>
      <w:lvlText w:val="%1"/>
      <w:lvlJc w:val="left"/>
      <w:pPr>
        <w:tabs>
          <w:tab w:val="left" w:pos="840"/>
        </w:tabs>
        <w:ind w:left="840" w:hanging="840"/>
      </w:pPr>
      <w:rPr>
        <w:rFonts w:hint="default"/>
      </w:rPr>
    </w:lvl>
    <w:lvl w:ilvl="1" w:tentative="0">
      <w:start w:val="6"/>
      <w:numFmt w:val="decimal"/>
      <w:lvlText w:val="7.%2"/>
      <w:lvlJc w:val="left"/>
      <w:pPr>
        <w:tabs>
          <w:tab w:val="left" w:pos="840"/>
        </w:tabs>
        <w:ind w:left="840" w:hanging="840"/>
      </w:pPr>
      <w:rPr>
        <w:rFonts w:hint="default" w:ascii="宋体" w:hAnsi="宋体" w:eastAsia="宋体" w:cs="宋体"/>
      </w:rPr>
    </w:lvl>
    <w:lvl w:ilvl="2" w:tentative="0">
      <w:start w:val="1"/>
      <w:numFmt w:val="decimal"/>
      <w:lvlText w:val="%1.%2.%3"/>
      <w:lvlJc w:val="left"/>
      <w:pPr>
        <w:tabs>
          <w:tab w:val="left" w:pos="840"/>
        </w:tabs>
        <w:ind w:left="840" w:hanging="840"/>
      </w:pPr>
      <w:rPr>
        <w:rFonts w:hint="default"/>
      </w:rPr>
    </w:lvl>
    <w:lvl w:ilvl="3" w:tentative="0">
      <w:start w:val="1"/>
      <w:numFmt w:val="decimal"/>
      <w:lvlText w:val="%1.%2.%3.%4"/>
      <w:lvlJc w:val="left"/>
      <w:pPr>
        <w:tabs>
          <w:tab w:val="left" w:pos="1080"/>
        </w:tabs>
        <w:ind w:left="1080" w:hanging="108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800"/>
        </w:tabs>
        <w:ind w:left="1800" w:hanging="1800"/>
      </w:pPr>
      <w:rPr>
        <w:rFonts w:hint="default"/>
      </w:rPr>
    </w:lvl>
    <w:lvl w:ilvl="7" w:tentative="0">
      <w:start w:val="1"/>
      <w:numFmt w:val="decimal"/>
      <w:lvlText w:val="%1.%2.%3.%4.%5.%6.%7.%8"/>
      <w:lvlJc w:val="left"/>
      <w:pPr>
        <w:tabs>
          <w:tab w:val="left" w:pos="1800"/>
        </w:tabs>
        <w:ind w:left="1800" w:hanging="1800"/>
      </w:pPr>
      <w:rPr>
        <w:rFonts w:hint="default"/>
      </w:rPr>
    </w:lvl>
    <w:lvl w:ilvl="8" w:tentative="0">
      <w:start w:val="1"/>
      <w:numFmt w:val="decimal"/>
      <w:lvlText w:val="%1.%2.%3.%4.%5.%6.%7.%8.%9"/>
      <w:lvlJc w:val="left"/>
      <w:pPr>
        <w:tabs>
          <w:tab w:val="left" w:pos="2160"/>
        </w:tabs>
        <w:ind w:left="2160" w:hanging="2160"/>
      </w:pPr>
      <w:rPr>
        <w:rFonts w:hint="default"/>
      </w:rPr>
    </w:lvl>
  </w:abstractNum>
  <w:abstractNum w:abstractNumId="6">
    <w:nsid w:val="AA3AEBBF"/>
    <w:multiLevelType w:val="singleLevel"/>
    <w:tmpl w:val="AA3AEBBF"/>
    <w:lvl w:ilvl="0" w:tentative="0">
      <w:start w:val="1"/>
      <w:numFmt w:val="lowerLetter"/>
      <w:lvlText w:val="%1."/>
      <w:lvlJc w:val="left"/>
      <w:pPr>
        <w:ind w:left="425" w:hanging="425"/>
      </w:pPr>
      <w:rPr>
        <w:rFonts w:hint="default"/>
      </w:rPr>
    </w:lvl>
  </w:abstractNum>
  <w:abstractNum w:abstractNumId="7">
    <w:nsid w:val="B0654D04"/>
    <w:multiLevelType w:val="singleLevel"/>
    <w:tmpl w:val="B0654D04"/>
    <w:lvl w:ilvl="0" w:tentative="0">
      <w:start w:val="1"/>
      <w:numFmt w:val="decimal"/>
      <w:lvlText w:val="(%1)"/>
      <w:lvlJc w:val="left"/>
      <w:pPr>
        <w:ind w:left="425" w:hanging="425"/>
      </w:pPr>
      <w:rPr>
        <w:rFonts w:hint="default"/>
      </w:rPr>
    </w:lvl>
  </w:abstractNum>
  <w:abstractNum w:abstractNumId="8">
    <w:nsid w:val="B26BDFF2"/>
    <w:multiLevelType w:val="singleLevel"/>
    <w:tmpl w:val="B26BDFF2"/>
    <w:lvl w:ilvl="0" w:tentative="0">
      <w:start w:val="1"/>
      <w:numFmt w:val="decimal"/>
      <w:lvlText w:val="(%1)"/>
      <w:lvlJc w:val="left"/>
      <w:pPr>
        <w:ind w:left="425" w:hanging="425"/>
      </w:pPr>
      <w:rPr>
        <w:rFonts w:hint="default"/>
      </w:rPr>
    </w:lvl>
  </w:abstractNum>
  <w:abstractNum w:abstractNumId="9">
    <w:nsid w:val="B32B2042"/>
    <w:multiLevelType w:val="singleLevel"/>
    <w:tmpl w:val="B32B2042"/>
    <w:lvl w:ilvl="0" w:tentative="0">
      <w:start w:val="1"/>
      <w:numFmt w:val="decimal"/>
      <w:lvlText w:val="(%1)"/>
      <w:lvlJc w:val="left"/>
      <w:pPr>
        <w:ind w:left="425" w:hanging="425"/>
      </w:pPr>
      <w:rPr>
        <w:rFonts w:hint="default"/>
      </w:rPr>
    </w:lvl>
  </w:abstractNum>
  <w:abstractNum w:abstractNumId="10">
    <w:nsid w:val="B547CAAB"/>
    <w:multiLevelType w:val="singleLevel"/>
    <w:tmpl w:val="B547CAAB"/>
    <w:lvl w:ilvl="0" w:tentative="0">
      <w:start w:val="1"/>
      <w:numFmt w:val="decimal"/>
      <w:lvlText w:val="(%1)"/>
      <w:lvlJc w:val="left"/>
      <w:pPr>
        <w:ind w:left="425" w:hanging="425"/>
      </w:pPr>
      <w:rPr>
        <w:rFonts w:hint="default"/>
      </w:rPr>
    </w:lvl>
  </w:abstractNum>
  <w:abstractNum w:abstractNumId="11">
    <w:nsid w:val="B840CE11"/>
    <w:multiLevelType w:val="singleLevel"/>
    <w:tmpl w:val="B840CE11"/>
    <w:lvl w:ilvl="0" w:tentative="0">
      <w:start w:val="1"/>
      <w:numFmt w:val="decimal"/>
      <w:lvlText w:val="(%1)"/>
      <w:lvlJc w:val="left"/>
      <w:pPr>
        <w:ind w:left="425" w:hanging="425"/>
      </w:pPr>
      <w:rPr>
        <w:rFonts w:hint="default"/>
      </w:rPr>
    </w:lvl>
  </w:abstractNum>
  <w:abstractNum w:abstractNumId="12">
    <w:nsid w:val="BD7FCEBF"/>
    <w:multiLevelType w:val="singleLevel"/>
    <w:tmpl w:val="BD7FCEBF"/>
    <w:lvl w:ilvl="0" w:tentative="0">
      <w:start w:val="1"/>
      <w:numFmt w:val="lowerLetter"/>
      <w:lvlText w:val="%1."/>
      <w:lvlJc w:val="left"/>
      <w:pPr>
        <w:ind w:left="425" w:hanging="425"/>
      </w:pPr>
      <w:rPr>
        <w:rFonts w:hint="default"/>
      </w:rPr>
    </w:lvl>
  </w:abstractNum>
  <w:abstractNum w:abstractNumId="13">
    <w:nsid w:val="BEC90D6D"/>
    <w:multiLevelType w:val="singleLevel"/>
    <w:tmpl w:val="BEC90D6D"/>
    <w:lvl w:ilvl="0" w:tentative="0">
      <w:start w:val="1"/>
      <w:numFmt w:val="decimal"/>
      <w:lvlText w:val="(%1)"/>
      <w:lvlJc w:val="left"/>
      <w:pPr>
        <w:ind w:left="425" w:hanging="425"/>
      </w:pPr>
      <w:rPr>
        <w:rFonts w:hint="default"/>
      </w:rPr>
    </w:lvl>
  </w:abstractNum>
  <w:abstractNum w:abstractNumId="14">
    <w:nsid w:val="C3994E97"/>
    <w:multiLevelType w:val="singleLevel"/>
    <w:tmpl w:val="C3994E97"/>
    <w:lvl w:ilvl="0" w:tentative="0">
      <w:start w:val="1"/>
      <w:numFmt w:val="decimal"/>
      <w:lvlText w:val="(%1)"/>
      <w:lvlJc w:val="left"/>
      <w:pPr>
        <w:ind w:left="425" w:hanging="425"/>
      </w:pPr>
      <w:rPr>
        <w:rFonts w:hint="default"/>
      </w:rPr>
    </w:lvl>
  </w:abstractNum>
  <w:abstractNum w:abstractNumId="15">
    <w:nsid w:val="C6C58270"/>
    <w:multiLevelType w:val="singleLevel"/>
    <w:tmpl w:val="C6C58270"/>
    <w:lvl w:ilvl="0" w:tentative="0">
      <w:start w:val="1"/>
      <w:numFmt w:val="decimal"/>
      <w:lvlText w:val="(%1)"/>
      <w:lvlJc w:val="left"/>
      <w:pPr>
        <w:ind w:left="425" w:hanging="425"/>
      </w:pPr>
      <w:rPr>
        <w:rFonts w:hint="default"/>
      </w:rPr>
    </w:lvl>
  </w:abstractNum>
  <w:abstractNum w:abstractNumId="16">
    <w:nsid w:val="C773404A"/>
    <w:multiLevelType w:val="singleLevel"/>
    <w:tmpl w:val="C773404A"/>
    <w:lvl w:ilvl="0" w:tentative="0">
      <w:start w:val="1"/>
      <w:numFmt w:val="lowerLetter"/>
      <w:lvlText w:val="%1."/>
      <w:lvlJc w:val="left"/>
      <w:pPr>
        <w:ind w:left="425" w:hanging="425"/>
      </w:pPr>
      <w:rPr>
        <w:rFonts w:hint="default"/>
      </w:rPr>
    </w:lvl>
  </w:abstractNum>
  <w:abstractNum w:abstractNumId="17">
    <w:nsid w:val="CBC139DD"/>
    <w:multiLevelType w:val="singleLevel"/>
    <w:tmpl w:val="CBC139DD"/>
    <w:lvl w:ilvl="0" w:tentative="0">
      <w:start w:val="1"/>
      <w:numFmt w:val="lowerLetter"/>
      <w:lvlText w:val="%1."/>
      <w:lvlJc w:val="left"/>
      <w:pPr>
        <w:ind w:left="425" w:hanging="425"/>
      </w:pPr>
      <w:rPr>
        <w:rFonts w:hint="default"/>
      </w:rPr>
    </w:lvl>
  </w:abstractNum>
  <w:abstractNum w:abstractNumId="18">
    <w:nsid w:val="CFC24F21"/>
    <w:multiLevelType w:val="singleLevel"/>
    <w:tmpl w:val="CFC24F21"/>
    <w:lvl w:ilvl="0" w:tentative="0">
      <w:start w:val="1"/>
      <w:numFmt w:val="decimal"/>
      <w:lvlText w:val="(%1)"/>
      <w:lvlJc w:val="left"/>
      <w:pPr>
        <w:ind w:left="425" w:hanging="425"/>
      </w:pPr>
      <w:rPr>
        <w:rFonts w:hint="default"/>
      </w:rPr>
    </w:lvl>
  </w:abstractNum>
  <w:abstractNum w:abstractNumId="19">
    <w:nsid w:val="D539D453"/>
    <w:multiLevelType w:val="singleLevel"/>
    <w:tmpl w:val="D539D453"/>
    <w:lvl w:ilvl="0" w:tentative="0">
      <w:start w:val="1"/>
      <w:numFmt w:val="decimal"/>
      <w:lvlText w:val="(%1)"/>
      <w:lvlJc w:val="left"/>
      <w:pPr>
        <w:ind w:left="425" w:hanging="425"/>
      </w:pPr>
      <w:rPr>
        <w:rFonts w:hint="default"/>
      </w:rPr>
    </w:lvl>
  </w:abstractNum>
  <w:abstractNum w:abstractNumId="20">
    <w:nsid w:val="D5A2AF3A"/>
    <w:multiLevelType w:val="singleLevel"/>
    <w:tmpl w:val="D5A2AF3A"/>
    <w:lvl w:ilvl="0" w:tentative="0">
      <w:start w:val="1"/>
      <w:numFmt w:val="decimal"/>
      <w:lvlText w:val="(%1)"/>
      <w:lvlJc w:val="left"/>
      <w:pPr>
        <w:ind w:left="425" w:hanging="425"/>
      </w:pPr>
      <w:rPr>
        <w:rFonts w:hint="default"/>
      </w:rPr>
    </w:lvl>
  </w:abstractNum>
  <w:abstractNum w:abstractNumId="21">
    <w:nsid w:val="D7A4E83F"/>
    <w:multiLevelType w:val="singleLevel"/>
    <w:tmpl w:val="D7A4E83F"/>
    <w:lvl w:ilvl="0" w:tentative="0">
      <w:start w:val="1"/>
      <w:numFmt w:val="decimal"/>
      <w:lvlText w:val="(%1)"/>
      <w:lvlJc w:val="left"/>
      <w:pPr>
        <w:ind w:left="425" w:hanging="425"/>
      </w:pPr>
      <w:rPr>
        <w:rFonts w:hint="default"/>
      </w:rPr>
    </w:lvl>
  </w:abstractNum>
  <w:abstractNum w:abstractNumId="22">
    <w:nsid w:val="DFAE498E"/>
    <w:multiLevelType w:val="singleLevel"/>
    <w:tmpl w:val="DFAE498E"/>
    <w:lvl w:ilvl="0" w:tentative="0">
      <w:start w:val="1"/>
      <w:numFmt w:val="decimal"/>
      <w:lvlText w:val="(%1)"/>
      <w:lvlJc w:val="left"/>
      <w:pPr>
        <w:ind w:left="425" w:hanging="425"/>
      </w:pPr>
      <w:rPr>
        <w:rFonts w:hint="default"/>
      </w:rPr>
    </w:lvl>
  </w:abstractNum>
  <w:abstractNum w:abstractNumId="23">
    <w:nsid w:val="F3B5C564"/>
    <w:multiLevelType w:val="singleLevel"/>
    <w:tmpl w:val="F3B5C564"/>
    <w:lvl w:ilvl="0" w:tentative="0">
      <w:start w:val="1"/>
      <w:numFmt w:val="decimal"/>
      <w:lvlText w:val="(%1)"/>
      <w:lvlJc w:val="left"/>
      <w:pPr>
        <w:ind w:left="425" w:hanging="425"/>
      </w:pPr>
      <w:rPr>
        <w:rFonts w:hint="default"/>
      </w:rPr>
    </w:lvl>
  </w:abstractNum>
  <w:abstractNum w:abstractNumId="24">
    <w:nsid w:val="F64B9B59"/>
    <w:multiLevelType w:val="singleLevel"/>
    <w:tmpl w:val="F64B9B59"/>
    <w:lvl w:ilvl="0" w:tentative="0">
      <w:start w:val="1"/>
      <w:numFmt w:val="lowerLetter"/>
      <w:lvlText w:val="%1."/>
      <w:lvlJc w:val="left"/>
      <w:pPr>
        <w:ind w:left="425" w:hanging="425"/>
      </w:pPr>
      <w:rPr>
        <w:rFonts w:hint="default"/>
      </w:rPr>
    </w:lvl>
  </w:abstractNum>
  <w:abstractNum w:abstractNumId="25">
    <w:nsid w:val="00000013"/>
    <w:multiLevelType w:val="multilevel"/>
    <w:tmpl w:val="00000013"/>
    <w:lvl w:ilvl="0" w:tentative="0">
      <w:start w:val="4"/>
      <w:numFmt w:val="decimal"/>
      <w:lvlText w:val="%1"/>
      <w:lvlJc w:val="left"/>
      <w:pPr>
        <w:tabs>
          <w:tab w:val="left" w:pos="600"/>
        </w:tabs>
        <w:ind w:left="600" w:hanging="600"/>
      </w:pPr>
      <w:rPr>
        <w:rFonts w:hint="eastAsia"/>
      </w:rPr>
    </w:lvl>
    <w:lvl w:ilvl="1" w:tentative="0">
      <w:start w:val="4"/>
      <w:numFmt w:val="decimal"/>
      <w:lvlText w:val="%1.%2"/>
      <w:lvlJc w:val="left"/>
      <w:pPr>
        <w:tabs>
          <w:tab w:val="left" w:pos="600"/>
        </w:tabs>
        <w:ind w:left="600" w:hanging="600"/>
      </w:pPr>
      <w:rPr>
        <w:rFonts w:hint="eastAsia"/>
      </w:rPr>
    </w:lvl>
    <w:lvl w:ilvl="2" w:tentative="0">
      <w:start w:val="1"/>
      <w:numFmt w:val="decimal"/>
      <w:lvlText w:val="2.%2.%3"/>
      <w:lvlJc w:val="left"/>
      <w:pPr>
        <w:tabs>
          <w:tab w:val="left" w:pos="720"/>
        </w:tabs>
        <w:ind w:left="720" w:hanging="720"/>
      </w:pPr>
      <w:rPr>
        <w:rFonts w:hint="eastAsia"/>
        <w:color w:val="auto"/>
        <w:sz w:val="24"/>
      </w:rPr>
    </w:lvl>
    <w:lvl w:ilvl="3" w:tentative="0">
      <w:start w:val="1"/>
      <w:numFmt w:val="decimal"/>
      <w:lvlText w:val="%1.%2.%3.%4"/>
      <w:lvlJc w:val="left"/>
      <w:pPr>
        <w:tabs>
          <w:tab w:val="left" w:pos="1080"/>
        </w:tabs>
        <w:ind w:left="1080" w:hanging="1080"/>
      </w:pPr>
      <w:rPr>
        <w:rFonts w:hint="eastAsia"/>
      </w:rPr>
    </w:lvl>
    <w:lvl w:ilvl="4" w:tentative="0">
      <w:start w:val="1"/>
      <w:numFmt w:val="decimal"/>
      <w:lvlText w:val="%1.%2.%3.%4.%5"/>
      <w:lvlJc w:val="left"/>
      <w:pPr>
        <w:tabs>
          <w:tab w:val="left" w:pos="1080"/>
        </w:tabs>
        <w:ind w:left="1080" w:hanging="108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800"/>
        </w:tabs>
        <w:ind w:left="1800" w:hanging="1800"/>
      </w:pPr>
      <w:rPr>
        <w:rFonts w:hint="eastAsia"/>
      </w:rPr>
    </w:lvl>
    <w:lvl w:ilvl="7" w:tentative="0">
      <w:start w:val="1"/>
      <w:numFmt w:val="decimal"/>
      <w:lvlText w:val="%1.%2.%3.%4.%5.%6.%7.%8"/>
      <w:lvlJc w:val="left"/>
      <w:pPr>
        <w:tabs>
          <w:tab w:val="left" w:pos="1800"/>
        </w:tabs>
        <w:ind w:left="1800" w:hanging="1800"/>
      </w:pPr>
      <w:rPr>
        <w:rFonts w:hint="eastAsia"/>
      </w:rPr>
    </w:lvl>
    <w:lvl w:ilvl="8" w:tentative="0">
      <w:start w:val="1"/>
      <w:numFmt w:val="decimal"/>
      <w:lvlText w:val="%1.%2.%3.%4.%5.%6.%7.%8.%9"/>
      <w:lvlJc w:val="left"/>
      <w:pPr>
        <w:tabs>
          <w:tab w:val="left" w:pos="2160"/>
        </w:tabs>
        <w:ind w:left="2160" w:hanging="2160"/>
      </w:pPr>
      <w:rPr>
        <w:rFonts w:hint="eastAsia"/>
      </w:rPr>
    </w:lvl>
  </w:abstractNum>
  <w:abstractNum w:abstractNumId="26">
    <w:nsid w:val="00000016"/>
    <w:multiLevelType w:val="multilevel"/>
    <w:tmpl w:val="00000016"/>
    <w:lvl w:ilvl="0" w:tentative="0">
      <w:start w:val="1"/>
      <w:numFmt w:val="bullet"/>
      <w:lvlText w:val=""/>
      <w:lvlJc w:val="left"/>
      <w:pPr>
        <w:tabs>
          <w:tab w:val="left" w:pos="874"/>
        </w:tabs>
        <w:ind w:left="874" w:hanging="420"/>
      </w:pPr>
      <w:rPr>
        <w:rFonts w:hint="default" w:ascii="Wingdings" w:hAnsi="Wingdings"/>
      </w:rPr>
    </w:lvl>
    <w:lvl w:ilvl="1" w:tentative="0">
      <w:start w:val="1"/>
      <w:numFmt w:val="decimal"/>
      <w:lvlText w:val="%2．"/>
      <w:lvlJc w:val="left"/>
      <w:pPr>
        <w:tabs>
          <w:tab w:val="left" w:pos="1294"/>
        </w:tabs>
        <w:ind w:left="1294" w:hanging="420"/>
      </w:pPr>
      <w:rPr>
        <w:rFonts w:hint="default" w:ascii="Times New Roman" w:hAnsi="Times New Roman" w:eastAsia="Times New Roman"/>
      </w:rPr>
    </w:lvl>
    <w:lvl w:ilvl="2" w:tentative="0">
      <w:start w:val="1"/>
      <w:numFmt w:val="bullet"/>
      <w:lvlText w:val=""/>
      <w:lvlJc w:val="left"/>
      <w:pPr>
        <w:tabs>
          <w:tab w:val="left" w:pos="1500"/>
        </w:tabs>
        <w:ind w:left="1500" w:hanging="420"/>
      </w:pPr>
      <w:rPr>
        <w:rFonts w:hint="default" w:ascii="Wingdings" w:hAnsi="Wingdings"/>
      </w:rPr>
    </w:lvl>
    <w:lvl w:ilvl="3" w:tentative="0">
      <w:start w:val="1"/>
      <w:numFmt w:val="bullet"/>
      <w:lvlText w:val=""/>
      <w:lvlJc w:val="left"/>
      <w:pPr>
        <w:tabs>
          <w:tab w:val="left" w:pos="2134"/>
        </w:tabs>
        <w:ind w:left="2134" w:hanging="420"/>
      </w:pPr>
      <w:rPr>
        <w:rFonts w:hint="default" w:ascii="Wingdings" w:hAnsi="Wingdings"/>
      </w:rPr>
    </w:lvl>
    <w:lvl w:ilvl="4" w:tentative="0">
      <w:start w:val="1"/>
      <w:numFmt w:val="bullet"/>
      <w:lvlText w:val=""/>
      <w:lvlJc w:val="left"/>
      <w:pPr>
        <w:tabs>
          <w:tab w:val="left" w:pos="2554"/>
        </w:tabs>
        <w:ind w:left="2554" w:hanging="420"/>
      </w:pPr>
      <w:rPr>
        <w:rFonts w:hint="default" w:ascii="Wingdings" w:hAnsi="Wingdings"/>
      </w:rPr>
    </w:lvl>
    <w:lvl w:ilvl="5" w:tentative="0">
      <w:start w:val="1"/>
      <w:numFmt w:val="bullet"/>
      <w:lvlText w:val=""/>
      <w:lvlJc w:val="left"/>
      <w:pPr>
        <w:tabs>
          <w:tab w:val="left" w:pos="2974"/>
        </w:tabs>
        <w:ind w:left="2974" w:hanging="420"/>
      </w:pPr>
      <w:rPr>
        <w:rFonts w:hint="default" w:ascii="Wingdings" w:hAnsi="Wingdings"/>
      </w:rPr>
    </w:lvl>
    <w:lvl w:ilvl="6" w:tentative="0">
      <w:start w:val="1"/>
      <w:numFmt w:val="bullet"/>
      <w:lvlText w:val=""/>
      <w:lvlJc w:val="left"/>
      <w:pPr>
        <w:tabs>
          <w:tab w:val="left" w:pos="3394"/>
        </w:tabs>
        <w:ind w:left="3394" w:hanging="420"/>
      </w:pPr>
      <w:rPr>
        <w:rFonts w:hint="default" w:ascii="Wingdings" w:hAnsi="Wingdings"/>
      </w:rPr>
    </w:lvl>
    <w:lvl w:ilvl="7" w:tentative="0">
      <w:start w:val="1"/>
      <w:numFmt w:val="bullet"/>
      <w:lvlText w:val=""/>
      <w:lvlJc w:val="left"/>
      <w:pPr>
        <w:tabs>
          <w:tab w:val="left" w:pos="3814"/>
        </w:tabs>
        <w:ind w:left="3814" w:hanging="420"/>
      </w:pPr>
      <w:rPr>
        <w:rFonts w:hint="default" w:ascii="Wingdings" w:hAnsi="Wingdings"/>
      </w:rPr>
    </w:lvl>
    <w:lvl w:ilvl="8" w:tentative="0">
      <w:start w:val="1"/>
      <w:numFmt w:val="bullet"/>
      <w:lvlText w:val=""/>
      <w:lvlJc w:val="left"/>
      <w:pPr>
        <w:tabs>
          <w:tab w:val="left" w:pos="4234"/>
        </w:tabs>
        <w:ind w:left="4234" w:hanging="420"/>
      </w:pPr>
      <w:rPr>
        <w:rFonts w:hint="default" w:ascii="Wingdings" w:hAnsi="Wingdings"/>
      </w:rPr>
    </w:lvl>
  </w:abstractNum>
  <w:abstractNum w:abstractNumId="27">
    <w:nsid w:val="00000018"/>
    <w:multiLevelType w:val="multilevel"/>
    <w:tmpl w:val="00000018"/>
    <w:lvl w:ilvl="0" w:tentative="0">
      <w:start w:val="2"/>
      <w:numFmt w:val="decimal"/>
      <w:pStyle w:val="88"/>
      <w:lvlText w:val="%1"/>
      <w:lvlJc w:val="left"/>
      <w:pPr>
        <w:tabs>
          <w:tab w:val="left" w:pos="1005"/>
        </w:tabs>
        <w:ind w:left="1005" w:hanging="1005"/>
      </w:pPr>
      <w:rPr>
        <w:rFonts w:hint="default"/>
      </w:rPr>
    </w:lvl>
    <w:lvl w:ilvl="1" w:tentative="0">
      <w:start w:val="5"/>
      <w:numFmt w:val="decimal"/>
      <w:pStyle w:val="99"/>
      <w:lvlText w:val="%1.%2"/>
      <w:lvlJc w:val="left"/>
      <w:pPr>
        <w:tabs>
          <w:tab w:val="left" w:pos="1005"/>
        </w:tabs>
        <w:ind w:left="1005" w:hanging="1005"/>
      </w:pPr>
      <w:rPr>
        <w:rFonts w:hint="default"/>
      </w:rPr>
    </w:lvl>
    <w:lvl w:ilvl="2" w:tentative="0">
      <w:start w:val="4"/>
      <w:numFmt w:val="decimal"/>
      <w:lvlText w:val="%1.%2.%3"/>
      <w:lvlJc w:val="left"/>
      <w:pPr>
        <w:tabs>
          <w:tab w:val="left" w:pos="1005"/>
        </w:tabs>
        <w:ind w:left="1005" w:hanging="1005"/>
      </w:pPr>
      <w:rPr>
        <w:rFonts w:hint="default"/>
      </w:rPr>
    </w:lvl>
    <w:lvl w:ilvl="3" w:tentative="0">
      <w:start w:val="1"/>
      <w:numFmt w:val="decimal"/>
      <w:lvlText w:val="%1.%2.%3.%4"/>
      <w:lvlJc w:val="left"/>
      <w:pPr>
        <w:tabs>
          <w:tab w:val="left" w:pos="1005"/>
        </w:tabs>
        <w:ind w:left="1005" w:hanging="1005"/>
      </w:pPr>
      <w:rPr>
        <w:rFonts w:hint="default"/>
      </w:rPr>
    </w:lvl>
    <w:lvl w:ilvl="4" w:tentative="0">
      <w:start w:val="1"/>
      <w:numFmt w:val="decimal"/>
      <w:lvlText w:val="%1.%2.%3.%4.%5"/>
      <w:lvlJc w:val="left"/>
      <w:pPr>
        <w:tabs>
          <w:tab w:val="left" w:pos="1005"/>
        </w:tabs>
        <w:ind w:left="1005" w:hanging="1005"/>
      </w:pPr>
      <w:rPr>
        <w:rFonts w:hint="default"/>
      </w:rPr>
    </w:lvl>
    <w:lvl w:ilvl="5" w:tentative="0">
      <w:start w:val="1"/>
      <w:numFmt w:val="decimal"/>
      <w:lvlText w:val="%1.%2.%3.%4.%5.%6"/>
      <w:lvlJc w:val="left"/>
      <w:pPr>
        <w:tabs>
          <w:tab w:val="left" w:pos="1005"/>
        </w:tabs>
        <w:ind w:left="1005" w:hanging="1005"/>
      </w:pPr>
      <w:rPr>
        <w:rFonts w:hint="default"/>
      </w:rPr>
    </w:lvl>
    <w:lvl w:ilvl="6" w:tentative="0">
      <w:start w:val="1"/>
      <w:numFmt w:val="decimal"/>
      <w:lvlText w:val="%1.%2.%3.%4.%5.%6.%7"/>
      <w:lvlJc w:val="left"/>
      <w:pPr>
        <w:tabs>
          <w:tab w:val="left" w:pos="1005"/>
        </w:tabs>
        <w:ind w:left="1005" w:hanging="1005"/>
      </w:pPr>
      <w:rPr>
        <w:rFonts w:hint="default"/>
      </w:rPr>
    </w:lvl>
    <w:lvl w:ilvl="7" w:tentative="0">
      <w:start w:val="1"/>
      <w:numFmt w:val="decimal"/>
      <w:lvlText w:val="%1.%2.%3.%4.%5.%6.%7.%8"/>
      <w:lvlJc w:val="left"/>
      <w:pPr>
        <w:tabs>
          <w:tab w:val="left" w:pos="1005"/>
        </w:tabs>
        <w:ind w:left="1005" w:hanging="1005"/>
      </w:pPr>
      <w:rPr>
        <w:rFonts w:hint="default"/>
      </w:rPr>
    </w:lvl>
    <w:lvl w:ilvl="8" w:tentative="0">
      <w:start w:val="1"/>
      <w:numFmt w:val="decimal"/>
      <w:lvlText w:val="%1.%2.%3.%4.%5.%6.%7.%8.%9"/>
      <w:lvlJc w:val="left"/>
      <w:pPr>
        <w:tabs>
          <w:tab w:val="left" w:pos="1005"/>
        </w:tabs>
        <w:ind w:left="1005" w:hanging="1005"/>
      </w:pPr>
      <w:rPr>
        <w:rFonts w:hint="default"/>
      </w:rPr>
    </w:lvl>
  </w:abstractNum>
  <w:abstractNum w:abstractNumId="28">
    <w:nsid w:val="00000019"/>
    <w:multiLevelType w:val="multilevel"/>
    <w:tmpl w:val="00000019"/>
    <w:lvl w:ilvl="0" w:tentative="0">
      <w:start w:val="1"/>
      <w:numFmt w:val="decimal"/>
      <w:lvlText w:val="%1"/>
      <w:lvlJc w:val="left"/>
      <w:pPr>
        <w:tabs>
          <w:tab w:val="left" w:pos="0"/>
        </w:tabs>
        <w:ind w:left="0" w:firstLine="0"/>
      </w:pPr>
      <w:rPr>
        <w:rFonts w:hint="eastAsia"/>
      </w:rPr>
    </w:lvl>
    <w:lvl w:ilvl="1" w:tentative="0">
      <w:start w:val="1"/>
      <w:numFmt w:val="decimal"/>
      <w:lvlText w:val="%1.%2"/>
      <w:lvlJc w:val="left"/>
      <w:pPr>
        <w:tabs>
          <w:tab w:val="left" w:pos="0"/>
        </w:tabs>
        <w:ind w:left="0" w:firstLine="0"/>
      </w:pPr>
      <w:rPr>
        <w:rFonts w:hint="eastAsia"/>
      </w:rPr>
    </w:lvl>
    <w:lvl w:ilvl="2" w:tentative="0">
      <w:start w:val="1"/>
      <w:numFmt w:val="decimal"/>
      <w:lvlText w:val="%1.%2.%3"/>
      <w:lvlJc w:val="left"/>
      <w:pPr>
        <w:tabs>
          <w:tab w:val="left" w:pos="0"/>
        </w:tabs>
        <w:ind w:left="0" w:firstLine="0"/>
      </w:pPr>
      <w:rPr>
        <w:rFonts w:hint="eastAsia"/>
      </w:rPr>
    </w:lvl>
    <w:lvl w:ilvl="3" w:tentative="0">
      <w:start w:val="1"/>
      <w:numFmt w:val="decimal"/>
      <w:lvlText w:val="%1.%2.%3.%4"/>
      <w:lvlJc w:val="left"/>
      <w:pPr>
        <w:tabs>
          <w:tab w:val="left" w:pos="0"/>
        </w:tabs>
        <w:ind w:left="0" w:firstLine="0"/>
      </w:pPr>
      <w:rPr>
        <w:rFonts w:hint="eastAsia"/>
      </w:rPr>
    </w:lvl>
    <w:lvl w:ilvl="4" w:tentative="0">
      <w:start w:val="1"/>
      <w:numFmt w:val="decimal"/>
      <w:lvlText w:val="(%5)"/>
      <w:lvlJc w:val="left"/>
      <w:pPr>
        <w:tabs>
          <w:tab w:val="left" w:pos="360"/>
        </w:tabs>
        <w:ind w:left="0" w:firstLine="0"/>
      </w:pPr>
      <w:rPr>
        <w:rFonts w:hint="eastAsia"/>
        <w:caps w:val="0"/>
        <w:strike w:val="0"/>
        <w:dstrike w:val="0"/>
        <w:outline w:val="0"/>
        <w:shadow w:val="0"/>
        <w:emboss w:val="0"/>
        <w:imprint w:val="0"/>
        <w:vanish w:val="0"/>
        <w:vertAlign w:val="baseline"/>
      </w:rPr>
    </w:lvl>
    <w:lvl w:ilvl="5" w:tentative="0">
      <w:start w:val="1"/>
      <w:numFmt w:val="decimal"/>
      <w:pStyle w:val="7"/>
      <w:lvlText w:val="%6)"/>
      <w:lvlJc w:val="left"/>
      <w:pPr>
        <w:tabs>
          <w:tab w:val="left" w:pos="0"/>
        </w:tabs>
        <w:ind w:left="0" w:firstLine="0"/>
      </w:pPr>
      <w:rPr>
        <w:rFonts w:hint="eastAsia"/>
      </w:rPr>
    </w:lvl>
    <w:lvl w:ilvl="6" w:tentative="0">
      <w:start w:val="1"/>
      <w:numFmt w:val="lowerLetter"/>
      <w:pStyle w:val="8"/>
      <w:lvlText w:val="(%7)"/>
      <w:lvlJc w:val="left"/>
      <w:pPr>
        <w:tabs>
          <w:tab w:val="left" w:pos="0"/>
        </w:tabs>
        <w:ind w:left="0" w:firstLine="0"/>
      </w:pPr>
      <w:rPr>
        <w:rFonts w:hint="eastAsia"/>
      </w:rPr>
    </w:lvl>
    <w:lvl w:ilvl="7" w:tentative="0">
      <w:start w:val="1"/>
      <w:numFmt w:val="lowerLetter"/>
      <w:pStyle w:val="9"/>
      <w:lvlText w:val="%8)"/>
      <w:lvlJc w:val="left"/>
      <w:pPr>
        <w:tabs>
          <w:tab w:val="left" w:pos="0"/>
        </w:tabs>
        <w:ind w:left="0" w:firstLine="0"/>
      </w:pPr>
      <w:rPr>
        <w:rFonts w:hint="eastAsia"/>
      </w:rPr>
    </w:lvl>
    <w:lvl w:ilvl="8" w:tentative="0">
      <w:start w:val="1"/>
      <w:numFmt w:val="decimal"/>
      <w:pStyle w:val="10"/>
      <w:lvlText w:val="%8).%9"/>
      <w:lvlJc w:val="left"/>
      <w:pPr>
        <w:tabs>
          <w:tab w:val="left" w:pos="0"/>
        </w:tabs>
        <w:ind w:left="0" w:firstLine="0"/>
      </w:pPr>
      <w:rPr>
        <w:rFonts w:hint="eastAsia"/>
      </w:rPr>
    </w:lvl>
  </w:abstractNum>
  <w:abstractNum w:abstractNumId="29">
    <w:nsid w:val="0000001E"/>
    <w:multiLevelType w:val="multilevel"/>
    <w:tmpl w:val="0000001E"/>
    <w:lvl w:ilvl="0" w:tentative="0">
      <w:start w:val="1"/>
      <w:numFmt w:val="decimal"/>
      <w:lvlText w:val="%1"/>
      <w:lvlJc w:val="left"/>
      <w:pPr>
        <w:tabs>
          <w:tab w:val="left" w:pos="360"/>
        </w:tabs>
        <w:ind w:left="360" w:hanging="360"/>
      </w:pPr>
      <w:rPr>
        <w:rFonts w:hint="default"/>
      </w:rPr>
    </w:lvl>
    <w:lvl w:ilvl="1" w:tentative="0">
      <w:start w:val="2"/>
      <w:numFmt w:val="decimal"/>
      <w:lvlText w:val="%1.%2"/>
      <w:lvlJc w:val="left"/>
      <w:pPr>
        <w:tabs>
          <w:tab w:val="left" w:pos="360"/>
        </w:tabs>
        <w:ind w:left="360" w:hanging="36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1080"/>
        </w:tabs>
        <w:ind w:left="1080" w:hanging="108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800"/>
        </w:tabs>
        <w:ind w:left="1800" w:hanging="1800"/>
      </w:pPr>
      <w:rPr>
        <w:rFonts w:hint="default"/>
      </w:rPr>
    </w:lvl>
    <w:lvl w:ilvl="7" w:tentative="0">
      <w:start w:val="1"/>
      <w:numFmt w:val="decimal"/>
      <w:lvlText w:val="%1.%2.%3.%4.%5.%6.%7.%8"/>
      <w:lvlJc w:val="left"/>
      <w:pPr>
        <w:tabs>
          <w:tab w:val="left" w:pos="1800"/>
        </w:tabs>
        <w:ind w:left="1800" w:hanging="1800"/>
      </w:pPr>
      <w:rPr>
        <w:rFonts w:hint="default"/>
      </w:rPr>
    </w:lvl>
    <w:lvl w:ilvl="8" w:tentative="0">
      <w:start w:val="1"/>
      <w:numFmt w:val="decimal"/>
      <w:lvlText w:val="%1.%2.%3.%4.%5.%6.%7.%8.%9"/>
      <w:lvlJc w:val="left"/>
      <w:pPr>
        <w:tabs>
          <w:tab w:val="left" w:pos="2160"/>
        </w:tabs>
        <w:ind w:left="2160" w:hanging="2160"/>
      </w:pPr>
      <w:rPr>
        <w:rFonts w:hint="default"/>
      </w:rPr>
    </w:lvl>
  </w:abstractNum>
  <w:abstractNum w:abstractNumId="30">
    <w:nsid w:val="00000031"/>
    <w:multiLevelType w:val="multilevel"/>
    <w:tmpl w:val="00000031"/>
    <w:lvl w:ilvl="0" w:tentative="0">
      <w:start w:val="2"/>
      <w:numFmt w:val="decimal"/>
      <w:lvlText w:val="%1"/>
      <w:lvlJc w:val="left"/>
      <w:pPr>
        <w:tabs>
          <w:tab w:val="left" w:pos="600"/>
        </w:tabs>
        <w:ind w:left="600" w:hanging="600"/>
      </w:pPr>
      <w:rPr>
        <w:rFonts w:hint="eastAsia"/>
      </w:rPr>
    </w:lvl>
    <w:lvl w:ilvl="1" w:tentative="0">
      <w:start w:val="2"/>
      <w:numFmt w:val="decimal"/>
      <w:lvlText w:val="%1.%2"/>
      <w:lvlJc w:val="left"/>
      <w:pPr>
        <w:tabs>
          <w:tab w:val="left" w:pos="600"/>
        </w:tabs>
        <w:ind w:left="600" w:hanging="600"/>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080"/>
        </w:tabs>
        <w:ind w:left="1080" w:hanging="1080"/>
      </w:pPr>
      <w:rPr>
        <w:rFonts w:hint="eastAsia"/>
      </w:rPr>
    </w:lvl>
    <w:lvl w:ilvl="4" w:tentative="0">
      <w:start w:val="1"/>
      <w:numFmt w:val="decimal"/>
      <w:lvlText w:val="%1.%2.%3.%4.%5"/>
      <w:lvlJc w:val="left"/>
      <w:pPr>
        <w:tabs>
          <w:tab w:val="left" w:pos="1080"/>
        </w:tabs>
        <w:ind w:left="1080" w:hanging="108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800"/>
        </w:tabs>
        <w:ind w:left="1800" w:hanging="1800"/>
      </w:pPr>
      <w:rPr>
        <w:rFonts w:hint="eastAsia"/>
      </w:rPr>
    </w:lvl>
    <w:lvl w:ilvl="7" w:tentative="0">
      <w:start w:val="1"/>
      <w:numFmt w:val="decimal"/>
      <w:lvlText w:val="%1.%2.%3.%4.%5.%6.%7.%8"/>
      <w:lvlJc w:val="left"/>
      <w:pPr>
        <w:tabs>
          <w:tab w:val="left" w:pos="1800"/>
        </w:tabs>
        <w:ind w:left="1800" w:hanging="1800"/>
      </w:pPr>
      <w:rPr>
        <w:rFonts w:hint="eastAsia"/>
      </w:rPr>
    </w:lvl>
    <w:lvl w:ilvl="8" w:tentative="0">
      <w:start w:val="1"/>
      <w:numFmt w:val="decimal"/>
      <w:lvlText w:val="%1.%2.%3.%4.%5.%6.%7.%8.%9"/>
      <w:lvlJc w:val="left"/>
      <w:pPr>
        <w:tabs>
          <w:tab w:val="left" w:pos="2160"/>
        </w:tabs>
        <w:ind w:left="2160" w:hanging="2160"/>
      </w:pPr>
      <w:rPr>
        <w:rFonts w:hint="eastAsia"/>
      </w:rPr>
    </w:lvl>
  </w:abstractNum>
  <w:abstractNum w:abstractNumId="31">
    <w:nsid w:val="0041A9AA"/>
    <w:multiLevelType w:val="singleLevel"/>
    <w:tmpl w:val="0041A9AA"/>
    <w:lvl w:ilvl="0" w:tentative="0">
      <w:start w:val="1"/>
      <w:numFmt w:val="decimal"/>
      <w:lvlText w:val="(%1)"/>
      <w:lvlJc w:val="left"/>
      <w:pPr>
        <w:ind w:left="425" w:hanging="425"/>
      </w:pPr>
      <w:rPr>
        <w:rFonts w:hint="default"/>
      </w:rPr>
    </w:lvl>
  </w:abstractNum>
  <w:abstractNum w:abstractNumId="32">
    <w:nsid w:val="004B77DD"/>
    <w:multiLevelType w:val="multilevel"/>
    <w:tmpl w:val="004B77DD"/>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3">
    <w:nsid w:val="1B8128B4"/>
    <w:multiLevelType w:val="singleLevel"/>
    <w:tmpl w:val="1B8128B4"/>
    <w:lvl w:ilvl="0" w:tentative="0">
      <w:start w:val="1"/>
      <w:numFmt w:val="decimal"/>
      <w:lvlText w:val="(%1)"/>
      <w:lvlJc w:val="left"/>
      <w:pPr>
        <w:ind w:left="425" w:hanging="425"/>
      </w:pPr>
      <w:rPr>
        <w:rFonts w:hint="default"/>
      </w:rPr>
    </w:lvl>
  </w:abstractNum>
  <w:abstractNum w:abstractNumId="34">
    <w:nsid w:val="1FA8B2DE"/>
    <w:multiLevelType w:val="singleLevel"/>
    <w:tmpl w:val="1FA8B2DE"/>
    <w:lvl w:ilvl="0" w:tentative="0">
      <w:start w:val="1"/>
      <w:numFmt w:val="lowerLetter"/>
      <w:lvlText w:val="%1."/>
      <w:lvlJc w:val="left"/>
      <w:pPr>
        <w:ind w:left="425" w:hanging="425"/>
      </w:pPr>
      <w:rPr>
        <w:rFonts w:hint="default"/>
      </w:rPr>
    </w:lvl>
  </w:abstractNum>
  <w:abstractNum w:abstractNumId="35">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22"/>
      <w:suff w:val="nothing"/>
      <w:lvlText w:val="%1.%2　"/>
      <w:lvlJc w:val="left"/>
      <w:pPr>
        <w:ind w:left="568" w:firstLine="0"/>
      </w:pPr>
      <w:rPr>
        <w:rFonts w:hint="eastAsia" w:ascii="黑体" w:hAnsi="Times New Roman" w:eastAsia="黑体" w:cs="Times New Roman"/>
        <w:b w:val="0"/>
        <w:bCs w:val="0"/>
        <w:i w:val="0"/>
        <w:iCs w:val="0"/>
        <w:caps w:val="0"/>
        <w:strike w:val="0"/>
        <w:dstrike w:val="0"/>
        <w:color w:val="000000"/>
        <w:spacing w:val="0"/>
        <w:kern w:val="0"/>
        <w:position w:val="0"/>
        <w:sz w:val="21"/>
        <w:szCs w:val="21"/>
        <w:u w:val="none"/>
      </w:rPr>
    </w:lvl>
    <w:lvl w:ilvl="2" w:tentative="0">
      <w:start w:val="1"/>
      <w:numFmt w:val="decimal"/>
      <w:suff w:val="nothing"/>
      <w:lvlText w:val="（%3）"/>
      <w:lvlJc w:val="left"/>
      <w:pPr>
        <w:ind w:left="0" w:firstLine="0"/>
      </w:pPr>
      <w:rPr>
        <w:rFonts w:hint="eastAsia" w:ascii="宋体" w:hAnsi="Times New Roman" w:eastAsia="宋体" w:cs="Times New Roman"/>
        <w:b w:val="0"/>
        <w:i w:val="0"/>
        <w:sz w:val="21"/>
        <w:lang w:val="en-US"/>
      </w:rPr>
    </w:lvl>
    <w:lvl w:ilvl="3" w:tentative="0">
      <w:start w:val="1"/>
      <w:numFmt w:val="decimal"/>
      <w:suff w:val="nothing"/>
      <w:lvlText w:val="%4）"/>
      <w:lvlJc w:val="left"/>
      <w:pPr>
        <w:ind w:left="284" w:firstLine="0"/>
      </w:pPr>
      <w:rPr>
        <w:rFonts w:hint="eastAsia" w:ascii="宋体" w:hAnsi="Times New Roman" w:eastAsia="宋体" w:cs="Times New Roman"/>
        <w:b w:val="0"/>
        <w:i w:val="0"/>
        <w:color w:val="auto"/>
        <w:sz w:val="21"/>
        <w:lang w:val="en-US"/>
      </w:rPr>
    </w:lvl>
    <w:lvl w:ilvl="4" w:tentative="0">
      <w:start w:val="7"/>
      <w:numFmt w:val="decimal"/>
      <w:lvlText w:val="%5）"/>
      <w:lvlJc w:val="left"/>
      <w:pPr>
        <w:ind w:left="786" w:hanging="360"/>
      </w:pPr>
      <w:rPr>
        <w:rFonts w:hint="default"/>
      </w:rPr>
    </w:lvl>
    <w:lvl w:ilvl="5" w:tentative="0">
      <w:start w:val="5"/>
      <w:numFmt w:val="decimal"/>
      <w:lvlText w:val="%6）"/>
      <w:lvlJc w:val="left"/>
      <w:pPr>
        <w:ind w:left="360" w:hanging="360"/>
      </w:pPr>
      <w:rPr>
        <w:rFonts w:hint="default"/>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6">
    <w:nsid w:val="2297BBC2"/>
    <w:multiLevelType w:val="singleLevel"/>
    <w:tmpl w:val="2297BBC2"/>
    <w:lvl w:ilvl="0" w:tentative="0">
      <w:start w:val="1"/>
      <w:numFmt w:val="lowerLetter"/>
      <w:lvlText w:val="%1."/>
      <w:lvlJc w:val="left"/>
      <w:pPr>
        <w:ind w:left="425" w:hanging="425"/>
      </w:pPr>
      <w:rPr>
        <w:rFonts w:hint="default"/>
      </w:rPr>
    </w:lvl>
  </w:abstractNum>
  <w:abstractNum w:abstractNumId="37">
    <w:nsid w:val="2598D501"/>
    <w:multiLevelType w:val="singleLevel"/>
    <w:tmpl w:val="2598D501"/>
    <w:lvl w:ilvl="0" w:tentative="0">
      <w:start w:val="1"/>
      <w:numFmt w:val="decimal"/>
      <w:lvlText w:val="(%1)"/>
      <w:lvlJc w:val="left"/>
      <w:pPr>
        <w:ind w:left="425" w:hanging="425"/>
      </w:pPr>
      <w:rPr>
        <w:rFonts w:hint="default"/>
      </w:rPr>
    </w:lvl>
  </w:abstractNum>
  <w:abstractNum w:abstractNumId="38">
    <w:nsid w:val="2C338C6C"/>
    <w:multiLevelType w:val="singleLevel"/>
    <w:tmpl w:val="2C338C6C"/>
    <w:lvl w:ilvl="0" w:tentative="0">
      <w:start w:val="1"/>
      <w:numFmt w:val="decimal"/>
      <w:lvlText w:val="(%1)"/>
      <w:lvlJc w:val="left"/>
      <w:pPr>
        <w:ind w:left="425" w:hanging="425"/>
      </w:pPr>
      <w:rPr>
        <w:rFonts w:hint="default"/>
      </w:rPr>
    </w:lvl>
  </w:abstractNum>
  <w:abstractNum w:abstractNumId="39">
    <w:nsid w:val="3D0DA298"/>
    <w:multiLevelType w:val="singleLevel"/>
    <w:tmpl w:val="3D0DA298"/>
    <w:lvl w:ilvl="0" w:tentative="0">
      <w:start w:val="1"/>
      <w:numFmt w:val="decimal"/>
      <w:lvlText w:val="(%1)"/>
      <w:lvlJc w:val="left"/>
      <w:pPr>
        <w:ind w:left="425" w:hanging="425"/>
      </w:pPr>
      <w:rPr>
        <w:rFonts w:hint="default"/>
      </w:rPr>
    </w:lvl>
  </w:abstractNum>
  <w:abstractNum w:abstractNumId="40">
    <w:nsid w:val="3EF58C6E"/>
    <w:multiLevelType w:val="singleLevel"/>
    <w:tmpl w:val="3EF58C6E"/>
    <w:lvl w:ilvl="0" w:tentative="0">
      <w:start w:val="1"/>
      <w:numFmt w:val="decimal"/>
      <w:lvlText w:val="(%1)"/>
      <w:lvlJc w:val="left"/>
      <w:pPr>
        <w:ind w:left="425" w:hanging="425"/>
      </w:pPr>
      <w:rPr>
        <w:rFonts w:hint="default"/>
      </w:rPr>
    </w:lvl>
  </w:abstractNum>
  <w:abstractNum w:abstractNumId="41">
    <w:nsid w:val="40C2207C"/>
    <w:multiLevelType w:val="singleLevel"/>
    <w:tmpl w:val="40C2207C"/>
    <w:lvl w:ilvl="0" w:tentative="0">
      <w:start w:val="1"/>
      <w:numFmt w:val="lowerLetter"/>
      <w:lvlText w:val="%1."/>
      <w:lvlJc w:val="left"/>
      <w:pPr>
        <w:tabs>
          <w:tab w:val="left" w:pos="0"/>
        </w:tabs>
        <w:ind w:left="425" w:hanging="425"/>
      </w:pPr>
      <w:rPr>
        <w:rFonts w:hint="default"/>
      </w:rPr>
    </w:lvl>
  </w:abstractNum>
  <w:abstractNum w:abstractNumId="42">
    <w:nsid w:val="47685462"/>
    <w:multiLevelType w:val="singleLevel"/>
    <w:tmpl w:val="47685462"/>
    <w:lvl w:ilvl="0" w:tentative="0">
      <w:start w:val="1"/>
      <w:numFmt w:val="decimal"/>
      <w:lvlText w:val="(%1)"/>
      <w:lvlJc w:val="left"/>
      <w:pPr>
        <w:ind w:left="425" w:hanging="425"/>
      </w:pPr>
      <w:rPr>
        <w:rFonts w:hint="default"/>
      </w:rPr>
    </w:lvl>
  </w:abstractNum>
  <w:abstractNum w:abstractNumId="43">
    <w:nsid w:val="47A838ED"/>
    <w:multiLevelType w:val="singleLevel"/>
    <w:tmpl w:val="47A838ED"/>
    <w:lvl w:ilvl="0" w:tentative="0">
      <w:start w:val="1"/>
      <w:numFmt w:val="decimal"/>
      <w:lvlText w:val="(%1)"/>
      <w:lvlJc w:val="left"/>
      <w:pPr>
        <w:ind w:left="425" w:hanging="425"/>
      </w:pPr>
      <w:rPr>
        <w:rFonts w:hint="default"/>
      </w:rPr>
    </w:lvl>
  </w:abstractNum>
  <w:abstractNum w:abstractNumId="44">
    <w:nsid w:val="4D837177"/>
    <w:multiLevelType w:val="singleLevel"/>
    <w:tmpl w:val="4D837177"/>
    <w:lvl w:ilvl="0" w:tentative="0">
      <w:start w:val="1"/>
      <w:numFmt w:val="decimal"/>
      <w:lvlText w:val="(%1)"/>
      <w:lvlJc w:val="left"/>
      <w:pPr>
        <w:ind w:left="425" w:hanging="425"/>
      </w:pPr>
      <w:rPr>
        <w:rFonts w:hint="default"/>
      </w:rPr>
    </w:lvl>
  </w:abstractNum>
  <w:abstractNum w:abstractNumId="45">
    <w:nsid w:val="4EDDEC59"/>
    <w:multiLevelType w:val="singleLevel"/>
    <w:tmpl w:val="4EDDEC59"/>
    <w:lvl w:ilvl="0" w:tentative="0">
      <w:start w:val="1"/>
      <w:numFmt w:val="lowerLetter"/>
      <w:lvlText w:val="%1."/>
      <w:lvlJc w:val="left"/>
      <w:pPr>
        <w:ind w:left="425" w:hanging="425"/>
      </w:pPr>
      <w:rPr>
        <w:rFonts w:hint="default"/>
      </w:rPr>
    </w:lvl>
  </w:abstractNum>
  <w:abstractNum w:abstractNumId="46">
    <w:nsid w:val="5091671E"/>
    <w:multiLevelType w:val="singleLevel"/>
    <w:tmpl w:val="5091671E"/>
    <w:lvl w:ilvl="0" w:tentative="0">
      <w:start w:val="1"/>
      <w:numFmt w:val="decimal"/>
      <w:lvlText w:val="(%1)"/>
      <w:lvlJc w:val="left"/>
      <w:pPr>
        <w:ind w:left="425" w:hanging="425"/>
      </w:pPr>
      <w:rPr>
        <w:rFonts w:hint="default"/>
      </w:rPr>
    </w:lvl>
  </w:abstractNum>
  <w:abstractNum w:abstractNumId="47">
    <w:nsid w:val="55282894"/>
    <w:multiLevelType w:val="singleLevel"/>
    <w:tmpl w:val="55282894"/>
    <w:lvl w:ilvl="0" w:tentative="0">
      <w:start w:val="1"/>
      <w:numFmt w:val="decimal"/>
      <w:lvlText w:val="(%1)"/>
      <w:lvlJc w:val="left"/>
      <w:pPr>
        <w:ind w:left="425" w:hanging="425"/>
      </w:pPr>
      <w:rPr>
        <w:rFonts w:hint="default"/>
      </w:rPr>
    </w:lvl>
  </w:abstractNum>
  <w:abstractNum w:abstractNumId="48">
    <w:nsid w:val="56E8DE7E"/>
    <w:multiLevelType w:val="singleLevel"/>
    <w:tmpl w:val="56E8DE7E"/>
    <w:lvl w:ilvl="0" w:tentative="0">
      <w:start w:val="1"/>
      <w:numFmt w:val="lowerLetter"/>
      <w:lvlText w:val="%1."/>
      <w:lvlJc w:val="left"/>
      <w:pPr>
        <w:ind w:left="425" w:hanging="425"/>
      </w:pPr>
      <w:rPr>
        <w:rFonts w:hint="default"/>
      </w:rPr>
    </w:lvl>
  </w:abstractNum>
  <w:abstractNum w:abstractNumId="49">
    <w:nsid w:val="5A340015"/>
    <w:multiLevelType w:val="singleLevel"/>
    <w:tmpl w:val="5A340015"/>
    <w:lvl w:ilvl="0" w:tentative="0">
      <w:start w:val="1"/>
      <w:numFmt w:val="decimal"/>
      <w:lvlText w:val="(%1)"/>
      <w:lvlJc w:val="left"/>
      <w:pPr>
        <w:ind w:left="425" w:hanging="425"/>
      </w:pPr>
      <w:rPr>
        <w:rFonts w:hint="default"/>
      </w:rPr>
    </w:lvl>
  </w:abstractNum>
  <w:abstractNum w:abstractNumId="50">
    <w:nsid w:val="64CCFB4A"/>
    <w:multiLevelType w:val="singleLevel"/>
    <w:tmpl w:val="64CCFB4A"/>
    <w:lvl w:ilvl="0" w:tentative="0">
      <w:start w:val="1"/>
      <w:numFmt w:val="lowerLetter"/>
      <w:lvlText w:val="%1."/>
      <w:lvlJc w:val="left"/>
      <w:pPr>
        <w:ind w:left="425" w:hanging="425"/>
      </w:pPr>
      <w:rPr>
        <w:rFonts w:hint="default"/>
      </w:rPr>
    </w:lvl>
  </w:abstractNum>
  <w:abstractNum w:abstractNumId="51">
    <w:nsid w:val="679A5150"/>
    <w:multiLevelType w:val="multilevel"/>
    <w:tmpl w:val="679A515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2">
    <w:nsid w:val="6A412D4B"/>
    <w:multiLevelType w:val="singleLevel"/>
    <w:tmpl w:val="6A412D4B"/>
    <w:lvl w:ilvl="0" w:tentative="0">
      <w:start w:val="1"/>
      <w:numFmt w:val="decimal"/>
      <w:lvlText w:val="(%1)"/>
      <w:lvlJc w:val="left"/>
      <w:pPr>
        <w:ind w:left="425" w:hanging="425"/>
      </w:pPr>
      <w:rPr>
        <w:rFonts w:hint="default"/>
      </w:rPr>
    </w:lvl>
  </w:abstractNum>
  <w:abstractNum w:abstractNumId="53">
    <w:nsid w:val="6D2578F0"/>
    <w:multiLevelType w:val="multilevel"/>
    <w:tmpl w:val="6D2578F0"/>
    <w:lvl w:ilvl="0" w:tentative="0">
      <w:start w:val="2"/>
      <w:numFmt w:val="decimal"/>
      <w:lvlText w:val="%1"/>
      <w:lvlJc w:val="left"/>
      <w:pPr>
        <w:tabs>
          <w:tab w:val="left" w:pos="540"/>
        </w:tabs>
        <w:ind w:left="540" w:hanging="540"/>
      </w:pPr>
      <w:rPr>
        <w:rFonts w:hint="default"/>
      </w:rPr>
    </w:lvl>
    <w:lvl w:ilvl="1" w:tentative="0">
      <w:start w:val="2"/>
      <w:numFmt w:val="decimal"/>
      <w:lvlText w:val="%1.%2"/>
      <w:lvlJc w:val="left"/>
      <w:pPr>
        <w:tabs>
          <w:tab w:val="left" w:pos="540"/>
        </w:tabs>
        <w:ind w:left="540" w:hanging="54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54">
    <w:nsid w:val="7B6BFE08"/>
    <w:multiLevelType w:val="singleLevel"/>
    <w:tmpl w:val="7B6BFE08"/>
    <w:lvl w:ilvl="0" w:tentative="0">
      <w:start w:val="1"/>
      <w:numFmt w:val="decimal"/>
      <w:lvlText w:val="(%1)"/>
      <w:lvlJc w:val="left"/>
      <w:pPr>
        <w:ind w:left="425" w:hanging="425"/>
      </w:pPr>
      <w:rPr>
        <w:rFonts w:hint="default"/>
      </w:rPr>
    </w:lvl>
  </w:abstractNum>
  <w:abstractNum w:abstractNumId="55">
    <w:nsid w:val="7C43ADA4"/>
    <w:multiLevelType w:val="singleLevel"/>
    <w:tmpl w:val="7C43ADA4"/>
    <w:lvl w:ilvl="0" w:tentative="0">
      <w:start w:val="1"/>
      <w:numFmt w:val="decimal"/>
      <w:lvlText w:val="(%1)"/>
      <w:lvlJc w:val="left"/>
      <w:pPr>
        <w:ind w:left="425" w:hanging="425"/>
      </w:pPr>
      <w:rPr>
        <w:rFonts w:hint="default"/>
      </w:rPr>
    </w:lvl>
  </w:abstractNum>
  <w:num w:numId="1">
    <w:abstractNumId w:val="28"/>
  </w:num>
  <w:num w:numId="2">
    <w:abstractNumId w:val="27"/>
  </w:num>
  <w:num w:numId="3">
    <w:abstractNumId w:val="35"/>
  </w:num>
  <w:num w:numId="4">
    <w:abstractNumId w:val="42"/>
  </w:num>
  <w:num w:numId="5">
    <w:abstractNumId w:val="44"/>
  </w:num>
  <w:num w:numId="6">
    <w:abstractNumId w:val="9"/>
  </w:num>
  <w:num w:numId="7">
    <w:abstractNumId w:val="30"/>
  </w:num>
  <w:num w:numId="8">
    <w:abstractNumId w:val="19"/>
  </w:num>
  <w:num w:numId="9">
    <w:abstractNumId w:val="52"/>
  </w:num>
  <w:num w:numId="10">
    <w:abstractNumId w:val="20"/>
  </w:num>
  <w:num w:numId="11">
    <w:abstractNumId w:val="47"/>
  </w:num>
  <w:num w:numId="12">
    <w:abstractNumId w:val="25"/>
  </w:num>
  <w:num w:numId="13">
    <w:abstractNumId w:val="10"/>
  </w:num>
  <w:num w:numId="14">
    <w:abstractNumId w:val="41"/>
  </w:num>
  <w:num w:numId="15">
    <w:abstractNumId w:val="39"/>
  </w:num>
  <w:num w:numId="16">
    <w:abstractNumId w:val="49"/>
  </w:num>
  <w:num w:numId="17">
    <w:abstractNumId w:val="37"/>
  </w:num>
  <w:num w:numId="18">
    <w:abstractNumId w:val="24"/>
  </w:num>
  <w:num w:numId="19">
    <w:abstractNumId w:val="34"/>
  </w:num>
  <w:num w:numId="20">
    <w:abstractNumId w:val="36"/>
  </w:num>
  <w:num w:numId="21">
    <w:abstractNumId w:val="45"/>
  </w:num>
  <w:num w:numId="22">
    <w:abstractNumId w:val="43"/>
  </w:num>
  <w:num w:numId="23">
    <w:abstractNumId w:val="8"/>
  </w:num>
  <w:num w:numId="24">
    <w:abstractNumId w:val="16"/>
  </w:num>
  <w:num w:numId="25">
    <w:abstractNumId w:val="4"/>
  </w:num>
  <w:num w:numId="26">
    <w:abstractNumId w:val="48"/>
  </w:num>
  <w:num w:numId="27">
    <w:abstractNumId w:val="15"/>
  </w:num>
  <w:num w:numId="28">
    <w:abstractNumId w:val="13"/>
  </w:num>
  <w:num w:numId="29">
    <w:abstractNumId w:val="18"/>
  </w:num>
  <w:num w:numId="30">
    <w:abstractNumId w:val="6"/>
  </w:num>
  <w:num w:numId="31">
    <w:abstractNumId w:val="46"/>
  </w:num>
  <w:num w:numId="32">
    <w:abstractNumId w:val="55"/>
  </w:num>
  <w:num w:numId="33">
    <w:abstractNumId w:val="38"/>
  </w:num>
  <w:num w:numId="34">
    <w:abstractNumId w:val="29"/>
  </w:num>
  <w:num w:numId="35">
    <w:abstractNumId w:val="53"/>
  </w:num>
  <w:num w:numId="36">
    <w:abstractNumId w:val="32"/>
  </w:num>
  <w:num w:numId="37">
    <w:abstractNumId w:val="0"/>
  </w:num>
  <w:num w:numId="38">
    <w:abstractNumId w:val="21"/>
  </w:num>
  <w:num w:numId="39">
    <w:abstractNumId w:val="2"/>
  </w:num>
  <w:num w:numId="40">
    <w:abstractNumId w:val="11"/>
  </w:num>
  <w:num w:numId="41">
    <w:abstractNumId w:val="14"/>
  </w:num>
  <w:num w:numId="42">
    <w:abstractNumId w:val="7"/>
  </w:num>
  <w:num w:numId="43">
    <w:abstractNumId w:val="23"/>
  </w:num>
  <w:num w:numId="44">
    <w:abstractNumId w:val="54"/>
  </w:num>
  <w:num w:numId="45">
    <w:abstractNumId w:val="12"/>
  </w:num>
  <w:num w:numId="46">
    <w:abstractNumId w:val="40"/>
  </w:num>
  <w:num w:numId="47">
    <w:abstractNumId w:val="5"/>
  </w:num>
  <w:num w:numId="48">
    <w:abstractNumId w:val="1"/>
  </w:num>
  <w:num w:numId="49">
    <w:abstractNumId w:val="22"/>
  </w:num>
  <w:num w:numId="50">
    <w:abstractNumId w:val="3"/>
  </w:num>
  <w:num w:numId="51">
    <w:abstractNumId w:val="31"/>
  </w:num>
  <w:num w:numId="52">
    <w:abstractNumId w:val="33"/>
  </w:num>
  <w:num w:numId="53">
    <w:abstractNumId w:val="17"/>
  </w:num>
  <w:num w:numId="54">
    <w:abstractNumId w:val="50"/>
  </w:num>
  <w:num w:numId="55">
    <w:abstractNumId w:val="26"/>
  </w:num>
  <w:num w:numId="56">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hideSpellingErrors/>
  <w:documentProtection w:enforcement="0"/>
  <w:defaultTabStop w:val="567"/>
  <w:drawingGridHorizontalSpacing w:val="105"/>
  <w:drawingGridVerticalSpacing w:val="163"/>
  <w:noPunctuationKerning w:val="1"/>
  <w:characterSpacingControl w:val="doNotCompress"/>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00172A27"/>
    <w:rsid w:val="00005CE3"/>
    <w:rsid w:val="00012E31"/>
    <w:rsid w:val="00016F66"/>
    <w:rsid w:val="00025F74"/>
    <w:rsid w:val="00032981"/>
    <w:rsid w:val="00033A83"/>
    <w:rsid w:val="00034186"/>
    <w:rsid w:val="00054269"/>
    <w:rsid w:val="000542DA"/>
    <w:rsid w:val="0005648E"/>
    <w:rsid w:val="000615A1"/>
    <w:rsid w:val="00063C63"/>
    <w:rsid w:val="00066A44"/>
    <w:rsid w:val="00071CAE"/>
    <w:rsid w:val="000720AE"/>
    <w:rsid w:val="000769E5"/>
    <w:rsid w:val="00076EE8"/>
    <w:rsid w:val="00081C80"/>
    <w:rsid w:val="000869F7"/>
    <w:rsid w:val="00090A65"/>
    <w:rsid w:val="000936E9"/>
    <w:rsid w:val="00093E73"/>
    <w:rsid w:val="00096942"/>
    <w:rsid w:val="000A6F12"/>
    <w:rsid w:val="000B101E"/>
    <w:rsid w:val="000E1D02"/>
    <w:rsid w:val="000E1D22"/>
    <w:rsid w:val="000F2CC2"/>
    <w:rsid w:val="000F3300"/>
    <w:rsid w:val="00101E2E"/>
    <w:rsid w:val="001206AA"/>
    <w:rsid w:val="00120FC1"/>
    <w:rsid w:val="00130846"/>
    <w:rsid w:val="00130A5B"/>
    <w:rsid w:val="00141674"/>
    <w:rsid w:val="00145249"/>
    <w:rsid w:val="00155F11"/>
    <w:rsid w:val="00161651"/>
    <w:rsid w:val="00162EC0"/>
    <w:rsid w:val="00172A27"/>
    <w:rsid w:val="00176049"/>
    <w:rsid w:val="001A357A"/>
    <w:rsid w:val="001A5BFD"/>
    <w:rsid w:val="001B3713"/>
    <w:rsid w:val="001B6896"/>
    <w:rsid w:val="001C2109"/>
    <w:rsid w:val="001C2556"/>
    <w:rsid w:val="001C28A5"/>
    <w:rsid w:val="001C3B3E"/>
    <w:rsid w:val="001C4DF1"/>
    <w:rsid w:val="001D78D8"/>
    <w:rsid w:val="001E24EE"/>
    <w:rsid w:val="001E4D48"/>
    <w:rsid w:val="001F5AA4"/>
    <w:rsid w:val="001F6940"/>
    <w:rsid w:val="002030DF"/>
    <w:rsid w:val="00204325"/>
    <w:rsid w:val="00205208"/>
    <w:rsid w:val="0022352C"/>
    <w:rsid w:val="002235E4"/>
    <w:rsid w:val="00225C42"/>
    <w:rsid w:val="00230179"/>
    <w:rsid w:val="002327A3"/>
    <w:rsid w:val="00260137"/>
    <w:rsid w:val="00282CE4"/>
    <w:rsid w:val="00287F09"/>
    <w:rsid w:val="002956A5"/>
    <w:rsid w:val="002B496D"/>
    <w:rsid w:val="002C2401"/>
    <w:rsid w:val="002C4AC4"/>
    <w:rsid w:val="002D4376"/>
    <w:rsid w:val="002E425C"/>
    <w:rsid w:val="002E5E89"/>
    <w:rsid w:val="002F725D"/>
    <w:rsid w:val="002F7993"/>
    <w:rsid w:val="002F7A74"/>
    <w:rsid w:val="0030273F"/>
    <w:rsid w:val="003035E3"/>
    <w:rsid w:val="003079D5"/>
    <w:rsid w:val="003130A4"/>
    <w:rsid w:val="00320492"/>
    <w:rsid w:val="0032137F"/>
    <w:rsid w:val="00321EEC"/>
    <w:rsid w:val="003237C0"/>
    <w:rsid w:val="00324F7C"/>
    <w:rsid w:val="00325975"/>
    <w:rsid w:val="0032613D"/>
    <w:rsid w:val="00331095"/>
    <w:rsid w:val="003341AB"/>
    <w:rsid w:val="003431C7"/>
    <w:rsid w:val="003506A3"/>
    <w:rsid w:val="003559AE"/>
    <w:rsid w:val="00362312"/>
    <w:rsid w:val="00364DA8"/>
    <w:rsid w:val="00371463"/>
    <w:rsid w:val="00375EB6"/>
    <w:rsid w:val="00376342"/>
    <w:rsid w:val="00393DF4"/>
    <w:rsid w:val="003A3DE3"/>
    <w:rsid w:val="003A4662"/>
    <w:rsid w:val="003A4CAA"/>
    <w:rsid w:val="003A5A8E"/>
    <w:rsid w:val="003A78FB"/>
    <w:rsid w:val="003B59DF"/>
    <w:rsid w:val="003C290F"/>
    <w:rsid w:val="003C318C"/>
    <w:rsid w:val="003D1A2C"/>
    <w:rsid w:val="003E4D99"/>
    <w:rsid w:val="003E6582"/>
    <w:rsid w:val="003F075B"/>
    <w:rsid w:val="003F3067"/>
    <w:rsid w:val="003F49B4"/>
    <w:rsid w:val="00406778"/>
    <w:rsid w:val="00406A03"/>
    <w:rsid w:val="00412A3B"/>
    <w:rsid w:val="0042318A"/>
    <w:rsid w:val="00430A2A"/>
    <w:rsid w:val="00432C43"/>
    <w:rsid w:val="00434442"/>
    <w:rsid w:val="004354E7"/>
    <w:rsid w:val="0045721F"/>
    <w:rsid w:val="00464AC8"/>
    <w:rsid w:val="00476D48"/>
    <w:rsid w:val="00477877"/>
    <w:rsid w:val="004802C1"/>
    <w:rsid w:val="004812BE"/>
    <w:rsid w:val="00481B42"/>
    <w:rsid w:val="00487159"/>
    <w:rsid w:val="00492F21"/>
    <w:rsid w:val="00497F86"/>
    <w:rsid w:val="004A4032"/>
    <w:rsid w:val="004A4387"/>
    <w:rsid w:val="004A5C34"/>
    <w:rsid w:val="004C5F47"/>
    <w:rsid w:val="004C6EF7"/>
    <w:rsid w:val="004D54DB"/>
    <w:rsid w:val="004E0F02"/>
    <w:rsid w:val="004E3AFD"/>
    <w:rsid w:val="004E5BA2"/>
    <w:rsid w:val="004F353B"/>
    <w:rsid w:val="004F502A"/>
    <w:rsid w:val="00500EB0"/>
    <w:rsid w:val="0050543F"/>
    <w:rsid w:val="00514914"/>
    <w:rsid w:val="005229BD"/>
    <w:rsid w:val="00525640"/>
    <w:rsid w:val="00530888"/>
    <w:rsid w:val="00531DA5"/>
    <w:rsid w:val="005437F1"/>
    <w:rsid w:val="00552B6D"/>
    <w:rsid w:val="00554D68"/>
    <w:rsid w:val="0056341B"/>
    <w:rsid w:val="00576A5D"/>
    <w:rsid w:val="005770DB"/>
    <w:rsid w:val="00592FA7"/>
    <w:rsid w:val="005A0552"/>
    <w:rsid w:val="005A247D"/>
    <w:rsid w:val="005A7C61"/>
    <w:rsid w:val="005B1467"/>
    <w:rsid w:val="005B44D0"/>
    <w:rsid w:val="005B4A94"/>
    <w:rsid w:val="005B4DD6"/>
    <w:rsid w:val="005C5A81"/>
    <w:rsid w:val="005D242F"/>
    <w:rsid w:val="005D3A0D"/>
    <w:rsid w:val="005D44EB"/>
    <w:rsid w:val="005E0FC9"/>
    <w:rsid w:val="005F1A7F"/>
    <w:rsid w:val="005F480B"/>
    <w:rsid w:val="0060197C"/>
    <w:rsid w:val="00601A77"/>
    <w:rsid w:val="00607466"/>
    <w:rsid w:val="00623355"/>
    <w:rsid w:val="00623AFF"/>
    <w:rsid w:val="006250F9"/>
    <w:rsid w:val="006279CA"/>
    <w:rsid w:val="00630A64"/>
    <w:rsid w:val="0063558E"/>
    <w:rsid w:val="006441F9"/>
    <w:rsid w:val="00646B54"/>
    <w:rsid w:val="00651166"/>
    <w:rsid w:val="00652CF5"/>
    <w:rsid w:val="006548A5"/>
    <w:rsid w:val="006566C7"/>
    <w:rsid w:val="00660650"/>
    <w:rsid w:val="006626D3"/>
    <w:rsid w:val="00675E32"/>
    <w:rsid w:val="00686F3E"/>
    <w:rsid w:val="006A6BDF"/>
    <w:rsid w:val="006B5386"/>
    <w:rsid w:val="006B5A5C"/>
    <w:rsid w:val="006C26B6"/>
    <w:rsid w:val="006C4BE8"/>
    <w:rsid w:val="006D1700"/>
    <w:rsid w:val="006D3BD1"/>
    <w:rsid w:val="006F4A41"/>
    <w:rsid w:val="00723C63"/>
    <w:rsid w:val="00732DC4"/>
    <w:rsid w:val="0073405F"/>
    <w:rsid w:val="0073413F"/>
    <w:rsid w:val="00734DB0"/>
    <w:rsid w:val="00735E49"/>
    <w:rsid w:val="00735F60"/>
    <w:rsid w:val="0073745C"/>
    <w:rsid w:val="007421AC"/>
    <w:rsid w:val="00744DE7"/>
    <w:rsid w:val="007453CE"/>
    <w:rsid w:val="0075497A"/>
    <w:rsid w:val="00757EAF"/>
    <w:rsid w:val="00763B41"/>
    <w:rsid w:val="00776930"/>
    <w:rsid w:val="007832BE"/>
    <w:rsid w:val="007A2479"/>
    <w:rsid w:val="007A482D"/>
    <w:rsid w:val="007F4755"/>
    <w:rsid w:val="0080104E"/>
    <w:rsid w:val="008018BC"/>
    <w:rsid w:val="00801AA3"/>
    <w:rsid w:val="008047C9"/>
    <w:rsid w:val="008049F0"/>
    <w:rsid w:val="00812488"/>
    <w:rsid w:val="0081273F"/>
    <w:rsid w:val="0082132C"/>
    <w:rsid w:val="00821358"/>
    <w:rsid w:val="00823506"/>
    <w:rsid w:val="00825B9F"/>
    <w:rsid w:val="00834082"/>
    <w:rsid w:val="008429CC"/>
    <w:rsid w:val="00845EA7"/>
    <w:rsid w:val="00846E00"/>
    <w:rsid w:val="00854214"/>
    <w:rsid w:val="0086001A"/>
    <w:rsid w:val="00864E56"/>
    <w:rsid w:val="00864F68"/>
    <w:rsid w:val="00873BCD"/>
    <w:rsid w:val="00883581"/>
    <w:rsid w:val="00883AD1"/>
    <w:rsid w:val="008873A2"/>
    <w:rsid w:val="00897B9B"/>
    <w:rsid w:val="008A00D8"/>
    <w:rsid w:val="008A6975"/>
    <w:rsid w:val="008B0CDE"/>
    <w:rsid w:val="008B4A58"/>
    <w:rsid w:val="008B4F4F"/>
    <w:rsid w:val="008B5C96"/>
    <w:rsid w:val="008B62D6"/>
    <w:rsid w:val="008C3F8C"/>
    <w:rsid w:val="008C6CFF"/>
    <w:rsid w:val="008D1114"/>
    <w:rsid w:val="008D289C"/>
    <w:rsid w:val="008E47DC"/>
    <w:rsid w:val="008E7CD9"/>
    <w:rsid w:val="008F0A60"/>
    <w:rsid w:val="008F5855"/>
    <w:rsid w:val="00902319"/>
    <w:rsid w:val="00906250"/>
    <w:rsid w:val="00915B52"/>
    <w:rsid w:val="0091658B"/>
    <w:rsid w:val="009215DB"/>
    <w:rsid w:val="00923A96"/>
    <w:rsid w:val="00937A4F"/>
    <w:rsid w:val="009409B6"/>
    <w:rsid w:val="00943C58"/>
    <w:rsid w:val="00950C2F"/>
    <w:rsid w:val="009572A3"/>
    <w:rsid w:val="0096031D"/>
    <w:rsid w:val="00981998"/>
    <w:rsid w:val="0098787D"/>
    <w:rsid w:val="0099085B"/>
    <w:rsid w:val="009955B4"/>
    <w:rsid w:val="009A1DAC"/>
    <w:rsid w:val="009A2D0B"/>
    <w:rsid w:val="009B39EA"/>
    <w:rsid w:val="009C0861"/>
    <w:rsid w:val="009C1BDD"/>
    <w:rsid w:val="009D3D72"/>
    <w:rsid w:val="009F47F4"/>
    <w:rsid w:val="00A07663"/>
    <w:rsid w:val="00A17733"/>
    <w:rsid w:val="00A20A08"/>
    <w:rsid w:val="00A23D37"/>
    <w:rsid w:val="00A246C6"/>
    <w:rsid w:val="00A25BFB"/>
    <w:rsid w:val="00A26107"/>
    <w:rsid w:val="00A26298"/>
    <w:rsid w:val="00A31252"/>
    <w:rsid w:val="00A32A66"/>
    <w:rsid w:val="00A4407C"/>
    <w:rsid w:val="00A46A63"/>
    <w:rsid w:val="00A47027"/>
    <w:rsid w:val="00A54E2D"/>
    <w:rsid w:val="00A629F9"/>
    <w:rsid w:val="00A70E13"/>
    <w:rsid w:val="00A71A65"/>
    <w:rsid w:val="00A7389A"/>
    <w:rsid w:val="00A75F1B"/>
    <w:rsid w:val="00A833AB"/>
    <w:rsid w:val="00A916C5"/>
    <w:rsid w:val="00AA2E10"/>
    <w:rsid w:val="00AA5DB0"/>
    <w:rsid w:val="00AB50E2"/>
    <w:rsid w:val="00AC0559"/>
    <w:rsid w:val="00AC1211"/>
    <w:rsid w:val="00AD1179"/>
    <w:rsid w:val="00AD7D13"/>
    <w:rsid w:val="00AE08A0"/>
    <w:rsid w:val="00AE3699"/>
    <w:rsid w:val="00AF171E"/>
    <w:rsid w:val="00AF5B10"/>
    <w:rsid w:val="00B027CB"/>
    <w:rsid w:val="00B058CC"/>
    <w:rsid w:val="00B14A4A"/>
    <w:rsid w:val="00B20657"/>
    <w:rsid w:val="00B21E95"/>
    <w:rsid w:val="00B313CE"/>
    <w:rsid w:val="00B44941"/>
    <w:rsid w:val="00B44BD1"/>
    <w:rsid w:val="00B70CB6"/>
    <w:rsid w:val="00B7498A"/>
    <w:rsid w:val="00B80038"/>
    <w:rsid w:val="00B85388"/>
    <w:rsid w:val="00BA1CC7"/>
    <w:rsid w:val="00BA2D73"/>
    <w:rsid w:val="00BB7D0D"/>
    <w:rsid w:val="00BC02CA"/>
    <w:rsid w:val="00BC069B"/>
    <w:rsid w:val="00BC3FBE"/>
    <w:rsid w:val="00BD1BD7"/>
    <w:rsid w:val="00BD21BB"/>
    <w:rsid w:val="00BD3DF4"/>
    <w:rsid w:val="00BE0929"/>
    <w:rsid w:val="00BE6E9B"/>
    <w:rsid w:val="00BF343B"/>
    <w:rsid w:val="00BF5084"/>
    <w:rsid w:val="00BF588C"/>
    <w:rsid w:val="00C01A5C"/>
    <w:rsid w:val="00C10180"/>
    <w:rsid w:val="00C111E3"/>
    <w:rsid w:val="00C173F9"/>
    <w:rsid w:val="00C22ECD"/>
    <w:rsid w:val="00C26BAC"/>
    <w:rsid w:val="00C32224"/>
    <w:rsid w:val="00C3344B"/>
    <w:rsid w:val="00C36642"/>
    <w:rsid w:val="00C43B37"/>
    <w:rsid w:val="00C51FC3"/>
    <w:rsid w:val="00C553E7"/>
    <w:rsid w:val="00C64BF9"/>
    <w:rsid w:val="00C83E66"/>
    <w:rsid w:val="00C84849"/>
    <w:rsid w:val="00C922E3"/>
    <w:rsid w:val="00C967A2"/>
    <w:rsid w:val="00CA0A98"/>
    <w:rsid w:val="00CC23C4"/>
    <w:rsid w:val="00CC2686"/>
    <w:rsid w:val="00CC6ECF"/>
    <w:rsid w:val="00CC77CD"/>
    <w:rsid w:val="00CD18DD"/>
    <w:rsid w:val="00CD3B7F"/>
    <w:rsid w:val="00CD4B9E"/>
    <w:rsid w:val="00CD55B2"/>
    <w:rsid w:val="00CE3810"/>
    <w:rsid w:val="00CE4AAC"/>
    <w:rsid w:val="00CE5191"/>
    <w:rsid w:val="00CE67A5"/>
    <w:rsid w:val="00D00B02"/>
    <w:rsid w:val="00D148CC"/>
    <w:rsid w:val="00D22273"/>
    <w:rsid w:val="00D349EE"/>
    <w:rsid w:val="00D4683D"/>
    <w:rsid w:val="00D54C81"/>
    <w:rsid w:val="00D54E9A"/>
    <w:rsid w:val="00D56487"/>
    <w:rsid w:val="00D61B7D"/>
    <w:rsid w:val="00D9181E"/>
    <w:rsid w:val="00D9191E"/>
    <w:rsid w:val="00DA40D0"/>
    <w:rsid w:val="00DA7B18"/>
    <w:rsid w:val="00DB5818"/>
    <w:rsid w:val="00DC0483"/>
    <w:rsid w:val="00DC7675"/>
    <w:rsid w:val="00DD0D20"/>
    <w:rsid w:val="00DE381D"/>
    <w:rsid w:val="00DF0BD9"/>
    <w:rsid w:val="00DF52F5"/>
    <w:rsid w:val="00E211F5"/>
    <w:rsid w:val="00E21D55"/>
    <w:rsid w:val="00E22DAA"/>
    <w:rsid w:val="00E35EFD"/>
    <w:rsid w:val="00E4091E"/>
    <w:rsid w:val="00E41849"/>
    <w:rsid w:val="00E51F9F"/>
    <w:rsid w:val="00E52CBD"/>
    <w:rsid w:val="00E7039D"/>
    <w:rsid w:val="00E74A68"/>
    <w:rsid w:val="00E81707"/>
    <w:rsid w:val="00E85228"/>
    <w:rsid w:val="00E87CA0"/>
    <w:rsid w:val="00EA1E87"/>
    <w:rsid w:val="00EA7DF9"/>
    <w:rsid w:val="00EC2D8C"/>
    <w:rsid w:val="00ED1525"/>
    <w:rsid w:val="00EE2CE9"/>
    <w:rsid w:val="00EE4B01"/>
    <w:rsid w:val="00EF14A5"/>
    <w:rsid w:val="00EF6D30"/>
    <w:rsid w:val="00EF79C5"/>
    <w:rsid w:val="00F0067E"/>
    <w:rsid w:val="00F007AB"/>
    <w:rsid w:val="00F02EEB"/>
    <w:rsid w:val="00F04E5E"/>
    <w:rsid w:val="00F05AB3"/>
    <w:rsid w:val="00F07745"/>
    <w:rsid w:val="00F16309"/>
    <w:rsid w:val="00F176DD"/>
    <w:rsid w:val="00F24E2D"/>
    <w:rsid w:val="00F251B7"/>
    <w:rsid w:val="00F30A3C"/>
    <w:rsid w:val="00F3383B"/>
    <w:rsid w:val="00F41A02"/>
    <w:rsid w:val="00F47813"/>
    <w:rsid w:val="00F54A27"/>
    <w:rsid w:val="00F57E96"/>
    <w:rsid w:val="00F62A55"/>
    <w:rsid w:val="00F76D62"/>
    <w:rsid w:val="00F77667"/>
    <w:rsid w:val="00F8034C"/>
    <w:rsid w:val="00F944AA"/>
    <w:rsid w:val="00FA4E84"/>
    <w:rsid w:val="00FA7626"/>
    <w:rsid w:val="00FB2842"/>
    <w:rsid w:val="00FD4283"/>
    <w:rsid w:val="00FF1F78"/>
    <w:rsid w:val="00FF5236"/>
    <w:rsid w:val="01F4583F"/>
    <w:rsid w:val="02191069"/>
    <w:rsid w:val="02574BB2"/>
    <w:rsid w:val="029A778E"/>
    <w:rsid w:val="02DE5ECF"/>
    <w:rsid w:val="02E76B51"/>
    <w:rsid w:val="030516AD"/>
    <w:rsid w:val="03E7503D"/>
    <w:rsid w:val="046F1AEE"/>
    <w:rsid w:val="048F010E"/>
    <w:rsid w:val="04933B8C"/>
    <w:rsid w:val="058959D3"/>
    <w:rsid w:val="06BC079B"/>
    <w:rsid w:val="073C7E17"/>
    <w:rsid w:val="07401D76"/>
    <w:rsid w:val="074461FB"/>
    <w:rsid w:val="08B0478C"/>
    <w:rsid w:val="09032BAF"/>
    <w:rsid w:val="0A021255"/>
    <w:rsid w:val="0C6262EF"/>
    <w:rsid w:val="0C7F3C7A"/>
    <w:rsid w:val="0C8278CB"/>
    <w:rsid w:val="0DD27F39"/>
    <w:rsid w:val="0DDF1AE6"/>
    <w:rsid w:val="0E9D742B"/>
    <w:rsid w:val="0F2F60F1"/>
    <w:rsid w:val="0FEF171B"/>
    <w:rsid w:val="10250524"/>
    <w:rsid w:val="10FF62B8"/>
    <w:rsid w:val="113972EC"/>
    <w:rsid w:val="11744091"/>
    <w:rsid w:val="118D104E"/>
    <w:rsid w:val="11B8789F"/>
    <w:rsid w:val="12C1717B"/>
    <w:rsid w:val="13236AF1"/>
    <w:rsid w:val="13A520F1"/>
    <w:rsid w:val="144A3253"/>
    <w:rsid w:val="14801262"/>
    <w:rsid w:val="15CA731F"/>
    <w:rsid w:val="16F16A02"/>
    <w:rsid w:val="16F65D6F"/>
    <w:rsid w:val="172B725F"/>
    <w:rsid w:val="175C273D"/>
    <w:rsid w:val="176B0033"/>
    <w:rsid w:val="17EF3731"/>
    <w:rsid w:val="18ED4079"/>
    <w:rsid w:val="19392D93"/>
    <w:rsid w:val="194D2FBE"/>
    <w:rsid w:val="19BA5996"/>
    <w:rsid w:val="19D544D1"/>
    <w:rsid w:val="19F47B29"/>
    <w:rsid w:val="1A8270EC"/>
    <w:rsid w:val="1A8943A7"/>
    <w:rsid w:val="1A9133CF"/>
    <w:rsid w:val="1B231653"/>
    <w:rsid w:val="1C413AB0"/>
    <w:rsid w:val="1C4F5EF0"/>
    <w:rsid w:val="1C856F63"/>
    <w:rsid w:val="1D57359D"/>
    <w:rsid w:val="1D9E0858"/>
    <w:rsid w:val="20084133"/>
    <w:rsid w:val="20392737"/>
    <w:rsid w:val="20FC209C"/>
    <w:rsid w:val="21381054"/>
    <w:rsid w:val="2268710B"/>
    <w:rsid w:val="22FE54D6"/>
    <w:rsid w:val="237F088D"/>
    <w:rsid w:val="23BE3486"/>
    <w:rsid w:val="24852E4D"/>
    <w:rsid w:val="24A24B56"/>
    <w:rsid w:val="24CF32FF"/>
    <w:rsid w:val="25284930"/>
    <w:rsid w:val="25D5565D"/>
    <w:rsid w:val="27BB2906"/>
    <w:rsid w:val="28983C3A"/>
    <w:rsid w:val="29296634"/>
    <w:rsid w:val="2A407617"/>
    <w:rsid w:val="2A491462"/>
    <w:rsid w:val="2C400E43"/>
    <w:rsid w:val="2E7C01C6"/>
    <w:rsid w:val="2ED203E0"/>
    <w:rsid w:val="2F610330"/>
    <w:rsid w:val="30FF3045"/>
    <w:rsid w:val="316A12DE"/>
    <w:rsid w:val="3173134D"/>
    <w:rsid w:val="31C85C3C"/>
    <w:rsid w:val="3372150E"/>
    <w:rsid w:val="33857B1D"/>
    <w:rsid w:val="33AE4990"/>
    <w:rsid w:val="342A7047"/>
    <w:rsid w:val="35BD398E"/>
    <w:rsid w:val="360F68C0"/>
    <w:rsid w:val="361066AE"/>
    <w:rsid w:val="365A6F69"/>
    <w:rsid w:val="36EF1852"/>
    <w:rsid w:val="38DC7153"/>
    <w:rsid w:val="398D3ECF"/>
    <w:rsid w:val="3B061EE4"/>
    <w:rsid w:val="3B926F4C"/>
    <w:rsid w:val="3BEE1FD7"/>
    <w:rsid w:val="3BEF3BA4"/>
    <w:rsid w:val="3C84742C"/>
    <w:rsid w:val="3CEF4259"/>
    <w:rsid w:val="3D201BD6"/>
    <w:rsid w:val="3D5742AE"/>
    <w:rsid w:val="3DA7528E"/>
    <w:rsid w:val="3DB20A17"/>
    <w:rsid w:val="3DEE6DAB"/>
    <w:rsid w:val="3E1B2BEE"/>
    <w:rsid w:val="3EDE390B"/>
    <w:rsid w:val="3F5D1180"/>
    <w:rsid w:val="3F7A61FE"/>
    <w:rsid w:val="403C129B"/>
    <w:rsid w:val="40643FA3"/>
    <w:rsid w:val="41013860"/>
    <w:rsid w:val="41013A51"/>
    <w:rsid w:val="41E31607"/>
    <w:rsid w:val="41E77BF5"/>
    <w:rsid w:val="43236A0A"/>
    <w:rsid w:val="43457592"/>
    <w:rsid w:val="43F403A7"/>
    <w:rsid w:val="44D06A03"/>
    <w:rsid w:val="4598063E"/>
    <w:rsid w:val="469A3487"/>
    <w:rsid w:val="470C1597"/>
    <w:rsid w:val="472642A4"/>
    <w:rsid w:val="4B2B3494"/>
    <w:rsid w:val="4C0118B3"/>
    <w:rsid w:val="4C2E615F"/>
    <w:rsid w:val="4C4E2CBD"/>
    <w:rsid w:val="4C96451A"/>
    <w:rsid w:val="4D693BB4"/>
    <w:rsid w:val="4E753F14"/>
    <w:rsid w:val="4EB646D7"/>
    <w:rsid w:val="50D37CC2"/>
    <w:rsid w:val="51317043"/>
    <w:rsid w:val="53271687"/>
    <w:rsid w:val="538C05FC"/>
    <w:rsid w:val="538E4924"/>
    <w:rsid w:val="54980E30"/>
    <w:rsid w:val="54BE7B6C"/>
    <w:rsid w:val="54C52422"/>
    <w:rsid w:val="54C73E7A"/>
    <w:rsid w:val="5665754A"/>
    <w:rsid w:val="56AE5E9F"/>
    <w:rsid w:val="57177527"/>
    <w:rsid w:val="57D85BBE"/>
    <w:rsid w:val="58267D98"/>
    <w:rsid w:val="58691338"/>
    <w:rsid w:val="58810003"/>
    <w:rsid w:val="59161438"/>
    <w:rsid w:val="5B864186"/>
    <w:rsid w:val="5C3F5D16"/>
    <w:rsid w:val="5C7848D2"/>
    <w:rsid w:val="5C893450"/>
    <w:rsid w:val="5C983B6D"/>
    <w:rsid w:val="5D1154C0"/>
    <w:rsid w:val="5D142BC1"/>
    <w:rsid w:val="5D517622"/>
    <w:rsid w:val="5EEF38D2"/>
    <w:rsid w:val="5F432E56"/>
    <w:rsid w:val="60490969"/>
    <w:rsid w:val="606370A2"/>
    <w:rsid w:val="60F26E13"/>
    <w:rsid w:val="60F5158E"/>
    <w:rsid w:val="617B02AA"/>
    <w:rsid w:val="62EC69C1"/>
    <w:rsid w:val="638B5718"/>
    <w:rsid w:val="63A13700"/>
    <w:rsid w:val="64294A57"/>
    <w:rsid w:val="646960BE"/>
    <w:rsid w:val="655B1BDC"/>
    <w:rsid w:val="669A46E2"/>
    <w:rsid w:val="66E82700"/>
    <w:rsid w:val="67E94865"/>
    <w:rsid w:val="69981651"/>
    <w:rsid w:val="69B416D9"/>
    <w:rsid w:val="6AA016BE"/>
    <w:rsid w:val="6B7E3F6B"/>
    <w:rsid w:val="6CA43D4D"/>
    <w:rsid w:val="6D002DE2"/>
    <w:rsid w:val="6E937B10"/>
    <w:rsid w:val="6ED94234"/>
    <w:rsid w:val="6F01197C"/>
    <w:rsid w:val="6F5640F5"/>
    <w:rsid w:val="70AF35BF"/>
    <w:rsid w:val="721747F9"/>
    <w:rsid w:val="735B3289"/>
    <w:rsid w:val="73917C9A"/>
    <w:rsid w:val="73F26C37"/>
    <w:rsid w:val="74AC7F6E"/>
    <w:rsid w:val="7507318D"/>
    <w:rsid w:val="751678CE"/>
    <w:rsid w:val="75284BEA"/>
    <w:rsid w:val="7576385C"/>
    <w:rsid w:val="75D4339F"/>
    <w:rsid w:val="75FA0620"/>
    <w:rsid w:val="77120F9E"/>
    <w:rsid w:val="77D1560C"/>
    <w:rsid w:val="77E163D0"/>
    <w:rsid w:val="77FD7E9C"/>
    <w:rsid w:val="78523FC7"/>
    <w:rsid w:val="7859644F"/>
    <w:rsid w:val="78C052B0"/>
    <w:rsid w:val="78C55892"/>
    <w:rsid w:val="78C7785D"/>
    <w:rsid w:val="790C63BA"/>
    <w:rsid w:val="7BBD7C08"/>
    <w:rsid w:val="7C574C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qFormat="1"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qFormat="1" w:unhideWhenUsed="0" w:uiPriority="0" w:semiHidden="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napToGrid w:val="0"/>
      <w:spacing w:line="360" w:lineRule="auto"/>
      <w:outlineLvl w:val="0"/>
    </w:pPr>
    <w:rPr>
      <w:rFonts w:ascii="宋体" w:hAnsi="宋体"/>
      <w:b/>
      <w:color w:val="000000"/>
      <w:kern w:val="44"/>
      <w:sz w:val="28"/>
    </w:rPr>
  </w:style>
  <w:style w:type="paragraph" w:styleId="3">
    <w:name w:val="heading 2"/>
    <w:basedOn w:val="1"/>
    <w:next w:val="1"/>
    <w:link w:val="68"/>
    <w:qFormat/>
    <w:uiPriority w:val="0"/>
    <w:pPr>
      <w:keepNext/>
      <w:keepLines/>
      <w:spacing w:before="260" w:after="260" w:line="415" w:lineRule="auto"/>
      <w:outlineLvl w:val="1"/>
    </w:pPr>
    <w:rPr>
      <w:rFonts w:ascii="宋体" w:hAnsi="宋体"/>
      <w:b/>
      <w:kern w:val="0"/>
      <w:sz w:val="30"/>
    </w:rPr>
  </w:style>
  <w:style w:type="paragraph" w:styleId="4">
    <w:name w:val="heading 3"/>
    <w:basedOn w:val="1"/>
    <w:next w:val="1"/>
    <w:qFormat/>
    <w:uiPriority w:val="0"/>
    <w:pPr>
      <w:keepNext/>
      <w:keepLines/>
      <w:spacing w:line="360" w:lineRule="auto"/>
      <w:outlineLvl w:val="2"/>
    </w:pPr>
    <w:rPr>
      <w:rFonts w:ascii="宋体" w:hAnsi="宋体"/>
      <w:b/>
      <w:sz w:val="28"/>
    </w:rPr>
  </w:style>
  <w:style w:type="paragraph" w:styleId="5">
    <w:name w:val="heading 4"/>
    <w:basedOn w:val="1"/>
    <w:next w:val="1"/>
    <w:qFormat/>
    <w:uiPriority w:val="0"/>
    <w:pPr>
      <w:keepNext/>
      <w:tabs>
        <w:tab w:val="left" w:pos="600"/>
      </w:tabs>
      <w:spacing w:line="360" w:lineRule="auto"/>
      <w:ind w:firstLine="480" w:firstLineChars="200"/>
      <w:outlineLvl w:val="3"/>
    </w:pPr>
    <w:rPr>
      <w:rFonts w:ascii="宋体"/>
      <w:kern w:val="0"/>
      <w:sz w:val="24"/>
    </w:rPr>
  </w:style>
  <w:style w:type="paragraph" w:styleId="6">
    <w:name w:val="heading 5"/>
    <w:basedOn w:val="1"/>
    <w:next w:val="1"/>
    <w:qFormat/>
    <w:uiPriority w:val="0"/>
    <w:pPr>
      <w:keepNext/>
      <w:tabs>
        <w:tab w:val="left" w:pos="600"/>
      </w:tabs>
      <w:adjustRightInd w:val="0"/>
      <w:snapToGrid w:val="0"/>
      <w:spacing w:before="100" w:after="60"/>
      <w:outlineLvl w:val="4"/>
    </w:pPr>
    <w:rPr>
      <w:rFonts w:ascii="宋体" w:hAnsi="宋体"/>
      <w:sz w:val="28"/>
    </w:rPr>
  </w:style>
  <w:style w:type="paragraph" w:styleId="7">
    <w:name w:val="heading 6"/>
    <w:basedOn w:val="1"/>
    <w:next w:val="1"/>
    <w:autoRedefine/>
    <w:qFormat/>
    <w:uiPriority w:val="0"/>
    <w:pPr>
      <w:numPr>
        <w:ilvl w:val="5"/>
        <w:numId w:val="1"/>
      </w:numPr>
      <w:adjustRightInd w:val="0"/>
      <w:spacing w:line="460" w:lineRule="exact"/>
      <w:jc w:val="left"/>
      <w:textAlignment w:val="baseline"/>
      <w:outlineLvl w:val="5"/>
    </w:pPr>
    <w:rPr>
      <w:kern w:val="0"/>
      <w:sz w:val="24"/>
    </w:rPr>
  </w:style>
  <w:style w:type="paragraph" w:styleId="8">
    <w:name w:val="heading 7"/>
    <w:basedOn w:val="1"/>
    <w:next w:val="1"/>
    <w:autoRedefine/>
    <w:qFormat/>
    <w:uiPriority w:val="0"/>
    <w:pPr>
      <w:numPr>
        <w:ilvl w:val="6"/>
        <w:numId w:val="1"/>
      </w:numPr>
      <w:adjustRightInd w:val="0"/>
      <w:spacing w:line="460" w:lineRule="exact"/>
      <w:jc w:val="left"/>
      <w:textAlignment w:val="baseline"/>
      <w:outlineLvl w:val="6"/>
    </w:pPr>
    <w:rPr>
      <w:kern w:val="0"/>
      <w:sz w:val="24"/>
    </w:rPr>
  </w:style>
  <w:style w:type="paragraph" w:styleId="9">
    <w:name w:val="heading 8"/>
    <w:basedOn w:val="1"/>
    <w:next w:val="1"/>
    <w:autoRedefine/>
    <w:qFormat/>
    <w:uiPriority w:val="0"/>
    <w:pPr>
      <w:numPr>
        <w:ilvl w:val="7"/>
        <w:numId w:val="1"/>
      </w:numPr>
      <w:adjustRightInd w:val="0"/>
      <w:spacing w:line="460" w:lineRule="exact"/>
      <w:jc w:val="left"/>
      <w:textAlignment w:val="baseline"/>
      <w:outlineLvl w:val="7"/>
    </w:pPr>
    <w:rPr>
      <w:kern w:val="0"/>
      <w:sz w:val="24"/>
    </w:rPr>
  </w:style>
  <w:style w:type="paragraph" w:styleId="10">
    <w:name w:val="heading 9"/>
    <w:basedOn w:val="1"/>
    <w:next w:val="1"/>
    <w:autoRedefine/>
    <w:qFormat/>
    <w:uiPriority w:val="0"/>
    <w:pPr>
      <w:keepNext/>
      <w:keepLines/>
      <w:numPr>
        <w:ilvl w:val="8"/>
        <w:numId w:val="1"/>
      </w:numPr>
      <w:adjustRightInd w:val="0"/>
      <w:spacing w:before="240" w:after="64" w:line="320" w:lineRule="atLeast"/>
      <w:jc w:val="left"/>
      <w:textAlignment w:val="baseline"/>
      <w:outlineLvl w:val="8"/>
    </w:pPr>
    <w:rPr>
      <w:rFonts w:ascii="Arial" w:hAnsi="Arial" w:eastAsia="黑体"/>
      <w:kern w:val="0"/>
      <w:sz w:val="24"/>
    </w:rPr>
  </w:style>
  <w:style w:type="character" w:default="1" w:styleId="50">
    <w:name w:val="Default Paragraph Font"/>
    <w:autoRedefine/>
    <w:semiHidden/>
    <w:unhideWhenUsed/>
    <w:qFormat/>
    <w:uiPriority w:val="1"/>
  </w:style>
  <w:style w:type="table" w:default="1" w:styleId="49">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qFormat/>
    <w:uiPriority w:val="0"/>
    <w:pPr>
      <w:ind w:left="1260"/>
      <w:jc w:val="left"/>
    </w:pPr>
  </w:style>
  <w:style w:type="paragraph" w:styleId="12">
    <w:name w:val="index 8"/>
    <w:basedOn w:val="1"/>
    <w:next w:val="1"/>
    <w:autoRedefine/>
    <w:qFormat/>
    <w:uiPriority w:val="0"/>
    <w:pPr>
      <w:autoSpaceDE w:val="0"/>
      <w:autoSpaceDN w:val="0"/>
      <w:adjustRightInd w:val="0"/>
      <w:spacing w:line="360" w:lineRule="atLeast"/>
      <w:ind w:left="2940"/>
      <w:jc w:val="left"/>
    </w:pPr>
    <w:rPr>
      <w:kern w:val="0"/>
      <w:sz w:val="20"/>
    </w:rPr>
  </w:style>
  <w:style w:type="paragraph" w:styleId="13">
    <w:name w:val="Normal Indent"/>
    <w:basedOn w:val="1"/>
    <w:autoRedefine/>
    <w:qFormat/>
    <w:uiPriority w:val="0"/>
    <w:pPr>
      <w:ind w:firstLine="420"/>
    </w:pPr>
  </w:style>
  <w:style w:type="paragraph" w:styleId="14">
    <w:name w:val="caption"/>
    <w:basedOn w:val="1"/>
    <w:next w:val="1"/>
    <w:autoRedefine/>
    <w:qFormat/>
    <w:uiPriority w:val="0"/>
    <w:pPr>
      <w:autoSpaceDE w:val="0"/>
      <w:autoSpaceDN w:val="0"/>
      <w:adjustRightInd w:val="0"/>
      <w:spacing w:before="152" w:after="160" w:line="360" w:lineRule="atLeast"/>
      <w:jc w:val="left"/>
    </w:pPr>
    <w:rPr>
      <w:rFonts w:ascii="Arial" w:hAnsi="Arial"/>
      <w:kern w:val="0"/>
      <w:sz w:val="20"/>
    </w:rPr>
  </w:style>
  <w:style w:type="paragraph" w:styleId="15">
    <w:name w:val="index 5"/>
    <w:basedOn w:val="1"/>
    <w:next w:val="1"/>
    <w:autoRedefine/>
    <w:qFormat/>
    <w:uiPriority w:val="0"/>
    <w:pPr>
      <w:autoSpaceDE w:val="0"/>
      <w:autoSpaceDN w:val="0"/>
      <w:adjustRightInd w:val="0"/>
      <w:spacing w:line="360" w:lineRule="atLeast"/>
      <w:ind w:left="1680"/>
      <w:jc w:val="left"/>
    </w:pPr>
    <w:rPr>
      <w:kern w:val="0"/>
      <w:sz w:val="20"/>
    </w:rPr>
  </w:style>
  <w:style w:type="paragraph" w:styleId="16">
    <w:name w:val="Document Map"/>
    <w:basedOn w:val="1"/>
    <w:autoRedefine/>
    <w:qFormat/>
    <w:uiPriority w:val="0"/>
    <w:pPr>
      <w:shd w:val="clear" w:color="auto" w:fill="000080"/>
      <w:adjustRightInd w:val="0"/>
      <w:spacing w:line="410" w:lineRule="atLeast"/>
      <w:jc w:val="left"/>
      <w:textAlignment w:val="baseline"/>
    </w:pPr>
    <w:rPr>
      <w:rFonts w:ascii="宋体"/>
      <w:kern w:val="0"/>
      <w:sz w:val="24"/>
    </w:rPr>
  </w:style>
  <w:style w:type="paragraph" w:styleId="17">
    <w:name w:val="annotation text"/>
    <w:basedOn w:val="1"/>
    <w:autoRedefine/>
    <w:qFormat/>
    <w:uiPriority w:val="0"/>
    <w:pPr>
      <w:jc w:val="left"/>
    </w:pPr>
  </w:style>
  <w:style w:type="paragraph" w:styleId="18">
    <w:name w:val="index 6"/>
    <w:basedOn w:val="1"/>
    <w:next w:val="1"/>
    <w:autoRedefine/>
    <w:qFormat/>
    <w:uiPriority w:val="0"/>
    <w:pPr>
      <w:autoSpaceDE w:val="0"/>
      <w:autoSpaceDN w:val="0"/>
      <w:adjustRightInd w:val="0"/>
      <w:spacing w:line="360" w:lineRule="atLeast"/>
      <w:ind w:left="2100"/>
      <w:jc w:val="left"/>
    </w:pPr>
    <w:rPr>
      <w:kern w:val="0"/>
      <w:sz w:val="20"/>
    </w:rPr>
  </w:style>
  <w:style w:type="paragraph" w:styleId="19">
    <w:name w:val="Body Text 3"/>
    <w:basedOn w:val="1"/>
    <w:autoRedefine/>
    <w:qFormat/>
    <w:uiPriority w:val="0"/>
    <w:pPr>
      <w:spacing w:after="120"/>
    </w:pPr>
    <w:rPr>
      <w:sz w:val="16"/>
    </w:rPr>
  </w:style>
  <w:style w:type="paragraph" w:styleId="20">
    <w:name w:val="Body Text"/>
    <w:basedOn w:val="1"/>
    <w:autoRedefine/>
    <w:qFormat/>
    <w:uiPriority w:val="0"/>
    <w:pPr>
      <w:tabs>
        <w:tab w:val="left" w:pos="720"/>
      </w:tabs>
      <w:adjustRightInd w:val="0"/>
      <w:spacing w:line="360" w:lineRule="auto"/>
      <w:textAlignment w:val="baseline"/>
    </w:pPr>
    <w:rPr>
      <w:rFonts w:ascii="宋体"/>
      <w:kern w:val="0"/>
      <w:sz w:val="28"/>
    </w:rPr>
  </w:style>
  <w:style w:type="paragraph" w:styleId="21">
    <w:name w:val="Body Text Indent"/>
    <w:basedOn w:val="1"/>
    <w:link w:val="126"/>
    <w:autoRedefine/>
    <w:qFormat/>
    <w:uiPriority w:val="0"/>
    <w:pPr>
      <w:spacing w:before="50" w:after="50" w:line="360" w:lineRule="auto"/>
      <w:ind w:firstLine="480" w:firstLineChars="200"/>
    </w:pPr>
    <w:rPr>
      <w:sz w:val="24"/>
    </w:rPr>
  </w:style>
  <w:style w:type="paragraph" w:styleId="22">
    <w:name w:val="Block Text"/>
    <w:basedOn w:val="1"/>
    <w:autoRedefine/>
    <w:qFormat/>
    <w:uiPriority w:val="0"/>
    <w:pPr>
      <w:adjustRightInd w:val="0"/>
      <w:ind w:left="425" w:right="-874" w:firstLine="180"/>
      <w:jc w:val="left"/>
      <w:textAlignment w:val="baseline"/>
    </w:pPr>
    <w:rPr>
      <w:sz w:val="24"/>
    </w:rPr>
  </w:style>
  <w:style w:type="paragraph" w:styleId="23">
    <w:name w:val="index 4"/>
    <w:basedOn w:val="1"/>
    <w:next w:val="1"/>
    <w:autoRedefine/>
    <w:qFormat/>
    <w:uiPriority w:val="0"/>
    <w:pPr>
      <w:autoSpaceDE w:val="0"/>
      <w:autoSpaceDN w:val="0"/>
      <w:adjustRightInd w:val="0"/>
      <w:spacing w:line="360" w:lineRule="atLeast"/>
      <w:ind w:left="1260"/>
      <w:jc w:val="left"/>
    </w:pPr>
    <w:rPr>
      <w:kern w:val="0"/>
      <w:sz w:val="20"/>
    </w:rPr>
  </w:style>
  <w:style w:type="paragraph" w:styleId="24">
    <w:name w:val="toc 5"/>
    <w:basedOn w:val="1"/>
    <w:next w:val="1"/>
    <w:autoRedefine/>
    <w:qFormat/>
    <w:uiPriority w:val="0"/>
    <w:pPr>
      <w:ind w:left="840"/>
      <w:jc w:val="left"/>
    </w:pPr>
  </w:style>
  <w:style w:type="paragraph" w:styleId="25">
    <w:name w:val="toc 3"/>
    <w:basedOn w:val="1"/>
    <w:next w:val="1"/>
    <w:autoRedefine/>
    <w:qFormat/>
    <w:uiPriority w:val="0"/>
    <w:pPr>
      <w:ind w:left="420"/>
      <w:jc w:val="left"/>
    </w:pPr>
    <w:rPr>
      <w:i/>
    </w:rPr>
  </w:style>
  <w:style w:type="paragraph" w:styleId="26">
    <w:name w:val="Plain Text"/>
    <w:basedOn w:val="1"/>
    <w:autoRedefine/>
    <w:qFormat/>
    <w:uiPriority w:val="0"/>
    <w:pPr>
      <w:adjustRightInd w:val="0"/>
      <w:jc w:val="left"/>
      <w:textAlignment w:val="baseline"/>
    </w:pPr>
    <w:rPr>
      <w:rFonts w:ascii="宋体" w:hAnsi="Courier New"/>
    </w:rPr>
  </w:style>
  <w:style w:type="paragraph" w:styleId="27">
    <w:name w:val="toc 8"/>
    <w:basedOn w:val="1"/>
    <w:next w:val="1"/>
    <w:autoRedefine/>
    <w:qFormat/>
    <w:uiPriority w:val="0"/>
    <w:pPr>
      <w:ind w:left="1470"/>
      <w:jc w:val="left"/>
    </w:pPr>
  </w:style>
  <w:style w:type="paragraph" w:styleId="28">
    <w:name w:val="index 3"/>
    <w:basedOn w:val="1"/>
    <w:next w:val="1"/>
    <w:autoRedefine/>
    <w:qFormat/>
    <w:uiPriority w:val="0"/>
    <w:pPr>
      <w:autoSpaceDE w:val="0"/>
      <w:autoSpaceDN w:val="0"/>
      <w:adjustRightInd w:val="0"/>
      <w:spacing w:line="360" w:lineRule="atLeast"/>
      <w:ind w:left="840"/>
      <w:jc w:val="left"/>
    </w:pPr>
    <w:rPr>
      <w:kern w:val="0"/>
      <w:sz w:val="20"/>
    </w:rPr>
  </w:style>
  <w:style w:type="paragraph" w:styleId="29">
    <w:name w:val="Date"/>
    <w:basedOn w:val="1"/>
    <w:next w:val="1"/>
    <w:autoRedefine/>
    <w:qFormat/>
    <w:uiPriority w:val="0"/>
    <w:pPr>
      <w:adjustRightInd w:val="0"/>
      <w:spacing w:line="410" w:lineRule="atLeast"/>
      <w:textAlignment w:val="baseline"/>
    </w:pPr>
    <w:rPr>
      <w:rFonts w:ascii="宋体"/>
      <w:kern w:val="0"/>
      <w:sz w:val="24"/>
    </w:rPr>
  </w:style>
  <w:style w:type="paragraph" w:styleId="30">
    <w:name w:val="Body Text Indent 2"/>
    <w:basedOn w:val="1"/>
    <w:qFormat/>
    <w:uiPriority w:val="0"/>
    <w:pPr>
      <w:adjustRightInd w:val="0"/>
      <w:spacing w:before="120" w:after="120" w:line="360" w:lineRule="auto"/>
      <w:ind w:right="204" w:firstLine="425"/>
      <w:textAlignment w:val="baseline"/>
    </w:pPr>
    <w:rPr>
      <w:rFonts w:ascii="宋体"/>
      <w:kern w:val="0"/>
      <w:sz w:val="24"/>
    </w:rPr>
  </w:style>
  <w:style w:type="paragraph" w:styleId="31">
    <w:name w:val="Balloon Text"/>
    <w:basedOn w:val="1"/>
    <w:qFormat/>
    <w:uiPriority w:val="0"/>
    <w:rPr>
      <w:sz w:val="18"/>
    </w:rPr>
  </w:style>
  <w:style w:type="paragraph" w:styleId="32">
    <w:name w:val="footer"/>
    <w:basedOn w:val="1"/>
    <w:autoRedefine/>
    <w:qFormat/>
    <w:uiPriority w:val="0"/>
    <w:pPr>
      <w:tabs>
        <w:tab w:val="center" w:pos="4320"/>
        <w:tab w:val="right" w:pos="8640"/>
      </w:tabs>
      <w:snapToGrid w:val="0"/>
      <w:jc w:val="left"/>
    </w:pPr>
    <w:rPr>
      <w:sz w:val="18"/>
    </w:rPr>
  </w:style>
  <w:style w:type="paragraph" w:styleId="33">
    <w:name w:val="header"/>
    <w:basedOn w:val="1"/>
    <w:link w:val="61"/>
    <w:autoRedefine/>
    <w:qFormat/>
    <w:uiPriority w:val="0"/>
    <w:pPr>
      <w:pBdr>
        <w:bottom w:val="single" w:color="auto" w:sz="6" w:space="1"/>
      </w:pBdr>
      <w:tabs>
        <w:tab w:val="center" w:pos="4320"/>
        <w:tab w:val="right" w:pos="8640"/>
      </w:tabs>
      <w:snapToGrid w:val="0"/>
      <w:jc w:val="center"/>
    </w:pPr>
    <w:rPr>
      <w:sz w:val="18"/>
    </w:rPr>
  </w:style>
  <w:style w:type="paragraph" w:styleId="34">
    <w:name w:val="toc 1"/>
    <w:basedOn w:val="1"/>
    <w:next w:val="1"/>
    <w:autoRedefine/>
    <w:qFormat/>
    <w:uiPriority w:val="39"/>
    <w:pPr>
      <w:spacing w:before="120" w:after="120"/>
      <w:jc w:val="left"/>
    </w:pPr>
    <w:rPr>
      <w:b/>
      <w:caps/>
    </w:rPr>
  </w:style>
  <w:style w:type="paragraph" w:styleId="35">
    <w:name w:val="toc 4"/>
    <w:basedOn w:val="1"/>
    <w:next w:val="1"/>
    <w:autoRedefine/>
    <w:qFormat/>
    <w:uiPriority w:val="0"/>
    <w:pPr>
      <w:tabs>
        <w:tab w:val="left" w:pos="580"/>
      </w:tabs>
      <w:snapToGrid w:val="0"/>
      <w:jc w:val="center"/>
    </w:pPr>
  </w:style>
  <w:style w:type="paragraph" w:styleId="36">
    <w:name w:val="index heading"/>
    <w:basedOn w:val="1"/>
    <w:next w:val="37"/>
    <w:autoRedefine/>
    <w:qFormat/>
    <w:uiPriority w:val="0"/>
    <w:pPr>
      <w:autoSpaceDE w:val="0"/>
      <w:autoSpaceDN w:val="0"/>
      <w:adjustRightInd w:val="0"/>
      <w:spacing w:line="360" w:lineRule="atLeast"/>
      <w:jc w:val="left"/>
    </w:pPr>
    <w:rPr>
      <w:kern w:val="0"/>
      <w:sz w:val="20"/>
    </w:rPr>
  </w:style>
  <w:style w:type="paragraph" w:styleId="37">
    <w:name w:val="index 1"/>
    <w:basedOn w:val="1"/>
    <w:next w:val="1"/>
    <w:qFormat/>
    <w:uiPriority w:val="0"/>
    <w:pPr>
      <w:spacing w:beforeLines="50"/>
    </w:pPr>
    <w:rPr>
      <w:sz w:val="24"/>
    </w:rPr>
  </w:style>
  <w:style w:type="paragraph" w:styleId="38">
    <w:name w:val="toc 6"/>
    <w:basedOn w:val="1"/>
    <w:next w:val="1"/>
    <w:autoRedefine/>
    <w:qFormat/>
    <w:uiPriority w:val="0"/>
    <w:pPr>
      <w:ind w:left="1050"/>
      <w:jc w:val="left"/>
    </w:pPr>
  </w:style>
  <w:style w:type="paragraph" w:styleId="39">
    <w:name w:val="Body Text Indent 3"/>
    <w:basedOn w:val="1"/>
    <w:qFormat/>
    <w:uiPriority w:val="0"/>
    <w:pPr>
      <w:adjustRightInd w:val="0"/>
      <w:spacing w:line="360" w:lineRule="auto"/>
      <w:ind w:left="454"/>
      <w:textAlignment w:val="baseline"/>
    </w:pPr>
    <w:rPr>
      <w:rFonts w:ascii="宋体"/>
      <w:kern w:val="0"/>
      <w:sz w:val="24"/>
    </w:rPr>
  </w:style>
  <w:style w:type="paragraph" w:styleId="40">
    <w:name w:val="index 7"/>
    <w:basedOn w:val="1"/>
    <w:next w:val="1"/>
    <w:autoRedefine/>
    <w:qFormat/>
    <w:uiPriority w:val="0"/>
    <w:pPr>
      <w:autoSpaceDE w:val="0"/>
      <w:autoSpaceDN w:val="0"/>
      <w:adjustRightInd w:val="0"/>
      <w:spacing w:line="360" w:lineRule="atLeast"/>
      <w:ind w:left="2520"/>
      <w:jc w:val="left"/>
    </w:pPr>
    <w:rPr>
      <w:kern w:val="0"/>
      <w:sz w:val="20"/>
    </w:rPr>
  </w:style>
  <w:style w:type="paragraph" w:styleId="41">
    <w:name w:val="index 9"/>
    <w:basedOn w:val="1"/>
    <w:next w:val="1"/>
    <w:qFormat/>
    <w:uiPriority w:val="0"/>
    <w:pPr>
      <w:autoSpaceDE w:val="0"/>
      <w:autoSpaceDN w:val="0"/>
      <w:adjustRightInd w:val="0"/>
      <w:spacing w:line="360" w:lineRule="atLeast"/>
      <w:ind w:left="3360"/>
      <w:jc w:val="left"/>
    </w:pPr>
    <w:rPr>
      <w:kern w:val="0"/>
      <w:sz w:val="20"/>
    </w:rPr>
  </w:style>
  <w:style w:type="paragraph" w:styleId="42">
    <w:name w:val="toc 2"/>
    <w:basedOn w:val="1"/>
    <w:next w:val="1"/>
    <w:autoRedefine/>
    <w:qFormat/>
    <w:uiPriority w:val="0"/>
    <w:pPr>
      <w:ind w:left="210"/>
      <w:jc w:val="left"/>
    </w:pPr>
    <w:rPr>
      <w:smallCaps/>
    </w:rPr>
  </w:style>
  <w:style w:type="paragraph" w:styleId="43">
    <w:name w:val="toc 9"/>
    <w:basedOn w:val="1"/>
    <w:next w:val="1"/>
    <w:autoRedefine/>
    <w:qFormat/>
    <w:uiPriority w:val="0"/>
    <w:pPr>
      <w:ind w:left="1680"/>
      <w:jc w:val="left"/>
    </w:pPr>
  </w:style>
  <w:style w:type="paragraph" w:styleId="44">
    <w:name w:val="Body Text 2"/>
    <w:basedOn w:val="1"/>
    <w:autoRedefine/>
    <w:qFormat/>
    <w:uiPriority w:val="0"/>
    <w:pPr>
      <w:spacing w:beforeLines="50" w:line="360" w:lineRule="auto"/>
    </w:pPr>
    <w:rPr>
      <w:sz w:val="24"/>
    </w:rPr>
  </w:style>
  <w:style w:type="paragraph" w:styleId="45">
    <w:name w:val="Normal (Web)"/>
    <w:basedOn w:val="1"/>
    <w:qFormat/>
    <w:uiPriority w:val="0"/>
    <w:pPr>
      <w:widowControl/>
      <w:spacing w:before="100" w:beforeAutospacing="1" w:after="100" w:afterAutospacing="1"/>
      <w:jc w:val="left"/>
    </w:pPr>
    <w:rPr>
      <w:rFonts w:ascii="宋体" w:hAnsi="宋体"/>
      <w:kern w:val="0"/>
      <w:sz w:val="24"/>
    </w:rPr>
  </w:style>
  <w:style w:type="paragraph" w:styleId="46">
    <w:name w:val="index 2"/>
    <w:basedOn w:val="1"/>
    <w:next w:val="1"/>
    <w:qFormat/>
    <w:uiPriority w:val="0"/>
    <w:pPr>
      <w:adjustRightInd w:val="0"/>
      <w:spacing w:line="460" w:lineRule="exact"/>
      <w:ind w:left="480" w:hanging="240"/>
      <w:jc w:val="left"/>
      <w:textAlignment w:val="baseline"/>
    </w:pPr>
    <w:rPr>
      <w:kern w:val="0"/>
      <w:sz w:val="20"/>
    </w:rPr>
  </w:style>
  <w:style w:type="paragraph" w:styleId="47">
    <w:name w:val="annotation subject"/>
    <w:basedOn w:val="17"/>
    <w:next w:val="17"/>
    <w:qFormat/>
    <w:uiPriority w:val="0"/>
    <w:rPr>
      <w:b/>
    </w:rPr>
  </w:style>
  <w:style w:type="paragraph" w:styleId="48">
    <w:name w:val="Body Text First Indent 2"/>
    <w:basedOn w:val="21"/>
    <w:link w:val="127"/>
    <w:semiHidden/>
    <w:unhideWhenUsed/>
    <w:qFormat/>
    <w:uiPriority w:val="0"/>
    <w:pPr>
      <w:spacing w:before="0" w:after="120" w:line="240" w:lineRule="auto"/>
      <w:ind w:left="420" w:leftChars="200" w:firstLine="420"/>
    </w:pPr>
    <w:rPr>
      <w:sz w:val="21"/>
    </w:rPr>
  </w:style>
  <w:style w:type="character" w:styleId="51">
    <w:name w:val="page number"/>
    <w:basedOn w:val="50"/>
    <w:autoRedefine/>
    <w:qFormat/>
    <w:uiPriority w:val="0"/>
  </w:style>
  <w:style w:type="character" w:styleId="52">
    <w:name w:val="FollowedHyperlink"/>
    <w:autoRedefine/>
    <w:qFormat/>
    <w:uiPriority w:val="0"/>
    <w:rPr>
      <w:color w:val="800080"/>
      <w:u w:val="single"/>
    </w:rPr>
  </w:style>
  <w:style w:type="character" w:styleId="53">
    <w:name w:val="HTML Typewriter"/>
    <w:qFormat/>
    <w:uiPriority w:val="0"/>
    <w:rPr>
      <w:rFonts w:ascii="Courier New" w:hAnsi="Courier New"/>
      <w:sz w:val="20"/>
    </w:rPr>
  </w:style>
  <w:style w:type="character" w:styleId="54">
    <w:name w:val="Hyperlink"/>
    <w:autoRedefine/>
    <w:qFormat/>
    <w:uiPriority w:val="99"/>
    <w:rPr>
      <w:color w:val="0000FF"/>
      <w:u w:val="single"/>
    </w:rPr>
  </w:style>
  <w:style w:type="character" w:styleId="55">
    <w:name w:val="annotation reference"/>
    <w:autoRedefine/>
    <w:qFormat/>
    <w:uiPriority w:val="0"/>
    <w:rPr>
      <w:sz w:val="21"/>
    </w:rPr>
  </w:style>
  <w:style w:type="character" w:customStyle="1" w:styleId="56">
    <w:name w:val="不同e"/>
    <w:qFormat/>
    <w:uiPriority w:val="0"/>
    <w:rPr>
      <w:rFonts w:ascii="宋体" w:hAnsi="宋体" w:eastAsia="宋体"/>
      <w:color w:val="FF0000"/>
      <w:kern w:val="22"/>
      <w:sz w:val="22"/>
    </w:rPr>
  </w:style>
  <w:style w:type="character" w:customStyle="1" w:styleId="57">
    <w:name w:val="批注框文本 Char"/>
    <w:link w:val="58"/>
    <w:autoRedefine/>
    <w:qFormat/>
    <w:uiPriority w:val="0"/>
    <w:rPr>
      <w:rFonts w:eastAsia="宋体"/>
      <w:kern w:val="2"/>
      <w:sz w:val="18"/>
      <w:lang w:val="en-US" w:eastAsia="zh-CN"/>
    </w:rPr>
  </w:style>
  <w:style w:type="paragraph" w:customStyle="1" w:styleId="58">
    <w:name w:val="Char"/>
    <w:basedOn w:val="1"/>
    <w:link w:val="57"/>
    <w:qFormat/>
    <w:uiPriority w:val="0"/>
    <w:rPr>
      <w:sz w:val="18"/>
    </w:rPr>
  </w:style>
  <w:style w:type="character" w:customStyle="1" w:styleId="59">
    <w:name w:val="上标e"/>
    <w:autoRedefine/>
    <w:qFormat/>
    <w:uiPriority w:val="0"/>
    <w:rPr>
      <w:rFonts w:ascii="宋体" w:hAnsi="宋体" w:eastAsia="宋体"/>
      <w:color w:val="FF00FF"/>
      <w:kern w:val="22"/>
      <w:sz w:val="22"/>
      <w:vertAlign w:val="superscript"/>
    </w:rPr>
  </w:style>
  <w:style w:type="character" w:customStyle="1" w:styleId="60">
    <w:name w:val="普通文字 Char1"/>
    <w:autoRedefine/>
    <w:qFormat/>
    <w:uiPriority w:val="0"/>
    <w:rPr>
      <w:rFonts w:ascii="宋体" w:hAnsi="Courier New" w:eastAsia="宋体"/>
      <w:kern w:val="2"/>
      <w:sz w:val="21"/>
      <w:lang w:val="en-US" w:eastAsia="zh-CN"/>
    </w:rPr>
  </w:style>
  <w:style w:type="character" w:customStyle="1" w:styleId="61">
    <w:name w:val="页眉 字符"/>
    <w:link w:val="33"/>
    <w:qFormat/>
    <w:uiPriority w:val="0"/>
    <w:rPr>
      <w:rFonts w:eastAsia="宋体"/>
      <w:kern w:val="2"/>
      <w:sz w:val="18"/>
      <w:lang w:val="en-US" w:eastAsia="zh-CN"/>
    </w:rPr>
  </w:style>
  <w:style w:type="character" w:customStyle="1" w:styleId="62">
    <w:name w:val="原文22"/>
    <w:qFormat/>
    <w:uiPriority w:val="0"/>
    <w:rPr>
      <w:rFonts w:ascii="Times New Roman" w:hAnsi="Times New Roman" w:eastAsia="宋体"/>
      <w:color w:val="0000FF"/>
      <w:kern w:val="22"/>
      <w:sz w:val="22"/>
    </w:rPr>
  </w:style>
  <w:style w:type="character" w:customStyle="1" w:styleId="63">
    <w:name w:val="下标e"/>
    <w:autoRedefine/>
    <w:qFormat/>
    <w:uiPriority w:val="0"/>
    <w:rPr>
      <w:rFonts w:ascii="宋体" w:hAnsi="宋体" w:eastAsia="宋体"/>
      <w:color w:val="FF00FF"/>
      <w:kern w:val="22"/>
      <w:sz w:val="22"/>
      <w:vertAlign w:val="subscript"/>
    </w:rPr>
  </w:style>
  <w:style w:type="character" w:customStyle="1" w:styleId="64">
    <w:name w:val="正文文字 Char"/>
    <w:autoRedefine/>
    <w:qFormat/>
    <w:uiPriority w:val="0"/>
    <w:rPr>
      <w:rFonts w:ascii="宋体" w:eastAsia="宋体"/>
      <w:kern w:val="2"/>
      <w:sz w:val="28"/>
      <w:lang w:val="en-US" w:eastAsia="zh-CN"/>
    </w:rPr>
  </w:style>
  <w:style w:type="character" w:customStyle="1" w:styleId="65">
    <w:name w:val="样式 普通文字 + 黑色 Char"/>
    <w:link w:val="66"/>
    <w:autoRedefine/>
    <w:qFormat/>
    <w:uiPriority w:val="0"/>
    <w:rPr>
      <w:rFonts w:ascii="宋体" w:hAnsi="Courier New" w:eastAsia="宋体"/>
      <w:color w:val="000000"/>
      <w:kern w:val="2"/>
      <w:sz w:val="24"/>
      <w:lang w:val="en-US" w:eastAsia="zh-CN"/>
    </w:rPr>
  </w:style>
  <w:style w:type="paragraph" w:customStyle="1" w:styleId="66">
    <w:name w:val="样式 普通文字 + 黑色"/>
    <w:basedOn w:val="26"/>
    <w:link w:val="65"/>
    <w:autoRedefine/>
    <w:qFormat/>
    <w:uiPriority w:val="0"/>
    <w:pPr>
      <w:keepNext/>
      <w:tabs>
        <w:tab w:val="left" w:pos="2694"/>
      </w:tabs>
      <w:adjustRightInd/>
      <w:spacing w:line="360" w:lineRule="auto"/>
      <w:ind w:firstLine="426"/>
      <w:jc w:val="both"/>
      <w:textAlignment w:val="auto"/>
    </w:pPr>
    <w:rPr>
      <w:color w:val="000000"/>
      <w:sz w:val="24"/>
    </w:rPr>
  </w:style>
  <w:style w:type="character" w:customStyle="1" w:styleId="67">
    <w:name w:val="g1"/>
    <w:qFormat/>
    <w:uiPriority w:val="0"/>
    <w:rPr>
      <w:color w:val="008000"/>
    </w:rPr>
  </w:style>
  <w:style w:type="character" w:customStyle="1" w:styleId="68">
    <w:name w:val="标题 2 字符"/>
    <w:link w:val="3"/>
    <w:autoRedefine/>
    <w:qFormat/>
    <w:uiPriority w:val="0"/>
    <w:rPr>
      <w:rFonts w:ascii="宋体" w:hAnsi="宋体"/>
      <w:b/>
      <w:sz w:val="30"/>
    </w:rPr>
  </w:style>
  <w:style w:type="paragraph" w:customStyle="1" w:styleId="69">
    <w:name w:val="表格"/>
    <w:basedOn w:val="1"/>
    <w:autoRedefine/>
    <w:qFormat/>
    <w:uiPriority w:val="0"/>
    <w:pPr>
      <w:adjustRightInd w:val="0"/>
      <w:spacing w:before="60" w:after="60"/>
      <w:jc w:val="center"/>
      <w:textAlignment w:val="baseline"/>
    </w:pPr>
    <w:rPr>
      <w:rFonts w:ascii="宋体"/>
      <w:kern w:val="0"/>
      <w:sz w:val="24"/>
    </w:rPr>
  </w:style>
  <w:style w:type="paragraph" w:customStyle="1" w:styleId="70">
    <w:name w:val="正文1"/>
    <w:basedOn w:val="1"/>
    <w:qFormat/>
    <w:uiPriority w:val="0"/>
    <w:pPr>
      <w:adjustRightInd w:val="0"/>
      <w:spacing w:line="360" w:lineRule="atLeast"/>
      <w:jc w:val="left"/>
      <w:textAlignment w:val="baseline"/>
    </w:pPr>
    <w:rPr>
      <w:rFonts w:ascii="宋体"/>
      <w:kern w:val="0"/>
      <w:sz w:val="24"/>
    </w:rPr>
  </w:style>
  <w:style w:type="paragraph" w:customStyle="1" w:styleId="71">
    <w:name w:val="表格文字"/>
    <w:qFormat/>
    <w:uiPriority w:val="0"/>
    <w:pPr>
      <w:widowControl w:val="0"/>
      <w:autoSpaceDE w:val="0"/>
      <w:autoSpaceDN w:val="0"/>
      <w:adjustRightInd w:val="0"/>
      <w:jc w:val="both"/>
    </w:pPr>
    <w:rPr>
      <w:rFonts w:ascii="Times New Roman" w:hAnsi="Times New Roman" w:eastAsia="宋体" w:cs="Times New Roman"/>
      <w:color w:val="000000"/>
      <w:lang w:val="en-US" w:eastAsia="zh-CN" w:bidi="ar-SA"/>
    </w:rPr>
  </w:style>
  <w:style w:type="paragraph" w:customStyle="1" w:styleId="72">
    <w:name w:val="样式1"/>
    <w:basedOn w:val="1"/>
    <w:autoRedefine/>
    <w:qFormat/>
    <w:uiPriority w:val="0"/>
    <w:pPr>
      <w:adjustRightInd w:val="0"/>
      <w:spacing w:line="420" w:lineRule="auto"/>
      <w:jc w:val="center"/>
      <w:textAlignment w:val="baseline"/>
    </w:pPr>
    <w:rPr>
      <w:rFonts w:ascii="宋体"/>
      <w:kern w:val="0"/>
      <w:sz w:val="24"/>
    </w:rPr>
  </w:style>
  <w:style w:type="paragraph" w:customStyle="1" w:styleId="73">
    <w:name w:val="Char Char Char Char Char Char"/>
    <w:basedOn w:val="1"/>
    <w:qFormat/>
    <w:uiPriority w:val="0"/>
    <w:pPr>
      <w:adjustRightInd w:val="0"/>
      <w:spacing w:line="360" w:lineRule="atLeast"/>
      <w:jc w:val="left"/>
      <w:textAlignment w:val="baseline"/>
    </w:pPr>
    <w:rPr>
      <w:kern w:val="0"/>
      <w:sz w:val="24"/>
    </w:rPr>
  </w:style>
  <w:style w:type="paragraph" w:customStyle="1" w:styleId="74">
    <w:name w:val="标准"/>
    <w:basedOn w:val="1"/>
    <w:autoRedefine/>
    <w:qFormat/>
    <w:uiPriority w:val="0"/>
    <w:pPr>
      <w:wordWrap w:val="0"/>
      <w:overflowPunct w:val="0"/>
      <w:autoSpaceDE w:val="0"/>
      <w:autoSpaceDN w:val="0"/>
      <w:adjustRightInd w:val="0"/>
      <w:spacing w:line="300" w:lineRule="auto"/>
      <w:ind w:firstLine="480"/>
      <w:textAlignment w:val="baseline"/>
    </w:pPr>
    <w:rPr>
      <w:rFonts w:ascii="宋体" w:hAnsi="MS Sans Serif"/>
      <w:kern w:val="0"/>
      <w:sz w:val="24"/>
    </w:rPr>
  </w:style>
  <w:style w:type="paragraph" w:customStyle="1" w:styleId="75">
    <w:name w:val="简单回函地址"/>
    <w:basedOn w:val="1"/>
    <w:autoRedefine/>
    <w:qFormat/>
    <w:uiPriority w:val="0"/>
  </w:style>
  <w:style w:type="paragraph" w:customStyle="1" w:styleId="76">
    <w:name w:val="(1)"/>
    <w:basedOn w:val="1"/>
    <w:autoRedefine/>
    <w:qFormat/>
    <w:uiPriority w:val="0"/>
    <w:pPr>
      <w:tabs>
        <w:tab w:val="left" w:pos="573"/>
      </w:tabs>
      <w:adjustRightInd w:val="0"/>
      <w:snapToGrid w:val="0"/>
      <w:spacing w:before="80" w:after="100" w:line="240" w:lineRule="atLeast"/>
      <w:textAlignment w:val="baseline"/>
    </w:pPr>
    <w:rPr>
      <w:rFonts w:ascii="Arial" w:hAnsi="Arial"/>
      <w:kern w:val="44"/>
      <w:sz w:val="24"/>
    </w:rPr>
  </w:style>
  <w:style w:type="paragraph" w:customStyle="1" w:styleId="77">
    <w:name w:val="table76"/>
    <w:qFormat/>
    <w:uiPriority w:val="0"/>
    <w:pPr>
      <w:keepLines/>
      <w:widowControl w:val="0"/>
      <w:suppressLineNumbers/>
      <w:tabs>
        <w:tab w:val="decimal" w:pos="300"/>
        <w:tab w:val="decimal" w:pos="1300"/>
        <w:tab w:val="decimal" w:pos="2160"/>
        <w:tab w:val="left" w:pos="2440"/>
        <w:tab w:val="left" w:pos="5740"/>
        <w:tab w:val="decimal" w:pos="7740"/>
        <w:tab w:val="decimal" w:pos="9480"/>
      </w:tabs>
      <w:autoSpaceDE w:val="0"/>
      <w:autoSpaceDN w:val="0"/>
      <w:adjustRightInd w:val="0"/>
      <w:ind w:right="-1540"/>
      <w:textAlignment w:val="baseline"/>
    </w:pPr>
    <w:rPr>
      <w:rFonts w:ascii="宋体" w:hAnsi="Times New Roman" w:eastAsia="宋体" w:cs="Times New Roman"/>
      <w:sz w:val="24"/>
      <w:lang w:val="en-US" w:eastAsia="zh-CN" w:bidi="ar-SA"/>
    </w:rPr>
  </w:style>
  <w:style w:type="paragraph" w:customStyle="1" w:styleId="78">
    <w:name w:val="尾注文字"/>
    <w:basedOn w:val="1"/>
    <w:autoRedefine/>
    <w:qFormat/>
    <w:uiPriority w:val="0"/>
    <w:pPr>
      <w:autoSpaceDE w:val="0"/>
      <w:autoSpaceDN w:val="0"/>
      <w:adjustRightInd w:val="0"/>
      <w:spacing w:line="360" w:lineRule="atLeast"/>
      <w:jc w:val="left"/>
    </w:pPr>
    <w:rPr>
      <w:kern w:val="0"/>
      <w:sz w:val="20"/>
    </w:rPr>
  </w:style>
  <w:style w:type="paragraph" w:customStyle="1" w:styleId="79">
    <w:name w:val="xl49"/>
    <w:basedOn w:val="1"/>
    <w:qFormat/>
    <w:uiPriority w:val="0"/>
    <w:pPr>
      <w:widowControl/>
      <w:spacing w:before="100" w:after="100"/>
      <w:jc w:val="center"/>
      <w:textAlignment w:val="center"/>
    </w:pPr>
    <w:rPr>
      <w:rFonts w:ascii="宋体" w:hAnsi="宋体"/>
      <w:kern w:val="0"/>
      <w:sz w:val="24"/>
    </w:rPr>
  </w:style>
  <w:style w:type="paragraph" w:customStyle="1" w:styleId="80">
    <w:name w:val="table83"/>
    <w:autoRedefine/>
    <w:qFormat/>
    <w:uiPriority w:val="0"/>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hAnsi="Times New Roman" w:eastAsia="宋体" w:cs="Times New Roman"/>
      <w:sz w:val="24"/>
      <w:lang w:val="en-US" w:eastAsia="zh-CN" w:bidi="ar-SA"/>
    </w:rPr>
  </w:style>
  <w:style w:type="paragraph" w:customStyle="1" w:styleId="81">
    <w:name w:val="TOC 标题1"/>
    <w:basedOn w:val="2"/>
    <w:next w:val="1"/>
    <w:qFormat/>
    <w:uiPriority w:val="0"/>
    <w:pPr>
      <w:widowControl/>
      <w:snapToGrid/>
      <w:spacing w:before="480" w:line="276" w:lineRule="auto"/>
      <w:jc w:val="left"/>
      <w:outlineLvl w:val="9"/>
    </w:pPr>
    <w:rPr>
      <w:rFonts w:ascii="Cambria" w:hAnsi="Cambria"/>
      <w:color w:val="365F91"/>
      <w:kern w:val="0"/>
    </w:rPr>
  </w:style>
  <w:style w:type="paragraph" w:customStyle="1" w:styleId="82">
    <w:name w:val="样式2"/>
    <w:basedOn w:val="1"/>
    <w:autoRedefine/>
    <w:qFormat/>
    <w:uiPriority w:val="0"/>
    <w:pPr>
      <w:adjustRightInd w:val="0"/>
      <w:spacing w:line="410" w:lineRule="atLeast"/>
      <w:jc w:val="left"/>
      <w:textAlignment w:val="baseline"/>
    </w:pPr>
    <w:rPr>
      <w:kern w:val="0"/>
      <w:sz w:val="24"/>
    </w:rPr>
  </w:style>
  <w:style w:type="paragraph" w:customStyle="1" w:styleId="83">
    <w:name w:val="Char Char Char Char"/>
    <w:basedOn w:val="1"/>
    <w:autoRedefine/>
    <w:qFormat/>
    <w:uiPriority w:val="0"/>
  </w:style>
  <w:style w:type="paragraph" w:customStyle="1" w:styleId="84">
    <w:name w:val="正文文本 31"/>
    <w:basedOn w:val="1"/>
    <w:autoRedefine/>
    <w:qFormat/>
    <w:uiPriority w:val="0"/>
    <w:pPr>
      <w:adjustRightInd w:val="0"/>
      <w:spacing w:line="360" w:lineRule="auto"/>
      <w:jc w:val="center"/>
      <w:textAlignment w:val="baseline"/>
    </w:pPr>
    <w:rPr>
      <w:rFonts w:ascii="宋体"/>
      <w:b/>
      <w:color w:val="FF0000"/>
      <w:kern w:val="0"/>
      <w:sz w:val="24"/>
      <w:u w:val="single"/>
    </w:rPr>
  </w:style>
  <w:style w:type="paragraph" w:customStyle="1" w:styleId="85">
    <w:name w:val="2"/>
    <w:basedOn w:val="1"/>
    <w:next w:val="13"/>
    <w:qFormat/>
    <w:uiPriority w:val="0"/>
    <w:pPr>
      <w:spacing w:before="60" w:after="60" w:line="240" w:lineRule="atLeast"/>
      <w:ind w:firstLine="510"/>
    </w:pPr>
    <w:rPr>
      <w:sz w:val="24"/>
    </w:rPr>
  </w:style>
  <w:style w:type="paragraph" w:customStyle="1" w:styleId="86">
    <w:name w:val="正文文本缩进 21"/>
    <w:basedOn w:val="1"/>
    <w:autoRedefine/>
    <w:qFormat/>
    <w:uiPriority w:val="0"/>
    <w:pPr>
      <w:adjustRightInd w:val="0"/>
      <w:spacing w:line="300" w:lineRule="auto"/>
      <w:ind w:firstLine="600"/>
      <w:jc w:val="left"/>
    </w:pPr>
    <w:rPr>
      <w:kern w:val="0"/>
      <w:sz w:val="28"/>
    </w:rPr>
  </w:style>
  <w:style w:type="paragraph" w:customStyle="1" w:styleId="87">
    <w:name w:val="para77"/>
    <w:autoRedefine/>
    <w:qFormat/>
    <w:uiPriority w:val="0"/>
    <w:pPr>
      <w:widowControl w:val="0"/>
      <w:suppressLineNumbers/>
      <w:tabs>
        <w:tab w:val="left" w:pos="3060"/>
      </w:tabs>
      <w:autoSpaceDE w:val="0"/>
      <w:autoSpaceDN w:val="0"/>
      <w:adjustRightInd w:val="0"/>
      <w:ind w:left="3060" w:hanging="1560"/>
      <w:textAlignment w:val="baseline"/>
    </w:pPr>
    <w:rPr>
      <w:rFonts w:ascii="宋体" w:hAnsi="Times New Roman" w:eastAsia="宋体" w:cs="Times New Roman"/>
      <w:sz w:val="24"/>
      <w:lang w:val="en-US" w:eastAsia="zh-CN" w:bidi="ar-SA"/>
    </w:rPr>
  </w:style>
  <w:style w:type="paragraph" w:customStyle="1" w:styleId="88">
    <w:name w:val="标题1"/>
    <w:basedOn w:val="2"/>
    <w:qFormat/>
    <w:uiPriority w:val="0"/>
    <w:pPr>
      <w:numPr>
        <w:ilvl w:val="0"/>
        <w:numId w:val="2"/>
      </w:numPr>
      <w:adjustRightInd w:val="0"/>
      <w:snapToGrid/>
      <w:spacing w:before="120"/>
      <w:jc w:val="left"/>
      <w:textAlignment w:val="baseline"/>
    </w:pPr>
    <w:rPr>
      <w:rFonts w:ascii="Times New Roman"/>
    </w:rPr>
  </w:style>
  <w:style w:type="paragraph" w:customStyle="1" w:styleId="89">
    <w:name w:val="Char1"/>
    <w:basedOn w:val="1"/>
    <w:autoRedefine/>
    <w:qFormat/>
    <w:uiPriority w:val="0"/>
    <w:pPr>
      <w:spacing w:line="360" w:lineRule="auto"/>
      <w:ind w:firstLine="200" w:firstLineChars="200"/>
    </w:pPr>
    <w:rPr>
      <w:rFonts w:ascii="宋体" w:hAnsi="宋体"/>
      <w:sz w:val="24"/>
    </w:rPr>
  </w:style>
  <w:style w:type="paragraph" w:customStyle="1" w:styleId="90">
    <w:name w:val="我的正文格式"/>
    <w:basedOn w:val="1"/>
    <w:next w:val="1"/>
    <w:autoRedefine/>
    <w:qFormat/>
    <w:uiPriority w:val="0"/>
    <w:pPr>
      <w:snapToGrid w:val="0"/>
      <w:spacing w:line="360" w:lineRule="auto"/>
    </w:pPr>
    <w:rPr>
      <w:kern w:val="16"/>
      <w:sz w:val="24"/>
    </w:rPr>
  </w:style>
  <w:style w:type="paragraph" w:customStyle="1" w:styleId="91">
    <w:name w:val="tll"/>
    <w:basedOn w:val="1"/>
    <w:autoRedefine/>
    <w:qFormat/>
    <w:uiPriority w:val="0"/>
    <w:pPr>
      <w:autoSpaceDE w:val="0"/>
      <w:autoSpaceDN w:val="0"/>
      <w:adjustRightInd w:val="0"/>
      <w:snapToGrid w:val="0"/>
      <w:textAlignment w:val="baseline"/>
    </w:pPr>
    <w:rPr>
      <w:rFonts w:ascii="仿宋_GB2312" w:hAnsi="Arial" w:eastAsia="仿宋_GB2312"/>
      <w:kern w:val="0"/>
    </w:rPr>
  </w:style>
  <w:style w:type="paragraph" w:customStyle="1" w:styleId="92">
    <w:name w:val="table91"/>
    <w:qFormat/>
    <w:uiPriority w:val="0"/>
    <w:pPr>
      <w:keepLines/>
      <w:widowControl w:val="0"/>
      <w:suppressLineNumbers/>
      <w:tabs>
        <w:tab w:val="decimal" w:pos="740"/>
        <w:tab w:val="decimal" w:pos="1760"/>
        <w:tab w:val="decimal" w:pos="2620"/>
        <w:tab w:val="decimal" w:pos="3560"/>
        <w:tab w:val="decimal" w:pos="5240"/>
        <w:tab w:val="decimal" w:pos="6600"/>
        <w:tab w:val="decimal" w:pos="7380"/>
      </w:tabs>
      <w:autoSpaceDE w:val="0"/>
      <w:autoSpaceDN w:val="0"/>
      <w:adjustRightInd w:val="0"/>
      <w:textAlignment w:val="baseline"/>
    </w:pPr>
    <w:rPr>
      <w:rFonts w:ascii="宋体" w:hAnsi="Times New Roman" w:eastAsia="宋体" w:cs="Times New Roman"/>
      <w:sz w:val="24"/>
      <w:lang w:val="en-US" w:eastAsia="zh-CN" w:bidi="ar-SA"/>
    </w:rPr>
  </w:style>
  <w:style w:type="paragraph" w:customStyle="1" w:styleId="93">
    <w:name w:val="xl30"/>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kern w:val="0"/>
      <w:sz w:val="18"/>
    </w:rPr>
  </w:style>
  <w:style w:type="paragraph" w:customStyle="1" w:styleId="94">
    <w:name w:val="table87"/>
    <w:autoRedefine/>
    <w:qFormat/>
    <w:uiPriority w:val="0"/>
    <w:pPr>
      <w:keepLines/>
      <w:widowControl w:val="0"/>
      <w:suppressLineNumbers/>
      <w:tabs>
        <w:tab w:val="left" w:pos="1200"/>
      </w:tabs>
      <w:autoSpaceDE w:val="0"/>
      <w:autoSpaceDN w:val="0"/>
      <w:adjustRightInd w:val="0"/>
      <w:spacing w:line="480" w:lineRule="auto"/>
      <w:textAlignment w:val="baseline"/>
    </w:pPr>
    <w:rPr>
      <w:rFonts w:ascii="宋体" w:hAnsi="Times New Roman" w:eastAsia="宋体" w:cs="Times New Roman"/>
      <w:b/>
      <w:sz w:val="24"/>
      <w:lang w:val="en-US" w:eastAsia="zh-CN" w:bidi="ar-SA"/>
    </w:rPr>
  </w:style>
  <w:style w:type="paragraph" w:customStyle="1" w:styleId="95">
    <w:name w:val="K01"/>
    <w:basedOn w:val="1"/>
    <w:qFormat/>
    <w:uiPriority w:val="0"/>
    <w:pPr>
      <w:widowControl/>
      <w:autoSpaceDE w:val="0"/>
      <w:autoSpaceDN w:val="0"/>
      <w:adjustRightInd w:val="0"/>
      <w:spacing w:line="480" w:lineRule="atLeast"/>
      <w:ind w:left="840" w:hanging="360"/>
      <w:jc w:val="left"/>
      <w:textAlignment w:val="bottom"/>
    </w:pPr>
    <w:rPr>
      <w:rFonts w:ascii="宋体"/>
      <w:kern w:val="0"/>
      <w:sz w:val="24"/>
    </w:rPr>
  </w:style>
  <w:style w:type="paragraph" w:customStyle="1" w:styleId="96">
    <w:name w:val="z正文"/>
    <w:basedOn w:val="1"/>
    <w:autoRedefine/>
    <w:qFormat/>
    <w:uiPriority w:val="0"/>
    <w:pPr>
      <w:adjustRightInd w:val="0"/>
      <w:spacing w:line="360" w:lineRule="auto"/>
      <w:textAlignment w:val="baseline"/>
    </w:pPr>
    <w:rPr>
      <w:kern w:val="0"/>
      <w:sz w:val="24"/>
    </w:rPr>
  </w:style>
  <w:style w:type="paragraph" w:customStyle="1" w:styleId="97">
    <w:name w:val="正文2"/>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98">
    <w:name w:val="样式3"/>
    <w:basedOn w:val="1"/>
    <w:qFormat/>
    <w:uiPriority w:val="0"/>
    <w:pPr>
      <w:spacing w:line="360" w:lineRule="auto"/>
      <w:ind w:left="1"/>
      <w:jc w:val="left"/>
    </w:pPr>
    <w:rPr>
      <w:rFonts w:ascii="宋体"/>
      <w:sz w:val="24"/>
    </w:rPr>
  </w:style>
  <w:style w:type="paragraph" w:customStyle="1" w:styleId="99">
    <w:name w:val="标题2"/>
    <w:basedOn w:val="3"/>
    <w:autoRedefine/>
    <w:qFormat/>
    <w:uiPriority w:val="0"/>
    <w:pPr>
      <w:numPr>
        <w:ilvl w:val="1"/>
        <w:numId w:val="2"/>
      </w:numPr>
      <w:adjustRightInd w:val="0"/>
      <w:spacing w:before="0" w:after="0" w:line="360" w:lineRule="auto"/>
      <w:textAlignment w:val="baseline"/>
    </w:pPr>
    <w:rPr>
      <w:rFonts w:ascii="Times New Roman" w:hAnsi="Times New Roman"/>
      <w:b w:val="0"/>
      <w:sz w:val="24"/>
    </w:rPr>
  </w:style>
  <w:style w:type="paragraph" w:customStyle="1" w:styleId="100">
    <w:name w:val="Fliestext/Aufz."/>
    <w:basedOn w:val="1"/>
    <w:qFormat/>
    <w:uiPriority w:val="0"/>
    <w:pPr>
      <w:widowControl/>
      <w:overflowPunct w:val="0"/>
      <w:autoSpaceDE w:val="0"/>
      <w:autoSpaceDN w:val="0"/>
      <w:adjustRightInd w:val="0"/>
      <w:spacing w:after="120"/>
      <w:textAlignment w:val="baseline"/>
    </w:pPr>
    <w:rPr>
      <w:rFonts w:ascii="Arial" w:hAnsi="Arial" w:eastAsia="MS Mincho"/>
      <w:kern w:val="0"/>
      <w:sz w:val="22"/>
      <w:lang w:val="de-DE" w:eastAsia="ja-JP"/>
    </w:rPr>
  </w:style>
  <w:style w:type="paragraph" w:customStyle="1" w:styleId="101">
    <w:name w:val="table75"/>
    <w:autoRedefine/>
    <w:qFormat/>
    <w:uiPriority w:val="0"/>
    <w:pPr>
      <w:keepLines/>
      <w:widowControl w:val="0"/>
      <w:suppressLineNumbers/>
      <w:tabs>
        <w:tab w:val="decimal" w:pos="300"/>
        <w:tab w:val="decimal" w:pos="1300"/>
        <w:tab w:val="decimal" w:pos="2160"/>
        <w:tab w:val="left" w:pos="2440"/>
        <w:tab w:val="left" w:pos="5740"/>
        <w:tab w:val="decimal" w:pos="7900"/>
        <w:tab w:val="decimal" w:pos="9480"/>
      </w:tabs>
      <w:autoSpaceDE w:val="0"/>
      <w:autoSpaceDN w:val="0"/>
      <w:adjustRightInd w:val="0"/>
      <w:ind w:right="-1540"/>
      <w:textAlignment w:val="baseline"/>
    </w:pPr>
    <w:rPr>
      <w:rFonts w:ascii="宋体" w:hAnsi="Times New Roman" w:eastAsia="宋体" w:cs="Times New Roman"/>
      <w:sz w:val="24"/>
      <w:lang w:val="en-US" w:eastAsia="zh-CN" w:bidi="ar-SA"/>
    </w:rPr>
  </w:style>
  <w:style w:type="paragraph" w:customStyle="1" w:styleId="102">
    <w:name w:val="表格侧编号"/>
    <w:next w:val="1"/>
    <w:autoRedefine/>
    <w:qFormat/>
    <w:uiPriority w:val="0"/>
    <w:pPr>
      <w:widowControl w:val="0"/>
      <w:adjustRightInd w:val="0"/>
      <w:snapToGrid w:val="0"/>
      <w:jc w:val="center"/>
      <w:textAlignment w:val="baseline"/>
    </w:pPr>
    <w:rPr>
      <w:rFonts w:ascii="宋体" w:hAnsi="Times New Roman" w:eastAsia="宋体" w:cs="Times New Roman"/>
      <w:sz w:val="24"/>
      <w:lang w:val="en-US" w:eastAsia="zh-CN" w:bidi="ar-SA"/>
    </w:rPr>
  </w:style>
  <w:style w:type="paragraph" w:customStyle="1" w:styleId="103">
    <w:name w:val="xl22"/>
    <w:basedOn w:val="1"/>
    <w:autoRedefine/>
    <w:qFormat/>
    <w:uiPriority w:val="0"/>
    <w:pPr>
      <w:widowControl/>
      <w:spacing w:before="100" w:beforeAutospacing="1" w:after="100" w:afterAutospacing="1"/>
      <w:jc w:val="center"/>
    </w:pPr>
    <w:rPr>
      <w:rFonts w:ascii="宋体" w:hAnsi="宋体"/>
      <w:kern w:val="0"/>
      <w:sz w:val="24"/>
    </w:rPr>
  </w:style>
  <w:style w:type="paragraph" w:customStyle="1" w:styleId="104">
    <w:name w:val="标题4"/>
    <w:basedOn w:val="5"/>
    <w:autoRedefine/>
    <w:qFormat/>
    <w:uiPriority w:val="0"/>
    <w:pPr>
      <w:tabs>
        <w:tab w:val="clear" w:pos="600"/>
      </w:tabs>
      <w:adjustRightInd w:val="0"/>
      <w:ind w:firstLine="527"/>
      <w:textAlignment w:val="baseline"/>
    </w:pPr>
    <w:rPr>
      <w:rFonts w:ascii="Times New Roman"/>
      <w:i/>
      <w:sz w:val="21"/>
    </w:rPr>
  </w:style>
  <w:style w:type="paragraph" w:customStyle="1" w:styleId="105">
    <w:name w:val="A"/>
    <w:basedOn w:val="1"/>
    <w:autoRedefine/>
    <w:qFormat/>
    <w:uiPriority w:val="0"/>
    <w:pPr>
      <w:adjustRightInd w:val="0"/>
      <w:spacing w:line="480" w:lineRule="atLeast"/>
      <w:jc w:val="center"/>
      <w:textAlignment w:val="baseline"/>
    </w:pPr>
    <w:rPr>
      <w:rFonts w:ascii="宋体"/>
      <w:kern w:val="0"/>
      <w:sz w:val="32"/>
    </w:rPr>
  </w:style>
  <w:style w:type="paragraph" w:customStyle="1" w:styleId="106">
    <w:name w:val="段"/>
    <w:autoRedefine/>
    <w:qFormat/>
    <w:uiPriority w:val="0"/>
    <w:pPr>
      <w:ind w:firstLine="200" w:firstLineChars="200"/>
      <w:jc w:val="both"/>
    </w:pPr>
    <w:rPr>
      <w:rFonts w:ascii="宋体" w:hAnsi="Times New Roman" w:eastAsia="宋体" w:cs="Times New Roman"/>
      <w:sz w:val="21"/>
      <w:lang w:val="en-US" w:eastAsia="zh-CN" w:bidi="ar-SA"/>
    </w:rPr>
  </w:style>
  <w:style w:type="paragraph" w:customStyle="1" w:styleId="107">
    <w:name w:val="正文报告"/>
    <w:basedOn w:val="1"/>
    <w:autoRedefine/>
    <w:qFormat/>
    <w:uiPriority w:val="0"/>
    <w:pPr>
      <w:tabs>
        <w:tab w:val="left" w:pos="510"/>
      </w:tabs>
      <w:adjustRightInd w:val="0"/>
      <w:spacing w:line="460" w:lineRule="exact"/>
      <w:ind w:firstLine="482"/>
      <w:textAlignment w:val="baseline"/>
    </w:pPr>
    <w:rPr>
      <w:kern w:val="0"/>
      <w:sz w:val="24"/>
    </w:rPr>
  </w:style>
  <w:style w:type="paragraph" w:customStyle="1" w:styleId="108">
    <w:name w:val="附件"/>
    <w:basedOn w:val="1"/>
    <w:autoRedefine/>
    <w:qFormat/>
    <w:uiPriority w:val="0"/>
    <w:pPr>
      <w:adjustRightInd w:val="0"/>
      <w:spacing w:before="120" w:after="60"/>
      <w:jc w:val="center"/>
      <w:textAlignment w:val="center"/>
    </w:pPr>
    <w:rPr>
      <w:rFonts w:ascii="黑体" w:eastAsia="黑体"/>
      <w:b/>
      <w:kern w:val="0"/>
      <w:sz w:val="32"/>
    </w:rPr>
  </w:style>
  <w:style w:type="paragraph" w:customStyle="1" w:styleId="109">
    <w:name w:val="xl31"/>
    <w:basedOn w:val="1"/>
    <w:autoRedefine/>
    <w:qFormat/>
    <w:uiPriority w:val="0"/>
    <w:pPr>
      <w:widowControl/>
      <w:spacing w:before="100" w:after="100"/>
      <w:jc w:val="center"/>
      <w:textAlignment w:val="center"/>
    </w:pPr>
    <w:rPr>
      <w:rFonts w:ascii="Arial" w:hAnsi="Arial"/>
      <w:kern w:val="0"/>
      <w:sz w:val="18"/>
    </w:rPr>
  </w:style>
  <w:style w:type="paragraph" w:customStyle="1" w:styleId="110">
    <w:name w:val="日期1"/>
    <w:basedOn w:val="1"/>
    <w:next w:val="1"/>
    <w:autoRedefine/>
    <w:qFormat/>
    <w:uiPriority w:val="0"/>
    <w:pPr>
      <w:adjustRightInd w:val="0"/>
      <w:textAlignment w:val="baseline"/>
    </w:pPr>
    <w:rPr>
      <w:sz w:val="28"/>
    </w:rPr>
  </w:style>
  <w:style w:type="paragraph" w:customStyle="1" w:styleId="111">
    <w:name w:val="纯文本1"/>
    <w:basedOn w:val="1"/>
    <w:autoRedefine/>
    <w:qFormat/>
    <w:uiPriority w:val="0"/>
    <w:pPr>
      <w:adjustRightInd w:val="0"/>
      <w:textAlignment w:val="baseline"/>
    </w:pPr>
    <w:rPr>
      <w:rFonts w:ascii="宋体"/>
      <w:kern w:val="0"/>
    </w:rPr>
  </w:style>
  <w:style w:type="paragraph" w:customStyle="1" w:styleId="112">
    <w:name w:val="1"/>
    <w:basedOn w:val="1"/>
    <w:next w:val="19"/>
    <w:autoRedefine/>
    <w:qFormat/>
    <w:uiPriority w:val="0"/>
    <w:pPr>
      <w:spacing w:line="360" w:lineRule="exact"/>
    </w:pPr>
    <w:rPr>
      <w:sz w:val="24"/>
    </w:rPr>
  </w:style>
  <w:style w:type="paragraph" w:customStyle="1" w:styleId="113">
    <w:name w:val="正文文本 21"/>
    <w:basedOn w:val="1"/>
    <w:autoRedefine/>
    <w:qFormat/>
    <w:uiPriority w:val="0"/>
    <w:pPr>
      <w:adjustRightInd w:val="0"/>
      <w:spacing w:line="400" w:lineRule="exact"/>
      <w:ind w:firstLine="567"/>
      <w:jc w:val="left"/>
      <w:textAlignment w:val="baseline"/>
    </w:pPr>
    <w:rPr>
      <w:rFonts w:ascii="仿宋_GB2312"/>
      <w:color w:val="000000"/>
      <w:spacing w:val="20"/>
      <w:kern w:val="28"/>
      <w:sz w:val="24"/>
    </w:rPr>
  </w:style>
  <w:style w:type="paragraph" w:customStyle="1" w:styleId="114">
    <w:name w:val="para35"/>
    <w:autoRedefine/>
    <w:qFormat/>
    <w:uiPriority w:val="0"/>
    <w:pPr>
      <w:widowControl w:val="0"/>
      <w:suppressLineNumbers/>
      <w:autoSpaceDE w:val="0"/>
      <w:autoSpaceDN w:val="0"/>
      <w:adjustRightInd w:val="0"/>
      <w:textAlignment w:val="baseline"/>
    </w:pPr>
    <w:rPr>
      <w:rFonts w:ascii="宋体" w:hAnsi="Times New Roman" w:eastAsia="宋体" w:cs="Times New Roman"/>
      <w:sz w:val="24"/>
      <w:lang w:val="en-US" w:eastAsia="zh-CN" w:bidi="ar-SA"/>
    </w:rPr>
  </w:style>
  <w:style w:type="paragraph" w:customStyle="1" w:styleId="115">
    <w:name w:val="1 Char"/>
    <w:basedOn w:val="1"/>
    <w:autoRedefine/>
    <w:qFormat/>
    <w:uiPriority w:val="0"/>
    <w:pPr>
      <w:ind w:left="-48"/>
    </w:pPr>
  </w:style>
  <w:style w:type="paragraph" w:customStyle="1" w:styleId="116">
    <w:name w:val="四级标题"/>
    <w:basedOn w:val="29"/>
    <w:autoRedefine/>
    <w:qFormat/>
    <w:uiPriority w:val="0"/>
    <w:pPr>
      <w:adjustRightInd/>
      <w:spacing w:line="360" w:lineRule="auto"/>
      <w:textAlignment w:val="auto"/>
    </w:pPr>
    <w:rPr>
      <w:rFonts w:ascii="Times New Roman" w:eastAsia="黑体"/>
      <w:kern w:val="2"/>
    </w:rPr>
  </w:style>
  <w:style w:type="paragraph" w:customStyle="1" w:styleId="117">
    <w:name w:val="Char Char Char Char Char Char Char"/>
    <w:basedOn w:val="1"/>
    <w:autoRedefine/>
    <w:qFormat/>
    <w:uiPriority w:val="0"/>
    <w:rPr>
      <w:szCs w:val="24"/>
    </w:rPr>
  </w:style>
  <w:style w:type="paragraph" w:customStyle="1" w:styleId="118">
    <w:name w:val="正文文本 32"/>
    <w:basedOn w:val="1"/>
    <w:autoRedefine/>
    <w:qFormat/>
    <w:uiPriority w:val="0"/>
    <w:pPr>
      <w:adjustRightInd w:val="0"/>
      <w:spacing w:line="360" w:lineRule="auto"/>
      <w:jc w:val="center"/>
      <w:textAlignment w:val="baseline"/>
    </w:pPr>
    <w:rPr>
      <w:rFonts w:ascii="宋体"/>
      <w:b/>
      <w:color w:val="FF0000"/>
      <w:kern w:val="0"/>
      <w:sz w:val="24"/>
      <w:u w:val="single"/>
    </w:rPr>
  </w:style>
  <w:style w:type="paragraph" w:customStyle="1" w:styleId="119">
    <w:name w:val="三级无"/>
    <w:basedOn w:val="120"/>
    <w:autoRedefine/>
    <w:qFormat/>
    <w:uiPriority w:val="0"/>
    <w:pPr>
      <w:spacing w:beforeLines="0" w:afterLines="0"/>
    </w:pPr>
    <w:rPr>
      <w:rFonts w:ascii="宋体" w:eastAsia="宋体"/>
    </w:rPr>
  </w:style>
  <w:style w:type="paragraph" w:customStyle="1" w:styleId="120">
    <w:name w:val="三级条标题"/>
    <w:basedOn w:val="121"/>
    <w:next w:val="106"/>
    <w:autoRedefine/>
    <w:qFormat/>
    <w:uiPriority w:val="0"/>
    <w:pPr>
      <w:outlineLvl w:val="4"/>
    </w:pPr>
  </w:style>
  <w:style w:type="paragraph" w:customStyle="1" w:styleId="121">
    <w:name w:val="二级条标题"/>
    <w:basedOn w:val="122"/>
    <w:next w:val="4"/>
    <w:autoRedefine/>
    <w:qFormat/>
    <w:uiPriority w:val="0"/>
    <w:pPr>
      <w:spacing w:before="50" w:after="50"/>
      <w:outlineLvl w:val="3"/>
    </w:pPr>
  </w:style>
  <w:style w:type="paragraph" w:customStyle="1" w:styleId="122">
    <w:name w:val="一级条标题"/>
    <w:next w:val="4"/>
    <w:autoRedefine/>
    <w:qFormat/>
    <w:uiPriority w:val="0"/>
    <w:pPr>
      <w:numPr>
        <w:ilvl w:val="1"/>
        <w:numId w:val="3"/>
      </w:numPr>
      <w:spacing w:beforeLines="50" w:afterLines="50"/>
      <w:outlineLvl w:val="2"/>
    </w:pPr>
    <w:rPr>
      <w:rFonts w:ascii="黑体" w:hAnsi="Times New Roman" w:eastAsia="黑体" w:cs="Times New Roman"/>
      <w:sz w:val="21"/>
      <w:szCs w:val="21"/>
      <w:lang w:val="en-US" w:eastAsia="zh-CN" w:bidi="ar-SA"/>
    </w:rPr>
  </w:style>
  <w:style w:type="paragraph" w:customStyle="1" w:styleId="123">
    <w:name w:val="列出段落1"/>
    <w:basedOn w:val="1"/>
    <w:autoRedefine/>
    <w:unhideWhenUsed/>
    <w:qFormat/>
    <w:uiPriority w:val="99"/>
    <w:pPr>
      <w:ind w:firstLine="420" w:firstLineChars="200"/>
    </w:pPr>
  </w:style>
  <w:style w:type="paragraph" w:customStyle="1" w:styleId="124">
    <w:name w:val="列表段落1"/>
    <w:basedOn w:val="1"/>
    <w:qFormat/>
    <w:uiPriority w:val="99"/>
    <w:pPr>
      <w:ind w:firstLine="420" w:firstLineChars="200"/>
    </w:pPr>
  </w:style>
  <w:style w:type="paragraph" w:customStyle="1" w:styleId="125">
    <w:name w:val="样式 Arial 小四 段前: 7.8 磅 行距: 1.5 倍行距1"/>
    <w:basedOn w:val="1"/>
    <w:autoRedefine/>
    <w:qFormat/>
    <w:uiPriority w:val="0"/>
    <w:pPr>
      <w:spacing w:line="360" w:lineRule="auto"/>
      <w:ind w:firstLine="200" w:firstLineChars="200"/>
    </w:pPr>
    <w:rPr>
      <w:rFonts w:ascii="Arial" w:hAnsi="Arial" w:cs="宋体"/>
      <w:sz w:val="24"/>
    </w:rPr>
  </w:style>
  <w:style w:type="character" w:customStyle="1" w:styleId="126">
    <w:name w:val="正文文本缩进 字符"/>
    <w:basedOn w:val="50"/>
    <w:link w:val="21"/>
    <w:qFormat/>
    <w:uiPriority w:val="0"/>
    <w:rPr>
      <w:kern w:val="2"/>
      <w:sz w:val="24"/>
    </w:rPr>
  </w:style>
  <w:style w:type="character" w:customStyle="1" w:styleId="127">
    <w:name w:val="正文文本首行缩进 2 字符"/>
    <w:basedOn w:val="126"/>
    <w:link w:val="48"/>
    <w:semiHidden/>
    <w:qFormat/>
    <w:uiPriority w:val="0"/>
    <w:rPr>
      <w:kern w:val="2"/>
      <w:sz w:val="21"/>
    </w:rPr>
  </w:style>
  <w:style w:type="paragraph" w:styleId="12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88</Pages>
  <Words>7593</Words>
  <Characters>43283</Characters>
  <Lines>360</Lines>
  <Paragraphs>101</Paragraphs>
  <TotalTime>0</TotalTime>
  <ScaleCrop>false</ScaleCrop>
  <LinksUpToDate>false</LinksUpToDate>
  <CharactersWithSpaces>50775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2019-04-04T04:26:00Z</dcterms:created>
  <dc:creator>user</dc:creator>
  <cp:lastModifiedBy>万锦然</cp:lastModifiedBy>
  <cp:lastPrinted>2025-03-17T03:42:00Z</cp:lastPrinted>
  <dcterms:modified xsi:type="dcterms:W3CDTF">2025-03-26T08:00:09Z</dcterms:modified>
  <dc:title>浙能舟山煤电项目发电机技术规范书</dc:title>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EmailStoreID0">
    <vt:lpwstr>0000000038A1BB1005E5101AA1BB08002B2A56C20000454D534D44422E444C4C00000000000000001B55FA20AA6611CD9BC800AA002FC45A0C0000004D61696C53746F7265002F6F3D4543455044492D4D61696C2F6F753D45786368616E67652041646D696E6973747261746976652047726F7570202846594449424F48463</vt:lpwstr>
  </property>
  <property fmtid="{D5CDD505-2E9C-101B-9397-08002B2CF9AE}" pid="4" name="_EmailStoreID1">
    <vt:lpwstr>2335350444C54292F636E3D526563697069656E74732F636E3D3232333300</vt:lpwstr>
  </property>
  <property fmtid="{D5CDD505-2E9C-101B-9397-08002B2CF9AE}" pid="5" name="_EmailStoreID2">
    <vt:lpwstr>6174696F6E2F636E3D536572766572732F636E3D4D61696C53746F7265004D00410049004C00530054004F00520045002E006500630065007000640069002E0063006F006D0000000000</vt:lpwstr>
  </property>
  <property fmtid="{D5CDD505-2E9C-101B-9397-08002B2CF9AE}" pid="6" name="_TentativeReviewCycleID">
    <vt:r8>197191453</vt:r8>
  </property>
  <property fmtid="{D5CDD505-2E9C-101B-9397-08002B2CF9AE}" pid="7" name="_ReviewCycleID">
    <vt:r8>197191453</vt:r8>
  </property>
  <property fmtid="{D5CDD505-2E9C-101B-9397-08002B2CF9AE}" pid="8" name="_EmailSubject">
    <vt:lpwstr>请审阅“台州第二发电厂设计招标书（初稿）热控电气”</vt:lpwstr>
  </property>
  <property fmtid="{D5CDD505-2E9C-101B-9397-08002B2CF9AE}" pid="9" name="_AuthorEmail">
    <vt:lpwstr>gyx@ecepdi.com</vt:lpwstr>
  </property>
  <property fmtid="{D5CDD505-2E9C-101B-9397-08002B2CF9AE}" pid="10" name="_AuthorEmailDisplayName">
    <vt:lpwstr>郭云霞</vt:lpwstr>
  </property>
  <property fmtid="{D5CDD505-2E9C-101B-9397-08002B2CF9AE}" pid="11" name="_EmailEntryID">
    <vt:lpwstr>00000000C9A041E519B6ED4AA80CA9A99E9969DE07001D58B6B9653FF6459633E088D5292B4400182E6F23ED000090AFAA60CF4B3F4D8E2FD853C03C886800845C0038B20000</vt:lpwstr>
  </property>
  <property fmtid="{D5CDD505-2E9C-101B-9397-08002B2CF9AE}" pid="12" name="_ReviewingToolsShownOnce">
    <vt:lpwstr/>
  </property>
  <property fmtid="{D5CDD505-2E9C-101B-9397-08002B2CF9AE}" pid="13" name="KSOProductBuildVer">
    <vt:lpwstr>2052-12.1.0.16120</vt:lpwstr>
  </property>
  <property fmtid="{D5CDD505-2E9C-101B-9397-08002B2CF9AE}" pid="14" name="ICV">
    <vt:lpwstr>B51FE80A38CF436D8897357808641714_13</vt:lpwstr>
  </property>
  <property fmtid="{D5CDD505-2E9C-101B-9397-08002B2CF9AE}" pid="15" name="KSOTemplateDocerSaveRecord">
    <vt:lpwstr>eyJoZGlkIjoiMzU0MzdhMGM2OWYyMDI4MjRlMjZjNjQ1OGJiMDY2ZjYiLCJ1c2VySWQiOiI4NjE4NjcwNjUifQ==</vt:lpwstr>
  </property>
</Properties>
</file>