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7A24D">
      <w:pPr>
        <w:pStyle w:val="15"/>
        <w:wordWrap w:val="0"/>
        <w:spacing w:line="300" w:lineRule="auto"/>
        <w:ind w:firstLine="3828" w:firstLineChars="1362"/>
        <w:jc w:val="right"/>
        <w:rPr>
          <w:rFonts w:ascii="宋体" w:hAnsi="宋体" w:eastAsia="黑体"/>
          <w:b/>
          <w:bCs/>
          <w:szCs w:val="21"/>
          <w:u w:val="single"/>
        </w:rPr>
      </w:pPr>
      <w:r>
        <w:rPr>
          <w:rFonts w:hint="eastAsia" w:ascii="黑体" w:hAnsi="黑体" w:eastAsia="黑体"/>
          <w:b/>
          <w:color w:val="000000"/>
          <w:sz w:val="28"/>
          <w:szCs w:val="28"/>
        </w:rPr>
        <w:t xml:space="preserve">合同编号：        </w:t>
      </w:r>
    </w:p>
    <w:p w14:paraId="090DDCF8">
      <w:pPr>
        <w:pStyle w:val="15"/>
        <w:spacing w:line="300" w:lineRule="auto"/>
        <w:ind w:firstLine="422" w:firstLineChars="200"/>
        <w:jc w:val="center"/>
        <w:rPr>
          <w:rFonts w:ascii="宋体" w:hAnsi="宋体"/>
          <w:b/>
          <w:bCs/>
          <w:szCs w:val="21"/>
        </w:rPr>
      </w:pPr>
    </w:p>
    <w:p w14:paraId="575A898E">
      <w:pPr>
        <w:pStyle w:val="15"/>
        <w:spacing w:line="300" w:lineRule="auto"/>
        <w:ind w:firstLine="422" w:firstLineChars="200"/>
        <w:jc w:val="center"/>
        <w:rPr>
          <w:rFonts w:ascii="宋体" w:hAnsi="宋体"/>
          <w:b/>
          <w:bCs/>
          <w:szCs w:val="21"/>
        </w:rPr>
      </w:pPr>
    </w:p>
    <w:p w14:paraId="41697F4A">
      <w:pPr>
        <w:pStyle w:val="15"/>
        <w:spacing w:line="300" w:lineRule="auto"/>
        <w:ind w:firstLine="422" w:firstLineChars="200"/>
        <w:jc w:val="center"/>
        <w:rPr>
          <w:rFonts w:ascii="宋体" w:hAnsi="宋体"/>
          <w:b/>
          <w:bCs/>
          <w:szCs w:val="21"/>
        </w:rPr>
      </w:pPr>
    </w:p>
    <w:p w14:paraId="76AB7FE2">
      <w:pPr>
        <w:pStyle w:val="15"/>
        <w:spacing w:line="300" w:lineRule="auto"/>
        <w:ind w:firstLine="422" w:firstLineChars="200"/>
        <w:jc w:val="center"/>
        <w:rPr>
          <w:rFonts w:ascii="宋体" w:hAnsi="宋体"/>
          <w:b/>
          <w:bCs/>
          <w:szCs w:val="21"/>
        </w:rPr>
      </w:pPr>
    </w:p>
    <w:p w14:paraId="3415B8BC">
      <w:pPr>
        <w:pStyle w:val="15"/>
        <w:spacing w:line="360" w:lineRule="auto"/>
        <w:ind w:firstLine="883"/>
        <w:jc w:val="center"/>
        <w:rPr>
          <w:rFonts w:ascii="黑体" w:hAnsi="黑体" w:eastAsia="黑体"/>
          <w:b/>
          <w:bCs/>
          <w:color w:val="000000"/>
          <w:sz w:val="44"/>
          <w:szCs w:val="44"/>
        </w:rPr>
      </w:pPr>
      <w:r>
        <w:rPr>
          <w:rFonts w:hint="eastAsia" w:ascii="黑体" w:hAnsi="黑体" w:eastAsia="黑体"/>
          <w:b/>
          <w:bCs/>
          <w:color w:val="000000"/>
          <w:sz w:val="44"/>
          <w:szCs w:val="44"/>
          <w:lang w:val="en-US" w:eastAsia="zh-CN"/>
        </w:rPr>
        <w:t>温州天达环保科技有限</w:t>
      </w:r>
      <w:r>
        <w:rPr>
          <w:rFonts w:hint="eastAsia" w:ascii="黑体" w:hAnsi="黑体" w:eastAsia="黑体"/>
          <w:b/>
          <w:bCs/>
          <w:color w:val="000000"/>
          <w:sz w:val="44"/>
          <w:szCs w:val="44"/>
        </w:rPr>
        <w:t>公司</w:t>
      </w:r>
    </w:p>
    <w:p w14:paraId="45152ECF">
      <w:pPr>
        <w:pStyle w:val="15"/>
        <w:spacing w:line="300" w:lineRule="auto"/>
        <w:ind w:firstLine="422" w:firstLineChars="200"/>
        <w:jc w:val="center"/>
        <w:rPr>
          <w:rFonts w:ascii="宋体" w:hAnsi="宋体"/>
          <w:b/>
          <w:bCs/>
          <w:szCs w:val="21"/>
        </w:rPr>
      </w:pPr>
    </w:p>
    <w:p w14:paraId="589F8F13">
      <w:pPr>
        <w:pStyle w:val="15"/>
        <w:spacing w:line="300" w:lineRule="auto"/>
        <w:ind w:firstLine="422" w:firstLineChars="200"/>
        <w:jc w:val="center"/>
        <w:rPr>
          <w:rFonts w:ascii="宋体" w:hAnsi="宋体"/>
          <w:b/>
          <w:bCs/>
          <w:szCs w:val="21"/>
        </w:rPr>
      </w:pPr>
    </w:p>
    <w:p w14:paraId="50BA3434">
      <w:pPr>
        <w:pStyle w:val="15"/>
        <w:spacing w:line="360" w:lineRule="auto"/>
        <w:ind w:firstLine="883"/>
        <w:jc w:val="center"/>
        <w:rPr>
          <w:rFonts w:ascii="黑体" w:hAnsi="黑体" w:eastAsia="黑体"/>
          <w:b/>
          <w:bCs/>
          <w:sz w:val="44"/>
          <w:szCs w:val="44"/>
        </w:rPr>
      </w:pPr>
      <w:r>
        <w:rPr>
          <w:rFonts w:hint="eastAsia" w:ascii="黑体" w:hAnsi="黑体" w:eastAsia="黑体"/>
          <w:b/>
          <w:bCs/>
          <w:color w:val="000000"/>
          <w:sz w:val="44"/>
          <w:szCs w:val="44"/>
        </w:rPr>
        <w:t>运输服务合同</w:t>
      </w:r>
    </w:p>
    <w:p w14:paraId="48FD87B8">
      <w:pPr>
        <w:pStyle w:val="15"/>
        <w:spacing w:line="300" w:lineRule="auto"/>
        <w:ind w:firstLine="880" w:firstLineChars="200"/>
        <w:rPr>
          <w:rFonts w:ascii="宋体" w:hAnsi="宋体"/>
          <w:bCs/>
          <w:sz w:val="44"/>
          <w:szCs w:val="44"/>
        </w:rPr>
      </w:pPr>
    </w:p>
    <w:p w14:paraId="18A03D56">
      <w:pPr>
        <w:pStyle w:val="15"/>
        <w:spacing w:line="300" w:lineRule="auto"/>
        <w:ind w:firstLine="422" w:firstLineChars="200"/>
        <w:jc w:val="center"/>
        <w:rPr>
          <w:rFonts w:ascii="宋体" w:hAnsi="宋体"/>
          <w:b/>
          <w:bCs/>
          <w:szCs w:val="21"/>
        </w:rPr>
      </w:pPr>
    </w:p>
    <w:p w14:paraId="2B64512A">
      <w:pPr>
        <w:pStyle w:val="15"/>
        <w:spacing w:line="300" w:lineRule="auto"/>
        <w:ind w:firstLine="422" w:firstLineChars="200"/>
        <w:jc w:val="center"/>
        <w:rPr>
          <w:rFonts w:ascii="宋体" w:hAnsi="宋体"/>
          <w:b/>
          <w:bCs/>
          <w:szCs w:val="21"/>
        </w:rPr>
      </w:pPr>
    </w:p>
    <w:p w14:paraId="49856962">
      <w:pPr>
        <w:pStyle w:val="15"/>
        <w:spacing w:line="300" w:lineRule="auto"/>
        <w:ind w:firstLine="422" w:firstLineChars="200"/>
        <w:jc w:val="center"/>
        <w:rPr>
          <w:rFonts w:ascii="宋体" w:hAnsi="宋体"/>
          <w:b/>
          <w:bCs/>
          <w:szCs w:val="21"/>
        </w:rPr>
      </w:pPr>
    </w:p>
    <w:p w14:paraId="3564E364">
      <w:pPr>
        <w:pStyle w:val="15"/>
        <w:spacing w:line="300" w:lineRule="auto"/>
        <w:ind w:firstLine="422" w:firstLineChars="200"/>
        <w:jc w:val="center"/>
        <w:rPr>
          <w:rFonts w:ascii="宋体" w:hAnsi="宋体"/>
          <w:b/>
          <w:bCs/>
          <w:szCs w:val="21"/>
        </w:rPr>
      </w:pPr>
    </w:p>
    <w:p w14:paraId="6C7FD90B">
      <w:pPr>
        <w:pStyle w:val="15"/>
        <w:spacing w:line="300" w:lineRule="auto"/>
        <w:ind w:firstLine="422" w:firstLineChars="200"/>
        <w:jc w:val="center"/>
        <w:rPr>
          <w:rFonts w:ascii="宋体" w:hAnsi="宋体"/>
          <w:b/>
          <w:bCs/>
          <w:szCs w:val="21"/>
        </w:rPr>
      </w:pPr>
    </w:p>
    <w:p w14:paraId="7E1E3131">
      <w:pPr>
        <w:pStyle w:val="15"/>
        <w:spacing w:line="300" w:lineRule="auto"/>
        <w:ind w:firstLine="422" w:firstLineChars="200"/>
        <w:jc w:val="center"/>
        <w:rPr>
          <w:rFonts w:ascii="宋体" w:hAnsi="宋体"/>
          <w:b/>
          <w:bCs/>
          <w:szCs w:val="21"/>
        </w:rPr>
      </w:pPr>
    </w:p>
    <w:p w14:paraId="49962666">
      <w:pPr>
        <w:pStyle w:val="15"/>
        <w:spacing w:line="300" w:lineRule="auto"/>
        <w:ind w:firstLine="422" w:firstLineChars="200"/>
        <w:jc w:val="center"/>
        <w:rPr>
          <w:rFonts w:ascii="宋体" w:hAnsi="宋体"/>
          <w:b/>
          <w:bCs/>
          <w:szCs w:val="21"/>
        </w:rPr>
      </w:pPr>
    </w:p>
    <w:p w14:paraId="6F09BF2B">
      <w:pPr>
        <w:pStyle w:val="15"/>
        <w:spacing w:line="300" w:lineRule="auto"/>
        <w:ind w:firstLine="422" w:firstLineChars="200"/>
        <w:jc w:val="center"/>
        <w:rPr>
          <w:rFonts w:ascii="宋体" w:hAnsi="宋体"/>
          <w:b/>
          <w:bCs/>
          <w:szCs w:val="21"/>
        </w:rPr>
      </w:pPr>
    </w:p>
    <w:p w14:paraId="15448675">
      <w:pPr>
        <w:pStyle w:val="15"/>
        <w:spacing w:line="300" w:lineRule="auto"/>
        <w:ind w:firstLine="422" w:firstLineChars="200"/>
        <w:jc w:val="center"/>
        <w:rPr>
          <w:rFonts w:ascii="宋体" w:hAnsi="宋体"/>
          <w:b/>
          <w:bCs/>
          <w:szCs w:val="21"/>
        </w:rPr>
      </w:pPr>
    </w:p>
    <w:p w14:paraId="1DF6CE0E">
      <w:pPr>
        <w:pStyle w:val="15"/>
        <w:spacing w:line="300" w:lineRule="auto"/>
        <w:ind w:firstLine="422" w:firstLineChars="200"/>
        <w:jc w:val="center"/>
        <w:rPr>
          <w:rFonts w:ascii="宋体" w:hAnsi="宋体"/>
          <w:b/>
          <w:bCs/>
          <w:szCs w:val="21"/>
        </w:rPr>
      </w:pPr>
    </w:p>
    <w:p w14:paraId="5437F138">
      <w:pPr>
        <w:pStyle w:val="15"/>
        <w:spacing w:line="300" w:lineRule="auto"/>
        <w:ind w:firstLine="422" w:firstLineChars="200"/>
        <w:jc w:val="center"/>
        <w:rPr>
          <w:rFonts w:ascii="宋体" w:hAnsi="宋体"/>
          <w:b/>
          <w:bCs/>
          <w:szCs w:val="21"/>
        </w:rPr>
      </w:pPr>
    </w:p>
    <w:p w14:paraId="1ADF056C">
      <w:pPr>
        <w:pStyle w:val="15"/>
        <w:spacing w:line="300" w:lineRule="auto"/>
        <w:ind w:firstLine="422" w:firstLineChars="200"/>
        <w:jc w:val="center"/>
        <w:rPr>
          <w:rFonts w:ascii="宋体" w:hAnsi="宋体"/>
          <w:b/>
          <w:bCs/>
          <w:szCs w:val="21"/>
        </w:rPr>
      </w:pPr>
    </w:p>
    <w:p w14:paraId="69FC0B08">
      <w:pPr>
        <w:pStyle w:val="15"/>
        <w:adjustRightInd w:val="0"/>
        <w:snapToGrid w:val="0"/>
        <w:ind w:right="2" w:rightChars="1" w:firstLine="1968" w:firstLineChars="700"/>
        <w:rPr>
          <w:rFonts w:hint="default" w:ascii="黑体" w:hAnsi="黑体" w:eastAsia="黑体"/>
          <w:b/>
          <w:sz w:val="28"/>
          <w:szCs w:val="28"/>
          <w:lang w:val="en-US" w:eastAsia="zh-CN"/>
        </w:rPr>
      </w:pPr>
      <w:r>
        <w:rPr>
          <w:rFonts w:hint="eastAsia" w:ascii="黑体" w:hAnsi="黑体" w:eastAsia="黑体"/>
          <w:b/>
          <w:color w:val="000000"/>
          <w:sz w:val="28"/>
          <w:szCs w:val="28"/>
        </w:rPr>
        <w:t>甲方</w:t>
      </w:r>
      <w:r>
        <w:rPr>
          <w:rFonts w:hint="eastAsia" w:ascii="黑体" w:hAnsi="黑体" w:eastAsia="黑体"/>
          <w:b/>
          <w:color w:val="000000"/>
          <w:sz w:val="28"/>
          <w:szCs w:val="28"/>
          <w:u w:val="single"/>
        </w:rPr>
        <w:t>：</w:t>
      </w:r>
      <w:r>
        <w:rPr>
          <w:rFonts w:hint="eastAsia" w:ascii="黑体" w:hAnsi="黑体" w:eastAsia="黑体"/>
          <w:b/>
          <w:color w:val="000000"/>
          <w:sz w:val="28"/>
          <w:szCs w:val="28"/>
          <w:u w:val="single"/>
          <w:lang w:val="en-US" w:eastAsia="zh-CN"/>
        </w:rPr>
        <w:t>温州天达环保科技有限公司</w:t>
      </w:r>
    </w:p>
    <w:p w14:paraId="00AD942F">
      <w:pPr>
        <w:pStyle w:val="15"/>
        <w:adjustRightInd w:val="0"/>
        <w:snapToGrid w:val="0"/>
        <w:ind w:right="2" w:rightChars="1" w:firstLine="1968" w:firstLineChars="700"/>
        <w:rPr>
          <w:rFonts w:ascii="黑体" w:hAnsi="黑体" w:eastAsia="黑体"/>
          <w:b/>
          <w:color w:val="000000"/>
          <w:sz w:val="28"/>
          <w:szCs w:val="28"/>
          <w:u w:val="single"/>
        </w:rPr>
      </w:pPr>
      <w:r>
        <w:rPr>
          <w:rFonts w:hint="eastAsia" w:ascii="黑体" w:hAnsi="黑体" w:eastAsia="黑体"/>
          <w:b/>
          <w:color w:val="000000"/>
          <w:sz w:val="28"/>
          <w:szCs w:val="28"/>
        </w:rPr>
        <w:t>乙方</w:t>
      </w:r>
      <w:r>
        <w:rPr>
          <w:rFonts w:hint="eastAsia" w:ascii="黑体" w:hAnsi="黑体" w:eastAsia="黑体" w:cs="宋体"/>
          <w:b/>
          <w:bCs/>
          <w:color w:val="000000"/>
          <w:sz w:val="28"/>
          <w:szCs w:val="28"/>
          <w:u w:val="single"/>
        </w:rPr>
        <w:t>：</w:t>
      </w:r>
      <w:r>
        <w:rPr>
          <w:rFonts w:hint="eastAsia" w:ascii="黑体" w:hAnsi="黑体" w:eastAsia="黑体"/>
          <w:b/>
          <w:color w:val="000000"/>
          <w:sz w:val="28"/>
          <w:szCs w:val="28"/>
          <w:u w:val="single"/>
        </w:rPr>
        <w:t>XX</w:t>
      </w:r>
    </w:p>
    <w:p w14:paraId="34D3DF89">
      <w:pPr>
        <w:pStyle w:val="15"/>
        <w:spacing w:line="360" w:lineRule="auto"/>
        <w:ind w:firstLine="3654" w:firstLineChars="1300"/>
        <w:rPr>
          <w:rFonts w:ascii="黑体" w:hAnsi="黑体" w:eastAsia="黑体" w:cs="黑体"/>
          <w:b/>
          <w:bCs/>
          <w:color w:val="000000"/>
          <w:sz w:val="28"/>
          <w:szCs w:val="28"/>
          <w:u w:val="single"/>
        </w:rPr>
      </w:pPr>
    </w:p>
    <w:p w14:paraId="3D3A6EBE">
      <w:pPr>
        <w:pStyle w:val="15"/>
        <w:spacing w:line="360" w:lineRule="auto"/>
        <w:ind w:firstLine="3092" w:firstLineChars="1100"/>
        <w:rPr>
          <w:rFonts w:ascii="黑体" w:hAnsi="黑体" w:eastAsia="黑体" w:cs="黑体"/>
          <w:b/>
          <w:bCs/>
          <w:color w:val="000000"/>
          <w:sz w:val="28"/>
          <w:szCs w:val="28"/>
          <w:u w:val="single"/>
        </w:rPr>
      </w:pPr>
    </w:p>
    <w:p w14:paraId="693C4FFC">
      <w:pPr>
        <w:pStyle w:val="15"/>
        <w:spacing w:line="360" w:lineRule="auto"/>
        <w:ind w:firstLine="3092" w:firstLineChars="1100"/>
        <w:rPr>
          <w:rFonts w:ascii="黑体" w:hAnsi="黑体" w:eastAsia="黑体" w:cs="黑体"/>
          <w:b/>
          <w:bCs/>
          <w:color w:val="000000"/>
          <w:sz w:val="28"/>
          <w:szCs w:val="28"/>
          <w:u w:val="single"/>
        </w:rPr>
      </w:pPr>
    </w:p>
    <w:p w14:paraId="36AB1F7E">
      <w:pPr>
        <w:pStyle w:val="15"/>
        <w:spacing w:line="360" w:lineRule="auto"/>
        <w:ind w:firstLine="3092" w:firstLineChars="1100"/>
        <w:rPr>
          <w:rFonts w:ascii="黑体" w:hAnsi="黑体" w:eastAsia="黑体" w:cs="黑体"/>
          <w:b/>
          <w:bCs/>
          <w:sz w:val="28"/>
          <w:szCs w:val="28"/>
        </w:rPr>
      </w:pPr>
      <w:r>
        <w:rPr>
          <w:rFonts w:hint="eastAsia" w:ascii="黑体" w:hAnsi="黑体" w:eastAsia="黑体" w:cs="黑体"/>
          <w:b/>
          <w:bCs/>
          <w:color w:val="000000"/>
          <w:sz w:val="28"/>
          <w:szCs w:val="28"/>
          <w:u w:val="single"/>
        </w:rPr>
        <w:t xml:space="preserve"> </w:t>
      </w:r>
      <w:r>
        <w:rPr>
          <w:rFonts w:ascii="黑体" w:hAnsi="黑体" w:eastAsia="黑体" w:cs="黑体"/>
          <w:b/>
          <w:bCs/>
          <w:color w:val="000000"/>
          <w:sz w:val="28"/>
          <w:szCs w:val="28"/>
          <w:u w:val="single"/>
        </w:rPr>
        <w:t>20</w:t>
      </w:r>
      <w:r>
        <w:rPr>
          <w:rFonts w:hint="eastAsia" w:ascii="黑体" w:hAnsi="黑体" w:eastAsia="黑体" w:cs="黑体"/>
          <w:b/>
          <w:bCs/>
          <w:color w:val="000000"/>
          <w:sz w:val="28"/>
          <w:szCs w:val="28"/>
          <w:u w:val="single"/>
        </w:rPr>
        <w:t xml:space="preserve">XX </w:t>
      </w:r>
      <w:r>
        <w:rPr>
          <w:rFonts w:hint="eastAsia" w:ascii="黑体" w:hAnsi="黑体" w:eastAsia="黑体" w:cs="黑体"/>
          <w:b/>
          <w:bCs/>
          <w:color w:val="000000"/>
          <w:sz w:val="28"/>
          <w:szCs w:val="28"/>
        </w:rPr>
        <w:t>年</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月</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日</w:t>
      </w:r>
    </w:p>
    <w:p w14:paraId="20E322AB">
      <w:pPr>
        <w:pStyle w:val="15"/>
        <w:spacing w:line="360" w:lineRule="auto"/>
        <w:jc w:val="center"/>
        <w:rPr>
          <w:rFonts w:ascii="黑体" w:hAnsi="黑体" w:eastAsia="黑体" w:cs="黑体"/>
          <w:b/>
          <w:bCs/>
          <w:color w:val="000000"/>
          <w:sz w:val="28"/>
          <w:szCs w:val="28"/>
        </w:rPr>
      </w:pPr>
      <w:r>
        <w:rPr>
          <w:rFonts w:hint="eastAsia" w:ascii="黑体" w:hAnsi="黑体" w:eastAsia="黑体" w:cs="黑体"/>
          <w:b/>
          <w:bCs/>
          <w:color w:val="000000"/>
          <w:sz w:val="28"/>
          <w:szCs w:val="28"/>
        </w:rPr>
        <w:t>签订于XX</w:t>
      </w:r>
    </w:p>
    <w:p w14:paraId="4DFEB10F">
      <w:pPr>
        <w:pStyle w:val="15"/>
        <w:spacing w:line="360" w:lineRule="auto"/>
        <w:ind w:firstLine="3654" w:firstLineChars="1300"/>
        <w:rPr>
          <w:rFonts w:ascii="黑体" w:hAnsi="黑体" w:eastAsia="黑体" w:cs="黑体"/>
          <w:b/>
          <w:bCs/>
          <w:color w:val="000000"/>
          <w:sz w:val="28"/>
          <w:szCs w:val="28"/>
        </w:rPr>
      </w:pPr>
    </w:p>
    <w:p w14:paraId="3F96D30F">
      <w:pPr>
        <w:pStyle w:val="15"/>
        <w:spacing w:line="360" w:lineRule="auto"/>
        <w:rPr>
          <w:rFonts w:ascii="宋体" w:hAnsi="宋体"/>
          <w:sz w:val="24"/>
          <w:szCs w:val="21"/>
        </w:rPr>
      </w:pPr>
      <w:r>
        <w:rPr>
          <w:rFonts w:hint="eastAsia" w:ascii="宋体" w:hAnsi="宋体"/>
          <w:color w:val="000000"/>
          <w:szCs w:val="21"/>
        </w:rPr>
        <w:t>本合同由下列双方于【  】年【  】月【  】日在【  】签订：</w:t>
      </w:r>
    </w:p>
    <w:p w14:paraId="06C99BB1">
      <w:pPr>
        <w:pStyle w:val="15"/>
        <w:spacing w:before="100" w:beforeAutospacing="1" w:line="360" w:lineRule="auto"/>
        <w:rPr>
          <w:rFonts w:hint="default" w:ascii="宋体" w:hAnsi="宋体" w:eastAsia="宋体"/>
          <w:color w:val="000000"/>
          <w:szCs w:val="21"/>
          <w:lang w:val="en-US" w:eastAsia="zh-CN"/>
        </w:rPr>
      </w:pPr>
      <w:r>
        <w:rPr>
          <w:rFonts w:hint="eastAsia" w:ascii="宋体" w:hAnsi="宋体"/>
          <w:color w:val="000000"/>
          <w:szCs w:val="21"/>
        </w:rPr>
        <w:t>甲方（托运方）：</w:t>
      </w:r>
      <w:r>
        <w:rPr>
          <w:rFonts w:hint="eastAsia" w:ascii="宋体" w:hAnsi="宋体"/>
          <w:color w:val="000000"/>
          <w:szCs w:val="21"/>
          <w:lang w:val="en-US" w:eastAsia="zh-CN"/>
        </w:rPr>
        <w:t>温州天达环保科技有限公司</w:t>
      </w:r>
    </w:p>
    <w:p w14:paraId="0691EB01">
      <w:pPr>
        <w:pStyle w:val="15"/>
        <w:spacing w:before="100" w:beforeAutospacing="1" w:line="360" w:lineRule="auto"/>
        <w:rPr>
          <w:rFonts w:ascii="宋体" w:hAnsi="宋体"/>
          <w:szCs w:val="21"/>
        </w:rPr>
      </w:pPr>
      <w:r>
        <w:rPr>
          <w:rFonts w:hint="eastAsia" w:ascii="宋体" w:hAnsi="宋体"/>
          <w:color w:val="000000"/>
          <w:szCs w:val="21"/>
        </w:rPr>
        <w:t xml:space="preserve">乙方（承运方）： </w:t>
      </w:r>
      <w:r>
        <w:rPr>
          <w:rFonts w:hint="eastAsia" w:ascii="宋体" w:hAnsi="宋体"/>
          <w:color w:val="000000"/>
          <w:szCs w:val="21"/>
        </w:rPr>
        <w:br w:type="textWrapping"/>
      </w:r>
      <w:r>
        <w:rPr>
          <w:rFonts w:hint="eastAsia" w:ascii="宋体" w:hAnsi="宋体"/>
          <w:color w:val="000000"/>
          <w:szCs w:val="21"/>
        </w:rPr>
        <w:t>鉴于：</w:t>
      </w:r>
    </w:p>
    <w:p w14:paraId="059A0E38">
      <w:pPr>
        <w:pStyle w:val="15"/>
        <w:spacing w:line="360" w:lineRule="auto"/>
        <w:ind w:firstLine="420" w:firstLineChars="200"/>
        <w:rPr>
          <w:rFonts w:ascii="宋体" w:hAnsi="宋体"/>
          <w:szCs w:val="21"/>
        </w:rPr>
      </w:pPr>
      <w:r>
        <w:rPr>
          <w:rFonts w:hint="eastAsia" w:ascii="宋体" w:hAnsi="宋体"/>
          <w:color w:val="000000"/>
          <w:szCs w:val="21"/>
        </w:rPr>
        <w:t>甲方有意将【</w:t>
      </w:r>
      <w:r>
        <w:rPr>
          <w:rFonts w:hint="eastAsia" w:ascii="宋体" w:hAnsi="宋体"/>
          <w:color w:val="000000"/>
          <w:szCs w:val="21"/>
          <w:lang w:val="en-US" w:eastAsia="zh-CN"/>
        </w:rPr>
        <w:t>2025-2027年场内短驳运输服务</w:t>
      </w:r>
      <w:r>
        <w:rPr>
          <w:rFonts w:hint="eastAsia" w:ascii="宋体" w:hAnsi="宋体"/>
          <w:color w:val="000000"/>
          <w:szCs w:val="21"/>
        </w:rPr>
        <w:t>】运输项目委托乙方，乙方愿意承担该项工作。根据《中华人民共和国民法典》及有关法律、法规，本着平等自愿、公平诚实、有偿服务、互惠互利的原则，甲、乙双方就乙方为甲方提供运输服务事宜协商一致，签订本合同。</w:t>
      </w:r>
    </w:p>
    <w:p w14:paraId="6951BCE4">
      <w:pPr>
        <w:pStyle w:val="16"/>
        <w:spacing w:before="100" w:beforeAutospacing="1" w:after="0"/>
        <w:rPr>
          <w:rFonts w:ascii="宋体" w:hAnsi="宋体" w:eastAsia="宋体"/>
        </w:rPr>
      </w:pPr>
      <w:bookmarkStart w:id="0" w:name="_Toc411416325"/>
      <w:bookmarkStart w:id="1" w:name="_Toc480353641"/>
      <w:r>
        <w:rPr>
          <w:rFonts w:hint="eastAsia" w:ascii="宋体" w:hAnsi="宋体" w:eastAsia="宋体"/>
          <w:color w:val="000000"/>
        </w:rPr>
        <w:t>第一条 内容及要求</w:t>
      </w:r>
      <w:bookmarkEnd w:id="0"/>
      <w:bookmarkEnd w:id="1"/>
    </w:p>
    <w:p w14:paraId="57C9B3A2">
      <w:pPr>
        <w:pStyle w:val="15"/>
        <w:spacing w:line="360" w:lineRule="auto"/>
        <w:ind w:firstLine="420" w:firstLineChars="200"/>
        <w:rPr>
          <w:rFonts w:ascii="宋体" w:hAnsi="宋体"/>
          <w:color w:val="000000"/>
          <w:szCs w:val="21"/>
        </w:rPr>
      </w:pPr>
      <w:r>
        <w:rPr>
          <w:rFonts w:hint="eastAsia" w:ascii="宋体" w:hAnsi="宋体"/>
          <w:color w:val="000000"/>
          <w:szCs w:val="21"/>
        </w:rPr>
        <w:t>1.1乙方接受甲方委托，及时、安全地将甲方指定的【</w:t>
      </w:r>
      <w:r>
        <w:rPr>
          <w:rFonts w:hint="eastAsia" w:ascii="宋体" w:hAnsi="宋体"/>
          <w:color w:val="000000"/>
          <w:szCs w:val="21"/>
          <w:lang w:val="en-US" w:eastAsia="zh-CN"/>
        </w:rPr>
        <w:t>石灰石粉、</w:t>
      </w:r>
      <w:r>
        <w:rPr>
          <w:rFonts w:hint="eastAsia" w:ascii="宋体" w:hAnsi="宋体" w:eastAsia="宋体"/>
          <w:szCs w:val="21"/>
        </w:rPr>
        <w:t>粉煤灰、脱硫石膏、灰渣</w:t>
      </w:r>
      <w:r>
        <w:rPr>
          <w:rFonts w:hint="eastAsia" w:ascii="宋体" w:hAnsi="宋体"/>
          <w:color w:val="000000"/>
          <w:szCs w:val="21"/>
        </w:rPr>
        <w:t>】（下称“运输货物”）以点对点的方式从甲方指定装运地点运至甲方指定卸货地点。</w:t>
      </w:r>
    </w:p>
    <w:p w14:paraId="30689ADD">
      <w:pPr>
        <w:pStyle w:val="15"/>
        <w:spacing w:line="360" w:lineRule="auto"/>
        <w:ind w:firstLine="420" w:firstLineChars="200"/>
        <w:rPr>
          <w:rFonts w:ascii="宋体" w:hAnsi="宋体"/>
          <w:color w:val="000000"/>
          <w:szCs w:val="21"/>
        </w:rPr>
      </w:pPr>
      <w:r>
        <w:rPr>
          <w:rFonts w:hint="eastAsia" w:ascii="宋体" w:hAnsi="宋体"/>
          <w:color w:val="000000"/>
          <w:szCs w:val="21"/>
        </w:rPr>
        <w:t>1.2双方同意本合同项下委托运输的货物的数量、种类由甲方根据甲方每次实际需要确定，甲方不保证最低委托运输量。</w:t>
      </w:r>
    </w:p>
    <w:p w14:paraId="158D7643">
      <w:pPr>
        <w:pStyle w:val="15"/>
        <w:spacing w:line="360" w:lineRule="auto"/>
        <w:ind w:firstLine="420" w:firstLineChars="200"/>
        <w:rPr>
          <w:rFonts w:ascii="宋体" w:hAnsi="宋体"/>
          <w:color w:val="000000"/>
          <w:szCs w:val="21"/>
        </w:rPr>
      </w:pPr>
      <w:r>
        <w:rPr>
          <w:rFonts w:hint="eastAsia" w:ascii="宋体" w:hAnsi="宋体"/>
          <w:color w:val="000000"/>
          <w:szCs w:val="21"/>
        </w:rPr>
        <w:t>1.3双方同意以经甲方地磅确认的乙方实际承运数量为准作为结算依据。</w:t>
      </w:r>
    </w:p>
    <w:p w14:paraId="05325EFC">
      <w:pPr>
        <w:pStyle w:val="16"/>
        <w:spacing w:before="100" w:beforeAutospacing="1" w:after="0"/>
        <w:rPr>
          <w:rFonts w:ascii="宋体" w:hAnsi="宋体" w:eastAsia="宋体"/>
          <w:color w:val="000000"/>
        </w:rPr>
      </w:pPr>
      <w:bookmarkStart w:id="2" w:name="_Toc480353642"/>
      <w:bookmarkStart w:id="3" w:name="_Toc411416326"/>
      <w:bookmarkStart w:id="4" w:name="_Toc270862687"/>
      <w:r>
        <w:rPr>
          <w:rFonts w:hint="eastAsia" w:ascii="宋体" w:hAnsi="宋体" w:eastAsia="宋体"/>
          <w:color w:val="000000"/>
        </w:rPr>
        <w:t>第二条　运费、模拟量和结算方式</w:t>
      </w:r>
      <w:bookmarkEnd w:id="2"/>
      <w:bookmarkEnd w:id="3"/>
    </w:p>
    <w:p w14:paraId="4C573243">
      <w:pPr>
        <w:pStyle w:val="15"/>
        <w:spacing w:line="360" w:lineRule="auto"/>
        <w:ind w:firstLine="420" w:firstLineChars="200"/>
        <w:rPr>
          <w:rFonts w:ascii="宋体" w:hAnsi="宋体"/>
          <w:color w:val="000000"/>
          <w:szCs w:val="21"/>
        </w:rPr>
      </w:pPr>
      <w:bookmarkStart w:id="5" w:name="_Toc411416327"/>
      <w:r>
        <w:rPr>
          <w:rFonts w:hint="eastAsia" w:ascii="宋体" w:hAnsi="宋体"/>
          <w:color w:val="000000"/>
          <w:szCs w:val="21"/>
        </w:rPr>
        <w:t>2.1</w:t>
      </w:r>
      <w:r>
        <w:rPr>
          <w:rFonts w:ascii="宋体" w:hAnsi="宋体"/>
          <w:color w:val="000000"/>
          <w:szCs w:val="21"/>
        </w:rPr>
        <w:t xml:space="preserve"> 运费及模拟量</w:t>
      </w:r>
    </w:p>
    <w:p w14:paraId="6861B454">
      <w:pPr>
        <w:pStyle w:val="15"/>
        <w:spacing w:line="360" w:lineRule="auto"/>
        <w:ind w:firstLine="840" w:firstLineChars="400"/>
        <w:rPr>
          <w:rFonts w:ascii="宋体" w:hAnsi="宋体"/>
          <w:color w:val="000000"/>
          <w:szCs w:val="21"/>
        </w:rPr>
      </w:pPr>
      <w:r>
        <w:rPr>
          <w:rFonts w:hint="eastAsia" w:ascii="宋体" w:hAnsi="宋体"/>
          <w:color w:val="000000"/>
          <w:szCs w:val="21"/>
        </w:rPr>
        <w:t>本合同</w:t>
      </w:r>
      <w:r>
        <w:rPr>
          <w:rFonts w:hint="eastAsia" w:ascii="宋体" w:hAnsi="宋体"/>
          <w:color w:val="000000"/>
          <w:szCs w:val="21"/>
          <w:lang w:val="en-US" w:eastAsia="zh-CN"/>
        </w:rPr>
        <w:t>固定</w:t>
      </w:r>
      <w:r>
        <w:rPr>
          <w:rFonts w:hint="eastAsia" w:ascii="宋体" w:hAnsi="宋体"/>
          <w:color w:val="000000"/>
          <w:szCs w:val="21"/>
        </w:rPr>
        <w:t>单价，价格见下表：</w:t>
      </w:r>
    </w:p>
    <w:tbl>
      <w:tblPr>
        <w:tblStyle w:val="11"/>
        <w:tblW w:w="0" w:type="auto"/>
        <w:jc w:val="center"/>
        <w:tblLayout w:type="autofit"/>
        <w:tblCellMar>
          <w:top w:w="0" w:type="dxa"/>
          <w:left w:w="108" w:type="dxa"/>
          <w:bottom w:w="0" w:type="dxa"/>
          <w:right w:w="108" w:type="dxa"/>
        </w:tblCellMar>
      </w:tblPr>
      <w:tblGrid>
        <w:gridCol w:w="852"/>
        <w:gridCol w:w="585"/>
        <w:gridCol w:w="763"/>
        <w:gridCol w:w="1007"/>
        <w:gridCol w:w="910"/>
        <w:gridCol w:w="1161"/>
        <w:gridCol w:w="657"/>
        <w:gridCol w:w="1558"/>
      </w:tblGrid>
      <w:tr w14:paraId="40DE8AD7">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vAlign w:val="center"/>
          </w:tcPr>
          <w:p w14:paraId="5AEE549F">
            <w:pPr>
              <w:pStyle w:val="15"/>
              <w:widowControl/>
              <w:snapToGrid w:val="0"/>
              <w:jc w:val="center"/>
              <w:rPr>
                <w:rFonts w:ascii="宋体" w:hAnsi="宋体" w:cs="宋体"/>
                <w:szCs w:val="21"/>
              </w:rPr>
            </w:pPr>
            <w:r>
              <w:rPr>
                <w:rFonts w:hint="eastAsia" w:ascii="宋体" w:hAnsi="宋体" w:cs="宋体"/>
                <w:bCs/>
                <w:color w:val="000000"/>
                <w:szCs w:val="21"/>
              </w:rPr>
              <w:t>运输项目</w:t>
            </w:r>
          </w:p>
        </w:tc>
        <w:tc>
          <w:tcPr>
            <w:tcW w:w="763" w:type="dxa"/>
            <w:tcBorders>
              <w:top w:val="single" w:color="auto" w:sz="8" w:space="0"/>
              <w:left w:val="nil"/>
              <w:bottom w:val="single" w:color="auto" w:sz="8" w:space="0"/>
              <w:right w:val="single" w:color="auto" w:sz="8" w:space="0"/>
            </w:tcBorders>
            <w:vAlign w:val="center"/>
          </w:tcPr>
          <w:p w14:paraId="294E784D">
            <w:pPr>
              <w:pStyle w:val="15"/>
              <w:widowControl/>
              <w:snapToGrid w:val="0"/>
              <w:jc w:val="center"/>
              <w:rPr>
                <w:rFonts w:ascii="宋体" w:hAnsi="宋体" w:cs="宋体"/>
                <w:szCs w:val="21"/>
              </w:rPr>
            </w:pPr>
            <w:r>
              <w:rPr>
                <w:rFonts w:hint="eastAsia" w:ascii="宋体" w:hAnsi="宋体" w:cs="宋体"/>
                <w:bCs/>
                <w:color w:val="000000"/>
                <w:szCs w:val="21"/>
              </w:rPr>
              <w:t>预估量（万吨/两年）</w:t>
            </w:r>
          </w:p>
        </w:tc>
        <w:tc>
          <w:tcPr>
            <w:tcW w:w="1007" w:type="dxa"/>
            <w:tcBorders>
              <w:top w:val="single" w:color="auto" w:sz="8" w:space="0"/>
              <w:left w:val="nil"/>
              <w:bottom w:val="single" w:color="auto" w:sz="8" w:space="0"/>
              <w:right w:val="single" w:color="auto" w:sz="4" w:space="0"/>
            </w:tcBorders>
            <w:vAlign w:val="center"/>
          </w:tcPr>
          <w:p w14:paraId="4D95828D">
            <w:pPr>
              <w:pStyle w:val="15"/>
              <w:widowControl/>
              <w:snapToGrid w:val="0"/>
              <w:jc w:val="center"/>
              <w:rPr>
                <w:rFonts w:ascii="宋体" w:hAnsi="宋体" w:cs="宋体"/>
                <w:szCs w:val="21"/>
              </w:rPr>
            </w:pPr>
            <w:r>
              <w:rPr>
                <w:rFonts w:hint="eastAsia" w:ascii="宋体" w:hAnsi="宋体" w:cs="宋体"/>
                <w:bCs/>
                <w:color w:val="000000"/>
                <w:szCs w:val="21"/>
              </w:rPr>
              <w:t>运距（km）（或区域）</w:t>
            </w:r>
          </w:p>
        </w:tc>
        <w:tc>
          <w:tcPr>
            <w:tcW w:w="910" w:type="dxa"/>
            <w:tcBorders>
              <w:top w:val="single" w:color="auto" w:sz="4" w:space="0"/>
              <w:left w:val="single" w:color="auto" w:sz="4" w:space="0"/>
              <w:bottom w:val="single" w:color="auto" w:sz="4" w:space="0"/>
              <w:right w:val="single" w:color="auto" w:sz="4" w:space="0"/>
            </w:tcBorders>
            <w:vAlign w:val="center"/>
          </w:tcPr>
          <w:p w14:paraId="2691B6AC">
            <w:pPr>
              <w:pStyle w:val="15"/>
              <w:widowControl/>
              <w:snapToGrid w:val="0"/>
              <w:jc w:val="center"/>
              <w:rPr>
                <w:rFonts w:ascii="宋体" w:hAnsi="宋体" w:cs="宋体"/>
                <w:bCs/>
                <w:color w:val="000000"/>
                <w:szCs w:val="21"/>
              </w:rPr>
            </w:pPr>
            <w:r>
              <w:rPr>
                <w:rFonts w:hint="eastAsia" w:ascii="宋体" w:hAnsi="宋体" w:cs="宋体"/>
                <w:bCs/>
                <w:color w:val="000000"/>
                <w:szCs w:val="21"/>
              </w:rPr>
              <w:t>不含税单价（元/吨）</w:t>
            </w:r>
          </w:p>
        </w:tc>
        <w:tc>
          <w:tcPr>
            <w:tcW w:w="1161" w:type="dxa"/>
            <w:tcBorders>
              <w:top w:val="single" w:color="auto" w:sz="4" w:space="0"/>
              <w:left w:val="single" w:color="auto" w:sz="4" w:space="0"/>
              <w:bottom w:val="single" w:color="auto" w:sz="4" w:space="0"/>
              <w:right w:val="single" w:color="auto" w:sz="4" w:space="0"/>
            </w:tcBorders>
            <w:vAlign w:val="center"/>
          </w:tcPr>
          <w:p w14:paraId="6954E92A">
            <w:pPr>
              <w:pStyle w:val="15"/>
              <w:widowControl/>
              <w:snapToGrid w:val="0"/>
              <w:jc w:val="center"/>
              <w:rPr>
                <w:rFonts w:ascii="宋体" w:hAnsi="宋体" w:cs="宋体"/>
                <w:bCs/>
                <w:color w:val="000000"/>
                <w:szCs w:val="21"/>
              </w:rPr>
            </w:pPr>
            <w:r>
              <w:rPr>
                <w:rFonts w:hint="eastAsia" w:ascii="宋体" w:hAnsi="宋体" w:cs="宋体"/>
                <w:bCs/>
                <w:color w:val="000000"/>
                <w:szCs w:val="21"/>
              </w:rPr>
              <w:t>含税单价（元/吨）</w:t>
            </w:r>
          </w:p>
        </w:tc>
        <w:tc>
          <w:tcPr>
            <w:tcW w:w="657" w:type="dxa"/>
            <w:tcBorders>
              <w:top w:val="single" w:color="auto" w:sz="4" w:space="0"/>
              <w:left w:val="single" w:color="auto" w:sz="4" w:space="0"/>
              <w:bottom w:val="single" w:color="auto" w:sz="4" w:space="0"/>
              <w:right w:val="single" w:color="auto" w:sz="4" w:space="0"/>
            </w:tcBorders>
            <w:vAlign w:val="center"/>
          </w:tcPr>
          <w:p w14:paraId="7499E0C9">
            <w:pPr>
              <w:pStyle w:val="15"/>
              <w:widowControl/>
              <w:snapToGrid w:val="0"/>
              <w:rPr>
                <w:rFonts w:ascii="宋体" w:hAnsi="宋体" w:cs="宋体"/>
                <w:bCs/>
                <w:color w:val="000000"/>
                <w:szCs w:val="21"/>
              </w:rPr>
            </w:pPr>
            <w:r>
              <w:rPr>
                <w:rFonts w:hint="eastAsia" w:ascii="宋体" w:hAnsi="宋体" w:cs="宋体"/>
                <w:bCs/>
                <w:color w:val="000000"/>
                <w:szCs w:val="21"/>
              </w:rPr>
              <w:t>税率</w:t>
            </w:r>
          </w:p>
        </w:tc>
        <w:tc>
          <w:tcPr>
            <w:tcW w:w="1558" w:type="dxa"/>
            <w:tcBorders>
              <w:top w:val="single" w:color="auto" w:sz="4" w:space="0"/>
              <w:left w:val="single" w:color="auto" w:sz="4" w:space="0"/>
              <w:bottom w:val="single" w:color="auto" w:sz="4" w:space="0"/>
              <w:right w:val="single" w:color="auto" w:sz="4" w:space="0"/>
            </w:tcBorders>
            <w:vAlign w:val="center"/>
          </w:tcPr>
          <w:p w14:paraId="7745CC12">
            <w:pPr>
              <w:pStyle w:val="15"/>
              <w:widowControl/>
              <w:snapToGrid w:val="0"/>
              <w:jc w:val="center"/>
              <w:rPr>
                <w:rFonts w:ascii="宋体" w:hAnsi="宋体" w:cs="宋体"/>
                <w:szCs w:val="21"/>
              </w:rPr>
            </w:pPr>
            <w:r>
              <w:rPr>
                <w:rFonts w:hint="eastAsia" w:ascii="宋体" w:hAnsi="宋体" w:cs="宋体"/>
                <w:bCs/>
                <w:color w:val="000000"/>
                <w:szCs w:val="21"/>
              </w:rPr>
              <w:t>备注</w:t>
            </w:r>
          </w:p>
        </w:tc>
      </w:tr>
      <w:tr w14:paraId="2C7D6CB6">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55FB1BC1">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石灰石上料</w:t>
            </w:r>
          </w:p>
        </w:tc>
        <w:tc>
          <w:tcPr>
            <w:tcW w:w="763" w:type="dxa"/>
            <w:tcBorders>
              <w:top w:val="single" w:color="auto" w:sz="8" w:space="0"/>
              <w:left w:val="nil"/>
              <w:bottom w:val="single" w:color="auto" w:sz="8" w:space="0"/>
              <w:right w:val="single" w:color="auto" w:sz="8" w:space="0"/>
            </w:tcBorders>
            <w:vAlign w:val="center"/>
          </w:tcPr>
          <w:p w14:paraId="5FF3B40C">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24</w:t>
            </w:r>
          </w:p>
        </w:tc>
        <w:tc>
          <w:tcPr>
            <w:tcW w:w="1007" w:type="dxa"/>
            <w:tcBorders>
              <w:top w:val="single" w:color="auto" w:sz="8" w:space="0"/>
              <w:left w:val="nil"/>
              <w:bottom w:val="single" w:color="auto" w:sz="8" w:space="0"/>
              <w:right w:val="single" w:color="auto" w:sz="4" w:space="0"/>
            </w:tcBorders>
            <w:vAlign w:val="center"/>
          </w:tcPr>
          <w:p w14:paraId="562A83A7">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0.1</w:t>
            </w:r>
          </w:p>
        </w:tc>
        <w:tc>
          <w:tcPr>
            <w:tcW w:w="910" w:type="dxa"/>
            <w:tcBorders>
              <w:top w:val="single" w:color="auto" w:sz="4" w:space="0"/>
              <w:left w:val="single" w:color="auto" w:sz="4" w:space="0"/>
              <w:bottom w:val="single" w:color="auto" w:sz="4" w:space="0"/>
              <w:right w:val="single" w:color="auto" w:sz="4" w:space="0"/>
            </w:tcBorders>
            <w:vAlign w:val="center"/>
          </w:tcPr>
          <w:p w14:paraId="302B3AAE">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3047542">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23B361F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0339F812">
            <w:pPr>
              <w:pStyle w:val="15"/>
              <w:widowControl/>
              <w:snapToGrid w:val="0"/>
              <w:jc w:val="center"/>
              <w:rPr>
                <w:rFonts w:ascii="宋体" w:hAnsi="宋体" w:cs="宋体"/>
                <w:bCs/>
                <w:color w:val="000000"/>
                <w:szCs w:val="21"/>
              </w:rPr>
            </w:pPr>
          </w:p>
        </w:tc>
      </w:tr>
      <w:tr w14:paraId="19E2A0E6">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2392F371">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石灰石粉运输及打粉</w:t>
            </w:r>
          </w:p>
        </w:tc>
        <w:tc>
          <w:tcPr>
            <w:tcW w:w="763" w:type="dxa"/>
            <w:tcBorders>
              <w:top w:val="single" w:color="auto" w:sz="8" w:space="0"/>
              <w:left w:val="nil"/>
              <w:bottom w:val="single" w:color="auto" w:sz="8" w:space="0"/>
              <w:right w:val="single" w:color="auto" w:sz="8" w:space="0"/>
            </w:tcBorders>
            <w:vAlign w:val="center"/>
          </w:tcPr>
          <w:p w14:paraId="316E3725">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24</w:t>
            </w:r>
          </w:p>
        </w:tc>
        <w:tc>
          <w:tcPr>
            <w:tcW w:w="1007" w:type="dxa"/>
            <w:tcBorders>
              <w:top w:val="single" w:color="auto" w:sz="8" w:space="0"/>
              <w:left w:val="nil"/>
              <w:bottom w:val="single" w:color="auto" w:sz="8" w:space="0"/>
              <w:right w:val="single" w:color="auto" w:sz="4" w:space="0"/>
            </w:tcBorders>
            <w:vAlign w:val="center"/>
          </w:tcPr>
          <w:p w14:paraId="0CF64635">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w:t>
            </w:r>
          </w:p>
        </w:tc>
        <w:tc>
          <w:tcPr>
            <w:tcW w:w="910" w:type="dxa"/>
            <w:tcBorders>
              <w:top w:val="single" w:color="auto" w:sz="4" w:space="0"/>
              <w:left w:val="single" w:color="auto" w:sz="4" w:space="0"/>
              <w:bottom w:val="single" w:color="auto" w:sz="4" w:space="0"/>
              <w:right w:val="single" w:color="auto" w:sz="4" w:space="0"/>
            </w:tcBorders>
            <w:vAlign w:val="center"/>
          </w:tcPr>
          <w:p w14:paraId="7A8557BC">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A5EE42C">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5ADF9E98">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53BE74C2">
            <w:pPr>
              <w:pStyle w:val="15"/>
              <w:widowControl/>
              <w:snapToGrid w:val="0"/>
              <w:jc w:val="center"/>
              <w:rPr>
                <w:rFonts w:ascii="宋体" w:hAnsi="宋体" w:cs="宋体"/>
                <w:bCs/>
                <w:color w:val="000000"/>
                <w:szCs w:val="21"/>
              </w:rPr>
            </w:pPr>
          </w:p>
        </w:tc>
      </w:tr>
      <w:tr w14:paraId="6D056030">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4E383E60">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脱硫石膏运输</w:t>
            </w:r>
          </w:p>
        </w:tc>
        <w:tc>
          <w:tcPr>
            <w:tcW w:w="763" w:type="dxa"/>
            <w:tcBorders>
              <w:top w:val="single" w:color="auto" w:sz="8" w:space="0"/>
              <w:left w:val="nil"/>
              <w:bottom w:val="single" w:color="auto" w:sz="8" w:space="0"/>
              <w:right w:val="single" w:color="auto" w:sz="8" w:space="0"/>
            </w:tcBorders>
            <w:vAlign w:val="center"/>
          </w:tcPr>
          <w:p w14:paraId="4301F94F">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44</w:t>
            </w:r>
          </w:p>
        </w:tc>
        <w:tc>
          <w:tcPr>
            <w:tcW w:w="1007" w:type="dxa"/>
            <w:tcBorders>
              <w:top w:val="single" w:color="auto" w:sz="8" w:space="0"/>
              <w:left w:val="nil"/>
              <w:bottom w:val="single" w:color="auto" w:sz="8" w:space="0"/>
              <w:right w:val="single" w:color="auto" w:sz="4" w:space="0"/>
            </w:tcBorders>
            <w:vAlign w:val="center"/>
          </w:tcPr>
          <w:p w14:paraId="7E0E8F61">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2.8</w:t>
            </w:r>
          </w:p>
        </w:tc>
        <w:tc>
          <w:tcPr>
            <w:tcW w:w="910" w:type="dxa"/>
            <w:tcBorders>
              <w:top w:val="single" w:color="auto" w:sz="4" w:space="0"/>
              <w:left w:val="single" w:color="auto" w:sz="4" w:space="0"/>
              <w:bottom w:val="single" w:color="auto" w:sz="4" w:space="0"/>
              <w:right w:val="single" w:color="auto" w:sz="4" w:space="0"/>
            </w:tcBorders>
            <w:vAlign w:val="center"/>
          </w:tcPr>
          <w:p w14:paraId="73DABB8F">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2B23B92F">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486EE0EC">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386DA06D">
            <w:pPr>
              <w:pStyle w:val="15"/>
              <w:widowControl/>
              <w:snapToGrid w:val="0"/>
              <w:jc w:val="center"/>
              <w:rPr>
                <w:rFonts w:ascii="宋体" w:hAnsi="宋体" w:cs="宋体"/>
                <w:bCs/>
                <w:color w:val="000000"/>
                <w:szCs w:val="21"/>
              </w:rPr>
            </w:pPr>
          </w:p>
        </w:tc>
      </w:tr>
      <w:tr w14:paraId="481B3597">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551962F2">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湿渣、石子煤运输</w:t>
            </w:r>
          </w:p>
        </w:tc>
        <w:tc>
          <w:tcPr>
            <w:tcW w:w="763" w:type="dxa"/>
            <w:tcBorders>
              <w:top w:val="single" w:color="auto" w:sz="8" w:space="0"/>
              <w:left w:val="nil"/>
              <w:bottom w:val="single" w:color="auto" w:sz="8" w:space="0"/>
              <w:right w:val="single" w:color="auto" w:sz="8" w:space="0"/>
            </w:tcBorders>
            <w:vAlign w:val="center"/>
          </w:tcPr>
          <w:p w14:paraId="1162FC9E">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24</w:t>
            </w:r>
          </w:p>
        </w:tc>
        <w:tc>
          <w:tcPr>
            <w:tcW w:w="1007" w:type="dxa"/>
            <w:tcBorders>
              <w:top w:val="single" w:color="auto" w:sz="8" w:space="0"/>
              <w:left w:val="nil"/>
              <w:bottom w:val="single" w:color="auto" w:sz="8" w:space="0"/>
              <w:right w:val="single" w:color="auto" w:sz="4" w:space="0"/>
            </w:tcBorders>
            <w:vAlign w:val="center"/>
          </w:tcPr>
          <w:p w14:paraId="245BCD78">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3.1</w:t>
            </w:r>
          </w:p>
        </w:tc>
        <w:tc>
          <w:tcPr>
            <w:tcW w:w="910" w:type="dxa"/>
            <w:tcBorders>
              <w:top w:val="single" w:color="auto" w:sz="4" w:space="0"/>
              <w:left w:val="single" w:color="auto" w:sz="4" w:space="0"/>
              <w:bottom w:val="single" w:color="auto" w:sz="4" w:space="0"/>
              <w:right w:val="single" w:color="auto" w:sz="4" w:space="0"/>
            </w:tcBorders>
            <w:vAlign w:val="center"/>
          </w:tcPr>
          <w:p w14:paraId="4EBE7E10">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2098699">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2298AD83">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2DCB6593">
            <w:pPr>
              <w:pStyle w:val="15"/>
              <w:widowControl/>
              <w:snapToGrid w:val="0"/>
              <w:jc w:val="center"/>
              <w:rPr>
                <w:rFonts w:ascii="宋体" w:hAnsi="宋体" w:cs="宋体"/>
                <w:bCs/>
                <w:color w:val="000000"/>
                <w:szCs w:val="21"/>
              </w:rPr>
            </w:pPr>
          </w:p>
        </w:tc>
      </w:tr>
      <w:tr w14:paraId="513941FC">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08A8D23F">
            <w:pPr>
              <w:spacing w:line="240" w:lineRule="auto"/>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rPr>
              <w:t>干渣运输</w:t>
            </w:r>
            <w:r>
              <w:rPr>
                <w:rFonts w:hint="eastAsia" w:ascii="宋体" w:hAnsi="宋体" w:cs="宋体"/>
                <w:sz w:val="21"/>
                <w:szCs w:val="21"/>
                <w:lang w:val="en-US" w:eastAsia="zh-CN"/>
              </w:rPr>
              <w:t>及上料</w:t>
            </w:r>
          </w:p>
        </w:tc>
        <w:tc>
          <w:tcPr>
            <w:tcW w:w="763" w:type="dxa"/>
            <w:tcBorders>
              <w:top w:val="single" w:color="auto" w:sz="8" w:space="0"/>
              <w:left w:val="nil"/>
              <w:bottom w:val="single" w:color="auto" w:sz="8" w:space="0"/>
              <w:right w:val="single" w:color="auto" w:sz="8" w:space="0"/>
            </w:tcBorders>
            <w:vAlign w:val="center"/>
          </w:tcPr>
          <w:p w14:paraId="57C3AE7C">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8</w:t>
            </w:r>
          </w:p>
        </w:tc>
        <w:tc>
          <w:tcPr>
            <w:tcW w:w="1007" w:type="dxa"/>
            <w:tcBorders>
              <w:top w:val="single" w:color="auto" w:sz="8" w:space="0"/>
              <w:left w:val="nil"/>
              <w:bottom w:val="single" w:color="auto" w:sz="8" w:space="0"/>
              <w:right w:val="single" w:color="auto" w:sz="4" w:space="0"/>
            </w:tcBorders>
            <w:vAlign w:val="center"/>
          </w:tcPr>
          <w:p w14:paraId="3ACD4452">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3.7</w:t>
            </w:r>
          </w:p>
        </w:tc>
        <w:tc>
          <w:tcPr>
            <w:tcW w:w="910" w:type="dxa"/>
            <w:tcBorders>
              <w:top w:val="single" w:color="auto" w:sz="4" w:space="0"/>
              <w:left w:val="single" w:color="auto" w:sz="4" w:space="0"/>
              <w:bottom w:val="single" w:color="auto" w:sz="4" w:space="0"/>
              <w:right w:val="single" w:color="auto" w:sz="4" w:space="0"/>
            </w:tcBorders>
            <w:vAlign w:val="center"/>
          </w:tcPr>
          <w:p w14:paraId="7EE6F336">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5523E1F">
            <w:pPr>
              <w:pStyle w:val="15"/>
              <w:widowControl/>
              <w:snapToGrid w:val="0"/>
              <w:jc w:val="center"/>
              <w:rPr>
                <w:rFonts w:ascii="宋体" w:hAnsi="宋体" w:cs="宋体"/>
                <w:bCs/>
                <w:color w:val="000000"/>
                <w:szCs w:val="21"/>
              </w:rPr>
            </w:pPr>
            <w:bookmarkStart w:id="26" w:name="_GoBack"/>
            <w:bookmarkEnd w:id="26"/>
          </w:p>
        </w:tc>
        <w:tc>
          <w:tcPr>
            <w:tcW w:w="657" w:type="dxa"/>
            <w:tcBorders>
              <w:top w:val="single" w:color="auto" w:sz="4" w:space="0"/>
              <w:left w:val="single" w:color="auto" w:sz="4" w:space="0"/>
              <w:bottom w:val="single" w:color="auto" w:sz="4" w:space="0"/>
              <w:right w:val="single" w:color="auto" w:sz="4" w:space="0"/>
            </w:tcBorders>
            <w:vAlign w:val="center"/>
          </w:tcPr>
          <w:p w14:paraId="595FC77B">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0DE29F73">
            <w:pPr>
              <w:pStyle w:val="15"/>
              <w:widowControl/>
              <w:snapToGrid w:val="0"/>
              <w:jc w:val="center"/>
              <w:rPr>
                <w:rFonts w:ascii="宋体" w:hAnsi="宋体" w:cs="宋体"/>
                <w:bCs/>
                <w:color w:val="000000"/>
                <w:szCs w:val="21"/>
              </w:rPr>
            </w:pPr>
          </w:p>
        </w:tc>
      </w:tr>
      <w:tr w14:paraId="43A26A0D">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1D4341CB">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石子煤、煤渣、脱硫石膏销售装车服务</w:t>
            </w:r>
          </w:p>
        </w:tc>
        <w:tc>
          <w:tcPr>
            <w:tcW w:w="763" w:type="dxa"/>
            <w:tcBorders>
              <w:top w:val="single" w:color="auto" w:sz="8" w:space="0"/>
              <w:left w:val="nil"/>
              <w:bottom w:val="single" w:color="auto" w:sz="8" w:space="0"/>
              <w:right w:val="single" w:color="auto" w:sz="8" w:space="0"/>
            </w:tcBorders>
            <w:vAlign w:val="center"/>
          </w:tcPr>
          <w:p w14:paraId="7A1BE5BC">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38</w:t>
            </w:r>
          </w:p>
        </w:tc>
        <w:tc>
          <w:tcPr>
            <w:tcW w:w="1007" w:type="dxa"/>
            <w:tcBorders>
              <w:top w:val="single" w:color="auto" w:sz="8" w:space="0"/>
              <w:left w:val="nil"/>
              <w:bottom w:val="single" w:color="auto" w:sz="8" w:space="0"/>
              <w:right w:val="single" w:color="auto" w:sz="4" w:space="0"/>
            </w:tcBorders>
            <w:vAlign w:val="center"/>
          </w:tcPr>
          <w:p w14:paraId="3EF483D4">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0.05</w:t>
            </w:r>
          </w:p>
        </w:tc>
        <w:tc>
          <w:tcPr>
            <w:tcW w:w="910" w:type="dxa"/>
            <w:tcBorders>
              <w:top w:val="single" w:color="auto" w:sz="4" w:space="0"/>
              <w:left w:val="single" w:color="auto" w:sz="4" w:space="0"/>
              <w:bottom w:val="single" w:color="auto" w:sz="4" w:space="0"/>
              <w:right w:val="single" w:color="auto" w:sz="4" w:space="0"/>
            </w:tcBorders>
            <w:vAlign w:val="center"/>
          </w:tcPr>
          <w:p w14:paraId="69798D26">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01B0D48">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79C89C7C">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2C5D0907">
            <w:pPr>
              <w:pStyle w:val="15"/>
              <w:widowControl/>
              <w:snapToGrid w:val="0"/>
              <w:jc w:val="center"/>
              <w:rPr>
                <w:rFonts w:ascii="宋体" w:hAnsi="宋体" w:cs="宋体"/>
                <w:bCs/>
                <w:color w:val="000000"/>
                <w:szCs w:val="21"/>
              </w:rPr>
            </w:pPr>
          </w:p>
        </w:tc>
      </w:tr>
      <w:tr w14:paraId="686DEE98">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4F0BC6D3">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粗灰短驳运输</w:t>
            </w:r>
          </w:p>
        </w:tc>
        <w:tc>
          <w:tcPr>
            <w:tcW w:w="763" w:type="dxa"/>
            <w:tcBorders>
              <w:top w:val="single" w:color="auto" w:sz="8" w:space="0"/>
              <w:left w:val="nil"/>
              <w:bottom w:val="single" w:color="auto" w:sz="8" w:space="0"/>
              <w:right w:val="single" w:color="auto" w:sz="8" w:space="0"/>
            </w:tcBorders>
            <w:vAlign w:val="center"/>
          </w:tcPr>
          <w:p w14:paraId="3C0A97DF">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4</w:t>
            </w:r>
          </w:p>
        </w:tc>
        <w:tc>
          <w:tcPr>
            <w:tcW w:w="1007" w:type="dxa"/>
            <w:tcBorders>
              <w:top w:val="single" w:color="auto" w:sz="8" w:space="0"/>
              <w:left w:val="nil"/>
              <w:bottom w:val="single" w:color="auto" w:sz="8" w:space="0"/>
              <w:right w:val="single" w:color="auto" w:sz="4" w:space="0"/>
            </w:tcBorders>
            <w:vAlign w:val="center"/>
          </w:tcPr>
          <w:p w14:paraId="5C3CE7DD">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2</w:t>
            </w:r>
          </w:p>
        </w:tc>
        <w:tc>
          <w:tcPr>
            <w:tcW w:w="910" w:type="dxa"/>
            <w:tcBorders>
              <w:top w:val="single" w:color="auto" w:sz="4" w:space="0"/>
              <w:left w:val="single" w:color="auto" w:sz="4" w:space="0"/>
              <w:bottom w:val="single" w:color="auto" w:sz="4" w:space="0"/>
              <w:right w:val="single" w:color="auto" w:sz="4" w:space="0"/>
            </w:tcBorders>
            <w:vAlign w:val="center"/>
          </w:tcPr>
          <w:p w14:paraId="095DEACC">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38C450F">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1B5DF9B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494F117B">
            <w:pPr>
              <w:pStyle w:val="15"/>
              <w:widowControl/>
              <w:snapToGrid w:val="0"/>
              <w:jc w:val="center"/>
              <w:rPr>
                <w:rFonts w:ascii="宋体" w:hAnsi="宋体" w:cs="宋体"/>
                <w:bCs/>
                <w:color w:val="000000"/>
                <w:szCs w:val="21"/>
              </w:rPr>
            </w:pPr>
          </w:p>
        </w:tc>
      </w:tr>
      <w:tr w14:paraId="2F9B1594">
        <w:tblPrEx>
          <w:tblCellMar>
            <w:top w:w="0" w:type="dxa"/>
            <w:left w:w="108" w:type="dxa"/>
            <w:bottom w:w="0" w:type="dxa"/>
            <w:right w:w="108" w:type="dxa"/>
          </w:tblCellMar>
        </w:tblPrEx>
        <w:trPr>
          <w:trHeight w:val="360" w:hRule="atLeast"/>
          <w:jc w:val="center"/>
        </w:trPr>
        <w:tc>
          <w:tcPr>
            <w:tcW w:w="852" w:type="dxa"/>
            <w:vMerge w:val="restart"/>
            <w:tcBorders>
              <w:top w:val="single" w:color="auto" w:sz="8" w:space="0"/>
              <w:left w:val="single" w:color="auto" w:sz="8" w:space="0"/>
              <w:right w:val="single" w:color="auto" w:sz="8" w:space="0"/>
            </w:tcBorders>
            <w:vAlign w:val="center"/>
          </w:tcPr>
          <w:p w14:paraId="65825836">
            <w:pPr>
              <w:pStyle w:val="15"/>
              <w:widowControl/>
              <w:snapToGrid w:val="0"/>
              <w:jc w:val="center"/>
              <w:rPr>
                <w:rFonts w:ascii="宋体" w:hAnsi="宋体" w:cs="宋体"/>
                <w:bCs/>
                <w:color w:val="000000"/>
                <w:szCs w:val="21"/>
              </w:rPr>
            </w:pPr>
            <w:r>
              <w:rPr>
                <w:rFonts w:hint="eastAsia" w:ascii="宋体" w:hAnsi="宋体" w:eastAsia="宋体" w:cs="宋体"/>
                <w:sz w:val="24"/>
                <w:szCs w:val="24"/>
              </w:rPr>
              <w:t>煤渣、石膏短驳装船</w:t>
            </w:r>
          </w:p>
        </w:tc>
        <w:tc>
          <w:tcPr>
            <w:tcW w:w="585" w:type="dxa"/>
            <w:tcBorders>
              <w:top w:val="single" w:color="auto" w:sz="8" w:space="0"/>
              <w:left w:val="single" w:color="auto" w:sz="8" w:space="0"/>
              <w:bottom w:val="single" w:color="auto" w:sz="8" w:space="0"/>
              <w:right w:val="single" w:color="auto" w:sz="8" w:space="0"/>
            </w:tcBorders>
            <w:vAlign w:val="center"/>
          </w:tcPr>
          <w:p w14:paraId="3AEE94EE">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装船</w:t>
            </w:r>
          </w:p>
        </w:tc>
        <w:tc>
          <w:tcPr>
            <w:tcW w:w="763" w:type="dxa"/>
            <w:tcBorders>
              <w:top w:val="single" w:color="auto" w:sz="8" w:space="0"/>
              <w:left w:val="nil"/>
              <w:bottom w:val="single" w:color="auto" w:sz="8" w:space="0"/>
              <w:right w:val="single" w:color="auto" w:sz="8" w:space="0"/>
            </w:tcBorders>
            <w:vAlign w:val="center"/>
          </w:tcPr>
          <w:p w14:paraId="6361B98D">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4</w:t>
            </w:r>
          </w:p>
        </w:tc>
        <w:tc>
          <w:tcPr>
            <w:tcW w:w="1007" w:type="dxa"/>
            <w:tcBorders>
              <w:top w:val="single" w:color="auto" w:sz="8" w:space="0"/>
              <w:left w:val="nil"/>
              <w:bottom w:val="single" w:color="auto" w:sz="8" w:space="0"/>
              <w:right w:val="single" w:color="auto" w:sz="4" w:space="0"/>
            </w:tcBorders>
            <w:vAlign w:val="center"/>
          </w:tcPr>
          <w:p w14:paraId="03594845">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rPr>
              <w:t>/</w:t>
            </w:r>
          </w:p>
        </w:tc>
        <w:tc>
          <w:tcPr>
            <w:tcW w:w="910" w:type="dxa"/>
            <w:tcBorders>
              <w:top w:val="single" w:color="auto" w:sz="4" w:space="0"/>
              <w:left w:val="single" w:color="auto" w:sz="4" w:space="0"/>
              <w:bottom w:val="single" w:color="auto" w:sz="4" w:space="0"/>
              <w:right w:val="single" w:color="auto" w:sz="4" w:space="0"/>
            </w:tcBorders>
            <w:vAlign w:val="center"/>
          </w:tcPr>
          <w:p w14:paraId="791FF712">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12F9C93">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020B0A15">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741595CE">
            <w:pPr>
              <w:pStyle w:val="15"/>
              <w:widowControl/>
              <w:snapToGrid w:val="0"/>
              <w:jc w:val="center"/>
              <w:rPr>
                <w:rFonts w:ascii="宋体" w:hAnsi="宋体" w:cs="宋体"/>
                <w:bCs/>
                <w:color w:val="000000"/>
                <w:szCs w:val="21"/>
              </w:rPr>
            </w:pPr>
          </w:p>
        </w:tc>
      </w:tr>
      <w:tr w14:paraId="001ED614">
        <w:tblPrEx>
          <w:tblCellMar>
            <w:top w:w="0" w:type="dxa"/>
            <w:left w:w="108" w:type="dxa"/>
            <w:bottom w:w="0" w:type="dxa"/>
            <w:right w:w="108" w:type="dxa"/>
          </w:tblCellMar>
        </w:tblPrEx>
        <w:trPr>
          <w:trHeight w:val="360" w:hRule="atLeast"/>
          <w:jc w:val="center"/>
        </w:trPr>
        <w:tc>
          <w:tcPr>
            <w:tcW w:w="852" w:type="dxa"/>
            <w:vMerge w:val="continue"/>
            <w:tcBorders>
              <w:left w:val="single" w:color="auto" w:sz="8" w:space="0"/>
              <w:bottom w:val="single" w:color="auto" w:sz="8" w:space="0"/>
              <w:right w:val="single" w:color="auto" w:sz="8" w:space="0"/>
            </w:tcBorders>
            <w:shd w:val="clear" w:color="auto" w:fill="auto"/>
            <w:vAlign w:val="center"/>
          </w:tcPr>
          <w:p w14:paraId="1F21E8CD">
            <w:pPr>
              <w:pStyle w:val="15"/>
              <w:widowControl/>
              <w:snapToGrid w:val="0"/>
              <w:jc w:val="center"/>
              <w:rPr>
                <w:rFonts w:ascii="宋体" w:hAnsi="宋体" w:eastAsia="宋体" w:cs="宋体"/>
                <w:bCs/>
                <w:color w:val="000000"/>
                <w:kern w:val="2"/>
                <w:sz w:val="21"/>
                <w:szCs w:val="21"/>
                <w:lang w:val="en-US" w:eastAsia="zh-CN" w:bidi="ar-SA"/>
              </w:rPr>
            </w:pPr>
          </w:p>
        </w:tc>
        <w:tc>
          <w:tcPr>
            <w:tcW w:w="585" w:type="dxa"/>
            <w:tcBorders>
              <w:top w:val="single" w:color="auto" w:sz="8" w:space="0"/>
              <w:left w:val="single" w:color="auto" w:sz="8" w:space="0"/>
              <w:bottom w:val="single" w:color="auto" w:sz="8" w:space="0"/>
              <w:right w:val="single" w:color="auto" w:sz="8" w:space="0"/>
            </w:tcBorders>
            <w:shd w:val="clear" w:color="auto" w:fill="auto"/>
            <w:vAlign w:val="center"/>
          </w:tcPr>
          <w:p w14:paraId="2B265F52">
            <w:pPr>
              <w:pStyle w:val="15"/>
              <w:widowControl/>
              <w:snapToGrid w:val="0"/>
              <w:jc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kern w:val="2"/>
                <w:sz w:val="21"/>
                <w:szCs w:val="21"/>
                <w:lang w:val="en-US" w:eastAsia="zh-CN" w:bidi="ar-SA"/>
              </w:rPr>
              <w:t>运输</w:t>
            </w:r>
          </w:p>
        </w:tc>
        <w:tc>
          <w:tcPr>
            <w:tcW w:w="763" w:type="dxa"/>
            <w:tcBorders>
              <w:top w:val="single" w:color="auto" w:sz="8" w:space="0"/>
              <w:left w:val="nil"/>
              <w:bottom w:val="single" w:color="auto" w:sz="8" w:space="0"/>
              <w:right w:val="single" w:color="auto" w:sz="8" w:space="0"/>
            </w:tcBorders>
            <w:shd w:val="clear" w:color="auto" w:fill="auto"/>
            <w:vAlign w:val="center"/>
          </w:tcPr>
          <w:p w14:paraId="4CCB6F3C">
            <w:pPr>
              <w:pStyle w:val="15"/>
              <w:widowControl/>
              <w:snapToGrid w:val="0"/>
              <w:jc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kern w:val="2"/>
                <w:sz w:val="21"/>
                <w:szCs w:val="21"/>
                <w:lang w:val="en-US" w:eastAsia="zh-CN" w:bidi="ar-SA"/>
              </w:rPr>
              <w:t>4</w:t>
            </w:r>
          </w:p>
        </w:tc>
        <w:tc>
          <w:tcPr>
            <w:tcW w:w="1007" w:type="dxa"/>
            <w:tcBorders>
              <w:top w:val="single" w:color="auto" w:sz="8" w:space="0"/>
              <w:left w:val="nil"/>
              <w:bottom w:val="single" w:color="auto" w:sz="8" w:space="0"/>
              <w:right w:val="single" w:color="auto" w:sz="4" w:space="0"/>
            </w:tcBorders>
            <w:vAlign w:val="center"/>
          </w:tcPr>
          <w:p w14:paraId="7F51DB9F">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w:t>
            </w:r>
          </w:p>
        </w:tc>
        <w:tc>
          <w:tcPr>
            <w:tcW w:w="910" w:type="dxa"/>
            <w:tcBorders>
              <w:top w:val="single" w:color="auto" w:sz="4" w:space="0"/>
              <w:left w:val="single" w:color="auto" w:sz="4" w:space="0"/>
              <w:bottom w:val="single" w:color="auto" w:sz="4" w:space="0"/>
              <w:right w:val="single" w:color="auto" w:sz="4" w:space="0"/>
            </w:tcBorders>
            <w:vAlign w:val="center"/>
          </w:tcPr>
          <w:p w14:paraId="293D1316">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C8EE4E9">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46A66B2C">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4B9577A8">
            <w:pPr>
              <w:pStyle w:val="15"/>
              <w:widowControl/>
              <w:snapToGrid w:val="0"/>
              <w:jc w:val="center"/>
              <w:rPr>
                <w:rFonts w:ascii="宋体" w:hAnsi="宋体" w:cs="宋体"/>
                <w:bCs/>
                <w:color w:val="000000"/>
                <w:szCs w:val="21"/>
              </w:rPr>
            </w:pPr>
          </w:p>
        </w:tc>
      </w:tr>
      <w:tr w14:paraId="22F4AFB7">
        <w:tblPrEx>
          <w:tblCellMar>
            <w:top w:w="0" w:type="dxa"/>
            <w:left w:w="108" w:type="dxa"/>
            <w:bottom w:w="0" w:type="dxa"/>
            <w:right w:w="108" w:type="dxa"/>
          </w:tblCellMar>
        </w:tblPrEx>
        <w:trPr>
          <w:trHeight w:val="360" w:hRule="atLeast"/>
          <w:jc w:val="center"/>
        </w:trPr>
        <w:tc>
          <w:tcPr>
            <w:tcW w:w="852" w:type="dxa"/>
            <w:vMerge w:val="restart"/>
            <w:tcBorders>
              <w:top w:val="single" w:color="auto" w:sz="8" w:space="0"/>
              <w:left w:val="single" w:color="auto" w:sz="8" w:space="0"/>
              <w:right w:val="single" w:color="auto" w:sz="8" w:space="0"/>
            </w:tcBorders>
            <w:vAlign w:val="center"/>
          </w:tcPr>
          <w:p w14:paraId="5D41D825">
            <w:pPr>
              <w:pStyle w:val="15"/>
              <w:widowControl/>
              <w:snapToGrid w:val="0"/>
              <w:jc w:val="center"/>
              <w:rPr>
                <w:rFonts w:ascii="宋体" w:hAnsi="宋体" w:cs="宋体"/>
                <w:bCs/>
                <w:color w:val="000000"/>
                <w:szCs w:val="21"/>
              </w:rPr>
            </w:pPr>
            <w:r>
              <w:rPr>
                <w:rFonts w:hint="eastAsia" w:ascii="宋体" w:hAnsi="宋体" w:eastAsia="宋体" w:cs="宋体"/>
                <w:sz w:val="24"/>
                <w:szCs w:val="24"/>
                <w:lang w:val="en-US" w:eastAsia="zh-CN"/>
              </w:rPr>
              <w:t>固废应急处置</w:t>
            </w:r>
          </w:p>
        </w:tc>
        <w:tc>
          <w:tcPr>
            <w:tcW w:w="585" w:type="dxa"/>
            <w:tcBorders>
              <w:top w:val="single" w:color="auto" w:sz="8" w:space="0"/>
              <w:left w:val="single" w:color="auto" w:sz="8" w:space="0"/>
              <w:bottom w:val="single" w:color="auto" w:sz="8" w:space="0"/>
              <w:right w:val="single" w:color="auto" w:sz="8" w:space="0"/>
            </w:tcBorders>
            <w:vAlign w:val="center"/>
          </w:tcPr>
          <w:p w14:paraId="11925A4F">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装船</w:t>
            </w:r>
          </w:p>
        </w:tc>
        <w:tc>
          <w:tcPr>
            <w:tcW w:w="763" w:type="dxa"/>
            <w:tcBorders>
              <w:top w:val="single" w:color="auto" w:sz="8" w:space="0"/>
              <w:left w:val="nil"/>
              <w:bottom w:val="single" w:color="auto" w:sz="8" w:space="0"/>
              <w:right w:val="single" w:color="auto" w:sz="8" w:space="0"/>
            </w:tcBorders>
            <w:vAlign w:val="center"/>
          </w:tcPr>
          <w:p w14:paraId="1ABDC236">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8</w:t>
            </w:r>
          </w:p>
        </w:tc>
        <w:tc>
          <w:tcPr>
            <w:tcW w:w="1007" w:type="dxa"/>
            <w:tcBorders>
              <w:top w:val="single" w:color="auto" w:sz="8" w:space="0"/>
              <w:left w:val="nil"/>
              <w:bottom w:val="single" w:color="auto" w:sz="8" w:space="0"/>
              <w:right w:val="single" w:color="auto" w:sz="4" w:space="0"/>
            </w:tcBorders>
            <w:vAlign w:val="center"/>
          </w:tcPr>
          <w:p w14:paraId="316CC798">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rPr>
              <w:t>/</w:t>
            </w:r>
          </w:p>
        </w:tc>
        <w:tc>
          <w:tcPr>
            <w:tcW w:w="910" w:type="dxa"/>
            <w:tcBorders>
              <w:top w:val="single" w:color="auto" w:sz="4" w:space="0"/>
              <w:left w:val="single" w:color="auto" w:sz="4" w:space="0"/>
              <w:bottom w:val="single" w:color="auto" w:sz="4" w:space="0"/>
              <w:right w:val="single" w:color="auto" w:sz="4" w:space="0"/>
            </w:tcBorders>
            <w:vAlign w:val="center"/>
          </w:tcPr>
          <w:p w14:paraId="60C1DD15">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5B9A3838">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3020AE10">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23ADAB11">
            <w:pPr>
              <w:pStyle w:val="15"/>
              <w:widowControl/>
              <w:snapToGrid w:val="0"/>
              <w:jc w:val="center"/>
              <w:rPr>
                <w:rFonts w:ascii="宋体" w:hAnsi="宋体" w:cs="宋体"/>
                <w:bCs/>
                <w:color w:val="000000"/>
                <w:szCs w:val="21"/>
              </w:rPr>
            </w:pPr>
          </w:p>
        </w:tc>
      </w:tr>
      <w:tr w14:paraId="04743373">
        <w:tblPrEx>
          <w:tblCellMar>
            <w:top w:w="0" w:type="dxa"/>
            <w:left w:w="108" w:type="dxa"/>
            <w:bottom w:w="0" w:type="dxa"/>
            <w:right w:w="108" w:type="dxa"/>
          </w:tblCellMar>
        </w:tblPrEx>
        <w:trPr>
          <w:trHeight w:val="360" w:hRule="atLeast"/>
          <w:jc w:val="center"/>
        </w:trPr>
        <w:tc>
          <w:tcPr>
            <w:tcW w:w="852" w:type="dxa"/>
            <w:vMerge w:val="continue"/>
            <w:tcBorders>
              <w:left w:val="single" w:color="auto" w:sz="8" w:space="0"/>
              <w:right w:val="single" w:color="auto" w:sz="8" w:space="0"/>
            </w:tcBorders>
            <w:vAlign w:val="center"/>
          </w:tcPr>
          <w:p w14:paraId="3435A8ED">
            <w:pPr>
              <w:pStyle w:val="15"/>
              <w:widowControl/>
              <w:snapToGrid w:val="0"/>
              <w:jc w:val="center"/>
              <w:rPr>
                <w:rFonts w:ascii="宋体" w:hAnsi="宋体" w:cs="宋体"/>
                <w:bCs/>
                <w:color w:val="000000"/>
                <w:szCs w:val="21"/>
              </w:rPr>
            </w:pPr>
          </w:p>
        </w:tc>
        <w:tc>
          <w:tcPr>
            <w:tcW w:w="585" w:type="dxa"/>
            <w:tcBorders>
              <w:top w:val="single" w:color="auto" w:sz="8" w:space="0"/>
              <w:left w:val="single" w:color="auto" w:sz="8" w:space="0"/>
              <w:bottom w:val="single" w:color="auto" w:sz="8" w:space="0"/>
              <w:right w:val="single" w:color="auto" w:sz="8" w:space="0"/>
            </w:tcBorders>
            <w:vAlign w:val="center"/>
          </w:tcPr>
          <w:p w14:paraId="092E83FC">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运输</w:t>
            </w:r>
          </w:p>
        </w:tc>
        <w:tc>
          <w:tcPr>
            <w:tcW w:w="763" w:type="dxa"/>
            <w:tcBorders>
              <w:top w:val="single" w:color="auto" w:sz="8" w:space="0"/>
              <w:left w:val="nil"/>
              <w:bottom w:val="single" w:color="auto" w:sz="8" w:space="0"/>
              <w:right w:val="single" w:color="auto" w:sz="8" w:space="0"/>
            </w:tcBorders>
            <w:vAlign w:val="center"/>
          </w:tcPr>
          <w:p w14:paraId="60F0C12A">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8</w:t>
            </w:r>
          </w:p>
        </w:tc>
        <w:tc>
          <w:tcPr>
            <w:tcW w:w="1007" w:type="dxa"/>
            <w:tcBorders>
              <w:top w:val="single" w:color="auto" w:sz="8" w:space="0"/>
              <w:left w:val="nil"/>
              <w:bottom w:val="single" w:color="auto" w:sz="8" w:space="0"/>
              <w:right w:val="single" w:color="auto" w:sz="4" w:space="0"/>
            </w:tcBorders>
            <w:vAlign w:val="center"/>
          </w:tcPr>
          <w:p w14:paraId="5F3AF8F1">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＜4</w:t>
            </w:r>
          </w:p>
        </w:tc>
        <w:tc>
          <w:tcPr>
            <w:tcW w:w="910" w:type="dxa"/>
            <w:tcBorders>
              <w:top w:val="single" w:color="auto" w:sz="4" w:space="0"/>
              <w:left w:val="single" w:color="auto" w:sz="4" w:space="0"/>
              <w:bottom w:val="single" w:color="auto" w:sz="4" w:space="0"/>
              <w:right w:val="single" w:color="auto" w:sz="4" w:space="0"/>
            </w:tcBorders>
            <w:vAlign w:val="center"/>
          </w:tcPr>
          <w:p w14:paraId="5ED27488">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28D8DDC">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47848D0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7ECE311F">
            <w:pPr>
              <w:pStyle w:val="15"/>
              <w:widowControl/>
              <w:snapToGrid w:val="0"/>
              <w:jc w:val="center"/>
              <w:rPr>
                <w:rFonts w:ascii="宋体" w:hAnsi="宋体" w:cs="宋体"/>
                <w:bCs/>
                <w:color w:val="000000"/>
                <w:szCs w:val="21"/>
              </w:rPr>
            </w:pPr>
          </w:p>
        </w:tc>
      </w:tr>
      <w:tr w14:paraId="3C9E4ADE">
        <w:tblPrEx>
          <w:tblCellMar>
            <w:top w:w="0" w:type="dxa"/>
            <w:left w:w="108" w:type="dxa"/>
            <w:bottom w:w="0" w:type="dxa"/>
            <w:right w:w="108" w:type="dxa"/>
          </w:tblCellMar>
        </w:tblPrEx>
        <w:trPr>
          <w:trHeight w:val="360" w:hRule="atLeast"/>
          <w:jc w:val="center"/>
        </w:trPr>
        <w:tc>
          <w:tcPr>
            <w:tcW w:w="852" w:type="dxa"/>
            <w:vMerge w:val="continue"/>
            <w:tcBorders>
              <w:left w:val="single" w:color="auto" w:sz="8" w:space="0"/>
              <w:bottom w:val="single" w:color="auto" w:sz="8" w:space="0"/>
              <w:right w:val="single" w:color="auto" w:sz="8" w:space="0"/>
            </w:tcBorders>
            <w:vAlign w:val="center"/>
          </w:tcPr>
          <w:p w14:paraId="2793E4FA">
            <w:pPr>
              <w:pStyle w:val="15"/>
              <w:widowControl/>
              <w:snapToGrid w:val="0"/>
              <w:jc w:val="center"/>
              <w:rPr>
                <w:rFonts w:ascii="宋体" w:hAnsi="宋体" w:cs="宋体"/>
                <w:bCs/>
                <w:color w:val="000000"/>
                <w:szCs w:val="21"/>
              </w:rPr>
            </w:pPr>
          </w:p>
        </w:tc>
        <w:tc>
          <w:tcPr>
            <w:tcW w:w="585" w:type="dxa"/>
            <w:tcBorders>
              <w:top w:val="single" w:color="auto" w:sz="8" w:space="0"/>
              <w:left w:val="single" w:color="auto" w:sz="8" w:space="0"/>
              <w:bottom w:val="single" w:color="auto" w:sz="8" w:space="0"/>
              <w:right w:val="single" w:color="auto" w:sz="8" w:space="0"/>
            </w:tcBorders>
            <w:vAlign w:val="center"/>
          </w:tcPr>
          <w:p w14:paraId="145102CF">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装车</w:t>
            </w:r>
          </w:p>
        </w:tc>
        <w:tc>
          <w:tcPr>
            <w:tcW w:w="763" w:type="dxa"/>
            <w:tcBorders>
              <w:top w:val="single" w:color="auto" w:sz="8" w:space="0"/>
              <w:left w:val="nil"/>
              <w:bottom w:val="single" w:color="auto" w:sz="8" w:space="0"/>
              <w:right w:val="single" w:color="auto" w:sz="8" w:space="0"/>
            </w:tcBorders>
            <w:vAlign w:val="center"/>
          </w:tcPr>
          <w:p w14:paraId="39DCE001">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8</w:t>
            </w:r>
          </w:p>
        </w:tc>
        <w:tc>
          <w:tcPr>
            <w:tcW w:w="1007" w:type="dxa"/>
            <w:tcBorders>
              <w:top w:val="single" w:color="auto" w:sz="8" w:space="0"/>
              <w:left w:val="nil"/>
              <w:bottom w:val="single" w:color="auto" w:sz="8" w:space="0"/>
              <w:right w:val="single" w:color="auto" w:sz="4" w:space="0"/>
            </w:tcBorders>
            <w:vAlign w:val="center"/>
          </w:tcPr>
          <w:p w14:paraId="1DAD7742">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0.05</w:t>
            </w:r>
          </w:p>
        </w:tc>
        <w:tc>
          <w:tcPr>
            <w:tcW w:w="910" w:type="dxa"/>
            <w:tcBorders>
              <w:top w:val="single" w:color="auto" w:sz="4" w:space="0"/>
              <w:left w:val="single" w:color="auto" w:sz="4" w:space="0"/>
              <w:bottom w:val="single" w:color="auto" w:sz="4" w:space="0"/>
              <w:right w:val="single" w:color="auto" w:sz="4" w:space="0"/>
            </w:tcBorders>
            <w:vAlign w:val="center"/>
          </w:tcPr>
          <w:p w14:paraId="413430F0">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725D7A3">
            <w:pPr>
              <w:pStyle w:val="15"/>
              <w:widowControl/>
              <w:snapToGrid w:val="0"/>
              <w:jc w:val="center"/>
              <w:rPr>
                <w:rFonts w:ascii="宋体" w:hAnsi="宋体" w:cs="宋体"/>
                <w:bCs/>
                <w:color w:val="000000"/>
                <w:szCs w:val="21"/>
              </w:rPr>
            </w:pPr>
          </w:p>
        </w:tc>
        <w:tc>
          <w:tcPr>
            <w:tcW w:w="657" w:type="dxa"/>
            <w:tcBorders>
              <w:top w:val="single" w:color="auto" w:sz="4" w:space="0"/>
              <w:left w:val="single" w:color="auto" w:sz="4" w:space="0"/>
              <w:bottom w:val="single" w:color="auto" w:sz="4" w:space="0"/>
              <w:right w:val="single" w:color="auto" w:sz="4" w:space="0"/>
            </w:tcBorders>
            <w:vAlign w:val="center"/>
          </w:tcPr>
          <w:p w14:paraId="42D061A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76392C02">
            <w:pPr>
              <w:pStyle w:val="15"/>
              <w:widowControl/>
              <w:snapToGrid w:val="0"/>
              <w:jc w:val="center"/>
              <w:rPr>
                <w:rFonts w:ascii="宋体" w:hAnsi="宋体" w:cs="宋体"/>
                <w:bCs/>
                <w:color w:val="000000"/>
                <w:szCs w:val="21"/>
              </w:rPr>
            </w:pPr>
          </w:p>
        </w:tc>
      </w:tr>
      <w:tr w14:paraId="14AD6367">
        <w:tblPrEx>
          <w:tblCellMar>
            <w:top w:w="0" w:type="dxa"/>
            <w:left w:w="108" w:type="dxa"/>
            <w:bottom w:w="0" w:type="dxa"/>
            <w:right w:w="108" w:type="dxa"/>
          </w:tblCellMar>
        </w:tblPrEx>
        <w:trPr>
          <w:trHeight w:val="967" w:hRule="atLeast"/>
          <w:jc w:val="center"/>
        </w:trPr>
        <w:tc>
          <w:tcPr>
            <w:tcW w:w="1437" w:type="dxa"/>
            <w:gridSpan w:val="2"/>
            <w:tcBorders>
              <w:top w:val="single" w:color="auto" w:sz="8" w:space="0"/>
              <w:left w:val="single" w:color="auto" w:sz="8" w:space="0"/>
              <w:bottom w:val="single" w:color="auto" w:sz="8" w:space="0"/>
              <w:right w:val="single" w:color="auto" w:sz="8" w:space="0"/>
            </w:tcBorders>
            <w:vAlign w:val="center"/>
          </w:tcPr>
          <w:p w14:paraId="3D52EDF3">
            <w:pPr>
              <w:pStyle w:val="15"/>
              <w:widowControl/>
              <w:snapToGrid w:val="0"/>
              <w:jc w:val="center"/>
              <w:rPr>
                <w:rFonts w:ascii="宋体" w:hAnsi="宋体" w:cs="宋体"/>
                <w:bCs/>
                <w:color w:val="000000"/>
                <w:szCs w:val="21"/>
              </w:rPr>
            </w:pPr>
            <w:r>
              <w:rPr>
                <w:rFonts w:hint="eastAsia" w:ascii="宋体" w:hAnsi="宋体" w:eastAsia="宋体" w:cs="宋体"/>
                <w:sz w:val="24"/>
                <w:szCs w:val="24"/>
              </w:rPr>
              <w:t>临时施工作业工程车辆</w:t>
            </w:r>
          </w:p>
        </w:tc>
        <w:tc>
          <w:tcPr>
            <w:tcW w:w="1770" w:type="dxa"/>
            <w:gridSpan w:val="2"/>
            <w:tcBorders>
              <w:top w:val="single" w:color="auto" w:sz="8" w:space="0"/>
              <w:left w:val="nil"/>
              <w:bottom w:val="single" w:color="auto" w:sz="8" w:space="0"/>
              <w:right w:val="single" w:color="auto" w:sz="4" w:space="0"/>
            </w:tcBorders>
            <w:vAlign w:val="center"/>
          </w:tcPr>
          <w:p w14:paraId="2B84C4B4">
            <w:pPr>
              <w:pStyle w:val="15"/>
              <w:widowControl/>
              <w:snapToGrid w:val="0"/>
              <w:jc w:val="center"/>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台班</w:t>
            </w:r>
          </w:p>
        </w:tc>
        <w:tc>
          <w:tcPr>
            <w:tcW w:w="910" w:type="dxa"/>
            <w:tcBorders>
              <w:top w:val="single" w:color="auto" w:sz="4" w:space="0"/>
              <w:left w:val="single" w:color="auto" w:sz="4" w:space="0"/>
              <w:bottom w:val="single" w:color="auto" w:sz="4" w:space="0"/>
              <w:right w:val="single" w:color="auto" w:sz="4" w:space="0"/>
            </w:tcBorders>
            <w:vAlign w:val="center"/>
          </w:tcPr>
          <w:p w14:paraId="419FE2CE">
            <w:pPr>
              <w:pStyle w:val="15"/>
              <w:widowControl/>
              <w:snapToGrid w:val="0"/>
              <w:jc w:val="center"/>
              <w:rPr>
                <w:rFonts w:ascii="宋体" w:hAnsi="宋体" w:cs="宋体"/>
                <w:bCs/>
                <w:color w:val="000000"/>
                <w:szCs w:val="21"/>
              </w:rPr>
            </w:pPr>
            <w:r>
              <w:rPr>
                <w:rFonts w:hint="eastAsia" w:ascii="宋体" w:hAnsi="宋体" w:cs="宋体"/>
                <w:bCs/>
                <w:color w:val="000000"/>
                <w:szCs w:val="21"/>
              </w:rPr>
              <w:t>不含税单价（元/</w:t>
            </w:r>
            <w:r>
              <w:rPr>
                <w:rFonts w:hint="eastAsia" w:ascii="宋体" w:hAnsi="宋体" w:cs="宋体"/>
                <w:bCs/>
                <w:color w:val="000000"/>
                <w:szCs w:val="21"/>
                <w:lang w:val="en-US" w:eastAsia="zh-CN"/>
              </w:rPr>
              <w:t>台班</w:t>
            </w:r>
            <w:r>
              <w:rPr>
                <w:rFonts w:hint="eastAsia" w:ascii="宋体" w:hAnsi="宋体" w:cs="宋体"/>
                <w:bCs/>
                <w:color w:val="000000"/>
                <w:szCs w:val="21"/>
              </w:rPr>
              <w:t>）</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02D88FF3">
            <w:pPr>
              <w:pStyle w:val="15"/>
              <w:widowControl/>
              <w:snapToGrid w:val="0"/>
              <w:jc w:val="center"/>
              <w:rPr>
                <w:rFonts w:ascii="宋体" w:hAnsi="宋体" w:eastAsia="宋体" w:cs="宋体"/>
                <w:bCs/>
                <w:color w:val="000000"/>
                <w:kern w:val="2"/>
                <w:sz w:val="21"/>
                <w:szCs w:val="21"/>
                <w:lang w:val="en-US" w:eastAsia="zh-CN" w:bidi="ar-SA"/>
              </w:rPr>
            </w:pPr>
            <w:r>
              <w:rPr>
                <w:rFonts w:hint="eastAsia" w:ascii="宋体" w:hAnsi="宋体" w:cs="宋体"/>
                <w:bCs/>
                <w:color w:val="000000"/>
                <w:szCs w:val="21"/>
              </w:rPr>
              <w:t>含税单价（元/</w:t>
            </w:r>
            <w:r>
              <w:rPr>
                <w:rFonts w:hint="eastAsia" w:ascii="宋体" w:hAnsi="宋体" w:cs="宋体"/>
                <w:bCs/>
                <w:color w:val="000000"/>
                <w:szCs w:val="21"/>
                <w:lang w:val="en-US" w:eastAsia="zh-CN"/>
              </w:rPr>
              <w:t>台班</w:t>
            </w:r>
            <w:r>
              <w:rPr>
                <w:rFonts w:hint="eastAsia" w:ascii="宋体" w:hAnsi="宋体" w:cs="宋体"/>
                <w:bCs/>
                <w:color w:val="000000"/>
                <w:szCs w:val="21"/>
              </w:rPr>
              <w:t>）</w:t>
            </w:r>
          </w:p>
        </w:tc>
        <w:tc>
          <w:tcPr>
            <w:tcW w:w="657" w:type="dxa"/>
            <w:tcBorders>
              <w:top w:val="single" w:color="auto" w:sz="4" w:space="0"/>
              <w:left w:val="single" w:color="auto" w:sz="4" w:space="0"/>
              <w:bottom w:val="single" w:color="auto" w:sz="4" w:space="0"/>
              <w:right w:val="single" w:color="auto" w:sz="4" w:space="0"/>
            </w:tcBorders>
            <w:vAlign w:val="center"/>
          </w:tcPr>
          <w:p w14:paraId="6033C4D0">
            <w:pPr>
              <w:pStyle w:val="15"/>
              <w:widowControl/>
              <w:snapToGrid w:val="0"/>
              <w:rPr>
                <w:rFonts w:ascii="宋体" w:hAnsi="宋体" w:cs="宋体"/>
                <w:bCs/>
                <w:color w:val="000000"/>
                <w:szCs w:val="21"/>
              </w:rPr>
            </w:pPr>
            <w:r>
              <w:rPr>
                <w:rFonts w:hint="eastAsia" w:ascii="宋体" w:hAnsi="宋体" w:cs="宋体"/>
                <w:bCs/>
                <w:color w:val="000000"/>
                <w:szCs w:val="21"/>
              </w:rPr>
              <w:t>税率</w:t>
            </w:r>
          </w:p>
        </w:tc>
        <w:tc>
          <w:tcPr>
            <w:tcW w:w="1558" w:type="dxa"/>
            <w:tcBorders>
              <w:top w:val="single" w:color="auto" w:sz="4" w:space="0"/>
              <w:left w:val="single" w:color="auto" w:sz="4" w:space="0"/>
              <w:bottom w:val="single" w:color="auto" w:sz="4" w:space="0"/>
              <w:right w:val="single" w:color="auto" w:sz="4" w:space="0"/>
            </w:tcBorders>
            <w:vAlign w:val="center"/>
          </w:tcPr>
          <w:p w14:paraId="0C0E1126">
            <w:pPr>
              <w:pStyle w:val="15"/>
              <w:widowControl/>
              <w:snapToGrid w:val="0"/>
              <w:jc w:val="center"/>
              <w:rPr>
                <w:rFonts w:ascii="宋体" w:hAnsi="宋体" w:cs="宋体"/>
                <w:bCs/>
                <w:color w:val="000000"/>
                <w:szCs w:val="21"/>
              </w:rPr>
            </w:pPr>
            <w:r>
              <w:rPr>
                <w:rFonts w:hint="eastAsia" w:ascii="宋体" w:hAnsi="宋体" w:cs="宋体"/>
                <w:bCs/>
                <w:color w:val="000000"/>
                <w:szCs w:val="21"/>
              </w:rPr>
              <w:t>备注</w:t>
            </w:r>
          </w:p>
        </w:tc>
      </w:tr>
      <w:tr w14:paraId="770B5F2A">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5D50531B">
            <w:pPr>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40T汽车吊</w:t>
            </w:r>
          </w:p>
        </w:tc>
        <w:tc>
          <w:tcPr>
            <w:tcW w:w="1770" w:type="dxa"/>
            <w:gridSpan w:val="2"/>
            <w:tcBorders>
              <w:top w:val="single" w:color="auto" w:sz="8" w:space="0"/>
              <w:left w:val="nil"/>
              <w:bottom w:val="single" w:color="auto" w:sz="8" w:space="0"/>
              <w:right w:val="single" w:color="auto" w:sz="4" w:space="0"/>
            </w:tcBorders>
            <w:vAlign w:val="center"/>
          </w:tcPr>
          <w:p w14:paraId="650C7A8D">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30</w:t>
            </w:r>
          </w:p>
        </w:tc>
        <w:tc>
          <w:tcPr>
            <w:tcW w:w="910" w:type="dxa"/>
            <w:tcBorders>
              <w:top w:val="single" w:color="auto" w:sz="4" w:space="0"/>
              <w:left w:val="single" w:color="auto" w:sz="4" w:space="0"/>
              <w:bottom w:val="single" w:color="auto" w:sz="4" w:space="0"/>
              <w:right w:val="single" w:color="auto" w:sz="4" w:space="0"/>
            </w:tcBorders>
            <w:vAlign w:val="center"/>
          </w:tcPr>
          <w:p w14:paraId="70FE976C">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3410BD93">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Borders>
              <w:top w:val="single" w:color="auto" w:sz="4" w:space="0"/>
              <w:left w:val="single" w:color="auto" w:sz="4" w:space="0"/>
              <w:bottom w:val="single" w:color="auto" w:sz="4" w:space="0"/>
              <w:right w:val="single" w:color="auto" w:sz="4" w:space="0"/>
            </w:tcBorders>
            <w:vAlign w:val="center"/>
          </w:tcPr>
          <w:p w14:paraId="276787D2">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69BD7D63">
            <w:pPr>
              <w:pStyle w:val="15"/>
              <w:widowControl/>
              <w:snapToGrid w:val="0"/>
              <w:jc w:val="center"/>
              <w:rPr>
                <w:rFonts w:ascii="宋体" w:hAnsi="宋体" w:cs="宋体"/>
                <w:bCs/>
                <w:color w:val="000000"/>
                <w:szCs w:val="21"/>
              </w:rPr>
            </w:pPr>
          </w:p>
        </w:tc>
      </w:tr>
      <w:tr w14:paraId="4C1E1124">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3FD106E0">
            <w:pPr>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3-5T叉车</w:t>
            </w:r>
          </w:p>
        </w:tc>
        <w:tc>
          <w:tcPr>
            <w:tcW w:w="1770" w:type="dxa"/>
            <w:gridSpan w:val="2"/>
            <w:tcBorders>
              <w:top w:val="single" w:color="auto" w:sz="8" w:space="0"/>
              <w:left w:val="nil"/>
              <w:bottom w:val="single" w:color="auto" w:sz="8" w:space="0"/>
              <w:right w:val="single" w:color="auto" w:sz="4" w:space="0"/>
            </w:tcBorders>
            <w:vAlign w:val="center"/>
          </w:tcPr>
          <w:p w14:paraId="0B929F42">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140</w:t>
            </w:r>
          </w:p>
        </w:tc>
        <w:tc>
          <w:tcPr>
            <w:tcW w:w="910" w:type="dxa"/>
            <w:tcBorders>
              <w:top w:val="single" w:color="auto" w:sz="4" w:space="0"/>
              <w:left w:val="single" w:color="auto" w:sz="4" w:space="0"/>
              <w:bottom w:val="single" w:color="auto" w:sz="4" w:space="0"/>
              <w:right w:val="single" w:color="auto" w:sz="4" w:space="0"/>
            </w:tcBorders>
            <w:vAlign w:val="center"/>
          </w:tcPr>
          <w:p w14:paraId="6AA7940C">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01CAAC8E">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Borders>
              <w:top w:val="single" w:color="auto" w:sz="4" w:space="0"/>
              <w:left w:val="single" w:color="auto" w:sz="4" w:space="0"/>
              <w:bottom w:val="single" w:color="auto" w:sz="4" w:space="0"/>
              <w:right w:val="single" w:color="auto" w:sz="4" w:space="0"/>
            </w:tcBorders>
            <w:vAlign w:val="center"/>
          </w:tcPr>
          <w:p w14:paraId="5B37F9A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4BC904DC">
            <w:pPr>
              <w:pStyle w:val="15"/>
              <w:widowControl/>
              <w:snapToGrid w:val="0"/>
              <w:jc w:val="center"/>
              <w:rPr>
                <w:rFonts w:ascii="宋体" w:hAnsi="宋体" w:cs="宋体"/>
                <w:bCs/>
                <w:color w:val="000000"/>
                <w:szCs w:val="21"/>
              </w:rPr>
            </w:pPr>
          </w:p>
        </w:tc>
      </w:tr>
      <w:tr w14:paraId="7E8B352E">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107341BB">
            <w:pPr>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挖掘机</w:t>
            </w:r>
          </w:p>
        </w:tc>
        <w:tc>
          <w:tcPr>
            <w:tcW w:w="1770" w:type="dxa"/>
            <w:gridSpan w:val="2"/>
            <w:tcBorders>
              <w:top w:val="single" w:color="auto" w:sz="8" w:space="0"/>
              <w:left w:val="nil"/>
              <w:bottom w:val="single" w:color="auto" w:sz="8" w:space="0"/>
              <w:right w:val="single" w:color="auto" w:sz="4" w:space="0"/>
            </w:tcBorders>
            <w:vAlign w:val="center"/>
          </w:tcPr>
          <w:p w14:paraId="269DD485">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100</w:t>
            </w:r>
          </w:p>
        </w:tc>
        <w:tc>
          <w:tcPr>
            <w:tcW w:w="910" w:type="dxa"/>
            <w:tcBorders>
              <w:top w:val="single" w:color="auto" w:sz="4" w:space="0"/>
              <w:left w:val="single" w:color="auto" w:sz="4" w:space="0"/>
              <w:bottom w:val="single" w:color="auto" w:sz="4" w:space="0"/>
              <w:right w:val="single" w:color="auto" w:sz="4" w:space="0"/>
            </w:tcBorders>
            <w:vAlign w:val="center"/>
          </w:tcPr>
          <w:p w14:paraId="3CE31C6D">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3E71619D">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Borders>
              <w:top w:val="single" w:color="auto" w:sz="4" w:space="0"/>
              <w:left w:val="single" w:color="auto" w:sz="4" w:space="0"/>
              <w:bottom w:val="single" w:color="auto" w:sz="4" w:space="0"/>
              <w:right w:val="single" w:color="auto" w:sz="4" w:space="0"/>
            </w:tcBorders>
            <w:vAlign w:val="center"/>
          </w:tcPr>
          <w:p w14:paraId="578B5018">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45E9A447">
            <w:pPr>
              <w:pStyle w:val="15"/>
              <w:widowControl/>
              <w:snapToGrid w:val="0"/>
              <w:jc w:val="center"/>
              <w:rPr>
                <w:rFonts w:ascii="宋体" w:hAnsi="宋体" w:cs="宋体"/>
                <w:bCs/>
                <w:color w:val="000000"/>
                <w:szCs w:val="21"/>
              </w:rPr>
            </w:pPr>
          </w:p>
        </w:tc>
      </w:tr>
      <w:tr w14:paraId="2EA46B27">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1F6E1DDD">
            <w:pPr>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推土机</w:t>
            </w:r>
          </w:p>
        </w:tc>
        <w:tc>
          <w:tcPr>
            <w:tcW w:w="1770" w:type="dxa"/>
            <w:gridSpan w:val="2"/>
            <w:tcBorders>
              <w:top w:val="single" w:color="auto" w:sz="8" w:space="0"/>
              <w:left w:val="nil"/>
              <w:bottom w:val="single" w:color="auto" w:sz="8" w:space="0"/>
              <w:right w:val="single" w:color="auto" w:sz="4" w:space="0"/>
            </w:tcBorders>
            <w:vAlign w:val="center"/>
          </w:tcPr>
          <w:p w14:paraId="71F0F895">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20</w:t>
            </w:r>
          </w:p>
        </w:tc>
        <w:tc>
          <w:tcPr>
            <w:tcW w:w="910" w:type="dxa"/>
            <w:tcBorders>
              <w:top w:val="single" w:color="auto" w:sz="4" w:space="0"/>
              <w:left w:val="single" w:color="auto" w:sz="4" w:space="0"/>
              <w:bottom w:val="single" w:color="auto" w:sz="4" w:space="0"/>
              <w:right w:val="single" w:color="auto" w:sz="4" w:space="0"/>
            </w:tcBorders>
            <w:vAlign w:val="center"/>
          </w:tcPr>
          <w:p w14:paraId="6BFA2B08">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7CECB826">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Borders>
              <w:top w:val="single" w:color="auto" w:sz="4" w:space="0"/>
              <w:left w:val="single" w:color="auto" w:sz="4" w:space="0"/>
              <w:bottom w:val="single" w:color="auto" w:sz="4" w:space="0"/>
              <w:right w:val="single" w:color="auto" w:sz="4" w:space="0"/>
            </w:tcBorders>
            <w:vAlign w:val="center"/>
          </w:tcPr>
          <w:p w14:paraId="1AE314A7">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1C31BD9E">
            <w:pPr>
              <w:pStyle w:val="15"/>
              <w:widowControl/>
              <w:snapToGrid w:val="0"/>
              <w:jc w:val="center"/>
              <w:rPr>
                <w:rFonts w:ascii="宋体" w:hAnsi="宋体" w:cs="宋体"/>
                <w:bCs/>
                <w:color w:val="000000"/>
                <w:szCs w:val="21"/>
              </w:rPr>
            </w:pPr>
          </w:p>
        </w:tc>
      </w:tr>
      <w:tr w14:paraId="76048100">
        <w:tblPrEx>
          <w:tblCellMar>
            <w:top w:w="0" w:type="dxa"/>
            <w:left w:w="108" w:type="dxa"/>
            <w:bottom w:w="0" w:type="dxa"/>
            <w:right w:w="108" w:type="dxa"/>
          </w:tblCellMar>
        </w:tblPrEx>
        <w:trPr>
          <w:trHeight w:val="360" w:hRule="atLeast"/>
          <w:jc w:val="center"/>
        </w:trPr>
        <w:tc>
          <w:tcPr>
            <w:tcW w:w="143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61238263">
            <w:pPr>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高空作业车</w:t>
            </w:r>
          </w:p>
        </w:tc>
        <w:tc>
          <w:tcPr>
            <w:tcW w:w="1770" w:type="dxa"/>
            <w:gridSpan w:val="2"/>
            <w:tcBorders>
              <w:top w:val="single" w:color="auto" w:sz="8" w:space="0"/>
              <w:left w:val="nil"/>
              <w:bottom w:val="single" w:color="auto" w:sz="8" w:space="0"/>
              <w:right w:val="single" w:color="auto" w:sz="4" w:space="0"/>
            </w:tcBorders>
            <w:vAlign w:val="center"/>
          </w:tcPr>
          <w:p w14:paraId="22777E93">
            <w:pPr>
              <w:pStyle w:val="15"/>
              <w:widowControl/>
              <w:snapToGrid w:val="0"/>
              <w:jc w:val="center"/>
              <w:rPr>
                <w:rFonts w:hint="default" w:ascii="宋体" w:hAnsi="宋体" w:eastAsia="宋体" w:cs="宋体"/>
                <w:bCs/>
                <w:color w:val="000000"/>
                <w:szCs w:val="21"/>
                <w:lang w:val="en-US" w:eastAsia="zh-CN"/>
              </w:rPr>
            </w:pPr>
            <w:r>
              <w:rPr>
                <w:rFonts w:hint="eastAsia" w:ascii="宋体" w:hAnsi="宋体" w:cs="宋体"/>
                <w:bCs/>
                <w:color w:val="000000"/>
                <w:szCs w:val="21"/>
                <w:lang w:val="en-US" w:eastAsia="zh-CN"/>
              </w:rPr>
              <w:t>10</w:t>
            </w:r>
          </w:p>
        </w:tc>
        <w:tc>
          <w:tcPr>
            <w:tcW w:w="910" w:type="dxa"/>
            <w:tcBorders>
              <w:top w:val="single" w:color="auto" w:sz="4" w:space="0"/>
              <w:left w:val="single" w:color="auto" w:sz="4" w:space="0"/>
              <w:bottom w:val="single" w:color="auto" w:sz="4" w:space="0"/>
              <w:right w:val="single" w:color="auto" w:sz="4" w:space="0"/>
            </w:tcBorders>
            <w:vAlign w:val="center"/>
          </w:tcPr>
          <w:p w14:paraId="0835FB50">
            <w:pPr>
              <w:pStyle w:val="15"/>
              <w:widowControl/>
              <w:snapToGrid w:val="0"/>
              <w:jc w:val="center"/>
              <w:rPr>
                <w:rFonts w:ascii="宋体" w:hAnsi="宋体" w:cs="宋体"/>
                <w:bCs/>
                <w:color w:val="000000"/>
                <w:szCs w:val="21"/>
              </w:rPr>
            </w:pP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0A807153">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Borders>
              <w:top w:val="single" w:color="auto" w:sz="4" w:space="0"/>
              <w:left w:val="single" w:color="auto" w:sz="4" w:space="0"/>
              <w:bottom w:val="single" w:color="auto" w:sz="4" w:space="0"/>
              <w:right w:val="single" w:color="auto" w:sz="4" w:space="0"/>
            </w:tcBorders>
            <w:vAlign w:val="center"/>
          </w:tcPr>
          <w:p w14:paraId="3611DB1E">
            <w:pPr>
              <w:pStyle w:val="15"/>
              <w:widowControl/>
              <w:snapToGrid w:val="0"/>
              <w:rPr>
                <w:rFonts w:ascii="宋体" w:hAnsi="宋体" w:cs="宋体"/>
                <w:bCs/>
                <w:color w:val="000000"/>
                <w:szCs w:val="21"/>
              </w:rPr>
            </w:pPr>
          </w:p>
        </w:tc>
        <w:tc>
          <w:tcPr>
            <w:tcW w:w="1558" w:type="dxa"/>
            <w:tcBorders>
              <w:top w:val="single" w:color="auto" w:sz="4" w:space="0"/>
              <w:left w:val="single" w:color="auto" w:sz="4" w:space="0"/>
              <w:bottom w:val="single" w:color="auto" w:sz="4" w:space="0"/>
              <w:right w:val="single" w:color="auto" w:sz="4" w:space="0"/>
            </w:tcBorders>
            <w:vAlign w:val="center"/>
          </w:tcPr>
          <w:p w14:paraId="48AB80C3">
            <w:pPr>
              <w:pStyle w:val="15"/>
              <w:widowControl/>
              <w:snapToGrid w:val="0"/>
              <w:jc w:val="center"/>
              <w:rPr>
                <w:rFonts w:ascii="宋体" w:hAnsi="宋体" w:cs="宋体"/>
                <w:bCs/>
                <w:color w:val="000000"/>
                <w:szCs w:val="21"/>
              </w:rPr>
            </w:pPr>
          </w:p>
        </w:tc>
      </w:tr>
      <w:tr w14:paraId="50E12AEA">
        <w:tblPrEx>
          <w:tblCellMar>
            <w:top w:w="0" w:type="dxa"/>
            <w:left w:w="108" w:type="dxa"/>
            <w:bottom w:w="0" w:type="dxa"/>
            <w:right w:w="108" w:type="dxa"/>
          </w:tblCellMar>
        </w:tblPrEx>
        <w:trPr>
          <w:trHeight w:val="360" w:hRule="atLeast"/>
          <w:jc w:val="center"/>
        </w:trPr>
        <w:tc>
          <w:tcPr>
            <w:tcW w:w="1437" w:type="dxa"/>
            <w:gridSpan w:val="2"/>
          </w:tcPr>
          <w:p w14:paraId="3CBD37D3">
            <w:pPr>
              <w:spacing w:line="240" w:lineRule="auto"/>
              <w:jc w:val="center"/>
              <w:rPr>
                <w:rFonts w:hint="eastAsia" w:ascii="宋体" w:hAnsi="宋体" w:eastAsia="宋体" w:cs="宋体"/>
                <w:kern w:val="2"/>
                <w:sz w:val="24"/>
                <w:szCs w:val="24"/>
                <w:lang w:val="en-US" w:eastAsia="zh-CN" w:bidi="ar-SA"/>
              </w:rPr>
            </w:pPr>
          </w:p>
        </w:tc>
        <w:tc>
          <w:tcPr>
            <w:tcW w:w="1770" w:type="dxa"/>
            <w:gridSpan w:val="2"/>
          </w:tcPr>
          <w:p w14:paraId="2D95E0B8">
            <w:pPr>
              <w:pStyle w:val="15"/>
              <w:widowControl/>
              <w:snapToGrid w:val="0"/>
              <w:jc w:val="center"/>
              <w:rPr>
                <w:rFonts w:ascii="宋体" w:hAnsi="宋体" w:cs="宋体"/>
                <w:bCs/>
                <w:color w:val="000000"/>
                <w:szCs w:val="21"/>
              </w:rPr>
            </w:pPr>
          </w:p>
        </w:tc>
        <w:tc>
          <w:tcPr>
            <w:tcW w:w="910" w:type="dxa"/>
          </w:tcPr>
          <w:p w14:paraId="3482B9F6">
            <w:pPr>
              <w:pStyle w:val="15"/>
              <w:widowControl/>
              <w:snapToGrid w:val="0"/>
              <w:jc w:val="center"/>
              <w:rPr>
                <w:rFonts w:ascii="宋体" w:hAnsi="宋体" w:cs="宋体"/>
                <w:bCs/>
                <w:color w:val="000000"/>
                <w:szCs w:val="21"/>
              </w:rPr>
            </w:pPr>
          </w:p>
        </w:tc>
        <w:tc>
          <w:tcPr>
            <w:tcW w:w="1161" w:type="dxa"/>
            <w:shd w:val="clear" w:color="auto" w:fill="auto"/>
            <w:vAlign w:val="center"/>
          </w:tcPr>
          <w:p w14:paraId="081D015D">
            <w:pPr>
              <w:pStyle w:val="15"/>
              <w:widowControl/>
              <w:snapToGrid w:val="0"/>
              <w:jc w:val="center"/>
              <w:rPr>
                <w:rFonts w:ascii="宋体" w:hAnsi="宋体" w:eastAsia="宋体" w:cs="宋体"/>
                <w:bCs/>
                <w:color w:val="000000"/>
                <w:kern w:val="2"/>
                <w:sz w:val="21"/>
                <w:szCs w:val="21"/>
                <w:lang w:val="en-US" w:eastAsia="zh-CN" w:bidi="ar-SA"/>
              </w:rPr>
            </w:pPr>
          </w:p>
        </w:tc>
        <w:tc>
          <w:tcPr>
            <w:tcW w:w="657" w:type="dxa"/>
          </w:tcPr>
          <w:p w14:paraId="771D77CC">
            <w:pPr>
              <w:pStyle w:val="15"/>
              <w:widowControl/>
              <w:snapToGrid w:val="0"/>
              <w:rPr>
                <w:rFonts w:ascii="宋体" w:hAnsi="宋体" w:cs="宋体"/>
                <w:bCs/>
                <w:color w:val="000000"/>
                <w:szCs w:val="21"/>
              </w:rPr>
            </w:pPr>
          </w:p>
        </w:tc>
        <w:tc>
          <w:tcPr>
            <w:tcW w:w="1558" w:type="dxa"/>
          </w:tcPr>
          <w:p w14:paraId="077776E0">
            <w:pPr>
              <w:pStyle w:val="15"/>
              <w:widowControl/>
              <w:snapToGrid w:val="0"/>
              <w:jc w:val="center"/>
              <w:rPr>
                <w:rFonts w:ascii="宋体" w:hAnsi="宋体" w:cs="宋体"/>
                <w:bCs/>
                <w:color w:val="000000"/>
                <w:szCs w:val="21"/>
              </w:rPr>
            </w:pPr>
          </w:p>
        </w:tc>
      </w:tr>
    </w:tbl>
    <w:p w14:paraId="522A3101">
      <w:pPr>
        <w:pStyle w:val="15"/>
        <w:spacing w:line="360" w:lineRule="auto"/>
        <w:rPr>
          <w:rFonts w:ascii="宋体" w:hAnsi="宋体"/>
          <w:color w:val="000000"/>
          <w:szCs w:val="21"/>
        </w:rPr>
      </w:pPr>
      <w:r>
        <w:rPr>
          <w:rFonts w:hint="eastAsia" w:ascii="宋体" w:hAnsi="宋体"/>
          <w:szCs w:val="21"/>
        </w:rPr>
        <w:t xml:space="preserve"> </w:t>
      </w:r>
      <w:r>
        <w:rPr>
          <w:rFonts w:ascii="宋体" w:hAnsi="宋体"/>
          <w:szCs w:val="21"/>
        </w:rPr>
        <w:t xml:space="preserve">   </w:t>
      </w:r>
      <w:r>
        <w:rPr>
          <w:rFonts w:hint="eastAsia" w:ascii="宋体" w:hAnsi="宋体"/>
          <w:color w:val="000000"/>
          <w:szCs w:val="21"/>
        </w:rPr>
        <w:t>2</w:t>
      </w:r>
      <w:r>
        <w:rPr>
          <w:rFonts w:ascii="宋体" w:hAnsi="宋体"/>
          <w:color w:val="000000"/>
          <w:szCs w:val="21"/>
        </w:rPr>
        <w:t>.1.3</w:t>
      </w:r>
      <w:r>
        <w:rPr>
          <w:rFonts w:hint="eastAsia" w:ascii="宋体" w:hAnsi="宋体"/>
          <w:color w:val="000000"/>
          <w:szCs w:val="21"/>
        </w:rPr>
        <w:t>根据本合同项下货物模拟运输量（装卸量）以及上述单价（详见上表），本合同暂定总服务费为含税人民币（大写）</w:t>
      </w:r>
      <w:r>
        <w:rPr>
          <w:rFonts w:ascii="宋体" w:hAnsi="宋体"/>
          <w:color w:val="000000"/>
          <w:szCs w:val="21"/>
          <w:u w:val="single"/>
        </w:rPr>
        <w:t xml:space="preserve">      </w:t>
      </w:r>
      <w:r>
        <w:rPr>
          <w:rFonts w:hint="eastAsia" w:ascii="宋体" w:hAnsi="宋体"/>
          <w:color w:val="000000"/>
          <w:szCs w:val="21"/>
        </w:rPr>
        <w:t>元整</w:t>
      </w:r>
      <w:r>
        <w:rPr>
          <w:rFonts w:ascii="宋体" w:hAnsi="宋体"/>
          <w:color w:val="000000"/>
          <w:szCs w:val="21"/>
        </w:rPr>
        <w:t>(¥</w:t>
      </w:r>
      <w:r>
        <w:rPr>
          <w:rFonts w:ascii="宋体" w:hAnsi="宋体"/>
          <w:color w:val="000000"/>
          <w:szCs w:val="21"/>
          <w:u w:val="single"/>
        </w:rPr>
        <w:t xml:space="preserve">     </w:t>
      </w:r>
      <w:r>
        <w:rPr>
          <w:rFonts w:hint="eastAsia" w:ascii="宋体" w:hAnsi="宋体"/>
          <w:color w:val="000000"/>
          <w:szCs w:val="21"/>
        </w:rPr>
        <w:t>元</w:t>
      </w:r>
      <w:r>
        <w:rPr>
          <w:rFonts w:ascii="宋体" w:hAnsi="宋体"/>
          <w:color w:val="000000"/>
          <w:szCs w:val="21"/>
        </w:rPr>
        <w:t>)</w:t>
      </w:r>
      <w:r>
        <w:rPr>
          <w:rFonts w:hint="eastAsia" w:ascii="宋体" w:hAnsi="宋体"/>
          <w:color w:val="000000"/>
          <w:szCs w:val="21"/>
        </w:rPr>
        <w:t>，税率</w:t>
      </w:r>
      <w:r>
        <w:rPr>
          <w:rFonts w:hint="eastAsia" w:ascii="宋体" w:hAnsi="宋体"/>
          <w:color w:val="000000"/>
          <w:szCs w:val="21"/>
          <w:lang w:val="en-US" w:eastAsia="zh-CN"/>
        </w:rPr>
        <w:t>运输</w:t>
      </w:r>
      <w:r>
        <w:rPr>
          <w:rFonts w:ascii="宋体" w:hAnsi="宋体"/>
          <w:color w:val="000000"/>
          <w:szCs w:val="21"/>
          <w:u w:val="single"/>
        </w:rPr>
        <w:t xml:space="preserve">  </w:t>
      </w:r>
      <w:r>
        <w:rPr>
          <w:rFonts w:hint="eastAsia" w:ascii="宋体" w:hAnsi="宋体"/>
          <w:color w:val="000000"/>
          <w:szCs w:val="21"/>
          <w:u w:val="single"/>
          <w:lang w:val="en-US" w:eastAsia="zh-CN"/>
        </w:rPr>
        <w:t>9</w:t>
      </w:r>
      <w:r>
        <w:rPr>
          <w:rFonts w:ascii="宋体" w:hAnsi="宋体"/>
          <w:color w:val="000000"/>
          <w:szCs w:val="21"/>
          <w:u w:val="single"/>
        </w:rPr>
        <w:t xml:space="preserve">  </w:t>
      </w:r>
      <w:r>
        <w:rPr>
          <w:rFonts w:ascii="宋体" w:hAnsi="宋体"/>
          <w:color w:val="000000"/>
          <w:szCs w:val="21"/>
        </w:rPr>
        <w:t>%</w:t>
      </w:r>
      <w:r>
        <w:rPr>
          <w:rFonts w:hint="eastAsia" w:ascii="宋体" w:hAnsi="宋体"/>
          <w:color w:val="000000"/>
          <w:szCs w:val="21"/>
          <w:lang w:eastAsia="zh-CN"/>
        </w:rPr>
        <w:t>；</w:t>
      </w:r>
      <w:r>
        <w:rPr>
          <w:rFonts w:hint="eastAsia" w:ascii="宋体" w:hAnsi="宋体"/>
          <w:color w:val="000000"/>
          <w:szCs w:val="21"/>
          <w:lang w:val="en-US" w:eastAsia="zh-CN"/>
        </w:rPr>
        <w:t>装卸</w:t>
      </w:r>
      <w:r>
        <w:rPr>
          <w:rFonts w:ascii="宋体" w:hAnsi="宋体"/>
          <w:color w:val="000000"/>
          <w:szCs w:val="21"/>
          <w:u w:val="single"/>
        </w:rPr>
        <w:t xml:space="preserve">  </w:t>
      </w:r>
      <w:r>
        <w:rPr>
          <w:rFonts w:hint="eastAsia" w:ascii="宋体" w:hAnsi="宋体"/>
          <w:color w:val="000000"/>
          <w:szCs w:val="21"/>
          <w:u w:val="single"/>
          <w:lang w:val="en-US" w:eastAsia="zh-CN"/>
        </w:rPr>
        <w:t>6</w:t>
      </w:r>
      <w:r>
        <w:rPr>
          <w:rFonts w:ascii="宋体" w:hAnsi="宋体"/>
          <w:color w:val="000000"/>
          <w:szCs w:val="21"/>
          <w:u w:val="single"/>
        </w:rPr>
        <w:t xml:space="preserve">  </w:t>
      </w:r>
      <w:r>
        <w:rPr>
          <w:rFonts w:ascii="宋体" w:hAnsi="宋体"/>
          <w:color w:val="000000"/>
          <w:szCs w:val="21"/>
        </w:rPr>
        <w:t>%</w:t>
      </w:r>
      <w:r>
        <w:rPr>
          <w:rFonts w:hint="eastAsia" w:ascii="宋体" w:hAnsi="宋体"/>
          <w:color w:val="000000"/>
          <w:szCs w:val="21"/>
        </w:rPr>
        <w:t>，开具增值税专用发票。（本合同价格由不含税价及价外增值税组成，合同不含税金额为</w:t>
      </w:r>
      <w:r>
        <w:rPr>
          <w:rFonts w:ascii="宋体" w:hAnsi="宋体"/>
          <w:color w:val="000000"/>
          <w:szCs w:val="21"/>
          <w:u w:val="single"/>
        </w:rPr>
        <w:t xml:space="preserve">       </w:t>
      </w:r>
      <w:r>
        <w:rPr>
          <w:rFonts w:hint="eastAsia" w:ascii="宋体" w:hAnsi="宋体"/>
          <w:color w:val="000000"/>
          <w:szCs w:val="21"/>
        </w:rPr>
        <w:t>元，增值税税额为</w:t>
      </w:r>
      <w:r>
        <w:rPr>
          <w:rFonts w:ascii="宋体" w:hAnsi="宋体"/>
          <w:color w:val="000000"/>
          <w:szCs w:val="21"/>
          <w:u w:val="single"/>
        </w:rPr>
        <w:t xml:space="preserve">      </w:t>
      </w:r>
      <w:r>
        <w:rPr>
          <w:rFonts w:hint="eastAsia" w:ascii="宋体" w:hAnsi="宋体"/>
          <w:color w:val="000000"/>
          <w:szCs w:val="21"/>
        </w:rPr>
        <w:t>元，小数点后面数据需以发票开具金额为准。不含税价在合同期内固定不变，如遇国家税收政策调整，则价外增值税根据最新政策确定，合同价格相应调整）。</w:t>
      </w:r>
    </w:p>
    <w:p w14:paraId="46D5D9B1">
      <w:pPr>
        <w:pStyle w:val="15"/>
        <w:spacing w:line="360" w:lineRule="auto"/>
        <w:ind w:firstLine="420" w:firstLineChars="200"/>
        <w:rPr>
          <w:rFonts w:ascii="宋体" w:hAnsi="宋体"/>
          <w:color w:val="000000"/>
          <w:szCs w:val="21"/>
        </w:rPr>
      </w:pPr>
      <w:r>
        <w:rPr>
          <w:rFonts w:hint="eastAsia" w:ascii="宋体" w:hAnsi="宋体"/>
          <w:color w:val="000000"/>
          <w:szCs w:val="21"/>
        </w:rPr>
        <w:t>2.2实际运费按照经甲方地磅确认的乙方实际承运数量为准按月度结算（实际运费按照甲乙双方确认的清单为乙方实际承运数量的结算依据按月度结算。上月26日至本月25日为一个结算周期。双方在结算日（即每月2</w:t>
      </w:r>
      <w:r>
        <w:rPr>
          <w:rFonts w:hint="eastAsia" w:ascii="宋体" w:hAnsi="宋体"/>
          <w:color w:val="000000"/>
          <w:szCs w:val="21"/>
          <w:lang w:val="en-US" w:eastAsia="zh-CN"/>
        </w:rPr>
        <w:t>6</w:t>
      </w:r>
      <w:r>
        <w:rPr>
          <w:rFonts w:hint="eastAsia" w:ascii="宋体" w:hAnsi="宋体"/>
          <w:color w:val="000000"/>
          <w:szCs w:val="21"/>
        </w:rPr>
        <w:t>日）对帐确认上一结算周期的实际运输量后，由乙方负责开具发票，甲方在收到乙方开具增值税专用发票（运输税率</w:t>
      </w:r>
      <w:r>
        <w:rPr>
          <w:rFonts w:hint="eastAsia" w:ascii="宋体" w:hAnsi="宋体"/>
          <w:color w:val="000000"/>
          <w:szCs w:val="21"/>
          <w:u w:val="single"/>
        </w:rPr>
        <w:t xml:space="preserve">  </w:t>
      </w:r>
      <w:r>
        <w:rPr>
          <w:rFonts w:hint="eastAsia" w:ascii="宋体" w:hAnsi="宋体"/>
          <w:color w:val="000000"/>
          <w:szCs w:val="21"/>
          <w:u w:val="single"/>
          <w:lang w:val="en-US" w:eastAsia="zh-CN"/>
        </w:rPr>
        <w:t>9</w:t>
      </w:r>
      <w:r>
        <w:rPr>
          <w:rFonts w:hint="eastAsia" w:ascii="宋体" w:hAnsi="宋体"/>
          <w:color w:val="000000"/>
          <w:szCs w:val="21"/>
          <w:u w:val="single"/>
        </w:rPr>
        <w:t xml:space="preserve">  %</w:t>
      </w:r>
      <w:r>
        <w:rPr>
          <w:rFonts w:hint="eastAsia" w:ascii="宋体" w:hAnsi="宋体"/>
          <w:color w:val="000000"/>
          <w:szCs w:val="21"/>
          <w:u w:val="single"/>
          <w:lang w:eastAsia="zh-CN"/>
        </w:rPr>
        <w:t>；</w:t>
      </w:r>
      <w:r>
        <w:rPr>
          <w:rFonts w:hint="eastAsia" w:ascii="宋体" w:hAnsi="宋体"/>
          <w:color w:val="000000"/>
          <w:szCs w:val="21"/>
          <w:u w:val="single"/>
          <w:lang w:val="en-US" w:eastAsia="zh-CN"/>
        </w:rPr>
        <w:t>装卸税率</w:t>
      </w:r>
      <w:r>
        <w:rPr>
          <w:rFonts w:hint="eastAsia" w:ascii="宋体" w:hAnsi="宋体"/>
          <w:color w:val="000000"/>
          <w:szCs w:val="21"/>
          <w:u w:val="single"/>
        </w:rPr>
        <w:t xml:space="preserve">  </w:t>
      </w:r>
      <w:r>
        <w:rPr>
          <w:rFonts w:hint="eastAsia" w:ascii="宋体" w:hAnsi="宋体"/>
          <w:color w:val="000000"/>
          <w:szCs w:val="21"/>
          <w:u w:val="single"/>
          <w:lang w:val="en-US" w:eastAsia="zh-CN"/>
        </w:rPr>
        <w:t>6</w:t>
      </w:r>
      <w:r>
        <w:rPr>
          <w:rFonts w:hint="eastAsia" w:ascii="宋体" w:hAnsi="宋体"/>
          <w:color w:val="000000"/>
          <w:szCs w:val="21"/>
          <w:u w:val="single"/>
        </w:rPr>
        <w:t xml:space="preserve">  %</w:t>
      </w:r>
      <w:r>
        <w:rPr>
          <w:rFonts w:hint="eastAsia" w:ascii="宋体" w:hAnsi="宋体"/>
          <w:color w:val="000000"/>
          <w:szCs w:val="21"/>
        </w:rPr>
        <w:t>）后付清乙方上月运费。如有考核扣除的款项，甲方有权在应付运费中直接扣除。</w:t>
      </w:r>
    </w:p>
    <w:p w14:paraId="6DD622B3">
      <w:pPr>
        <w:pStyle w:val="15"/>
        <w:spacing w:line="360" w:lineRule="auto"/>
        <w:ind w:firstLine="420" w:firstLineChars="200"/>
        <w:rPr>
          <w:rFonts w:ascii="宋体" w:hAnsi="宋体"/>
          <w:szCs w:val="21"/>
        </w:rPr>
      </w:pPr>
      <w:r>
        <w:rPr>
          <w:rFonts w:hint="eastAsia" w:ascii="宋体" w:hAnsi="宋体"/>
          <w:color w:val="000000"/>
          <w:szCs w:val="21"/>
        </w:rPr>
        <w:t>2.3在本合同履行期限未满期间，如根据本合同约定实际产生的运费超过第2.</w:t>
      </w:r>
      <w:r>
        <w:rPr>
          <w:rFonts w:ascii="宋体" w:hAnsi="宋体"/>
          <w:color w:val="000000"/>
          <w:szCs w:val="21"/>
        </w:rPr>
        <w:t>1.3</w:t>
      </w:r>
      <w:r>
        <w:rPr>
          <w:rFonts w:hint="eastAsia" w:ascii="宋体" w:hAnsi="宋体"/>
          <w:color w:val="000000"/>
          <w:szCs w:val="21"/>
        </w:rPr>
        <w:t>条约定的暂定总价【</w:t>
      </w:r>
      <w:r>
        <w:rPr>
          <w:rFonts w:hint="eastAsia" w:ascii="宋体" w:hAnsi="宋体"/>
          <w:color w:val="auto"/>
          <w:szCs w:val="21"/>
          <w:lang w:val="en-US" w:eastAsia="zh-CN"/>
        </w:rPr>
        <w:t>100</w:t>
      </w:r>
      <w:r>
        <w:rPr>
          <w:rFonts w:hint="eastAsia" w:ascii="宋体" w:hAnsi="宋体"/>
          <w:color w:val="auto"/>
          <w:szCs w:val="21"/>
        </w:rPr>
        <w:t>】%</w:t>
      </w:r>
      <w:r>
        <w:rPr>
          <w:rFonts w:hint="eastAsia" w:ascii="宋体" w:hAnsi="宋体"/>
          <w:color w:val="000000"/>
          <w:szCs w:val="21"/>
        </w:rPr>
        <w:t>的，甲方有权单方面终止本合同，终止合同时间以甲方单方面终止合同通知书到达乙方当日为准，且甲方无须承担任何违约责任。</w:t>
      </w:r>
    </w:p>
    <w:p w14:paraId="6FC938AF">
      <w:pPr>
        <w:pStyle w:val="16"/>
        <w:spacing w:before="100" w:beforeAutospacing="1" w:after="0"/>
        <w:rPr>
          <w:rFonts w:ascii="宋体" w:hAnsi="宋体" w:eastAsia="宋体"/>
          <w:color w:val="000000"/>
        </w:rPr>
      </w:pPr>
      <w:bookmarkStart w:id="6" w:name="_Toc480353643"/>
      <w:r>
        <w:rPr>
          <w:rFonts w:hint="eastAsia" w:ascii="宋体" w:hAnsi="宋体" w:eastAsia="宋体"/>
          <w:color w:val="000000"/>
        </w:rPr>
        <w:t>第三条  合同期限</w:t>
      </w:r>
      <w:bookmarkEnd w:id="5"/>
      <w:bookmarkEnd w:id="6"/>
    </w:p>
    <w:p w14:paraId="1AA667AF">
      <w:pPr>
        <w:pStyle w:val="15"/>
        <w:spacing w:line="360" w:lineRule="auto"/>
        <w:ind w:firstLine="420" w:firstLineChars="200"/>
        <w:rPr>
          <w:rFonts w:ascii="宋体" w:hAnsi="宋体"/>
          <w:szCs w:val="21"/>
        </w:rPr>
      </w:pPr>
      <w:r>
        <w:rPr>
          <w:rFonts w:hint="eastAsia" w:ascii="宋体" w:hAnsi="宋体"/>
          <w:color w:val="000000"/>
          <w:szCs w:val="21"/>
        </w:rPr>
        <w:t>3.1本合同服务期限：自【</w:t>
      </w:r>
      <w:r>
        <w:rPr>
          <w:rFonts w:hint="eastAsia" w:ascii="宋体" w:hAnsi="宋体"/>
          <w:color w:val="000000"/>
          <w:szCs w:val="21"/>
          <w:lang w:val="en-US" w:eastAsia="zh-CN"/>
        </w:rPr>
        <w:t>2025</w:t>
      </w:r>
      <w:r>
        <w:rPr>
          <w:rFonts w:hint="eastAsia" w:ascii="宋体" w:hAnsi="宋体"/>
          <w:color w:val="000000"/>
          <w:szCs w:val="21"/>
        </w:rPr>
        <w:t>】年【</w:t>
      </w:r>
      <w:r>
        <w:rPr>
          <w:rFonts w:hint="eastAsia" w:ascii="宋体" w:hAnsi="宋体"/>
          <w:color w:val="000000"/>
          <w:szCs w:val="21"/>
          <w:lang w:val="en-US" w:eastAsia="zh-CN"/>
        </w:rPr>
        <w:t>5</w:t>
      </w:r>
      <w:r>
        <w:rPr>
          <w:rFonts w:hint="eastAsia" w:ascii="宋体" w:hAnsi="宋体"/>
          <w:color w:val="000000"/>
          <w:szCs w:val="21"/>
        </w:rPr>
        <w:t>】月【</w:t>
      </w:r>
      <w:r>
        <w:rPr>
          <w:rFonts w:hint="eastAsia" w:ascii="宋体" w:hAnsi="宋体"/>
          <w:color w:val="000000"/>
          <w:szCs w:val="21"/>
          <w:lang w:val="en-US" w:eastAsia="zh-CN"/>
        </w:rPr>
        <w:t>26</w:t>
      </w:r>
      <w:r>
        <w:rPr>
          <w:rFonts w:hint="eastAsia" w:ascii="宋体" w:hAnsi="宋体"/>
          <w:color w:val="000000"/>
          <w:szCs w:val="21"/>
        </w:rPr>
        <w:t>】日起至【</w:t>
      </w:r>
      <w:r>
        <w:rPr>
          <w:rFonts w:hint="eastAsia" w:ascii="宋体" w:hAnsi="宋体"/>
          <w:color w:val="000000"/>
          <w:szCs w:val="21"/>
          <w:lang w:val="en-US" w:eastAsia="zh-CN"/>
        </w:rPr>
        <w:t>2027</w:t>
      </w:r>
      <w:r>
        <w:rPr>
          <w:rFonts w:hint="eastAsia" w:ascii="宋体" w:hAnsi="宋体"/>
          <w:color w:val="000000"/>
          <w:szCs w:val="21"/>
        </w:rPr>
        <w:t>】年【</w:t>
      </w:r>
      <w:r>
        <w:rPr>
          <w:rFonts w:hint="eastAsia" w:ascii="宋体" w:hAnsi="宋体"/>
          <w:color w:val="000000"/>
          <w:szCs w:val="21"/>
          <w:lang w:val="en-US" w:eastAsia="zh-CN"/>
        </w:rPr>
        <w:t>5</w:t>
      </w:r>
      <w:r>
        <w:rPr>
          <w:rFonts w:hint="eastAsia" w:ascii="宋体" w:hAnsi="宋体"/>
          <w:color w:val="000000"/>
          <w:szCs w:val="21"/>
        </w:rPr>
        <w:t>】月【</w:t>
      </w:r>
      <w:r>
        <w:rPr>
          <w:rFonts w:hint="eastAsia" w:ascii="宋体" w:hAnsi="宋体"/>
          <w:color w:val="000000"/>
          <w:szCs w:val="21"/>
          <w:lang w:val="en-US" w:eastAsia="zh-CN"/>
        </w:rPr>
        <w:t>25</w:t>
      </w:r>
      <w:r>
        <w:rPr>
          <w:rFonts w:hint="eastAsia" w:ascii="宋体" w:hAnsi="宋体"/>
          <w:color w:val="000000"/>
          <w:szCs w:val="21"/>
        </w:rPr>
        <w:t>】日止。</w:t>
      </w:r>
    </w:p>
    <w:p w14:paraId="18AB5407">
      <w:pPr>
        <w:pStyle w:val="16"/>
        <w:spacing w:before="100" w:beforeAutospacing="1" w:after="0"/>
        <w:rPr>
          <w:rFonts w:ascii="宋体" w:hAnsi="宋体" w:eastAsia="宋体"/>
          <w:color w:val="000000"/>
        </w:rPr>
      </w:pPr>
      <w:bookmarkStart w:id="7" w:name="_Toc411416328"/>
      <w:bookmarkStart w:id="8" w:name="_Toc480353644"/>
      <w:r>
        <w:rPr>
          <w:rFonts w:hint="eastAsia" w:ascii="宋体" w:hAnsi="宋体" w:eastAsia="宋体"/>
          <w:color w:val="000000"/>
        </w:rPr>
        <w:t>第四条  服务要求</w:t>
      </w:r>
      <w:bookmarkEnd w:id="7"/>
      <w:bookmarkEnd w:id="8"/>
    </w:p>
    <w:p w14:paraId="29722FAF">
      <w:pPr>
        <w:pStyle w:val="15"/>
        <w:spacing w:line="360" w:lineRule="auto"/>
        <w:ind w:firstLine="420" w:firstLineChars="200"/>
        <w:rPr>
          <w:rFonts w:ascii="宋体" w:hAnsi="宋体"/>
          <w:color w:val="000000"/>
          <w:szCs w:val="21"/>
        </w:rPr>
      </w:pPr>
      <w:r>
        <w:rPr>
          <w:rFonts w:hint="eastAsia" w:ascii="宋体" w:hAnsi="宋体"/>
          <w:color w:val="000000"/>
          <w:szCs w:val="21"/>
        </w:rPr>
        <w:t>4.1 乙方应建立健全安全保证体系，落实岗位、乙方工作人员的安全责任，确保运输和人身安全，保证甲方委托运输货物安全无误、如数、准时地运抵甲方指定地点。</w:t>
      </w:r>
    </w:p>
    <w:p w14:paraId="6E1439A9">
      <w:pPr>
        <w:pStyle w:val="15"/>
        <w:spacing w:line="360" w:lineRule="auto"/>
        <w:ind w:firstLine="420" w:firstLineChars="200"/>
        <w:rPr>
          <w:rFonts w:ascii="宋体" w:hAnsi="宋体"/>
          <w:color w:val="000000"/>
          <w:szCs w:val="21"/>
        </w:rPr>
      </w:pPr>
      <w:r>
        <w:rPr>
          <w:rFonts w:hint="eastAsia" w:ascii="宋体" w:hAnsi="宋体"/>
          <w:color w:val="000000"/>
          <w:szCs w:val="21"/>
        </w:rPr>
        <w:t>4.2 乙方充分理解承运本合同项下货物的环保和安全等要求和责任，保证运输工具完全符合装运甲方货物的各项要求，遵守甲方与电厂的安全、环保、卫生规定，杜绝出现任何环保、安全、卫生问题或事故。</w:t>
      </w:r>
    </w:p>
    <w:p w14:paraId="665C609F">
      <w:pPr>
        <w:pStyle w:val="15"/>
        <w:spacing w:line="360" w:lineRule="auto"/>
        <w:ind w:firstLine="420" w:firstLineChars="200"/>
        <w:rPr>
          <w:rFonts w:ascii="宋体" w:hAnsi="宋体"/>
          <w:color w:val="000000"/>
          <w:szCs w:val="21"/>
        </w:rPr>
      </w:pPr>
      <w:r>
        <w:rPr>
          <w:rFonts w:hint="eastAsia" w:ascii="宋体" w:hAnsi="宋体"/>
          <w:color w:val="000000"/>
          <w:szCs w:val="21"/>
        </w:rPr>
        <w:t>4.3乙方人员在为甲方服务期间的劳动保护由乙方自行负担，乙方人员发生伤亡事故，乙方应自行承担全部责任。乙方服务过程中应按照甲方和相关单位的文明生产要求，及时做好作业区内的文明生产工作，维持良好的文明生产环境，保持现场环境整洁。</w:t>
      </w:r>
    </w:p>
    <w:p w14:paraId="1707B577">
      <w:pPr>
        <w:pStyle w:val="15"/>
        <w:spacing w:line="360" w:lineRule="auto"/>
        <w:ind w:firstLine="420" w:firstLineChars="200"/>
        <w:rPr>
          <w:rFonts w:ascii="宋体" w:hAnsi="宋体"/>
          <w:color w:val="000000"/>
          <w:szCs w:val="21"/>
        </w:rPr>
      </w:pPr>
      <w:r>
        <w:rPr>
          <w:rFonts w:hint="eastAsia" w:ascii="宋体" w:hAnsi="宋体"/>
          <w:color w:val="000000"/>
          <w:szCs w:val="21"/>
        </w:rPr>
        <w:t>4.4自甲方委托运输货物装至乙方运输工具之时起，与运输物品有关的一切承运风险由乙方承担，因乙方原因在运输过程中导致货物毁损或减少的，乙方应赔偿甲方由此产生的损失，甲方有权按实际价值扣减乙方相应运费。</w:t>
      </w:r>
    </w:p>
    <w:p w14:paraId="73378580">
      <w:pPr>
        <w:pStyle w:val="15"/>
        <w:spacing w:line="360" w:lineRule="auto"/>
        <w:ind w:firstLine="420" w:firstLineChars="200"/>
        <w:rPr>
          <w:rFonts w:ascii="宋体" w:hAnsi="宋体"/>
          <w:color w:val="000000"/>
          <w:szCs w:val="21"/>
        </w:rPr>
      </w:pPr>
      <w:r>
        <w:rPr>
          <w:rFonts w:hint="eastAsia" w:ascii="宋体" w:hAnsi="宋体"/>
          <w:color w:val="000000"/>
          <w:szCs w:val="21"/>
        </w:rPr>
        <w:t>4.5运输货物过地磅后运抵甲方指定地点，乙方人员应根据处理场所工作人员的工作指示负责将委托运输物品妥善卸至卸货点（场所），相关服务要求及内容详见《技术协议》。</w:t>
      </w:r>
    </w:p>
    <w:p w14:paraId="5D57E85C">
      <w:pPr>
        <w:pStyle w:val="16"/>
        <w:spacing w:before="100" w:beforeAutospacing="1" w:after="0"/>
        <w:rPr>
          <w:rFonts w:ascii="宋体" w:hAnsi="宋体" w:eastAsia="宋体"/>
          <w:color w:val="000000"/>
        </w:rPr>
      </w:pPr>
      <w:bookmarkStart w:id="9" w:name="_Toc480353645"/>
      <w:bookmarkStart w:id="10" w:name="_Toc411416329"/>
      <w:r>
        <w:rPr>
          <w:rFonts w:hint="eastAsia" w:ascii="宋体" w:hAnsi="宋体" w:eastAsia="宋体"/>
          <w:color w:val="000000"/>
        </w:rPr>
        <w:t>第五条  双方的权利义务</w:t>
      </w:r>
      <w:bookmarkEnd w:id="9"/>
      <w:bookmarkEnd w:id="10"/>
      <w:r>
        <w:rPr>
          <w:rFonts w:hint="eastAsia" w:ascii="宋体" w:hAnsi="宋体" w:eastAsia="宋体"/>
          <w:color w:val="000000"/>
        </w:rPr>
        <w:t xml:space="preserve"> </w:t>
      </w:r>
    </w:p>
    <w:p w14:paraId="0C9D5CA5">
      <w:pPr>
        <w:pStyle w:val="15"/>
        <w:spacing w:line="360" w:lineRule="auto"/>
        <w:ind w:firstLine="420" w:firstLineChars="200"/>
        <w:rPr>
          <w:rFonts w:ascii="宋体" w:hAnsi="宋体"/>
          <w:color w:val="000000"/>
          <w:szCs w:val="21"/>
        </w:rPr>
      </w:pPr>
      <w:r>
        <w:rPr>
          <w:rFonts w:hint="eastAsia" w:ascii="宋体" w:hAnsi="宋体"/>
          <w:color w:val="000000"/>
          <w:szCs w:val="21"/>
        </w:rPr>
        <w:t>5.1甲方权利义务：</w:t>
      </w:r>
    </w:p>
    <w:p w14:paraId="6B8082F9">
      <w:pPr>
        <w:pStyle w:val="15"/>
        <w:spacing w:line="360" w:lineRule="auto"/>
        <w:ind w:firstLine="420" w:firstLineChars="200"/>
        <w:rPr>
          <w:rFonts w:ascii="宋体" w:hAnsi="宋体"/>
          <w:color w:val="000000"/>
          <w:szCs w:val="21"/>
        </w:rPr>
      </w:pPr>
      <w:r>
        <w:rPr>
          <w:rFonts w:hint="eastAsia" w:ascii="宋体" w:hAnsi="宋体"/>
          <w:color w:val="000000"/>
          <w:szCs w:val="21"/>
        </w:rPr>
        <w:t>5.1.1负责提供运输装卸货物堆场的地点。</w:t>
      </w:r>
    </w:p>
    <w:p w14:paraId="1A306560">
      <w:pPr>
        <w:pStyle w:val="15"/>
        <w:spacing w:line="360" w:lineRule="auto"/>
        <w:ind w:firstLine="420" w:firstLineChars="200"/>
        <w:rPr>
          <w:rFonts w:ascii="宋体" w:hAnsi="宋体"/>
          <w:color w:val="000000"/>
          <w:szCs w:val="21"/>
        </w:rPr>
      </w:pPr>
      <w:r>
        <w:rPr>
          <w:rFonts w:hint="eastAsia" w:ascii="宋体" w:hAnsi="宋体"/>
          <w:color w:val="000000"/>
          <w:szCs w:val="21"/>
        </w:rPr>
        <w:t>5.1.2负责安排运输货物的计划，并提前1天以电话或传真方式向乙方发出运输指令（含发运时间、运输方式、货物名称、数量、转运地、卸货地等）。</w:t>
      </w:r>
    </w:p>
    <w:p w14:paraId="33A2FD7F">
      <w:pPr>
        <w:pStyle w:val="15"/>
        <w:spacing w:line="360" w:lineRule="auto"/>
        <w:ind w:firstLine="525" w:firstLineChars="250"/>
        <w:rPr>
          <w:rFonts w:ascii="宋体" w:hAnsi="宋体"/>
          <w:szCs w:val="21"/>
        </w:rPr>
      </w:pPr>
      <w:r>
        <w:rPr>
          <w:rFonts w:hint="eastAsia" w:ascii="宋体" w:hAnsi="宋体"/>
          <w:color w:val="000000"/>
          <w:szCs w:val="21"/>
        </w:rPr>
        <w:t>5.1.3指派</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负责运输工作的联系和确认事宜。</w:t>
      </w:r>
    </w:p>
    <w:p w14:paraId="508336BA">
      <w:pPr>
        <w:pStyle w:val="15"/>
        <w:spacing w:line="360" w:lineRule="auto"/>
        <w:ind w:firstLine="420" w:firstLineChars="200"/>
        <w:rPr>
          <w:rFonts w:ascii="宋体" w:hAnsi="宋体"/>
          <w:color w:val="000000"/>
          <w:szCs w:val="21"/>
        </w:rPr>
      </w:pPr>
      <w:r>
        <w:rPr>
          <w:rFonts w:hint="eastAsia" w:ascii="宋体" w:hAnsi="宋体"/>
          <w:color w:val="000000"/>
          <w:szCs w:val="21"/>
        </w:rPr>
        <w:t>5.1.4甲方有权对乙方工作人员的作业情况进行监督、检查，对于乙方工作人员的违章操作，有权要求其改正或要求乙方更换人员。</w:t>
      </w:r>
    </w:p>
    <w:p w14:paraId="0F027D9C">
      <w:pPr>
        <w:pStyle w:val="15"/>
        <w:spacing w:line="360" w:lineRule="auto"/>
        <w:ind w:firstLine="420" w:firstLineChars="200"/>
        <w:rPr>
          <w:rFonts w:ascii="宋体" w:hAnsi="宋体"/>
          <w:color w:val="000000"/>
          <w:szCs w:val="21"/>
        </w:rPr>
      </w:pPr>
      <w:r>
        <w:rPr>
          <w:rFonts w:hint="eastAsia" w:ascii="宋体" w:hAnsi="宋体"/>
          <w:color w:val="000000"/>
          <w:szCs w:val="21"/>
        </w:rPr>
        <w:t>5.1.5按合同规定及时付款。</w:t>
      </w:r>
    </w:p>
    <w:p w14:paraId="429BD8F2">
      <w:pPr>
        <w:pStyle w:val="15"/>
        <w:spacing w:line="360" w:lineRule="auto"/>
        <w:ind w:firstLine="420" w:firstLineChars="200"/>
        <w:rPr>
          <w:rFonts w:ascii="宋体" w:hAnsi="宋体"/>
          <w:color w:val="000000"/>
          <w:szCs w:val="21"/>
        </w:rPr>
      </w:pPr>
      <w:r>
        <w:rPr>
          <w:rFonts w:hint="eastAsia" w:ascii="宋体" w:hAnsi="宋体"/>
          <w:color w:val="000000"/>
          <w:szCs w:val="21"/>
        </w:rPr>
        <w:t>5.2乙方权利义务：</w:t>
      </w:r>
    </w:p>
    <w:p w14:paraId="1D320903">
      <w:pPr>
        <w:pStyle w:val="15"/>
        <w:spacing w:line="360" w:lineRule="auto"/>
        <w:ind w:firstLine="420" w:firstLineChars="200"/>
        <w:rPr>
          <w:rFonts w:ascii="宋体" w:hAnsi="宋体"/>
          <w:color w:val="000000"/>
          <w:szCs w:val="21"/>
        </w:rPr>
      </w:pPr>
      <w:r>
        <w:rPr>
          <w:rFonts w:hint="eastAsia" w:ascii="宋体" w:hAnsi="宋体"/>
          <w:color w:val="000000"/>
          <w:szCs w:val="21"/>
        </w:rPr>
        <w:t>5.2.1负责组织提供满足运输货物计划要求数量的运输车辆，且上述车辆应符合在电厂接收和在堆场卸货的要求，并保证在甲方发出工作指示后及时响应并派车到达甲方指定的装运地点。</w:t>
      </w:r>
    </w:p>
    <w:p w14:paraId="763FA4D3">
      <w:pPr>
        <w:pStyle w:val="15"/>
        <w:spacing w:line="360" w:lineRule="auto"/>
        <w:ind w:firstLine="420" w:firstLineChars="200"/>
        <w:rPr>
          <w:rFonts w:ascii="宋体" w:hAnsi="宋体"/>
          <w:color w:val="000000"/>
          <w:szCs w:val="21"/>
        </w:rPr>
      </w:pPr>
      <w:r>
        <w:rPr>
          <w:rFonts w:hint="eastAsia" w:ascii="宋体" w:hAnsi="宋体"/>
          <w:color w:val="000000"/>
          <w:szCs w:val="21"/>
        </w:rPr>
        <w:t>5.2.2按甲方指定地点运输货物，并承担运输中的一切责任。</w:t>
      </w:r>
    </w:p>
    <w:p w14:paraId="7FB241C7">
      <w:pPr>
        <w:pStyle w:val="15"/>
        <w:spacing w:line="360" w:lineRule="auto"/>
        <w:ind w:firstLine="420" w:firstLineChars="200"/>
        <w:rPr>
          <w:rFonts w:ascii="宋体" w:hAnsi="宋体"/>
          <w:color w:val="000000"/>
          <w:szCs w:val="21"/>
        </w:rPr>
      </w:pPr>
      <w:r>
        <w:rPr>
          <w:rFonts w:hint="eastAsia" w:ascii="宋体" w:hAnsi="宋体"/>
          <w:color w:val="000000"/>
          <w:szCs w:val="21"/>
        </w:rPr>
        <w:t>5.2.3按时完成甲方安排的运输工作，运输时服从现场人员指挥。</w:t>
      </w:r>
    </w:p>
    <w:p w14:paraId="5E4884ED">
      <w:pPr>
        <w:pStyle w:val="15"/>
        <w:spacing w:line="360" w:lineRule="auto"/>
        <w:ind w:firstLine="420" w:firstLineChars="200"/>
        <w:rPr>
          <w:rFonts w:ascii="宋体" w:hAnsi="宋体"/>
          <w:szCs w:val="21"/>
        </w:rPr>
      </w:pPr>
      <w:r>
        <w:rPr>
          <w:rFonts w:hint="eastAsia" w:ascii="宋体" w:hAnsi="宋体"/>
          <w:color w:val="000000"/>
          <w:szCs w:val="21"/>
        </w:rPr>
        <w:t>5.2.4指派</w:t>
      </w:r>
      <w:r>
        <w:rPr>
          <w:rFonts w:hint="eastAsia" w:ascii="宋体" w:hAnsi="宋体"/>
          <w:color w:val="000000"/>
          <w:szCs w:val="21"/>
          <w:u w:val="single"/>
        </w:rPr>
        <w:t xml:space="preserve">    </w:t>
      </w:r>
      <w:r>
        <w:rPr>
          <w:rFonts w:hint="eastAsia" w:ascii="宋体" w:hAnsi="宋体"/>
          <w:color w:val="000000"/>
          <w:szCs w:val="21"/>
        </w:rPr>
        <w:t>专人负责运输工作的联系和确认事宜。</w:t>
      </w:r>
    </w:p>
    <w:p w14:paraId="4B2BC14A">
      <w:pPr>
        <w:pStyle w:val="15"/>
        <w:spacing w:line="360" w:lineRule="auto"/>
        <w:ind w:firstLine="420" w:firstLineChars="200"/>
        <w:rPr>
          <w:rFonts w:ascii="宋体" w:hAnsi="宋体"/>
          <w:color w:val="000000"/>
          <w:szCs w:val="21"/>
        </w:rPr>
      </w:pPr>
      <w:r>
        <w:rPr>
          <w:rFonts w:hint="eastAsia" w:ascii="宋体" w:hAnsi="宋体"/>
          <w:color w:val="000000"/>
          <w:szCs w:val="21"/>
        </w:rPr>
        <w:t>5.2.5 乙方在服务期间，应本着谨慎、勤勉的原则履行职责，对发生的安全、环保、卫生等事故承担全部责任。</w:t>
      </w:r>
    </w:p>
    <w:p w14:paraId="2D0C56CF">
      <w:pPr>
        <w:pStyle w:val="15"/>
        <w:spacing w:line="360" w:lineRule="auto"/>
        <w:ind w:firstLine="420" w:firstLineChars="200"/>
        <w:rPr>
          <w:rFonts w:ascii="宋体" w:hAnsi="宋体"/>
          <w:color w:val="000000"/>
          <w:szCs w:val="21"/>
        </w:rPr>
      </w:pPr>
      <w:r>
        <w:rPr>
          <w:rFonts w:hint="eastAsia" w:ascii="宋体" w:hAnsi="宋体"/>
          <w:color w:val="000000"/>
          <w:szCs w:val="21"/>
        </w:rPr>
        <w:t>5.2.6 乙方服从甲方开展班组建设和现场7S管理要求。</w:t>
      </w:r>
    </w:p>
    <w:p w14:paraId="247C0BFB">
      <w:pPr>
        <w:pStyle w:val="16"/>
        <w:spacing w:before="100" w:beforeAutospacing="1" w:after="0"/>
        <w:rPr>
          <w:rFonts w:ascii="宋体" w:hAnsi="宋体" w:eastAsia="宋体"/>
          <w:color w:val="000000"/>
        </w:rPr>
      </w:pPr>
      <w:bookmarkStart w:id="11" w:name="_Toc411416330"/>
      <w:bookmarkStart w:id="12" w:name="_Toc480353646"/>
      <w:r>
        <w:rPr>
          <w:rFonts w:hint="eastAsia" w:ascii="宋体" w:hAnsi="宋体" w:eastAsia="宋体"/>
          <w:color w:val="000000"/>
        </w:rPr>
        <w:t>第六条  安全工作、文明生产及考核</w:t>
      </w:r>
      <w:bookmarkEnd w:id="11"/>
      <w:bookmarkEnd w:id="12"/>
    </w:p>
    <w:p w14:paraId="6339F4A9">
      <w:pPr>
        <w:pStyle w:val="15"/>
        <w:spacing w:line="360" w:lineRule="auto"/>
        <w:ind w:firstLine="420" w:firstLineChars="200"/>
        <w:rPr>
          <w:rFonts w:ascii="宋体" w:hAnsi="宋体"/>
          <w:color w:val="000000"/>
          <w:szCs w:val="21"/>
        </w:rPr>
      </w:pPr>
      <w:r>
        <w:rPr>
          <w:rFonts w:hint="eastAsia" w:ascii="宋体" w:hAnsi="宋体"/>
          <w:color w:val="000000"/>
          <w:szCs w:val="21"/>
        </w:rPr>
        <w:t>6.1   安全责任</w:t>
      </w:r>
    </w:p>
    <w:p w14:paraId="42F30D75">
      <w:pPr>
        <w:pStyle w:val="15"/>
        <w:spacing w:line="360" w:lineRule="auto"/>
        <w:ind w:firstLine="420" w:firstLineChars="200"/>
        <w:rPr>
          <w:rFonts w:ascii="宋体" w:hAnsi="宋体"/>
          <w:color w:val="000000"/>
          <w:szCs w:val="21"/>
        </w:rPr>
      </w:pPr>
      <w:r>
        <w:rPr>
          <w:rFonts w:hint="eastAsia" w:ascii="宋体" w:hAnsi="宋体"/>
          <w:color w:val="000000"/>
          <w:szCs w:val="21"/>
        </w:rPr>
        <w:t>6.1.1乙方应及时组织职工学习有关安全文件、制度，做好现场危险点的预控工作。</w:t>
      </w:r>
    </w:p>
    <w:p w14:paraId="0376E5B5">
      <w:pPr>
        <w:pStyle w:val="15"/>
        <w:spacing w:line="360" w:lineRule="auto"/>
        <w:ind w:firstLine="420" w:firstLineChars="200"/>
        <w:rPr>
          <w:rFonts w:ascii="宋体" w:hAnsi="宋体"/>
          <w:color w:val="000000"/>
          <w:szCs w:val="21"/>
        </w:rPr>
      </w:pPr>
      <w:r>
        <w:rPr>
          <w:rFonts w:hint="eastAsia" w:ascii="宋体" w:hAnsi="宋体"/>
          <w:color w:val="000000"/>
          <w:szCs w:val="21"/>
        </w:rPr>
        <w:t>6.1.2乙方必须遵守安全运输、文明运输以及《中华人民共和国道路交通安全法》</w:t>
      </w:r>
      <w:r>
        <w:rPr>
          <w:rFonts w:ascii="宋体" w:hAnsi="宋体"/>
          <w:color w:val="000000"/>
          <w:szCs w:val="21"/>
        </w:rPr>
        <w:t>、</w:t>
      </w:r>
      <w:r>
        <w:rPr>
          <w:rFonts w:hint="eastAsia" w:ascii="宋体" w:hAnsi="宋体"/>
          <w:color w:val="000000"/>
          <w:szCs w:val="21"/>
        </w:rPr>
        <w:t>《电业安全工作规程》等相关法规的规定。</w:t>
      </w:r>
    </w:p>
    <w:p w14:paraId="27D43101">
      <w:pPr>
        <w:pStyle w:val="15"/>
        <w:spacing w:line="360" w:lineRule="auto"/>
        <w:ind w:firstLine="420" w:firstLineChars="200"/>
        <w:rPr>
          <w:rFonts w:ascii="宋体" w:hAnsi="宋体"/>
          <w:color w:val="000000"/>
          <w:szCs w:val="21"/>
        </w:rPr>
      </w:pPr>
      <w:r>
        <w:rPr>
          <w:rFonts w:hint="eastAsia" w:ascii="宋体" w:hAnsi="宋体"/>
          <w:color w:val="000000"/>
          <w:szCs w:val="21"/>
        </w:rPr>
        <w:t>6.1.3乙方在运输过程中应确保有效地预防、杜绝人身伤亡、一般交通事故的发生，确保交通安全、安全文明生产，乙方应严格遵守双方签署的《</w:t>
      </w:r>
      <w:r>
        <w:rPr>
          <w:rFonts w:hint="eastAsia" w:ascii="宋体" w:hAnsi="宋体"/>
          <w:i/>
          <w:color w:val="000000"/>
          <w:szCs w:val="21"/>
        </w:rPr>
        <w:t>外包工程安全、环保责任协议书安全文明协议</w:t>
      </w:r>
      <w:r>
        <w:rPr>
          <w:rFonts w:hint="eastAsia" w:ascii="宋体" w:hAnsi="宋体"/>
          <w:color w:val="000000"/>
          <w:szCs w:val="21"/>
        </w:rPr>
        <w:t>》。</w:t>
      </w:r>
    </w:p>
    <w:p w14:paraId="4981CFFD">
      <w:pPr>
        <w:pStyle w:val="15"/>
        <w:spacing w:line="360" w:lineRule="auto"/>
        <w:ind w:firstLine="420" w:firstLineChars="200"/>
        <w:rPr>
          <w:rFonts w:ascii="宋体" w:hAnsi="宋体"/>
          <w:color w:val="000000"/>
          <w:szCs w:val="21"/>
        </w:rPr>
      </w:pPr>
      <w:r>
        <w:rPr>
          <w:rFonts w:hint="eastAsia" w:ascii="宋体" w:hAnsi="宋体"/>
          <w:color w:val="000000"/>
          <w:szCs w:val="21"/>
        </w:rPr>
        <w:t>6.1.4对于乙方服务人员违反相关行业安全规程管理规定，影响安全生产造成的人身伤害的事件及交通安全事件所造成的损失和后果由乙方全部承担；因乙方原因导致的在工作中发生人身伤亡事故等，由乙方承担全部安全责任。</w:t>
      </w:r>
    </w:p>
    <w:p w14:paraId="4B502CBA">
      <w:pPr>
        <w:pStyle w:val="15"/>
        <w:spacing w:line="360" w:lineRule="auto"/>
        <w:ind w:firstLine="420" w:firstLineChars="200"/>
        <w:rPr>
          <w:rFonts w:ascii="宋体" w:hAnsi="宋体"/>
          <w:color w:val="000000"/>
          <w:szCs w:val="21"/>
        </w:rPr>
      </w:pPr>
      <w:r>
        <w:rPr>
          <w:rFonts w:hint="eastAsia" w:ascii="宋体" w:hAnsi="宋体"/>
          <w:color w:val="000000"/>
          <w:szCs w:val="21"/>
        </w:rPr>
        <w:t>6.2   工作考核</w:t>
      </w:r>
    </w:p>
    <w:p w14:paraId="0C68A055">
      <w:pPr>
        <w:pStyle w:val="15"/>
        <w:spacing w:line="360" w:lineRule="auto"/>
        <w:ind w:firstLine="420" w:firstLineChars="200"/>
        <w:rPr>
          <w:rFonts w:ascii="宋体" w:hAnsi="宋体"/>
          <w:color w:val="000000"/>
          <w:szCs w:val="21"/>
        </w:rPr>
      </w:pPr>
      <w:r>
        <w:rPr>
          <w:rFonts w:hint="eastAsia" w:ascii="宋体" w:hAnsi="宋体"/>
          <w:color w:val="000000"/>
          <w:szCs w:val="21"/>
        </w:rPr>
        <w:t>6.2.1甲方按相应职责负责运输服务管理，并有权根据《</w:t>
      </w:r>
      <w:r>
        <w:rPr>
          <w:rFonts w:hint="eastAsia" w:ascii="宋体" w:hAnsi="宋体"/>
          <w:i/>
          <w:color w:val="000000"/>
          <w:szCs w:val="21"/>
        </w:rPr>
        <w:t>技术协议</w:t>
      </w:r>
      <w:r>
        <w:rPr>
          <w:rFonts w:hint="eastAsia" w:ascii="宋体" w:hAnsi="宋体"/>
          <w:color w:val="000000"/>
          <w:szCs w:val="21"/>
        </w:rPr>
        <w:t>》约定对乙方履约能力按月进行考核，每月5日前将上月的考核结果通报乙方。</w:t>
      </w:r>
    </w:p>
    <w:p w14:paraId="34605055">
      <w:pPr>
        <w:pStyle w:val="15"/>
        <w:spacing w:line="360" w:lineRule="auto"/>
        <w:ind w:firstLine="420" w:firstLineChars="200"/>
        <w:rPr>
          <w:rFonts w:ascii="宋体" w:hAnsi="宋体"/>
          <w:color w:val="auto"/>
          <w:szCs w:val="21"/>
        </w:rPr>
      </w:pPr>
      <w:r>
        <w:rPr>
          <w:rFonts w:hint="eastAsia" w:ascii="宋体" w:hAnsi="宋体"/>
          <w:color w:val="000000"/>
          <w:szCs w:val="21"/>
        </w:rPr>
        <w:t>6.2.2乙方不服从甲方的运输调度指挥，每发生一次考核乙方</w:t>
      </w:r>
      <w:r>
        <w:rPr>
          <w:rFonts w:ascii="宋体" w:hAnsi="宋体"/>
          <w:color w:val="000000"/>
          <w:szCs w:val="21"/>
          <w:u w:val="single"/>
        </w:rPr>
        <w:t xml:space="preserve"> </w:t>
      </w:r>
      <w:r>
        <w:rPr>
          <w:rFonts w:hint="eastAsia" w:ascii="宋体" w:hAnsi="宋体"/>
          <w:color w:val="auto"/>
          <w:szCs w:val="21"/>
          <w:u w:val="single"/>
          <w:lang w:val="en-US" w:eastAsia="zh-CN"/>
        </w:rPr>
        <w:t>1000</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4F3D7C24">
      <w:pPr>
        <w:pStyle w:val="15"/>
        <w:spacing w:line="360" w:lineRule="auto"/>
        <w:ind w:firstLine="420" w:firstLineChars="200"/>
        <w:rPr>
          <w:rFonts w:ascii="宋体" w:hAnsi="宋体"/>
          <w:color w:val="auto"/>
          <w:szCs w:val="21"/>
        </w:rPr>
      </w:pPr>
      <w:r>
        <w:rPr>
          <w:rFonts w:hint="eastAsia" w:ascii="宋体" w:hAnsi="宋体"/>
          <w:color w:val="auto"/>
          <w:szCs w:val="21"/>
        </w:rPr>
        <w:t>6.2.3乙方人员对运输车辆检查不到位、未定期保养，造成车辆故障的，车厢跑冒滴漏，每发生一次考核乙方</w:t>
      </w:r>
      <w:r>
        <w:rPr>
          <w:rFonts w:ascii="宋体" w:hAnsi="宋体"/>
          <w:color w:val="auto"/>
          <w:szCs w:val="21"/>
          <w:u w:val="single"/>
        </w:rPr>
        <w:t xml:space="preserve"> </w:t>
      </w:r>
      <w:r>
        <w:rPr>
          <w:rFonts w:hint="eastAsia" w:ascii="宋体" w:hAnsi="宋体"/>
          <w:color w:val="auto"/>
          <w:szCs w:val="21"/>
          <w:u w:val="single"/>
          <w:lang w:val="en-US" w:eastAsia="zh-CN"/>
        </w:rPr>
        <w:t>200</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，如发生交通事故的从重考核</w:t>
      </w:r>
      <w:r>
        <w:rPr>
          <w:rFonts w:ascii="宋体" w:hAnsi="宋体"/>
          <w:color w:val="auto"/>
          <w:szCs w:val="21"/>
        </w:rPr>
        <w:t>。</w:t>
      </w:r>
    </w:p>
    <w:p w14:paraId="29C4CB0A">
      <w:pPr>
        <w:pStyle w:val="15"/>
        <w:spacing w:line="360" w:lineRule="auto"/>
        <w:ind w:firstLine="420" w:firstLineChars="200"/>
        <w:rPr>
          <w:rFonts w:ascii="宋体" w:hAnsi="宋体"/>
          <w:szCs w:val="21"/>
        </w:rPr>
      </w:pPr>
      <w:r>
        <w:rPr>
          <w:rFonts w:hint="eastAsia" w:ascii="宋体" w:hAnsi="宋体"/>
          <w:color w:val="auto"/>
          <w:szCs w:val="21"/>
        </w:rPr>
        <w:t>6.2.</w:t>
      </w:r>
      <w:r>
        <w:rPr>
          <w:rFonts w:ascii="宋体" w:hAnsi="宋体"/>
          <w:color w:val="auto"/>
          <w:szCs w:val="21"/>
        </w:rPr>
        <w:t>4</w:t>
      </w:r>
      <w:r>
        <w:rPr>
          <w:rFonts w:hint="eastAsia" w:ascii="宋体" w:hAnsi="宋体"/>
          <w:color w:val="auto"/>
          <w:szCs w:val="21"/>
        </w:rPr>
        <w:t xml:space="preserve"> 现场车辆文明未定期清洗，不符合甲方文明生产标准</w:t>
      </w:r>
      <w:r>
        <w:rPr>
          <w:rFonts w:ascii="宋体" w:hAnsi="宋体"/>
          <w:color w:val="auto"/>
          <w:szCs w:val="21"/>
        </w:rPr>
        <w:t>，</w:t>
      </w:r>
      <w:r>
        <w:rPr>
          <w:rFonts w:hint="eastAsia" w:ascii="宋体" w:hAnsi="宋体"/>
          <w:color w:val="auto"/>
          <w:szCs w:val="21"/>
        </w:rPr>
        <w:t>每发生一次考核乙方</w:t>
      </w:r>
      <w:r>
        <w:rPr>
          <w:rFonts w:ascii="宋体" w:hAnsi="宋体"/>
          <w:color w:val="auto"/>
          <w:szCs w:val="21"/>
          <w:u w:val="single"/>
        </w:rPr>
        <w:t xml:space="preserve"> </w:t>
      </w:r>
      <w:r>
        <w:rPr>
          <w:rFonts w:hint="eastAsia" w:ascii="宋体" w:hAnsi="宋体"/>
          <w:color w:val="auto"/>
          <w:szCs w:val="21"/>
          <w:u w:val="single"/>
          <w:lang w:val="en-US" w:eastAsia="zh-CN"/>
        </w:rPr>
        <w:t>200</w:t>
      </w:r>
      <w:r>
        <w:rPr>
          <w:rFonts w:ascii="宋体" w:hAnsi="宋体"/>
          <w:color w:val="auto"/>
          <w:szCs w:val="21"/>
          <w:u w:val="single"/>
        </w:rPr>
        <w:t xml:space="preserve"> </w:t>
      </w:r>
      <w:r>
        <w:rPr>
          <w:rFonts w:ascii="宋体" w:hAnsi="宋体"/>
          <w:color w:val="auto"/>
          <w:szCs w:val="21"/>
        </w:rPr>
        <w:t>元</w:t>
      </w:r>
      <w:r>
        <w:rPr>
          <w:rFonts w:ascii="宋体" w:hAnsi="宋体"/>
          <w:color w:val="000000"/>
          <w:szCs w:val="21"/>
        </w:rPr>
        <w:t>。</w:t>
      </w:r>
    </w:p>
    <w:p w14:paraId="665EEC22">
      <w:pPr>
        <w:pStyle w:val="15"/>
        <w:spacing w:line="360" w:lineRule="auto"/>
        <w:ind w:firstLine="420" w:firstLineChars="200"/>
        <w:rPr>
          <w:rFonts w:ascii="宋体" w:hAnsi="宋体"/>
          <w:color w:val="000000"/>
          <w:szCs w:val="21"/>
        </w:rPr>
      </w:pPr>
      <w:r>
        <w:rPr>
          <w:rFonts w:hint="eastAsia" w:ascii="宋体" w:hAnsi="宋体"/>
          <w:color w:val="000000"/>
          <w:szCs w:val="21"/>
        </w:rPr>
        <w:t>6.2.</w:t>
      </w:r>
      <w:r>
        <w:rPr>
          <w:rFonts w:ascii="宋体" w:hAnsi="宋体"/>
          <w:color w:val="000000"/>
          <w:szCs w:val="21"/>
        </w:rPr>
        <w:t>5</w:t>
      </w:r>
      <w:r>
        <w:rPr>
          <w:rFonts w:hint="eastAsia" w:ascii="宋体" w:hAnsi="宋体"/>
          <w:color w:val="000000"/>
          <w:szCs w:val="21"/>
        </w:rPr>
        <w:t xml:space="preserve"> 乙方在运输过程中造成的环保、安全投诉或纠纷，由乙方负全责，按照双方签订的《</w:t>
      </w:r>
      <w:r>
        <w:rPr>
          <w:rFonts w:hint="eastAsia" w:ascii="宋体" w:hAnsi="宋体"/>
          <w:i/>
          <w:color w:val="000000"/>
          <w:szCs w:val="21"/>
        </w:rPr>
        <w:t>外包工程安全、环保责任协议书</w:t>
      </w:r>
      <w:r>
        <w:rPr>
          <w:rFonts w:hint="eastAsia" w:ascii="宋体" w:hAnsi="宋体"/>
          <w:color w:val="000000"/>
          <w:szCs w:val="21"/>
        </w:rPr>
        <w:t>》执行。</w:t>
      </w:r>
    </w:p>
    <w:p w14:paraId="286FFC0D">
      <w:pPr>
        <w:pStyle w:val="15"/>
        <w:spacing w:line="360" w:lineRule="auto"/>
        <w:ind w:firstLine="420" w:firstLineChars="200"/>
        <w:rPr>
          <w:rFonts w:ascii="宋体" w:hAnsi="宋体"/>
          <w:color w:val="000000"/>
          <w:szCs w:val="21"/>
        </w:rPr>
      </w:pPr>
      <w:r>
        <w:rPr>
          <w:rFonts w:hint="eastAsia" w:ascii="宋体" w:hAnsi="宋体"/>
          <w:color w:val="000000"/>
          <w:szCs w:val="21"/>
        </w:rPr>
        <w:t>6</w:t>
      </w:r>
      <w:r>
        <w:rPr>
          <w:rFonts w:ascii="宋体" w:hAnsi="宋体"/>
          <w:color w:val="000000"/>
          <w:szCs w:val="21"/>
        </w:rPr>
        <w:t>.6.6 乙方须遵守甲方各项规章制度规定，如有违反按甲方规章制度执行考核。</w:t>
      </w:r>
    </w:p>
    <w:p w14:paraId="352B40C9">
      <w:pPr>
        <w:pStyle w:val="16"/>
        <w:spacing w:before="100" w:beforeAutospacing="1" w:after="0"/>
        <w:rPr>
          <w:rFonts w:ascii="宋体" w:hAnsi="宋体" w:eastAsia="宋体"/>
          <w:color w:val="000000"/>
        </w:rPr>
      </w:pPr>
      <w:bookmarkStart w:id="13" w:name="_Toc480353647"/>
      <w:bookmarkStart w:id="14" w:name="_Toc411416331"/>
      <w:r>
        <w:rPr>
          <w:rFonts w:hint="eastAsia" w:ascii="宋体" w:hAnsi="宋体" w:eastAsia="宋体"/>
          <w:color w:val="000000"/>
        </w:rPr>
        <w:t>第七条 履约保证金</w:t>
      </w:r>
      <w:bookmarkEnd w:id="13"/>
      <w:bookmarkEnd w:id="14"/>
      <w:r>
        <w:rPr>
          <w:rFonts w:hint="eastAsia" w:ascii="宋体" w:hAnsi="宋体" w:eastAsia="宋体"/>
          <w:color w:val="000000"/>
        </w:rPr>
        <w:t>（</w:t>
      </w:r>
      <w:r>
        <w:rPr>
          <w:rFonts w:hint="eastAsia" w:ascii="宋体" w:hAnsi="宋体" w:eastAsia="宋体"/>
          <w:i/>
          <w:color w:val="000000"/>
        </w:rPr>
        <w:t>如有</w:t>
      </w:r>
      <w:r>
        <w:rPr>
          <w:rFonts w:hint="eastAsia" w:ascii="宋体" w:hAnsi="宋体" w:eastAsia="宋体"/>
          <w:color w:val="000000"/>
        </w:rPr>
        <w:t>）</w:t>
      </w:r>
    </w:p>
    <w:p w14:paraId="2A366A1C">
      <w:pPr>
        <w:pStyle w:val="15"/>
        <w:spacing w:line="360" w:lineRule="auto"/>
        <w:ind w:firstLine="420" w:firstLineChars="200"/>
        <w:rPr>
          <w:rFonts w:ascii="宋体" w:hAnsi="宋体"/>
          <w:szCs w:val="21"/>
        </w:rPr>
      </w:pPr>
      <w:r>
        <w:rPr>
          <w:rFonts w:hint="eastAsia" w:ascii="宋体" w:hAnsi="宋体"/>
          <w:color w:val="000000"/>
          <w:szCs w:val="21"/>
        </w:rPr>
        <w:t>乙方同意在本合同签订后3日内向甲方提供合同履约保证金人民币</w:t>
      </w:r>
      <w:r>
        <w:rPr>
          <w:rFonts w:hint="eastAsia" w:ascii="宋体" w:hAnsi="宋体"/>
          <w:color w:val="000000"/>
          <w:szCs w:val="21"/>
          <w:u w:val="single"/>
        </w:rPr>
        <w:t xml:space="preserve"> </w:t>
      </w:r>
      <w:r>
        <w:rPr>
          <w:rFonts w:hint="eastAsia" w:ascii="宋体" w:hAnsi="宋体"/>
          <w:color w:val="auto"/>
          <w:szCs w:val="21"/>
          <w:u w:val="single"/>
          <w:lang w:val="en-US" w:eastAsia="zh-CN"/>
        </w:rPr>
        <w:t>10</w:t>
      </w:r>
      <w:r>
        <w:rPr>
          <w:rFonts w:hint="eastAsia" w:ascii="宋体" w:hAnsi="宋体"/>
          <w:color w:val="auto"/>
          <w:szCs w:val="21"/>
          <w:u w:val="single"/>
        </w:rPr>
        <w:t xml:space="preserve"> </w:t>
      </w:r>
      <w:r>
        <w:rPr>
          <w:rFonts w:hint="eastAsia" w:ascii="宋体" w:hAnsi="宋体"/>
          <w:color w:val="000000"/>
          <w:szCs w:val="21"/>
        </w:rPr>
        <w:t>万元，交至甲方指定的银行账户，如逾期提供的，每逾期一日，应向甲方支付逾期支付保证金金额【万分之五】的违约金；逾期超过【十日】的，甲方有权解除本合同，并要求乙方按前述标准承担违约责任。合同期满后，经甲方确认乙方完全履行合同约定的义务且不存在任何未结清的违约金和损失赔偿金等费用后7日内无息返还履约保证金。</w:t>
      </w:r>
    </w:p>
    <w:p w14:paraId="13A4F5AB">
      <w:pPr>
        <w:pStyle w:val="16"/>
        <w:spacing w:before="100" w:beforeAutospacing="1" w:after="0"/>
        <w:rPr>
          <w:rFonts w:ascii="宋体" w:hAnsi="宋体" w:eastAsia="宋体"/>
          <w:color w:val="000000"/>
        </w:rPr>
      </w:pPr>
      <w:bookmarkStart w:id="15" w:name="_Toc90801811"/>
      <w:bookmarkStart w:id="16" w:name="_Toc411416332"/>
      <w:bookmarkStart w:id="17" w:name="_Toc480353648"/>
      <w:r>
        <w:rPr>
          <w:rFonts w:hint="eastAsia" w:ascii="宋体" w:hAnsi="宋体" w:eastAsia="宋体"/>
          <w:color w:val="000000"/>
        </w:rPr>
        <w:t>第八条  陈述、保证和承诺</w:t>
      </w:r>
      <w:bookmarkEnd w:id="15"/>
      <w:bookmarkEnd w:id="16"/>
      <w:bookmarkEnd w:id="17"/>
    </w:p>
    <w:p w14:paraId="1DC39590">
      <w:pPr>
        <w:pStyle w:val="15"/>
        <w:spacing w:line="360" w:lineRule="auto"/>
        <w:ind w:firstLine="420" w:firstLineChars="200"/>
        <w:rPr>
          <w:rFonts w:ascii="宋体" w:hAnsi="宋体"/>
          <w:color w:val="000000"/>
          <w:szCs w:val="21"/>
        </w:rPr>
      </w:pPr>
      <w:r>
        <w:rPr>
          <w:rFonts w:hint="eastAsia" w:ascii="宋体" w:hAnsi="宋体"/>
          <w:color w:val="000000"/>
          <w:szCs w:val="21"/>
        </w:rPr>
        <w:t>8.1 双方系依照其注册地法律正式组建和有效存续，并符合各项法律规定。</w:t>
      </w:r>
    </w:p>
    <w:p w14:paraId="1C531E32">
      <w:pPr>
        <w:pStyle w:val="15"/>
        <w:spacing w:line="360" w:lineRule="auto"/>
        <w:ind w:firstLine="420" w:firstLineChars="200"/>
        <w:rPr>
          <w:rFonts w:ascii="宋体" w:hAnsi="宋体"/>
          <w:color w:val="000000"/>
          <w:szCs w:val="21"/>
        </w:rPr>
      </w:pPr>
      <w:r>
        <w:rPr>
          <w:rFonts w:hint="eastAsia" w:ascii="宋体" w:hAnsi="宋体"/>
          <w:color w:val="000000"/>
          <w:szCs w:val="21"/>
        </w:rPr>
        <w:t>8.2 双方拥有订立本合同所需的一切必要权力、授权和批准，且拥有充分履行其在本合同项下的义务、以及按照本合同约定开展其业务的一切必要权力、授权和批准。</w:t>
      </w:r>
    </w:p>
    <w:p w14:paraId="018C60DC">
      <w:pPr>
        <w:pStyle w:val="15"/>
        <w:spacing w:line="360" w:lineRule="auto"/>
        <w:ind w:firstLine="420" w:firstLineChars="200"/>
        <w:rPr>
          <w:rFonts w:ascii="宋体" w:hAnsi="宋体"/>
          <w:color w:val="000000"/>
          <w:szCs w:val="21"/>
        </w:rPr>
      </w:pPr>
      <w:r>
        <w:rPr>
          <w:rFonts w:hint="eastAsia" w:ascii="宋体" w:hAnsi="宋体"/>
          <w:color w:val="000000"/>
          <w:szCs w:val="21"/>
        </w:rPr>
        <w:t>8.3 双方签署本合同已经履行必要的公司议事和批准程序，且其在本合同上签名的代表拥有充分授权签署本合同并使该方受本合同约束。</w:t>
      </w:r>
    </w:p>
    <w:p w14:paraId="08DEE8C0">
      <w:pPr>
        <w:pStyle w:val="15"/>
        <w:spacing w:line="360" w:lineRule="auto"/>
        <w:ind w:firstLine="420" w:firstLineChars="200"/>
        <w:rPr>
          <w:rFonts w:ascii="宋体" w:hAnsi="宋体"/>
          <w:color w:val="000000"/>
          <w:szCs w:val="21"/>
        </w:rPr>
      </w:pPr>
      <w:r>
        <w:rPr>
          <w:rFonts w:hint="eastAsia" w:ascii="宋体" w:hAnsi="宋体"/>
          <w:color w:val="000000"/>
          <w:szCs w:val="21"/>
        </w:rPr>
        <w:t>8.4 双方签署本合同或该方履行其在本合同项下的义务，将不抵触其营业执照、内部规章或章程的任何规定，或任何政府部门或机构的任何法律、规章、条例、授权或批准，或任何合同或合同的任何规定，或导致对前述各项的违反或违约。</w:t>
      </w:r>
    </w:p>
    <w:p w14:paraId="165D01AA">
      <w:pPr>
        <w:pStyle w:val="15"/>
        <w:spacing w:line="360" w:lineRule="auto"/>
        <w:ind w:firstLine="420" w:firstLineChars="200"/>
        <w:rPr>
          <w:rFonts w:hint="eastAsia" w:ascii="宋体" w:hAnsi="宋体"/>
          <w:color w:val="000000"/>
          <w:szCs w:val="21"/>
        </w:rPr>
      </w:pPr>
      <w:r>
        <w:rPr>
          <w:rFonts w:hint="eastAsia" w:ascii="宋体" w:hAnsi="宋体"/>
          <w:color w:val="000000"/>
          <w:szCs w:val="21"/>
        </w:rPr>
        <w:t>8.5 作为理智谨慎的经营者，保证履行其在本合同项下的义务，行使其在本合同项下的权利。</w:t>
      </w:r>
    </w:p>
    <w:p w14:paraId="6280E80A">
      <w:pPr>
        <w:pStyle w:val="16"/>
        <w:spacing w:before="100" w:beforeAutospacing="1" w:after="0"/>
        <w:rPr>
          <w:rFonts w:ascii="宋体" w:hAnsi="宋体" w:eastAsia="宋体"/>
          <w:color w:val="000000"/>
        </w:rPr>
      </w:pPr>
      <w:bookmarkStart w:id="18" w:name="_Toc480353649"/>
      <w:bookmarkStart w:id="19" w:name="_Toc411416333"/>
      <w:r>
        <w:rPr>
          <w:rFonts w:hint="eastAsia" w:ascii="宋体" w:hAnsi="宋体" w:eastAsia="宋体"/>
          <w:color w:val="000000"/>
        </w:rPr>
        <w:t>第九条  合同的生效、变更与解除</w:t>
      </w:r>
      <w:bookmarkEnd w:id="18"/>
      <w:bookmarkEnd w:id="19"/>
    </w:p>
    <w:p w14:paraId="6CFF0984">
      <w:pPr>
        <w:pStyle w:val="15"/>
        <w:spacing w:line="360" w:lineRule="auto"/>
        <w:ind w:firstLine="420" w:firstLineChars="200"/>
        <w:rPr>
          <w:rFonts w:ascii="宋体" w:hAnsi="宋体"/>
          <w:color w:val="000000"/>
          <w:szCs w:val="21"/>
        </w:rPr>
      </w:pPr>
      <w:r>
        <w:rPr>
          <w:rFonts w:hint="eastAsia" w:ascii="宋体" w:hAnsi="宋体"/>
          <w:color w:val="000000"/>
          <w:szCs w:val="21"/>
        </w:rPr>
        <w:t>9.1 本合同自双方的法定代表人或授权代表（须经法定代表人书面授权委托）签字，并加盖双方公章（或合同专用章）后生效。</w:t>
      </w:r>
      <w:r>
        <w:rPr>
          <w:rFonts w:ascii="宋体" w:hAnsi="宋体"/>
          <w:color w:val="000000"/>
          <w:szCs w:val="21"/>
        </w:rPr>
        <w:t>本合同有效期自合同生效日起到合同项下的全部权利义务履行完毕之日且双方之间已完全解决所有索赔事项并货款两清之日止。</w:t>
      </w:r>
    </w:p>
    <w:p w14:paraId="471D57D2">
      <w:pPr>
        <w:pStyle w:val="15"/>
        <w:spacing w:line="360" w:lineRule="auto"/>
        <w:ind w:firstLine="420" w:firstLineChars="200"/>
        <w:rPr>
          <w:rFonts w:ascii="宋体" w:hAnsi="宋体"/>
          <w:color w:val="000000"/>
          <w:szCs w:val="21"/>
        </w:rPr>
      </w:pPr>
      <w:r>
        <w:rPr>
          <w:rFonts w:hint="eastAsia" w:ascii="宋体" w:hAnsi="宋体"/>
          <w:color w:val="000000"/>
          <w:szCs w:val="21"/>
        </w:rPr>
        <w:t xml:space="preserve">9.2在发生下列情况时，则甲方在不妨碍其根据本合同和适用法律规定所拥有的任何其它权利或补救措施的情况下，可向乙方发出通知后终止本合同，终止合同时间以甲方终止合同通知书到达乙方当日为准： </w:t>
      </w:r>
    </w:p>
    <w:p w14:paraId="02504BA3">
      <w:pPr>
        <w:pStyle w:val="15"/>
        <w:spacing w:line="360" w:lineRule="auto"/>
        <w:ind w:firstLine="420" w:firstLineChars="200"/>
        <w:rPr>
          <w:rFonts w:ascii="宋体" w:hAnsi="宋体"/>
          <w:color w:val="000000"/>
          <w:szCs w:val="21"/>
        </w:rPr>
      </w:pPr>
      <w:r>
        <w:rPr>
          <w:rFonts w:hint="eastAsia" w:ascii="宋体" w:hAnsi="宋体"/>
          <w:color w:val="000000"/>
          <w:szCs w:val="21"/>
        </w:rPr>
        <w:t>(1) 乙方实质性地违反其在本合同项下的任何义务、陈述、保证或承诺，且未在甲方发出指明该违约行为并要求予以纠正的通知后10日内纠正该违约行为；</w:t>
      </w:r>
    </w:p>
    <w:p w14:paraId="6031D8BE">
      <w:pPr>
        <w:pStyle w:val="15"/>
        <w:spacing w:line="360" w:lineRule="auto"/>
        <w:ind w:firstLine="420" w:firstLineChars="200"/>
        <w:rPr>
          <w:rFonts w:ascii="宋体" w:hAnsi="宋体"/>
          <w:color w:val="000000"/>
          <w:szCs w:val="21"/>
        </w:rPr>
      </w:pPr>
      <w:r>
        <w:rPr>
          <w:rFonts w:hint="eastAsia" w:ascii="宋体" w:hAnsi="宋体"/>
          <w:color w:val="000000"/>
          <w:szCs w:val="21"/>
        </w:rPr>
        <w:t>(2) 乙方继续其在本合同项下的经营或履行其在本合同项下的义务所需的任何政府批准被中止或撤销。</w:t>
      </w:r>
    </w:p>
    <w:p w14:paraId="62683508">
      <w:pPr>
        <w:pStyle w:val="15"/>
        <w:spacing w:line="360" w:lineRule="auto"/>
        <w:ind w:firstLine="420" w:firstLineChars="200"/>
        <w:rPr>
          <w:rFonts w:ascii="宋体" w:hAnsi="宋体"/>
          <w:color w:val="000000"/>
          <w:szCs w:val="21"/>
        </w:rPr>
      </w:pPr>
      <w:r>
        <w:rPr>
          <w:rFonts w:hint="eastAsia" w:ascii="宋体" w:hAnsi="宋体"/>
          <w:color w:val="000000"/>
          <w:szCs w:val="21"/>
        </w:rPr>
        <w:t>9.</w:t>
      </w:r>
      <w:r>
        <w:rPr>
          <w:rFonts w:ascii="宋体" w:hAnsi="宋体"/>
          <w:color w:val="000000"/>
          <w:szCs w:val="21"/>
        </w:rPr>
        <w:t>2</w:t>
      </w:r>
      <w:r>
        <w:rPr>
          <w:rFonts w:hint="eastAsia" w:ascii="宋体" w:hAnsi="宋体"/>
          <w:color w:val="000000"/>
          <w:szCs w:val="21"/>
        </w:rPr>
        <w:t xml:space="preserve"> 本合同的终止，不得解除任何一方的违约责任及损害赔偿责任，除在本合同任何条款中明确限制的一方的责任外，也不得解除一方在终止日期前已经产生的义务。</w:t>
      </w:r>
    </w:p>
    <w:p w14:paraId="7FF91BC2">
      <w:pPr>
        <w:pStyle w:val="16"/>
        <w:spacing w:before="100" w:beforeAutospacing="1" w:after="0"/>
        <w:rPr>
          <w:rFonts w:ascii="宋体" w:hAnsi="宋体" w:eastAsia="宋体"/>
          <w:color w:val="000000"/>
        </w:rPr>
      </w:pPr>
      <w:bookmarkStart w:id="20" w:name="_Toc480353650"/>
      <w:bookmarkStart w:id="21" w:name="_Toc411416334"/>
      <w:r>
        <w:rPr>
          <w:rFonts w:hint="eastAsia" w:ascii="宋体" w:hAnsi="宋体" w:eastAsia="宋体"/>
          <w:color w:val="000000"/>
        </w:rPr>
        <w:t>第十条 违约责任</w:t>
      </w:r>
      <w:bookmarkEnd w:id="20"/>
      <w:bookmarkEnd w:id="21"/>
    </w:p>
    <w:p w14:paraId="7194A1F6">
      <w:pPr>
        <w:pStyle w:val="15"/>
        <w:spacing w:line="360" w:lineRule="auto"/>
        <w:ind w:firstLine="420" w:firstLineChars="200"/>
        <w:rPr>
          <w:rFonts w:ascii="宋体" w:hAnsi="宋体"/>
          <w:color w:val="000000"/>
          <w:szCs w:val="21"/>
        </w:rPr>
      </w:pPr>
      <w:r>
        <w:rPr>
          <w:rFonts w:hint="eastAsia" w:ascii="宋体" w:hAnsi="宋体"/>
          <w:color w:val="000000"/>
          <w:szCs w:val="21"/>
        </w:rPr>
        <w:t>10.1本合同生效后，双方应共同履行，除本合同另有约定外，任何一方擅自终止合同或不按照合同约定执行，则构成违约，违约的一方将承担违约责任。</w:t>
      </w:r>
    </w:p>
    <w:p w14:paraId="7F8B470F">
      <w:pPr>
        <w:pStyle w:val="15"/>
        <w:spacing w:line="360" w:lineRule="auto"/>
        <w:ind w:firstLine="420" w:firstLineChars="200"/>
        <w:rPr>
          <w:rFonts w:ascii="宋体" w:hAnsi="宋体"/>
          <w:color w:val="auto"/>
          <w:szCs w:val="21"/>
        </w:rPr>
      </w:pPr>
      <w:r>
        <w:rPr>
          <w:rFonts w:hint="eastAsia" w:ascii="宋体" w:hAnsi="宋体"/>
          <w:color w:val="000000"/>
          <w:szCs w:val="21"/>
        </w:rPr>
        <w:t>10.2如乙方未能按照规定及时响应甲方运输货物要求并执行甲方工作指示的，每延迟1小时，甲方有权要求乙方支付</w:t>
      </w:r>
      <w:r>
        <w:rPr>
          <w:rFonts w:ascii="宋体" w:hAnsi="宋体"/>
          <w:color w:val="auto"/>
          <w:szCs w:val="21"/>
          <w:u w:val="single"/>
        </w:rPr>
        <w:t xml:space="preserve"> </w:t>
      </w:r>
      <w:r>
        <w:rPr>
          <w:rFonts w:hint="eastAsia" w:ascii="宋体" w:hAnsi="宋体"/>
          <w:color w:val="auto"/>
          <w:szCs w:val="21"/>
          <w:u w:val="single"/>
          <w:lang w:val="en-US" w:eastAsia="zh-CN"/>
        </w:rPr>
        <w:t>200</w:t>
      </w:r>
      <w:r>
        <w:rPr>
          <w:rFonts w:ascii="宋体" w:hAnsi="宋体"/>
          <w:color w:val="auto"/>
          <w:szCs w:val="21"/>
          <w:u w:val="single"/>
        </w:rPr>
        <w:t xml:space="preserve"> </w:t>
      </w:r>
      <w:r>
        <w:rPr>
          <w:rFonts w:hint="eastAsia" w:ascii="宋体" w:hAnsi="宋体"/>
          <w:color w:val="auto"/>
          <w:szCs w:val="21"/>
        </w:rPr>
        <w:t xml:space="preserve">元违约金，甲方可从任何一笔应付乙方款项中扣除。上述现象超过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u w:val="single"/>
          <w:lang w:val="en-US" w:eastAsia="zh-CN"/>
        </w:rPr>
        <w:t>3</w:t>
      </w:r>
      <w:r>
        <w:rPr>
          <w:rFonts w:ascii="宋体" w:hAnsi="宋体"/>
          <w:color w:val="auto"/>
          <w:szCs w:val="21"/>
        </w:rPr>
        <w:t>次，甲方有权解除本合同。</w:t>
      </w:r>
    </w:p>
    <w:p w14:paraId="021CF857">
      <w:pPr>
        <w:pStyle w:val="15"/>
        <w:spacing w:line="360" w:lineRule="auto"/>
        <w:ind w:firstLine="420" w:firstLineChars="200"/>
        <w:rPr>
          <w:rFonts w:ascii="宋体" w:hAnsi="宋体"/>
          <w:color w:val="000000"/>
          <w:szCs w:val="21"/>
        </w:rPr>
      </w:pPr>
      <w:r>
        <w:rPr>
          <w:rFonts w:hint="eastAsia" w:ascii="宋体" w:hAnsi="宋体"/>
          <w:color w:val="000000"/>
          <w:szCs w:val="21"/>
        </w:rPr>
        <w:t>10.3如乙方在运输过程中造成运输货物泄落或因其他原因减损灭失的，每少一吨（根据甲方地磅和甲方指定运输目的地处地磅差额计算），应按照运输货物实际价值的标准赔偿甲方损失。乙方应支付的</w:t>
      </w:r>
      <w:r>
        <w:rPr>
          <w:rFonts w:ascii="宋体" w:hAnsi="宋体"/>
          <w:color w:val="000000"/>
          <w:szCs w:val="21"/>
        </w:rPr>
        <w:t>前述违约金不足以弥补</w:t>
      </w:r>
      <w:r>
        <w:rPr>
          <w:rFonts w:hint="eastAsia" w:ascii="宋体" w:hAnsi="宋体"/>
          <w:color w:val="000000"/>
          <w:szCs w:val="21"/>
        </w:rPr>
        <w:t>甲方全部直接或间接</w:t>
      </w:r>
      <w:r>
        <w:rPr>
          <w:rFonts w:ascii="宋体" w:hAnsi="宋体"/>
          <w:color w:val="000000"/>
          <w:szCs w:val="21"/>
        </w:rPr>
        <w:t>损失的</w:t>
      </w:r>
      <w:r>
        <w:rPr>
          <w:rFonts w:hint="eastAsia" w:ascii="宋体" w:hAnsi="宋体"/>
          <w:color w:val="000000"/>
          <w:szCs w:val="21"/>
        </w:rPr>
        <w:t>，应按甲方实际损失进行赔偿。</w:t>
      </w:r>
    </w:p>
    <w:p w14:paraId="5D183BB6">
      <w:pPr>
        <w:pStyle w:val="16"/>
        <w:spacing w:before="100" w:beforeAutospacing="1" w:after="0"/>
        <w:rPr>
          <w:rFonts w:ascii="宋体" w:hAnsi="宋体" w:eastAsia="宋体"/>
        </w:rPr>
      </w:pPr>
      <w:bookmarkStart w:id="22" w:name="_Toc480353651"/>
      <w:bookmarkStart w:id="23" w:name="_Toc411416335"/>
      <w:r>
        <w:rPr>
          <w:rFonts w:hint="eastAsia" w:ascii="宋体" w:hAnsi="宋体" w:eastAsia="宋体"/>
          <w:color w:val="000000"/>
        </w:rPr>
        <w:t>第十一条 争议解决</w:t>
      </w:r>
      <w:bookmarkEnd w:id="22"/>
      <w:bookmarkEnd w:id="23"/>
    </w:p>
    <w:p w14:paraId="3395B29A">
      <w:pPr>
        <w:pStyle w:val="15"/>
        <w:spacing w:line="360" w:lineRule="auto"/>
        <w:ind w:firstLine="420" w:firstLineChars="200"/>
        <w:rPr>
          <w:rFonts w:ascii="宋体" w:hAnsi="宋体"/>
          <w:szCs w:val="21"/>
        </w:rPr>
      </w:pPr>
      <w:r>
        <w:rPr>
          <w:rFonts w:hint="eastAsia" w:ascii="宋体" w:hAnsi="宋体"/>
          <w:szCs w:val="21"/>
        </w:rPr>
        <w:t>本合同在履行过程中发生的争议，由双方当事人协商解决；协商或调解不成的，双方同意按下列第</w:t>
      </w:r>
      <w:r>
        <w:rPr>
          <w:rFonts w:hint="eastAsia" w:ascii="宋体" w:hAnsi="宋体"/>
          <w:szCs w:val="21"/>
          <w:u w:val="single"/>
        </w:rPr>
        <w:t xml:space="preserve"> </w:t>
      </w:r>
      <w:r>
        <w:rPr>
          <w:rFonts w:ascii="宋体" w:hAnsi="宋体"/>
          <w:szCs w:val="21"/>
          <w:u w:val="single"/>
        </w:rPr>
        <w:t>2</w:t>
      </w:r>
      <w:r>
        <w:rPr>
          <w:rFonts w:hint="eastAsia" w:ascii="宋体" w:hAnsi="宋体"/>
          <w:szCs w:val="21"/>
          <w:u w:val="single"/>
        </w:rPr>
        <w:t xml:space="preserve"> </w:t>
      </w:r>
      <w:r>
        <w:rPr>
          <w:rFonts w:hint="eastAsia" w:ascii="宋体" w:hAnsi="宋体"/>
          <w:szCs w:val="21"/>
        </w:rPr>
        <w:t>种方式解决：</w:t>
      </w:r>
    </w:p>
    <w:p w14:paraId="0CBCE1CD">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仲裁委员会仲裁，仲裁裁决是终局的，对双方均有约束力；</w:t>
      </w:r>
    </w:p>
    <w:p w14:paraId="62698C05">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甲方所在地  </w:t>
      </w:r>
      <w:r>
        <w:rPr>
          <w:rFonts w:hint="eastAsia" w:ascii="宋体" w:hAnsi="宋体"/>
          <w:szCs w:val="21"/>
        </w:rPr>
        <w:t>具有管辖权的人民法院提起诉讼。</w:t>
      </w:r>
    </w:p>
    <w:p w14:paraId="1AE7FE68">
      <w:pPr>
        <w:spacing w:line="360" w:lineRule="auto"/>
        <w:ind w:firstLine="420" w:firstLineChars="200"/>
        <w:rPr>
          <w:rFonts w:ascii="宋体" w:hAnsi="宋体"/>
          <w:color w:val="000000"/>
          <w:szCs w:val="21"/>
        </w:rPr>
      </w:pPr>
      <w:r>
        <w:rPr>
          <w:rFonts w:hint="eastAsia" w:ascii="宋体" w:hAnsi="宋体"/>
          <w:color w:val="000000"/>
          <w:szCs w:val="21"/>
          <w:lang w:eastAsia="zh-Hans"/>
        </w:rPr>
        <w:t>败诉</w:t>
      </w:r>
      <w:r>
        <w:rPr>
          <w:rFonts w:hint="eastAsia" w:ascii="宋体" w:hAnsi="宋体"/>
          <w:color w:val="000000"/>
          <w:szCs w:val="21"/>
        </w:rPr>
        <w:t>方</w:t>
      </w:r>
      <w:r>
        <w:rPr>
          <w:rFonts w:hint="eastAsia" w:ascii="宋体" w:hAnsi="宋体"/>
          <w:color w:val="000000"/>
          <w:szCs w:val="21"/>
          <w:lang w:eastAsia="zh-Hans"/>
        </w:rPr>
        <w:t>应承担胜诉方</w:t>
      </w:r>
      <w:r>
        <w:rPr>
          <w:rFonts w:hint="eastAsia" w:ascii="宋体" w:hAnsi="宋体"/>
          <w:color w:val="000000"/>
          <w:szCs w:val="21"/>
        </w:rPr>
        <w:t>为主张</w:t>
      </w:r>
      <w:r>
        <w:rPr>
          <w:rFonts w:hint="eastAsia" w:ascii="宋体" w:hAnsi="宋体"/>
          <w:color w:val="000000"/>
          <w:szCs w:val="21"/>
          <w:lang w:eastAsia="zh-Hans"/>
        </w:rPr>
        <w:t>价款、违约金等本合同下</w:t>
      </w:r>
      <w:r>
        <w:rPr>
          <w:rFonts w:hint="eastAsia" w:ascii="宋体" w:hAnsi="宋体"/>
          <w:color w:val="000000"/>
          <w:szCs w:val="21"/>
        </w:rPr>
        <w:t>债权所支付</w:t>
      </w:r>
      <w:r>
        <w:rPr>
          <w:rFonts w:hint="eastAsia" w:ascii="宋体" w:hAnsi="宋体"/>
          <w:color w:val="000000"/>
          <w:szCs w:val="21"/>
          <w:lang w:eastAsia="zh-Hans"/>
        </w:rPr>
        <w:t>合理</w:t>
      </w:r>
      <w:r>
        <w:rPr>
          <w:rFonts w:hint="eastAsia" w:ascii="宋体" w:hAnsi="宋体"/>
          <w:color w:val="000000"/>
          <w:szCs w:val="21"/>
        </w:rPr>
        <w:t>费用，包括但不限于诉讼费用、执行费、差旅费、鉴定费、保全费、保全保险费、律师费等。</w:t>
      </w:r>
    </w:p>
    <w:p w14:paraId="73C66CDC">
      <w:pPr>
        <w:pStyle w:val="16"/>
        <w:spacing w:before="100" w:beforeAutospacing="1" w:after="0"/>
        <w:rPr>
          <w:rFonts w:ascii="宋体" w:hAnsi="宋体" w:eastAsia="宋体"/>
          <w:color w:val="000000"/>
        </w:rPr>
      </w:pPr>
      <w:bookmarkStart w:id="24" w:name="_Toc480353652"/>
      <w:bookmarkStart w:id="25" w:name="_Toc411416336"/>
      <w:r>
        <w:rPr>
          <w:rFonts w:hint="eastAsia" w:ascii="宋体" w:hAnsi="宋体" w:eastAsia="宋体"/>
          <w:color w:val="000000"/>
        </w:rPr>
        <w:t>第十二条  其他</w:t>
      </w:r>
      <w:bookmarkEnd w:id="24"/>
      <w:bookmarkEnd w:id="25"/>
    </w:p>
    <w:p w14:paraId="0CCA832C">
      <w:pPr>
        <w:pStyle w:val="15"/>
        <w:spacing w:line="360" w:lineRule="auto"/>
        <w:ind w:firstLine="420" w:firstLineChars="200"/>
        <w:rPr>
          <w:rFonts w:ascii="宋体" w:hAnsi="宋体"/>
          <w:szCs w:val="21"/>
        </w:rPr>
      </w:pPr>
      <w:r>
        <w:rPr>
          <w:rFonts w:hint="eastAsia" w:ascii="宋体" w:hAnsi="宋体"/>
          <w:color w:val="000000"/>
          <w:szCs w:val="21"/>
        </w:rPr>
        <w:t>12.1 本合同未尽事宜，双方协商解决或另签补充合同。</w:t>
      </w:r>
    </w:p>
    <w:p w14:paraId="58ADEEDB">
      <w:pPr>
        <w:pStyle w:val="15"/>
        <w:spacing w:line="360" w:lineRule="auto"/>
        <w:ind w:firstLine="420" w:firstLineChars="200"/>
        <w:rPr>
          <w:rFonts w:ascii="宋体" w:hAnsi="宋体"/>
          <w:szCs w:val="21"/>
        </w:rPr>
      </w:pPr>
      <w:r>
        <w:rPr>
          <w:rFonts w:hint="eastAsia" w:ascii="宋体" w:hAnsi="宋体"/>
          <w:color w:val="000000"/>
          <w:szCs w:val="21"/>
        </w:rPr>
        <w:t>12.2 未经甲方同意，乙方不得将本合同项下运输工作转委托给其他第三方。</w:t>
      </w:r>
    </w:p>
    <w:p w14:paraId="75EC7EDF">
      <w:pPr>
        <w:pStyle w:val="15"/>
        <w:spacing w:line="360" w:lineRule="auto"/>
        <w:ind w:firstLine="420" w:firstLineChars="200"/>
        <w:rPr>
          <w:rFonts w:ascii="宋体" w:hAnsi="宋体"/>
          <w:szCs w:val="21"/>
        </w:rPr>
      </w:pPr>
      <w:r>
        <w:rPr>
          <w:rFonts w:hint="eastAsia" w:ascii="宋体" w:hAnsi="宋体"/>
          <w:color w:val="000000"/>
          <w:szCs w:val="21"/>
        </w:rPr>
        <w:t>12.3 未经甲方同意，乙方不得提前解除合同。</w:t>
      </w:r>
    </w:p>
    <w:p w14:paraId="74C748AF">
      <w:pPr>
        <w:pStyle w:val="15"/>
        <w:spacing w:line="360" w:lineRule="auto"/>
        <w:ind w:firstLine="420" w:firstLineChars="200"/>
        <w:rPr>
          <w:rFonts w:ascii="宋体" w:hAnsi="宋体"/>
          <w:color w:val="000000"/>
          <w:szCs w:val="21"/>
        </w:rPr>
      </w:pPr>
      <w:r>
        <w:rPr>
          <w:rFonts w:hint="eastAsia" w:ascii="宋体" w:hAnsi="宋体"/>
          <w:color w:val="000000"/>
          <w:szCs w:val="21"/>
        </w:rPr>
        <w:t xml:space="preserve">12.4 本合同一式 </w:t>
      </w:r>
      <w:r>
        <w:rPr>
          <w:rFonts w:ascii="宋体" w:hAnsi="宋体"/>
          <w:color w:val="000000"/>
          <w:szCs w:val="21"/>
        </w:rPr>
        <w:t xml:space="preserve"> </w:t>
      </w:r>
      <w:r>
        <w:rPr>
          <w:rFonts w:hint="eastAsia" w:ascii="宋体" w:hAnsi="宋体"/>
          <w:color w:val="000000"/>
          <w:szCs w:val="21"/>
        </w:rPr>
        <w:t xml:space="preserve">份，双方各执 </w:t>
      </w:r>
      <w:r>
        <w:rPr>
          <w:rFonts w:ascii="宋体" w:hAnsi="宋体"/>
          <w:color w:val="000000"/>
          <w:szCs w:val="21"/>
        </w:rPr>
        <w:t xml:space="preserve"> </w:t>
      </w:r>
      <w:r>
        <w:rPr>
          <w:rFonts w:hint="eastAsia" w:ascii="宋体" w:hAnsi="宋体"/>
          <w:color w:val="000000"/>
          <w:szCs w:val="21"/>
        </w:rPr>
        <w:t>份。</w:t>
      </w:r>
      <w:bookmarkEnd w:id="4"/>
    </w:p>
    <w:p w14:paraId="0C052877">
      <w:pPr>
        <w:pStyle w:val="15"/>
        <w:spacing w:line="360" w:lineRule="auto"/>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2.5本合同附件：</w:t>
      </w:r>
    </w:p>
    <w:p w14:paraId="7F3DF493">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1</w:t>
      </w:r>
      <w:r>
        <w:rPr>
          <w:rFonts w:ascii="宋体" w:hAnsi="宋体"/>
          <w:i/>
          <w:color w:val="000000"/>
          <w:szCs w:val="21"/>
        </w:rPr>
        <w:t>：技术协议</w:t>
      </w:r>
    </w:p>
    <w:p w14:paraId="3F9AA169">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2</w:t>
      </w:r>
      <w:r>
        <w:rPr>
          <w:rFonts w:ascii="宋体" w:hAnsi="宋体"/>
          <w:i/>
          <w:color w:val="000000"/>
          <w:szCs w:val="21"/>
        </w:rPr>
        <w:t>：</w:t>
      </w:r>
      <w:r>
        <w:rPr>
          <w:rFonts w:hint="eastAsia" w:ascii="宋体" w:hAnsi="宋体"/>
          <w:i/>
          <w:color w:val="000000"/>
          <w:szCs w:val="21"/>
        </w:rPr>
        <w:t>外包工程安全、环保责任协议书</w:t>
      </w:r>
    </w:p>
    <w:p w14:paraId="63C8B91C">
      <w:pPr>
        <w:pStyle w:val="15"/>
        <w:spacing w:line="360" w:lineRule="auto"/>
        <w:ind w:firstLine="420" w:firstLineChars="200"/>
        <w:rPr>
          <w:rFonts w:ascii="宋体" w:hAnsi="宋体"/>
          <w:i/>
          <w:color w:val="000000"/>
          <w:szCs w:val="21"/>
        </w:rPr>
      </w:pPr>
      <w:r>
        <w:rPr>
          <w:rFonts w:ascii="宋体" w:hAnsi="宋体"/>
          <w:i/>
          <w:color w:val="000000"/>
          <w:szCs w:val="21"/>
        </w:rPr>
        <w:t>附件</w:t>
      </w:r>
      <w:r>
        <w:rPr>
          <w:rFonts w:hint="eastAsia" w:ascii="宋体" w:hAnsi="宋体"/>
          <w:i/>
          <w:color w:val="000000"/>
          <w:szCs w:val="21"/>
        </w:rPr>
        <w:t>3</w:t>
      </w:r>
      <w:r>
        <w:rPr>
          <w:rFonts w:ascii="宋体" w:hAnsi="宋体"/>
          <w:i/>
          <w:color w:val="000000"/>
          <w:szCs w:val="21"/>
        </w:rPr>
        <w:t>：廉政协议</w:t>
      </w:r>
    </w:p>
    <w:p w14:paraId="358FE0AD">
      <w:pPr>
        <w:pStyle w:val="15"/>
        <w:spacing w:line="360" w:lineRule="auto"/>
        <w:ind w:firstLine="420" w:firstLineChars="200"/>
        <w:rPr>
          <w:rFonts w:ascii="宋体" w:hAnsi="宋体"/>
          <w:i/>
          <w:color w:val="000000"/>
          <w:szCs w:val="21"/>
        </w:rPr>
      </w:pPr>
    </w:p>
    <w:p w14:paraId="20905781">
      <w:pPr>
        <w:pStyle w:val="15"/>
        <w:spacing w:line="360" w:lineRule="auto"/>
        <w:ind w:firstLine="420" w:firstLineChars="200"/>
        <w:rPr>
          <w:rFonts w:ascii="宋体" w:hAnsi="宋体"/>
          <w:i/>
          <w:color w:val="000000"/>
          <w:szCs w:val="21"/>
        </w:rPr>
      </w:pPr>
    </w:p>
    <w:p w14:paraId="28A8893E">
      <w:pPr>
        <w:snapToGrid w:val="0"/>
        <w:spacing w:after="120"/>
        <w:ind w:left="5592" w:hanging="5592"/>
        <w:rPr>
          <w:sz w:val="28"/>
          <w:szCs w:val="28"/>
        </w:rPr>
      </w:pPr>
      <w:r>
        <w:rPr>
          <w:rFonts w:hint="eastAsia"/>
          <w:sz w:val="28"/>
          <w:szCs w:val="28"/>
        </w:rPr>
        <w:t>（以下无正文）</w:t>
      </w:r>
    </w:p>
    <w:p w14:paraId="16A69D9A">
      <w:pPr>
        <w:spacing w:after="156" w:line="360" w:lineRule="atLeast"/>
        <w:rPr>
          <w:rFonts w:ascii="宋体" w:hAnsi="宋体"/>
          <w:b/>
          <w:sz w:val="24"/>
          <w:szCs w:val="24"/>
        </w:rPr>
      </w:pPr>
      <w:r>
        <w:rPr>
          <w:rFonts w:hint="eastAsia" w:ascii="宋体" w:hAnsi="宋体"/>
          <w:b/>
          <w:sz w:val="24"/>
          <w:szCs w:val="24"/>
        </w:rPr>
        <w:t>本合同分别由双方的法定代表人或其授权代表在合同开首书明之地点签署，以昭信守。</w:t>
      </w:r>
    </w:p>
    <w:p w14:paraId="708A7925">
      <w:pPr>
        <w:pStyle w:val="15"/>
        <w:rPr>
          <w:rFonts w:ascii="宋体" w:hAnsi="宋体"/>
          <w:b/>
          <w:color w:val="000000"/>
          <w:szCs w:val="21"/>
        </w:rPr>
      </w:pP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4"/>
        <w:gridCol w:w="4602"/>
      </w:tblGrid>
      <w:tr w14:paraId="2311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2" w:type="pct"/>
          </w:tcPr>
          <w:p w14:paraId="755DE582">
            <w:pPr>
              <w:spacing w:line="300" w:lineRule="auto"/>
              <w:ind w:right="-1455" w:rightChars="-693"/>
              <w:rPr>
                <w:rFonts w:ascii="宋体" w:hAnsi="宋体"/>
                <w:spacing w:val="-10"/>
                <w:szCs w:val="21"/>
              </w:rPr>
            </w:pPr>
            <w:r>
              <w:rPr>
                <w:rFonts w:hint="eastAsia" w:ascii="宋体" w:hAnsi="宋体"/>
                <w:szCs w:val="21"/>
              </w:rPr>
              <w:t>甲    方</w:t>
            </w:r>
          </w:p>
        </w:tc>
        <w:tc>
          <w:tcPr>
            <w:tcW w:w="2478" w:type="pct"/>
          </w:tcPr>
          <w:p w14:paraId="2EC722C3">
            <w:pPr>
              <w:spacing w:line="300" w:lineRule="auto"/>
              <w:ind w:right="-1455" w:rightChars="-693" w:firstLine="420" w:firstLineChars="200"/>
              <w:rPr>
                <w:rFonts w:ascii="宋体" w:hAnsi="宋体"/>
                <w:spacing w:val="-10"/>
                <w:szCs w:val="21"/>
              </w:rPr>
            </w:pPr>
            <w:r>
              <w:rPr>
                <w:rFonts w:hint="eastAsia" w:ascii="宋体" w:hAnsi="宋体"/>
                <w:szCs w:val="21"/>
              </w:rPr>
              <w:t>乙    方</w:t>
            </w:r>
          </w:p>
        </w:tc>
      </w:tr>
      <w:tr w14:paraId="7F68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2" w:type="pct"/>
          </w:tcPr>
          <w:p w14:paraId="312D7F2D">
            <w:pPr>
              <w:spacing w:line="300" w:lineRule="auto"/>
              <w:ind w:right="-1455" w:rightChars="-693"/>
              <w:rPr>
                <w:rFonts w:ascii="宋体" w:hAnsi="宋体"/>
                <w:szCs w:val="21"/>
              </w:rPr>
            </w:pPr>
            <w:r>
              <w:rPr>
                <w:rFonts w:hint="eastAsia" w:ascii="宋体" w:hAnsi="宋体"/>
                <w:szCs w:val="21"/>
              </w:rPr>
              <w:t>单位名称：【     】(盖章)</w:t>
            </w:r>
          </w:p>
          <w:p w14:paraId="512EC16A">
            <w:pPr>
              <w:spacing w:line="300" w:lineRule="auto"/>
              <w:ind w:right="-1455" w:rightChars="-693"/>
              <w:rPr>
                <w:rFonts w:ascii="宋体" w:hAnsi="宋体"/>
                <w:szCs w:val="21"/>
              </w:rPr>
            </w:pPr>
            <w:r>
              <w:rPr>
                <w:rFonts w:hint="eastAsia" w:ascii="宋体" w:hAnsi="宋体"/>
                <w:szCs w:val="21"/>
              </w:rPr>
              <w:t xml:space="preserve">开户行： </w:t>
            </w:r>
          </w:p>
          <w:p w14:paraId="5E355BB3">
            <w:pPr>
              <w:spacing w:line="300" w:lineRule="auto"/>
              <w:ind w:right="-1455" w:rightChars="-693"/>
              <w:rPr>
                <w:rFonts w:ascii="宋体" w:hAnsi="宋体"/>
                <w:szCs w:val="21"/>
              </w:rPr>
            </w:pPr>
            <w:r>
              <w:rPr>
                <w:rFonts w:hint="eastAsia" w:ascii="宋体" w:hAnsi="宋体"/>
                <w:szCs w:val="21"/>
              </w:rPr>
              <w:t xml:space="preserve">帐  号：  </w:t>
            </w:r>
          </w:p>
          <w:p w14:paraId="67AE8FB9">
            <w:pPr>
              <w:spacing w:line="300" w:lineRule="auto"/>
              <w:ind w:right="-1455" w:rightChars="-693"/>
              <w:rPr>
                <w:rFonts w:ascii="宋体" w:hAnsi="宋体"/>
                <w:szCs w:val="21"/>
              </w:rPr>
            </w:pPr>
            <w:r>
              <w:rPr>
                <w:rFonts w:hint="eastAsia" w:ascii="宋体" w:hAnsi="宋体"/>
                <w:szCs w:val="21"/>
              </w:rPr>
              <w:t>税  号：</w:t>
            </w:r>
          </w:p>
          <w:p w14:paraId="4D469315">
            <w:pPr>
              <w:spacing w:line="300" w:lineRule="auto"/>
              <w:ind w:right="-1455" w:rightChars="-693"/>
              <w:rPr>
                <w:rFonts w:ascii="宋体" w:hAnsi="宋体"/>
                <w:szCs w:val="21"/>
              </w:rPr>
            </w:pPr>
            <w:r>
              <w:rPr>
                <w:rFonts w:hint="eastAsia" w:ascii="宋体" w:hAnsi="宋体"/>
                <w:szCs w:val="21"/>
              </w:rPr>
              <w:t xml:space="preserve">联系人： </w:t>
            </w:r>
          </w:p>
          <w:p w14:paraId="538F7A31">
            <w:pPr>
              <w:spacing w:line="300" w:lineRule="auto"/>
              <w:ind w:right="-1455" w:rightChars="-693"/>
              <w:rPr>
                <w:rFonts w:ascii="宋体" w:hAnsi="宋体"/>
                <w:szCs w:val="21"/>
              </w:rPr>
            </w:pPr>
            <w:r>
              <w:rPr>
                <w:rFonts w:hint="eastAsia" w:ascii="宋体" w:hAnsi="宋体"/>
                <w:szCs w:val="21"/>
              </w:rPr>
              <w:t>电  话：</w:t>
            </w:r>
          </w:p>
          <w:p w14:paraId="01609CF9">
            <w:pPr>
              <w:spacing w:line="300" w:lineRule="auto"/>
              <w:ind w:right="-1455" w:rightChars="-693"/>
              <w:rPr>
                <w:rFonts w:ascii="宋体" w:hAnsi="宋体"/>
                <w:szCs w:val="21"/>
              </w:rPr>
            </w:pPr>
            <w:r>
              <w:rPr>
                <w:rFonts w:hint="eastAsia" w:ascii="宋体" w:hAnsi="宋体"/>
                <w:szCs w:val="21"/>
              </w:rPr>
              <w:t xml:space="preserve">邮  箱： </w:t>
            </w:r>
          </w:p>
          <w:p w14:paraId="1A73B2AF">
            <w:pPr>
              <w:spacing w:line="300" w:lineRule="auto"/>
              <w:ind w:right="-1455" w:rightChars="-693"/>
              <w:rPr>
                <w:rFonts w:ascii="宋体" w:hAnsi="宋体"/>
                <w:szCs w:val="21"/>
              </w:rPr>
            </w:pPr>
            <w:r>
              <w:rPr>
                <w:rFonts w:hint="eastAsia" w:ascii="宋体" w:hAnsi="宋体"/>
                <w:szCs w:val="21"/>
              </w:rPr>
              <w:t xml:space="preserve">地  址： </w:t>
            </w:r>
          </w:p>
          <w:p w14:paraId="3F03F220">
            <w:pPr>
              <w:spacing w:line="300" w:lineRule="auto"/>
              <w:ind w:right="-1455" w:rightChars="-693"/>
              <w:rPr>
                <w:rFonts w:ascii="宋体" w:hAnsi="宋体"/>
                <w:szCs w:val="21"/>
              </w:rPr>
            </w:pPr>
            <w:r>
              <w:rPr>
                <w:rFonts w:hint="eastAsia" w:ascii="宋体" w:hAnsi="宋体"/>
                <w:szCs w:val="21"/>
              </w:rPr>
              <w:t>法定代表人或授权代表（签字）：</w:t>
            </w:r>
          </w:p>
          <w:p w14:paraId="5DF3B1B4">
            <w:pPr>
              <w:spacing w:line="300" w:lineRule="auto"/>
              <w:ind w:right="-1455" w:rightChars="-693"/>
              <w:rPr>
                <w:rFonts w:ascii="宋体" w:hAnsi="宋体"/>
                <w:szCs w:val="21"/>
              </w:rPr>
            </w:pPr>
          </w:p>
          <w:p w14:paraId="1FCF4C7A">
            <w:pPr>
              <w:spacing w:line="300" w:lineRule="auto"/>
              <w:ind w:right="-1455" w:rightChars="-693"/>
              <w:rPr>
                <w:rFonts w:ascii="宋体" w:hAnsi="宋体"/>
                <w:spacing w:val="-10"/>
                <w:szCs w:val="21"/>
              </w:rPr>
            </w:pPr>
          </w:p>
        </w:tc>
        <w:tc>
          <w:tcPr>
            <w:tcW w:w="2478" w:type="pct"/>
          </w:tcPr>
          <w:p w14:paraId="759660DE">
            <w:pPr>
              <w:spacing w:line="300" w:lineRule="auto"/>
              <w:ind w:leftChars="-2" w:right="-1455" w:rightChars="-693" w:hanging="4" w:hangingChars="2"/>
              <w:rPr>
                <w:rFonts w:ascii="宋体" w:hAnsi="宋体"/>
                <w:szCs w:val="21"/>
              </w:rPr>
            </w:pPr>
            <w:r>
              <w:rPr>
                <w:rFonts w:hint="eastAsia" w:ascii="宋体" w:hAnsi="宋体"/>
                <w:szCs w:val="21"/>
              </w:rPr>
              <w:t>单位名称：【    】 （盖章）</w:t>
            </w:r>
          </w:p>
          <w:p w14:paraId="385C2A76">
            <w:pPr>
              <w:spacing w:line="300" w:lineRule="auto"/>
              <w:ind w:leftChars="-2" w:right="-1455" w:rightChars="-693" w:hanging="4" w:hangingChars="2"/>
              <w:rPr>
                <w:rFonts w:ascii="宋体" w:hAnsi="宋体"/>
                <w:szCs w:val="21"/>
              </w:rPr>
            </w:pPr>
            <w:r>
              <w:rPr>
                <w:rFonts w:hint="eastAsia" w:ascii="宋体" w:hAnsi="宋体"/>
                <w:szCs w:val="21"/>
              </w:rPr>
              <w:t>开户行：</w:t>
            </w:r>
          </w:p>
          <w:p w14:paraId="7B70625B">
            <w:pPr>
              <w:spacing w:line="300" w:lineRule="auto"/>
              <w:ind w:leftChars="-2" w:right="-1455" w:rightChars="-693" w:hanging="4" w:hangingChars="2"/>
              <w:rPr>
                <w:rFonts w:ascii="宋体" w:hAnsi="宋体"/>
                <w:szCs w:val="21"/>
              </w:rPr>
            </w:pPr>
            <w:r>
              <w:rPr>
                <w:rFonts w:hint="eastAsia" w:ascii="宋体" w:hAnsi="宋体"/>
                <w:szCs w:val="21"/>
              </w:rPr>
              <w:t>帐  号：</w:t>
            </w:r>
          </w:p>
          <w:p w14:paraId="1B5DEAF8">
            <w:pPr>
              <w:spacing w:line="300" w:lineRule="auto"/>
              <w:ind w:leftChars="-2" w:right="-1455" w:rightChars="-693" w:hanging="4" w:hangingChars="2"/>
              <w:rPr>
                <w:rFonts w:ascii="宋体" w:hAnsi="宋体"/>
                <w:szCs w:val="21"/>
              </w:rPr>
            </w:pPr>
            <w:r>
              <w:rPr>
                <w:rFonts w:hint="eastAsia" w:ascii="宋体" w:hAnsi="宋体"/>
                <w:szCs w:val="21"/>
              </w:rPr>
              <w:t>税  号：</w:t>
            </w:r>
          </w:p>
          <w:p w14:paraId="72376951">
            <w:pPr>
              <w:spacing w:line="300" w:lineRule="auto"/>
              <w:ind w:leftChars="-2" w:right="-1455" w:rightChars="-693" w:hanging="4" w:hangingChars="2"/>
              <w:rPr>
                <w:rFonts w:ascii="宋体" w:hAnsi="宋体"/>
                <w:szCs w:val="21"/>
              </w:rPr>
            </w:pPr>
            <w:r>
              <w:rPr>
                <w:rFonts w:hint="eastAsia" w:ascii="宋体" w:hAnsi="宋体"/>
                <w:szCs w:val="21"/>
              </w:rPr>
              <w:t>联系人：</w:t>
            </w:r>
          </w:p>
          <w:p w14:paraId="1315EF78">
            <w:pPr>
              <w:spacing w:line="300" w:lineRule="auto"/>
              <w:ind w:leftChars="-2" w:right="-1455" w:rightChars="-693" w:hanging="4" w:hangingChars="2"/>
              <w:rPr>
                <w:rFonts w:ascii="宋体" w:hAnsi="宋体"/>
                <w:szCs w:val="21"/>
              </w:rPr>
            </w:pPr>
            <w:r>
              <w:rPr>
                <w:rFonts w:hint="eastAsia" w:ascii="宋体" w:hAnsi="宋体"/>
                <w:szCs w:val="21"/>
              </w:rPr>
              <w:t>电  话：</w:t>
            </w:r>
          </w:p>
          <w:p w14:paraId="6F8EB34C">
            <w:pPr>
              <w:spacing w:line="300" w:lineRule="auto"/>
              <w:ind w:leftChars="-2" w:right="-1455" w:rightChars="-693" w:hanging="4" w:hangingChars="2"/>
              <w:rPr>
                <w:rFonts w:ascii="宋体" w:hAnsi="宋体"/>
                <w:szCs w:val="21"/>
              </w:rPr>
            </w:pPr>
            <w:r>
              <w:rPr>
                <w:rFonts w:hint="eastAsia" w:ascii="宋体" w:hAnsi="宋体"/>
                <w:szCs w:val="21"/>
              </w:rPr>
              <w:t>邮  箱：</w:t>
            </w:r>
          </w:p>
          <w:p w14:paraId="67F840AA">
            <w:pPr>
              <w:spacing w:line="300" w:lineRule="auto"/>
              <w:ind w:leftChars="-2" w:right="-1455" w:rightChars="-693" w:hanging="4" w:hangingChars="2"/>
              <w:rPr>
                <w:rFonts w:ascii="宋体" w:hAnsi="宋体"/>
                <w:szCs w:val="21"/>
              </w:rPr>
            </w:pPr>
            <w:r>
              <w:rPr>
                <w:rFonts w:hint="eastAsia" w:ascii="宋体" w:hAnsi="宋体"/>
                <w:szCs w:val="21"/>
              </w:rPr>
              <w:t>地  址：</w:t>
            </w:r>
          </w:p>
          <w:p w14:paraId="5C969C53">
            <w:pPr>
              <w:spacing w:line="300" w:lineRule="auto"/>
              <w:ind w:leftChars="-2" w:right="-1455" w:rightChars="-693" w:hanging="4" w:hangingChars="2"/>
              <w:rPr>
                <w:rFonts w:ascii="宋体" w:hAnsi="宋体"/>
                <w:szCs w:val="21"/>
              </w:rPr>
            </w:pPr>
            <w:r>
              <w:rPr>
                <w:rFonts w:hint="eastAsia" w:ascii="宋体" w:hAnsi="宋体"/>
                <w:szCs w:val="21"/>
              </w:rPr>
              <w:t>法定代表人或授权代表（签字）：</w:t>
            </w:r>
          </w:p>
          <w:p w14:paraId="2424A969">
            <w:pPr>
              <w:spacing w:line="300" w:lineRule="auto"/>
              <w:ind w:leftChars="-2" w:right="-1455" w:rightChars="-693" w:hanging="3" w:hangingChars="2"/>
              <w:rPr>
                <w:rFonts w:ascii="宋体" w:hAnsi="宋体"/>
                <w:spacing w:val="-10"/>
                <w:szCs w:val="21"/>
              </w:rPr>
            </w:pPr>
          </w:p>
          <w:p w14:paraId="4C63DF2B">
            <w:pPr>
              <w:spacing w:line="300" w:lineRule="auto"/>
              <w:ind w:leftChars="-2" w:right="-1455" w:rightChars="-693" w:hanging="3" w:hangingChars="2"/>
              <w:rPr>
                <w:rFonts w:ascii="宋体" w:hAnsi="宋体"/>
                <w:spacing w:val="-10"/>
                <w:szCs w:val="21"/>
              </w:rPr>
            </w:pPr>
          </w:p>
        </w:tc>
      </w:tr>
    </w:tbl>
    <w:p w14:paraId="317DD314">
      <w:pPr>
        <w:spacing w:line="360" w:lineRule="auto"/>
      </w:pPr>
    </w:p>
    <w:sectPr>
      <w:pgSz w:w="11906" w:h="16838"/>
      <w:pgMar w:top="1418" w:right="1418" w:bottom="1418" w:left="141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aramond">
    <w:panose1 w:val="02020404030301010803"/>
    <w:charset w:val="00"/>
    <w:family w:val="roman"/>
    <w:pitch w:val="default"/>
    <w:sig w:usb0="00000287" w:usb1="00000000" w:usb2="00000000" w:usb3="00000000" w:csb0="0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YzNjYmYxNDAwODVjOWVlY2RlYTMxNGZjNTFhYTEifQ=="/>
  </w:docVars>
  <w:rsids>
    <w:rsidRoot w:val="71274C1E"/>
    <w:rsid w:val="0004776E"/>
    <w:rsid w:val="000C25AA"/>
    <w:rsid w:val="000D2F09"/>
    <w:rsid w:val="000D6A11"/>
    <w:rsid w:val="00347A1C"/>
    <w:rsid w:val="003C4203"/>
    <w:rsid w:val="003D69C2"/>
    <w:rsid w:val="004334B5"/>
    <w:rsid w:val="00436BB1"/>
    <w:rsid w:val="004E07C7"/>
    <w:rsid w:val="005253A9"/>
    <w:rsid w:val="00635A0B"/>
    <w:rsid w:val="0069488A"/>
    <w:rsid w:val="006F7090"/>
    <w:rsid w:val="0071063C"/>
    <w:rsid w:val="007E1142"/>
    <w:rsid w:val="007E37A1"/>
    <w:rsid w:val="007E6700"/>
    <w:rsid w:val="00940729"/>
    <w:rsid w:val="00995EEC"/>
    <w:rsid w:val="009A3677"/>
    <w:rsid w:val="009D5A18"/>
    <w:rsid w:val="009F1FF9"/>
    <w:rsid w:val="00AA04E9"/>
    <w:rsid w:val="00B25484"/>
    <w:rsid w:val="00BC524C"/>
    <w:rsid w:val="00C2759E"/>
    <w:rsid w:val="00C675A2"/>
    <w:rsid w:val="00D62F81"/>
    <w:rsid w:val="00DB19E9"/>
    <w:rsid w:val="00E6163B"/>
    <w:rsid w:val="0153127E"/>
    <w:rsid w:val="018C735F"/>
    <w:rsid w:val="02F211C8"/>
    <w:rsid w:val="0F1844B9"/>
    <w:rsid w:val="0F3320A6"/>
    <w:rsid w:val="13A41771"/>
    <w:rsid w:val="159061E9"/>
    <w:rsid w:val="1C8E024F"/>
    <w:rsid w:val="1D303F1A"/>
    <w:rsid w:val="1FAD2516"/>
    <w:rsid w:val="227A69D4"/>
    <w:rsid w:val="337D620C"/>
    <w:rsid w:val="33BA6F04"/>
    <w:rsid w:val="36474341"/>
    <w:rsid w:val="36743C33"/>
    <w:rsid w:val="37223D37"/>
    <w:rsid w:val="38162B38"/>
    <w:rsid w:val="41E052DD"/>
    <w:rsid w:val="48B3768C"/>
    <w:rsid w:val="4A9C45C7"/>
    <w:rsid w:val="4DBE2E63"/>
    <w:rsid w:val="51620C13"/>
    <w:rsid w:val="5174108D"/>
    <w:rsid w:val="588B7972"/>
    <w:rsid w:val="604302F2"/>
    <w:rsid w:val="71274C1E"/>
    <w:rsid w:val="757E4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ind w:firstLine="420"/>
      <w:jc w:val="left"/>
    </w:pPr>
    <w:rPr>
      <w:rFonts w:ascii="Calibri" w:hAnsi="Calibri"/>
      <w:sz w:val="22"/>
      <w:szCs w:val="22"/>
      <w:lang w:eastAsia="en-US" w:bidi="en-US"/>
    </w:rPr>
  </w:style>
  <w:style w:type="paragraph" w:styleId="4">
    <w:name w:val="annotation text"/>
    <w:basedOn w:val="1"/>
    <w:link w:val="22"/>
    <w:autoRedefine/>
    <w:qFormat/>
    <w:uiPriority w:val="0"/>
    <w:pPr>
      <w:jc w:val="left"/>
    </w:pPr>
  </w:style>
  <w:style w:type="paragraph" w:styleId="5">
    <w:name w:val="Body Text Indent"/>
    <w:basedOn w:val="1"/>
    <w:autoRedefine/>
    <w:unhideWhenUsed/>
    <w:qFormat/>
    <w:uiPriority w:val="99"/>
    <w:pPr>
      <w:spacing w:line="360" w:lineRule="auto"/>
      <w:ind w:left="-2" w:firstLine="413" w:firstLineChars="172"/>
    </w:pPr>
    <w:rPr>
      <w:sz w:val="24"/>
    </w:rPr>
  </w:style>
  <w:style w:type="paragraph" w:styleId="6">
    <w:name w:val="Balloon Text"/>
    <w:basedOn w:val="1"/>
    <w:link w:val="24"/>
    <w:autoRedefine/>
    <w:qFormat/>
    <w:uiPriority w:val="0"/>
    <w:rPr>
      <w:sz w:val="18"/>
      <w:szCs w:val="18"/>
    </w:rPr>
  </w:style>
  <w:style w:type="paragraph" w:styleId="7">
    <w:name w:val="footer"/>
    <w:basedOn w:val="1"/>
    <w:link w:val="26"/>
    <w:autoRedefine/>
    <w:qFormat/>
    <w:uiPriority w:val="0"/>
    <w:pPr>
      <w:tabs>
        <w:tab w:val="center" w:pos="4153"/>
        <w:tab w:val="right" w:pos="8306"/>
      </w:tabs>
      <w:snapToGrid w:val="0"/>
      <w:jc w:val="left"/>
    </w:pPr>
    <w:rPr>
      <w:sz w:val="18"/>
      <w:szCs w:val="18"/>
    </w:rPr>
  </w:style>
  <w:style w:type="paragraph" w:styleId="8">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3"/>
    <w:autoRedefine/>
    <w:qFormat/>
    <w:uiPriority w:val="0"/>
    <w:rPr>
      <w:b/>
      <w:bCs/>
    </w:rPr>
  </w:style>
  <w:style w:type="paragraph" w:styleId="10">
    <w:name w:val="Body Text First Indent 2"/>
    <w:basedOn w:val="5"/>
    <w:autoRedefine/>
    <w:unhideWhenUsed/>
    <w:qFormat/>
    <w:uiPriority w:val="99"/>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autoRedefine/>
    <w:qFormat/>
    <w:uiPriority w:val="0"/>
    <w:rPr>
      <w:sz w:val="21"/>
      <w:szCs w:val="21"/>
    </w:rPr>
  </w:style>
  <w:style w:type="paragraph" w:customStyle="1" w:styleId="15">
    <w:name w:val="正文_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标题 2_1"/>
    <w:basedOn w:val="15"/>
    <w:next w:val="15"/>
    <w:autoRedefine/>
    <w:semiHidden/>
    <w:unhideWhenUsed/>
    <w:qFormat/>
    <w:uiPriority w:val="0"/>
    <w:pPr>
      <w:keepNext/>
      <w:keepLines/>
      <w:adjustRightInd w:val="0"/>
      <w:spacing w:before="260" w:after="260" w:line="416" w:lineRule="atLeast"/>
      <w:jc w:val="left"/>
      <w:outlineLvl w:val="1"/>
    </w:pPr>
    <w:rPr>
      <w:rFonts w:ascii="黑体" w:hAnsi="Garamond" w:eastAsia="黑体" w:cs="Courier New"/>
      <w:b/>
      <w:kern w:val="0"/>
      <w:sz w:val="28"/>
      <w:szCs w:val="20"/>
    </w:rPr>
  </w:style>
  <w:style w:type="character" w:customStyle="1" w:styleId="17">
    <w:name w:val="超链接_1"/>
    <w:autoRedefine/>
    <w:semiHidden/>
    <w:unhideWhenUsed/>
    <w:qFormat/>
    <w:uiPriority w:val="99"/>
    <w:rPr>
      <w:color w:val="0000FF"/>
      <w:u w:val="single"/>
    </w:rPr>
  </w:style>
  <w:style w:type="paragraph" w:customStyle="1" w:styleId="18">
    <w:name w:val="标题 1_3"/>
    <w:basedOn w:val="19"/>
    <w:next w:val="19"/>
    <w:autoRedefine/>
    <w:qFormat/>
    <w:uiPriority w:val="9"/>
    <w:pPr>
      <w:keepNext/>
      <w:keepLines/>
      <w:spacing w:before="340" w:after="330" w:line="576" w:lineRule="auto"/>
      <w:outlineLvl w:val="0"/>
    </w:pPr>
    <w:rPr>
      <w:b/>
      <w:bCs/>
      <w:kern w:val="44"/>
      <w:sz w:val="44"/>
      <w:szCs w:val="44"/>
    </w:rPr>
  </w:style>
  <w:style w:type="paragraph" w:customStyle="1" w:styleId="19">
    <w:name w:val="正文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正文_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WPSOffice手动目录 1"/>
    <w:autoRedefine/>
    <w:qFormat/>
    <w:uiPriority w:val="0"/>
    <w:rPr>
      <w:rFonts w:ascii="Calibri" w:hAnsi="Calibri" w:eastAsia="宋体" w:cs="Times New Roman"/>
      <w:lang w:val="en-US" w:eastAsia="zh-CN" w:bidi="ar-SA"/>
    </w:rPr>
  </w:style>
  <w:style w:type="character" w:customStyle="1" w:styleId="22">
    <w:name w:val="批注文字 Char"/>
    <w:basedOn w:val="13"/>
    <w:link w:val="4"/>
    <w:autoRedefine/>
    <w:qFormat/>
    <w:uiPriority w:val="0"/>
    <w:rPr>
      <w:rFonts w:ascii="Times New Roman" w:hAnsi="Times New Roman" w:eastAsia="宋体" w:cs="Times New Roman"/>
      <w:kern w:val="2"/>
      <w:sz w:val="21"/>
    </w:rPr>
  </w:style>
  <w:style w:type="character" w:customStyle="1" w:styleId="23">
    <w:name w:val="批注主题 Char"/>
    <w:basedOn w:val="22"/>
    <w:link w:val="9"/>
    <w:autoRedefine/>
    <w:qFormat/>
    <w:uiPriority w:val="0"/>
    <w:rPr>
      <w:rFonts w:ascii="Times New Roman" w:hAnsi="Times New Roman" w:eastAsia="宋体" w:cs="Times New Roman"/>
      <w:b/>
      <w:bCs/>
      <w:kern w:val="2"/>
      <w:sz w:val="21"/>
    </w:rPr>
  </w:style>
  <w:style w:type="character" w:customStyle="1" w:styleId="24">
    <w:name w:val="批注框文本 Char"/>
    <w:basedOn w:val="13"/>
    <w:link w:val="6"/>
    <w:autoRedefine/>
    <w:qFormat/>
    <w:uiPriority w:val="0"/>
    <w:rPr>
      <w:rFonts w:ascii="Times New Roman" w:hAnsi="Times New Roman" w:eastAsia="宋体" w:cs="Times New Roman"/>
      <w:kern w:val="2"/>
      <w:sz w:val="18"/>
      <w:szCs w:val="18"/>
    </w:rPr>
  </w:style>
  <w:style w:type="character" w:customStyle="1" w:styleId="25">
    <w:name w:val="页眉 Char"/>
    <w:basedOn w:val="13"/>
    <w:link w:val="8"/>
    <w:autoRedefine/>
    <w:qFormat/>
    <w:uiPriority w:val="0"/>
    <w:rPr>
      <w:rFonts w:ascii="Times New Roman" w:hAnsi="Times New Roman" w:eastAsia="宋体" w:cs="Times New Roman"/>
      <w:kern w:val="2"/>
      <w:sz w:val="18"/>
      <w:szCs w:val="18"/>
    </w:rPr>
  </w:style>
  <w:style w:type="character" w:customStyle="1" w:styleId="26">
    <w:name w:val="页脚 Char"/>
    <w:basedOn w:val="13"/>
    <w:link w:val="7"/>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tdhb</Company>
  <Pages>8</Pages>
  <Words>4268</Words>
  <Characters>4505</Characters>
  <Lines>38</Lines>
  <Paragraphs>10</Paragraphs>
  <TotalTime>87</TotalTime>
  <ScaleCrop>false</ScaleCrop>
  <LinksUpToDate>false</LinksUpToDate>
  <CharactersWithSpaces>4705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2023-07-18T01:31:00Z</dcterms:created>
  <dc:creator>HoHo</dc:creator>
  <cp:lastModifiedBy>dell</cp:lastModifiedBy>
  <dcterms:modified xsi:type="dcterms:W3CDTF">2025-03-18T05:50:54Z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E9C2F1F71A724A7AA556BCF384055FAF_13</vt:lpwstr>
  </property>
  <property fmtid="{D5CDD505-2E9C-101B-9397-08002B2CF9AE}" pid="4" name="KSOTemplateDocerSaveRecord">
    <vt:lpwstr>eyJoZGlkIjoiODc4YzgzMGIzNmEzNDI0NjYzY2ZhYzY2NWJkYjI0MTcifQ==</vt:lpwstr>
  </property>
</Properties>
</file>