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pPr>
    </w:p>
    <w:p>
      <w:pPr>
        <w:spacing w:line="360" w:lineRule="auto"/>
        <w:jc w:val="center"/>
        <w:rPr>
          <w:rFonts w:ascii="宋体" w:hAnsi="宋体"/>
          <w:b/>
          <w:sz w:val="52"/>
          <w:szCs w:val="52"/>
        </w:rPr>
      </w:pPr>
      <w:r>
        <w:rPr>
          <w:rFonts w:hint="eastAsia" w:ascii="宋体" w:hAnsi="宋体"/>
          <w:b/>
          <w:sz w:val="52"/>
          <w:szCs w:val="52"/>
        </w:rPr>
        <w:t>乐清天达环保有限公司</w:t>
      </w:r>
    </w:p>
    <w:p>
      <w:pPr>
        <w:spacing w:line="360" w:lineRule="auto"/>
        <w:jc w:val="center"/>
        <w:rPr>
          <w:rFonts w:ascii="宋体" w:hAnsi="宋体"/>
          <w:b/>
          <w:sz w:val="52"/>
          <w:szCs w:val="52"/>
        </w:rPr>
      </w:pPr>
      <w:r>
        <w:rPr>
          <w:rFonts w:hint="eastAsia" w:ascii="宋体" w:hAnsi="宋体"/>
          <w:b/>
          <w:sz w:val="52"/>
          <w:szCs w:val="52"/>
          <w:lang w:val="en-US" w:eastAsia="zh-CN"/>
        </w:rPr>
        <w:t>2025-2027年固废</w:t>
      </w:r>
      <w:r>
        <w:rPr>
          <w:rFonts w:hint="eastAsia" w:ascii="宋体" w:hAnsi="宋体"/>
          <w:b/>
          <w:sz w:val="52"/>
          <w:szCs w:val="52"/>
        </w:rPr>
        <w:t>运输装卸服务项目</w:t>
      </w:r>
    </w:p>
    <w:p>
      <w:pPr>
        <w:spacing w:line="360" w:lineRule="auto"/>
      </w:pPr>
    </w:p>
    <w:p>
      <w:pPr>
        <w:spacing w:line="360" w:lineRule="auto"/>
        <w:ind w:firstLine="2880" w:firstLineChars="400"/>
        <w:jc w:val="both"/>
        <w:rPr>
          <w:rFonts w:ascii="黑体" w:eastAsia="黑体"/>
          <w:sz w:val="72"/>
          <w:szCs w:val="72"/>
        </w:rPr>
      </w:pPr>
      <w:r>
        <w:rPr>
          <w:rFonts w:hint="eastAsia" w:ascii="黑体" w:eastAsia="黑体"/>
          <w:sz w:val="72"/>
          <w:szCs w:val="72"/>
        </w:rPr>
        <w:t>技术规范书</w:t>
      </w:r>
    </w:p>
    <w:p>
      <w:pPr>
        <w:spacing w:line="360" w:lineRule="auto"/>
      </w:pPr>
    </w:p>
    <w:p>
      <w:pPr>
        <w:spacing w:line="360" w:lineRule="auto"/>
      </w:pPr>
    </w:p>
    <w:p>
      <w:pPr>
        <w:spacing w:line="360" w:lineRule="auto"/>
      </w:pPr>
    </w:p>
    <w:p>
      <w:pPr>
        <w:spacing w:line="360" w:lineRule="auto"/>
      </w:pPr>
    </w:p>
    <w:p>
      <w:pPr>
        <w:snapToGrid w:val="0"/>
        <w:spacing w:line="360" w:lineRule="auto"/>
        <w:jc w:val="center"/>
        <w:rPr>
          <w:rFonts w:hint="eastAsia" w:hAnsi="宋体"/>
          <w:bCs/>
          <w:sz w:val="36"/>
          <w:szCs w:val="36"/>
        </w:rPr>
      </w:pPr>
      <w:r>
        <w:rPr>
          <w:rFonts w:hint="eastAsia" w:hAnsi="宋体"/>
          <w:bCs/>
          <w:sz w:val="36"/>
          <w:szCs w:val="36"/>
        </w:rPr>
        <w:t>编  制：_____________</w:t>
      </w:r>
    </w:p>
    <w:p>
      <w:pPr>
        <w:snapToGrid w:val="0"/>
        <w:spacing w:line="360" w:lineRule="auto"/>
        <w:jc w:val="center"/>
        <w:rPr>
          <w:rFonts w:hint="eastAsia" w:hAnsi="宋体"/>
          <w:bCs/>
          <w:sz w:val="36"/>
          <w:szCs w:val="36"/>
        </w:rPr>
      </w:pPr>
    </w:p>
    <w:p>
      <w:pPr>
        <w:snapToGrid w:val="0"/>
        <w:spacing w:line="360" w:lineRule="auto"/>
        <w:jc w:val="center"/>
        <w:rPr>
          <w:rFonts w:hint="eastAsia" w:hAnsi="宋体"/>
          <w:bCs/>
          <w:sz w:val="36"/>
          <w:szCs w:val="36"/>
        </w:rPr>
      </w:pPr>
      <w:r>
        <w:rPr>
          <w:rFonts w:hint="eastAsia" w:hAnsi="宋体"/>
          <w:bCs/>
          <w:sz w:val="36"/>
          <w:szCs w:val="36"/>
        </w:rPr>
        <w:t>审  核：_____________</w:t>
      </w:r>
    </w:p>
    <w:p>
      <w:pPr>
        <w:snapToGrid w:val="0"/>
        <w:spacing w:line="360" w:lineRule="auto"/>
        <w:jc w:val="center"/>
        <w:rPr>
          <w:rFonts w:hint="eastAsia" w:hAnsi="宋体"/>
          <w:bCs/>
          <w:sz w:val="36"/>
          <w:szCs w:val="36"/>
        </w:rPr>
      </w:pPr>
    </w:p>
    <w:p>
      <w:pPr>
        <w:snapToGrid w:val="0"/>
        <w:spacing w:line="360" w:lineRule="auto"/>
        <w:jc w:val="center"/>
        <w:rPr>
          <w:rFonts w:hint="eastAsia" w:hAnsi="宋体"/>
          <w:b/>
          <w:bCs/>
          <w:sz w:val="32"/>
        </w:rPr>
      </w:pPr>
      <w:r>
        <w:rPr>
          <w:rFonts w:hint="eastAsia" w:hAnsi="宋体"/>
          <w:bCs/>
          <w:sz w:val="36"/>
          <w:szCs w:val="36"/>
        </w:rPr>
        <w:t>批  准：_____________</w:t>
      </w:r>
    </w:p>
    <w:p>
      <w:pPr>
        <w:spacing w:line="360" w:lineRule="auto"/>
      </w:pPr>
    </w:p>
    <w:p>
      <w:pPr>
        <w:spacing w:line="360" w:lineRule="auto"/>
        <w:rPr>
          <w:rFonts w:hint="default" w:eastAsia="宋体"/>
          <w:lang w:val="en-US" w:eastAsia="zh-CN"/>
        </w:rPr>
      </w:pPr>
      <w:r>
        <w:rPr>
          <w:rFonts w:hint="eastAsia"/>
          <w:lang w:val="en-US" w:eastAsia="zh-CN"/>
        </w:rPr>
        <w:t xml:space="preserve">              </w:t>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jc w:val="center"/>
        <w:rPr>
          <w:rFonts w:ascii="宋体" w:hAnsi="宋体"/>
          <w:b/>
          <w:sz w:val="32"/>
          <w:szCs w:val="32"/>
        </w:rPr>
      </w:pPr>
      <w:r>
        <w:rPr>
          <w:rFonts w:hint="eastAsia" w:ascii="宋体" w:hAnsi="宋体"/>
          <w:b/>
          <w:sz w:val="32"/>
          <w:szCs w:val="32"/>
        </w:rPr>
        <w:t>乐清天达环保有限公司</w:t>
      </w:r>
    </w:p>
    <w:p>
      <w:pPr>
        <w:spacing w:line="360" w:lineRule="auto"/>
        <w:jc w:val="center"/>
        <w:rPr>
          <w:rFonts w:ascii="宋体" w:hAnsi="宋体"/>
          <w:b/>
          <w:sz w:val="32"/>
          <w:szCs w:val="32"/>
        </w:rPr>
        <w:sectPr>
          <w:footerReference r:id="rId3" w:type="default"/>
          <w:pgSz w:w="11906" w:h="16838"/>
          <w:pgMar w:top="1418" w:right="1418" w:bottom="1418" w:left="1418" w:header="851" w:footer="992" w:gutter="0"/>
          <w:pgNumType w:fmt="numberInDash" w:start="1"/>
          <w:cols w:space="720" w:num="1"/>
          <w:docGrid w:type="lines" w:linePitch="312" w:charSpace="0"/>
        </w:sectPr>
      </w:pPr>
      <w:r>
        <w:rPr>
          <w:rFonts w:ascii="宋体" w:hAnsi="宋体"/>
          <w:b/>
          <w:sz w:val="32"/>
          <w:szCs w:val="32"/>
        </w:rPr>
        <w:t>二○二</w:t>
      </w:r>
      <w:r>
        <w:rPr>
          <w:rFonts w:hint="eastAsia" w:ascii="宋体" w:hAnsi="宋体"/>
          <w:b/>
          <w:sz w:val="32"/>
          <w:szCs w:val="32"/>
        </w:rPr>
        <w:t>五</w:t>
      </w:r>
      <w:r>
        <w:rPr>
          <w:rFonts w:ascii="宋体" w:hAnsi="宋体"/>
          <w:b/>
          <w:sz w:val="32"/>
          <w:szCs w:val="32"/>
        </w:rPr>
        <w:t>年</w:t>
      </w:r>
      <w:r>
        <w:rPr>
          <w:rFonts w:hint="eastAsia" w:ascii="宋体" w:hAnsi="宋体"/>
          <w:b/>
          <w:sz w:val="32"/>
          <w:szCs w:val="32"/>
        </w:rPr>
        <w:t>一</w:t>
      </w:r>
      <w:r>
        <w:rPr>
          <w:rFonts w:ascii="宋体" w:hAnsi="宋体"/>
          <w:b/>
          <w:sz w:val="32"/>
          <w:szCs w:val="32"/>
        </w:rPr>
        <w:t xml:space="preserve">月 </w:t>
      </w:r>
    </w:p>
    <w:p>
      <w:pPr>
        <w:pStyle w:val="4"/>
        <w:spacing w:before="0" w:after="0" w:line="360" w:lineRule="auto"/>
        <w:rPr>
          <w:rFonts w:ascii="宋体" w:hAnsi="宋体"/>
          <w:sz w:val="21"/>
          <w:szCs w:val="21"/>
        </w:rPr>
      </w:pPr>
      <w:bookmarkStart w:id="0" w:name="_Toc27380"/>
      <w:r>
        <w:rPr>
          <w:rFonts w:ascii="宋体" w:hAnsi="宋体"/>
          <w:sz w:val="21"/>
          <w:szCs w:val="21"/>
        </w:rPr>
        <w:t>1</w:t>
      </w:r>
      <w:r>
        <w:rPr>
          <w:rFonts w:hint="eastAsia" w:ascii="宋体" w:hAnsi="宋体"/>
          <w:sz w:val="21"/>
          <w:szCs w:val="21"/>
        </w:rPr>
        <w:t>．</w:t>
      </w:r>
      <w:r>
        <w:rPr>
          <w:rFonts w:ascii="宋体" w:hAnsi="宋体"/>
          <w:sz w:val="21"/>
          <w:szCs w:val="21"/>
        </w:rPr>
        <w:t>总则</w:t>
      </w:r>
    </w:p>
    <w:p>
      <w:pPr>
        <w:pStyle w:val="21"/>
        <w:numPr>
          <w:ilvl w:val="1"/>
          <w:numId w:val="1"/>
        </w:numPr>
        <w:ind w:left="0" w:firstLine="420"/>
        <w:rPr>
          <w:sz w:val="21"/>
          <w:szCs w:val="21"/>
        </w:rPr>
      </w:pPr>
      <w:r>
        <w:rPr>
          <w:rFonts w:hint="eastAsia"/>
          <w:sz w:val="21"/>
          <w:szCs w:val="21"/>
        </w:rPr>
        <w:t>本技术规范适用于乐清天达环保有限公司运输装卸服务工作。</w:t>
      </w:r>
    </w:p>
    <w:p>
      <w:pPr>
        <w:pStyle w:val="21"/>
        <w:numPr>
          <w:ilvl w:val="1"/>
          <w:numId w:val="1"/>
        </w:numPr>
        <w:ind w:left="0" w:firstLine="420"/>
        <w:rPr>
          <w:sz w:val="21"/>
          <w:szCs w:val="21"/>
        </w:rPr>
      </w:pPr>
      <w:r>
        <w:rPr>
          <w:rFonts w:hint="eastAsia"/>
          <w:sz w:val="21"/>
          <w:szCs w:val="21"/>
        </w:rPr>
        <w:t>本技术规范仅提出了最低限度的技术要求，并未对一切技术细节做出详尽规定，也未充分引述有关标准和规范的条文。投标人应保证提供符合法律法规、标准和本技术规范要求的优质服务。</w:t>
      </w:r>
    </w:p>
    <w:p>
      <w:pPr>
        <w:pStyle w:val="21"/>
        <w:numPr>
          <w:ilvl w:val="1"/>
          <w:numId w:val="1"/>
        </w:numPr>
        <w:ind w:left="0" w:firstLine="420"/>
        <w:rPr>
          <w:sz w:val="21"/>
          <w:szCs w:val="21"/>
        </w:rPr>
      </w:pPr>
      <w:r>
        <w:rPr>
          <w:rFonts w:hint="eastAsia"/>
          <w:sz w:val="21"/>
          <w:szCs w:val="21"/>
        </w:rPr>
        <w:t>本技术规范所使用的标准如遇与投标人所执行的标准不一致时，按较高标准执行。</w:t>
      </w:r>
    </w:p>
    <w:p>
      <w:pPr>
        <w:pStyle w:val="21"/>
        <w:numPr>
          <w:ilvl w:val="1"/>
          <w:numId w:val="1"/>
        </w:numPr>
        <w:ind w:left="0" w:firstLine="420"/>
        <w:rPr>
          <w:sz w:val="21"/>
          <w:szCs w:val="21"/>
        </w:rPr>
      </w:pPr>
      <w:r>
        <w:rPr>
          <w:rFonts w:hint="eastAsia"/>
          <w:sz w:val="21"/>
          <w:szCs w:val="21"/>
        </w:rPr>
        <w:t>投标人应在投标文件中，对于招标文件进行逐段应答，表明是否接受和同意本招标文件的要求，如：接受和同意招标文件某条款的要求，则在该条款后注明：“理解并承诺完全响应上述条款的要求”；若针对某条款，投标人有特别的建议、方案、技术特点或差异，请在该条款下加以描述和说明，并在“差异表”中列出。</w:t>
      </w:r>
    </w:p>
    <w:p>
      <w:pPr>
        <w:pStyle w:val="21"/>
        <w:numPr>
          <w:ilvl w:val="1"/>
          <w:numId w:val="1"/>
        </w:numPr>
        <w:ind w:left="0" w:firstLine="420"/>
        <w:rPr>
          <w:sz w:val="21"/>
          <w:szCs w:val="21"/>
        </w:rPr>
      </w:pPr>
      <w:r>
        <w:rPr>
          <w:rFonts w:hint="eastAsia"/>
          <w:sz w:val="21"/>
          <w:szCs w:val="21"/>
        </w:rPr>
        <w:t>投标人如对本招标文件有偏差</w:t>
      </w:r>
      <w:r>
        <w:rPr>
          <w:sz w:val="21"/>
          <w:szCs w:val="21"/>
        </w:rPr>
        <w:t>(</w:t>
      </w:r>
      <w:r>
        <w:rPr>
          <w:rFonts w:hint="eastAsia"/>
          <w:sz w:val="21"/>
          <w:szCs w:val="21"/>
        </w:rPr>
        <w:t>无论多少或微小</w:t>
      </w:r>
      <w:r>
        <w:rPr>
          <w:sz w:val="21"/>
          <w:szCs w:val="21"/>
        </w:rPr>
        <w:t>)</w:t>
      </w:r>
      <w:r>
        <w:rPr>
          <w:rFonts w:hint="eastAsia"/>
          <w:sz w:val="21"/>
          <w:szCs w:val="21"/>
        </w:rPr>
        <w:t>都必须清楚地表示在本招标文件的附件“技术差异表”中。否则招标人将认为投标人完全接受和同意本招标文件的要求。</w:t>
      </w:r>
    </w:p>
    <w:p>
      <w:pPr>
        <w:pStyle w:val="4"/>
        <w:spacing w:before="0" w:after="0" w:line="360" w:lineRule="auto"/>
        <w:rPr>
          <w:rFonts w:ascii="宋体" w:hAnsi="宋体"/>
          <w:sz w:val="21"/>
          <w:szCs w:val="21"/>
        </w:rPr>
      </w:pPr>
      <w:r>
        <w:rPr>
          <w:rFonts w:hint="eastAsia" w:ascii="宋体" w:hAnsi="宋体"/>
          <w:sz w:val="21"/>
          <w:szCs w:val="21"/>
        </w:rPr>
        <w:t>2．项目概况</w:t>
      </w:r>
      <w:bookmarkEnd w:id="0"/>
    </w:p>
    <w:p>
      <w:pPr>
        <w:pStyle w:val="4"/>
        <w:spacing w:before="0" w:after="0" w:line="360" w:lineRule="auto"/>
        <w:ind w:firstLine="420" w:firstLineChars="200"/>
        <w:rPr>
          <w:rFonts w:ascii="Times New Roman" w:hAnsi="Times New Roman"/>
          <w:b w:val="0"/>
          <w:bCs w:val="0"/>
          <w:kern w:val="0"/>
          <w:sz w:val="21"/>
          <w:szCs w:val="21"/>
        </w:rPr>
      </w:pPr>
      <w:r>
        <w:rPr>
          <w:rFonts w:hint="eastAsia" w:ascii="Times New Roman" w:hAnsi="Times New Roman"/>
          <w:b w:val="0"/>
          <w:bCs w:val="0"/>
          <w:kern w:val="0"/>
          <w:sz w:val="21"/>
          <w:szCs w:val="21"/>
        </w:rPr>
        <w:t>乐清天达环保有限公司（以下简称：“乐清天达”），位于浙江浙能乐清发电有限责任公司（以下简称：“乐清电厂”）内，乐清天达负责乐清电厂脱硫剂加工供应、固废（含粉煤灰、脱硫石膏、炉底渣、脱硫泥饼、煤泥等）无公害处置及综合利用。</w:t>
      </w:r>
    </w:p>
    <w:p>
      <w:pPr>
        <w:pStyle w:val="4"/>
        <w:spacing w:before="0" w:after="0" w:line="360" w:lineRule="auto"/>
        <w:ind w:firstLine="420" w:firstLineChars="200"/>
        <w:rPr>
          <w:rFonts w:ascii="Times New Roman" w:hAnsi="Times New Roman"/>
          <w:b w:val="0"/>
          <w:bCs w:val="0"/>
          <w:kern w:val="0"/>
          <w:sz w:val="21"/>
          <w:szCs w:val="21"/>
        </w:rPr>
      </w:pPr>
      <w:r>
        <w:rPr>
          <w:rFonts w:hint="eastAsia" w:ascii="Times New Roman" w:hAnsi="Times New Roman"/>
          <w:b w:val="0"/>
          <w:bCs w:val="0"/>
          <w:kern w:val="0"/>
          <w:sz w:val="21"/>
          <w:szCs w:val="21"/>
        </w:rPr>
        <w:t>本次招标范围主要为石灰石装卸和固废运输服务（含装卸）。</w:t>
      </w:r>
    </w:p>
    <w:p>
      <w:pPr>
        <w:pStyle w:val="4"/>
        <w:numPr>
          <w:ilvl w:val="0"/>
          <w:numId w:val="2"/>
        </w:numPr>
        <w:spacing w:before="0" w:after="0" w:line="360" w:lineRule="auto"/>
        <w:rPr>
          <w:rFonts w:ascii="宋体" w:hAnsi="宋体"/>
          <w:sz w:val="21"/>
          <w:szCs w:val="21"/>
        </w:rPr>
      </w:pPr>
      <w:bookmarkStart w:id="1" w:name="_Toc29374371"/>
      <w:bookmarkStart w:id="2" w:name="_Toc28952252"/>
      <w:r>
        <w:rPr>
          <w:rFonts w:hint="eastAsia" w:ascii="宋体" w:hAnsi="宋体"/>
          <w:sz w:val="21"/>
          <w:szCs w:val="21"/>
        </w:rPr>
        <w:t>服务范围</w:t>
      </w:r>
      <w:bookmarkEnd w:id="1"/>
      <w:bookmarkEnd w:id="2"/>
    </w:p>
    <w:p/>
    <w:p>
      <w:pPr>
        <w:spacing w:line="360" w:lineRule="auto"/>
        <w:rPr>
          <w:rFonts w:cs="Malgun Gothic"/>
          <w:szCs w:val="21"/>
        </w:rPr>
      </w:pPr>
      <w:r>
        <w:rPr>
          <w:rFonts w:hint="eastAsia" w:cs="Malgun Gothic"/>
          <w:szCs w:val="21"/>
        </w:rPr>
        <w:t>3.1具体业务范围及要求如下：</w:t>
      </w:r>
    </w:p>
    <w:tbl>
      <w:tblPr>
        <w:tblStyle w:val="15"/>
        <w:tblW w:w="8218" w:type="dxa"/>
        <w:tblInd w:w="108" w:type="dxa"/>
        <w:tblLayout w:type="fixed"/>
        <w:tblCellMar>
          <w:top w:w="0" w:type="dxa"/>
          <w:left w:w="0" w:type="dxa"/>
          <w:bottom w:w="0" w:type="dxa"/>
          <w:right w:w="0" w:type="dxa"/>
        </w:tblCellMar>
      </w:tblPr>
      <w:tblGrid>
        <w:gridCol w:w="718"/>
        <w:gridCol w:w="7500"/>
      </w:tblGrid>
      <w:tr>
        <w:tblPrEx>
          <w:tblLayout w:type="fixed"/>
          <w:tblCellMar>
            <w:top w:w="0" w:type="dxa"/>
            <w:left w:w="0" w:type="dxa"/>
            <w:bottom w:w="0" w:type="dxa"/>
            <w:right w:w="0" w:type="dxa"/>
          </w:tblCellMar>
        </w:tblPrEx>
        <w:trPr>
          <w:trHeight w:val="510"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ind w:right="-575" w:rightChars="-274"/>
              <w:rPr>
                <w:rFonts w:ascii="宋体" w:hAnsi="宋体" w:cs="宋体"/>
                <w:b/>
                <w:bCs/>
                <w:szCs w:val="21"/>
                <w:lang w:bidi="en-US"/>
              </w:rPr>
            </w:pPr>
            <w:r>
              <w:rPr>
                <w:rFonts w:hint="eastAsia" w:ascii="宋体" w:hAnsi="宋体" w:cs="宋体"/>
                <w:b/>
                <w:bCs/>
                <w:szCs w:val="21"/>
                <w:lang w:bidi="en-US"/>
              </w:rPr>
              <w:t>序号</w:t>
            </w:r>
          </w:p>
        </w:tc>
        <w:tc>
          <w:tcPr>
            <w:tcW w:w="75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ind w:right="-575" w:rightChars="-274"/>
              <w:jc w:val="center"/>
              <w:rPr>
                <w:rFonts w:ascii="宋体" w:hAnsi="宋体" w:cs="宋体"/>
                <w:b/>
                <w:bCs/>
                <w:szCs w:val="21"/>
                <w:lang w:bidi="en-US"/>
              </w:rPr>
            </w:pPr>
            <w:r>
              <w:rPr>
                <w:rFonts w:hint="eastAsia" w:ascii="宋体" w:hAnsi="宋体" w:cs="宋体"/>
                <w:b/>
                <w:bCs/>
                <w:szCs w:val="21"/>
                <w:lang w:bidi="en-US"/>
              </w:rPr>
              <w:t>石灰石和固废运输装卸主要服务范围</w:t>
            </w:r>
          </w:p>
        </w:tc>
      </w:tr>
      <w:tr>
        <w:tblPrEx>
          <w:tblLayout w:type="fixed"/>
          <w:tblCellMar>
            <w:top w:w="0" w:type="dxa"/>
            <w:left w:w="0" w:type="dxa"/>
            <w:bottom w:w="0" w:type="dxa"/>
            <w:right w:w="0" w:type="dxa"/>
          </w:tblCellMar>
        </w:tblPrEx>
        <w:trPr>
          <w:trHeight w:val="354"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b/>
                <w:bCs/>
                <w:szCs w:val="21"/>
                <w:lang w:bidi="en-US"/>
              </w:rPr>
            </w:pPr>
            <w:r>
              <w:rPr>
                <w:b/>
                <w:bCs/>
                <w:szCs w:val="21"/>
                <w:lang w:bidi="en-US"/>
              </w:rPr>
              <w:t>1</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b/>
                <w:bCs/>
                <w:szCs w:val="21"/>
              </w:rPr>
            </w:pPr>
            <w:r>
              <w:rPr>
                <w:rFonts w:hint="eastAsia"/>
                <w:b/>
                <w:bCs/>
                <w:szCs w:val="21"/>
                <w:lang w:bidi="en-US"/>
              </w:rPr>
              <w:t>石料和固废运输</w:t>
            </w:r>
          </w:p>
        </w:tc>
      </w:tr>
      <w:tr>
        <w:tblPrEx>
          <w:tblLayout w:type="fixed"/>
          <w:tblCellMar>
            <w:top w:w="0" w:type="dxa"/>
            <w:left w:w="0" w:type="dxa"/>
            <w:bottom w:w="0" w:type="dxa"/>
            <w:right w:w="0" w:type="dxa"/>
          </w:tblCellMar>
        </w:tblPrEx>
        <w:trPr>
          <w:trHeight w:val="123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1.1</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jc w:val="left"/>
              <w:rPr>
                <w:rFonts w:asciiTheme="minorEastAsia" w:hAnsiTheme="minorEastAsia" w:eastAsiaTheme="minorEastAsia" w:cstheme="minorEastAsia"/>
                <w:b/>
                <w:szCs w:val="21"/>
              </w:rPr>
            </w:pPr>
            <w:r>
              <w:rPr>
                <w:rFonts w:hint="eastAsia" w:asciiTheme="minorEastAsia" w:hAnsiTheme="minorEastAsia" w:eastAsiaTheme="minorEastAsia" w:cstheme="minorEastAsia"/>
                <w:b/>
                <w:bCs/>
                <w:szCs w:val="21"/>
                <w:lang w:bidi="en-US"/>
              </w:rPr>
              <w:t>石灰石装卸</w:t>
            </w:r>
            <w:r>
              <w:rPr>
                <w:rFonts w:hint="eastAsia" w:asciiTheme="minorEastAsia" w:hAnsiTheme="minorEastAsia" w:eastAsiaTheme="minorEastAsia" w:cstheme="minorEastAsia"/>
                <w:szCs w:val="21"/>
                <w:lang w:bidi="en-US"/>
              </w:rPr>
              <w:t>：全年约19万吨，每天24小时需要用装载车将石灰石堆场里的石灰石料运送至磨石粉车间的卸料斗内，运输距离约100米。含铲车配合对场地物料整理费、铲车与挖机堆高费。</w:t>
            </w:r>
          </w:p>
        </w:tc>
      </w:tr>
      <w:tr>
        <w:tblPrEx>
          <w:tblLayout w:type="fixed"/>
          <w:tblCellMar>
            <w:top w:w="0" w:type="dxa"/>
            <w:left w:w="0" w:type="dxa"/>
            <w:bottom w:w="0" w:type="dxa"/>
            <w:right w:w="0" w:type="dxa"/>
          </w:tblCellMar>
        </w:tblPrEx>
        <w:trPr>
          <w:trHeight w:val="90"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1.2</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szCs w:val="21"/>
              </w:rPr>
            </w:pPr>
            <w:r>
              <w:rPr>
                <w:rFonts w:hint="eastAsia" w:asciiTheme="minorEastAsia" w:hAnsiTheme="minorEastAsia" w:eastAsiaTheme="minorEastAsia" w:cstheme="minorEastAsia"/>
                <w:b/>
                <w:bCs/>
                <w:szCs w:val="21"/>
                <w:lang w:bidi="en-US"/>
              </w:rPr>
              <w:t>一二三期炉底渣厂内运输：</w:t>
            </w:r>
            <w:r>
              <w:rPr>
                <w:rFonts w:hint="eastAsia" w:asciiTheme="minorEastAsia" w:hAnsiTheme="minorEastAsia" w:eastAsiaTheme="minorEastAsia" w:cstheme="minorEastAsia"/>
                <w:szCs w:val="21"/>
              </w:rPr>
              <w:t>全年约19万吨，每天定期</w:t>
            </w:r>
            <w:r>
              <w:rPr>
                <w:rFonts w:hint="eastAsia" w:asciiTheme="minorEastAsia" w:hAnsiTheme="minorEastAsia" w:eastAsiaTheme="minorEastAsia" w:cstheme="minorEastAsia"/>
                <w:szCs w:val="21"/>
                <w:lang w:bidi="en-US"/>
              </w:rPr>
              <w:t>用密封自卸车将炉底渣运输至海边应急灰场，从一二三期渣仓出发距离约1.5公里。</w:t>
            </w:r>
          </w:p>
        </w:tc>
      </w:tr>
      <w:tr>
        <w:tblPrEx>
          <w:tblLayout w:type="fixed"/>
          <w:tblCellMar>
            <w:top w:w="0" w:type="dxa"/>
            <w:left w:w="0" w:type="dxa"/>
            <w:bottom w:w="0" w:type="dxa"/>
            <w:right w:w="0" w:type="dxa"/>
          </w:tblCellMar>
        </w:tblPrEx>
        <w:trPr>
          <w:trHeight w:val="525"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1.3</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lang w:bidi="en-US"/>
              </w:rPr>
            </w:pPr>
            <w:r>
              <w:rPr>
                <w:rFonts w:hint="eastAsia" w:asciiTheme="minorEastAsia" w:hAnsiTheme="minorEastAsia" w:eastAsiaTheme="minorEastAsia" w:cstheme="minorEastAsia"/>
                <w:b/>
                <w:bCs/>
                <w:szCs w:val="21"/>
                <w:lang w:bidi="en-US"/>
              </w:rPr>
              <w:t>三期干渣厂内运输：</w:t>
            </w:r>
            <w:r>
              <w:rPr>
                <w:rFonts w:hint="eastAsia" w:asciiTheme="minorEastAsia" w:hAnsiTheme="minorEastAsia" w:eastAsiaTheme="minorEastAsia" w:cstheme="minorEastAsia"/>
                <w:szCs w:val="21"/>
                <w:lang w:bidi="en-US"/>
              </w:rPr>
              <w:t>全年约5万吨，</w:t>
            </w:r>
            <w:r>
              <w:rPr>
                <w:rFonts w:hint="eastAsia" w:asciiTheme="minorEastAsia" w:hAnsiTheme="minorEastAsia" w:eastAsiaTheme="minorEastAsia" w:cstheme="minorEastAsia"/>
                <w:szCs w:val="21"/>
              </w:rPr>
              <w:t>每天定期用专用</w:t>
            </w:r>
            <w:r>
              <w:rPr>
                <w:rFonts w:hint="eastAsia" w:asciiTheme="minorEastAsia" w:hAnsiTheme="minorEastAsia" w:eastAsiaTheme="minorEastAsia" w:cstheme="minorEastAsia"/>
                <w:szCs w:val="21"/>
                <w:lang w:bidi="en-US"/>
              </w:rPr>
              <w:t>全封闭自卸车将干渣运输至三期固废堆棚，从三期渣仓出发距离约1.5公里。</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1.4</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lang w:bidi="en-US"/>
              </w:rPr>
            </w:pPr>
            <w:r>
              <w:rPr>
                <w:rFonts w:hint="eastAsia" w:asciiTheme="minorEastAsia" w:hAnsiTheme="minorEastAsia" w:eastAsiaTheme="minorEastAsia" w:cstheme="minorEastAsia"/>
                <w:b/>
                <w:bCs/>
                <w:szCs w:val="21"/>
                <w:lang w:bidi="en-US"/>
              </w:rPr>
              <w:t>调湿灰厂内运输：</w:t>
            </w:r>
            <w:r>
              <w:rPr>
                <w:rFonts w:hint="eastAsia" w:asciiTheme="minorEastAsia" w:hAnsiTheme="minorEastAsia" w:eastAsiaTheme="minorEastAsia" w:cstheme="minorEastAsia"/>
                <w:szCs w:val="21"/>
                <w:lang w:bidi="en-US"/>
              </w:rPr>
              <w:t>全年约5万吨，一二三期灰库至海边应急灰场距离约1.5公里。</w:t>
            </w:r>
            <w:r>
              <w:rPr>
                <w:rFonts w:hint="eastAsia" w:asciiTheme="minorEastAsia" w:hAnsiTheme="minorEastAsia" w:eastAsiaTheme="minorEastAsia" w:cstheme="minorEastAsia"/>
                <w:szCs w:val="21"/>
              </w:rPr>
              <w:t>含贮灰场场地平整、堆高压实等场地铲车、挖机等作业，并做好堆场扬尘覆盖、</w:t>
            </w:r>
            <w:r>
              <w:rPr>
                <w:rFonts w:hint="eastAsia" w:asciiTheme="minorEastAsia" w:hAnsiTheme="minorEastAsia" w:eastAsiaTheme="minorEastAsia" w:cstheme="minorEastAsia"/>
                <w:szCs w:val="21"/>
                <w:lang w:bidi="en-US"/>
              </w:rPr>
              <w:t>灰库地面调湿灰清理</w:t>
            </w:r>
            <w:r>
              <w:rPr>
                <w:rFonts w:hint="eastAsia" w:asciiTheme="minorEastAsia" w:hAnsiTheme="minorEastAsia" w:eastAsiaTheme="minorEastAsia" w:cstheme="minorEastAsia"/>
                <w:szCs w:val="21"/>
              </w:rPr>
              <w:t>和车辆出库清洗工作。</w:t>
            </w:r>
          </w:p>
        </w:tc>
      </w:tr>
      <w:tr>
        <w:tblPrEx>
          <w:tblLayout w:type="fixed"/>
          <w:tblCellMar>
            <w:top w:w="0" w:type="dxa"/>
            <w:left w:w="0" w:type="dxa"/>
            <w:bottom w:w="0" w:type="dxa"/>
            <w:right w:w="0" w:type="dxa"/>
          </w:tblCellMar>
        </w:tblPrEx>
        <w:trPr>
          <w:trHeight w:val="363"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1.5</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szCs w:val="21"/>
              </w:rPr>
            </w:pPr>
            <w:r>
              <w:rPr>
                <w:rFonts w:hint="eastAsia" w:asciiTheme="minorEastAsia" w:hAnsiTheme="minorEastAsia" w:eastAsiaTheme="minorEastAsia" w:cstheme="minorEastAsia"/>
                <w:b/>
                <w:bCs/>
                <w:szCs w:val="21"/>
                <w:lang w:bidi="en-US"/>
              </w:rPr>
              <w:t>脱硫石膏厂内运输：</w:t>
            </w:r>
            <w:r>
              <w:rPr>
                <w:rFonts w:hint="eastAsia" w:asciiTheme="minorEastAsia" w:hAnsiTheme="minorEastAsia" w:eastAsiaTheme="minorEastAsia" w:cstheme="minorEastAsia"/>
                <w:szCs w:val="21"/>
                <w:lang w:bidi="en-US"/>
              </w:rPr>
              <w:t>一二期</w:t>
            </w:r>
            <w:r>
              <w:rPr>
                <w:rFonts w:hint="eastAsia" w:asciiTheme="minorEastAsia" w:hAnsiTheme="minorEastAsia" w:eastAsiaTheme="minorEastAsia" w:cstheme="minorEastAsia"/>
                <w:szCs w:val="21"/>
              </w:rPr>
              <w:t>石膏全年约20万吨，三期石膏全年约8万吨，</w:t>
            </w:r>
            <w:r>
              <w:rPr>
                <w:rFonts w:hint="eastAsia" w:asciiTheme="minorEastAsia" w:hAnsiTheme="minorEastAsia" w:eastAsiaTheme="minorEastAsia" w:cstheme="minorEastAsia"/>
                <w:szCs w:val="21"/>
                <w:lang w:bidi="en-US"/>
              </w:rPr>
              <w:t>从一二三期石膏仓至固废堆棚、海边应急灰场距离约1.5公里。</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1.5</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b/>
                <w:bCs/>
                <w:kern w:val="0"/>
                <w:szCs w:val="21"/>
              </w:rPr>
              <w:t>脱硫泥饼、煤泥</w:t>
            </w:r>
            <w:r>
              <w:rPr>
                <w:rFonts w:hint="eastAsia" w:asciiTheme="minorEastAsia" w:hAnsiTheme="minorEastAsia" w:eastAsiaTheme="minorEastAsia" w:cstheme="minorEastAsia"/>
                <w:b/>
                <w:bCs/>
                <w:szCs w:val="21"/>
                <w:lang w:bidi="en-US"/>
              </w:rPr>
              <w:t>厂内运输</w:t>
            </w:r>
            <w:r>
              <w:rPr>
                <w:rFonts w:hint="eastAsia" w:asciiTheme="minorEastAsia" w:hAnsiTheme="minorEastAsia" w:eastAsiaTheme="minorEastAsia" w:cstheme="minorEastAsia"/>
                <w:b/>
                <w:bCs/>
                <w:szCs w:val="21"/>
              </w:rPr>
              <w:t>：</w:t>
            </w:r>
            <w:r>
              <w:rPr>
                <w:rFonts w:hint="eastAsia" w:asciiTheme="minorEastAsia" w:hAnsiTheme="minorEastAsia" w:eastAsiaTheme="minorEastAsia" w:cstheme="minorEastAsia"/>
                <w:szCs w:val="21"/>
              </w:rPr>
              <w:t>全年总量约0.6万吨，脱硫废水池、煤泥沉淀池至电厂指定地点距离</w:t>
            </w:r>
            <w:r>
              <w:rPr>
                <w:rFonts w:hint="eastAsia" w:asciiTheme="minorEastAsia" w:hAnsiTheme="minorEastAsia" w:eastAsiaTheme="minorEastAsia" w:cstheme="minorEastAsia"/>
                <w:szCs w:val="21"/>
                <w:lang w:bidi="en-US"/>
              </w:rPr>
              <w:t>约</w:t>
            </w:r>
            <w:r>
              <w:rPr>
                <w:rFonts w:hint="eastAsia" w:asciiTheme="minorEastAsia" w:hAnsiTheme="minorEastAsia" w:eastAsiaTheme="minorEastAsia" w:cstheme="minorEastAsia"/>
                <w:szCs w:val="21"/>
              </w:rPr>
              <w:t>3公里。</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rFonts w:ascii="宋体" w:hAnsi="宋体" w:cs="宋体"/>
                <w:szCs w:val="21"/>
                <w:lang w:bidi="en-US"/>
              </w:rPr>
            </w:pPr>
            <w:r>
              <w:rPr>
                <w:rFonts w:hint="eastAsia" w:ascii="宋体" w:hAnsi="宋体" w:cs="宋体"/>
                <w:szCs w:val="21"/>
                <w:lang w:bidi="en-US"/>
              </w:rPr>
              <w:t>1.6</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炉底渣、石膏销售装船</w:t>
            </w:r>
            <w:r>
              <w:rPr>
                <w:rFonts w:hint="eastAsia" w:asciiTheme="minorEastAsia" w:hAnsiTheme="minorEastAsia" w:eastAsiaTheme="minorEastAsia" w:cstheme="minorEastAsia"/>
                <w:b/>
                <w:bCs/>
                <w:szCs w:val="21"/>
                <w:lang w:bidi="en-US"/>
              </w:rPr>
              <w:t>厂内运输</w:t>
            </w:r>
            <w:r>
              <w:rPr>
                <w:rFonts w:hint="eastAsia" w:asciiTheme="minorEastAsia" w:hAnsiTheme="minorEastAsia" w:eastAsiaTheme="minorEastAsia" w:cstheme="minorEastAsia"/>
                <w:b/>
                <w:bCs/>
                <w:szCs w:val="21"/>
              </w:rPr>
              <w:t>：</w:t>
            </w:r>
            <w:r>
              <w:rPr>
                <w:rFonts w:hint="eastAsia" w:asciiTheme="minorEastAsia" w:hAnsiTheme="minorEastAsia" w:eastAsiaTheme="minorEastAsia" w:cstheme="minorEastAsia"/>
                <w:szCs w:val="21"/>
              </w:rPr>
              <w:t>全年总量约22万吨，固废堆棚至综合码头距离</w:t>
            </w:r>
            <w:r>
              <w:rPr>
                <w:rFonts w:hint="eastAsia" w:asciiTheme="minorEastAsia" w:hAnsiTheme="minorEastAsia" w:eastAsiaTheme="minorEastAsia" w:cstheme="minorEastAsia"/>
                <w:szCs w:val="21"/>
                <w:lang w:bidi="en-US"/>
              </w:rPr>
              <w:t>约</w:t>
            </w:r>
            <w:r>
              <w:rPr>
                <w:rFonts w:hint="eastAsia" w:asciiTheme="minorEastAsia" w:hAnsiTheme="minorEastAsia" w:eastAsiaTheme="minorEastAsia" w:cstheme="minorEastAsia"/>
                <w:szCs w:val="21"/>
              </w:rPr>
              <w:t>3公里，三期石膏库至综合码头距离</w:t>
            </w:r>
            <w:r>
              <w:rPr>
                <w:rFonts w:hint="eastAsia" w:asciiTheme="minorEastAsia" w:hAnsiTheme="minorEastAsia" w:eastAsiaTheme="minorEastAsia" w:cstheme="minorEastAsia"/>
                <w:szCs w:val="21"/>
                <w:lang w:bidi="en-US"/>
              </w:rPr>
              <w:t>约</w:t>
            </w:r>
            <w:r>
              <w:rPr>
                <w:rFonts w:hint="eastAsia" w:asciiTheme="minorEastAsia" w:hAnsiTheme="minorEastAsia" w:eastAsiaTheme="minorEastAsia" w:cstheme="minorEastAsia"/>
                <w:szCs w:val="21"/>
              </w:rPr>
              <w:t>3公里。含</w:t>
            </w:r>
            <w:r>
              <w:rPr>
                <w:rFonts w:hint="eastAsia" w:asciiTheme="minorEastAsia" w:hAnsiTheme="minorEastAsia" w:eastAsiaTheme="minorEastAsia" w:cstheme="minorEastAsia"/>
                <w:szCs w:val="21"/>
                <w:lang w:bidi="en-US"/>
              </w:rPr>
              <w:t>海边应急灰场、</w:t>
            </w:r>
            <w:r>
              <w:rPr>
                <w:rFonts w:hint="eastAsia" w:asciiTheme="minorEastAsia" w:hAnsiTheme="minorEastAsia" w:eastAsiaTheme="minorEastAsia" w:cstheme="minorEastAsia"/>
                <w:szCs w:val="21"/>
              </w:rPr>
              <w:t>固废堆棚和石膏库内日常移料、装车作业费、码头铲车短驳铲料、整理费。</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1.7</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应急临时外运：</w:t>
            </w:r>
            <w:r>
              <w:rPr>
                <w:rFonts w:hint="eastAsia" w:asciiTheme="minorEastAsia" w:hAnsiTheme="minorEastAsia" w:eastAsiaTheme="minorEastAsia" w:cstheme="minorEastAsia"/>
                <w:szCs w:val="21"/>
              </w:rPr>
              <w:t>考虑到万吨大船到港区码头装石膏，需要在厂外堆场集港，全年总量约5万吨，石膏库至厂外堆场距离</w:t>
            </w:r>
            <w:r>
              <w:rPr>
                <w:rFonts w:hint="eastAsia" w:asciiTheme="minorEastAsia" w:hAnsiTheme="minorEastAsia" w:eastAsiaTheme="minorEastAsia" w:cstheme="minorEastAsia"/>
                <w:szCs w:val="21"/>
                <w:lang w:bidi="en-US"/>
              </w:rPr>
              <w:t>约</w:t>
            </w:r>
            <w:r>
              <w:rPr>
                <w:rFonts w:hint="eastAsia" w:asciiTheme="minorEastAsia" w:hAnsiTheme="minorEastAsia" w:eastAsiaTheme="minorEastAsia" w:cstheme="minorEastAsia"/>
                <w:szCs w:val="21"/>
              </w:rPr>
              <w:t>3公里。</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b/>
                <w:bCs/>
                <w:szCs w:val="21"/>
              </w:rPr>
            </w:pPr>
            <w:r>
              <w:rPr>
                <w:rFonts w:hint="eastAsia" w:ascii="宋体" w:hAnsi="宋体"/>
                <w:b/>
                <w:bCs/>
                <w:szCs w:val="21"/>
              </w:rPr>
              <w:t>2</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rPr>
            </w:pPr>
            <w:r>
              <w:rPr>
                <w:rFonts w:hint="eastAsia" w:asciiTheme="minorEastAsia" w:hAnsiTheme="minorEastAsia" w:eastAsiaTheme="minorEastAsia" w:cstheme="minorEastAsia"/>
                <w:b/>
                <w:bCs/>
                <w:szCs w:val="21"/>
              </w:rPr>
              <w:t>固废装车、装船</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2.1</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调湿灰、炉底渣、石膏销售装车：</w:t>
            </w:r>
            <w:r>
              <w:rPr>
                <w:rFonts w:hint="eastAsia" w:asciiTheme="minorEastAsia" w:hAnsiTheme="minorEastAsia" w:eastAsiaTheme="minorEastAsia" w:cstheme="minorEastAsia"/>
                <w:szCs w:val="21"/>
              </w:rPr>
              <w:t>全年总量约65万吨（脱硫石膏约36万吨、炉底渣约24万吨、调湿灰约5万吨），三期石膏库、固废堆棚、三期固废堆棚、</w:t>
            </w:r>
            <w:r>
              <w:rPr>
                <w:rFonts w:hint="eastAsia" w:asciiTheme="minorEastAsia" w:hAnsiTheme="minorEastAsia" w:eastAsiaTheme="minorEastAsia" w:cstheme="minorEastAsia"/>
                <w:szCs w:val="21"/>
                <w:lang w:bidi="en-US"/>
              </w:rPr>
              <w:t>海边应急灰场</w:t>
            </w:r>
            <w:r>
              <w:rPr>
                <w:rFonts w:hint="eastAsia" w:asciiTheme="minorEastAsia" w:hAnsiTheme="minorEastAsia" w:eastAsiaTheme="minorEastAsia" w:cstheme="minorEastAsia"/>
                <w:szCs w:val="21"/>
              </w:rPr>
              <w:t>原地装车；包含</w:t>
            </w:r>
            <w:r>
              <w:rPr>
                <w:rFonts w:hint="eastAsia" w:asciiTheme="minorEastAsia" w:hAnsiTheme="minorEastAsia" w:eastAsiaTheme="minorEastAsia" w:cstheme="minorEastAsia"/>
                <w:szCs w:val="21"/>
                <w:lang w:bidi="en-US"/>
              </w:rPr>
              <w:t>海边应急灰场</w:t>
            </w:r>
            <w:r>
              <w:rPr>
                <w:rFonts w:hint="eastAsia" w:asciiTheme="minorEastAsia" w:hAnsiTheme="minorEastAsia" w:eastAsiaTheme="minorEastAsia" w:cstheme="minorEastAsia"/>
                <w:szCs w:val="21"/>
              </w:rPr>
              <w:t>、三期固废堆棚、固废堆棚、三期石膏库内日常移料、场地平整、堆高压实等场地铲车、挖机等作业，并做好堆场扬尘覆盖和车辆出库清洗工作。</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2.2</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炉底渣、石膏吊机装船：</w:t>
            </w:r>
            <w:r>
              <w:rPr>
                <w:rFonts w:hint="eastAsia" w:asciiTheme="minorEastAsia" w:hAnsiTheme="minorEastAsia" w:eastAsiaTheme="minorEastAsia" w:cstheme="minorEastAsia"/>
                <w:szCs w:val="21"/>
              </w:rPr>
              <w:t>全年总量约22万吨，码头吊机装船；包含码头面铲车堆料平整、多余物料清理回运以及码头面清理。</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b/>
                <w:bCs/>
                <w:szCs w:val="21"/>
              </w:rPr>
            </w:pPr>
            <w:r>
              <w:rPr>
                <w:rFonts w:hint="eastAsia" w:ascii="宋体" w:hAnsi="宋体"/>
                <w:b/>
                <w:bCs/>
                <w:szCs w:val="21"/>
              </w:rPr>
              <w:t>3</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大重件物资搬运、吊装：</w:t>
            </w:r>
            <w:r>
              <w:rPr>
                <w:rFonts w:hint="eastAsia" w:asciiTheme="minorEastAsia" w:hAnsiTheme="minorEastAsia" w:eastAsiaTheme="minorEastAsia" w:cstheme="minorEastAsia"/>
                <w:szCs w:val="21"/>
              </w:rPr>
              <w:t>按实际发生计时计费；预计全年叉车20台班、吊机15台班、铲车100台班、挖机100台班。</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4</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rPr>
            </w:pPr>
            <w:r>
              <w:rPr>
                <w:rFonts w:hint="eastAsia" w:asciiTheme="minorEastAsia" w:hAnsiTheme="minorEastAsia" w:eastAsiaTheme="minorEastAsia" w:cstheme="minorEastAsia"/>
                <w:b/>
                <w:bCs/>
                <w:szCs w:val="21"/>
              </w:rPr>
              <w:t>脱硫废水池清理：</w:t>
            </w:r>
            <w:r>
              <w:rPr>
                <w:rFonts w:hint="eastAsia" w:asciiTheme="minorEastAsia" w:hAnsiTheme="minorEastAsia" w:eastAsiaTheme="minorEastAsia" w:cstheme="minorEastAsia"/>
                <w:szCs w:val="21"/>
              </w:rPr>
              <w:t>一年定期清理5次。含挖机清池、装车作业、场地整理费等。</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5</w:t>
            </w:r>
          </w:p>
        </w:tc>
        <w:tc>
          <w:tcPr>
            <w:tcW w:w="7500" w:type="dxa"/>
            <w:tcBorders>
              <w:top w:val="single" w:color="000000" w:sz="4" w:space="0"/>
              <w:left w:val="single" w:color="000000" w:sz="4" w:space="0"/>
              <w:bottom w:val="single" w:color="auto"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rPr>
            </w:pPr>
            <w:r>
              <w:rPr>
                <w:rFonts w:hint="eastAsia" w:asciiTheme="minorEastAsia" w:hAnsiTheme="minorEastAsia" w:eastAsiaTheme="minorEastAsia" w:cstheme="minorEastAsia"/>
                <w:b/>
                <w:bCs/>
                <w:szCs w:val="21"/>
              </w:rPr>
              <w:t>煤泥沉淀池清理：</w:t>
            </w:r>
            <w:r>
              <w:rPr>
                <w:rFonts w:hint="eastAsia" w:asciiTheme="minorEastAsia" w:hAnsiTheme="minorEastAsia" w:eastAsiaTheme="minorEastAsia" w:cstheme="minorEastAsia"/>
                <w:szCs w:val="21"/>
              </w:rPr>
              <w:t>一年定期清理5次。含挖机清池、装车作业、场地整理费等。</w:t>
            </w:r>
          </w:p>
        </w:tc>
      </w:tr>
      <w:tr>
        <w:tblPrEx>
          <w:tblLayout w:type="fixed"/>
          <w:tblCellMar>
            <w:top w:w="0" w:type="dxa"/>
            <w:left w:w="0" w:type="dxa"/>
            <w:bottom w:w="0" w:type="dxa"/>
            <w:right w:w="0" w:type="dxa"/>
          </w:tblCellMar>
        </w:tblPrEx>
        <w:trPr>
          <w:trHeight w:val="470"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6</w:t>
            </w:r>
          </w:p>
        </w:tc>
        <w:tc>
          <w:tcPr>
            <w:tcW w:w="75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b/>
                <w:bCs/>
                <w:szCs w:val="21"/>
              </w:rPr>
              <w:t>固废堆场环保防尘处理：</w:t>
            </w:r>
            <w:r>
              <w:rPr>
                <w:rFonts w:hint="eastAsia" w:asciiTheme="minorEastAsia" w:hAnsiTheme="minorEastAsia" w:eastAsiaTheme="minorEastAsia" w:cstheme="minorEastAsia"/>
                <w:szCs w:val="21"/>
              </w:rPr>
              <w:t>按实际发生面积计费；预计全年总量50000平方米。</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jc w:val="center"/>
              <w:rPr>
                <w:rFonts w:ascii="宋体" w:hAnsi="宋体"/>
                <w:szCs w:val="21"/>
              </w:rPr>
            </w:pPr>
            <w:r>
              <w:rPr>
                <w:rFonts w:hint="eastAsia" w:ascii="宋体" w:hAnsi="宋体"/>
                <w:szCs w:val="21"/>
              </w:rPr>
              <w:t>7</w:t>
            </w:r>
          </w:p>
        </w:tc>
        <w:tc>
          <w:tcPr>
            <w:tcW w:w="75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bCs/>
                <w:szCs w:val="21"/>
              </w:rPr>
            </w:pPr>
            <w:r>
              <w:rPr>
                <w:rFonts w:hint="eastAsia" w:asciiTheme="minorEastAsia" w:hAnsiTheme="minorEastAsia" w:eastAsiaTheme="minorEastAsia" w:cstheme="minorEastAsia"/>
                <w:szCs w:val="21"/>
              </w:rPr>
              <w:t>负责固废运输、装卸现场日常安全文明生产管理工作。</w:t>
            </w:r>
          </w:p>
        </w:tc>
      </w:tr>
      <w:tr>
        <w:tblPrEx>
          <w:tblLayout w:type="fixed"/>
          <w:tblCellMar>
            <w:top w:w="0" w:type="dxa"/>
            <w:left w:w="0" w:type="dxa"/>
            <w:bottom w:w="0" w:type="dxa"/>
            <w:right w:w="0" w:type="dxa"/>
          </w:tblCellMar>
        </w:tblPrEx>
        <w:trPr>
          <w:trHeight w:val="76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szCs w:val="21"/>
              </w:rPr>
            </w:pPr>
            <w:r>
              <w:rPr>
                <w:rFonts w:hint="eastAsia"/>
                <w:szCs w:val="21"/>
              </w:rPr>
              <w:t>8</w:t>
            </w:r>
          </w:p>
        </w:tc>
        <w:tc>
          <w:tcPr>
            <w:tcW w:w="75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服从发标方安排，完成班组建设，根据发标方相关管理制度，建立相应的投标方各项管理制度，并建立各类台帐及时做好记录，于每月底交给</w:t>
            </w:r>
            <w:r>
              <w:rPr>
                <w:rFonts w:hint="eastAsia" w:asciiTheme="minorEastAsia" w:hAnsiTheme="minorEastAsia" w:eastAsiaTheme="minorEastAsia" w:cstheme="minorEastAsia"/>
                <w:szCs w:val="21"/>
                <w:lang w:val="en-US" w:eastAsia="zh-CN"/>
              </w:rPr>
              <w:t>招标方</w:t>
            </w:r>
            <w:r>
              <w:rPr>
                <w:rFonts w:hint="eastAsia" w:asciiTheme="minorEastAsia" w:hAnsiTheme="minorEastAsia" w:eastAsiaTheme="minorEastAsia" w:cstheme="minorEastAsia"/>
                <w:szCs w:val="21"/>
              </w:rPr>
              <w:t>审核。</w:t>
            </w:r>
          </w:p>
        </w:tc>
      </w:tr>
      <w:tr>
        <w:tblPrEx>
          <w:tblLayout w:type="fixed"/>
          <w:tblCellMar>
            <w:top w:w="0" w:type="dxa"/>
            <w:left w:w="0" w:type="dxa"/>
            <w:bottom w:w="0" w:type="dxa"/>
            <w:right w:w="0" w:type="dxa"/>
          </w:tblCellMar>
        </w:tblPrEx>
        <w:trPr>
          <w:trHeight w:val="397" w:hRule="atLeast"/>
        </w:trPr>
        <w:tc>
          <w:tcPr>
            <w:tcW w:w="718"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napToGrid w:val="0"/>
              <w:spacing w:line="360" w:lineRule="auto"/>
              <w:jc w:val="center"/>
              <w:rPr>
                <w:szCs w:val="21"/>
              </w:rPr>
            </w:pPr>
            <w:r>
              <w:rPr>
                <w:rFonts w:hint="eastAsia"/>
                <w:szCs w:val="21"/>
              </w:rPr>
              <w:t>9</w:t>
            </w:r>
          </w:p>
        </w:tc>
        <w:tc>
          <w:tcPr>
            <w:tcW w:w="75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snapToGrid w:val="0"/>
              <w:spacing w:line="360" w:lineRule="auto"/>
              <w:rPr>
                <w:rFonts w:asciiTheme="minorEastAsia" w:hAnsiTheme="minorEastAsia" w:eastAsiaTheme="minorEastAsia" w:cstheme="minorEastAsia"/>
                <w:b/>
                <w:szCs w:val="21"/>
              </w:rPr>
            </w:pPr>
            <w:r>
              <w:rPr>
                <w:rFonts w:hint="eastAsia" w:asciiTheme="minorEastAsia" w:hAnsiTheme="minorEastAsia" w:eastAsiaTheme="minorEastAsia" w:cstheme="minorEastAsia"/>
                <w:szCs w:val="21"/>
              </w:rPr>
              <w:t>完成发标方临时布置的各项工作。</w:t>
            </w:r>
          </w:p>
        </w:tc>
      </w:tr>
    </w:tbl>
    <w:p>
      <w:pPr>
        <w:snapToGrid w:val="0"/>
        <w:spacing w:line="360" w:lineRule="auto"/>
        <w:ind w:firstLine="420" w:firstLineChars="200"/>
        <w:jc w:val="left"/>
        <w:rPr>
          <w:rFonts w:hint="eastAsia" w:ascii="宋体" w:hAnsi="宋体"/>
          <w:szCs w:val="21"/>
        </w:rPr>
      </w:pPr>
      <w:r>
        <w:rPr>
          <w:rFonts w:hint="eastAsia" w:ascii="宋体" w:hAnsi="宋体"/>
          <w:szCs w:val="21"/>
        </w:rPr>
        <w:t>3.2主要运输路线</w:t>
      </w:r>
    </w:p>
    <w:p>
      <w:pPr>
        <w:snapToGrid w:val="0"/>
        <w:spacing w:line="360" w:lineRule="auto"/>
        <w:ind w:firstLine="420" w:firstLineChars="200"/>
        <w:jc w:val="left"/>
        <w:rPr>
          <w:rFonts w:hint="eastAsia" w:ascii="宋体" w:hAnsi="宋体"/>
          <w:szCs w:val="21"/>
        </w:rPr>
      </w:pPr>
      <w:r>
        <w:rPr>
          <w:rFonts w:hint="eastAsia" w:ascii="宋体" w:hAnsi="宋体"/>
          <w:szCs w:val="21"/>
        </w:rPr>
        <w:t>3.2.1 一二期石膏运输路线：一二期地磅（空车过磅）→一二期石膏库→一二期地磅（重车过磅）→安顺路→安达路→沿山大道→港湾路→固废堆棚，距离约1.5公里。</w:t>
      </w:r>
    </w:p>
    <w:p>
      <w:pPr>
        <w:snapToGrid w:val="0"/>
        <w:spacing w:line="360" w:lineRule="auto"/>
        <w:ind w:firstLine="420" w:firstLineChars="200"/>
        <w:jc w:val="left"/>
        <w:rPr>
          <w:rFonts w:hint="eastAsia" w:ascii="宋体" w:hAnsi="宋体"/>
          <w:szCs w:val="21"/>
        </w:rPr>
      </w:pPr>
      <w:r>
        <w:rPr>
          <w:rFonts w:hint="eastAsia" w:ascii="宋体" w:hAnsi="宋体"/>
          <w:szCs w:val="21"/>
        </w:rPr>
        <w:t>3.2.2 三期石膏运输路线：三期地磅（空车过磅）→纬二路→三期石膏仓→纬二路→三期地磅（重车过磅）→纬二路→煤场中路</w:t>
      </w:r>
      <w:bookmarkStart w:id="3" w:name="_Toc29374374"/>
      <w:r>
        <w:rPr>
          <w:rFonts w:hint="eastAsia" w:ascii="宋体" w:hAnsi="宋体"/>
          <w:szCs w:val="21"/>
        </w:rPr>
        <w:t>→无名路→三期固废堆棚，距离约1.5公里。</w:t>
      </w:r>
    </w:p>
    <w:p>
      <w:pPr>
        <w:snapToGrid w:val="0"/>
        <w:spacing w:line="360" w:lineRule="auto"/>
        <w:ind w:firstLine="420" w:firstLineChars="200"/>
        <w:jc w:val="left"/>
        <w:rPr>
          <w:rFonts w:hint="eastAsia" w:ascii="宋体" w:hAnsi="宋体"/>
          <w:szCs w:val="21"/>
        </w:rPr>
      </w:pPr>
      <w:r>
        <w:rPr>
          <w:rFonts w:hint="eastAsia" w:ascii="宋体" w:hAnsi="宋体"/>
          <w:szCs w:val="21"/>
        </w:rPr>
        <w:t>3.2.3 一二期渣仓运输路线：一二期地磅（空车过磅）→安顺路→无名路→一二期渣仓→无名路→安顺路→一二期地磅（重车过磅）→安顺路→希望大道→纬二路→煤场中路→无名路→海边应急灰场，距离约1.5公里。</w:t>
      </w:r>
    </w:p>
    <w:p>
      <w:pPr>
        <w:snapToGrid w:val="0"/>
        <w:spacing w:line="360" w:lineRule="auto"/>
        <w:ind w:firstLine="420" w:firstLineChars="200"/>
        <w:jc w:val="left"/>
        <w:rPr>
          <w:rFonts w:hint="eastAsia" w:ascii="宋体" w:hAnsi="宋体"/>
          <w:szCs w:val="21"/>
        </w:rPr>
      </w:pPr>
      <w:r>
        <w:rPr>
          <w:rFonts w:hint="eastAsia" w:ascii="宋体" w:hAnsi="宋体"/>
          <w:szCs w:val="21"/>
        </w:rPr>
        <w:t>3.2.4三期渣仓运输路线：三期地磅（空车过磅）→纬二路→经二路→三期渣仓→经二路→纬二路→三期地磅（重车过磅）→纬二路→煤场中路→无名路→三期固废堆棚，距离约1.5公里。</w:t>
      </w:r>
    </w:p>
    <w:p>
      <w:pPr>
        <w:snapToGrid w:val="0"/>
        <w:spacing w:line="360" w:lineRule="auto"/>
        <w:ind w:firstLine="420" w:firstLineChars="200"/>
        <w:jc w:val="left"/>
        <w:rPr>
          <w:rFonts w:hint="eastAsia" w:ascii="宋体" w:hAnsi="宋体"/>
          <w:szCs w:val="21"/>
        </w:rPr>
      </w:pPr>
      <w:r>
        <w:rPr>
          <w:rFonts w:hint="eastAsia" w:ascii="宋体" w:hAnsi="宋体"/>
          <w:szCs w:val="21"/>
        </w:rPr>
        <w:t>3.2.5一二期固废堆棚至综合码头运输路线：一二期地磅（空车过磅）→安顺路→安达路→沿山大道→港湾路→固废堆棚→港湾路→沿山大道→安达路→安顺路→一二期地磅（重车过磅）→安顺路→安达路→沿山大道→港湾路→码头栈桥→综合码头，距离约3公里。</w:t>
      </w:r>
    </w:p>
    <w:p>
      <w:pPr>
        <w:snapToGrid w:val="0"/>
        <w:spacing w:line="360" w:lineRule="auto"/>
        <w:ind w:firstLine="420" w:firstLineChars="200"/>
        <w:jc w:val="left"/>
        <w:rPr>
          <w:rFonts w:hint="eastAsia" w:ascii="宋体" w:hAnsi="宋体"/>
          <w:szCs w:val="21"/>
        </w:rPr>
      </w:pPr>
      <w:r>
        <w:rPr>
          <w:rFonts w:hint="eastAsia" w:ascii="宋体" w:hAnsi="宋体"/>
          <w:szCs w:val="21"/>
        </w:rPr>
        <w:t>3.2.6三期石膏仓至综合码头运输路线：三期地磅（空车过磅）→纬二路→三期石膏仓→纬二路→三期地磅（重车过磅）→纬二路→希望大道→安达路→沿山大道→港湾路→码头栈桥→综合码头，距离约3公里。</w:t>
      </w:r>
    </w:p>
    <w:p>
      <w:pPr>
        <w:snapToGrid w:val="0"/>
        <w:spacing w:line="360" w:lineRule="auto"/>
        <w:ind w:firstLine="420" w:firstLineChars="200"/>
        <w:jc w:val="left"/>
        <w:rPr>
          <w:rFonts w:hint="eastAsia" w:ascii="宋体" w:hAnsi="宋体"/>
          <w:szCs w:val="21"/>
        </w:rPr>
      </w:pPr>
      <w:r>
        <w:rPr>
          <w:rFonts w:hint="eastAsia" w:ascii="宋体" w:hAnsi="宋体"/>
          <w:szCs w:val="21"/>
        </w:rPr>
        <w:t>3.2.7调湿灰运输路线：一二期地磅（空车过磅）→一二期灰库→一二期地磅（重车过磅）→安顺路→希望大道→纬二路→煤场中路→无名路→海边应急灰场，距离约1.5公里。</w:t>
      </w:r>
    </w:p>
    <w:p>
      <w:pPr>
        <w:snapToGrid w:val="0"/>
        <w:spacing w:line="360" w:lineRule="auto"/>
        <w:ind w:firstLine="420" w:firstLineChars="200"/>
        <w:jc w:val="left"/>
        <w:rPr>
          <w:rFonts w:hint="eastAsia" w:ascii="宋体" w:hAnsi="宋体"/>
          <w:szCs w:val="21"/>
        </w:rPr>
      </w:pPr>
      <w:r>
        <w:rPr>
          <w:rFonts w:hint="eastAsia" w:ascii="宋体" w:hAnsi="宋体"/>
          <w:szCs w:val="21"/>
        </w:rPr>
        <w:t>3.2.8脱硫泥饼煤泥运输路线：三期地磅（空车过磅）→纬二路→希望大道→清风路→和谐路→脱硫废水池、煤泥沉淀池→和谐路→清风路→希望大道→纬二路→三期地磅（重车过磅）→纬二路→煤场中路→无名路→海边应急灰场，距离约3公里。</w:t>
      </w:r>
    </w:p>
    <w:p>
      <w:pPr>
        <w:snapToGrid w:val="0"/>
        <w:spacing w:line="360" w:lineRule="auto"/>
        <w:ind w:firstLine="420" w:firstLineChars="200"/>
        <w:jc w:val="left"/>
        <w:rPr>
          <w:rFonts w:hint="eastAsia" w:ascii="宋体" w:hAnsi="宋体"/>
          <w:szCs w:val="21"/>
        </w:rPr>
      </w:pPr>
      <w:r>
        <w:rPr>
          <w:rFonts w:hint="eastAsia" w:ascii="宋体" w:hAnsi="宋体"/>
          <w:szCs w:val="21"/>
        </w:rPr>
        <w:t>3.2.9应急临时外运运输路线：固废堆棚→港湾路→沿山大道→安达路→安顺路→希望大道→纬一路→经二路→场外堆场，距离约3公里。</w:t>
      </w:r>
    </w:p>
    <w:p>
      <w:pPr>
        <w:snapToGrid w:val="0"/>
        <w:spacing w:line="360" w:lineRule="auto"/>
        <w:ind w:firstLine="420" w:firstLineChars="200"/>
        <w:jc w:val="left"/>
        <w:rPr>
          <w:rFonts w:hint="default" w:ascii="宋体" w:hAnsi="宋体"/>
          <w:szCs w:val="21"/>
          <w:lang w:val="en-US" w:eastAsia="zh-CN"/>
        </w:rPr>
      </w:pPr>
      <w:r>
        <w:rPr>
          <w:rFonts w:hint="eastAsia" w:ascii="宋体" w:hAnsi="宋体"/>
          <w:szCs w:val="21"/>
          <w:lang w:val="en-US" w:eastAsia="zh-CN"/>
        </w:rPr>
        <w:t>3.2.10 因乐清电厂道路施工导致临时封道，具体车辆行驶路线按招标人通知为准。</w:t>
      </w:r>
    </w:p>
    <w:p>
      <w:pPr>
        <w:rPr>
          <w:rFonts w:ascii="宋体" w:hAnsi="宋体"/>
          <w:szCs w:val="21"/>
        </w:rPr>
      </w:pPr>
      <w:r>
        <w:rPr>
          <w:rFonts w:ascii="宋体" w:hAnsi="宋体"/>
          <w:szCs w:val="21"/>
        </w:rPr>
        <w:t>4</w:t>
      </w:r>
      <w:r>
        <w:rPr>
          <w:rFonts w:hint="eastAsia" w:ascii="宋体" w:hAnsi="宋体"/>
          <w:szCs w:val="21"/>
        </w:rPr>
        <w:t>．工作要求</w:t>
      </w:r>
      <w:bookmarkEnd w:id="3"/>
    </w:p>
    <w:p>
      <w:pPr>
        <w:snapToGrid w:val="0"/>
        <w:spacing w:line="360" w:lineRule="auto"/>
        <w:ind w:firstLine="420" w:firstLineChars="200"/>
        <w:jc w:val="left"/>
        <w:rPr>
          <w:rFonts w:ascii="宋体" w:hAnsi="宋体"/>
          <w:szCs w:val="21"/>
        </w:rPr>
      </w:pPr>
      <w:r>
        <w:rPr>
          <w:rFonts w:ascii="宋体" w:hAnsi="宋体"/>
          <w:szCs w:val="21"/>
        </w:rPr>
        <w:t>4.1</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必须建立健全安全文明生产管理体系</w:t>
      </w:r>
      <w:r>
        <w:rPr>
          <w:rFonts w:ascii="宋体" w:hAnsi="宋体"/>
          <w:szCs w:val="21"/>
        </w:rPr>
        <w:t>,</w:t>
      </w:r>
      <w:r>
        <w:rPr>
          <w:rFonts w:hint="eastAsia" w:ascii="宋体" w:hAnsi="宋体"/>
          <w:szCs w:val="21"/>
        </w:rPr>
        <w:t>对运输的全过程、全方位实行安全文明运输管控。</w:t>
      </w:r>
    </w:p>
    <w:p>
      <w:pPr>
        <w:snapToGrid w:val="0"/>
        <w:spacing w:line="360" w:lineRule="auto"/>
        <w:ind w:firstLine="420" w:firstLineChars="200"/>
        <w:jc w:val="left"/>
        <w:rPr>
          <w:rFonts w:ascii="宋体" w:hAnsi="宋体"/>
          <w:szCs w:val="21"/>
        </w:rPr>
      </w:pPr>
      <w:r>
        <w:rPr>
          <w:rFonts w:ascii="宋体" w:hAnsi="宋体"/>
          <w:szCs w:val="21"/>
        </w:rPr>
        <w:t>4.2</w:t>
      </w:r>
      <w:r>
        <w:rPr>
          <w:rFonts w:hint="eastAsia" w:ascii="宋体" w:hAnsi="宋体"/>
          <w:szCs w:val="21"/>
        </w:rPr>
        <w:t>运输车辆年检合格，并符合国家环保要求；年度车辆保险（包括商业险及交强险）不超期；驾驶员所持驾驶证具备驾驶准驾车型及有效性；运输车辆不超宽、超高、超重，保证装卸及运输全过程安全。</w:t>
      </w:r>
    </w:p>
    <w:p>
      <w:pPr>
        <w:snapToGrid w:val="0"/>
        <w:spacing w:line="360" w:lineRule="auto"/>
        <w:ind w:firstLine="420" w:firstLineChars="200"/>
        <w:jc w:val="left"/>
        <w:rPr>
          <w:rFonts w:ascii="宋体" w:hAnsi="宋体"/>
          <w:szCs w:val="21"/>
        </w:rPr>
      </w:pPr>
      <w:r>
        <w:rPr>
          <w:rFonts w:ascii="宋体" w:hAnsi="宋体"/>
          <w:szCs w:val="21"/>
        </w:rPr>
        <w:t>4.3</w:t>
      </w:r>
      <w:r>
        <w:rPr>
          <w:rFonts w:hint="eastAsia" w:ascii="宋体" w:hAnsi="宋体"/>
          <w:szCs w:val="21"/>
        </w:rPr>
        <w:t>车辆需定期进行维护保养，保证各项性能良好；临时维护需要提前一天通知，并采取措施保证不影响运输。</w:t>
      </w:r>
    </w:p>
    <w:p>
      <w:pPr>
        <w:snapToGrid w:val="0"/>
        <w:spacing w:line="360" w:lineRule="auto"/>
        <w:ind w:firstLine="420" w:firstLineChars="200"/>
        <w:jc w:val="left"/>
        <w:rPr>
          <w:rFonts w:ascii="宋体" w:hAnsi="宋体"/>
          <w:szCs w:val="21"/>
        </w:rPr>
      </w:pPr>
      <w:r>
        <w:rPr>
          <w:rFonts w:ascii="宋体" w:hAnsi="宋体"/>
          <w:szCs w:val="21"/>
        </w:rPr>
        <w:t>4.4</w:t>
      </w:r>
      <w:r>
        <w:rPr>
          <w:rFonts w:hint="eastAsia" w:ascii="宋体" w:hAnsi="宋体"/>
          <w:szCs w:val="21"/>
        </w:rPr>
        <w:t>车辆驾驶员持证上岗，严格按照指定的线路行驶，运输车辆行驶不超载、不超速，不违章。车辆驶离作业区域前须对车辆轮胎车厢全面冲洗</w:t>
      </w:r>
      <w:r>
        <w:rPr>
          <w:rFonts w:hint="eastAsia" w:ascii="宋体" w:hAnsi="宋体"/>
          <w:szCs w:val="21"/>
          <w:lang w:val="en-US" w:eastAsia="zh-CN"/>
        </w:rPr>
        <w:t>并覆盖</w:t>
      </w:r>
      <w:r>
        <w:rPr>
          <w:rFonts w:hint="eastAsia" w:ascii="宋体" w:hAnsi="宋体"/>
          <w:szCs w:val="21"/>
        </w:rPr>
        <w:t>，不得出现扬尘、跑、冒、滴、漏等污染环境现象，不得造成路面污染。</w:t>
      </w:r>
    </w:p>
    <w:p>
      <w:pPr>
        <w:snapToGrid w:val="0"/>
        <w:spacing w:line="360" w:lineRule="auto"/>
        <w:ind w:firstLine="420" w:firstLineChars="200"/>
        <w:jc w:val="left"/>
        <w:rPr>
          <w:rFonts w:ascii="宋体" w:hAnsi="宋体"/>
          <w:szCs w:val="21"/>
        </w:rPr>
      </w:pPr>
      <w:r>
        <w:rPr>
          <w:rFonts w:ascii="宋体" w:hAnsi="宋体"/>
          <w:szCs w:val="21"/>
        </w:rPr>
        <w:t>4.5</w:t>
      </w:r>
      <w:r>
        <w:rPr>
          <w:rFonts w:hint="eastAsia" w:ascii="宋体" w:hAnsi="宋体"/>
          <w:szCs w:val="21"/>
        </w:rPr>
        <w:t>不得酒后驾驶、不得疲劳驾驶，车辆装卸前后进行必要清洗，保证电厂厂区整洁。</w:t>
      </w:r>
    </w:p>
    <w:p>
      <w:pPr>
        <w:snapToGrid w:val="0"/>
        <w:spacing w:line="360" w:lineRule="auto"/>
        <w:ind w:firstLine="420" w:firstLineChars="200"/>
        <w:jc w:val="left"/>
        <w:rPr>
          <w:rFonts w:ascii="宋体" w:hAnsi="宋体"/>
          <w:szCs w:val="21"/>
        </w:rPr>
      </w:pPr>
      <w:r>
        <w:rPr>
          <w:rFonts w:ascii="宋体" w:hAnsi="宋体"/>
          <w:szCs w:val="21"/>
        </w:rPr>
        <w:t>4.6</w:t>
      </w:r>
      <w:r>
        <w:rPr>
          <w:rFonts w:hint="eastAsia" w:ascii="宋体" w:hAnsi="宋体"/>
          <w:szCs w:val="21"/>
        </w:rPr>
        <w:t>运输作业人员在装卸、运输过程中须严格按照作业指导书和操作规范</w:t>
      </w:r>
      <w:r>
        <w:rPr>
          <w:rFonts w:hint="eastAsia" w:ascii="宋体" w:hAnsi="宋体"/>
          <w:szCs w:val="21"/>
          <w:lang w:val="en-US" w:eastAsia="zh-CN"/>
        </w:rPr>
        <w:t>等管理要求</w:t>
      </w:r>
      <w:r>
        <w:rPr>
          <w:rFonts w:hint="eastAsia" w:ascii="宋体" w:hAnsi="宋体"/>
          <w:szCs w:val="21"/>
        </w:rPr>
        <w:t>进行装卸作业，严禁违章作业，作业过程中要做好现场安全管理。</w:t>
      </w:r>
    </w:p>
    <w:p>
      <w:pPr>
        <w:snapToGrid w:val="0"/>
        <w:spacing w:line="360" w:lineRule="auto"/>
        <w:ind w:firstLine="420" w:firstLineChars="200"/>
        <w:jc w:val="left"/>
        <w:rPr>
          <w:rFonts w:ascii="宋体" w:hAnsi="宋体"/>
          <w:szCs w:val="21"/>
        </w:rPr>
      </w:pPr>
      <w:r>
        <w:rPr>
          <w:rFonts w:ascii="宋体" w:hAnsi="宋体"/>
          <w:szCs w:val="21"/>
        </w:rPr>
        <w:t>4.7</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应配备足够的车辆和人员完成运输任务及临时工作任务，保证电厂机组正常运行。</w:t>
      </w:r>
    </w:p>
    <w:p>
      <w:pPr>
        <w:snapToGrid w:val="0"/>
        <w:spacing w:line="360" w:lineRule="auto"/>
        <w:ind w:firstLine="420" w:firstLineChars="200"/>
        <w:jc w:val="left"/>
        <w:rPr>
          <w:rFonts w:ascii="宋体" w:hAnsi="宋体"/>
          <w:szCs w:val="21"/>
        </w:rPr>
      </w:pPr>
      <w:r>
        <w:rPr>
          <w:rFonts w:ascii="宋体" w:hAnsi="宋体"/>
          <w:szCs w:val="21"/>
        </w:rPr>
        <w:t>4.8</w:t>
      </w:r>
      <w:r>
        <w:rPr>
          <w:rFonts w:hint="eastAsia" w:ascii="宋体" w:hAnsi="宋体"/>
          <w:szCs w:val="21"/>
        </w:rPr>
        <w:t>负责应急中转堆场固废有序堆放，根据实际情况及招标</w:t>
      </w:r>
      <w:r>
        <w:rPr>
          <w:rFonts w:hint="eastAsia" w:ascii="宋体" w:hAnsi="宋体"/>
          <w:szCs w:val="21"/>
          <w:lang w:val="en-US" w:eastAsia="zh-CN"/>
        </w:rPr>
        <w:t>方</w:t>
      </w:r>
      <w:r>
        <w:rPr>
          <w:rFonts w:hint="eastAsia" w:ascii="宋体" w:hAnsi="宋体"/>
          <w:szCs w:val="21"/>
        </w:rPr>
        <w:t>要求及时对灰场进行平整及覆盖。</w:t>
      </w:r>
    </w:p>
    <w:p>
      <w:pPr>
        <w:snapToGrid w:val="0"/>
        <w:spacing w:line="360" w:lineRule="auto"/>
        <w:ind w:firstLine="420" w:firstLineChars="200"/>
        <w:jc w:val="left"/>
        <w:rPr>
          <w:rFonts w:ascii="宋体" w:hAnsi="宋体"/>
          <w:szCs w:val="21"/>
        </w:rPr>
      </w:pPr>
      <w:r>
        <w:rPr>
          <w:rFonts w:ascii="宋体" w:hAnsi="宋体"/>
          <w:szCs w:val="21"/>
        </w:rPr>
        <w:t>4.9</w:t>
      </w:r>
      <w:r>
        <w:rPr>
          <w:rFonts w:hint="eastAsia" w:ascii="宋体" w:hAnsi="宋体"/>
          <w:szCs w:val="21"/>
        </w:rPr>
        <w:t>现场负责人员负责车辆合理安排、利用，保证安全、文明、高效作业，确保电厂生产系统运行安全。</w:t>
      </w:r>
    </w:p>
    <w:p>
      <w:pPr>
        <w:snapToGrid w:val="0"/>
        <w:spacing w:line="360" w:lineRule="auto"/>
        <w:ind w:firstLine="420" w:firstLineChars="200"/>
        <w:jc w:val="left"/>
        <w:rPr>
          <w:rFonts w:ascii="宋体" w:hAnsi="宋体"/>
          <w:szCs w:val="21"/>
        </w:rPr>
      </w:pPr>
      <w:r>
        <w:rPr>
          <w:rFonts w:ascii="宋体" w:hAnsi="宋体"/>
          <w:szCs w:val="21"/>
        </w:rPr>
        <w:t>4.10</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必须采用固定的满足本规范要求的运输专用车辆（自带卸料装置、密闭加盖或有覆盖防止扬尘达到环保要求）。干渣运输需采用装有自动防尘覆盖以及全密闭功能自卸车。</w:t>
      </w:r>
    </w:p>
    <w:p>
      <w:pPr>
        <w:snapToGrid w:val="0"/>
        <w:spacing w:line="360" w:lineRule="auto"/>
        <w:ind w:firstLine="420" w:firstLineChars="200"/>
        <w:jc w:val="left"/>
        <w:rPr>
          <w:rFonts w:ascii="宋体" w:hAnsi="宋体"/>
          <w:szCs w:val="21"/>
        </w:rPr>
      </w:pPr>
      <w:r>
        <w:rPr>
          <w:rFonts w:hint="eastAsia" w:ascii="宋体" w:hAnsi="宋体"/>
          <w:szCs w:val="21"/>
        </w:rPr>
        <w:t>4.11</w:t>
      </w:r>
      <w:r>
        <w:rPr>
          <w:rFonts w:hint="eastAsia"/>
          <w:szCs w:val="21"/>
        </w:rPr>
        <w:t>投标方必须具备道路运输资质。</w:t>
      </w:r>
    </w:p>
    <w:p>
      <w:pPr>
        <w:snapToGrid w:val="0"/>
        <w:spacing w:line="360" w:lineRule="auto"/>
        <w:ind w:firstLine="420" w:firstLineChars="200"/>
        <w:jc w:val="left"/>
        <w:rPr>
          <w:rFonts w:ascii="宋体" w:hAnsi="宋体"/>
          <w:szCs w:val="21"/>
        </w:rPr>
      </w:pPr>
      <w:r>
        <w:rPr>
          <w:rFonts w:ascii="宋体" w:hAnsi="宋体"/>
          <w:szCs w:val="21"/>
        </w:rPr>
        <w:t>4.1</w:t>
      </w:r>
      <w:r>
        <w:rPr>
          <w:rFonts w:hint="eastAsia" w:ascii="宋体" w:hAnsi="宋体"/>
          <w:szCs w:val="21"/>
        </w:rPr>
        <w:t>2及时学习和签阅各类文件，开展安全活动及事故隐患排查。</w:t>
      </w:r>
    </w:p>
    <w:p>
      <w:pPr>
        <w:snapToGrid w:val="0"/>
        <w:spacing w:line="360" w:lineRule="auto"/>
        <w:ind w:firstLine="420" w:firstLineChars="200"/>
        <w:jc w:val="left"/>
        <w:rPr>
          <w:rFonts w:hint="eastAsia" w:ascii="宋体" w:hAnsi="宋体"/>
          <w:szCs w:val="21"/>
        </w:rPr>
      </w:pPr>
      <w:r>
        <w:rPr>
          <w:rFonts w:ascii="宋体" w:hAnsi="宋体"/>
          <w:szCs w:val="21"/>
        </w:rPr>
        <w:t>4.1</w:t>
      </w:r>
      <w:r>
        <w:rPr>
          <w:rFonts w:hint="eastAsia" w:ascii="宋体" w:hAnsi="宋体"/>
          <w:szCs w:val="21"/>
        </w:rPr>
        <w:t>3做好管辖区的安全文明生产工作。</w:t>
      </w:r>
    </w:p>
    <w:p>
      <w:pPr>
        <w:snapToGrid w:val="0"/>
        <w:spacing w:line="360" w:lineRule="auto"/>
        <w:ind w:firstLine="420" w:firstLineChars="200"/>
        <w:jc w:val="left"/>
        <w:rPr>
          <w:rFonts w:hint="default" w:ascii="宋体" w:hAnsi="宋体" w:eastAsia="宋体"/>
          <w:szCs w:val="21"/>
          <w:lang w:val="en-US" w:eastAsia="zh-CN"/>
        </w:rPr>
      </w:pPr>
      <w:r>
        <w:rPr>
          <w:rFonts w:hint="eastAsia" w:ascii="宋体" w:hAnsi="宋体"/>
          <w:szCs w:val="21"/>
          <w:lang w:val="en-US" w:eastAsia="zh-CN"/>
        </w:rPr>
        <w:t>4.14 投标方必须按规定足额提取并使用安全措施费用，保障服务期间安全平稳可控。</w:t>
      </w:r>
    </w:p>
    <w:p>
      <w:pPr>
        <w:snapToGrid w:val="0"/>
        <w:spacing w:line="360" w:lineRule="auto"/>
        <w:ind w:firstLine="420" w:firstLineChars="200"/>
        <w:jc w:val="left"/>
        <w:rPr>
          <w:rFonts w:ascii="宋体" w:hAnsi="宋体"/>
        </w:rPr>
      </w:pPr>
      <w:r>
        <w:rPr>
          <w:rFonts w:ascii="宋体" w:hAnsi="宋体"/>
          <w:szCs w:val="21"/>
        </w:rPr>
        <w:t>4.1</w:t>
      </w:r>
      <w:r>
        <w:rPr>
          <w:rFonts w:hint="eastAsia" w:ascii="宋体" w:hAnsi="宋体"/>
          <w:szCs w:val="21"/>
          <w:lang w:val="en-US" w:eastAsia="zh-CN"/>
        </w:rPr>
        <w:t>5</w:t>
      </w:r>
      <w:r>
        <w:rPr>
          <w:rFonts w:hint="eastAsia" w:ascii="宋体" w:hAnsi="宋体"/>
          <w:szCs w:val="21"/>
        </w:rPr>
        <w:t>做好招标人临时交代的其他工作。</w:t>
      </w:r>
    </w:p>
    <w:p>
      <w:pPr>
        <w:pStyle w:val="4"/>
        <w:spacing w:before="0" w:after="0" w:line="360" w:lineRule="auto"/>
        <w:rPr>
          <w:rFonts w:ascii="宋体" w:hAnsi="宋体"/>
          <w:sz w:val="21"/>
          <w:szCs w:val="21"/>
        </w:rPr>
      </w:pPr>
      <w:r>
        <w:rPr>
          <w:rFonts w:ascii="宋体" w:hAnsi="宋体"/>
          <w:sz w:val="21"/>
          <w:szCs w:val="21"/>
        </w:rPr>
        <w:t>5</w:t>
      </w:r>
      <w:r>
        <w:rPr>
          <w:rFonts w:hint="eastAsia" w:ascii="宋体" w:hAnsi="宋体"/>
          <w:sz w:val="21"/>
          <w:szCs w:val="21"/>
        </w:rPr>
        <w:t>．人员及车辆要求</w:t>
      </w:r>
    </w:p>
    <w:p>
      <w:pPr>
        <w:snapToGrid w:val="0"/>
        <w:spacing w:line="360" w:lineRule="auto"/>
        <w:ind w:firstLine="420" w:firstLineChars="200"/>
        <w:jc w:val="left"/>
        <w:rPr>
          <w:rFonts w:ascii="宋体" w:hAnsi="宋体"/>
          <w:szCs w:val="21"/>
        </w:rPr>
      </w:pPr>
      <w:r>
        <w:rPr>
          <w:rFonts w:ascii="宋体" w:hAnsi="宋体"/>
          <w:szCs w:val="21"/>
        </w:rPr>
        <w:t>5.1</w:t>
      </w:r>
      <w:r>
        <w:rPr>
          <w:rFonts w:hint="eastAsia" w:ascii="宋体" w:hAnsi="宋体"/>
          <w:szCs w:val="21"/>
        </w:rPr>
        <w:t>人员要求</w:t>
      </w:r>
      <w:r>
        <w:rPr>
          <w:rFonts w:ascii="宋体" w:hAnsi="宋体"/>
          <w:szCs w:val="21"/>
        </w:rPr>
        <w:t xml:space="preserve"> </w:t>
      </w:r>
    </w:p>
    <w:p>
      <w:pPr>
        <w:snapToGrid w:val="0"/>
        <w:spacing w:line="360" w:lineRule="auto"/>
        <w:ind w:firstLine="420" w:firstLineChars="200"/>
        <w:jc w:val="left"/>
        <w:rPr>
          <w:rFonts w:ascii="宋体" w:hAnsi="宋体"/>
          <w:szCs w:val="21"/>
        </w:rPr>
      </w:pPr>
      <w:r>
        <w:rPr>
          <w:rFonts w:ascii="宋体" w:hAnsi="宋体"/>
          <w:szCs w:val="21"/>
        </w:rPr>
        <w:t>5.1.1</w:t>
      </w:r>
      <w:r>
        <w:rPr>
          <w:rFonts w:hint="eastAsia" w:ascii="宋体" w:hAnsi="宋体"/>
          <w:szCs w:val="21"/>
        </w:rPr>
        <w:t>负责人：必须具备有丰富的生产工作经验的人员担任现场负责人员，现场负责人员具有流畅的信息沟通渠道，负责车辆合理安排、利用，保证安全、文明、高效作业。</w:t>
      </w:r>
    </w:p>
    <w:p>
      <w:pPr>
        <w:snapToGrid w:val="0"/>
        <w:spacing w:line="360" w:lineRule="auto"/>
        <w:ind w:firstLine="420" w:firstLineChars="200"/>
        <w:jc w:val="left"/>
        <w:rPr>
          <w:rFonts w:ascii="宋体" w:hAnsi="宋体"/>
          <w:szCs w:val="21"/>
        </w:rPr>
      </w:pPr>
      <w:r>
        <w:rPr>
          <w:rFonts w:ascii="宋体" w:hAnsi="宋体"/>
          <w:szCs w:val="21"/>
        </w:rPr>
        <w:t>5.1.2</w:t>
      </w:r>
      <w:r>
        <w:rPr>
          <w:rFonts w:hint="eastAsia" w:ascii="宋体" w:hAnsi="宋体"/>
          <w:szCs w:val="21"/>
        </w:rPr>
        <w:t>运输、装卸工作人员要求：</w:t>
      </w:r>
    </w:p>
    <w:p>
      <w:pPr>
        <w:snapToGrid w:val="0"/>
        <w:spacing w:line="360" w:lineRule="auto"/>
        <w:ind w:firstLine="420" w:firstLineChars="200"/>
        <w:jc w:val="left"/>
        <w:rPr>
          <w:rFonts w:ascii="宋体" w:hAnsi="宋体"/>
          <w:szCs w:val="21"/>
        </w:rPr>
      </w:pPr>
      <w:r>
        <w:rPr>
          <w:rFonts w:hint="eastAsia" w:ascii="宋体" w:hAnsi="宋体"/>
          <w:szCs w:val="21"/>
        </w:rPr>
        <w:t>人员年龄必须在男性</w:t>
      </w:r>
      <w:r>
        <w:rPr>
          <w:rFonts w:ascii="宋体" w:hAnsi="宋体"/>
          <w:szCs w:val="21"/>
        </w:rPr>
        <w:t>55</w:t>
      </w:r>
      <w:r>
        <w:rPr>
          <w:rFonts w:hint="eastAsia" w:ascii="宋体" w:hAnsi="宋体"/>
          <w:szCs w:val="21"/>
        </w:rPr>
        <w:t>周岁以下，具备三年以上运输装卸工作经历，所持驾驶证具备驾驶准驾车型及有效性，具有一定的分析处理问题的能力具有团队合作精神和服务意识。</w:t>
      </w:r>
    </w:p>
    <w:p>
      <w:pPr>
        <w:snapToGrid w:val="0"/>
        <w:spacing w:line="360" w:lineRule="auto"/>
        <w:ind w:firstLine="420" w:firstLineChars="200"/>
        <w:jc w:val="left"/>
        <w:rPr>
          <w:rFonts w:ascii="宋体" w:hAnsi="宋体"/>
          <w:szCs w:val="21"/>
        </w:rPr>
      </w:pPr>
      <w:r>
        <w:rPr>
          <w:rFonts w:hint="eastAsia" w:ascii="宋体" w:hAnsi="宋体"/>
          <w:szCs w:val="21"/>
        </w:rPr>
        <w:t>严格按照指定的线路行驶，运输车辆行驶不超载、不超速，不违章。身体健康、遵纪守法、忠于职守、工作严谨。</w:t>
      </w:r>
    </w:p>
    <w:p>
      <w:pPr>
        <w:snapToGrid w:val="0"/>
        <w:spacing w:line="360" w:lineRule="auto"/>
        <w:ind w:firstLine="420" w:firstLineChars="200"/>
        <w:jc w:val="left"/>
        <w:rPr>
          <w:rFonts w:ascii="宋体" w:hAnsi="宋体"/>
          <w:szCs w:val="21"/>
        </w:rPr>
      </w:pPr>
      <w:r>
        <w:rPr>
          <w:rFonts w:ascii="宋体" w:hAnsi="宋体"/>
          <w:szCs w:val="21"/>
        </w:rPr>
        <w:t>5.2</w:t>
      </w:r>
      <w:r>
        <w:rPr>
          <w:rFonts w:hint="eastAsia" w:ascii="宋体" w:hAnsi="宋体"/>
          <w:szCs w:val="21"/>
        </w:rPr>
        <w:t>车辆要求</w:t>
      </w:r>
    </w:p>
    <w:p>
      <w:pPr>
        <w:snapToGrid w:val="0"/>
        <w:spacing w:line="360" w:lineRule="auto"/>
        <w:ind w:firstLine="420" w:firstLineChars="200"/>
        <w:jc w:val="left"/>
        <w:rPr>
          <w:rFonts w:hint="eastAsia" w:ascii="宋体" w:hAnsi="宋体"/>
          <w:szCs w:val="21"/>
        </w:rPr>
      </w:pP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所有车辆必须符合国家环保要求，尾气排放标准符合当地环保部门及乐清天达要求</w:t>
      </w:r>
      <w:r>
        <w:rPr>
          <w:rFonts w:hint="eastAsia" w:ascii="宋体" w:hAnsi="宋体"/>
          <w:szCs w:val="21"/>
          <w:lang w:val="en-US" w:eastAsia="zh-CN"/>
        </w:rPr>
        <w:t>,</w:t>
      </w:r>
      <w:r>
        <w:rPr>
          <w:rFonts w:hint="eastAsia" w:ascii="宋体" w:hAnsi="宋体"/>
          <w:szCs w:val="21"/>
        </w:rPr>
        <w:t>自卸货车须满足新能源或国六及以上排放标准；车辆数量必须满足在特殊能源保供期间每天的运输量。年度车辆保险（包括商业险及交强险）不超期；驾驶员所持驾驶证具备驾驶准驾车型及有效性。【车辆证明材料要求提供行驶证、年检证明和保险证明（车辆交强险和商业险）；车辆如为承运，另提供承运协议】。</w:t>
      </w:r>
    </w:p>
    <w:p>
      <w:pPr>
        <w:tabs>
          <w:tab w:val="left" w:pos="601"/>
        </w:tabs>
        <w:spacing w:line="360" w:lineRule="auto"/>
        <w:ind w:firstLine="420" w:firstLineChars="200"/>
        <w:rPr>
          <w:rFonts w:hint="eastAsia" w:ascii="宋体" w:hAnsi="宋体" w:eastAsia="宋体" w:cs="宋体"/>
          <w:b w:val="0"/>
          <w:bCs w:val="0"/>
          <w:sz w:val="21"/>
          <w:szCs w:val="21"/>
          <w:highlight w:val="none"/>
        </w:rPr>
      </w:pPr>
      <w:r>
        <w:rPr>
          <w:rFonts w:hint="eastAsia" w:ascii="宋体" w:hAnsi="宋体"/>
          <w:szCs w:val="21"/>
          <w:lang w:val="en-US" w:eastAsia="zh-CN"/>
        </w:rPr>
        <w:t>5.3</w:t>
      </w:r>
      <w:r>
        <w:rPr>
          <w:rFonts w:hint="eastAsia" w:ascii="宋体" w:hAnsi="宋体" w:eastAsia="宋体" w:cs="宋体"/>
          <w:b w:val="0"/>
          <w:bCs w:val="0"/>
          <w:sz w:val="21"/>
          <w:szCs w:val="21"/>
          <w:highlight w:val="none"/>
        </w:rPr>
        <w:t>运输作业</w:t>
      </w:r>
      <w:r>
        <w:rPr>
          <w:rFonts w:hint="eastAsia" w:ascii="宋体" w:hAnsi="宋体" w:eastAsia="宋体" w:cs="宋体"/>
          <w:b w:val="0"/>
          <w:bCs w:val="0"/>
          <w:sz w:val="21"/>
          <w:szCs w:val="21"/>
          <w:highlight w:val="none"/>
          <w:lang w:val="en-US" w:eastAsia="zh-CN"/>
        </w:rPr>
        <w:t>场地</w:t>
      </w:r>
      <w:r>
        <w:rPr>
          <w:rFonts w:hint="eastAsia" w:ascii="宋体" w:hAnsi="宋体" w:eastAsia="宋体" w:cs="宋体"/>
          <w:b w:val="0"/>
          <w:bCs w:val="0"/>
          <w:sz w:val="21"/>
          <w:szCs w:val="21"/>
          <w:highlight w:val="none"/>
        </w:rPr>
        <w:t>边界条件：</w:t>
      </w:r>
    </w:p>
    <w:p>
      <w:pPr>
        <w:tabs>
          <w:tab w:val="left" w:pos="601"/>
        </w:tabs>
        <w:spacing w:line="36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1、所有</w:t>
      </w:r>
      <w:r>
        <w:rPr>
          <w:rFonts w:hint="eastAsia" w:ascii="宋体" w:hAnsi="宋体" w:eastAsia="宋体" w:cs="宋体"/>
          <w:b w:val="0"/>
          <w:bCs w:val="0"/>
          <w:sz w:val="21"/>
          <w:szCs w:val="21"/>
          <w:highlight w:val="none"/>
        </w:rPr>
        <w:t>自卸货车作业场地边界条件：渣仓长度</w:t>
      </w:r>
      <w:r>
        <w:rPr>
          <w:rFonts w:hint="eastAsia" w:ascii="宋体" w:hAnsi="宋体" w:eastAsia="宋体" w:cs="宋体"/>
          <w:b w:val="0"/>
          <w:bCs w:val="0"/>
          <w:sz w:val="21"/>
          <w:szCs w:val="21"/>
          <w:highlight w:val="none"/>
          <w:lang w:val="en-US" w:eastAsia="zh-CN"/>
        </w:rPr>
        <w:t>5</w:t>
      </w:r>
      <w:r>
        <w:rPr>
          <w:rFonts w:hint="eastAsia" w:ascii="宋体" w:hAnsi="宋体" w:eastAsia="宋体" w:cs="宋体"/>
          <w:b w:val="0"/>
          <w:bCs w:val="0"/>
          <w:sz w:val="21"/>
          <w:szCs w:val="21"/>
          <w:highlight w:val="none"/>
        </w:rPr>
        <w:t>米，宽度</w:t>
      </w:r>
      <w:r>
        <w:rPr>
          <w:rFonts w:hint="eastAsia" w:ascii="宋体" w:hAnsi="宋体" w:eastAsia="宋体" w:cs="宋体"/>
          <w:b w:val="0"/>
          <w:bCs w:val="0"/>
          <w:sz w:val="21"/>
          <w:szCs w:val="21"/>
          <w:highlight w:val="none"/>
          <w:lang w:val="en-US" w:eastAsia="zh-CN"/>
        </w:rPr>
        <w:t>5.5</w:t>
      </w:r>
      <w:r>
        <w:rPr>
          <w:rFonts w:hint="eastAsia" w:ascii="宋体" w:hAnsi="宋体" w:eastAsia="宋体" w:cs="宋体"/>
          <w:b w:val="0"/>
          <w:bCs w:val="0"/>
          <w:sz w:val="21"/>
          <w:szCs w:val="21"/>
          <w:highlight w:val="none"/>
        </w:rPr>
        <w:t>米。</w:t>
      </w:r>
    </w:p>
    <w:p>
      <w:pPr>
        <w:tabs>
          <w:tab w:val="left" w:pos="601"/>
        </w:tabs>
        <w:spacing w:line="36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2、装载机</w:t>
      </w:r>
      <w:r>
        <w:rPr>
          <w:rFonts w:hint="eastAsia" w:ascii="宋体" w:hAnsi="宋体" w:eastAsia="宋体" w:cs="宋体"/>
          <w:b w:val="0"/>
          <w:bCs w:val="0"/>
          <w:sz w:val="21"/>
          <w:szCs w:val="21"/>
          <w:highlight w:val="none"/>
        </w:rPr>
        <w:t>作业场地边界条件：石膏库墙壁内部有4根立柱，墙壁与立柱之间、立柱与立柱之间相互间距8米。</w:t>
      </w:r>
    </w:p>
    <w:p>
      <w:pPr>
        <w:snapToGrid w:val="0"/>
        <w:spacing w:line="360" w:lineRule="auto"/>
        <w:jc w:val="left"/>
        <w:rPr>
          <w:rFonts w:hint="eastAsia" w:ascii="宋体" w:hAnsi="宋体" w:eastAsia="宋体" w:cs="宋体"/>
          <w:sz w:val="21"/>
          <w:szCs w:val="21"/>
          <w:lang w:val="en-US" w:eastAsia="zh-CN"/>
        </w:rPr>
      </w:pPr>
    </w:p>
    <w:p>
      <w:pPr>
        <w:snapToGrid w:val="0"/>
        <w:spacing w:line="360" w:lineRule="auto"/>
        <w:ind w:firstLine="420" w:firstLineChars="200"/>
        <w:jc w:val="center"/>
        <w:rPr>
          <w:rFonts w:ascii="宋体" w:hAnsi="宋体"/>
          <w:szCs w:val="21"/>
        </w:rPr>
      </w:pPr>
      <w:r>
        <w:rPr>
          <w:rFonts w:hint="eastAsia" w:ascii="宋体" w:hAnsi="宋体"/>
          <w:szCs w:val="21"/>
        </w:rPr>
        <w:t>具体车辆配置要求如下</w:t>
      </w:r>
    </w:p>
    <w:tbl>
      <w:tblPr>
        <w:tblStyle w:val="1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
        <w:gridCol w:w="1545"/>
        <w:gridCol w:w="1575"/>
        <w:gridCol w:w="4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9" w:type="dxa"/>
            <w:vAlign w:val="center"/>
          </w:tcPr>
          <w:p>
            <w:pPr>
              <w:snapToGrid w:val="0"/>
              <w:spacing w:line="360" w:lineRule="auto"/>
              <w:jc w:val="center"/>
              <w:rPr>
                <w:rFonts w:ascii="宋体" w:hAnsi="宋体"/>
                <w:szCs w:val="21"/>
              </w:rPr>
            </w:pPr>
            <w:r>
              <w:rPr>
                <w:rFonts w:hint="eastAsia" w:ascii="宋体" w:hAnsi="宋体"/>
                <w:szCs w:val="21"/>
              </w:rPr>
              <w:t>序号</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车辆规格</w:t>
            </w:r>
          </w:p>
        </w:tc>
        <w:tc>
          <w:tcPr>
            <w:tcW w:w="1575" w:type="dxa"/>
            <w:vAlign w:val="center"/>
          </w:tcPr>
          <w:p>
            <w:pPr>
              <w:snapToGrid w:val="0"/>
              <w:spacing w:line="360" w:lineRule="auto"/>
              <w:jc w:val="center"/>
              <w:rPr>
                <w:rFonts w:ascii="宋体" w:hAnsi="宋体"/>
                <w:szCs w:val="21"/>
              </w:rPr>
            </w:pPr>
            <w:r>
              <w:rPr>
                <w:rFonts w:hint="eastAsia" w:ascii="宋体" w:hAnsi="宋体"/>
                <w:szCs w:val="21"/>
              </w:rPr>
              <w:t>数量（不少于）</w:t>
            </w:r>
          </w:p>
        </w:tc>
        <w:tc>
          <w:tcPr>
            <w:tcW w:w="4237" w:type="dxa"/>
            <w:vAlign w:val="center"/>
          </w:tcPr>
          <w:p>
            <w:pPr>
              <w:snapToGrid w:val="0"/>
              <w:spacing w:line="360" w:lineRule="auto"/>
              <w:ind w:firstLine="420" w:firstLineChars="200"/>
              <w:jc w:val="center"/>
              <w:rPr>
                <w:rFonts w:ascii="宋体" w:hAnsi="宋体"/>
                <w:szCs w:val="21"/>
              </w:rPr>
            </w:pPr>
            <w:r>
              <w:rPr>
                <w:rFonts w:hint="eastAsia" w:ascii="宋体" w:hAnsi="宋体"/>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9" w:hRule="atLeast"/>
        </w:trPr>
        <w:tc>
          <w:tcPr>
            <w:tcW w:w="939" w:type="dxa"/>
            <w:vAlign w:val="center"/>
          </w:tcPr>
          <w:p>
            <w:pPr>
              <w:snapToGrid w:val="0"/>
              <w:spacing w:line="360" w:lineRule="auto"/>
              <w:jc w:val="center"/>
              <w:rPr>
                <w:rFonts w:ascii="宋体" w:hAnsi="宋体"/>
                <w:szCs w:val="21"/>
              </w:rPr>
            </w:pPr>
            <w:r>
              <w:rPr>
                <w:rFonts w:hint="eastAsia" w:ascii="宋体" w:hAnsi="宋体"/>
                <w:szCs w:val="21"/>
              </w:rPr>
              <w:t>1</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自卸车</w:t>
            </w:r>
          </w:p>
        </w:tc>
        <w:tc>
          <w:tcPr>
            <w:tcW w:w="1575" w:type="dxa"/>
            <w:vAlign w:val="center"/>
          </w:tcPr>
          <w:p>
            <w:pPr>
              <w:snapToGrid w:val="0"/>
              <w:spacing w:line="360" w:lineRule="auto"/>
              <w:jc w:val="center"/>
              <w:rPr>
                <w:rFonts w:ascii="宋体" w:hAnsi="宋体"/>
                <w:szCs w:val="21"/>
              </w:rPr>
            </w:pPr>
            <w:r>
              <w:rPr>
                <w:rFonts w:hint="eastAsia" w:ascii="宋体" w:hAnsi="宋体"/>
                <w:szCs w:val="21"/>
                <w:lang w:val="en-US" w:eastAsia="zh-CN"/>
              </w:rPr>
              <w:t>8</w:t>
            </w:r>
            <w:r>
              <w:rPr>
                <w:rFonts w:hint="eastAsia" w:ascii="宋体" w:hAnsi="宋体"/>
                <w:szCs w:val="21"/>
              </w:rPr>
              <w:t>辆</w:t>
            </w:r>
          </w:p>
        </w:tc>
        <w:tc>
          <w:tcPr>
            <w:tcW w:w="4237" w:type="dxa"/>
            <w:vAlign w:val="center"/>
          </w:tcPr>
          <w:p>
            <w:pPr>
              <w:snapToGrid w:val="0"/>
              <w:spacing w:line="360" w:lineRule="auto"/>
              <w:rPr>
                <w:rFonts w:ascii="宋体" w:hAnsi="宋体"/>
                <w:szCs w:val="21"/>
              </w:rPr>
            </w:pPr>
            <w:r>
              <w:rPr>
                <w:rFonts w:hint="eastAsia" w:ascii="宋体" w:hAnsi="宋体"/>
                <w:szCs w:val="21"/>
              </w:rPr>
              <w:t>必须满足车辆作业场地边界条件清洁运输，国六及以上排放标准，自卸车装有自动防尘覆盖功能以及良好的防渣水滴漏措施。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9" w:type="dxa"/>
            <w:vAlign w:val="center"/>
          </w:tcPr>
          <w:p>
            <w:pPr>
              <w:snapToGrid w:val="0"/>
              <w:spacing w:line="360" w:lineRule="auto"/>
              <w:jc w:val="center"/>
              <w:rPr>
                <w:rFonts w:ascii="宋体" w:hAnsi="宋体"/>
                <w:szCs w:val="21"/>
              </w:rPr>
            </w:pPr>
            <w:r>
              <w:rPr>
                <w:rFonts w:hint="eastAsia" w:ascii="宋体" w:hAnsi="宋体"/>
                <w:szCs w:val="21"/>
              </w:rPr>
              <w:t>2</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全密闭自卸车</w:t>
            </w:r>
          </w:p>
        </w:tc>
        <w:tc>
          <w:tcPr>
            <w:tcW w:w="1575" w:type="dxa"/>
            <w:vAlign w:val="center"/>
          </w:tcPr>
          <w:p>
            <w:pPr>
              <w:snapToGrid w:val="0"/>
              <w:spacing w:line="360" w:lineRule="auto"/>
              <w:jc w:val="center"/>
              <w:rPr>
                <w:rFonts w:ascii="宋体" w:hAnsi="宋体"/>
                <w:szCs w:val="21"/>
              </w:rPr>
            </w:pPr>
            <w:r>
              <w:rPr>
                <w:rFonts w:hint="eastAsia" w:ascii="宋体" w:hAnsi="宋体"/>
                <w:szCs w:val="21"/>
              </w:rPr>
              <w:t>2辆</w:t>
            </w:r>
          </w:p>
        </w:tc>
        <w:tc>
          <w:tcPr>
            <w:tcW w:w="4237" w:type="dxa"/>
            <w:vAlign w:val="center"/>
          </w:tcPr>
          <w:p>
            <w:pPr>
              <w:snapToGrid w:val="0"/>
              <w:spacing w:line="360" w:lineRule="auto"/>
              <w:rPr>
                <w:rFonts w:ascii="宋体" w:hAnsi="宋体"/>
                <w:szCs w:val="21"/>
              </w:rPr>
            </w:pPr>
            <w:r>
              <w:rPr>
                <w:rFonts w:hint="eastAsia" w:ascii="宋体" w:hAnsi="宋体"/>
                <w:szCs w:val="21"/>
              </w:rPr>
              <w:t>必须满足车辆作业场地边界条件清洁运输，国六及以上排放标准，自卸车装有自动防尘覆盖以及全密闭功能。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9" w:type="dxa"/>
            <w:vAlign w:val="center"/>
          </w:tcPr>
          <w:p>
            <w:pPr>
              <w:snapToGrid w:val="0"/>
              <w:spacing w:line="360" w:lineRule="auto"/>
              <w:jc w:val="center"/>
              <w:rPr>
                <w:rFonts w:ascii="宋体" w:hAnsi="宋体"/>
                <w:szCs w:val="21"/>
              </w:rPr>
            </w:pPr>
            <w:r>
              <w:rPr>
                <w:rFonts w:hint="eastAsia" w:ascii="宋体" w:hAnsi="宋体"/>
                <w:szCs w:val="21"/>
              </w:rPr>
              <w:t>3</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铲车</w:t>
            </w:r>
          </w:p>
        </w:tc>
        <w:tc>
          <w:tcPr>
            <w:tcW w:w="1575" w:type="dxa"/>
            <w:vAlign w:val="center"/>
          </w:tcPr>
          <w:p>
            <w:pPr>
              <w:snapToGrid w:val="0"/>
              <w:spacing w:line="360" w:lineRule="auto"/>
              <w:jc w:val="center"/>
              <w:rPr>
                <w:rFonts w:ascii="宋体" w:hAnsi="宋体"/>
                <w:szCs w:val="21"/>
              </w:rPr>
            </w:pPr>
            <w:r>
              <w:rPr>
                <w:rFonts w:hint="eastAsia" w:ascii="宋体" w:hAnsi="宋体"/>
                <w:szCs w:val="21"/>
              </w:rPr>
              <w:t>5辆</w:t>
            </w:r>
          </w:p>
        </w:tc>
        <w:tc>
          <w:tcPr>
            <w:tcW w:w="4237" w:type="dxa"/>
            <w:vAlign w:val="center"/>
          </w:tcPr>
          <w:p>
            <w:pPr>
              <w:snapToGrid w:val="0"/>
              <w:spacing w:line="360" w:lineRule="auto"/>
              <w:rPr>
                <w:rFonts w:ascii="宋体" w:hAnsi="宋体"/>
                <w:szCs w:val="21"/>
              </w:rPr>
            </w:pPr>
            <w:r>
              <w:rPr>
                <w:rFonts w:hint="eastAsia" w:ascii="宋体" w:hAnsi="宋体"/>
                <w:szCs w:val="21"/>
              </w:rPr>
              <w:t>必须满足车辆作业场地边界条件。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9" w:type="dxa"/>
            <w:vAlign w:val="center"/>
          </w:tcPr>
          <w:p>
            <w:pPr>
              <w:snapToGrid w:val="0"/>
              <w:spacing w:line="360" w:lineRule="auto"/>
              <w:jc w:val="center"/>
              <w:rPr>
                <w:rFonts w:ascii="宋体" w:hAnsi="宋体"/>
                <w:szCs w:val="21"/>
              </w:rPr>
            </w:pPr>
            <w:r>
              <w:rPr>
                <w:rFonts w:hint="eastAsia" w:ascii="宋体" w:hAnsi="宋体"/>
                <w:szCs w:val="21"/>
              </w:rPr>
              <w:t>4</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码头</w:t>
            </w:r>
            <w:r>
              <w:rPr>
                <w:rFonts w:hint="eastAsia" w:ascii="宋体" w:hAnsi="宋体"/>
                <w:szCs w:val="21"/>
                <w:lang w:val="en-US" w:eastAsia="zh-CN"/>
              </w:rPr>
              <w:t>轮胎式</w:t>
            </w:r>
            <w:r>
              <w:rPr>
                <w:rFonts w:hint="eastAsia" w:ascii="宋体" w:hAnsi="宋体"/>
                <w:szCs w:val="21"/>
              </w:rPr>
              <w:t>吊机</w:t>
            </w:r>
          </w:p>
        </w:tc>
        <w:tc>
          <w:tcPr>
            <w:tcW w:w="1575" w:type="dxa"/>
            <w:vAlign w:val="center"/>
          </w:tcPr>
          <w:p>
            <w:pPr>
              <w:snapToGrid w:val="0"/>
              <w:spacing w:line="360" w:lineRule="auto"/>
              <w:jc w:val="center"/>
              <w:rPr>
                <w:rFonts w:ascii="宋体" w:hAnsi="宋体"/>
                <w:szCs w:val="21"/>
              </w:rPr>
            </w:pPr>
            <w:r>
              <w:rPr>
                <w:rFonts w:hint="eastAsia" w:ascii="宋体" w:hAnsi="宋体"/>
                <w:szCs w:val="21"/>
              </w:rPr>
              <w:t>2台</w:t>
            </w:r>
          </w:p>
        </w:tc>
        <w:tc>
          <w:tcPr>
            <w:tcW w:w="4237" w:type="dxa"/>
            <w:vAlign w:val="center"/>
          </w:tcPr>
          <w:p>
            <w:pPr>
              <w:snapToGrid w:val="0"/>
              <w:spacing w:line="360" w:lineRule="auto"/>
              <w:rPr>
                <w:rFonts w:ascii="宋体" w:hAnsi="宋体"/>
                <w:szCs w:val="21"/>
              </w:rPr>
            </w:pPr>
            <w:r>
              <w:rPr>
                <w:rFonts w:hint="eastAsia" w:ascii="宋体" w:hAnsi="宋体"/>
                <w:szCs w:val="21"/>
              </w:rPr>
              <w:t>自有或租赁</w:t>
            </w:r>
            <w:r>
              <w:rPr>
                <w:rFonts w:hint="eastAsia" w:ascii="宋体" w:hAnsi="宋体"/>
                <w:szCs w:val="21"/>
                <w:lang w:eastAsia="zh-CN"/>
              </w:rPr>
              <w:t>，</w:t>
            </w:r>
            <w:r>
              <w:rPr>
                <w:rFonts w:hint="eastAsia" w:ascii="宋体" w:hAnsi="宋体"/>
                <w:szCs w:val="21"/>
                <w:lang w:val="en-US" w:eastAsia="zh-CN"/>
              </w:rPr>
              <w:t>额定起重量10吨及以上</w:t>
            </w:r>
            <w:r>
              <w:rPr>
                <w:rFonts w:hint="eastAsia"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9" w:type="dxa"/>
            <w:vAlign w:val="center"/>
          </w:tcPr>
          <w:p>
            <w:pPr>
              <w:snapToGrid w:val="0"/>
              <w:spacing w:line="360" w:lineRule="auto"/>
              <w:jc w:val="center"/>
              <w:rPr>
                <w:rFonts w:ascii="宋体" w:hAnsi="宋体"/>
                <w:szCs w:val="21"/>
              </w:rPr>
            </w:pPr>
            <w:r>
              <w:rPr>
                <w:rFonts w:hint="eastAsia" w:ascii="宋体" w:hAnsi="宋体"/>
                <w:szCs w:val="21"/>
              </w:rPr>
              <w:t>5</w:t>
            </w:r>
          </w:p>
        </w:tc>
        <w:tc>
          <w:tcPr>
            <w:tcW w:w="1545" w:type="dxa"/>
            <w:vAlign w:val="center"/>
          </w:tcPr>
          <w:p>
            <w:pPr>
              <w:snapToGrid w:val="0"/>
              <w:spacing w:line="360" w:lineRule="auto"/>
              <w:jc w:val="center"/>
              <w:rPr>
                <w:rFonts w:ascii="宋体" w:hAnsi="宋体"/>
                <w:szCs w:val="21"/>
              </w:rPr>
            </w:pPr>
            <w:r>
              <w:rPr>
                <w:rFonts w:hint="eastAsia" w:ascii="宋体" w:hAnsi="宋体"/>
                <w:szCs w:val="21"/>
              </w:rPr>
              <w:t>履带式挖掘机</w:t>
            </w:r>
          </w:p>
        </w:tc>
        <w:tc>
          <w:tcPr>
            <w:tcW w:w="1575" w:type="dxa"/>
            <w:vAlign w:val="center"/>
          </w:tcPr>
          <w:p>
            <w:pPr>
              <w:snapToGrid w:val="0"/>
              <w:spacing w:line="360" w:lineRule="auto"/>
              <w:jc w:val="center"/>
              <w:rPr>
                <w:rFonts w:ascii="宋体" w:hAnsi="宋体"/>
                <w:szCs w:val="21"/>
              </w:rPr>
            </w:pPr>
            <w:r>
              <w:rPr>
                <w:rFonts w:hint="eastAsia" w:ascii="宋体" w:hAnsi="宋体"/>
                <w:szCs w:val="21"/>
              </w:rPr>
              <w:t>1辆</w:t>
            </w:r>
          </w:p>
        </w:tc>
        <w:tc>
          <w:tcPr>
            <w:tcW w:w="4237" w:type="dxa"/>
            <w:vAlign w:val="center"/>
          </w:tcPr>
          <w:p>
            <w:pPr>
              <w:snapToGrid w:val="0"/>
              <w:spacing w:line="360" w:lineRule="auto"/>
              <w:rPr>
                <w:rFonts w:ascii="宋体" w:hAnsi="宋体"/>
                <w:szCs w:val="21"/>
              </w:rPr>
            </w:pPr>
            <w:r>
              <w:rPr>
                <w:rFonts w:hint="eastAsia" w:ascii="宋体" w:hAnsi="宋体"/>
                <w:szCs w:val="21"/>
              </w:rPr>
              <w:t>自有或租赁。</w:t>
            </w:r>
          </w:p>
        </w:tc>
      </w:tr>
    </w:tbl>
    <w:p>
      <w:pPr>
        <w:pStyle w:val="4"/>
        <w:spacing w:before="0" w:after="0" w:line="360" w:lineRule="auto"/>
        <w:rPr>
          <w:rFonts w:ascii="宋体" w:hAnsi="宋体"/>
          <w:sz w:val="21"/>
          <w:szCs w:val="21"/>
        </w:rPr>
      </w:pPr>
      <w:bookmarkStart w:id="4" w:name="_Toc29374382"/>
      <w:r>
        <w:rPr>
          <w:rFonts w:ascii="宋体" w:hAnsi="宋体"/>
          <w:sz w:val="21"/>
          <w:szCs w:val="21"/>
        </w:rPr>
        <w:t>6</w:t>
      </w:r>
      <w:r>
        <w:rPr>
          <w:rFonts w:hint="eastAsia" w:ascii="宋体" w:hAnsi="宋体"/>
          <w:sz w:val="21"/>
          <w:szCs w:val="21"/>
        </w:rPr>
        <w:t>．招标人的权利和义务</w:t>
      </w:r>
      <w:bookmarkEnd w:id="4"/>
    </w:p>
    <w:p>
      <w:pPr>
        <w:snapToGrid w:val="0"/>
        <w:spacing w:line="360" w:lineRule="auto"/>
        <w:ind w:firstLine="420" w:firstLineChars="200"/>
        <w:jc w:val="left"/>
        <w:rPr>
          <w:rFonts w:ascii="宋体" w:hAnsi="宋体"/>
          <w:szCs w:val="21"/>
        </w:rPr>
      </w:pPr>
      <w:r>
        <w:rPr>
          <w:rFonts w:ascii="宋体" w:hAnsi="宋体"/>
          <w:szCs w:val="21"/>
        </w:rPr>
        <w:t>6.1</w:t>
      </w:r>
      <w:r>
        <w:rPr>
          <w:rFonts w:hint="eastAsia" w:ascii="宋体" w:hAnsi="宋体"/>
          <w:szCs w:val="21"/>
        </w:rPr>
        <w:t>有权将投标</w:t>
      </w:r>
      <w:r>
        <w:rPr>
          <w:rFonts w:hint="eastAsia" w:ascii="宋体" w:hAnsi="宋体"/>
          <w:szCs w:val="21"/>
          <w:lang w:val="en-US" w:eastAsia="zh-CN"/>
        </w:rPr>
        <w:t>方</w:t>
      </w:r>
      <w:r>
        <w:rPr>
          <w:rFonts w:hint="eastAsia" w:ascii="宋体" w:hAnsi="宋体"/>
          <w:szCs w:val="21"/>
        </w:rPr>
        <w:t>以班组的形式纳入</w:t>
      </w:r>
      <w:r>
        <w:rPr>
          <w:rFonts w:hint="eastAsia" w:ascii="宋体" w:hAnsi="宋体"/>
          <w:szCs w:val="21"/>
          <w:lang w:val="en-US" w:eastAsia="zh-CN"/>
        </w:rPr>
        <w:t>招标方</w:t>
      </w:r>
      <w:r>
        <w:rPr>
          <w:rFonts w:hint="eastAsia" w:ascii="宋体" w:hAnsi="宋体"/>
          <w:szCs w:val="21"/>
        </w:rPr>
        <w:t>管理流程进行管理，监督投标</w:t>
      </w:r>
      <w:r>
        <w:rPr>
          <w:rFonts w:hint="eastAsia" w:ascii="宋体" w:hAnsi="宋体"/>
          <w:szCs w:val="21"/>
          <w:lang w:val="en-US" w:eastAsia="zh-CN"/>
        </w:rPr>
        <w:t>方</w:t>
      </w:r>
      <w:r>
        <w:rPr>
          <w:rFonts w:hint="eastAsia" w:ascii="宋体" w:hAnsi="宋体"/>
          <w:szCs w:val="21"/>
        </w:rPr>
        <w:t>人员变动及管理组织机构的变动。</w:t>
      </w:r>
    </w:p>
    <w:p>
      <w:pPr>
        <w:snapToGrid w:val="0"/>
        <w:spacing w:line="360" w:lineRule="auto"/>
        <w:ind w:firstLine="420" w:firstLineChars="200"/>
        <w:jc w:val="left"/>
        <w:rPr>
          <w:rFonts w:ascii="宋体" w:hAnsi="宋体"/>
          <w:szCs w:val="21"/>
        </w:rPr>
      </w:pPr>
      <w:r>
        <w:rPr>
          <w:rFonts w:ascii="宋体" w:hAnsi="宋体"/>
          <w:szCs w:val="21"/>
        </w:rPr>
        <w:t>6.2</w:t>
      </w:r>
      <w:r>
        <w:rPr>
          <w:rFonts w:hint="eastAsia" w:ascii="宋体" w:hAnsi="宋体"/>
          <w:szCs w:val="21"/>
        </w:rPr>
        <w:t>监督和检查合同范围内投标</w:t>
      </w:r>
      <w:r>
        <w:rPr>
          <w:rFonts w:hint="eastAsia" w:ascii="宋体" w:hAnsi="宋体"/>
          <w:szCs w:val="21"/>
          <w:lang w:val="en-US" w:eastAsia="zh-CN"/>
        </w:rPr>
        <w:t>方</w:t>
      </w:r>
      <w:r>
        <w:rPr>
          <w:rFonts w:hint="eastAsia" w:ascii="宋体" w:hAnsi="宋体"/>
          <w:szCs w:val="21"/>
        </w:rPr>
        <w:t>运行的管理工作，负责督促投标人履行合同义务。</w:t>
      </w:r>
    </w:p>
    <w:p>
      <w:pPr>
        <w:snapToGrid w:val="0"/>
        <w:spacing w:line="360" w:lineRule="auto"/>
        <w:ind w:firstLine="420" w:firstLineChars="200"/>
        <w:jc w:val="left"/>
        <w:rPr>
          <w:rFonts w:ascii="宋体" w:hAnsi="宋体"/>
          <w:szCs w:val="21"/>
        </w:rPr>
      </w:pPr>
      <w:r>
        <w:rPr>
          <w:rFonts w:ascii="宋体" w:hAnsi="宋体"/>
          <w:szCs w:val="21"/>
        </w:rPr>
        <w:t>6.3</w:t>
      </w:r>
      <w:r>
        <w:rPr>
          <w:rFonts w:hint="eastAsia" w:ascii="宋体" w:hAnsi="宋体"/>
          <w:szCs w:val="21"/>
        </w:rPr>
        <w:t>向投标</w:t>
      </w:r>
      <w:r>
        <w:rPr>
          <w:rFonts w:hint="eastAsia" w:ascii="宋体" w:hAnsi="宋体"/>
          <w:szCs w:val="21"/>
          <w:lang w:val="en-US" w:eastAsia="zh-CN"/>
        </w:rPr>
        <w:t>方</w:t>
      </w:r>
      <w:r>
        <w:rPr>
          <w:rFonts w:hint="eastAsia" w:ascii="宋体" w:hAnsi="宋体"/>
          <w:szCs w:val="21"/>
        </w:rPr>
        <w:t>及时提供管理的相关制度、资料等。</w:t>
      </w:r>
    </w:p>
    <w:p>
      <w:pPr>
        <w:snapToGrid w:val="0"/>
        <w:spacing w:line="360" w:lineRule="auto"/>
        <w:ind w:firstLine="420" w:firstLineChars="200"/>
        <w:jc w:val="left"/>
        <w:rPr>
          <w:rFonts w:ascii="宋体" w:hAnsi="宋体"/>
          <w:szCs w:val="21"/>
        </w:rPr>
      </w:pPr>
      <w:r>
        <w:rPr>
          <w:rFonts w:ascii="宋体" w:hAnsi="宋体"/>
          <w:szCs w:val="21"/>
        </w:rPr>
        <w:t>6.4</w:t>
      </w:r>
      <w:r>
        <w:rPr>
          <w:rFonts w:hint="eastAsia" w:ascii="宋体" w:hAnsi="宋体"/>
          <w:szCs w:val="21"/>
        </w:rPr>
        <w:t>本约定的工作范围以外的事项，</w:t>
      </w:r>
      <w:r>
        <w:rPr>
          <w:rFonts w:hint="eastAsia" w:ascii="宋体" w:hAnsi="宋体"/>
          <w:szCs w:val="21"/>
          <w:lang w:val="en-US" w:eastAsia="zh-CN"/>
        </w:rPr>
        <w:t>招标方</w:t>
      </w:r>
      <w:r>
        <w:rPr>
          <w:rFonts w:hint="eastAsia" w:ascii="宋体" w:hAnsi="宋体"/>
          <w:szCs w:val="21"/>
        </w:rPr>
        <w:t>有权以联系单的形式另行委托投标</w:t>
      </w:r>
      <w:r>
        <w:rPr>
          <w:rFonts w:hint="eastAsia" w:ascii="宋体" w:hAnsi="宋体"/>
          <w:szCs w:val="21"/>
          <w:lang w:val="en-US" w:eastAsia="zh-CN"/>
        </w:rPr>
        <w:t>方</w:t>
      </w:r>
      <w:r>
        <w:rPr>
          <w:rFonts w:hint="eastAsia" w:ascii="宋体" w:hAnsi="宋体"/>
          <w:szCs w:val="21"/>
        </w:rPr>
        <w:t>实施。</w:t>
      </w:r>
    </w:p>
    <w:p>
      <w:pPr>
        <w:snapToGrid w:val="0"/>
        <w:spacing w:line="360" w:lineRule="auto"/>
        <w:ind w:firstLine="420" w:firstLineChars="200"/>
        <w:jc w:val="left"/>
        <w:rPr>
          <w:rFonts w:ascii="宋体" w:hAnsi="宋体"/>
          <w:szCs w:val="21"/>
        </w:rPr>
      </w:pPr>
      <w:r>
        <w:rPr>
          <w:rFonts w:ascii="宋体" w:hAnsi="宋体"/>
          <w:szCs w:val="21"/>
        </w:rPr>
        <w:t>6.5</w:t>
      </w:r>
      <w:r>
        <w:rPr>
          <w:rFonts w:hint="eastAsia" w:ascii="宋体" w:hAnsi="宋体"/>
          <w:szCs w:val="21"/>
        </w:rPr>
        <w:t>根据招标</w:t>
      </w:r>
      <w:r>
        <w:rPr>
          <w:rFonts w:hint="eastAsia" w:ascii="宋体" w:hAnsi="宋体"/>
          <w:szCs w:val="21"/>
          <w:lang w:val="en-US" w:eastAsia="zh-CN"/>
        </w:rPr>
        <w:t>方</w:t>
      </w:r>
      <w:r>
        <w:rPr>
          <w:rFonts w:hint="eastAsia" w:ascii="宋体" w:hAnsi="宋体"/>
          <w:szCs w:val="21"/>
        </w:rPr>
        <w:t>规章制度，按照考核标准有权对投标</w:t>
      </w:r>
      <w:r>
        <w:rPr>
          <w:rFonts w:hint="eastAsia" w:ascii="宋体" w:hAnsi="宋体"/>
          <w:szCs w:val="21"/>
          <w:lang w:val="en-US" w:eastAsia="zh-CN"/>
        </w:rPr>
        <w:t>方</w:t>
      </w:r>
      <w:r>
        <w:rPr>
          <w:rFonts w:hint="eastAsia" w:ascii="宋体" w:hAnsi="宋体"/>
          <w:szCs w:val="21"/>
        </w:rPr>
        <w:t>进行处罚。</w:t>
      </w:r>
    </w:p>
    <w:p>
      <w:pPr>
        <w:pStyle w:val="4"/>
        <w:spacing w:before="0" w:after="0" w:line="360" w:lineRule="auto"/>
        <w:rPr>
          <w:rFonts w:ascii="宋体" w:hAnsi="宋体"/>
          <w:sz w:val="21"/>
          <w:szCs w:val="21"/>
        </w:rPr>
      </w:pPr>
      <w:bookmarkStart w:id="5" w:name="_Toc29374383"/>
      <w:r>
        <w:rPr>
          <w:rFonts w:ascii="宋体" w:hAnsi="宋体"/>
          <w:sz w:val="21"/>
          <w:szCs w:val="21"/>
        </w:rPr>
        <w:t>7</w:t>
      </w:r>
      <w:r>
        <w:rPr>
          <w:rFonts w:hint="eastAsia" w:ascii="宋体" w:hAnsi="宋体"/>
          <w:sz w:val="21"/>
          <w:szCs w:val="21"/>
        </w:rPr>
        <w:t>．投标</w:t>
      </w:r>
      <w:r>
        <w:rPr>
          <w:rFonts w:hint="eastAsia" w:ascii="宋体" w:hAnsi="宋体"/>
          <w:sz w:val="21"/>
          <w:szCs w:val="21"/>
          <w:lang w:val="en-US" w:eastAsia="zh-CN"/>
        </w:rPr>
        <w:t>方</w:t>
      </w:r>
      <w:r>
        <w:rPr>
          <w:rFonts w:hint="eastAsia" w:ascii="宋体" w:hAnsi="宋体"/>
          <w:sz w:val="21"/>
          <w:szCs w:val="21"/>
        </w:rPr>
        <w:t>的权利和义务</w:t>
      </w:r>
      <w:bookmarkEnd w:id="5"/>
    </w:p>
    <w:p>
      <w:pPr>
        <w:snapToGrid w:val="0"/>
        <w:spacing w:line="360" w:lineRule="auto"/>
        <w:ind w:firstLine="420" w:firstLineChars="200"/>
        <w:jc w:val="left"/>
        <w:rPr>
          <w:rFonts w:ascii="宋体" w:hAnsi="宋体"/>
          <w:szCs w:val="21"/>
        </w:rPr>
      </w:pPr>
      <w:r>
        <w:rPr>
          <w:rFonts w:ascii="宋体" w:hAnsi="宋体"/>
          <w:szCs w:val="21"/>
        </w:rPr>
        <w:t>7.1</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应具有公路运输经营的相关资质证明；并向招标</w:t>
      </w:r>
      <w:r>
        <w:rPr>
          <w:rFonts w:hint="eastAsia" w:ascii="宋体" w:hAnsi="宋体"/>
          <w:szCs w:val="21"/>
          <w:lang w:val="en-US" w:eastAsia="zh-CN"/>
        </w:rPr>
        <w:t>方</w:t>
      </w:r>
      <w:r>
        <w:rPr>
          <w:rFonts w:hint="eastAsia" w:ascii="宋体" w:hAnsi="宋体"/>
          <w:szCs w:val="21"/>
        </w:rPr>
        <w:t>提供企业法人营业执照，运输服务相关资质证明文件及有关资料。</w:t>
      </w:r>
    </w:p>
    <w:p>
      <w:pPr>
        <w:snapToGrid w:val="0"/>
        <w:spacing w:line="360" w:lineRule="auto"/>
        <w:ind w:firstLine="420" w:firstLineChars="200"/>
        <w:jc w:val="left"/>
        <w:rPr>
          <w:rFonts w:ascii="宋体" w:hAnsi="宋体"/>
          <w:szCs w:val="21"/>
        </w:rPr>
      </w:pPr>
      <w:r>
        <w:rPr>
          <w:rFonts w:ascii="宋体" w:hAnsi="宋体"/>
          <w:szCs w:val="21"/>
        </w:rPr>
        <w:t>7.2</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具备抗运输风险能力和运输质量保障能力，承担在运输中造成的损失。投标</w:t>
      </w:r>
      <w:r>
        <w:rPr>
          <w:rFonts w:hint="eastAsia" w:ascii="宋体" w:hAnsi="宋体"/>
          <w:szCs w:val="21"/>
          <w:lang w:val="en-US" w:eastAsia="zh-CN"/>
        </w:rPr>
        <w:t>方</w:t>
      </w:r>
      <w:r>
        <w:rPr>
          <w:rFonts w:hint="eastAsia" w:ascii="宋体" w:hAnsi="宋体"/>
          <w:szCs w:val="21"/>
        </w:rPr>
        <w:t>作业人员在合同履行过程中因投标</w:t>
      </w:r>
      <w:r>
        <w:rPr>
          <w:rFonts w:hint="eastAsia" w:ascii="宋体" w:hAnsi="宋体"/>
          <w:szCs w:val="21"/>
          <w:lang w:val="en-US" w:eastAsia="zh-CN"/>
        </w:rPr>
        <w:t>方</w:t>
      </w:r>
      <w:r>
        <w:rPr>
          <w:rFonts w:hint="eastAsia" w:ascii="宋体" w:hAnsi="宋体"/>
          <w:szCs w:val="21"/>
        </w:rPr>
        <w:t>原因发生伤、病、亡；第三方人员伤、亡；及财产损失等事件的责任，以及因此发生的费用全部由投标</w:t>
      </w:r>
      <w:r>
        <w:rPr>
          <w:rFonts w:hint="eastAsia" w:ascii="宋体" w:hAnsi="宋体"/>
          <w:szCs w:val="21"/>
          <w:lang w:val="en-US" w:eastAsia="zh-CN"/>
        </w:rPr>
        <w:t>方</w:t>
      </w:r>
      <w:r>
        <w:rPr>
          <w:rFonts w:hint="eastAsia" w:ascii="宋体" w:hAnsi="宋体"/>
          <w:szCs w:val="21"/>
        </w:rPr>
        <w:t>承担。</w:t>
      </w:r>
    </w:p>
    <w:p>
      <w:pPr>
        <w:snapToGrid w:val="0"/>
        <w:spacing w:line="360" w:lineRule="auto"/>
        <w:ind w:firstLine="420" w:firstLineChars="200"/>
        <w:jc w:val="left"/>
        <w:rPr>
          <w:rFonts w:ascii="宋体" w:hAnsi="宋体"/>
          <w:szCs w:val="21"/>
        </w:rPr>
      </w:pPr>
      <w:r>
        <w:rPr>
          <w:rFonts w:ascii="宋体" w:hAnsi="宋体"/>
          <w:szCs w:val="21"/>
        </w:rPr>
        <w:t>7.3</w:t>
      </w:r>
      <w:r>
        <w:rPr>
          <w:rFonts w:hint="eastAsia" w:ascii="宋体" w:hAnsi="宋体"/>
          <w:szCs w:val="21"/>
        </w:rPr>
        <w:t>以班组形式纳入招标</w:t>
      </w:r>
      <w:r>
        <w:rPr>
          <w:rFonts w:hint="eastAsia" w:ascii="宋体" w:hAnsi="宋体"/>
          <w:szCs w:val="21"/>
          <w:lang w:val="en-US" w:eastAsia="zh-CN"/>
        </w:rPr>
        <w:t>方</w:t>
      </w:r>
      <w:r>
        <w:rPr>
          <w:rFonts w:hint="eastAsia" w:ascii="宋体" w:hAnsi="宋体"/>
          <w:szCs w:val="21"/>
        </w:rPr>
        <w:t>管理系统，接受招标</w:t>
      </w:r>
      <w:r>
        <w:rPr>
          <w:rFonts w:hint="eastAsia" w:ascii="宋体" w:hAnsi="宋体"/>
          <w:szCs w:val="21"/>
          <w:lang w:val="en-US" w:eastAsia="zh-CN"/>
        </w:rPr>
        <w:t>方</w:t>
      </w:r>
      <w:r>
        <w:rPr>
          <w:rFonts w:hint="eastAsia" w:ascii="宋体" w:hAnsi="宋体"/>
          <w:szCs w:val="21"/>
        </w:rPr>
        <w:t>班组管理，人员变动及组织机构变化应获得招标</w:t>
      </w:r>
      <w:r>
        <w:rPr>
          <w:rFonts w:hint="eastAsia" w:ascii="宋体" w:hAnsi="宋体"/>
          <w:szCs w:val="21"/>
          <w:lang w:val="en-US" w:eastAsia="zh-CN"/>
        </w:rPr>
        <w:t>方</w:t>
      </w:r>
      <w:r>
        <w:rPr>
          <w:rFonts w:hint="eastAsia" w:ascii="宋体" w:hAnsi="宋体"/>
          <w:szCs w:val="21"/>
        </w:rPr>
        <w:t>同意（如有）。</w:t>
      </w:r>
    </w:p>
    <w:p>
      <w:pPr>
        <w:snapToGrid w:val="0"/>
        <w:spacing w:line="360" w:lineRule="auto"/>
        <w:ind w:firstLine="420" w:firstLineChars="200"/>
        <w:jc w:val="left"/>
        <w:rPr>
          <w:rFonts w:ascii="宋体" w:hAnsi="宋体"/>
          <w:szCs w:val="21"/>
        </w:rPr>
      </w:pPr>
      <w:r>
        <w:rPr>
          <w:rFonts w:ascii="宋体" w:hAnsi="宋体"/>
          <w:szCs w:val="21"/>
        </w:rPr>
        <w:t>7.4</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在安全文明生产上应严格服从招标</w:t>
      </w:r>
      <w:r>
        <w:rPr>
          <w:rFonts w:hint="eastAsia" w:ascii="宋体" w:hAnsi="宋体"/>
          <w:szCs w:val="21"/>
          <w:lang w:val="en-US" w:eastAsia="zh-CN"/>
        </w:rPr>
        <w:t>方</w:t>
      </w:r>
      <w:r>
        <w:rPr>
          <w:rFonts w:hint="eastAsia" w:ascii="宋体" w:hAnsi="宋体"/>
          <w:szCs w:val="21"/>
        </w:rPr>
        <w:t>的调度管理，确保招标</w:t>
      </w:r>
      <w:r>
        <w:rPr>
          <w:rFonts w:hint="eastAsia" w:ascii="宋体" w:hAnsi="宋体"/>
          <w:szCs w:val="21"/>
          <w:lang w:val="en-US" w:eastAsia="zh-CN"/>
        </w:rPr>
        <w:t>方</w:t>
      </w:r>
      <w:r>
        <w:rPr>
          <w:rFonts w:hint="eastAsia" w:ascii="宋体" w:hAnsi="宋体"/>
          <w:szCs w:val="21"/>
        </w:rPr>
        <w:t>固废应急处置安全及时，电厂机组安全、正常运行。</w:t>
      </w:r>
    </w:p>
    <w:p>
      <w:pPr>
        <w:snapToGrid w:val="0"/>
        <w:spacing w:line="360" w:lineRule="auto"/>
        <w:ind w:firstLine="420" w:firstLineChars="200"/>
        <w:jc w:val="left"/>
        <w:rPr>
          <w:rFonts w:ascii="宋体" w:hAnsi="宋体"/>
          <w:szCs w:val="21"/>
        </w:rPr>
      </w:pPr>
      <w:r>
        <w:rPr>
          <w:rFonts w:ascii="宋体" w:hAnsi="宋体"/>
          <w:szCs w:val="21"/>
        </w:rPr>
        <w:t>7.5</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根据招标</w:t>
      </w:r>
      <w:r>
        <w:rPr>
          <w:rFonts w:hint="eastAsia" w:ascii="宋体" w:hAnsi="宋体"/>
          <w:szCs w:val="21"/>
          <w:lang w:val="en-US" w:eastAsia="zh-CN"/>
        </w:rPr>
        <w:t>方</w:t>
      </w:r>
      <w:r>
        <w:rPr>
          <w:rFonts w:hint="eastAsia" w:ascii="宋体" w:hAnsi="宋体"/>
          <w:szCs w:val="21"/>
        </w:rPr>
        <w:t>相关管理制度，建立相应的管理制度，并建立各类台帐及时做好记录，于每月底交给招标</w:t>
      </w:r>
      <w:r>
        <w:rPr>
          <w:rFonts w:hint="eastAsia" w:ascii="宋体" w:hAnsi="宋体"/>
          <w:szCs w:val="21"/>
          <w:lang w:val="en-US" w:eastAsia="zh-CN"/>
        </w:rPr>
        <w:t>方</w:t>
      </w:r>
      <w:r>
        <w:rPr>
          <w:rFonts w:hint="eastAsia" w:ascii="宋体" w:hAnsi="宋体"/>
          <w:szCs w:val="21"/>
        </w:rPr>
        <w:t>审核。</w:t>
      </w:r>
    </w:p>
    <w:p>
      <w:pPr>
        <w:snapToGrid w:val="0"/>
        <w:spacing w:line="360" w:lineRule="auto"/>
        <w:ind w:firstLine="420" w:firstLineChars="200"/>
        <w:jc w:val="left"/>
        <w:rPr>
          <w:rFonts w:ascii="宋体" w:hAnsi="宋体"/>
          <w:szCs w:val="21"/>
        </w:rPr>
      </w:pPr>
      <w:r>
        <w:rPr>
          <w:rFonts w:ascii="宋体" w:hAnsi="宋体"/>
          <w:szCs w:val="21"/>
        </w:rPr>
        <w:t>7.6</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应遵守国家、电力行业及招标</w:t>
      </w:r>
      <w:r>
        <w:rPr>
          <w:rFonts w:hint="eastAsia" w:ascii="宋体" w:hAnsi="宋体"/>
          <w:szCs w:val="21"/>
          <w:lang w:val="en-US" w:eastAsia="zh-CN"/>
        </w:rPr>
        <w:t>方</w:t>
      </w:r>
      <w:r>
        <w:rPr>
          <w:rFonts w:hint="eastAsia" w:ascii="宋体" w:hAnsi="宋体"/>
          <w:szCs w:val="21"/>
        </w:rPr>
        <w:t>有关安全生产的法令、法规、规程及规章制度，遵守招标</w:t>
      </w:r>
      <w:r>
        <w:rPr>
          <w:rFonts w:hint="eastAsia" w:ascii="宋体" w:hAnsi="宋体"/>
          <w:szCs w:val="21"/>
          <w:lang w:val="en-US" w:eastAsia="zh-CN"/>
        </w:rPr>
        <w:t>方</w:t>
      </w:r>
      <w:r>
        <w:rPr>
          <w:rFonts w:hint="eastAsia" w:ascii="宋体" w:hAnsi="宋体"/>
          <w:szCs w:val="21"/>
        </w:rPr>
        <w:t>安全生产各项制度，安全生产接受招标</w:t>
      </w:r>
      <w:r>
        <w:rPr>
          <w:rFonts w:hint="eastAsia" w:ascii="宋体" w:hAnsi="宋体"/>
          <w:szCs w:val="21"/>
          <w:lang w:val="en-US" w:eastAsia="zh-CN"/>
        </w:rPr>
        <w:t>方</w:t>
      </w:r>
      <w:r>
        <w:rPr>
          <w:rFonts w:hint="eastAsia" w:ascii="宋体" w:hAnsi="宋体"/>
          <w:szCs w:val="21"/>
        </w:rPr>
        <w:t>监督和考核。</w:t>
      </w:r>
    </w:p>
    <w:p>
      <w:pPr>
        <w:snapToGrid w:val="0"/>
        <w:spacing w:line="360" w:lineRule="auto"/>
        <w:ind w:firstLine="420" w:firstLineChars="200"/>
        <w:jc w:val="left"/>
        <w:rPr>
          <w:rFonts w:ascii="宋体" w:hAnsi="宋体"/>
          <w:szCs w:val="21"/>
        </w:rPr>
      </w:pPr>
      <w:r>
        <w:rPr>
          <w:rFonts w:ascii="宋体" w:hAnsi="宋体"/>
          <w:szCs w:val="21"/>
        </w:rPr>
        <w:t>7.7</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自行承担自有人员的食宿费用。</w:t>
      </w:r>
    </w:p>
    <w:p>
      <w:pPr>
        <w:snapToGrid w:val="0"/>
        <w:spacing w:line="360" w:lineRule="auto"/>
        <w:ind w:firstLine="420" w:firstLineChars="200"/>
        <w:jc w:val="left"/>
        <w:rPr>
          <w:rFonts w:ascii="宋体" w:hAnsi="宋体"/>
          <w:szCs w:val="21"/>
        </w:rPr>
      </w:pPr>
      <w:r>
        <w:rPr>
          <w:rFonts w:ascii="宋体" w:hAnsi="宋体"/>
          <w:szCs w:val="21"/>
        </w:rPr>
        <w:t>7.8</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应建立相关工作人员的职业健康档案，并向招标</w:t>
      </w:r>
      <w:r>
        <w:rPr>
          <w:rFonts w:hint="eastAsia" w:ascii="宋体" w:hAnsi="宋体"/>
          <w:szCs w:val="21"/>
          <w:lang w:val="en-US" w:eastAsia="zh-CN"/>
        </w:rPr>
        <w:t>方</w:t>
      </w:r>
      <w:r>
        <w:rPr>
          <w:rFonts w:hint="eastAsia" w:ascii="宋体" w:hAnsi="宋体"/>
          <w:szCs w:val="21"/>
        </w:rPr>
        <w:t>提供所有工作人员符合相关法律法规要求的保险证明。</w:t>
      </w:r>
    </w:p>
    <w:p>
      <w:pPr>
        <w:snapToGrid w:val="0"/>
        <w:spacing w:line="360" w:lineRule="auto"/>
        <w:ind w:firstLine="420" w:firstLineChars="200"/>
        <w:jc w:val="left"/>
        <w:rPr>
          <w:rFonts w:ascii="宋体" w:hAnsi="宋体"/>
          <w:szCs w:val="21"/>
        </w:rPr>
      </w:pPr>
      <w:r>
        <w:rPr>
          <w:rFonts w:ascii="宋体" w:hAnsi="宋体"/>
          <w:szCs w:val="21"/>
        </w:rPr>
        <w:t>7.9</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应承担由于本方操作不当引起的设备损坏、环境污染、人身伤害等一切责任；及由于投标</w:t>
      </w:r>
      <w:r>
        <w:rPr>
          <w:rFonts w:hint="eastAsia" w:ascii="宋体" w:hAnsi="宋体"/>
          <w:szCs w:val="21"/>
          <w:lang w:val="en-US" w:eastAsia="zh-CN"/>
        </w:rPr>
        <w:t>方</w:t>
      </w:r>
      <w:r>
        <w:rPr>
          <w:rFonts w:hint="eastAsia" w:ascii="宋体" w:hAnsi="宋体"/>
          <w:szCs w:val="21"/>
        </w:rPr>
        <w:t>的原因而带来的任何索赔、责任、损失和开支。</w:t>
      </w:r>
    </w:p>
    <w:p>
      <w:pPr>
        <w:snapToGrid w:val="0"/>
        <w:spacing w:line="360" w:lineRule="auto"/>
        <w:ind w:firstLine="420" w:firstLineChars="200"/>
        <w:jc w:val="left"/>
        <w:rPr>
          <w:rFonts w:ascii="宋体" w:hAnsi="宋体"/>
          <w:szCs w:val="21"/>
        </w:rPr>
      </w:pPr>
      <w:r>
        <w:rPr>
          <w:rFonts w:ascii="宋体" w:hAnsi="宋体"/>
          <w:szCs w:val="21"/>
        </w:rPr>
        <w:t>7.10</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应全面负责运输过程中的环境保护、工业卫生、劳动保护等的管理工作。</w:t>
      </w:r>
    </w:p>
    <w:p>
      <w:pPr>
        <w:snapToGrid w:val="0"/>
        <w:spacing w:line="360" w:lineRule="auto"/>
        <w:ind w:firstLine="420" w:firstLineChars="200"/>
        <w:jc w:val="left"/>
        <w:rPr>
          <w:rFonts w:ascii="宋体" w:hAnsi="宋体"/>
          <w:szCs w:val="21"/>
        </w:rPr>
      </w:pPr>
      <w:r>
        <w:rPr>
          <w:rFonts w:ascii="宋体" w:hAnsi="宋体"/>
          <w:szCs w:val="21"/>
        </w:rPr>
        <w:t>7.11</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应对运输过程涉及区域</w:t>
      </w:r>
      <w:r>
        <w:rPr>
          <w:rFonts w:ascii="宋体" w:hAnsi="宋体"/>
          <w:szCs w:val="21"/>
        </w:rPr>
        <w:t>生产</w:t>
      </w:r>
      <w:r>
        <w:rPr>
          <w:rFonts w:hint="eastAsia" w:ascii="宋体" w:hAnsi="宋体"/>
          <w:szCs w:val="21"/>
        </w:rPr>
        <w:t>系统的设备安全、环境污染和人身安全负责。</w:t>
      </w:r>
    </w:p>
    <w:p>
      <w:pPr>
        <w:snapToGrid w:val="0"/>
        <w:spacing w:line="360" w:lineRule="auto"/>
        <w:ind w:firstLine="420" w:firstLineChars="200"/>
        <w:jc w:val="left"/>
        <w:rPr>
          <w:rFonts w:ascii="宋体" w:hAnsi="宋体"/>
          <w:szCs w:val="21"/>
        </w:rPr>
      </w:pPr>
      <w:r>
        <w:rPr>
          <w:rFonts w:ascii="宋体" w:hAnsi="宋体"/>
          <w:szCs w:val="21"/>
        </w:rPr>
        <w:t>7.12</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负责所配置作业车辆维护、保养等保证各项性能良好。</w:t>
      </w:r>
    </w:p>
    <w:p>
      <w:pPr>
        <w:snapToGrid w:val="0"/>
        <w:spacing w:line="360" w:lineRule="auto"/>
        <w:ind w:firstLine="420" w:firstLineChars="200"/>
        <w:jc w:val="left"/>
        <w:rPr>
          <w:rFonts w:ascii="宋体" w:hAnsi="宋体"/>
          <w:szCs w:val="21"/>
        </w:rPr>
      </w:pPr>
      <w:r>
        <w:rPr>
          <w:rFonts w:ascii="宋体" w:hAnsi="宋体"/>
          <w:szCs w:val="21"/>
        </w:rPr>
        <w:t>7.13</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必须储备足够的固废应急处置车辆及司机以保证电厂机组运行正常。</w:t>
      </w:r>
    </w:p>
    <w:p>
      <w:pPr>
        <w:snapToGrid w:val="0"/>
        <w:spacing w:line="360" w:lineRule="auto"/>
        <w:ind w:firstLine="420" w:firstLineChars="200"/>
        <w:jc w:val="left"/>
        <w:rPr>
          <w:rFonts w:ascii="宋体" w:hAnsi="宋体"/>
          <w:szCs w:val="21"/>
        </w:rPr>
      </w:pPr>
      <w:r>
        <w:rPr>
          <w:rFonts w:ascii="宋体" w:hAnsi="宋体"/>
          <w:szCs w:val="21"/>
        </w:rPr>
        <w:t>7.14</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运输、装卸车辆要求及时维护、保养及保证燃油充足。</w:t>
      </w:r>
    </w:p>
    <w:p>
      <w:pPr>
        <w:snapToGrid w:val="0"/>
        <w:spacing w:line="360" w:lineRule="auto"/>
        <w:ind w:firstLine="420" w:firstLineChars="200"/>
        <w:jc w:val="left"/>
        <w:rPr>
          <w:rFonts w:ascii="宋体" w:hAnsi="宋体"/>
          <w:szCs w:val="21"/>
        </w:rPr>
      </w:pPr>
      <w:r>
        <w:rPr>
          <w:rFonts w:ascii="宋体" w:hAnsi="宋体"/>
          <w:szCs w:val="21"/>
        </w:rPr>
        <w:t>7.15</w:t>
      </w:r>
      <w:r>
        <w:rPr>
          <w:rFonts w:hint="eastAsia" w:ascii="宋体" w:hAnsi="宋体"/>
          <w:szCs w:val="21"/>
        </w:rPr>
        <w:t>投标</w:t>
      </w:r>
      <w:r>
        <w:rPr>
          <w:rFonts w:hint="eastAsia" w:ascii="宋体" w:hAnsi="宋体"/>
          <w:szCs w:val="21"/>
          <w:lang w:val="en-US" w:eastAsia="zh-CN"/>
        </w:rPr>
        <w:t>方</w:t>
      </w:r>
      <w:r>
        <w:rPr>
          <w:rFonts w:hint="eastAsia" w:ascii="宋体" w:hAnsi="宋体"/>
          <w:szCs w:val="21"/>
        </w:rPr>
        <w:t>必须为其员工提供符合相关要求的个人防护用品。</w:t>
      </w:r>
    </w:p>
    <w:p>
      <w:pPr>
        <w:pStyle w:val="4"/>
        <w:spacing w:before="0" w:after="0" w:line="360" w:lineRule="auto"/>
        <w:rPr>
          <w:rFonts w:ascii="宋体" w:hAnsi="宋体"/>
          <w:sz w:val="21"/>
          <w:szCs w:val="21"/>
        </w:rPr>
      </w:pPr>
      <w:bookmarkStart w:id="6" w:name="_Toc29374384"/>
      <w:bookmarkStart w:id="7" w:name="_Toc28952260"/>
      <w:r>
        <w:rPr>
          <w:rFonts w:ascii="宋体" w:hAnsi="宋体"/>
          <w:sz w:val="21"/>
          <w:szCs w:val="21"/>
        </w:rPr>
        <w:t>8</w:t>
      </w:r>
      <w:r>
        <w:rPr>
          <w:rFonts w:hint="eastAsia" w:ascii="宋体" w:hAnsi="宋体"/>
          <w:sz w:val="21"/>
          <w:szCs w:val="21"/>
        </w:rPr>
        <w:t>．考核</w:t>
      </w:r>
      <w:bookmarkEnd w:id="6"/>
      <w:bookmarkEnd w:id="7"/>
    </w:p>
    <w:p>
      <w:pPr>
        <w:snapToGrid w:val="0"/>
        <w:spacing w:line="360" w:lineRule="auto"/>
        <w:ind w:firstLine="420" w:firstLineChars="200"/>
        <w:jc w:val="left"/>
        <w:rPr>
          <w:rFonts w:ascii="宋体" w:hAnsi="宋体"/>
          <w:szCs w:val="21"/>
        </w:rPr>
      </w:pPr>
      <w:r>
        <w:rPr>
          <w:rFonts w:hint="eastAsia" w:ascii="宋体" w:hAnsi="宋体"/>
          <w:szCs w:val="21"/>
        </w:rPr>
        <w:t>由招标</w:t>
      </w:r>
      <w:r>
        <w:rPr>
          <w:rFonts w:hint="eastAsia" w:ascii="宋体" w:hAnsi="宋体"/>
          <w:szCs w:val="21"/>
          <w:lang w:val="en-US" w:eastAsia="zh-CN"/>
        </w:rPr>
        <w:t>方</w:t>
      </w:r>
      <w:r>
        <w:rPr>
          <w:rFonts w:hint="eastAsia" w:ascii="宋体" w:hAnsi="宋体"/>
          <w:szCs w:val="21"/>
        </w:rPr>
        <w:t>按月对投标</w:t>
      </w:r>
      <w:r>
        <w:rPr>
          <w:rFonts w:hint="eastAsia" w:ascii="宋体" w:hAnsi="宋体"/>
          <w:szCs w:val="21"/>
          <w:lang w:val="en-US" w:eastAsia="zh-CN"/>
        </w:rPr>
        <w:t>方</w:t>
      </w:r>
      <w:r>
        <w:rPr>
          <w:rFonts w:hint="eastAsia" w:ascii="宋体" w:hAnsi="宋体"/>
          <w:szCs w:val="21"/>
        </w:rPr>
        <w:t>运输、装卸安全文明生产工作进行考核（详见附件），次月</w:t>
      </w:r>
      <w:r>
        <w:rPr>
          <w:rFonts w:ascii="宋体" w:hAnsi="宋体"/>
          <w:szCs w:val="21"/>
        </w:rPr>
        <w:t>5</w:t>
      </w:r>
      <w:r>
        <w:rPr>
          <w:rFonts w:hint="eastAsia" w:ascii="宋体" w:hAnsi="宋体"/>
          <w:szCs w:val="21"/>
        </w:rPr>
        <w:t>日前将上月的考核结果通报投标</w:t>
      </w:r>
      <w:r>
        <w:rPr>
          <w:rFonts w:hint="eastAsia" w:ascii="宋体" w:hAnsi="宋体"/>
          <w:szCs w:val="21"/>
          <w:lang w:val="en-US" w:eastAsia="zh-CN"/>
        </w:rPr>
        <w:t>方</w:t>
      </w:r>
      <w:r>
        <w:rPr>
          <w:rFonts w:hint="eastAsia" w:ascii="宋体" w:hAnsi="宋体"/>
          <w:szCs w:val="21"/>
        </w:rPr>
        <w:t>。</w:t>
      </w:r>
    </w:p>
    <w:p>
      <w:pPr>
        <w:pStyle w:val="4"/>
        <w:spacing w:before="0" w:after="0" w:line="360" w:lineRule="auto"/>
        <w:rPr>
          <w:rFonts w:ascii="宋体" w:hAnsi="宋体"/>
          <w:sz w:val="21"/>
          <w:szCs w:val="21"/>
        </w:rPr>
      </w:pPr>
      <w:bookmarkStart w:id="8" w:name="_Toc29374385"/>
      <w:bookmarkStart w:id="9" w:name="_Toc28952261"/>
      <w:r>
        <w:rPr>
          <w:rFonts w:ascii="宋体" w:hAnsi="宋体"/>
          <w:sz w:val="21"/>
          <w:szCs w:val="21"/>
        </w:rPr>
        <w:t>9</w:t>
      </w:r>
      <w:r>
        <w:rPr>
          <w:rFonts w:hint="eastAsia" w:ascii="宋体" w:hAnsi="宋体"/>
          <w:sz w:val="21"/>
          <w:szCs w:val="21"/>
        </w:rPr>
        <w:t>．服务期限</w:t>
      </w:r>
      <w:bookmarkEnd w:id="8"/>
      <w:bookmarkEnd w:id="9"/>
    </w:p>
    <w:p>
      <w:pPr>
        <w:snapToGrid w:val="0"/>
        <w:spacing w:line="360" w:lineRule="auto"/>
        <w:ind w:firstLine="420" w:firstLineChars="200"/>
        <w:jc w:val="left"/>
        <w:rPr>
          <w:szCs w:val="21"/>
        </w:rPr>
      </w:pPr>
      <w:r>
        <w:rPr>
          <w:rFonts w:hint="eastAsia"/>
          <w:szCs w:val="21"/>
        </w:rPr>
        <w:t>服务期限：</w:t>
      </w:r>
      <w:r>
        <w:rPr>
          <w:szCs w:val="21"/>
          <w:u w:val="single"/>
        </w:rPr>
        <w:t xml:space="preserve">  </w:t>
      </w:r>
      <w:r>
        <w:rPr>
          <w:rFonts w:hint="eastAsia"/>
          <w:szCs w:val="21"/>
          <w:u w:val="single"/>
        </w:rPr>
        <w:t>2</w:t>
      </w:r>
      <w:r>
        <w:rPr>
          <w:szCs w:val="21"/>
          <w:u w:val="single"/>
        </w:rPr>
        <w:t xml:space="preserve"> </w:t>
      </w:r>
      <w:r>
        <w:rPr>
          <w:rFonts w:hint="eastAsia"/>
          <w:szCs w:val="21"/>
        </w:rPr>
        <w:t>年（2025年5月26日—2027年5月25日）</w:t>
      </w:r>
    </w:p>
    <w:p>
      <w:pPr>
        <w:snapToGrid w:val="0"/>
        <w:spacing w:line="360" w:lineRule="auto"/>
        <w:ind w:firstLine="420" w:firstLineChars="200"/>
        <w:jc w:val="left"/>
        <w:rPr>
          <w:szCs w:val="21"/>
        </w:rPr>
      </w:pPr>
    </w:p>
    <w:p>
      <w:pPr>
        <w:snapToGrid w:val="0"/>
        <w:spacing w:line="360" w:lineRule="auto"/>
        <w:ind w:firstLine="420" w:firstLineChars="200"/>
        <w:jc w:val="left"/>
        <w:rPr>
          <w:szCs w:val="21"/>
        </w:rPr>
      </w:pPr>
    </w:p>
    <w:p>
      <w:pPr>
        <w:snapToGrid w:val="0"/>
        <w:spacing w:line="360" w:lineRule="auto"/>
        <w:ind w:firstLine="420" w:firstLineChars="200"/>
        <w:jc w:val="left"/>
        <w:rPr>
          <w:szCs w:val="21"/>
        </w:rPr>
      </w:pPr>
    </w:p>
    <w:p>
      <w:pPr>
        <w:snapToGrid w:val="0"/>
        <w:spacing w:line="360" w:lineRule="auto"/>
        <w:ind w:firstLine="420" w:firstLineChars="200"/>
        <w:jc w:val="left"/>
        <w:rPr>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b/>
          <w:szCs w:val="21"/>
        </w:rPr>
      </w:pPr>
    </w:p>
    <w:p>
      <w:pPr>
        <w:spacing w:line="360" w:lineRule="auto"/>
        <w:rPr>
          <w:rFonts w:ascii="宋体" w:hAnsi="宋体"/>
          <w:b/>
          <w:bCs/>
          <w:color w:val="000000" w:themeColor="text1"/>
          <w14:textFill>
            <w14:solidFill>
              <w14:schemeClr w14:val="tx1"/>
            </w14:solidFill>
          </w14:textFill>
        </w:rPr>
      </w:pPr>
      <w:bookmarkStart w:id="93" w:name="_GoBack"/>
      <w:bookmarkEnd w:id="93"/>
      <w:r>
        <w:rPr>
          <w:rFonts w:hint="eastAsia"/>
          <w:b/>
          <w:szCs w:val="21"/>
        </w:rPr>
        <w:t>附件：安全文明生产工作考核细</w:t>
      </w:r>
      <w:r>
        <w:rPr>
          <w:rFonts w:hint="eastAsia"/>
          <w:b/>
          <w:color w:val="000000" w:themeColor="text1"/>
          <w:szCs w:val="21"/>
          <w14:textFill>
            <w14:solidFill>
              <w14:schemeClr w14:val="tx1"/>
            </w14:solidFill>
          </w14:textFill>
        </w:rPr>
        <w:t>则</w:t>
      </w:r>
      <w:r>
        <w:rPr>
          <w:rFonts w:ascii="宋体" w:hAnsi="宋体"/>
          <w:b/>
          <w:bCs/>
          <w:color w:val="000000" w:themeColor="text1"/>
          <w14:textFill>
            <w14:solidFill>
              <w14:schemeClr w14:val="tx1"/>
            </w14:solidFill>
          </w14:textFill>
        </w:rPr>
        <w:t>（</w:t>
      </w:r>
      <w:r>
        <w:rPr>
          <w:rFonts w:hint="eastAsia" w:ascii="宋体" w:hAnsi="宋体"/>
          <w:b/>
          <w:bCs/>
          <w:color w:val="000000" w:themeColor="text1"/>
          <w:szCs w:val="24"/>
          <w14:textFill>
            <w14:solidFill>
              <w14:schemeClr w14:val="tx1"/>
            </w14:solidFill>
          </w14:textFill>
        </w:rPr>
        <w:t>按相关法律法规及</w:t>
      </w:r>
      <w:r>
        <w:rPr>
          <w:rFonts w:hint="eastAsia" w:ascii="宋体" w:hAnsi="宋体"/>
          <w:b/>
          <w:bCs/>
          <w:color w:val="000000" w:themeColor="text1"/>
          <w:szCs w:val="24"/>
          <w:lang w:val="en-US" w:eastAsia="zh-CN"/>
          <w14:textFill>
            <w14:solidFill>
              <w14:schemeClr w14:val="tx1"/>
            </w14:solidFill>
          </w14:textFill>
        </w:rPr>
        <w:t>浙能</w:t>
      </w:r>
      <w:r>
        <w:rPr>
          <w:rFonts w:hint="eastAsia" w:ascii="宋体" w:hAnsi="宋体"/>
          <w:b/>
          <w:bCs/>
          <w:color w:val="000000" w:themeColor="text1"/>
          <w:szCs w:val="24"/>
          <w14:textFill>
            <w14:solidFill>
              <w14:schemeClr w14:val="tx1"/>
            </w14:solidFill>
          </w14:textFill>
        </w:rPr>
        <w:t>集团安全相关要求，</w:t>
      </w:r>
      <w:r>
        <w:rPr>
          <w:rFonts w:hint="eastAsia" w:ascii="宋体" w:hAnsi="宋体"/>
          <w:b/>
          <w:bCs/>
          <w:color w:val="000000" w:themeColor="text1"/>
          <w:szCs w:val="24"/>
          <w:lang w:val="en-US" w:eastAsia="zh-CN"/>
          <w14:textFill>
            <w14:solidFill>
              <w14:schemeClr w14:val="tx1"/>
            </w14:solidFill>
          </w14:textFill>
        </w:rPr>
        <w:t>招标方</w:t>
      </w:r>
      <w:r>
        <w:rPr>
          <w:rFonts w:hint="eastAsia" w:ascii="宋体" w:hAnsi="宋体"/>
          <w:b/>
          <w:bCs/>
          <w:color w:val="000000" w:themeColor="text1"/>
          <w:szCs w:val="24"/>
          <w14:textFill>
            <w14:solidFill>
              <w14:schemeClr w14:val="tx1"/>
            </w14:solidFill>
          </w14:textFill>
        </w:rPr>
        <w:t>实时更新。</w:t>
      </w:r>
      <w:r>
        <w:rPr>
          <w:rFonts w:ascii="宋体" w:hAnsi="宋体"/>
          <w:b/>
          <w:bCs/>
          <w:color w:val="000000" w:themeColor="text1"/>
          <w:szCs w:val="24"/>
          <w14:textFill>
            <w14:solidFill>
              <w14:schemeClr w14:val="tx1"/>
            </w14:solidFill>
          </w14:textFill>
        </w:rPr>
        <w:t>）</w:t>
      </w:r>
    </w:p>
    <w:tbl>
      <w:tblPr>
        <w:tblStyle w:val="15"/>
        <w:tblW w:w="7554" w:type="dxa"/>
        <w:jc w:val="center"/>
        <w:tblInd w:w="0" w:type="dxa"/>
        <w:tblLayout w:type="fixed"/>
        <w:tblCellMar>
          <w:top w:w="0" w:type="dxa"/>
          <w:left w:w="0" w:type="dxa"/>
          <w:bottom w:w="0" w:type="dxa"/>
          <w:right w:w="0" w:type="dxa"/>
        </w:tblCellMar>
      </w:tblPr>
      <w:tblGrid>
        <w:gridCol w:w="564"/>
        <w:gridCol w:w="5150"/>
        <w:gridCol w:w="1840"/>
      </w:tblGrid>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0" w:name="_Toc152681301"/>
            <w:r>
              <w:rPr>
                <w:rFonts w:hint="eastAsia"/>
                <w:sz w:val="21"/>
                <w:szCs w:val="21"/>
              </w:rPr>
              <w:t>序号</w:t>
            </w:r>
            <w:bookmarkEnd w:id="10"/>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1" w:name="_Toc152681302"/>
            <w:r>
              <w:rPr>
                <w:rFonts w:hint="eastAsia"/>
                <w:sz w:val="21"/>
                <w:szCs w:val="21"/>
              </w:rPr>
              <w:t>考核内容</w:t>
            </w:r>
            <w:bookmarkEnd w:id="11"/>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2" w:name="_Toc152681303"/>
            <w:r>
              <w:rPr>
                <w:rFonts w:hint="eastAsia"/>
                <w:sz w:val="21"/>
                <w:szCs w:val="21"/>
              </w:rPr>
              <w:t>考核标准（元）</w:t>
            </w:r>
            <w:bookmarkEnd w:id="12"/>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p>
        </w:tc>
        <w:tc>
          <w:tcPr>
            <w:tcW w:w="6990" w:type="dxa"/>
            <w:gridSpan w:val="2"/>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3" w:name="_Toc152681305"/>
            <w:r>
              <w:rPr>
                <w:rFonts w:hint="eastAsia"/>
                <w:sz w:val="21"/>
                <w:szCs w:val="21"/>
              </w:rPr>
              <w:t>作业性违章</w:t>
            </w:r>
            <w:bookmarkEnd w:id="13"/>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4" w:name="_Toc152681306"/>
            <w:r>
              <w:rPr>
                <w:rFonts w:hint="eastAsia"/>
                <w:sz w:val="21"/>
                <w:szCs w:val="21"/>
              </w:rPr>
              <w:t>1</w:t>
            </w:r>
            <w:bookmarkEnd w:id="14"/>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15" w:name="_Toc152681307"/>
            <w:r>
              <w:rPr>
                <w:rFonts w:hint="eastAsia"/>
                <w:sz w:val="21"/>
                <w:szCs w:val="21"/>
              </w:rPr>
              <w:t>进入生产现场不戴安全帽或不正确佩戴安全帽；安全帽不完整有损伤或有变形；无有效使用期或标志不清楚</w:t>
            </w:r>
            <w:bookmarkEnd w:id="15"/>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6" w:name="_Toc152681308"/>
            <w:r>
              <w:rPr>
                <w:rFonts w:hint="eastAsia"/>
                <w:sz w:val="21"/>
                <w:szCs w:val="21"/>
              </w:rPr>
              <w:t>200</w:t>
            </w:r>
            <w:bookmarkEnd w:id="16"/>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7" w:name="_Toc152681309"/>
            <w:r>
              <w:rPr>
                <w:rFonts w:hint="eastAsia"/>
                <w:sz w:val="21"/>
                <w:szCs w:val="21"/>
              </w:rPr>
              <w:t>2</w:t>
            </w:r>
            <w:bookmarkEnd w:id="17"/>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18" w:name="_Toc152681310"/>
            <w:r>
              <w:rPr>
                <w:rFonts w:hint="eastAsia"/>
                <w:sz w:val="21"/>
                <w:szCs w:val="21"/>
              </w:rPr>
              <w:t>作业时未按规定着装或未按规定使用个人防护用品</w:t>
            </w:r>
            <w:bookmarkEnd w:id="18"/>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19" w:name="_Toc152681311"/>
            <w:r>
              <w:rPr>
                <w:rFonts w:hint="eastAsia"/>
                <w:sz w:val="21"/>
                <w:szCs w:val="21"/>
              </w:rPr>
              <w:t>100</w:t>
            </w:r>
            <w:bookmarkEnd w:id="19"/>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0" w:name="_Toc152681312"/>
            <w:r>
              <w:rPr>
                <w:rFonts w:hint="eastAsia"/>
                <w:sz w:val="21"/>
                <w:szCs w:val="21"/>
              </w:rPr>
              <w:t>3</w:t>
            </w:r>
            <w:bookmarkEnd w:id="20"/>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21" w:name="_Toc152681313"/>
            <w:r>
              <w:rPr>
                <w:rFonts w:hint="eastAsia"/>
                <w:sz w:val="21"/>
                <w:szCs w:val="21"/>
              </w:rPr>
              <w:t>进入生产现场内吸烟</w:t>
            </w:r>
            <w:bookmarkEnd w:id="21"/>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2" w:name="_Toc152681314"/>
            <w:r>
              <w:rPr>
                <w:rFonts w:hint="eastAsia"/>
                <w:sz w:val="21"/>
                <w:szCs w:val="21"/>
              </w:rPr>
              <w:t>300</w:t>
            </w:r>
            <w:bookmarkEnd w:id="22"/>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3" w:name="_Toc152681315"/>
            <w:r>
              <w:rPr>
                <w:rFonts w:hint="eastAsia"/>
                <w:sz w:val="21"/>
                <w:szCs w:val="21"/>
              </w:rPr>
              <w:t>4</w:t>
            </w:r>
            <w:bookmarkEnd w:id="23"/>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24" w:name="_Toc152681316"/>
            <w:r>
              <w:rPr>
                <w:rFonts w:hint="eastAsia"/>
                <w:sz w:val="21"/>
                <w:szCs w:val="21"/>
              </w:rPr>
              <w:t>酒后从事各种工作</w:t>
            </w:r>
            <w:bookmarkEnd w:id="24"/>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5" w:name="_Toc152681317"/>
            <w:r>
              <w:rPr>
                <w:rFonts w:hint="eastAsia"/>
                <w:sz w:val="21"/>
                <w:szCs w:val="21"/>
              </w:rPr>
              <w:t>200</w:t>
            </w:r>
            <w:bookmarkEnd w:id="25"/>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6" w:name="_Toc152681318"/>
            <w:r>
              <w:rPr>
                <w:rFonts w:hint="eastAsia"/>
                <w:sz w:val="21"/>
                <w:szCs w:val="21"/>
              </w:rPr>
              <w:t>5</w:t>
            </w:r>
            <w:bookmarkEnd w:id="26"/>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27" w:name="_Toc152681319"/>
            <w:r>
              <w:rPr>
                <w:rFonts w:hint="eastAsia"/>
                <w:sz w:val="21"/>
                <w:szCs w:val="21"/>
              </w:rPr>
              <w:t>无证驾驶机动车辆、违章载人</w:t>
            </w:r>
            <w:bookmarkEnd w:id="27"/>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8" w:name="_Toc152681320"/>
            <w:r>
              <w:rPr>
                <w:rFonts w:hint="eastAsia"/>
                <w:sz w:val="21"/>
                <w:szCs w:val="21"/>
              </w:rPr>
              <w:t>200</w:t>
            </w:r>
            <w:bookmarkEnd w:id="28"/>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29" w:name="_Toc152681321"/>
            <w:r>
              <w:rPr>
                <w:rFonts w:hint="eastAsia"/>
                <w:sz w:val="21"/>
                <w:szCs w:val="21"/>
              </w:rPr>
              <w:t>6</w:t>
            </w:r>
            <w:bookmarkEnd w:id="29"/>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30" w:name="_Toc152681322"/>
            <w:r>
              <w:rPr>
                <w:rFonts w:hint="eastAsia"/>
                <w:sz w:val="21"/>
                <w:szCs w:val="21"/>
              </w:rPr>
              <w:t>固废运输车辆驾驶员擅自开启运行设备</w:t>
            </w:r>
            <w:bookmarkEnd w:id="30"/>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1" w:name="_Toc152681323"/>
            <w:r>
              <w:rPr>
                <w:rFonts w:hint="eastAsia"/>
                <w:sz w:val="21"/>
                <w:szCs w:val="21"/>
              </w:rPr>
              <w:t>500</w:t>
            </w:r>
            <w:bookmarkEnd w:id="31"/>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2" w:name="_Toc152681324"/>
            <w:r>
              <w:rPr>
                <w:rFonts w:hint="eastAsia"/>
                <w:sz w:val="21"/>
                <w:szCs w:val="21"/>
              </w:rPr>
              <w:t>7</w:t>
            </w:r>
            <w:bookmarkEnd w:id="32"/>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33" w:name="_Toc152681325"/>
            <w:r>
              <w:rPr>
                <w:rFonts w:hint="eastAsia"/>
                <w:sz w:val="21"/>
                <w:szCs w:val="21"/>
              </w:rPr>
              <w:t>固废运输车辆未经批准从台二发电公司（一号门）进出</w:t>
            </w:r>
            <w:bookmarkEnd w:id="33"/>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4" w:name="_Toc152681326"/>
            <w:r>
              <w:rPr>
                <w:rFonts w:hint="eastAsia"/>
                <w:sz w:val="21"/>
                <w:szCs w:val="21"/>
              </w:rPr>
              <w:t>200</w:t>
            </w:r>
            <w:bookmarkEnd w:id="34"/>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5" w:name="_Toc152681327"/>
            <w:r>
              <w:rPr>
                <w:rFonts w:hint="eastAsia"/>
                <w:sz w:val="21"/>
                <w:szCs w:val="21"/>
              </w:rPr>
              <w:t>8</w:t>
            </w:r>
            <w:bookmarkEnd w:id="35"/>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36" w:name="_Toc152681328"/>
            <w:r>
              <w:rPr>
                <w:rFonts w:hint="eastAsia"/>
                <w:sz w:val="21"/>
                <w:szCs w:val="21"/>
              </w:rPr>
              <w:t>经过门禁岗亭、减速带时不减速慢行，安全通过，不服从保安人员的管理指挥，无理取闹</w:t>
            </w:r>
            <w:bookmarkEnd w:id="36"/>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7" w:name="_Toc152681329"/>
            <w:r>
              <w:rPr>
                <w:rFonts w:hint="eastAsia"/>
                <w:sz w:val="21"/>
                <w:szCs w:val="21"/>
              </w:rPr>
              <w:t>500</w:t>
            </w:r>
            <w:bookmarkEnd w:id="37"/>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38" w:name="_Toc152681330"/>
            <w:r>
              <w:rPr>
                <w:rFonts w:hint="eastAsia"/>
                <w:sz w:val="21"/>
                <w:szCs w:val="21"/>
              </w:rPr>
              <w:t>9</w:t>
            </w:r>
            <w:bookmarkEnd w:id="38"/>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39" w:name="_Toc152681331"/>
            <w:r>
              <w:rPr>
                <w:rFonts w:hint="eastAsia"/>
                <w:sz w:val="21"/>
                <w:szCs w:val="21"/>
              </w:rPr>
              <w:t>车辆过磅时，车速超出5km/h，汽车的所有轮子未驶入磅台损坏地磅传感器，除照价赔偿外</w:t>
            </w:r>
            <w:bookmarkEnd w:id="39"/>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0" w:name="_Toc152681332"/>
            <w:r>
              <w:rPr>
                <w:rFonts w:hint="eastAsia"/>
                <w:sz w:val="21"/>
                <w:szCs w:val="21"/>
              </w:rPr>
              <w:t>200</w:t>
            </w:r>
            <w:bookmarkEnd w:id="40"/>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1" w:name="_Toc152681333"/>
            <w:r>
              <w:rPr>
                <w:rFonts w:hint="eastAsia"/>
                <w:sz w:val="21"/>
                <w:szCs w:val="21"/>
              </w:rPr>
              <w:t>10</w:t>
            </w:r>
            <w:bookmarkEnd w:id="41"/>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42" w:name="_Toc152681334"/>
            <w:r>
              <w:rPr>
                <w:rFonts w:hint="eastAsia"/>
                <w:sz w:val="21"/>
                <w:szCs w:val="21"/>
              </w:rPr>
              <w:t>不服从工作人员的调度或影响其它车辆过磅和安全通行、堵塞消防通道</w:t>
            </w:r>
            <w:bookmarkEnd w:id="42"/>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3" w:name="_Toc152681335"/>
            <w:r>
              <w:rPr>
                <w:rFonts w:hint="eastAsia"/>
                <w:sz w:val="21"/>
                <w:szCs w:val="21"/>
              </w:rPr>
              <w:t>200</w:t>
            </w:r>
            <w:bookmarkEnd w:id="43"/>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4" w:name="_Toc152681336"/>
            <w:r>
              <w:rPr>
                <w:rFonts w:hint="eastAsia"/>
                <w:sz w:val="21"/>
                <w:szCs w:val="21"/>
              </w:rPr>
              <w:t>11</w:t>
            </w:r>
            <w:bookmarkEnd w:id="44"/>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45" w:name="_Toc152681337"/>
            <w:r>
              <w:rPr>
                <w:rFonts w:hint="eastAsia"/>
                <w:sz w:val="21"/>
                <w:szCs w:val="21"/>
              </w:rPr>
              <w:t>装载车司机未关闭道闸、货车司机未离库就装车</w:t>
            </w:r>
            <w:bookmarkEnd w:id="45"/>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6" w:name="_Toc152681338"/>
            <w:r>
              <w:rPr>
                <w:rFonts w:hint="eastAsia"/>
                <w:sz w:val="21"/>
                <w:szCs w:val="21"/>
              </w:rPr>
              <w:t>200</w:t>
            </w:r>
            <w:bookmarkEnd w:id="46"/>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7" w:name="_Toc152681339"/>
            <w:r>
              <w:rPr>
                <w:rFonts w:hint="eastAsia"/>
                <w:sz w:val="21"/>
                <w:szCs w:val="21"/>
              </w:rPr>
              <w:t>12</w:t>
            </w:r>
            <w:bookmarkEnd w:id="47"/>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48" w:name="_Toc152681340"/>
            <w:r>
              <w:rPr>
                <w:rFonts w:hint="eastAsia"/>
                <w:sz w:val="21"/>
                <w:szCs w:val="21"/>
              </w:rPr>
              <w:t>未在装料区内清理洒落在车厢的渣、石膏、灰等物料，带出装料区外造成道路、设备设施等其他污染</w:t>
            </w:r>
            <w:bookmarkEnd w:id="48"/>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49" w:name="_Toc152681341"/>
            <w:r>
              <w:rPr>
                <w:rFonts w:hint="eastAsia"/>
                <w:sz w:val="21"/>
                <w:szCs w:val="21"/>
              </w:rPr>
              <w:t>100</w:t>
            </w:r>
            <w:bookmarkEnd w:id="49"/>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0" w:name="_Toc152681342"/>
            <w:r>
              <w:rPr>
                <w:rFonts w:hint="eastAsia"/>
                <w:sz w:val="21"/>
                <w:szCs w:val="21"/>
              </w:rPr>
              <w:t>13</w:t>
            </w:r>
            <w:bookmarkEnd w:id="50"/>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51" w:name="_Toc152681343"/>
            <w:r>
              <w:rPr>
                <w:rFonts w:hint="eastAsia"/>
                <w:sz w:val="21"/>
                <w:szCs w:val="21"/>
              </w:rPr>
              <w:t>未在指定区域冲洗车辆、未盘好水管</w:t>
            </w:r>
            <w:bookmarkEnd w:id="51"/>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2" w:name="_Toc152681344"/>
            <w:r>
              <w:rPr>
                <w:rFonts w:hint="eastAsia"/>
                <w:sz w:val="21"/>
                <w:szCs w:val="21"/>
              </w:rPr>
              <w:t>100</w:t>
            </w:r>
            <w:bookmarkEnd w:id="52"/>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3" w:name="_Toc152681345"/>
            <w:r>
              <w:rPr>
                <w:rFonts w:hint="eastAsia"/>
                <w:sz w:val="21"/>
                <w:szCs w:val="21"/>
              </w:rPr>
              <w:t>14</w:t>
            </w:r>
            <w:bookmarkEnd w:id="53"/>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54" w:name="_Toc152681346"/>
            <w:r>
              <w:rPr>
                <w:rFonts w:hint="eastAsia"/>
                <w:sz w:val="21"/>
                <w:szCs w:val="21"/>
              </w:rPr>
              <w:t>固废运输车辆驶离装车区域时未按规定覆盖篷布的</w:t>
            </w:r>
            <w:bookmarkEnd w:id="54"/>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5" w:name="_Toc152681347"/>
            <w:r>
              <w:rPr>
                <w:rFonts w:hint="eastAsia"/>
                <w:sz w:val="21"/>
                <w:szCs w:val="21"/>
              </w:rPr>
              <w:t>100</w:t>
            </w:r>
            <w:bookmarkEnd w:id="55"/>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6" w:name="_Toc152681348"/>
            <w:r>
              <w:rPr>
                <w:rFonts w:hint="eastAsia"/>
                <w:sz w:val="21"/>
                <w:szCs w:val="21"/>
              </w:rPr>
              <w:t>15</w:t>
            </w:r>
            <w:bookmarkEnd w:id="56"/>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57" w:name="_Toc152681349"/>
            <w:r>
              <w:rPr>
                <w:rFonts w:hint="eastAsia"/>
                <w:sz w:val="21"/>
                <w:szCs w:val="21"/>
              </w:rPr>
              <w:t>车辆在厂区道路行驶随地散落固废物，随意丢果皮、烟蒂等垃圾，造成道路污染的</w:t>
            </w:r>
            <w:bookmarkEnd w:id="57"/>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8" w:name="_Toc152681350"/>
            <w:r>
              <w:rPr>
                <w:rFonts w:hint="eastAsia"/>
                <w:sz w:val="21"/>
                <w:szCs w:val="21"/>
              </w:rPr>
              <w:t>100</w:t>
            </w:r>
            <w:bookmarkEnd w:id="58"/>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59" w:name="_Toc152681351"/>
            <w:r>
              <w:rPr>
                <w:rFonts w:hint="eastAsia"/>
                <w:sz w:val="21"/>
                <w:szCs w:val="21"/>
              </w:rPr>
              <w:t>16</w:t>
            </w:r>
            <w:bookmarkEnd w:id="59"/>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60" w:name="_Toc152681352"/>
            <w:r>
              <w:rPr>
                <w:rFonts w:hint="eastAsia"/>
                <w:sz w:val="21"/>
                <w:szCs w:val="21"/>
              </w:rPr>
              <w:t>车辆未按指定的路线行驶，未限速行驶</w:t>
            </w:r>
            <w:bookmarkEnd w:id="60"/>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1" w:name="_Toc152681353"/>
            <w:r>
              <w:rPr>
                <w:rFonts w:hint="eastAsia"/>
                <w:sz w:val="21"/>
                <w:szCs w:val="21"/>
              </w:rPr>
              <w:t>200</w:t>
            </w:r>
            <w:bookmarkEnd w:id="61"/>
          </w:p>
        </w:tc>
      </w:tr>
      <w:tr>
        <w:tblPrEx>
          <w:tblLayout w:type="fixed"/>
          <w:tblCellMar>
            <w:top w:w="0" w:type="dxa"/>
            <w:left w:w="0" w:type="dxa"/>
            <w:bottom w:w="0" w:type="dxa"/>
            <w:right w:w="0" w:type="dxa"/>
          </w:tblCellMar>
        </w:tblPrEx>
        <w:trPr>
          <w:cantSplit/>
          <w:trHeight w:val="241"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2" w:name="_Toc152681354"/>
            <w:r>
              <w:rPr>
                <w:rFonts w:hint="eastAsia"/>
                <w:sz w:val="21"/>
                <w:szCs w:val="21"/>
              </w:rPr>
              <w:t>17</w:t>
            </w:r>
            <w:bookmarkEnd w:id="62"/>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r>
              <w:rPr>
                <w:rFonts w:hint="eastAsia"/>
                <w:sz w:val="21"/>
                <w:szCs w:val="21"/>
              </w:rPr>
              <w:t>运输车辆因操作不当，造成装卸区域设施、设备等损坏除照价赔偿外</w:t>
            </w:r>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3" w:name="_Toc152681355"/>
            <w:r>
              <w:rPr>
                <w:rFonts w:hint="eastAsia"/>
                <w:sz w:val="21"/>
                <w:szCs w:val="21"/>
              </w:rPr>
              <w:t>200</w:t>
            </w:r>
            <w:bookmarkEnd w:id="63"/>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4" w:name="_Toc152681356"/>
            <w:r>
              <w:rPr>
                <w:rFonts w:hint="eastAsia"/>
                <w:sz w:val="21"/>
                <w:szCs w:val="21"/>
              </w:rPr>
              <w:t>18</w:t>
            </w:r>
            <w:bookmarkEnd w:id="64"/>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65" w:name="_Toc152681357"/>
            <w:r>
              <w:rPr>
                <w:rFonts w:hint="eastAsia"/>
                <w:sz w:val="21"/>
                <w:szCs w:val="21"/>
              </w:rPr>
              <w:t>上车厢整理作业时，未系安全带等防人员坠落的安全措施</w:t>
            </w:r>
            <w:bookmarkEnd w:id="65"/>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6" w:name="_Toc152681358"/>
            <w:r>
              <w:rPr>
                <w:rFonts w:hint="eastAsia"/>
                <w:sz w:val="21"/>
                <w:szCs w:val="21"/>
              </w:rPr>
              <w:t>200</w:t>
            </w:r>
            <w:bookmarkEnd w:id="66"/>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7" w:name="_Toc152681359"/>
            <w:r>
              <w:rPr>
                <w:rFonts w:hint="eastAsia"/>
                <w:sz w:val="21"/>
                <w:szCs w:val="21"/>
              </w:rPr>
              <w:t>19</w:t>
            </w:r>
            <w:bookmarkEnd w:id="67"/>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68" w:name="_Toc152681360"/>
            <w:r>
              <w:rPr>
                <w:rFonts w:hint="eastAsia"/>
                <w:sz w:val="21"/>
                <w:szCs w:val="21"/>
              </w:rPr>
              <w:t>强令职工违章作业</w:t>
            </w:r>
            <w:bookmarkEnd w:id="68"/>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69" w:name="_Toc152681361"/>
            <w:r>
              <w:rPr>
                <w:rFonts w:hint="eastAsia"/>
                <w:sz w:val="21"/>
                <w:szCs w:val="21"/>
              </w:rPr>
              <w:t>800</w:t>
            </w:r>
            <w:bookmarkEnd w:id="69"/>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0" w:name="_Toc152681362"/>
            <w:r>
              <w:rPr>
                <w:rFonts w:hint="eastAsia"/>
                <w:sz w:val="21"/>
                <w:szCs w:val="21"/>
              </w:rPr>
              <w:t>20</w:t>
            </w:r>
            <w:bookmarkEnd w:id="70"/>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71" w:name="_Toc152681363"/>
            <w:r>
              <w:rPr>
                <w:rFonts w:hint="eastAsia"/>
                <w:sz w:val="21"/>
                <w:szCs w:val="21"/>
              </w:rPr>
              <w:t>发生违章指出后仍不改正</w:t>
            </w:r>
            <w:bookmarkEnd w:id="71"/>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2" w:name="_Toc152681364"/>
            <w:r>
              <w:rPr>
                <w:rFonts w:hint="eastAsia"/>
                <w:sz w:val="21"/>
                <w:szCs w:val="21"/>
              </w:rPr>
              <w:t>500</w:t>
            </w:r>
            <w:bookmarkEnd w:id="72"/>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3" w:name="_Toc152681365"/>
            <w:r>
              <w:rPr>
                <w:rFonts w:hint="eastAsia"/>
                <w:sz w:val="21"/>
                <w:szCs w:val="21"/>
              </w:rPr>
              <w:t>21</w:t>
            </w:r>
            <w:bookmarkEnd w:id="73"/>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74" w:name="_Toc152681366"/>
            <w:r>
              <w:rPr>
                <w:rFonts w:hint="eastAsia"/>
                <w:sz w:val="21"/>
                <w:szCs w:val="21"/>
              </w:rPr>
              <w:t>不重视规章制度建设，未按规定建立健全、落实现场安全生产管理规章制度及安全操作规程</w:t>
            </w:r>
            <w:bookmarkEnd w:id="74"/>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5" w:name="_Toc152681367"/>
            <w:r>
              <w:rPr>
                <w:rFonts w:hint="eastAsia"/>
                <w:sz w:val="21"/>
                <w:szCs w:val="21"/>
              </w:rPr>
              <w:t>500</w:t>
            </w:r>
            <w:bookmarkEnd w:id="75"/>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6" w:name="_Toc152681368"/>
            <w:r>
              <w:rPr>
                <w:rFonts w:hint="eastAsia"/>
                <w:sz w:val="21"/>
                <w:szCs w:val="21"/>
              </w:rPr>
              <w:t>22</w:t>
            </w:r>
            <w:bookmarkEnd w:id="76"/>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77" w:name="_Toc152681369"/>
            <w:r>
              <w:rPr>
                <w:rFonts w:hint="eastAsia"/>
                <w:sz w:val="21"/>
                <w:szCs w:val="21"/>
              </w:rPr>
              <w:t>现场负责人员缺岗</w:t>
            </w:r>
            <w:bookmarkEnd w:id="77"/>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8" w:name="_Toc152681370"/>
            <w:r>
              <w:rPr>
                <w:rFonts w:hint="eastAsia"/>
                <w:sz w:val="21"/>
                <w:szCs w:val="21"/>
              </w:rPr>
              <w:t>500</w:t>
            </w:r>
            <w:bookmarkEnd w:id="78"/>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79" w:name="_Toc152681371"/>
            <w:r>
              <w:rPr>
                <w:rFonts w:hint="eastAsia"/>
                <w:sz w:val="21"/>
                <w:szCs w:val="21"/>
              </w:rPr>
              <w:t>23</w:t>
            </w:r>
            <w:bookmarkEnd w:id="79"/>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80" w:name="_Toc152681372"/>
            <w:r>
              <w:rPr>
                <w:rFonts w:hint="eastAsia"/>
                <w:sz w:val="21"/>
                <w:szCs w:val="21"/>
              </w:rPr>
              <w:t>拒绝、不服从发包方管理、采用过激行为</w:t>
            </w:r>
            <w:bookmarkEnd w:id="80"/>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1" w:name="_Toc152681373"/>
            <w:r>
              <w:rPr>
                <w:rFonts w:hint="eastAsia"/>
                <w:sz w:val="21"/>
                <w:szCs w:val="21"/>
              </w:rPr>
              <w:t>500</w:t>
            </w:r>
            <w:bookmarkEnd w:id="81"/>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2" w:name="_Toc152681374"/>
            <w:r>
              <w:rPr>
                <w:rFonts w:hint="eastAsia"/>
                <w:sz w:val="21"/>
                <w:szCs w:val="21"/>
              </w:rPr>
              <w:t>24</w:t>
            </w:r>
            <w:bookmarkEnd w:id="82"/>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83" w:name="_Toc152681375"/>
            <w:r>
              <w:rPr>
                <w:rFonts w:hint="eastAsia"/>
                <w:sz w:val="21"/>
                <w:szCs w:val="21"/>
              </w:rPr>
              <w:t>未能在规定时间调配足够车辆配合应急处置工作</w:t>
            </w:r>
            <w:bookmarkEnd w:id="83"/>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4" w:name="_Toc152681376"/>
            <w:r>
              <w:rPr>
                <w:rFonts w:hint="eastAsia"/>
                <w:sz w:val="21"/>
                <w:szCs w:val="21"/>
              </w:rPr>
              <w:t>500</w:t>
            </w:r>
            <w:bookmarkEnd w:id="84"/>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5" w:name="_Toc152681377"/>
            <w:r>
              <w:rPr>
                <w:rFonts w:hint="eastAsia"/>
                <w:sz w:val="21"/>
                <w:szCs w:val="21"/>
              </w:rPr>
              <w:t>25</w:t>
            </w:r>
            <w:bookmarkEnd w:id="85"/>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86" w:name="_Toc152681378"/>
            <w:r>
              <w:rPr>
                <w:rFonts w:hint="eastAsia"/>
                <w:sz w:val="21"/>
                <w:szCs w:val="21"/>
              </w:rPr>
              <w:t>安排未经安全教育、考试合格的人员进场作业</w:t>
            </w:r>
            <w:bookmarkEnd w:id="86"/>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7" w:name="_Toc152681379"/>
            <w:r>
              <w:rPr>
                <w:rFonts w:hint="eastAsia"/>
                <w:sz w:val="21"/>
                <w:szCs w:val="21"/>
              </w:rPr>
              <w:t>300</w:t>
            </w:r>
            <w:bookmarkEnd w:id="87"/>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88" w:name="_Toc152681380"/>
            <w:r>
              <w:rPr>
                <w:rFonts w:hint="eastAsia"/>
                <w:sz w:val="21"/>
                <w:szCs w:val="21"/>
              </w:rPr>
              <w:t>26</w:t>
            </w:r>
            <w:bookmarkEnd w:id="88"/>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89" w:name="_Toc152681381"/>
            <w:r>
              <w:rPr>
                <w:rFonts w:hint="eastAsia"/>
                <w:sz w:val="21"/>
                <w:szCs w:val="21"/>
              </w:rPr>
              <w:t>班组管理有关台帐未按要求完成</w:t>
            </w:r>
            <w:bookmarkEnd w:id="89"/>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90" w:name="_Toc152681382"/>
            <w:r>
              <w:rPr>
                <w:rFonts w:hint="eastAsia"/>
                <w:sz w:val="21"/>
                <w:szCs w:val="21"/>
              </w:rPr>
              <w:t>50</w:t>
            </w:r>
            <w:bookmarkEnd w:id="90"/>
          </w:p>
        </w:tc>
      </w:tr>
      <w:tr>
        <w:tblPrEx>
          <w:tblLayout w:type="fixed"/>
          <w:tblCellMar>
            <w:top w:w="0" w:type="dxa"/>
            <w:left w:w="0" w:type="dxa"/>
            <w:bottom w:w="0" w:type="dxa"/>
            <w:right w:w="0" w:type="dxa"/>
          </w:tblCellMar>
        </w:tblPrEx>
        <w:trPr>
          <w:cantSplit/>
          <w:trHeight w:val="34" w:hRule="atLeast"/>
          <w:jc w:val="center"/>
        </w:trPr>
        <w:tc>
          <w:tcPr>
            <w:tcW w:w="564"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bookmarkStart w:id="91" w:name="_Toc152681383"/>
            <w:r>
              <w:rPr>
                <w:rFonts w:hint="eastAsia"/>
                <w:sz w:val="21"/>
                <w:szCs w:val="21"/>
              </w:rPr>
              <w:t>27</w:t>
            </w:r>
            <w:bookmarkEnd w:id="91"/>
          </w:p>
        </w:tc>
        <w:tc>
          <w:tcPr>
            <w:tcW w:w="515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outlineLvl w:val="0"/>
              <w:rPr>
                <w:sz w:val="21"/>
                <w:szCs w:val="21"/>
              </w:rPr>
            </w:pPr>
            <w:bookmarkStart w:id="92" w:name="_Toc152681384"/>
            <w:r>
              <w:rPr>
                <w:rFonts w:hint="eastAsia"/>
                <w:sz w:val="21"/>
                <w:szCs w:val="21"/>
              </w:rPr>
              <w:t>重复违章作业的双倍考核扣分</w:t>
            </w:r>
            <w:bookmarkEnd w:id="92"/>
          </w:p>
        </w:tc>
        <w:tc>
          <w:tcPr>
            <w:tcW w:w="1840" w:type="dxa"/>
            <w:tcBorders>
              <w:top w:val="single" w:color="auto" w:sz="4" w:space="0"/>
              <w:left w:val="single" w:color="auto" w:sz="4" w:space="0"/>
              <w:bottom w:val="single" w:color="auto" w:sz="4" w:space="0"/>
              <w:right w:val="single" w:color="auto" w:sz="4" w:space="0"/>
            </w:tcBorders>
            <w:vAlign w:val="center"/>
          </w:tcPr>
          <w:p>
            <w:pPr>
              <w:pStyle w:val="11"/>
              <w:widowControl/>
              <w:shd w:val="clear" w:color="auto" w:fill="FFFFFF"/>
              <w:spacing w:before="0" w:beforeAutospacing="0" w:after="0" w:afterAutospacing="0"/>
              <w:jc w:val="center"/>
              <w:outlineLvl w:val="0"/>
              <w:rPr>
                <w:sz w:val="21"/>
                <w:szCs w:val="21"/>
              </w:rPr>
            </w:pPr>
          </w:p>
        </w:tc>
      </w:tr>
    </w:tbl>
    <w:p>
      <w:pPr>
        <w:pStyle w:val="11"/>
        <w:widowControl/>
        <w:shd w:val="clear" w:color="auto" w:fill="FFFFFF"/>
        <w:spacing w:before="0" w:beforeAutospacing="0" w:after="0" w:afterAutospacing="0"/>
        <w:jc w:val="center"/>
        <w:outlineLvl w:val="0"/>
        <w:rPr>
          <w:sz w:val="21"/>
          <w:szCs w:val="21"/>
        </w:rPr>
      </w:pPr>
    </w:p>
    <w:p>
      <w:pPr>
        <w:pStyle w:val="11"/>
        <w:widowControl/>
        <w:shd w:val="clear" w:color="auto" w:fill="FFFFFF"/>
        <w:spacing w:before="0" w:beforeAutospacing="0" w:after="0" w:afterAutospacing="0"/>
        <w:jc w:val="center"/>
        <w:outlineLvl w:val="0"/>
        <w:rPr>
          <w:sz w:val="21"/>
          <w:szCs w:val="21"/>
        </w:rPr>
      </w:pPr>
    </w:p>
    <w:p>
      <w:pPr>
        <w:jc w:val="center"/>
        <w:rPr>
          <w:rFonts w:hint="eastAsia"/>
          <w:lang w:val="en-US" w:eastAsia="zh-CN"/>
        </w:rPr>
      </w:pPr>
      <w:r>
        <w:rPr>
          <w:rFonts w:hint="eastAsia"/>
          <w:lang w:val="en-US" w:eastAsia="zh-CN"/>
        </w:rPr>
        <w:t>运输路线图</w:t>
      </w:r>
    </w:p>
    <w:p>
      <w:pPr>
        <w:jc w:val="both"/>
        <w:rPr>
          <w:rFonts w:hint="default"/>
          <w:lang w:val="en-US" w:eastAsia="zh-CN"/>
        </w:rPr>
      </w:pPr>
      <w:r>
        <w:rPr>
          <w:rFonts w:hint="eastAsia"/>
          <w:lang w:val="en-US" w:eastAsia="zh-CN"/>
        </w:rPr>
        <w:t>1、一二期石膏运输路线：</w:t>
      </w:r>
    </w:p>
    <w:p>
      <w:pPr>
        <w:jc w:val="both"/>
        <w:rPr>
          <w:rFonts w:hint="default"/>
          <w:lang w:val="en-US" w:eastAsia="zh-CN"/>
        </w:rPr>
      </w:pPr>
      <w:r>
        <w:drawing>
          <wp:inline distT="0" distB="0" distL="114300" distR="114300">
            <wp:extent cx="5634990" cy="1927860"/>
            <wp:effectExtent l="0" t="0" r="3810" b="1524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5"/>
                    <a:stretch>
                      <a:fillRect/>
                    </a:stretch>
                  </pic:blipFill>
                  <pic:spPr>
                    <a:xfrm>
                      <a:off x="0" y="0"/>
                      <a:ext cx="5634990" cy="1927860"/>
                    </a:xfrm>
                    <a:prstGeom prst="rect">
                      <a:avLst/>
                    </a:prstGeom>
                    <a:noFill/>
                    <a:ln>
                      <a:noFill/>
                    </a:ln>
                  </pic:spPr>
                </pic:pic>
              </a:graphicData>
            </a:graphic>
          </wp:inline>
        </w:drawing>
      </w:r>
    </w:p>
    <w:p>
      <w:pPr>
        <w:jc w:val="both"/>
        <w:rPr>
          <w:rFonts w:hint="default"/>
          <w:lang w:val="en-US" w:eastAsia="zh-CN"/>
        </w:rPr>
      </w:pPr>
    </w:p>
    <w:p>
      <w:pPr>
        <w:numPr>
          <w:ilvl w:val="0"/>
          <w:numId w:val="3"/>
        </w:numPr>
        <w:jc w:val="both"/>
        <w:rPr>
          <w:rFonts w:hint="eastAsia"/>
          <w:lang w:val="en-US" w:eastAsia="zh-CN"/>
        </w:rPr>
      </w:pPr>
      <w:r>
        <w:rPr>
          <w:rFonts w:hint="eastAsia"/>
          <w:lang w:val="en-US" w:eastAsia="zh-CN"/>
        </w:rPr>
        <w:t>三期石膏运输路线：</w:t>
      </w:r>
    </w:p>
    <w:p>
      <w:pPr>
        <w:numPr>
          <w:ilvl w:val="0"/>
          <w:numId w:val="0"/>
        </w:numPr>
        <w:jc w:val="both"/>
        <w:rPr>
          <w:rFonts w:hint="default"/>
          <w:lang w:val="en-US" w:eastAsia="zh-CN"/>
        </w:rPr>
      </w:pPr>
      <w:r>
        <w:rPr>
          <w:rFonts w:hint="default"/>
          <w:lang w:val="en-US" w:eastAsia="zh-CN"/>
        </w:rPr>
        <w:drawing>
          <wp:inline distT="0" distB="0" distL="114300" distR="114300">
            <wp:extent cx="2621915" cy="3121025"/>
            <wp:effectExtent l="0" t="0" r="6985" b="3175"/>
            <wp:docPr id="3" name="图片 3" descr="28559875ee45e4bfd0ccaeed2f1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8559875ee45e4bfd0ccaeed2f15124"/>
                    <pic:cNvPicPr>
                      <a:picLocks noChangeAspect="1"/>
                    </pic:cNvPicPr>
                  </pic:nvPicPr>
                  <pic:blipFill>
                    <a:blip r:embed="rId6"/>
                    <a:stretch>
                      <a:fillRect/>
                    </a:stretch>
                  </pic:blipFill>
                  <pic:spPr>
                    <a:xfrm>
                      <a:off x="0" y="0"/>
                      <a:ext cx="2621915" cy="3121025"/>
                    </a:xfrm>
                    <a:prstGeom prst="rect">
                      <a:avLst/>
                    </a:prstGeom>
                  </pic:spPr>
                </pic:pic>
              </a:graphicData>
            </a:graphic>
          </wp:inline>
        </w:drawing>
      </w:r>
    </w:p>
    <w:p>
      <w:pPr>
        <w:numPr>
          <w:ilvl w:val="0"/>
          <w:numId w:val="3"/>
        </w:numPr>
        <w:ind w:left="0" w:leftChars="0" w:firstLine="0" w:firstLineChars="0"/>
        <w:jc w:val="both"/>
        <w:rPr>
          <w:rFonts w:hint="eastAsia"/>
          <w:lang w:val="en-US" w:eastAsia="zh-CN"/>
        </w:rPr>
      </w:pPr>
      <w:r>
        <w:rPr>
          <w:rFonts w:hint="eastAsia"/>
          <w:lang w:val="en-US" w:eastAsia="zh-CN"/>
        </w:rPr>
        <w:t>一二期渣仓运输路线：</w:t>
      </w:r>
    </w:p>
    <w:p>
      <w:pPr>
        <w:numPr>
          <w:ilvl w:val="0"/>
          <w:numId w:val="0"/>
        </w:numPr>
        <w:ind w:leftChars="0"/>
        <w:jc w:val="both"/>
        <w:rPr>
          <w:rFonts w:hint="eastAsia"/>
          <w:lang w:val="en-US" w:eastAsia="zh-CN"/>
        </w:rPr>
      </w:pPr>
      <w:r>
        <w:drawing>
          <wp:inline distT="0" distB="0" distL="114300" distR="114300">
            <wp:extent cx="2591435" cy="3324860"/>
            <wp:effectExtent l="0" t="0" r="8890" b="184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rot="5400000">
                      <a:off x="0" y="0"/>
                      <a:ext cx="2591435" cy="3324860"/>
                    </a:xfrm>
                    <a:prstGeom prst="rect">
                      <a:avLst/>
                    </a:prstGeom>
                    <a:noFill/>
                    <a:ln>
                      <a:noFill/>
                    </a:ln>
                  </pic:spPr>
                </pic:pic>
              </a:graphicData>
            </a:graphic>
          </wp:inline>
        </w:drawing>
      </w:r>
    </w:p>
    <w:p>
      <w:pPr>
        <w:numPr>
          <w:ilvl w:val="0"/>
          <w:numId w:val="3"/>
        </w:numPr>
        <w:ind w:left="0" w:leftChars="0" w:firstLine="0" w:firstLineChars="0"/>
        <w:jc w:val="both"/>
        <w:rPr>
          <w:rFonts w:hint="eastAsia"/>
          <w:lang w:val="en-US" w:eastAsia="zh-CN"/>
        </w:rPr>
      </w:pPr>
      <w:r>
        <w:rPr>
          <w:rFonts w:hint="eastAsia"/>
          <w:lang w:val="en-US" w:eastAsia="zh-CN"/>
        </w:rPr>
        <w:t>三期渣仓运输路线：</w:t>
      </w:r>
    </w:p>
    <w:p>
      <w:pPr>
        <w:numPr>
          <w:ilvl w:val="0"/>
          <w:numId w:val="0"/>
        </w:numPr>
        <w:ind w:leftChars="0"/>
        <w:jc w:val="both"/>
        <w:rPr>
          <w:rFonts w:hint="eastAsia"/>
          <w:lang w:val="en-US" w:eastAsia="zh-CN"/>
        </w:rPr>
      </w:pPr>
      <w:r>
        <w:drawing>
          <wp:inline distT="0" distB="0" distL="114300" distR="114300">
            <wp:extent cx="2737485" cy="3388995"/>
            <wp:effectExtent l="0" t="0" r="1905" b="571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rot="16200000">
                      <a:off x="0" y="0"/>
                      <a:ext cx="2737485" cy="3388995"/>
                    </a:xfrm>
                    <a:prstGeom prst="rect">
                      <a:avLst/>
                    </a:prstGeom>
                    <a:noFill/>
                    <a:ln>
                      <a:noFill/>
                    </a:ln>
                  </pic:spPr>
                </pic:pic>
              </a:graphicData>
            </a:graphic>
          </wp:inline>
        </w:drawing>
      </w:r>
    </w:p>
    <w:p>
      <w:pPr>
        <w:numPr>
          <w:ilvl w:val="0"/>
          <w:numId w:val="3"/>
        </w:numPr>
        <w:ind w:left="0" w:leftChars="0" w:firstLine="0" w:firstLineChars="0"/>
        <w:jc w:val="both"/>
        <w:rPr>
          <w:rFonts w:hint="eastAsia"/>
          <w:lang w:val="en-US" w:eastAsia="zh-CN"/>
        </w:rPr>
      </w:pPr>
      <w:r>
        <w:rPr>
          <w:rFonts w:hint="eastAsia"/>
          <w:lang w:val="en-US" w:eastAsia="zh-CN"/>
        </w:rPr>
        <w:t>一二期固废堆棚至综合码头：</w:t>
      </w:r>
    </w:p>
    <w:p>
      <w:pPr>
        <w:numPr>
          <w:ilvl w:val="0"/>
          <w:numId w:val="0"/>
        </w:numPr>
        <w:ind w:leftChars="0"/>
        <w:jc w:val="both"/>
        <w:rPr>
          <w:rFonts w:hint="eastAsia"/>
          <w:lang w:val="en-US" w:eastAsia="zh-CN"/>
        </w:rPr>
      </w:pPr>
      <w:r>
        <w:rPr>
          <w:rFonts w:hint="eastAsia"/>
          <w:lang w:val="en-US" w:eastAsia="zh-CN"/>
        </w:rPr>
        <w:drawing>
          <wp:inline distT="0" distB="0" distL="114300" distR="114300">
            <wp:extent cx="5263515" cy="1136650"/>
            <wp:effectExtent l="0" t="0" r="13335" b="6350"/>
            <wp:docPr id="4" name="图片 4" descr="07fc976237a3c1d7f38e4e48ceefe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7fc976237a3c1d7f38e4e48ceefec5"/>
                    <pic:cNvPicPr>
                      <a:picLocks noChangeAspect="1"/>
                    </pic:cNvPicPr>
                  </pic:nvPicPr>
                  <pic:blipFill>
                    <a:blip r:embed="rId9"/>
                    <a:stretch>
                      <a:fillRect/>
                    </a:stretch>
                  </pic:blipFill>
                  <pic:spPr>
                    <a:xfrm>
                      <a:off x="0" y="0"/>
                      <a:ext cx="5263515" cy="1136650"/>
                    </a:xfrm>
                    <a:prstGeom prst="rect">
                      <a:avLst/>
                    </a:prstGeom>
                  </pic:spPr>
                </pic:pic>
              </a:graphicData>
            </a:graphic>
          </wp:inline>
        </w:drawing>
      </w: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default"/>
          <w:lang w:val="en-US" w:eastAsia="zh-CN"/>
        </w:rPr>
      </w:pPr>
      <w:r>
        <w:rPr>
          <w:rFonts w:hint="eastAsia"/>
          <w:lang w:val="en-US" w:eastAsia="zh-CN"/>
        </w:rPr>
        <w:t>6、三期石膏仓至综合码头：</w:t>
      </w:r>
    </w:p>
    <w:p>
      <w:pPr>
        <w:numPr>
          <w:ilvl w:val="0"/>
          <w:numId w:val="0"/>
        </w:numPr>
        <w:ind w:leftChars="0"/>
        <w:jc w:val="both"/>
        <w:rPr>
          <w:rFonts w:hint="eastAsia"/>
          <w:lang w:val="en-US" w:eastAsia="zh-CN"/>
        </w:rPr>
      </w:pPr>
      <w:r>
        <w:rPr>
          <w:rFonts w:hint="default"/>
          <w:lang w:val="en-US" w:eastAsia="zh-CN"/>
        </w:rPr>
        <w:drawing>
          <wp:inline distT="0" distB="0" distL="114300" distR="114300">
            <wp:extent cx="5263515" cy="1485265"/>
            <wp:effectExtent l="0" t="0" r="13335" b="635"/>
            <wp:docPr id="5" name="图片 5" descr="eeb9f4325be31d5d8c8eaf532c60e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eb9f4325be31d5d8c8eaf532c60eab"/>
                    <pic:cNvPicPr>
                      <a:picLocks noChangeAspect="1"/>
                    </pic:cNvPicPr>
                  </pic:nvPicPr>
                  <pic:blipFill>
                    <a:blip r:embed="rId10"/>
                    <a:stretch>
                      <a:fillRect/>
                    </a:stretch>
                  </pic:blipFill>
                  <pic:spPr>
                    <a:xfrm>
                      <a:off x="0" y="0"/>
                      <a:ext cx="5263515" cy="1485265"/>
                    </a:xfrm>
                    <a:prstGeom prst="rect">
                      <a:avLst/>
                    </a:prstGeom>
                  </pic:spPr>
                </pic:pic>
              </a:graphicData>
            </a:graphic>
          </wp:inline>
        </w:drawing>
      </w: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p>
    <w:p>
      <w:pPr>
        <w:numPr>
          <w:ilvl w:val="0"/>
          <w:numId w:val="0"/>
        </w:numPr>
        <w:ind w:leftChars="0"/>
        <w:jc w:val="both"/>
        <w:rPr>
          <w:rFonts w:hint="eastAsia"/>
          <w:lang w:val="en-US" w:eastAsia="zh-CN"/>
        </w:rPr>
      </w:pPr>
      <w:r>
        <w:rPr>
          <w:rFonts w:hint="eastAsia"/>
          <w:lang w:val="en-US" w:eastAsia="zh-CN"/>
        </w:rPr>
        <w:t>7、调湿灰运输路线：</w:t>
      </w:r>
    </w:p>
    <w:p>
      <w:pPr>
        <w:numPr>
          <w:ilvl w:val="0"/>
          <w:numId w:val="0"/>
        </w:numPr>
        <w:ind w:leftChars="0"/>
        <w:jc w:val="both"/>
      </w:pPr>
      <w:r>
        <w:drawing>
          <wp:inline distT="0" distB="0" distL="114300" distR="114300">
            <wp:extent cx="3189605" cy="3043555"/>
            <wp:effectExtent l="0" t="0" r="10795"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1"/>
                    <a:stretch>
                      <a:fillRect/>
                    </a:stretch>
                  </pic:blipFill>
                  <pic:spPr>
                    <a:xfrm>
                      <a:off x="0" y="0"/>
                      <a:ext cx="3189605" cy="3043555"/>
                    </a:xfrm>
                    <a:prstGeom prst="rect">
                      <a:avLst/>
                    </a:prstGeom>
                    <a:noFill/>
                    <a:ln>
                      <a:noFill/>
                    </a:ln>
                  </pic:spPr>
                </pic:pic>
              </a:graphicData>
            </a:graphic>
          </wp:inline>
        </w:drawing>
      </w:r>
    </w:p>
    <w:p>
      <w:pPr>
        <w:numPr>
          <w:ilvl w:val="0"/>
          <w:numId w:val="0"/>
        </w:numPr>
        <w:ind w:leftChars="0"/>
        <w:jc w:val="both"/>
      </w:pPr>
    </w:p>
    <w:p>
      <w:pPr>
        <w:numPr>
          <w:ilvl w:val="0"/>
          <w:numId w:val="4"/>
        </w:numPr>
        <w:ind w:leftChars="0"/>
        <w:jc w:val="both"/>
        <w:rPr>
          <w:rFonts w:hint="eastAsia"/>
          <w:lang w:val="en-US" w:eastAsia="zh-CN"/>
        </w:rPr>
      </w:pPr>
      <w:r>
        <w:rPr>
          <w:rFonts w:hint="eastAsia"/>
          <w:lang w:val="en-US" w:eastAsia="zh-CN"/>
        </w:rPr>
        <w:t>脱硫煤泥运输路线：</w:t>
      </w:r>
    </w:p>
    <w:p>
      <w:pPr>
        <w:pStyle w:val="11"/>
        <w:widowControl/>
        <w:shd w:val="clear" w:color="auto" w:fill="FFFFFF"/>
        <w:spacing w:before="0" w:beforeAutospacing="0" w:after="0" w:afterAutospacing="0"/>
        <w:jc w:val="both"/>
        <w:outlineLvl w:val="0"/>
        <w:rPr>
          <w:sz w:val="21"/>
          <w:szCs w:val="21"/>
        </w:rPr>
      </w:pPr>
      <w:r>
        <w:drawing>
          <wp:inline distT="0" distB="0" distL="114300" distR="114300">
            <wp:extent cx="5269230" cy="4326255"/>
            <wp:effectExtent l="0" t="0" r="7620" b="171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2"/>
                    <a:stretch>
                      <a:fillRect/>
                    </a:stretch>
                  </pic:blipFill>
                  <pic:spPr>
                    <a:xfrm>
                      <a:off x="0" y="0"/>
                      <a:ext cx="5269230" cy="4326255"/>
                    </a:xfrm>
                    <a:prstGeom prst="rect">
                      <a:avLst/>
                    </a:prstGeom>
                    <a:noFill/>
                    <a:ln>
                      <a:noFill/>
                    </a:ln>
                  </pic:spPr>
                </pic:pic>
              </a:graphicData>
            </a:graphic>
          </wp:inline>
        </w:drawing>
      </w:r>
    </w:p>
    <w:p>
      <w:pPr>
        <w:pStyle w:val="11"/>
        <w:widowControl/>
        <w:shd w:val="clear" w:color="auto" w:fill="FFFFFF"/>
        <w:spacing w:before="0" w:beforeAutospacing="0" w:after="0" w:afterAutospacing="0"/>
        <w:jc w:val="center"/>
        <w:outlineLvl w:val="0"/>
        <w:rPr>
          <w:sz w:val="21"/>
          <w:szCs w:val="21"/>
        </w:rPr>
      </w:pPr>
    </w:p>
    <w:sectPr>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2"/>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S?o｡ﾀ?">
    <w:altName w:val="MS PGothic"/>
    <w:panose1 w:val="00000000000000000000"/>
    <w:charset w:val="80"/>
    <w:family w:val="modern"/>
    <w:pitch w:val="default"/>
    <w:sig w:usb0="00000000" w:usb1="00000000" w:usb2="00000010" w:usb3="00000000" w:csb0="00020000" w:csb1="00000000"/>
  </w:font>
  <w:font w:name="Wingdings 2">
    <w:altName w:val="Wingdings"/>
    <w:panose1 w:val="05020102010507070707"/>
    <w:charset w:val="02"/>
    <w:family w:val="roman"/>
    <w:pitch w:val="default"/>
    <w:sig w:usb0="00000000" w:usb1="00000000" w:usb2="00000000" w:usb3="00000000" w:csb0="80000000" w:csb1="00000000"/>
  </w:font>
  <w:font w:name="MS PGothic">
    <w:panose1 w:val="020B0600070205080204"/>
    <w:charset w:val="80"/>
    <w:family w:val="auto"/>
    <w:pitch w:val="default"/>
    <w:sig w:usb0="E00002FF" w:usb1="6AC7FDFB" w:usb2="08000012" w:usb3="00000000" w:csb0="4002009F" w:csb1="DFD7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2C0F8B"/>
    <w:multiLevelType w:val="singleLevel"/>
    <w:tmpl w:val="942C0F8B"/>
    <w:lvl w:ilvl="0" w:tentative="0">
      <w:start w:val="8"/>
      <w:numFmt w:val="decimal"/>
      <w:suff w:val="nothing"/>
      <w:lvlText w:val="%1、"/>
      <w:lvlJc w:val="left"/>
    </w:lvl>
  </w:abstractNum>
  <w:abstractNum w:abstractNumId="1">
    <w:nsid w:val="9E17D80E"/>
    <w:multiLevelType w:val="singleLevel"/>
    <w:tmpl w:val="9E17D80E"/>
    <w:lvl w:ilvl="0" w:tentative="0">
      <w:start w:val="3"/>
      <w:numFmt w:val="decimal"/>
      <w:suff w:val="nothing"/>
      <w:lvlText w:val="%1．"/>
      <w:lvlJc w:val="left"/>
    </w:lvl>
  </w:abstractNum>
  <w:abstractNum w:abstractNumId="2">
    <w:nsid w:val="0F0F678C"/>
    <w:multiLevelType w:val="singleLevel"/>
    <w:tmpl w:val="0F0F678C"/>
    <w:lvl w:ilvl="0" w:tentative="0">
      <w:start w:val="2"/>
      <w:numFmt w:val="decimal"/>
      <w:suff w:val="nothing"/>
      <w:lvlText w:val="%1、"/>
      <w:lvlJc w:val="left"/>
    </w:lvl>
  </w:abstractNum>
  <w:abstractNum w:abstractNumId="3">
    <w:nsid w:val="1E973DC1"/>
    <w:multiLevelType w:val="multilevel"/>
    <w:tmpl w:val="1E973DC1"/>
    <w:lvl w:ilvl="0" w:tentative="0">
      <w:start w:val="1"/>
      <w:numFmt w:val="decimal"/>
      <w:lvlText w:val="%1"/>
      <w:lvlJc w:val="left"/>
      <w:pPr>
        <w:ind w:left="0" w:firstLine="0"/>
      </w:pPr>
      <w:rPr>
        <w:rFonts w:hint="default"/>
      </w:rPr>
    </w:lvl>
    <w:lvl w:ilvl="1" w:tentative="0">
      <w:start w:val="1"/>
      <w:numFmt w:val="decimal"/>
      <w:lvlText w:val="%1.%2"/>
      <w:lvlJc w:val="left"/>
      <w:pPr>
        <w:ind w:left="367" w:firstLine="200"/>
      </w:pPr>
      <w:rPr>
        <w:rFonts w:hint="default" w:ascii="宋体" w:hAnsi="宋体" w:eastAsia="宋体" w:cs="宋体"/>
        <w:b w:val="0"/>
        <w:i w:val="0"/>
        <w:caps w:val="0"/>
        <w:strike w:val="0"/>
        <w:dstrike w:val="0"/>
        <w:vanish w:val="0"/>
        <w:color w:val="000000"/>
        <w:sz w:val="21"/>
        <w:szCs w:val="21"/>
        <w:vertAlign w:val="baseline"/>
      </w:rPr>
    </w:lvl>
    <w:lvl w:ilvl="2" w:tentative="0">
      <w:start w:val="1"/>
      <w:numFmt w:val="decimal"/>
      <w:lvlText w:val="%1.%2.%3"/>
      <w:lvlJc w:val="left"/>
      <w:pPr>
        <w:ind w:left="0" w:firstLine="400"/>
      </w:pPr>
      <w:rPr>
        <w:rFonts w:hint="default"/>
        <w:b w:val="0"/>
      </w:rPr>
    </w:lvl>
    <w:lvl w:ilvl="3" w:tentative="0">
      <w:start w:val="1"/>
      <w:numFmt w:val="decimal"/>
      <w:lvlText w:val="%1.%2.%3.%4"/>
      <w:lvlJc w:val="left"/>
      <w:pPr>
        <w:ind w:left="0" w:firstLine="400"/>
      </w:pPr>
      <w:rPr>
        <w:rFonts w:hint="default"/>
        <w:b w:val="0"/>
      </w:rPr>
    </w:lvl>
    <w:lvl w:ilvl="4" w:tentative="0">
      <w:start w:val="1"/>
      <w:numFmt w:val="decimal"/>
      <w:lvlText w:val="%1.%2.%3.%4.%5"/>
      <w:lvlJc w:val="left"/>
      <w:pPr>
        <w:ind w:left="2551" w:hanging="850"/>
      </w:pPr>
      <w:rPr>
        <w:rFonts w:hint="default"/>
      </w:rPr>
    </w:lvl>
    <w:lvl w:ilvl="5" w:tentative="0">
      <w:start w:val="1"/>
      <w:numFmt w:val="decimal"/>
      <w:lvlText w:val="%1.%2.%3.%4.%5.%6"/>
      <w:lvlJc w:val="left"/>
      <w:pPr>
        <w:ind w:left="3260" w:hanging="1134"/>
      </w:pPr>
      <w:rPr>
        <w:rFonts w:hint="default"/>
      </w:rPr>
    </w:lvl>
    <w:lvl w:ilvl="6" w:tentative="0">
      <w:start w:val="1"/>
      <w:numFmt w:val="decimal"/>
      <w:lvlText w:val="%1.%2.%3.%4.%5.%6.%7"/>
      <w:lvlJc w:val="left"/>
      <w:pPr>
        <w:ind w:left="3827" w:hanging="1276"/>
      </w:pPr>
      <w:rPr>
        <w:rFonts w:hint="default"/>
      </w:rPr>
    </w:lvl>
    <w:lvl w:ilvl="7" w:tentative="0">
      <w:start w:val="1"/>
      <w:numFmt w:val="decimal"/>
      <w:lvlText w:val="%1.%2.%3.%4.%5.%6.%7.%8"/>
      <w:lvlJc w:val="left"/>
      <w:pPr>
        <w:ind w:left="4394" w:hanging="1418"/>
      </w:pPr>
      <w:rPr>
        <w:rFonts w:hint="default"/>
      </w:rPr>
    </w:lvl>
    <w:lvl w:ilvl="8" w:tentative="0">
      <w:start w:val="1"/>
      <w:numFmt w:val="decimal"/>
      <w:lvlText w:val="%1.%2.%3.%4.%5.%6.%7.%8.%9"/>
      <w:lvlJc w:val="left"/>
      <w:pPr>
        <w:ind w:left="5102" w:hanging="1700"/>
      </w:pPr>
      <w:rPr>
        <w:rFont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VhYzNjYmYxNDAwODVjOWVlY2RlYTMxNGZjNTFhYTEifQ=="/>
  </w:docVars>
  <w:rsids>
    <w:rsidRoot w:val="005A603B"/>
    <w:rsid w:val="000B5BBD"/>
    <w:rsid w:val="00101274"/>
    <w:rsid w:val="00161A5E"/>
    <w:rsid w:val="001A36AA"/>
    <w:rsid w:val="001C578E"/>
    <w:rsid w:val="003110BD"/>
    <w:rsid w:val="00351522"/>
    <w:rsid w:val="003853D0"/>
    <w:rsid w:val="003F63AF"/>
    <w:rsid w:val="00414011"/>
    <w:rsid w:val="004370AD"/>
    <w:rsid w:val="00444B2F"/>
    <w:rsid w:val="004E2CF8"/>
    <w:rsid w:val="005A603B"/>
    <w:rsid w:val="005B0C22"/>
    <w:rsid w:val="005C3B66"/>
    <w:rsid w:val="005F2C9A"/>
    <w:rsid w:val="00616229"/>
    <w:rsid w:val="008720E2"/>
    <w:rsid w:val="00881B50"/>
    <w:rsid w:val="00890B7B"/>
    <w:rsid w:val="008C4E6B"/>
    <w:rsid w:val="008F4081"/>
    <w:rsid w:val="009077EE"/>
    <w:rsid w:val="00924711"/>
    <w:rsid w:val="009A05BE"/>
    <w:rsid w:val="009F1AA6"/>
    <w:rsid w:val="00A63C87"/>
    <w:rsid w:val="00BC7793"/>
    <w:rsid w:val="00BD240B"/>
    <w:rsid w:val="00C078E1"/>
    <w:rsid w:val="00C07ABC"/>
    <w:rsid w:val="00C774D2"/>
    <w:rsid w:val="00C939A9"/>
    <w:rsid w:val="00D41877"/>
    <w:rsid w:val="00E3001E"/>
    <w:rsid w:val="00E54EB0"/>
    <w:rsid w:val="00F26391"/>
    <w:rsid w:val="00F53394"/>
    <w:rsid w:val="051B7F4C"/>
    <w:rsid w:val="059B456E"/>
    <w:rsid w:val="060A0D89"/>
    <w:rsid w:val="09420839"/>
    <w:rsid w:val="09A51F36"/>
    <w:rsid w:val="0A1D552E"/>
    <w:rsid w:val="0A255B30"/>
    <w:rsid w:val="0B626F71"/>
    <w:rsid w:val="0BD73EFF"/>
    <w:rsid w:val="0BDA047C"/>
    <w:rsid w:val="0BF92FD5"/>
    <w:rsid w:val="0C636DAB"/>
    <w:rsid w:val="0C833643"/>
    <w:rsid w:val="0DA6583B"/>
    <w:rsid w:val="0E1B4FC8"/>
    <w:rsid w:val="0FD146C5"/>
    <w:rsid w:val="10924C1B"/>
    <w:rsid w:val="11B21943"/>
    <w:rsid w:val="11F528ED"/>
    <w:rsid w:val="137A33FC"/>
    <w:rsid w:val="1482727C"/>
    <w:rsid w:val="16D547DF"/>
    <w:rsid w:val="17645B06"/>
    <w:rsid w:val="17B07A01"/>
    <w:rsid w:val="18A02CED"/>
    <w:rsid w:val="18E46BAC"/>
    <w:rsid w:val="1A1073A1"/>
    <w:rsid w:val="1A945448"/>
    <w:rsid w:val="1AAC7C82"/>
    <w:rsid w:val="1BAA1A37"/>
    <w:rsid w:val="1DA358F3"/>
    <w:rsid w:val="1DF47EFC"/>
    <w:rsid w:val="1EEA6F51"/>
    <w:rsid w:val="1F5F6E0F"/>
    <w:rsid w:val="1F6D5ED8"/>
    <w:rsid w:val="1FA868E6"/>
    <w:rsid w:val="215C4736"/>
    <w:rsid w:val="21965B7B"/>
    <w:rsid w:val="21B731F4"/>
    <w:rsid w:val="21DA565B"/>
    <w:rsid w:val="253B5B71"/>
    <w:rsid w:val="261026DD"/>
    <w:rsid w:val="270D0281"/>
    <w:rsid w:val="27651E6B"/>
    <w:rsid w:val="278509EF"/>
    <w:rsid w:val="27911883"/>
    <w:rsid w:val="27AE44A2"/>
    <w:rsid w:val="27D4056A"/>
    <w:rsid w:val="28E1005F"/>
    <w:rsid w:val="29A46E93"/>
    <w:rsid w:val="2AAA3153"/>
    <w:rsid w:val="2CC93DC1"/>
    <w:rsid w:val="2D2B7D42"/>
    <w:rsid w:val="2D9256AB"/>
    <w:rsid w:val="2DD45655"/>
    <w:rsid w:val="2E13617D"/>
    <w:rsid w:val="2F6639F6"/>
    <w:rsid w:val="2FAC42A3"/>
    <w:rsid w:val="311D7113"/>
    <w:rsid w:val="316311C9"/>
    <w:rsid w:val="321C414A"/>
    <w:rsid w:val="3273317B"/>
    <w:rsid w:val="33C82673"/>
    <w:rsid w:val="34204CFB"/>
    <w:rsid w:val="34277225"/>
    <w:rsid w:val="34727A6F"/>
    <w:rsid w:val="35FB6F8C"/>
    <w:rsid w:val="361C3DE6"/>
    <w:rsid w:val="3679784E"/>
    <w:rsid w:val="36A51A31"/>
    <w:rsid w:val="39B22676"/>
    <w:rsid w:val="3C5C5193"/>
    <w:rsid w:val="3E646958"/>
    <w:rsid w:val="3EB412B6"/>
    <w:rsid w:val="3ED5122D"/>
    <w:rsid w:val="3F1F70EF"/>
    <w:rsid w:val="3F3348D1"/>
    <w:rsid w:val="3FBB6674"/>
    <w:rsid w:val="3FF676AC"/>
    <w:rsid w:val="422210F1"/>
    <w:rsid w:val="424F4A7D"/>
    <w:rsid w:val="42505085"/>
    <w:rsid w:val="42601578"/>
    <w:rsid w:val="43846EEC"/>
    <w:rsid w:val="442E5C7E"/>
    <w:rsid w:val="44643B0C"/>
    <w:rsid w:val="44921636"/>
    <w:rsid w:val="44C41C60"/>
    <w:rsid w:val="465B64BB"/>
    <w:rsid w:val="46706403"/>
    <w:rsid w:val="46794B93"/>
    <w:rsid w:val="47553C77"/>
    <w:rsid w:val="47BA5463"/>
    <w:rsid w:val="49F0534C"/>
    <w:rsid w:val="4A11714F"/>
    <w:rsid w:val="4A5330DF"/>
    <w:rsid w:val="4ACC23CB"/>
    <w:rsid w:val="4AFA4C5C"/>
    <w:rsid w:val="4B094738"/>
    <w:rsid w:val="4C0073E6"/>
    <w:rsid w:val="4CB70D77"/>
    <w:rsid w:val="4D13549F"/>
    <w:rsid w:val="4D7B7443"/>
    <w:rsid w:val="4DD8074F"/>
    <w:rsid w:val="51C4585C"/>
    <w:rsid w:val="52164B42"/>
    <w:rsid w:val="529E69A5"/>
    <w:rsid w:val="530968EA"/>
    <w:rsid w:val="54183C3E"/>
    <w:rsid w:val="54210D44"/>
    <w:rsid w:val="54520EFE"/>
    <w:rsid w:val="545A46FF"/>
    <w:rsid w:val="56B75990"/>
    <w:rsid w:val="56FB4CC0"/>
    <w:rsid w:val="56FB5296"/>
    <w:rsid w:val="57440C70"/>
    <w:rsid w:val="58DA7713"/>
    <w:rsid w:val="59374B66"/>
    <w:rsid w:val="598E1543"/>
    <w:rsid w:val="5AD43B1B"/>
    <w:rsid w:val="5C6C4B26"/>
    <w:rsid w:val="5D8365CC"/>
    <w:rsid w:val="5EE50BC0"/>
    <w:rsid w:val="5F8522C0"/>
    <w:rsid w:val="5FCF6E41"/>
    <w:rsid w:val="5FFD4543"/>
    <w:rsid w:val="607423AB"/>
    <w:rsid w:val="61420D32"/>
    <w:rsid w:val="617F5EF2"/>
    <w:rsid w:val="63440380"/>
    <w:rsid w:val="63BA3EC1"/>
    <w:rsid w:val="64B41760"/>
    <w:rsid w:val="6588304B"/>
    <w:rsid w:val="66B73D83"/>
    <w:rsid w:val="67252CE5"/>
    <w:rsid w:val="682B5589"/>
    <w:rsid w:val="68E5013A"/>
    <w:rsid w:val="6A720E07"/>
    <w:rsid w:val="6B340CF3"/>
    <w:rsid w:val="6B6E033C"/>
    <w:rsid w:val="6BBB585F"/>
    <w:rsid w:val="6C2E3BA6"/>
    <w:rsid w:val="6C465394"/>
    <w:rsid w:val="6C916681"/>
    <w:rsid w:val="6DCC3677"/>
    <w:rsid w:val="6DF56E65"/>
    <w:rsid w:val="6EA2087C"/>
    <w:rsid w:val="6F5C0A2B"/>
    <w:rsid w:val="6FA36659"/>
    <w:rsid w:val="6FFA706B"/>
    <w:rsid w:val="70111E66"/>
    <w:rsid w:val="70692A85"/>
    <w:rsid w:val="70B033AD"/>
    <w:rsid w:val="710664B5"/>
    <w:rsid w:val="71215B84"/>
    <w:rsid w:val="712E4649"/>
    <w:rsid w:val="72C26723"/>
    <w:rsid w:val="73B21561"/>
    <w:rsid w:val="744C7374"/>
    <w:rsid w:val="748D1686"/>
    <w:rsid w:val="74C42E0C"/>
    <w:rsid w:val="74F552EA"/>
    <w:rsid w:val="764C6191"/>
    <w:rsid w:val="76953D06"/>
    <w:rsid w:val="773A5182"/>
    <w:rsid w:val="774D1D1A"/>
    <w:rsid w:val="77D0217F"/>
    <w:rsid w:val="77F32154"/>
    <w:rsid w:val="78D61170"/>
    <w:rsid w:val="790A14F7"/>
    <w:rsid w:val="79E63050"/>
    <w:rsid w:val="79ED7A96"/>
    <w:rsid w:val="7A224407"/>
    <w:rsid w:val="7C914409"/>
    <w:rsid w:val="7CD23604"/>
    <w:rsid w:val="7CE24C65"/>
    <w:rsid w:val="7EAF36F7"/>
    <w:rsid w:val="7F8B383C"/>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qFormat/>
    <w:uiPriority w:val="99"/>
    <w:pPr>
      <w:keepNext/>
      <w:keepLines/>
      <w:spacing w:before="340" w:after="330" w:line="578" w:lineRule="auto"/>
      <w:outlineLvl w:val="0"/>
    </w:pPr>
    <w:rPr>
      <w:b/>
      <w:bCs/>
      <w:kern w:val="44"/>
      <w:sz w:val="44"/>
      <w:szCs w:val="44"/>
    </w:rPr>
  </w:style>
  <w:style w:type="paragraph" w:styleId="4">
    <w:name w:val="heading 2"/>
    <w:basedOn w:val="1"/>
    <w:next w:val="1"/>
    <w:qFormat/>
    <w:uiPriority w:val="99"/>
    <w:pPr>
      <w:keepNext/>
      <w:keepLines/>
      <w:spacing w:before="260" w:after="260" w:line="416" w:lineRule="auto"/>
      <w:outlineLvl w:val="1"/>
    </w:pPr>
    <w:rPr>
      <w:rFonts w:ascii="Cambria" w:hAnsi="Cambria"/>
      <w:b/>
      <w:bCs/>
      <w:sz w:val="32"/>
      <w:szCs w:val="32"/>
    </w:rPr>
  </w:style>
  <w:style w:type="paragraph" w:styleId="2">
    <w:name w:val="heading 4"/>
    <w:basedOn w:val="1"/>
    <w:next w:val="1"/>
    <w:unhideWhenUsed/>
    <w:qFormat/>
    <w:uiPriority w:val="9"/>
    <w:pPr>
      <w:keepNext/>
      <w:keepLines/>
      <w:snapToGrid w:val="0"/>
      <w:spacing w:before="280" w:after="290" w:line="372" w:lineRule="auto"/>
      <w:ind w:firstLine="200" w:firstLineChars="200"/>
      <w:outlineLvl w:val="3"/>
    </w:pPr>
    <w:rPr>
      <w:rFonts w:ascii="Arial" w:hAnsi="Arial" w:eastAsia="黑体"/>
      <w:kern w:val="2"/>
      <w:sz w:val="28"/>
      <w:szCs w:val="24"/>
    </w:rPr>
  </w:style>
  <w:style w:type="character" w:default="1" w:styleId="13">
    <w:name w:val="Default Paragraph Font"/>
    <w:unhideWhenUsed/>
    <w:qFormat/>
    <w:uiPriority w:val="1"/>
  </w:style>
  <w:style w:type="table" w:default="1" w:styleId="15">
    <w:name w:val="Normal Table"/>
    <w:unhideWhenUsed/>
    <w:qFormat/>
    <w:uiPriority w:val="99"/>
    <w:tblPr>
      <w:tblLayout w:type="fixed"/>
      <w:tblCellMar>
        <w:top w:w="0" w:type="dxa"/>
        <w:left w:w="108" w:type="dxa"/>
        <w:bottom w:w="0" w:type="dxa"/>
        <w:right w:w="108" w:type="dxa"/>
      </w:tblCellMar>
    </w:tblPr>
  </w:style>
  <w:style w:type="paragraph" w:styleId="5">
    <w:name w:val="Normal Indent"/>
    <w:basedOn w:val="1"/>
    <w:qFormat/>
    <w:uiPriority w:val="0"/>
    <w:pPr>
      <w:widowControl/>
      <w:ind w:firstLine="420"/>
      <w:jc w:val="left"/>
    </w:pPr>
    <w:rPr>
      <w:rFonts w:ascii="Calibri" w:hAnsi="Calibri"/>
      <w:sz w:val="22"/>
      <w:szCs w:val="22"/>
      <w:lang w:eastAsia="en-US" w:bidi="en-US"/>
    </w:rPr>
  </w:style>
  <w:style w:type="paragraph" w:styleId="6">
    <w:name w:val="Body Text Indent 2"/>
    <w:basedOn w:val="1"/>
    <w:link w:val="22"/>
    <w:qFormat/>
    <w:uiPriority w:val="0"/>
    <w:pPr>
      <w:adjustRightInd w:val="0"/>
      <w:spacing w:line="360" w:lineRule="auto"/>
      <w:ind w:firstLine="510"/>
      <w:jc w:val="left"/>
      <w:textAlignment w:val="baseline"/>
    </w:pPr>
    <w:rPr>
      <w:rFonts w:ascii="宋体" w:hAnsi="宋体"/>
      <w:color w:val="FF0000"/>
      <w:kern w:val="0"/>
      <w:sz w:val="24"/>
    </w:rPr>
  </w:style>
  <w:style w:type="paragraph" w:styleId="7">
    <w:name w:val="Balloon Text"/>
    <w:basedOn w:val="1"/>
    <w:link w:val="20"/>
    <w:unhideWhenUsed/>
    <w:qFormat/>
    <w:uiPriority w:val="99"/>
    <w:rPr>
      <w:sz w:val="18"/>
      <w:szCs w:val="18"/>
    </w:rPr>
  </w:style>
  <w:style w:type="paragraph" w:styleId="8">
    <w:name w:val="footer"/>
    <w:basedOn w:val="1"/>
    <w:link w:val="18"/>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9">
    <w:name w:val="header"/>
    <w:basedOn w:val="1"/>
    <w:link w:val="17"/>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0">
    <w:name w:val="toc 1"/>
    <w:basedOn w:val="1"/>
    <w:next w:val="1"/>
    <w:unhideWhenUsed/>
    <w:qFormat/>
    <w:uiPriority w:val="39"/>
  </w:style>
  <w:style w:type="paragraph" w:styleId="11">
    <w:name w:val="Normal (Web)"/>
    <w:basedOn w:val="12"/>
    <w:unhideWhenUsed/>
    <w:qFormat/>
    <w:uiPriority w:val="0"/>
    <w:pPr>
      <w:spacing w:before="100" w:beforeAutospacing="1" w:after="100" w:afterAutospacing="1"/>
    </w:pPr>
    <w:rPr>
      <w:rFonts w:eastAsia="宋体" w:cs="Times New Roman"/>
      <w:kern w:val="2"/>
      <w:sz w:val="24"/>
    </w:rPr>
  </w:style>
  <w:style w:type="paragraph" w:customStyle="1" w:styleId="12">
    <w:name w:val="正文_7_0"/>
    <w:qFormat/>
    <w:uiPriority w:val="0"/>
    <w:pPr>
      <w:widowControl w:val="0"/>
      <w:jc w:val="both"/>
    </w:pPr>
    <w:rPr>
      <w:rFonts w:ascii="宋体" w:hAnsi="宋体" w:eastAsia="Malgun Gothic" w:cs="宋体"/>
      <w:lang w:val="en-US" w:eastAsia="zh-CN" w:bidi="ar-SA"/>
    </w:rPr>
  </w:style>
  <w:style w:type="character" w:styleId="14">
    <w:name w:val="Hyperlink"/>
    <w:basedOn w:val="13"/>
    <w:unhideWhenUsed/>
    <w:qFormat/>
    <w:uiPriority w:val="99"/>
    <w:rPr>
      <w:color w:val="0000FF" w:themeColor="hyperlink"/>
      <w:u w:val="single"/>
      <w14:textFill>
        <w14:solidFill>
          <w14:schemeClr w14:val="hlink"/>
        </w14:solidFill>
      </w14:textFill>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7">
    <w:name w:val="页眉 Char"/>
    <w:basedOn w:val="13"/>
    <w:link w:val="9"/>
    <w:qFormat/>
    <w:uiPriority w:val="99"/>
    <w:rPr>
      <w:sz w:val="18"/>
      <w:szCs w:val="18"/>
    </w:rPr>
  </w:style>
  <w:style w:type="character" w:customStyle="1" w:styleId="18">
    <w:name w:val="页脚 Char"/>
    <w:basedOn w:val="13"/>
    <w:link w:val="8"/>
    <w:qFormat/>
    <w:uiPriority w:val="99"/>
    <w:rPr>
      <w:sz w:val="18"/>
      <w:szCs w:val="18"/>
    </w:rPr>
  </w:style>
  <w:style w:type="paragraph" w:customStyle="1" w:styleId="19">
    <w:name w:val="WPSOffice手动目录 1"/>
    <w:qFormat/>
    <w:uiPriority w:val="0"/>
    <w:rPr>
      <w:rFonts w:ascii="Calibri" w:hAnsi="Calibri" w:eastAsia="宋体" w:cs="Times New Roman"/>
      <w:lang w:val="en-US" w:eastAsia="zh-CN" w:bidi="ar-SA"/>
    </w:rPr>
  </w:style>
  <w:style w:type="character" w:customStyle="1" w:styleId="20">
    <w:name w:val="批注框文本 Char"/>
    <w:basedOn w:val="13"/>
    <w:link w:val="7"/>
    <w:semiHidden/>
    <w:qFormat/>
    <w:uiPriority w:val="99"/>
    <w:rPr>
      <w:kern w:val="2"/>
      <w:sz w:val="18"/>
      <w:szCs w:val="18"/>
    </w:rPr>
  </w:style>
  <w:style w:type="paragraph" w:customStyle="1" w:styleId="21">
    <w:name w:val="List Paragraph"/>
    <w:basedOn w:val="1"/>
    <w:qFormat/>
    <w:uiPriority w:val="34"/>
    <w:pPr>
      <w:adjustRightInd w:val="0"/>
      <w:snapToGrid w:val="0"/>
      <w:spacing w:line="360" w:lineRule="auto"/>
      <w:ind w:firstLine="200" w:firstLineChars="200"/>
      <w:textAlignment w:val="baseline"/>
    </w:pPr>
    <w:rPr>
      <w:kern w:val="0"/>
      <w:sz w:val="24"/>
    </w:rPr>
  </w:style>
  <w:style w:type="character" w:customStyle="1" w:styleId="22">
    <w:name w:val="正文文本缩进 2 Char"/>
    <w:basedOn w:val="13"/>
    <w:link w:val="6"/>
    <w:qFormat/>
    <w:uiPriority w:val="0"/>
    <w:rPr>
      <w:rFonts w:ascii="宋体" w:hAnsi="宋体"/>
      <w:color w:val="FF000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8</Pages>
  <Words>920</Words>
  <Characters>5245</Characters>
  <Lines>43</Lines>
  <Paragraphs>12</Paragraphs>
  <ScaleCrop>false</ScaleCrop>
  <LinksUpToDate>false</LinksUpToDate>
  <CharactersWithSpaces>6153</CharactersWithSpaces>
  <Application>WPS Office_10.8.0.6058_F1E327BC-269C-435d-A152-05C5408002CA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2025-03-03T12:19:00Z</dcterms:created>
  <dc:creator>li</dc:creator>
  <cp:lastModifiedBy>wja</cp:lastModifiedBy>
  <dcterms:modified xsi:type="dcterms:W3CDTF">2025-03-19T01:11:03Z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2052-10.8.0.6058</vt:lpwstr>
  </property>
  <property fmtid="{D5CDD505-2E9C-101B-9397-08002B2CF9AE}" pid="3" name="ICV">
    <vt:lpwstr>A8BB9C5ABED044F295E8D05CA827BDED_13</vt:lpwstr>
  </property>
</Properties>
</file>