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201"/>
          <w:tab w:val="right" w:leader="dot" w:pos="9298"/>
        </w:tabs>
        <w:spacing w:line="240" w:lineRule="auto"/>
        <w:jc w:val="left"/>
        <w:rPr>
          <w:rFonts w:hint="eastAsia" w:eastAsiaTheme="minorEastAsia"/>
          <w:lang w:eastAsia="zh-CN"/>
        </w:rPr>
      </w:pPr>
      <w:r>
        <w:rPr>
          <w:rFonts w:hint="eastAsia" w:cs="宋体" w:asciiTheme="minorEastAsia" w:hAnsiTheme="minorEastAsia"/>
          <w:b w:val="0"/>
          <w:bCs w:val="0"/>
          <w:sz w:val="21"/>
          <w:szCs w:val="21"/>
          <w:lang w:val="en-US" w:eastAsia="zh-CN" w:bidi="ar-SA"/>
        </w:rPr>
        <w:t>附件6：</w:t>
      </w:r>
      <w:r>
        <w:rPr>
          <w:rFonts w:hint="eastAsia" w:cs="Times New Roman"/>
          <w:b w:val="0"/>
          <w:bCs w:val="0"/>
          <w:sz w:val="21"/>
          <w:szCs w:val="21"/>
          <w:lang w:val="en-US" w:eastAsia="zh-CN" w:bidi="ar-SA"/>
        </w:rPr>
        <w:t xml:space="preserve"> </w:t>
      </w:r>
      <w:r>
        <w:rPr>
          <w:rFonts w:hint="eastAsia"/>
        </w:rPr>
        <w:t>安全生产费用使用</w:t>
      </w:r>
      <w:r>
        <w:rPr>
          <w:rFonts w:hint="eastAsia"/>
          <w:lang w:val="en-US" w:eastAsia="zh-CN"/>
        </w:rPr>
        <w:t>清单</w:t>
      </w:r>
    </w:p>
    <w:p>
      <w:pPr>
        <w:pStyle w:val="7"/>
        <w:outlineLvl w:val="1"/>
        <w:rPr>
          <w:rFonts w:hint="eastAsia"/>
        </w:rPr>
      </w:pPr>
    </w:p>
    <w:p>
      <w:pPr>
        <w:pStyle w:val="7"/>
        <w:rPr>
          <w:rFonts w:hint="eastAsia"/>
        </w:rPr>
      </w:pPr>
      <w:r>
        <w:rPr>
          <w:rFonts w:hint="eastAsia"/>
        </w:rPr>
        <w:t>浙能武威2×1000MW调峰火电机组项目</w:t>
      </w:r>
    </w:p>
    <w:p>
      <w:pPr>
        <w:pStyle w:val="7"/>
      </w:pPr>
      <w:r>
        <w:t>安全生产费用使用清单</w:t>
      </w:r>
    </w:p>
    <w:p>
      <w:pPr>
        <w:pStyle w:val="4"/>
        <w:spacing w:line="360" w:lineRule="auto"/>
        <w:rPr>
          <w:rFonts w:hAnsi="宋体"/>
          <w:color w:val="auto"/>
          <w:spacing w:val="-1"/>
          <w:sz w:val="21"/>
          <w:highlight w:val="none"/>
        </w:rPr>
      </w:pPr>
      <w:r>
        <w:rPr>
          <w:rFonts w:hint="eastAsia" w:hAnsi="宋体"/>
          <w:color w:val="auto"/>
          <w:sz w:val="21"/>
          <w:highlight w:val="none"/>
          <w:lang w:val="en-US" w:eastAsia="zh-CN"/>
        </w:rPr>
        <w:t xml:space="preserve">   </w:t>
      </w:r>
      <w:r>
        <w:rPr>
          <w:rFonts w:hint="eastAsia" w:hAnsi="宋体"/>
          <w:color w:val="auto"/>
          <w:sz w:val="21"/>
          <w:highlight w:val="none"/>
        </w:rPr>
        <w:t xml:space="preserve"> </w:t>
      </w:r>
      <w:r>
        <w:rPr>
          <w:rFonts w:hint="eastAsia" w:hAnsi="宋体"/>
          <w:color w:val="auto"/>
          <w:spacing w:val="-1"/>
          <w:sz w:val="21"/>
          <w:highlight w:val="none"/>
        </w:rPr>
        <w:t xml:space="preserve">制表日期:  </w:t>
      </w:r>
      <w:r>
        <w:rPr>
          <w:rFonts w:hint="eastAsia" w:hAnsi="宋体"/>
          <w:color w:val="auto"/>
          <w:sz w:val="21"/>
          <w:highlight w:val="none"/>
        </w:rPr>
        <w:t>年</w:t>
      </w:r>
      <w:r>
        <w:rPr>
          <w:rFonts w:hint="eastAsia" w:hAnsi="宋体"/>
          <w:color w:val="auto"/>
          <w:sz w:val="21"/>
          <w:highlight w:val="none"/>
          <w:lang w:val="en-US" w:eastAsia="zh-CN"/>
        </w:rPr>
        <w:t xml:space="preserve">  </w:t>
      </w:r>
      <w:r>
        <w:rPr>
          <w:rFonts w:hint="eastAsia" w:hAnsi="宋体"/>
          <w:color w:val="auto"/>
          <w:sz w:val="21"/>
          <w:highlight w:val="none"/>
        </w:rPr>
        <w:t xml:space="preserve">月 </w:t>
      </w:r>
      <w:r>
        <w:rPr>
          <w:rFonts w:hint="eastAsia" w:hAnsi="宋体"/>
          <w:color w:val="auto"/>
          <w:sz w:val="21"/>
          <w:highlight w:val="none"/>
          <w:lang w:val="en-US" w:eastAsia="zh-CN"/>
        </w:rPr>
        <w:t xml:space="preserve"> </w:t>
      </w:r>
      <w:r>
        <w:rPr>
          <w:rFonts w:hint="eastAsia" w:hAnsi="宋体"/>
          <w:color w:val="auto"/>
          <w:sz w:val="21"/>
          <w:highlight w:val="none"/>
        </w:rPr>
        <w:t xml:space="preserve">日                      </w:t>
      </w:r>
      <w:r>
        <w:rPr>
          <w:rFonts w:hint="eastAsia" w:hAnsi="宋体"/>
          <w:color w:val="auto"/>
          <w:sz w:val="21"/>
          <w:highlight w:val="none"/>
          <w:lang w:val="en-US" w:eastAsia="zh-CN"/>
        </w:rPr>
        <w:t xml:space="preserve">         </w:t>
      </w:r>
      <w:r>
        <w:rPr>
          <w:rFonts w:hint="eastAsia" w:hAnsi="宋体"/>
          <w:color w:val="auto"/>
          <w:sz w:val="21"/>
          <w:highlight w:val="none"/>
        </w:rPr>
        <w:t xml:space="preserve">               </w:t>
      </w:r>
      <w:r>
        <w:rPr>
          <w:rFonts w:hint="eastAsia" w:hAnsi="宋体"/>
          <w:color w:val="auto"/>
          <w:sz w:val="21"/>
          <w:highlight w:val="none"/>
          <w:lang w:val="en-US" w:eastAsia="zh-CN"/>
        </w:rPr>
        <w:t xml:space="preserve">                                            </w:t>
      </w:r>
      <w:r>
        <w:rPr>
          <w:rFonts w:hint="eastAsia" w:hAnsi="宋体"/>
          <w:color w:val="auto"/>
          <w:spacing w:val="-1"/>
          <w:sz w:val="21"/>
          <w:highlight w:val="none"/>
        </w:rPr>
        <w:t>单位:</w:t>
      </w:r>
      <w:r>
        <w:rPr>
          <w:rFonts w:hint="eastAsia" w:hAnsi="宋体"/>
          <w:color w:val="auto"/>
          <w:spacing w:val="-1"/>
          <w:sz w:val="21"/>
          <w:highlight w:val="none"/>
          <w:lang w:val="en-US" w:eastAsia="zh-CN"/>
        </w:rPr>
        <w:t xml:space="preserve"> </w:t>
      </w:r>
      <w:r>
        <w:rPr>
          <w:rFonts w:hint="eastAsia" w:hAnsi="宋体"/>
          <w:color w:val="auto"/>
          <w:spacing w:val="-1"/>
          <w:sz w:val="21"/>
          <w:highlight w:val="none"/>
        </w:rPr>
        <w:t>元</w:t>
      </w:r>
    </w:p>
    <w:tbl>
      <w:tblPr>
        <w:tblStyle w:val="5"/>
        <w:tblW w:w="14290" w:type="dxa"/>
        <w:tblInd w:w="-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0"/>
        <w:gridCol w:w="3175"/>
        <w:gridCol w:w="739"/>
        <w:gridCol w:w="881"/>
        <w:gridCol w:w="1001"/>
        <w:gridCol w:w="1358"/>
        <w:gridCol w:w="982"/>
        <w:gridCol w:w="1092"/>
        <w:gridCol w:w="1341"/>
        <w:gridCol w:w="967"/>
        <w:gridCol w:w="1220"/>
        <w:gridCol w:w="104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4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left="115"/>
              <w:jc w:val="center"/>
              <w:rPr>
                <w:rFonts w:hint="default" w:eastAsia="Times New Roman"/>
                <w:color w:val="auto"/>
                <w:highlight w:val="none"/>
              </w:rPr>
            </w:pPr>
            <w:r>
              <w:rPr>
                <w:rFonts w:ascii="宋体"/>
                <w:color w:val="auto"/>
                <w:sz w:val="18"/>
                <w:highlight w:val="none"/>
              </w:rPr>
              <w:t>序号</w:t>
            </w:r>
          </w:p>
        </w:tc>
        <w:tc>
          <w:tcPr>
            <w:tcW w:w="31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left="924"/>
              <w:rPr>
                <w:rFonts w:hint="default" w:eastAsia="Times New Roman"/>
                <w:color w:val="auto"/>
                <w:highlight w:val="none"/>
              </w:rPr>
            </w:pPr>
            <w:r>
              <w:rPr>
                <w:rFonts w:ascii="宋体"/>
                <w:color w:val="auto"/>
                <w:sz w:val="18"/>
                <w:highlight w:val="none"/>
              </w:rPr>
              <w:t>措施项目名称</w:t>
            </w:r>
          </w:p>
        </w:tc>
        <w:tc>
          <w:tcPr>
            <w:tcW w:w="7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eastAsia="Times New Roman"/>
                <w:color w:val="auto"/>
                <w:highlight w:val="none"/>
              </w:rPr>
            </w:pPr>
            <w:r>
              <w:rPr>
                <w:rFonts w:ascii="宋体"/>
                <w:color w:val="auto"/>
                <w:sz w:val="18"/>
                <w:highlight w:val="none"/>
              </w:rPr>
              <w:t>单位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line="251" w:lineRule="exact"/>
              <w:ind w:right="2"/>
              <w:jc w:val="center"/>
              <w:rPr>
                <w:rFonts w:hint="default" w:eastAsia="Times New Roman"/>
                <w:color w:val="auto"/>
                <w:highlight w:val="none"/>
              </w:rPr>
            </w:pPr>
            <w:r>
              <w:rPr>
                <w:rFonts w:ascii="宋体"/>
                <w:color w:val="auto"/>
                <w:sz w:val="20"/>
                <w:highlight w:val="none"/>
              </w:rPr>
              <w:t>本月投入</w:t>
            </w:r>
          </w:p>
        </w:tc>
        <w:tc>
          <w:tcPr>
            <w:tcW w:w="34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line="251" w:lineRule="exact"/>
              <w:ind w:right="4"/>
              <w:jc w:val="center"/>
              <w:rPr>
                <w:rFonts w:hint="default" w:eastAsia="Times New Roman"/>
                <w:color w:val="auto"/>
                <w:highlight w:val="none"/>
              </w:rPr>
            </w:pPr>
            <w:r>
              <w:rPr>
                <w:rFonts w:ascii="宋体"/>
                <w:color w:val="auto"/>
                <w:sz w:val="20"/>
                <w:highlight w:val="none"/>
              </w:rPr>
              <w:t>累计投入</w:t>
            </w:r>
          </w:p>
        </w:tc>
        <w:tc>
          <w:tcPr>
            <w:tcW w:w="32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line="251" w:lineRule="exact"/>
              <w:ind w:left="1187"/>
              <w:jc w:val="center"/>
              <w:rPr>
                <w:rFonts w:hint="default" w:eastAsia="Times New Roman"/>
                <w:color w:val="auto"/>
                <w:highlight w:val="none"/>
              </w:rPr>
            </w:pPr>
            <w:r>
              <w:rPr>
                <w:rFonts w:ascii="宋体"/>
                <w:color w:val="auto"/>
                <w:sz w:val="20"/>
                <w:highlight w:val="none"/>
              </w:rPr>
              <w:t>下月计划投入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4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line="251" w:lineRule="exact"/>
              <w:ind w:left="1187"/>
              <w:jc w:val="center"/>
              <w:rPr>
                <w:rFonts w:hint="default" w:eastAsia="Times New Roman"/>
                <w:color w:val="auto"/>
                <w:highlight w:val="none"/>
              </w:rPr>
            </w:pPr>
          </w:p>
        </w:tc>
        <w:tc>
          <w:tcPr>
            <w:tcW w:w="31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line="251" w:lineRule="exact"/>
              <w:ind w:left="1187"/>
              <w:jc w:val="center"/>
              <w:rPr>
                <w:rFonts w:hint="default" w:eastAsia="Times New Roman"/>
                <w:color w:val="auto"/>
                <w:highlight w:val="none"/>
              </w:rPr>
            </w:pPr>
          </w:p>
        </w:tc>
        <w:tc>
          <w:tcPr>
            <w:tcW w:w="7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line="251" w:lineRule="exact"/>
              <w:ind w:left="1187"/>
              <w:jc w:val="center"/>
              <w:rPr>
                <w:rFonts w:hint="default" w:eastAsia="Times New Roman"/>
                <w:color w:val="auto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left="254"/>
              <w:jc w:val="center"/>
              <w:rPr>
                <w:rFonts w:hint="default" w:eastAsia="Times New Roman"/>
                <w:color w:val="auto"/>
                <w:highlight w:val="none"/>
              </w:rPr>
            </w:pPr>
            <w:r>
              <w:rPr>
                <w:rFonts w:ascii="宋体"/>
                <w:color w:val="auto"/>
                <w:sz w:val="18"/>
                <w:highlight w:val="none"/>
              </w:rPr>
              <w:t>数量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left="314"/>
              <w:jc w:val="center"/>
              <w:rPr>
                <w:rFonts w:hint="default" w:eastAsia="Times New Roman"/>
                <w:color w:val="auto"/>
                <w:highlight w:val="none"/>
              </w:rPr>
            </w:pPr>
            <w:r>
              <w:rPr>
                <w:rFonts w:ascii="宋体"/>
                <w:color w:val="auto"/>
                <w:sz w:val="18"/>
                <w:highlight w:val="none"/>
              </w:rPr>
              <w:t>单价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eastAsia="Times New Roman"/>
                <w:color w:val="auto"/>
                <w:highlight w:val="none"/>
              </w:rPr>
            </w:pPr>
            <w:r>
              <w:rPr>
                <w:rFonts w:ascii="宋体"/>
                <w:color w:val="auto"/>
                <w:sz w:val="18"/>
                <w:highlight w:val="none"/>
              </w:rPr>
              <w:t>合价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left="304"/>
              <w:jc w:val="center"/>
              <w:rPr>
                <w:rFonts w:hint="default" w:eastAsia="Times New Roman"/>
                <w:color w:val="auto"/>
                <w:highlight w:val="none"/>
              </w:rPr>
            </w:pPr>
            <w:r>
              <w:rPr>
                <w:rFonts w:ascii="宋体"/>
                <w:color w:val="auto"/>
                <w:sz w:val="18"/>
                <w:highlight w:val="none"/>
              </w:rPr>
              <w:t>数量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eastAsia="Times New Roman"/>
                <w:color w:val="auto"/>
                <w:highlight w:val="none"/>
              </w:rPr>
            </w:pPr>
            <w:r>
              <w:rPr>
                <w:rFonts w:ascii="宋体"/>
                <w:color w:val="auto"/>
                <w:sz w:val="18"/>
                <w:highlight w:val="none"/>
              </w:rPr>
              <w:t>单价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eastAsia="Times New Roman"/>
                <w:color w:val="auto"/>
                <w:highlight w:val="none"/>
              </w:rPr>
            </w:pPr>
            <w:r>
              <w:rPr>
                <w:rFonts w:ascii="宋体"/>
                <w:color w:val="auto"/>
                <w:sz w:val="18"/>
                <w:highlight w:val="none"/>
              </w:rPr>
              <w:t>合价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left="299"/>
              <w:jc w:val="center"/>
              <w:rPr>
                <w:rFonts w:hint="default" w:eastAsia="Times New Roman"/>
                <w:color w:val="auto"/>
                <w:highlight w:val="none"/>
              </w:rPr>
            </w:pPr>
            <w:r>
              <w:rPr>
                <w:rFonts w:ascii="宋体"/>
                <w:color w:val="auto"/>
                <w:sz w:val="18"/>
                <w:highlight w:val="none"/>
              </w:rPr>
              <w:t>数量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2"/>
              <w:jc w:val="center"/>
              <w:rPr>
                <w:rFonts w:hint="default" w:eastAsia="Times New Roman"/>
                <w:color w:val="auto"/>
                <w:highlight w:val="none"/>
              </w:rPr>
            </w:pPr>
            <w:r>
              <w:rPr>
                <w:rFonts w:ascii="宋体"/>
                <w:color w:val="auto"/>
                <w:sz w:val="18"/>
                <w:highlight w:val="none"/>
              </w:rPr>
              <w:t>单价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eastAsia="Times New Roman"/>
                <w:color w:val="auto"/>
                <w:highlight w:val="none"/>
              </w:rPr>
            </w:pPr>
            <w:r>
              <w:rPr>
                <w:rFonts w:ascii="宋体"/>
                <w:color w:val="auto"/>
                <w:sz w:val="18"/>
                <w:highlight w:val="none"/>
              </w:rPr>
              <w:t>合价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一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完善、改造和维护安全防护设施设备支出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1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eastAsia="Times New Roman"/>
                <w:color w:val="auto"/>
                <w:sz w:val="24"/>
                <w:highlight w:val="none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施工现场临时用电（不含外线费用）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1.1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漏电保护、接地保护、触电保护等装置，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1.2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变压器、配电盘周边防护设施，电器防爆设施，防水电缆及备用电缆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m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eastAsia="Times New Roman"/>
                <w:color w:val="auto"/>
                <w:sz w:val="24"/>
                <w:highlight w:val="none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一般安全防护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2.1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一般防护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2.1.1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洞口防护栏杆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  <w:t>m²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2.1.2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防护棚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  <w:t>m²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2.1.3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安全防护通讯设备（对讲机、扩音器等通讯设备）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2.1.4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各种安全警示、警告标志、标牌及安全宣传栏等购买、制作、安装及维修、维护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  <w:t>m²</w:t>
            </w:r>
            <w:bookmarkStart w:id="0" w:name="_GoBack"/>
            <w:bookmarkEnd w:id="0"/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2.1.5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起重机械、提升设备上的各种保护及保险装置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2.2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深基坑（槽）安全防护措施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2.2.1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护栏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m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2.2.2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临边围护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m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2.2.3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上下专用通道(含安全爬梯)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  <w:t>项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2.3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外架、脚手架安全防护措施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2.3.1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水平隔离封闭设施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m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2.3.2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密目网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eastAsia="Times New Roman"/>
                <w:color w:val="auto"/>
                <w:sz w:val="18"/>
                <w:szCs w:val="18"/>
                <w:highlight w:val="none"/>
              </w:rPr>
              <w:t>m²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3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eastAsia="Times New Roman"/>
                <w:color w:val="auto"/>
                <w:sz w:val="24"/>
                <w:highlight w:val="none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支护及防治边坡滑坡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eastAsia="Times New Roman"/>
                <w:color w:val="auto"/>
                <w:sz w:val="24"/>
                <w:highlight w:val="none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可燃气体、氧含量检测设备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项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5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eastAsia="Times New Roman"/>
                <w:color w:val="auto"/>
                <w:sz w:val="24"/>
                <w:highlight w:val="none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防火、防爆、防触电、防尘、防毒、防雷、防台风、防地质灾害等设施设备支出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项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Times New Roman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二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eastAsia="Times New Roman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应急支出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1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eastAsia="Times New Roman"/>
                <w:color w:val="auto"/>
                <w:sz w:val="24"/>
                <w:highlight w:val="none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应急救援技术装备、设施配置及维护保养支出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项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1.1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应急装备（物资）、设施配置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1.2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应急物资维护保养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项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eastAsia="Times New Roman"/>
                <w:color w:val="auto"/>
                <w:sz w:val="24"/>
                <w:highlight w:val="none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事故逃生和紧急避难设施设备的配置和应急救援队伍建设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2.1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事故逃生和紧急避难设施设备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2.2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应急救援队伍建设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highlight w:val="none"/>
                <w:lang w:val="en-US" w:eastAsia="zh-CN"/>
              </w:rPr>
              <w:t>3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应急预案制修订与应急演练支出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highlight w:val="none"/>
                <w:lang w:val="en-US" w:eastAsia="zh-CN"/>
              </w:rPr>
              <w:t>3.1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应急预案制修订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right="1"/>
              <w:jc w:val="center"/>
              <w:rPr>
                <w:rFonts w:hint="default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highlight w:val="none"/>
                <w:lang w:val="en-US" w:eastAsia="zh-CN"/>
              </w:rPr>
              <w:t>3.2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应急演练支出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eastAsia="Times New Roman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三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施工现场重大危险源检测、评估、监控</w:t>
            </w:r>
          </w:p>
          <w:p>
            <w:pPr>
              <w:jc w:val="center"/>
              <w:rPr>
                <w:rFonts w:hint="eastAsia" w:eastAsia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支出、事故隐患排查整改支出，安全生产信息化、智能化建设、运维网络安全支出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  <w:t>1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施工现场危险源检测、评估、监控支出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highlight w:val="none"/>
                <w:lang w:val="en-US" w:eastAsia="zh-CN"/>
              </w:rPr>
              <w:t>2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安全风险分级管控和事故隐患排查整改支出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eastAsia" w:eastAsia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highlight w:val="none"/>
                <w:lang w:val="en-US" w:eastAsia="zh-CN"/>
              </w:rPr>
              <w:t>3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工程项目安全生产信息化建设、运维和网络安全支出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highlight w:val="none"/>
                <w:lang w:val="en-US" w:eastAsia="zh-CN"/>
              </w:rPr>
              <w:t>4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危害性较大工程安全专项方案论证支出（专项方案论证支出）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highlight w:val="none"/>
                <w:lang w:val="en-US" w:eastAsia="zh-CN"/>
              </w:rPr>
              <w:t>3.1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智慧工地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highlight w:val="none"/>
                <w:lang w:val="en-US" w:eastAsia="zh-CN"/>
              </w:rPr>
              <w:t>3.2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智慧工地运维和网络安全支出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24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eastAsia="Times New Roman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四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 w:eastAsia="仿宋"/>
                <w:b/>
                <w:bCs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安全生产检查、评估评价、咨询和标准化建设支出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特种机械设备、压力容器、避雷设施等检查检测费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日常安全检查、评价和聘请专家参与安全检查和评价费用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标准化建设支出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五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 w:eastAsia="宋体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配备和更新现场作业人员安全防护用品支出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安全帽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顶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default" w:ascii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安全带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条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default" w:ascii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手套、雨鞋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val="en-US" w:eastAsia="zh-CN"/>
              </w:rPr>
              <w:t>副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六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安全生产宣传、教育、培训支出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购置编印安全生产书籍、刊物、影像资料等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内部组织的安全技术、知识培训教育和其他安全教育培训费用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专职安监人员、生产管理人员安全生产专业培训，"三类人员"和特种作业人员的安全教育培训、复训。培训费、取证费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全员安全及特种（专项）作业安全技能培训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召开安全生产专题会议（相关会务费）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七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安全生产适用的新技术、新标准、新工艺、新装备的推广应用支出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八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安全设施及特种设备检测检验、检定校准支出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钢管、扣件检测费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default" w:ascii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起重机械检测费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default" w:ascii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其他安全设施、特种设备检测检验支出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九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安全生产责任保险支出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十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与安全生产直接相关的其他支出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特种作业人员体检费用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tabs>
                <w:tab w:val="left" w:pos="215"/>
              </w:tabs>
              <w:kinsoku w:val="0"/>
              <w:overflowPunct w:val="0"/>
              <w:jc w:val="left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ab/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办公、生活区的防腐、防毒、防四害、防触电、防煤气、防火患等支出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ind w:firstLine="180" w:firstLineChars="100"/>
              <w:jc w:val="left"/>
              <w:rPr>
                <w:rFonts w:hint="default" w:ascii="Times New Roman" w:hAnsi="Times New Roman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  <w:t>与安全员有关的费用支出（竞赛活动物资，专职人员相机、电脑，活动的相关开支）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3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line="249" w:lineRule="exact"/>
              <w:ind w:right="1"/>
              <w:jc w:val="center"/>
              <w:rPr>
                <w:rFonts w:hint="default" w:eastAsia="Times New Roman"/>
                <w:color w:val="auto"/>
                <w:highlight w:val="none"/>
              </w:rPr>
            </w:pPr>
            <w:r>
              <w:rPr>
                <w:rFonts w:ascii="宋体"/>
                <w:color w:val="auto"/>
                <w:sz w:val="20"/>
                <w:highlight w:val="none"/>
              </w:rPr>
              <w:t>合计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eastAsia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zMWIwNjgyMjdkMjBhODE1Yzk2M2NjZjUyMmFiZmMifQ=="/>
    <w:docVar w:name="KSO_WPS_MARK_KEY" w:val="7c40b966-ad6a-47f4-a693-f78fa48f628c"/>
  </w:docVars>
  <w:rsids>
    <w:rsidRoot w:val="00000000"/>
    <w:rsid w:val="01C81D56"/>
    <w:rsid w:val="066D621C"/>
    <w:rsid w:val="0FF97731"/>
    <w:rsid w:val="7A4B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120" w:line="360" w:lineRule="auto"/>
      <w:outlineLvl w:val="0"/>
    </w:pPr>
    <w:rPr>
      <w:rFonts w:ascii="华文细黑" w:hAnsi="华文细黑" w:eastAsia="华文细黑"/>
      <w:b/>
      <w:sz w:val="30"/>
      <w:szCs w:val="3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360" w:lineRule="auto"/>
      <w:ind w:firstLine="420"/>
    </w:pPr>
    <w:rPr>
      <w:rFonts w:ascii="宋体" w:hAnsi="宋体"/>
    </w:rPr>
  </w:style>
  <w:style w:type="paragraph" w:styleId="3">
    <w:name w:val="Body Text"/>
    <w:basedOn w:val="1"/>
    <w:qFormat/>
    <w:uiPriority w:val="0"/>
    <w:pPr>
      <w:shd w:val="clear" w:color="auto" w:fill="FFFFFF"/>
      <w:spacing w:line="310" w:lineRule="exact"/>
      <w:ind w:hanging="1080"/>
      <w:jc w:val="distribute"/>
    </w:pPr>
    <w:rPr>
      <w:rFonts w:ascii="Arial Unicode MS" w:eastAsia="Arial Unicode MS" w:cs="Arial Unicode MS"/>
      <w:sz w:val="19"/>
      <w:szCs w:val="19"/>
    </w:rPr>
  </w:style>
  <w:style w:type="paragraph" w:customStyle="1" w:styleId="7">
    <w:name w:val="0表标"/>
    <w:basedOn w:val="1"/>
    <w:qFormat/>
    <w:uiPriority w:val="0"/>
    <w:pPr>
      <w:spacing w:line="480" w:lineRule="exact"/>
      <w:jc w:val="center"/>
    </w:pPr>
    <w:rPr>
      <w:rFonts w:eastAsia="黑体"/>
      <w:b/>
      <w:sz w:val="29"/>
    </w:rPr>
  </w:style>
  <w:style w:type="paragraph" w:customStyle="1" w:styleId="8">
    <w:name w:val="Table Paragraph"/>
    <w:basedOn w:val="1"/>
    <w:unhideWhenUsed/>
    <w:qFormat/>
    <w:uiPriority w:val="1"/>
    <w:rPr>
      <w:rFonts w:hint="eastAs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1172</Words>
  <Characters>1246</Characters>
  <Lines>0</Lines>
  <Paragraphs>0</Paragraphs>
  <TotalTime>1</TotalTime>
  <ScaleCrop>false</ScaleCrop>
  <LinksUpToDate>false</LinksUpToDate>
  <CharactersWithSpaces>1349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2024-12-04T05:46:00Z</dcterms:created>
  <dc:creator>13567</dc:creator>
  <cp:lastModifiedBy>T</cp:lastModifiedBy>
  <dcterms:modified xsi:type="dcterms:W3CDTF">2025-02-27T01:23:10Z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FFC42CE709A04DD18328DB58BF44C39B_12</vt:lpwstr>
  </property>
</Properties>
</file>