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12068">
      <w:pPr>
        <w:pStyle w:val="35"/>
        <w:rPr>
          <w:highlight w:val="none"/>
        </w:rPr>
      </w:pPr>
    </w:p>
    <w:p w14:paraId="3D2502BC">
      <w:pPr>
        <w:pStyle w:val="35"/>
        <w:rPr>
          <w:highlight w:val="none"/>
        </w:rPr>
      </w:pPr>
    </w:p>
    <w:p w14:paraId="4FE6AEAD">
      <w:pPr>
        <w:pStyle w:val="35"/>
        <w:rPr>
          <w:highlight w:val="none"/>
        </w:rPr>
      </w:pPr>
    </w:p>
    <w:p w14:paraId="5FC80E85">
      <w:pPr>
        <w:spacing w:line="360" w:lineRule="auto"/>
        <w:jc w:val="center"/>
        <w:rPr>
          <w:rFonts w:hint="eastAsia" w:ascii="宋体" w:hAnsi="宋体" w:cs="华文中宋"/>
          <w:b/>
          <w:sz w:val="52"/>
          <w:szCs w:val="52"/>
          <w:highlight w:val="none"/>
        </w:rPr>
      </w:pPr>
      <w:r>
        <w:rPr>
          <w:rFonts w:hint="eastAsia" w:ascii="宋体" w:hAnsi="宋体" w:cs="华文中宋"/>
          <w:b/>
          <w:sz w:val="52"/>
          <w:szCs w:val="52"/>
          <w:highlight w:val="none"/>
        </w:rPr>
        <w:t>平湖独山港环保能源有限公司</w:t>
      </w:r>
    </w:p>
    <w:p w14:paraId="18E1DED5">
      <w:pPr>
        <w:spacing w:line="360" w:lineRule="auto"/>
        <w:jc w:val="center"/>
        <w:rPr>
          <w:rFonts w:hint="eastAsia" w:ascii="宋体" w:hAnsi="宋体" w:cs="华文中宋"/>
          <w:b/>
          <w:sz w:val="52"/>
          <w:szCs w:val="52"/>
          <w:highlight w:val="none"/>
        </w:rPr>
      </w:pPr>
      <w:r>
        <w:rPr>
          <w:rFonts w:hint="eastAsia" w:ascii="宋体" w:hAnsi="宋体" w:cs="华文中宋"/>
          <w:b/>
          <w:sz w:val="52"/>
          <w:szCs w:val="52"/>
          <w:highlight w:val="none"/>
        </w:rPr>
        <w:t>2025-2027年化学燃料运行劳务外包</w:t>
      </w:r>
    </w:p>
    <w:p w14:paraId="2C2E550A">
      <w:pPr>
        <w:spacing w:line="360" w:lineRule="auto"/>
        <w:jc w:val="center"/>
        <w:rPr>
          <w:rFonts w:hint="eastAsia" w:ascii="宋体" w:hAnsi="宋体" w:cs="华文中宋"/>
          <w:b/>
          <w:sz w:val="52"/>
          <w:szCs w:val="52"/>
          <w:highlight w:val="none"/>
        </w:rPr>
      </w:pPr>
    </w:p>
    <w:p w14:paraId="08813B4D">
      <w:pPr>
        <w:spacing w:line="360" w:lineRule="auto"/>
        <w:jc w:val="center"/>
        <w:rPr>
          <w:rFonts w:hint="eastAsia" w:ascii="宋体" w:hAnsi="宋体" w:cs="华文中宋"/>
          <w:b/>
          <w:sz w:val="52"/>
          <w:szCs w:val="52"/>
          <w:highlight w:val="none"/>
        </w:rPr>
      </w:pPr>
    </w:p>
    <w:p w14:paraId="60CCA434">
      <w:pPr>
        <w:spacing w:line="360" w:lineRule="auto"/>
        <w:jc w:val="center"/>
        <w:rPr>
          <w:rFonts w:hint="eastAsia" w:ascii="宋体" w:hAnsi="宋体" w:cs="华文中宋"/>
          <w:b/>
          <w:sz w:val="52"/>
          <w:szCs w:val="52"/>
          <w:highlight w:val="none"/>
        </w:rPr>
      </w:pPr>
    </w:p>
    <w:p w14:paraId="25C457AD">
      <w:pPr>
        <w:spacing w:line="360" w:lineRule="auto"/>
        <w:jc w:val="center"/>
        <w:rPr>
          <w:rFonts w:hint="eastAsia" w:ascii="宋体" w:hAnsi="宋体" w:cs="华文中宋"/>
          <w:b/>
          <w:sz w:val="52"/>
          <w:szCs w:val="52"/>
          <w:highlight w:val="none"/>
        </w:rPr>
      </w:pPr>
      <w:r>
        <w:rPr>
          <w:rFonts w:hint="eastAsia" w:ascii="宋体" w:hAnsi="宋体" w:cs="华文中宋"/>
          <w:b/>
          <w:sz w:val="52"/>
          <w:szCs w:val="52"/>
          <w:highlight w:val="none"/>
        </w:rPr>
        <w:t>技术规范书</w:t>
      </w:r>
    </w:p>
    <w:p w14:paraId="78645A31">
      <w:pPr>
        <w:spacing w:line="360" w:lineRule="auto"/>
        <w:jc w:val="center"/>
        <w:rPr>
          <w:rFonts w:hint="eastAsia" w:ascii="宋体" w:hAnsi="宋体" w:cs="宋体"/>
          <w:b/>
          <w:w w:val="90"/>
          <w:sz w:val="48"/>
          <w:szCs w:val="48"/>
          <w:highlight w:val="none"/>
        </w:rPr>
      </w:pPr>
    </w:p>
    <w:p w14:paraId="3CE4FB8B">
      <w:pPr>
        <w:spacing w:line="360" w:lineRule="auto"/>
        <w:jc w:val="center"/>
        <w:rPr>
          <w:rFonts w:hint="eastAsia" w:ascii="宋体" w:hAnsi="宋体" w:cs="宋体"/>
          <w:b/>
          <w:w w:val="90"/>
          <w:sz w:val="44"/>
          <w:szCs w:val="44"/>
          <w:highlight w:val="none"/>
        </w:rPr>
      </w:pPr>
    </w:p>
    <w:p w14:paraId="3792D325">
      <w:pPr>
        <w:spacing w:line="360" w:lineRule="auto"/>
        <w:jc w:val="center"/>
        <w:rPr>
          <w:rFonts w:hint="eastAsia" w:ascii="宋体" w:hAnsi="宋体" w:cs="宋体"/>
          <w:b/>
          <w:w w:val="90"/>
          <w:sz w:val="44"/>
          <w:szCs w:val="44"/>
          <w:highlight w:val="none"/>
        </w:rPr>
      </w:pPr>
    </w:p>
    <w:p w14:paraId="16BB0F81">
      <w:pPr>
        <w:spacing w:line="360" w:lineRule="auto"/>
        <w:jc w:val="center"/>
        <w:rPr>
          <w:b/>
          <w:sz w:val="48"/>
          <w:highlight w:val="none"/>
        </w:rPr>
      </w:pPr>
    </w:p>
    <w:p w14:paraId="214E9245">
      <w:pPr>
        <w:spacing w:line="360" w:lineRule="auto"/>
        <w:ind w:firstLine="2520" w:firstLineChars="700"/>
        <w:rPr>
          <w:bCs/>
          <w:sz w:val="36"/>
          <w:highlight w:val="none"/>
        </w:rPr>
      </w:pPr>
      <w:r>
        <w:rPr>
          <w:bCs/>
          <w:sz w:val="36"/>
          <w:highlight w:val="none"/>
        </w:rPr>
        <w:t xml:space="preserve">  </w:t>
      </w:r>
    </w:p>
    <w:p w14:paraId="5E4E22B4">
      <w:pPr>
        <w:spacing w:line="360" w:lineRule="auto"/>
        <w:ind w:firstLine="2530" w:firstLineChars="700"/>
        <w:rPr>
          <w:b/>
          <w:sz w:val="36"/>
          <w:highlight w:val="none"/>
        </w:rPr>
      </w:pPr>
    </w:p>
    <w:p w14:paraId="769631B9">
      <w:pPr>
        <w:spacing w:line="360" w:lineRule="auto"/>
        <w:rPr>
          <w:b/>
          <w:sz w:val="36"/>
          <w:highlight w:val="none"/>
        </w:rPr>
      </w:pPr>
    </w:p>
    <w:p w14:paraId="7AFE7A58">
      <w:pPr>
        <w:spacing w:line="360" w:lineRule="auto"/>
        <w:jc w:val="center"/>
        <w:rPr>
          <w:b/>
          <w:sz w:val="36"/>
          <w:highlight w:val="none"/>
        </w:rPr>
      </w:pPr>
    </w:p>
    <w:p w14:paraId="0FA870CA">
      <w:pPr>
        <w:spacing w:line="360" w:lineRule="auto"/>
        <w:rPr>
          <w:b/>
          <w:sz w:val="36"/>
          <w:highlight w:val="none"/>
        </w:rPr>
      </w:pPr>
    </w:p>
    <w:p w14:paraId="4BFBC1BC">
      <w:pPr>
        <w:autoSpaceDE w:val="0"/>
        <w:autoSpaceDN w:val="0"/>
        <w:spacing w:line="360" w:lineRule="auto"/>
        <w:jc w:val="center"/>
        <w:rPr>
          <w:rFonts w:ascii="宋体" w:hAnsi="ºÚÌå" w:cs="宋体"/>
          <w:b/>
          <w:sz w:val="36"/>
          <w:szCs w:val="36"/>
          <w:highlight w:val="none"/>
        </w:rPr>
      </w:pPr>
      <w:r>
        <w:rPr>
          <w:rFonts w:hint="eastAsia" w:ascii="宋体" w:hAnsi="ºÚÌå" w:cs="宋体"/>
          <w:b/>
          <w:sz w:val="36"/>
          <w:szCs w:val="36"/>
          <w:highlight w:val="none"/>
        </w:rPr>
        <w:t>平湖独山港环保能源有限公司</w:t>
      </w:r>
    </w:p>
    <w:p w14:paraId="144426A9">
      <w:pPr>
        <w:autoSpaceDE w:val="0"/>
        <w:autoSpaceDN w:val="0"/>
        <w:spacing w:line="360" w:lineRule="auto"/>
        <w:jc w:val="center"/>
        <w:rPr>
          <w:rFonts w:ascii="宋体" w:hAnsi="ºÚÌå" w:cs="宋体"/>
          <w:b/>
          <w:sz w:val="36"/>
          <w:szCs w:val="36"/>
          <w:highlight w:val="none"/>
        </w:rPr>
      </w:pPr>
      <w:r>
        <w:rPr>
          <w:b/>
          <w:sz w:val="36"/>
          <w:szCs w:val="36"/>
          <w:highlight w:val="none"/>
        </w:rPr>
        <w:t>20</w:t>
      </w:r>
      <w:r>
        <w:rPr>
          <w:rFonts w:hint="eastAsia"/>
          <w:b/>
          <w:sz w:val="36"/>
          <w:szCs w:val="36"/>
          <w:highlight w:val="none"/>
        </w:rPr>
        <w:t>25</w:t>
      </w:r>
      <w:r>
        <w:rPr>
          <w:rFonts w:hint="eastAsia" w:ascii="宋体" w:hAnsi="ºÚÌå" w:cs="宋体"/>
          <w:b/>
          <w:sz w:val="36"/>
          <w:szCs w:val="36"/>
          <w:highlight w:val="none"/>
        </w:rPr>
        <w:t>年</w:t>
      </w:r>
      <w:r>
        <w:rPr>
          <w:rFonts w:hint="eastAsia"/>
          <w:b/>
          <w:sz w:val="36"/>
          <w:szCs w:val="36"/>
          <w:highlight w:val="none"/>
        </w:rPr>
        <w:t>01</w:t>
      </w:r>
      <w:r>
        <w:rPr>
          <w:rFonts w:hint="eastAsia" w:ascii="宋体" w:hAnsi="ºÚÌå" w:cs="宋体"/>
          <w:b/>
          <w:sz w:val="36"/>
          <w:szCs w:val="36"/>
          <w:highlight w:val="none"/>
        </w:rPr>
        <w:t>月</w:t>
      </w:r>
    </w:p>
    <w:p w14:paraId="625C7C3C">
      <w:pPr>
        <w:autoSpaceDE w:val="0"/>
        <w:autoSpaceDN w:val="0"/>
        <w:spacing w:line="500" w:lineRule="exact"/>
        <w:jc w:val="center"/>
        <w:rPr>
          <w:rFonts w:hint="eastAsia" w:ascii="宋体" w:hAnsi="宋体"/>
          <w:b/>
          <w:sz w:val="36"/>
          <w:szCs w:val="36"/>
          <w:highlight w:val="none"/>
        </w:rPr>
        <w:sectPr>
          <w:footerReference r:id="rId6" w:type="first"/>
          <w:footerReference r:id="rId4" w:type="default"/>
          <w:headerReference r:id="rId3" w:type="even"/>
          <w:footerReference r:id="rId5" w:type="even"/>
          <w:pgSz w:w="11906" w:h="16838"/>
          <w:pgMar w:top="1440" w:right="1800" w:bottom="1440" w:left="1800" w:header="851" w:footer="992" w:gutter="0"/>
          <w:cols w:space="720" w:num="1"/>
          <w:docGrid w:type="lines" w:linePitch="312" w:charSpace="0"/>
        </w:sect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tblGrid>
      <w:tr w14:paraId="2BD0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324F6B37">
            <w:pPr>
              <w:jc w:val="center"/>
              <w:rPr>
                <w:rFonts w:hint="eastAsia" w:ascii="宋体" w:hAnsi="宋体"/>
                <w:highlight w:val="none"/>
              </w:rPr>
            </w:pPr>
            <w:r>
              <w:rPr>
                <w:rFonts w:hint="eastAsia" w:ascii="宋体" w:hAnsi="宋体"/>
                <w:highlight w:val="none"/>
              </w:rPr>
              <w:t>A类</w:t>
            </w:r>
          </w:p>
        </w:tc>
      </w:tr>
      <w:tr w14:paraId="39CE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0B7F9D9E">
            <w:pPr>
              <w:jc w:val="center"/>
              <w:rPr>
                <w:rFonts w:hint="eastAsia" w:ascii="宋体" w:hAnsi="宋体"/>
                <w:highlight w:val="none"/>
              </w:rPr>
            </w:pPr>
            <w:r>
              <w:rPr>
                <w:rFonts w:hint="eastAsia" w:ascii="宋体" w:hAnsi="宋体"/>
                <w:highlight w:val="none"/>
              </w:rPr>
              <w:t>2025-GSB-GF-OL-001</w:t>
            </w:r>
          </w:p>
        </w:tc>
      </w:tr>
      <w:tr w14:paraId="7EBF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Pr>
          <w:p w14:paraId="41052DEC">
            <w:pPr>
              <w:jc w:val="center"/>
              <w:rPr>
                <w:rFonts w:hint="eastAsia" w:ascii="宋体" w:hAnsi="宋体"/>
                <w:highlight w:val="none"/>
              </w:rPr>
            </w:pPr>
            <w:r>
              <w:rPr>
                <w:rFonts w:hint="eastAsia" w:ascii="宋体" w:hAnsi="宋体"/>
                <w:highlight w:val="none"/>
              </w:rPr>
              <w:t>01月08日</w:t>
            </w:r>
          </w:p>
        </w:tc>
      </w:tr>
    </w:tbl>
    <w:p w14:paraId="17C395F0">
      <w:pPr>
        <w:rPr>
          <w:rFonts w:hint="eastAsia" w:ascii="宋体" w:hAnsi="宋体"/>
          <w:sz w:val="32"/>
          <w:szCs w:val="32"/>
          <w:highlight w:val="none"/>
        </w:rPr>
      </w:pPr>
    </w:p>
    <w:p w14:paraId="455BCF43">
      <w:pPr>
        <w:jc w:val="center"/>
        <w:rPr>
          <w:rFonts w:hint="eastAsia" w:ascii="宋体" w:hAnsi="宋体" w:eastAsia="黑体" w:cs="黑体"/>
          <w:b/>
          <w:color w:val="000000"/>
          <w:kern w:val="0"/>
          <w:sz w:val="44"/>
          <w:szCs w:val="44"/>
          <w:highlight w:val="none"/>
          <w:lang w:bidi="zh-CN"/>
        </w:rPr>
      </w:pPr>
      <w:bookmarkStart w:id="0" w:name="_Toc1693"/>
      <w:bookmarkStart w:id="1" w:name="_Toc107489209"/>
      <w:bookmarkStart w:id="2" w:name="_Toc103068065"/>
      <w:r>
        <w:rPr>
          <w:rFonts w:hint="eastAsia" w:ascii="宋体" w:hAnsi="宋体" w:eastAsia="黑体" w:cs="黑体"/>
          <w:b/>
          <w:color w:val="000000"/>
          <w:kern w:val="0"/>
          <w:sz w:val="44"/>
          <w:szCs w:val="44"/>
          <w:highlight w:val="none"/>
          <w:lang w:bidi="zh-CN"/>
        </w:rPr>
        <w:t>平湖独山港环保能源有限公司</w:t>
      </w:r>
      <w:bookmarkEnd w:id="0"/>
    </w:p>
    <w:bookmarkEnd w:id="1"/>
    <w:bookmarkEnd w:id="2"/>
    <w:p w14:paraId="6E2B0438">
      <w:pPr>
        <w:jc w:val="center"/>
        <w:rPr>
          <w:rFonts w:hint="eastAsia" w:ascii="宋体" w:hAnsi="宋体" w:eastAsia="黑体" w:cs="黑体"/>
          <w:b/>
          <w:color w:val="000000"/>
          <w:kern w:val="0"/>
          <w:sz w:val="44"/>
          <w:szCs w:val="44"/>
          <w:highlight w:val="none"/>
          <w:lang w:bidi="zh-CN"/>
        </w:rPr>
      </w:pPr>
      <w:bookmarkStart w:id="3" w:name="_Toc103068066"/>
      <w:bookmarkStart w:id="4" w:name="_Toc107489210"/>
      <w:bookmarkStart w:id="5" w:name="_Toc9028"/>
      <w:r>
        <w:rPr>
          <w:rFonts w:hint="eastAsia" w:ascii="宋体" w:hAnsi="宋体" w:eastAsia="黑体" w:cs="黑体"/>
          <w:b/>
          <w:color w:val="000000"/>
          <w:kern w:val="0"/>
          <w:sz w:val="44"/>
          <w:szCs w:val="44"/>
          <w:highlight w:val="none"/>
          <w:lang w:bidi="zh-CN"/>
        </w:rPr>
        <w:t>2025-2027年化学燃料运行劳务外包</w:t>
      </w:r>
    </w:p>
    <w:p w14:paraId="034DD21B">
      <w:pPr>
        <w:jc w:val="center"/>
        <w:rPr>
          <w:rFonts w:hint="eastAsia" w:ascii="宋体" w:hAnsi="宋体" w:eastAsia="黑体" w:cs="黑体"/>
          <w:b/>
          <w:color w:val="000000"/>
          <w:kern w:val="0"/>
          <w:sz w:val="44"/>
          <w:szCs w:val="44"/>
          <w:highlight w:val="none"/>
          <w:lang w:bidi="zh-CN"/>
        </w:rPr>
      </w:pPr>
      <w:r>
        <w:rPr>
          <w:rFonts w:hint="eastAsia" w:ascii="宋体" w:hAnsi="宋体" w:eastAsia="黑体" w:cs="黑体"/>
          <w:b/>
          <w:color w:val="000000"/>
          <w:kern w:val="0"/>
          <w:sz w:val="44"/>
          <w:szCs w:val="44"/>
          <w:highlight w:val="none"/>
          <w:lang w:bidi="zh-CN"/>
        </w:rPr>
        <w:t>技术规范书</w:t>
      </w:r>
      <w:bookmarkEnd w:id="3"/>
      <w:bookmarkEnd w:id="4"/>
      <w:bookmarkEnd w:id="5"/>
    </w:p>
    <w:p w14:paraId="5B820FBA">
      <w:pPr>
        <w:jc w:val="center"/>
        <w:rPr>
          <w:rFonts w:hint="eastAsia" w:ascii="宋体" w:hAnsi="宋体"/>
          <w:b/>
          <w:sz w:val="36"/>
          <w:szCs w:val="36"/>
          <w:highlight w:val="none"/>
        </w:rPr>
      </w:pPr>
    </w:p>
    <w:p w14:paraId="27A23C13">
      <w:pPr>
        <w:jc w:val="center"/>
        <w:rPr>
          <w:rFonts w:hint="eastAsia" w:ascii="宋体" w:hAnsi="宋体"/>
          <w:b/>
          <w:sz w:val="36"/>
          <w:szCs w:val="36"/>
          <w:highlight w:val="none"/>
        </w:rPr>
      </w:pPr>
    </w:p>
    <w:p w14:paraId="15E765CB">
      <w:pPr>
        <w:ind w:firstLine="2530" w:firstLineChars="700"/>
        <w:rPr>
          <w:b/>
          <w:sz w:val="36"/>
          <w:szCs w:val="36"/>
          <w:highlight w:val="none"/>
        </w:rPr>
      </w:pPr>
      <w:r>
        <w:rPr>
          <w:rFonts w:hint="eastAsia"/>
          <w:b/>
          <w:sz w:val="36"/>
          <w:szCs w:val="36"/>
          <w:highlight w:val="none"/>
        </w:rPr>
        <w:t>编写</w:t>
      </w:r>
    </w:p>
    <w:p w14:paraId="6938DBC2">
      <w:pPr>
        <w:ind w:firstLine="3253" w:firstLineChars="900"/>
        <w:rPr>
          <w:b/>
          <w:sz w:val="36"/>
          <w:szCs w:val="36"/>
          <w:highlight w:val="none"/>
        </w:rPr>
      </w:pPr>
    </w:p>
    <w:p w14:paraId="45539876">
      <w:pPr>
        <w:ind w:firstLine="3253" w:firstLineChars="900"/>
        <w:rPr>
          <w:b/>
          <w:sz w:val="36"/>
          <w:szCs w:val="36"/>
          <w:highlight w:val="none"/>
        </w:rPr>
      </w:pPr>
    </w:p>
    <w:p w14:paraId="330CD1CA">
      <w:pPr>
        <w:ind w:firstLine="2530" w:firstLineChars="700"/>
        <w:rPr>
          <w:b/>
          <w:sz w:val="36"/>
          <w:szCs w:val="36"/>
          <w:highlight w:val="none"/>
        </w:rPr>
      </w:pPr>
      <w:r>
        <w:rPr>
          <w:rFonts w:hint="eastAsia"/>
          <w:b/>
          <w:sz w:val="36"/>
          <w:szCs w:val="36"/>
          <w:highlight w:val="none"/>
        </w:rPr>
        <w:t>会审</w:t>
      </w:r>
    </w:p>
    <w:p w14:paraId="0DD913F1">
      <w:pPr>
        <w:ind w:firstLine="3253" w:firstLineChars="900"/>
        <w:rPr>
          <w:b/>
          <w:sz w:val="36"/>
          <w:szCs w:val="36"/>
          <w:highlight w:val="none"/>
        </w:rPr>
      </w:pPr>
    </w:p>
    <w:p w14:paraId="5BDECB0F">
      <w:pPr>
        <w:ind w:firstLine="3253" w:firstLineChars="900"/>
        <w:rPr>
          <w:b/>
          <w:sz w:val="36"/>
          <w:szCs w:val="36"/>
          <w:highlight w:val="none"/>
        </w:rPr>
      </w:pPr>
    </w:p>
    <w:p w14:paraId="0D20D55F">
      <w:pPr>
        <w:ind w:firstLine="2530" w:firstLineChars="700"/>
        <w:rPr>
          <w:b/>
          <w:sz w:val="36"/>
          <w:szCs w:val="36"/>
          <w:highlight w:val="none"/>
        </w:rPr>
      </w:pPr>
      <w:r>
        <w:rPr>
          <w:rFonts w:hint="eastAsia"/>
          <w:b/>
          <w:sz w:val="36"/>
          <w:szCs w:val="36"/>
          <w:highlight w:val="none"/>
        </w:rPr>
        <w:t>审核</w:t>
      </w:r>
    </w:p>
    <w:p w14:paraId="3FA64599">
      <w:pPr>
        <w:ind w:firstLine="3253" w:firstLineChars="900"/>
        <w:rPr>
          <w:b/>
          <w:sz w:val="36"/>
          <w:szCs w:val="36"/>
          <w:highlight w:val="none"/>
        </w:rPr>
      </w:pPr>
    </w:p>
    <w:p w14:paraId="68C8DF3D">
      <w:pPr>
        <w:ind w:firstLine="2530" w:firstLineChars="700"/>
        <w:rPr>
          <w:b/>
          <w:sz w:val="36"/>
          <w:szCs w:val="36"/>
          <w:highlight w:val="none"/>
        </w:rPr>
      </w:pPr>
    </w:p>
    <w:p w14:paraId="7D290D22">
      <w:pPr>
        <w:ind w:firstLine="2530" w:firstLineChars="700"/>
        <w:rPr>
          <w:b/>
          <w:sz w:val="36"/>
          <w:szCs w:val="36"/>
          <w:highlight w:val="none"/>
        </w:rPr>
      </w:pPr>
      <w:r>
        <w:rPr>
          <w:rFonts w:hint="eastAsia"/>
          <w:b/>
          <w:sz w:val="36"/>
          <w:szCs w:val="36"/>
          <w:highlight w:val="none"/>
        </w:rPr>
        <w:t>批准</w:t>
      </w:r>
    </w:p>
    <w:p w14:paraId="2AE9D9B9">
      <w:pPr>
        <w:rPr>
          <w:highlight w:val="none"/>
        </w:rPr>
      </w:pPr>
    </w:p>
    <w:p w14:paraId="68525829">
      <w:pPr>
        <w:rPr>
          <w:highlight w:val="none"/>
        </w:rPr>
      </w:pPr>
    </w:p>
    <w:p w14:paraId="3A0D0173">
      <w:pPr>
        <w:rPr>
          <w:highlight w:val="none"/>
        </w:rPr>
      </w:pPr>
    </w:p>
    <w:p w14:paraId="1FFD697A">
      <w:pPr>
        <w:spacing w:line="360" w:lineRule="auto"/>
        <w:jc w:val="center"/>
        <w:rPr>
          <w:rFonts w:hint="eastAsia" w:ascii="宋体" w:hAnsi="宋体"/>
          <w:b/>
          <w:bCs/>
          <w:color w:val="000000"/>
          <w:sz w:val="36"/>
          <w:szCs w:val="36"/>
          <w:highlight w:val="none"/>
        </w:rPr>
      </w:pPr>
      <w:r>
        <w:rPr>
          <w:rFonts w:hint="eastAsia" w:ascii="宋体" w:hAnsi="宋体"/>
          <w:b/>
          <w:bCs/>
          <w:color w:val="000000"/>
          <w:sz w:val="36"/>
          <w:szCs w:val="36"/>
          <w:highlight w:val="none"/>
        </w:rPr>
        <w:t>平湖独山港环保能源有限公司</w:t>
      </w:r>
    </w:p>
    <w:p w14:paraId="57C438D9">
      <w:pPr>
        <w:spacing w:line="360" w:lineRule="auto"/>
        <w:jc w:val="center"/>
        <w:rPr>
          <w:rFonts w:hint="eastAsia" w:ascii="宋体" w:hAnsi="宋体"/>
          <w:b/>
          <w:bCs/>
          <w:color w:val="000000"/>
          <w:sz w:val="36"/>
          <w:szCs w:val="36"/>
          <w:highlight w:val="none"/>
        </w:rPr>
      </w:pPr>
      <w:r>
        <w:rPr>
          <w:rFonts w:hint="eastAsia" w:ascii="宋体" w:hAnsi="宋体"/>
          <w:b/>
          <w:bCs/>
          <w:color w:val="000000"/>
          <w:sz w:val="36"/>
          <w:szCs w:val="36"/>
          <w:highlight w:val="none"/>
        </w:rPr>
        <w:t>2025年01月08日</w:t>
      </w:r>
    </w:p>
    <w:p w14:paraId="1DC5BA45">
      <w:pPr>
        <w:pStyle w:val="30"/>
        <w:rPr>
          <w:highlight w:val="none"/>
        </w:rPr>
      </w:pPr>
    </w:p>
    <w:p w14:paraId="20B8C4CA">
      <w:pPr>
        <w:pStyle w:val="19"/>
        <w:jc w:val="center"/>
        <w:rPr>
          <w:rFonts w:hint="eastAsia" w:cs="华文中宋"/>
          <w:b w:val="0"/>
          <w:highlight w:val="none"/>
        </w:rPr>
        <w:sectPr>
          <w:footerReference r:id="rId7" w:type="default"/>
          <w:pgSz w:w="11906" w:h="16838"/>
          <w:pgMar w:top="1440" w:right="1800" w:bottom="1440" w:left="1800" w:header="851" w:footer="992" w:gutter="0"/>
          <w:pgNumType w:start="1"/>
          <w:cols w:space="720" w:num="1"/>
          <w:docGrid w:type="lines" w:linePitch="312" w:charSpace="0"/>
        </w:sectPr>
      </w:pPr>
    </w:p>
    <w:p w14:paraId="0175D0AD">
      <w:pPr>
        <w:pStyle w:val="19"/>
        <w:jc w:val="center"/>
        <w:rPr>
          <w:rFonts w:hint="eastAsia" w:cs="华文中宋"/>
          <w:b w:val="0"/>
          <w:highlight w:val="none"/>
        </w:rPr>
      </w:pPr>
      <w:r>
        <w:rPr>
          <w:rFonts w:hint="eastAsia" w:cs="华文中宋"/>
          <w:b w:val="0"/>
          <w:highlight w:val="none"/>
        </w:rPr>
        <w:t>目  录</w:t>
      </w:r>
    </w:p>
    <w:p w14:paraId="1FD336B2">
      <w:pPr>
        <w:pStyle w:val="19"/>
        <w:tabs>
          <w:tab w:val="right" w:leader="dot" w:pos="8306"/>
          <w:tab w:val="clear" w:pos="8820"/>
        </w:tabs>
        <w:rPr>
          <w:rFonts w:hint="eastAsia"/>
          <w:b w:val="0"/>
          <w:sz w:val="24"/>
          <w:szCs w:val="24"/>
          <w:highlight w:val="none"/>
        </w:rPr>
      </w:pPr>
      <w:r>
        <w:rPr>
          <w:rFonts w:cs="华文中宋"/>
          <w:b w:val="0"/>
          <w:sz w:val="24"/>
          <w:szCs w:val="24"/>
          <w:highlight w:val="none"/>
        </w:rPr>
        <w:fldChar w:fldCharType="begin"/>
      </w:r>
      <w:r>
        <w:rPr>
          <w:rFonts w:cs="华文中宋"/>
          <w:b w:val="0"/>
          <w:sz w:val="24"/>
          <w:szCs w:val="24"/>
          <w:highlight w:val="none"/>
        </w:rPr>
        <w:instrText xml:space="preserve"> </w:instrText>
      </w:r>
      <w:r>
        <w:rPr>
          <w:rFonts w:hint="eastAsia" w:cs="华文中宋"/>
          <w:b w:val="0"/>
          <w:sz w:val="24"/>
          <w:szCs w:val="24"/>
          <w:highlight w:val="none"/>
        </w:rPr>
        <w:instrText xml:space="preserve">TOC \o "1-3" \h \z \u</w:instrText>
      </w:r>
      <w:r>
        <w:rPr>
          <w:rFonts w:cs="华文中宋"/>
          <w:b w:val="0"/>
          <w:sz w:val="24"/>
          <w:szCs w:val="24"/>
          <w:highlight w:val="none"/>
        </w:rPr>
        <w:instrText xml:space="preserve"> </w:instrText>
      </w:r>
      <w:r>
        <w:rPr>
          <w:rFonts w:cs="华文中宋"/>
          <w:b w:val="0"/>
          <w:sz w:val="24"/>
          <w:szCs w:val="24"/>
          <w:highlight w:val="none"/>
        </w:rPr>
        <w:fldChar w:fldCharType="separate"/>
      </w:r>
      <w:r>
        <w:rPr>
          <w:highlight w:val="none"/>
        </w:rPr>
        <w:fldChar w:fldCharType="begin"/>
      </w:r>
      <w:r>
        <w:rPr>
          <w:highlight w:val="none"/>
        </w:rPr>
        <w:instrText xml:space="preserve"> HYPERLINK \l "_Toc24909" </w:instrText>
      </w:r>
      <w:r>
        <w:rPr>
          <w:highlight w:val="none"/>
        </w:rPr>
        <w:fldChar w:fldCharType="separate"/>
      </w:r>
      <w:r>
        <w:rPr>
          <w:rFonts w:hint="eastAsia"/>
          <w:b w:val="0"/>
          <w:sz w:val="24"/>
          <w:szCs w:val="24"/>
          <w:highlight w:val="none"/>
        </w:rPr>
        <w:t>1总则</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_Toc24909 \h </w:instrText>
      </w:r>
      <w:r>
        <w:rPr>
          <w:b w:val="0"/>
          <w:sz w:val="24"/>
          <w:szCs w:val="24"/>
          <w:highlight w:val="none"/>
        </w:rPr>
        <w:fldChar w:fldCharType="separate"/>
      </w:r>
      <w:r>
        <w:rPr>
          <w:b w:val="0"/>
          <w:sz w:val="24"/>
          <w:szCs w:val="24"/>
          <w:highlight w:val="none"/>
        </w:rPr>
        <w:t>1</w:t>
      </w:r>
      <w:r>
        <w:rPr>
          <w:b w:val="0"/>
          <w:sz w:val="24"/>
          <w:szCs w:val="24"/>
          <w:highlight w:val="none"/>
        </w:rPr>
        <w:fldChar w:fldCharType="end"/>
      </w:r>
      <w:r>
        <w:rPr>
          <w:b w:val="0"/>
          <w:sz w:val="24"/>
          <w:szCs w:val="24"/>
          <w:highlight w:val="none"/>
        </w:rPr>
        <w:fldChar w:fldCharType="end"/>
      </w:r>
    </w:p>
    <w:p w14:paraId="04E606D6">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"_Toc27759" </w:instrText>
      </w:r>
      <w:r>
        <w:rPr>
          <w:highlight w:val="none"/>
        </w:rPr>
        <w:fldChar w:fldCharType="separate"/>
      </w:r>
      <w:r>
        <w:rPr>
          <w:b w:val="0"/>
          <w:sz w:val="24"/>
          <w:szCs w:val="24"/>
          <w:highlight w:val="none"/>
        </w:rPr>
        <w:t xml:space="preserve">2 </w:t>
      </w:r>
      <w:r>
        <w:rPr>
          <w:rFonts w:hint="eastAsia"/>
          <w:b w:val="0"/>
          <w:sz w:val="24"/>
          <w:szCs w:val="24"/>
          <w:highlight w:val="none"/>
        </w:rPr>
        <w:t>公司概况及系统简介</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_Toc27759 \h </w:instrText>
      </w:r>
      <w:r>
        <w:rPr>
          <w:b w:val="0"/>
          <w:sz w:val="24"/>
          <w:szCs w:val="24"/>
          <w:highlight w:val="none"/>
        </w:rPr>
        <w:fldChar w:fldCharType="separate"/>
      </w:r>
      <w:r>
        <w:rPr>
          <w:b w:val="0"/>
          <w:sz w:val="24"/>
          <w:szCs w:val="24"/>
          <w:highlight w:val="none"/>
        </w:rPr>
        <w:t>1</w:t>
      </w:r>
      <w:r>
        <w:rPr>
          <w:b w:val="0"/>
          <w:sz w:val="24"/>
          <w:szCs w:val="24"/>
          <w:highlight w:val="none"/>
        </w:rPr>
        <w:fldChar w:fldCharType="end"/>
      </w:r>
      <w:r>
        <w:rPr>
          <w:b w:val="0"/>
          <w:sz w:val="24"/>
          <w:szCs w:val="24"/>
          <w:highlight w:val="none"/>
        </w:rPr>
        <w:fldChar w:fldCharType="end"/>
      </w:r>
    </w:p>
    <w:p w14:paraId="07A0F941">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"_Toc18084" </w:instrText>
      </w:r>
      <w:r>
        <w:rPr>
          <w:highlight w:val="none"/>
        </w:rPr>
        <w:fldChar w:fldCharType="separate"/>
      </w:r>
      <w:r>
        <w:rPr>
          <w:b w:val="0"/>
          <w:sz w:val="24"/>
          <w:szCs w:val="24"/>
          <w:highlight w:val="none"/>
        </w:rPr>
        <w:t xml:space="preserve">3 </w:t>
      </w:r>
      <w:r>
        <w:rPr>
          <w:rFonts w:hint="eastAsia"/>
          <w:b w:val="0"/>
          <w:sz w:val="24"/>
          <w:szCs w:val="24"/>
          <w:highlight w:val="none"/>
        </w:rPr>
        <w:t>执行相关标准和规范</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_Toc18084 \h </w:instrText>
      </w:r>
      <w:r>
        <w:rPr>
          <w:b w:val="0"/>
          <w:sz w:val="24"/>
          <w:szCs w:val="24"/>
          <w:highlight w:val="none"/>
        </w:rPr>
        <w:fldChar w:fldCharType="separate"/>
      </w:r>
      <w:r>
        <w:rPr>
          <w:b w:val="0"/>
          <w:sz w:val="24"/>
          <w:szCs w:val="24"/>
          <w:highlight w:val="none"/>
        </w:rPr>
        <w:t>7</w:t>
      </w:r>
      <w:r>
        <w:rPr>
          <w:b w:val="0"/>
          <w:sz w:val="24"/>
          <w:szCs w:val="24"/>
          <w:highlight w:val="none"/>
        </w:rPr>
        <w:fldChar w:fldCharType="end"/>
      </w:r>
      <w:r>
        <w:rPr>
          <w:b w:val="0"/>
          <w:sz w:val="24"/>
          <w:szCs w:val="24"/>
          <w:highlight w:val="none"/>
        </w:rPr>
        <w:fldChar w:fldCharType="end"/>
      </w:r>
    </w:p>
    <w:p w14:paraId="4586E29B">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"_Toc7467" </w:instrText>
      </w:r>
      <w:r>
        <w:rPr>
          <w:highlight w:val="none"/>
        </w:rPr>
        <w:fldChar w:fldCharType="separate"/>
      </w:r>
      <w:r>
        <w:rPr>
          <w:b w:val="0"/>
          <w:sz w:val="24"/>
          <w:szCs w:val="24"/>
          <w:highlight w:val="none"/>
        </w:rPr>
        <w:t xml:space="preserve">4 </w:t>
      </w:r>
      <w:r>
        <w:rPr>
          <w:rFonts w:hint="eastAsia"/>
          <w:b w:val="0"/>
          <w:sz w:val="24"/>
          <w:szCs w:val="24"/>
          <w:highlight w:val="none"/>
        </w:rPr>
        <w:t>投标人工作内容</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_Toc7467 \h </w:instrText>
      </w:r>
      <w:r>
        <w:rPr>
          <w:b w:val="0"/>
          <w:sz w:val="24"/>
          <w:szCs w:val="24"/>
          <w:highlight w:val="none"/>
        </w:rPr>
        <w:fldChar w:fldCharType="separate"/>
      </w:r>
      <w:r>
        <w:rPr>
          <w:b w:val="0"/>
          <w:sz w:val="24"/>
          <w:szCs w:val="24"/>
          <w:highlight w:val="none"/>
        </w:rPr>
        <w:t>8</w:t>
      </w:r>
      <w:r>
        <w:rPr>
          <w:b w:val="0"/>
          <w:sz w:val="24"/>
          <w:szCs w:val="24"/>
          <w:highlight w:val="none"/>
        </w:rPr>
        <w:fldChar w:fldCharType="end"/>
      </w:r>
      <w:r>
        <w:rPr>
          <w:b w:val="0"/>
          <w:sz w:val="24"/>
          <w:szCs w:val="24"/>
          <w:highlight w:val="none"/>
        </w:rPr>
        <w:fldChar w:fldCharType="end"/>
      </w:r>
    </w:p>
    <w:p w14:paraId="62B0280A">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"_Toc17872" </w:instrText>
      </w:r>
      <w:r>
        <w:rPr>
          <w:highlight w:val="none"/>
        </w:rPr>
        <w:fldChar w:fldCharType="separate"/>
      </w:r>
      <w:r>
        <w:rPr>
          <w:b w:val="0"/>
          <w:sz w:val="24"/>
          <w:szCs w:val="24"/>
          <w:highlight w:val="none"/>
        </w:rPr>
        <w:t xml:space="preserve">5 </w:t>
      </w:r>
      <w:r>
        <w:rPr>
          <w:rFonts w:hint="eastAsia"/>
          <w:b w:val="0"/>
          <w:sz w:val="24"/>
          <w:szCs w:val="24"/>
          <w:highlight w:val="none"/>
        </w:rPr>
        <w:t>投标人人员要求</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_Toc17872 \h </w:instrText>
      </w:r>
      <w:r>
        <w:rPr>
          <w:b w:val="0"/>
          <w:sz w:val="24"/>
          <w:szCs w:val="24"/>
          <w:highlight w:val="none"/>
        </w:rPr>
        <w:fldChar w:fldCharType="separate"/>
      </w:r>
      <w:r>
        <w:rPr>
          <w:b w:val="0"/>
          <w:sz w:val="24"/>
          <w:szCs w:val="24"/>
          <w:highlight w:val="none"/>
        </w:rPr>
        <w:t>8</w:t>
      </w:r>
      <w:r>
        <w:rPr>
          <w:b w:val="0"/>
          <w:sz w:val="24"/>
          <w:szCs w:val="24"/>
          <w:highlight w:val="none"/>
        </w:rPr>
        <w:fldChar w:fldCharType="end"/>
      </w:r>
      <w:r>
        <w:rPr>
          <w:b w:val="0"/>
          <w:sz w:val="24"/>
          <w:szCs w:val="24"/>
          <w:highlight w:val="none"/>
        </w:rPr>
        <w:fldChar w:fldCharType="end"/>
      </w:r>
    </w:p>
    <w:p w14:paraId="1AFCF3FB">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"_Toc3040" </w:instrText>
      </w:r>
      <w:r>
        <w:rPr>
          <w:highlight w:val="none"/>
        </w:rPr>
        <w:fldChar w:fldCharType="separate"/>
      </w:r>
      <w:r>
        <w:rPr>
          <w:b w:val="0"/>
          <w:sz w:val="24"/>
          <w:szCs w:val="24"/>
          <w:highlight w:val="none"/>
        </w:rPr>
        <w:t xml:space="preserve">6 </w:t>
      </w:r>
      <w:r>
        <w:rPr>
          <w:rFonts w:hint="eastAsia"/>
          <w:b w:val="0"/>
          <w:sz w:val="24"/>
          <w:szCs w:val="24"/>
          <w:highlight w:val="none"/>
        </w:rPr>
        <w:t>费用</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_Toc3040 \h </w:instrText>
      </w:r>
      <w:r>
        <w:rPr>
          <w:b w:val="0"/>
          <w:sz w:val="24"/>
          <w:szCs w:val="24"/>
          <w:highlight w:val="none"/>
        </w:rPr>
        <w:fldChar w:fldCharType="separate"/>
      </w:r>
      <w:r>
        <w:rPr>
          <w:b w:val="0"/>
          <w:sz w:val="24"/>
          <w:szCs w:val="24"/>
          <w:highlight w:val="none"/>
        </w:rPr>
        <w:t>9</w:t>
      </w:r>
      <w:r>
        <w:rPr>
          <w:b w:val="0"/>
          <w:sz w:val="24"/>
          <w:szCs w:val="24"/>
          <w:highlight w:val="none"/>
        </w:rPr>
        <w:fldChar w:fldCharType="end"/>
      </w:r>
      <w:r>
        <w:rPr>
          <w:b w:val="0"/>
          <w:sz w:val="24"/>
          <w:szCs w:val="24"/>
          <w:highlight w:val="none"/>
        </w:rPr>
        <w:fldChar w:fldCharType="end"/>
      </w:r>
    </w:p>
    <w:p w14:paraId="7528B0AF">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"_Toc1085" </w:instrText>
      </w:r>
      <w:r>
        <w:rPr>
          <w:highlight w:val="none"/>
        </w:rPr>
        <w:fldChar w:fldCharType="separate"/>
      </w:r>
      <w:r>
        <w:rPr>
          <w:b w:val="0"/>
          <w:sz w:val="24"/>
          <w:szCs w:val="24"/>
          <w:highlight w:val="none"/>
        </w:rPr>
        <w:t xml:space="preserve">7 </w:t>
      </w:r>
      <w:r>
        <w:rPr>
          <w:rFonts w:hint="eastAsia"/>
          <w:b w:val="0"/>
          <w:sz w:val="24"/>
          <w:szCs w:val="24"/>
          <w:highlight w:val="none"/>
        </w:rPr>
        <w:t>招标人主要职责</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_Toc1085 \h </w:instrText>
      </w:r>
      <w:r>
        <w:rPr>
          <w:b w:val="0"/>
          <w:sz w:val="24"/>
          <w:szCs w:val="24"/>
          <w:highlight w:val="none"/>
        </w:rPr>
        <w:fldChar w:fldCharType="separate"/>
      </w:r>
      <w:r>
        <w:rPr>
          <w:b w:val="0"/>
          <w:sz w:val="24"/>
          <w:szCs w:val="24"/>
          <w:highlight w:val="none"/>
        </w:rPr>
        <w:t>9</w:t>
      </w:r>
      <w:r>
        <w:rPr>
          <w:b w:val="0"/>
          <w:sz w:val="24"/>
          <w:szCs w:val="24"/>
          <w:highlight w:val="none"/>
        </w:rPr>
        <w:fldChar w:fldCharType="end"/>
      </w:r>
      <w:r>
        <w:rPr>
          <w:b w:val="0"/>
          <w:sz w:val="24"/>
          <w:szCs w:val="24"/>
          <w:highlight w:val="none"/>
        </w:rPr>
        <w:fldChar w:fldCharType="end"/>
      </w:r>
    </w:p>
    <w:p w14:paraId="350F14DF">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"_Toc19589" </w:instrText>
      </w:r>
      <w:r>
        <w:rPr>
          <w:highlight w:val="none"/>
        </w:rPr>
        <w:fldChar w:fldCharType="separate"/>
      </w:r>
      <w:r>
        <w:rPr>
          <w:b w:val="0"/>
          <w:sz w:val="24"/>
          <w:szCs w:val="24"/>
          <w:highlight w:val="none"/>
        </w:rPr>
        <w:t xml:space="preserve">8 </w:t>
      </w:r>
      <w:r>
        <w:rPr>
          <w:rFonts w:hint="eastAsia"/>
          <w:b w:val="0"/>
          <w:sz w:val="24"/>
          <w:szCs w:val="24"/>
          <w:highlight w:val="none"/>
        </w:rPr>
        <w:t>投标人主要职责</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_Toc19589 \h </w:instrText>
      </w:r>
      <w:r>
        <w:rPr>
          <w:b w:val="0"/>
          <w:sz w:val="24"/>
          <w:szCs w:val="24"/>
          <w:highlight w:val="none"/>
        </w:rPr>
        <w:fldChar w:fldCharType="separate"/>
      </w:r>
      <w:r>
        <w:rPr>
          <w:b w:val="0"/>
          <w:sz w:val="24"/>
          <w:szCs w:val="24"/>
          <w:highlight w:val="none"/>
        </w:rPr>
        <w:t>10</w:t>
      </w:r>
      <w:r>
        <w:rPr>
          <w:b w:val="0"/>
          <w:sz w:val="24"/>
          <w:szCs w:val="24"/>
          <w:highlight w:val="none"/>
        </w:rPr>
        <w:fldChar w:fldCharType="end"/>
      </w:r>
      <w:r>
        <w:rPr>
          <w:b w:val="0"/>
          <w:sz w:val="24"/>
          <w:szCs w:val="24"/>
          <w:highlight w:val="none"/>
        </w:rPr>
        <w:fldChar w:fldCharType="end"/>
      </w:r>
    </w:p>
    <w:p w14:paraId="1EA08D0D">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"_Toc11106" </w:instrText>
      </w:r>
      <w:r>
        <w:rPr>
          <w:highlight w:val="none"/>
        </w:rPr>
        <w:fldChar w:fldCharType="separate"/>
      </w:r>
      <w:r>
        <w:rPr>
          <w:b w:val="0"/>
          <w:sz w:val="24"/>
          <w:szCs w:val="24"/>
          <w:highlight w:val="none"/>
        </w:rPr>
        <w:t xml:space="preserve">9 </w:t>
      </w:r>
      <w:r>
        <w:rPr>
          <w:rFonts w:hint="eastAsia"/>
          <w:b w:val="0"/>
          <w:sz w:val="24"/>
          <w:szCs w:val="24"/>
          <w:highlight w:val="none"/>
        </w:rPr>
        <w:t>安全文明作业要求</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_Toc11106 \h </w:instrText>
      </w:r>
      <w:r>
        <w:rPr>
          <w:b w:val="0"/>
          <w:sz w:val="24"/>
          <w:szCs w:val="24"/>
          <w:highlight w:val="none"/>
        </w:rPr>
        <w:fldChar w:fldCharType="separate"/>
      </w:r>
      <w:r>
        <w:rPr>
          <w:b w:val="0"/>
          <w:sz w:val="24"/>
          <w:szCs w:val="24"/>
          <w:highlight w:val="none"/>
        </w:rPr>
        <w:t>11</w:t>
      </w:r>
      <w:r>
        <w:rPr>
          <w:b w:val="0"/>
          <w:sz w:val="24"/>
          <w:szCs w:val="24"/>
          <w:highlight w:val="none"/>
        </w:rPr>
        <w:fldChar w:fldCharType="end"/>
      </w:r>
      <w:r>
        <w:rPr>
          <w:b w:val="0"/>
          <w:sz w:val="24"/>
          <w:szCs w:val="24"/>
          <w:highlight w:val="none"/>
        </w:rPr>
        <w:fldChar w:fldCharType="end"/>
      </w:r>
    </w:p>
    <w:p w14:paraId="104FDDA1">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"_Toc982" </w:instrText>
      </w:r>
      <w:r>
        <w:rPr>
          <w:highlight w:val="none"/>
        </w:rPr>
        <w:fldChar w:fldCharType="separate"/>
      </w:r>
      <w:r>
        <w:rPr>
          <w:b w:val="0"/>
          <w:sz w:val="24"/>
          <w:szCs w:val="24"/>
          <w:highlight w:val="none"/>
        </w:rPr>
        <w:t xml:space="preserve">10 </w:t>
      </w:r>
      <w:r>
        <w:rPr>
          <w:rFonts w:hint="eastAsia"/>
          <w:b w:val="0"/>
          <w:sz w:val="24"/>
          <w:szCs w:val="24"/>
          <w:highlight w:val="none"/>
        </w:rPr>
        <w:t>管理考核</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_Toc982 \h </w:instrText>
      </w:r>
      <w:r>
        <w:rPr>
          <w:b w:val="0"/>
          <w:sz w:val="24"/>
          <w:szCs w:val="24"/>
          <w:highlight w:val="none"/>
        </w:rPr>
        <w:fldChar w:fldCharType="separate"/>
      </w:r>
      <w:r>
        <w:rPr>
          <w:b w:val="0"/>
          <w:sz w:val="24"/>
          <w:szCs w:val="24"/>
          <w:highlight w:val="none"/>
        </w:rPr>
        <w:t>12</w:t>
      </w:r>
      <w:r>
        <w:rPr>
          <w:b w:val="0"/>
          <w:sz w:val="24"/>
          <w:szCs w:val="24"/>
          <w:highlight w:val="none"/>
        </w:rPr>
        <w:fldChar w:fldCharType="end"/>
      </w:r>
      <w:r>
        <w:rPr>
          <w:b w:val="0"/>
          <w:sz w:val="24"/>
          <w:szCs w:val="24"/>
          <w:highlight w:val="none"/>
        </w:rPr>
        <w:fldChar w:fldCharType="end"/>
      </w:r>
    </w:p>
    <w:p w14:paraId="62F61BEA">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"_Toc22416" </w:instrText>
      </w:r>
      <w:r>
        <w:rPr>
          <w:highlight w:val="none"/>
        </w:rPr>
        <w:fldChar w:fldCharType="separate"/>
      </w:r>
      <w:r>
        <w:rPr>
          <w:b w:val="0"/>
          <w:sz w:val="24"/>
          <w:szCs w:val="24"/>
          <w:highlight w:val="none"/>
        </w:rPr>
        <w:t xml:space="preserve">11 </w:t>
      </w:r>
      <w:r>
        <w:rPr>
          <w:rFonts w:hint="eastAsia"/>
          <w:b w:val="0"/>
          <w:sz w:val="24"/>
          <w:szCs w:val="24"/>
          <w:highlight w:val="none"/>
        </w:rPr>
        <w:t>人员进场要求</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_Toc22416 \h </w:instrText>
      </w:r>
      <w:r>
        <w:rPr>
          <w:b w:val="0"/>
          <w:sz w:val="24"/>
          <w:szCs w:val="24"/>
          <w:highlight w:val="none"/>
        </w:rPr>
        <w:fldChar w:fldCharType="separate"/>
      </w:r>
      <w:r>
        <w:rPr>
          <w:b w:val="0"/>
          <w:sz w:val="24"/>
          <w:szCs w:val="24"/>
          <w:highlight w:val="none"/>
        </w:rPr>
        <w:t>12</w:t>
      </w:r>
      <w:r>
        <w:rPr>
          <w:b w:val="0"/>
          <w:sz w:val="24"/>
          <w:szCs w:val="24"/>
          <w:highlight w:val="none"/>
        </w:rPr>
        <w:fldChar w:fldCharType="end"/>
      </w:r>
      <w:r>
        <w:rPr>
          <w:b w:val="0"/>
          <w:sz w:val="24"/>
          <w:szCs w:val="24"/>
          <w:highlight w:val="none"/>
        </w:rPr>
        <w:fldChar w:fldCharType="end"/>
      </w:r>
    </w:p>
    <w:p w14:paraId="1699C337">
      <w:pPr>
        <w:pStyle w:val="19"/>
        <w:tabs>
          <w:tab w:val="right" w:leader="dot" w:pos="8306"/>
          <w:tab w:val="clear" w:pos="8820"/>
        </w:tabs>
        <w:rPr>
          <w:rFonts w:hint="eastAsia"/>
          <w:b w:val="0"/>
          <w:sz w:val="24"/>
          <w:szCs w:val="24"/>
          <w:highlight w:val="none"/>
        </w:rPr>
      </w:pPr>
      <w:r>
        <w:rPr>
          <w:highlight w:val="none"/>
        </w:rPr>
        <w:fldChar w:fldCharType="begin"/>
      </w:r>
      <w:r>
        <w:rPr>
          <w:highlight w:val="none"/>
        </w:rPr>
        <w:instrText xml:space="preserve"> HYPERLINK \l "_Toc9899" </w:instrText>
      </w:r>
      <w:r>
        <w:rPr>
          <w:highlight w:val="none"/>
        </w:rPr>
        <w:fldChar w:fldCharType="separate"/>
      </w:r>
      <w:r>
        <w:rPr>
          <w:b w:val="0"/>
          <w:sz w:val="24"/>
          <w:szCs w:val="24"/>
          <w:highlight w:val="none"/>
        </w:rPr>
        <w:t xml:space="preserve">12 </w:t>
      </w:r>
      <w:r>
        <w:rPr>
          <w:rFonts w:hint="eastAsia"/>
          <w:b w:val="0"/>
          <w:sz w:val="24"/>
          <w:szCs w:val="24"/>
          <w:highlight w:val="none"/>
        </w:rPr>
        <w:t>服务期限</w:t>
      </w:r>
      <w:r>
        <w:rPr>
          <w:b w:val="0"/>
          <w:sz w:val="24"/>
          <w:szCs w:val="24"/>
          <w:highlight w:val="none"/>
        </w:rPr>
        <w:tab/>
      </w:r>
      <w:r>
        <w:rPr>
          <w:b w:val="0"/>
          <w:sz w:val="24"/>
          <w:szCs w:val="24"/>
          <w:highlight w:val="none"/>
        </w:rPr>
        <w:fldChar w:fldCharType="begin"/>
      </w:r>
      <w:r>
        <w:rPr>
          <w:b w:val="0"/>
          <w:sz w:val="24"/>
          <w:szCs w:val="24"/>
          <w:highlight w:val="none"/>
        </w:rPr>
        <w:instrText xml:space="preserve"> PAGEREF _Toc9899 \h </w:instrText>
      </w:r>
      <w:r>
        <w:rPr>
          <w:b w:val="0"/>
          <w:sz w:val="24"/>
          <w:szCs w:val="24"/>
          <w:highlight w:val="none"/>
        </w:rPr>
        <w:fldChar w:fldCharType="separate"/>
      </w:r>
      <w:r>
        <w:rPr>
          <w:b w:val="0"/>
          <w:sz w:val="24"/>
          <w:szCs w:val="24"/>
          <w:highlight w:val="none"/>
        </w:rPr>
        <w:t>12</w:t>
      </w:r>
      <w:r>
        <w:rPr>
          <w:b w:val="0"/>
          <w:sz w:val="24"/>
          <w:szCs w:val="24"/>
          <w:highlight w:val="none"/>
        </w:rPr>
        <w:fldChar w:fldCharType="end"/>
      </w:r>
      <w:r>
        <w:rPr>
          <w:b w:val="0"/>
          <w:sz w:val="24"/>
          <w:szCs w:val="24"/>
          <w:highlight w:val="none"/>
        </w:rPr>
        <w:fldChar w:fldCharType="end"/>
      </w:r>
    </w:p>
    <w:p w14:paraId="04DA648B">
      <w:pPr>
        <w:jc w:val="center"/>
        <w:rPr>
          <w:rFonts w:hint="eastAsia" w:ascii="宋体" w:hAnsi="宋体" w:cs="华文中宋"/>
          <w:b/>
          <w:sz w:val="30"/>
          <w:szCs w:val="30"/>
          <w:highlight w:val="none"/>
        </w:rPr>
        <w:sectPr>
          <w:footerReference r:id="rId8" w:type="default"/>
          <w:pgSz w:w="11906" w:h="16838"/>
          <w:pgMar w:top="1440" w:right="1800" w:bottom="1440" w:left="1800" w:header="851" w:footer="992" w:gutter="0"/>
          <w:pgNumType w:start="1"/>
          <w:cols w:space="720" w:num="1"/>
          <w:docGrid w:type="lines" w:linePitch="312" w:charSpace="0"/>
        </w:sectPr>
      </w:pPr>
      <w:r>
        <w:rPr>
          <w:rFonts w:ascii="宋体" w:hAnsi="宋体" w:cs="华文中宋"/>
          <w:highlight w:val="none"/>
        </w:rPr>
        <w:fldChar w:fldCharType="end"/>
      </w:r>
    </w:p>
    <w:p w14:paraId="51056196">
      <w:pPr>
        <w:pStyle w:val="4"/>
        <w:jc w:val="left"/>
        <w:rPr>
          <w:sz w:val="30"/>
          <w:szCs w:val="30"/>
          <w:highlight w:val="none"/>
        </w:rPr>
      </w:pPr>
      <w:bookmarkStart w:id="6" w:name="_Toc24909"/>
      <w:bookmarkStart w:id="7" w:name="_Toc15725464"/>
      <w:bookmarkStart w:id="8" w:name="_Toc64582129"/>
      <w:bookmarkStart w:id="9" w:name="_Toc74211434"/>
      <w:r>
        <w:rPr>
          <w:rFonts w:hint="eastAsia"/>
          <w:sz w:val="30"/>
          <w:szCs w:val="30"/>
          <w:highlight w:val="none"/>
        </w:rPr>
        <w:t>1总则</w:t>
      </w:r>
      <w:bookmarkEnd w:id="6"/>
      <w:bookmarkEnd w:id="7"/>
      <w:bookmarkEnd w:id="8"/>
      <w:bookmarkEnd w:id="9"/>
    </w:p>
    <w:p w14:paraId="567D8E2F">
      <w:pPr>
        <w:pStyle w:val="41"/>
        <w:numPr>
          <w:ilvl w:val="1"/>
          <w:numId w:val="4"/>
        </w:numPr>
        <w:adjustRightInd w:val="0"/>
        <w:snapToGrid w:val="0"/>
        <w:spacing w:line="360" w:lineRule="auto"/>
        <w:ind w:firstLine="0" w:firstLineChars="0"/>
        <w:jc w:val="left"/>
        <w:textAlignment w:val="baseline"/>
        <w:outlineLvl w:val="1"/>
        <w:rPr>
          <w:sz w:val="24"/>
          <w:szCs w:val="24"/>
          <w:highlight w:val="none"/>
        </w:rPr>
      </w:pPr>
      <w:bookmarkStart w:id="10" w:name="_Toc75267874"/>
      <w:bookmarkStart w:id="11" w:name="_Toc75356087"/>
      <w:bookmarkStart w:id="12" w:name="_Toc7228"/>
      <w:r>
        <w:rPr>
          <w:rFonts w:hint="eastAsia"/>
          <w:sz w:val="24"/>
          <w:szCs w:val="24"/>
          <w:highlight w:val="none"/>
        </w:rPr>
        <w:t>本技术规范适用于平湖独山港环保能源有限公司范围内化学燃料运行劳务外包工作。</w:t>
      </w:r>
      <w:bookmarkEnd w:id="10"/>
      <w:bookmarkEnd w:id="11"/>
      <w:bookmarkEnd w:id="12"/>
    </w:p>
    <w:p w14:paraId="29C480FC">
      <w:pPr>
        <w:pStyle w:val="41"/>
        <w:numPr>
          <w:ilvl w:val="1"/>
          <w:numId w:val="4"/>
        </w:numPr>
        <w:adjustRightInd w:val="0"/>
        <w:snapToGrid w:val="0"/>
        <w:spacing w:line="360" w:lineRule="auto"/>
        <w:ind w:firstLine="0" w:firstLineChars="0"/>
        <w:jc w:val="left"/>
        <w:textAlignment w:val="baseline"/>
        <w:outlineLvl w:val="1"/>
        <w:rPr>
          <w:sz w:val="24"/>
          <w:szCs w:val="24"/>
          <w:highlight w:val="none"/>
        </w:rPr>
      </w:pPr>
      <w:bookmarkStart w:id="13" w:name="_Toc75356088"/>
      <w:bookmarkStart w:id="14" w:name="_Toc75267875"/>
      <w:bookmarkStart w:id="15" w:name="_Toc28586"/>
      <w:r>
        <w:rPr>
          <w:rFonts w:hint="eastAsia"/>
          <w:sz w:val="24"/>
          <w:szCs w:val="24"/>
          <w:highlight w:val="none"/>
        </w:rPr>
        <w:t>本技术规范仅提出了最低限度的技术要求，并未对一切技术细节做出详尽规定，也未充分引述有关标准和规范的条文。投标人应保证提供符合法律法规、标准和本技术规范要求的优质服务。</w:t>
      </w:r>
      <w:bookmarkEnd w:id="13"/>
      <w:bookmarkEnd w:id="14"/>
      <w:bookmarkEnd w:id="15"/>
    </w:p>
    <w:p w14:paraId="72950A34">
      <w:pPr>
        <w:pStyle w:val="41"/>
        <w:numPr>
          <w:ilvl w:val="1"/>
          <w:numId w:val="4"/>
        </w:numPr>
        <w:adjustRightInd w:val="0"/>
        <w:snapToGrid w:val="0"/>
        <w:spacing w:line="360" w:lineRule="auto"/>
        <w:ind w:firstLine="0" w:firstLineChars="0"/>
        <w:jc w:val="left"/>
        <w:textAlignment w:val="baseline"/>
        <w:outlineLvl w:val="1"/>
        <w:rPr>
          <w:sz w:val="24"/>
          <w:szCs w:val="24"/>
          <w:highlight w:val="none"/>
        </w:rPr>
      </w:pPr>
      <w:bookmarkStart w:id="16" w:name="_Toc15326"/>
      <w:bookmarkStart w:id="17" w:name="_Toc75356089"/>
      <w:bookmarkStart w:id="18" w:name="_Toc75267876"/>
      <w:r>
        <w:rPr>
          <w:rFonts w:hint="eastAsia"/>
          <w:sz w:val="24"/>
          <w:szCs w:val="24"/>
          <w:highlight w:val="none"/>
        </w:rPr>
        <w:t>本技术规范所使用的标准如遇与投标人所执行的标准不一致时，按较高标准执行。</w:t>
      </w:r>
      <w:bookmarkEnd w:id="16"/>
      <w:bookmarkEnd w:id="17"/>
      <w:bookmarkEnd w:id="18"/>
    </w:p>
    <w:p w14:paraId="5AB551BE">
      <w:pPr>
        <w:pStyle w:val="41"/>
        <w:numPr>
          <w:ilvl w:val="1"/>
          <w:numId w:val="4"/>
        </w:numPr>
        <w:adjustRightInd w:val="0"/>
        <w:snapToGrid w:val="0"/>
        <w:spacing w:line="360" w:lineRule="auto"/>
        <w:ind w:firstLine="0" w:firstLineChars="0"/>
        <w:jc w:val="left"/>
        <w:textAlignment w:val="baseline"/>
        <w:outlineLvl w:val="1"/>
        <w:rPr>
          <w:sz w:val="24"/>
          <w:szCs w:val="24"/>
          <w:highlight w:val="none"/>
        </w:rPr>
      </w:pPr>
      <w:bookmarkStart w:id="19" w:name="_Toc75267877"/>
      <w:bookmarkStart w:id="20" w:name="_Toc18999"/>
      <w:bookmarkStart w:id="21" w:name="_Toc75356090"/>
      <w:r>
        <w:rPr>
          <w:rFonts w:hint="eastAsia"/>
          <w:sz w:val="24"/>
          <w:szCs w:val="24"/>
          <w:highlight w:val="none"/>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并在“差异表”中列出。</w:t>
      </w:r>
      <w:bookmarkEnd w:id="19"/>
      <w:bookmarkEnd w:id="20"/>
      <w:bookmarkEnd w:id="21"/>
    </w:p>
    <w:p w14:paraId="790DD2BE">
      <w:pPr>
        <w:pStyle w:val="41"/>
        <w:numPr>
          <w:ilvl w:val="1"/>
          <w:numId w:val="4"/>
        </w:numPr>
        <w:adjustRightInd w:val="0"/>
        <w:snapToGrid w:val="0"/>
        <w:spacing w:line="360" w:lineRule="auto"/>
        <w:ind w:firstLine="0" w:firstLineChars="0"/>
        <w:jc w:val="left"/>
        <w:textAlignment w:val="baseline"/>
        <w:outlineLvl w:val="1"/>
        <w:rPr>
          <w:sz w:val="24"/>
          <w:szCs w:val="24"/>
          <w:highlight w:val="none"/>
        </w:rPr>
      </w:pPr>
      <w:bookmarkStart w:id="22" w:name="_Toc13057"/>
      <w:bookmarkStart w:id="23" w:name="_Toc75356091"/>
      <w:bookmarkStart w:id="24" w:name="_Toc75267878"/>
      <w:r>
        <w:rPr>
          <w:rFonts w:hint="eastAsia"/>
          <w:sz w:val="24"/>
          <w:szCs w:val="24"/>
          <w:highlight w:val="none"/>
        </w:rPr>
        <w:t>投标人如对本招标文件有偏差</w:t>
      </w:r>
      <w:r>
        <w:rPr>
          <w:sz w:val="24"/>
          <w:szCs w:val="24"/>
          <w:highlight w:val="none"/>
        </w:rPr>
        <w:t>(</w:t>
      </w:r>
      <w:r>
        <w:rPr>
          <w:rFonts w:hint="eastAsia"/>
          <w:sz w:val="24"/>
          <w:szCs w:val="24"/>
          <w:highlight w:val="none"/>
        </w:rPr>
        <w:t>无论多少或微小</w:t>
      </w:r>
      <w:r>
        <w:rPr>
          <w:sz w:val="24"/>
          <w:szCs w:val="24"/>
          <w:highlight w:val="none"/>
        </w:rPr>
        <w:t>)</w:t>
      </w:r>
      <w:r>
        <w:rPr>
          <w:rFonts w:hint="eastAsia"/>
          <w:sz w:val="24"/>
          <w:szCs w:val="24"/>
          <w:highlight w:val="none"/>
        </w:rPr>
        <w:t>都必须清楚地表示在本招标文件的附件“技术差异表”中。否则招标人将认为投标人完全接受和同意本招标文件的要求。</w:t>
      </w:r>
      <w:bookmarkEnd w:id="22"/>
      <w:bookmarkEnd w:id="23"/>
      <w:bookmarkEnd w:id="24"/>
    </w:p>
    <w:p w14:paraId="225AB25E">
      <w:pPr>
        <w:pStyle w:val="41"/>
        <w:numPr>
          <w:ilvl w:val="1"/>
          <w:numId w:val="4"/>
        </w:numPr>
        <w:adjustRightInd w:val="0"/>
        <w:snapToGrid w:val="0"/>
        <w:spacing w:line="360" w:lineRule="auto"/>
        <w:ind w:firstLine="0" w:firstLineChars="0"/>
        <w:jc w:val="left"/>
        <w:textAlignment w:val="baseline"/>
        <w:outlineLvl w:val="1"/>
        <w:rPr>
          <w:sz w:val="24"/>
          <w:szCs w:val="24"/>
          <w:highlight w:val="none"/>
        </w:rPr>
      </w:pPr>
      <w:bookmarkStart w:id="25" w:name="_Toc75267879"/>
      <w:bookmarkStart w:id="26" w:name="_Toc14097"/>
      <w:bookmarkStart w:id="27" w:name="_Toc75356092"/>
      <w:r>
        <w:rPr>
          <w:rFonts w:hint="eastAsia"/>
          <w:sz w:val="24"/>
          <w:szCs w:val="24"/>
          <w:highlight w:val="none"/>
        </w:rPr>
        <w:t>若投标人所提供的投标文件前后有不一致的地方，应以更有利于劳务服务为原则，由招标人确定。</w:t>
      </w:r>
      <w:bookmarkEnd w:id="25"/>
      <w:bookmarkEnd w:id="26"/>
      <w:bookmarkEnd w:id="27"/>
    </w:p>
    <w:p w14:paraId="58755D6E">
      <w:pPr>
        <w:pStyle w:val="4"/>
        <w:numPr>
          <w:ilvl w:val="0"/>
          <w:numId w:val="4"/>
        </w:numPr>
        <w:jc w:val="left"/>
        <w:rPr>
          <w:sz w:val="30"/>
          <w:szCs w:val="30"/>
          <w:highlight w:val="none"/>
        </w:rPr>
      </w:pPr>
      <w:bookmarkStart w:id="28" w:name="_Toc375693693"/>
      <w:bookmarkStart w:id="29" w:name="_Toc445734128"/>
      <w:bookmarkStart w:id="30" w:name="_Toc444630804"/>
      <w:bookmarkStart w:id="31" w:name="_Toc378337811"/>
      <w:bookmarkStart w:id="32" w:name="_Toc15725465"/>
      <w:bookmarkStart w:id="33" w:name="_Toc74211435"/>
      <w:bookmarkStart w:id="34" w:name="_Toc27759"/>
      <w:bookmarkStart w:id="35" w:name="_Toc64582130"/>
      <w:r>
        <w:rPr>
          <w:rFonts w:hint="eastAsia"/>
          <w:sz w:val="30"/>
          <w:szCs w:val="30"/>
          <w:highlight w:val="none"/>
        </w:rPr>
        <w:t>公司概况</w:t>
      </w:r>
      <w:bookmarkEnd w:id="28"/>
      <w:bookmarkEnd w:id="29"/>
      <w:bookmarkEnd w:id="30"/>
      <w:bookmarkEnd w:id="31"/>
      <w:r>
        <w:rPr>
          <w:rFonts w:hint="eastAsia"/>
          <w:sz w:val="30"/>
          <w:szCs w:val="30"/>
          <w:highlight w:val="none"/>
        </w:rPr>
        <w:t>及系统</w:t>
      </w:r>
      <w:bookmarkEnd w:id="32"/>
      <w:r>
        <w:rPr>
          <w:rFonts w:hint="eastAsia"/>
          <w:sz w:val="30"/>
          <w:szCs w:val="30"/>
          <w:highlight w:val="none"/>
        </w:rPr>
        <w:t>简介</w:t>
      </w:r>
      <w:bookmarkEnd w:id="33"/>
      <w:bookmarkEnd w:id="34"/>
      <w:bookmarkEnd w:id="35"/>
    </w:p>
    <w:p w14:paraId="298E2A7E">
      <w:pPr>
        <w:pStyle w:val="41"/>
        <w:numPr>
          <w:ilvl w:val="1"/>
          <w:numId w:val="4"/>
        </w:numPr>
        <w:spacing w:line="360" w:lineRule="auto"/>
        <w:ind w:firstLine="0" w:firstLineChars="0"/>
        <w:contextualSpacing/>
        <w:textAlignment w:val="baseline"/>
        <w:outlineLvl w:val="1"/>
        <w:rPr>
          <w:rFonts w:hint="eastAsia" w:ascii="宋体" w:hAnsi="宋体"/>
          <w:b/>
          <w:bCs/>
          <w:sz w:val="24"/>
          <w:szCs w:val="24"/>
          <w:highlight w:val="none"/>
        </w:rPr>
      </w:pPr>
      <w:bookmarkStart w:id="36" w:name="_Toc75267882"/>
      <w:bookmarkStart w:id="37" w:name="_Toc21349"/>
      <w:bookmarkStart w:id="38" w:name="_Toc75356095"/>
      <w:r>
        <w:rPr>
          <w:rFonts w:hint="eastAsia" w:ascii="宋体" w:hAnsi="宋体"/>
          <w:b/>
          <w:bCs/>
          <w:sz w:val="24"/>
          <w:szCs w:val="24"/>
          <w:highlight w:val="none"/>
        </w:rPr>
        <w:t>公司概况</w:t>
      </w:r>
      <w:bookmarkEnd w:id="36"/>
      <w:bookmarkEnd w:id="37"/>
      <w:bookmarkEnd w:id="38"/>
    </w:p>
    <w:p w14:paraId="4E00F2F9">
      <w:pPr>
        <w:widowControl/>
        <w:tabs>
          <w:tab w:val="center" w:pos="4201"/>
          <w:tab w:val="right" w:leader="dot" w:pos="9298"/>
        </w:tabs>
        <w:autoSpaceDE w:val="0"/>
        <w:autoSpaceDN w:val="0"/>
        <w:spacing w:line="360" w:lineRule="auto"/>
        <w:ind w:firstLine="480" w:firstLineChars="200"/>
        <w:contextualSpacing/>
        <w:jc w:val="left"/>
        <w:rPr>
          <w:rFonts w:hint="eastAsia" w:ascii="宋体" w:hAnsi="宋体"/>
          <w:highlight w:val="none"/>
        </w:rPr>
      </w:pPr>
      <w:r>
        <w:rPr>
          <w:rFonts w:hint="eastAsia" w:ascii="宋体" w:hAnsi="宋体"/>
          <w:highlight w:val="none"/>
        </w:rPr>
        <w:t>平湖独山港环保能源有限公司（以下简称“本公司”）位于</w:t>
      </w:r>
      <w:r>
        <w:rPr>
          <w:rFonts w:ascii="宋体" w:hAnsi="宋体"/>
          <w:highlight w:val="none"/>
        </w:rPr>
        <w:t>浙江</w:t>
      </w:r>
      <w:r>
        <w:rPr>
          <w:rFonts w:hint="eastAsia" w:ascii="宋体" w:hAnsi="宋体"/>
          <w:highlight w:val="none"/>
        </w:rPr>
        <w:t>平湖</w:t>
      </w:r>
      <w:r>
        <w:rPr>
          <w:rFonts w:ascii="宋体" w:hAnsi="宋体"/>
          <w:highlight w:val="none"/>
        </w:rPr>
        <w:t>独山港经济开发，厂区占地约</w:t>
      </w:r>
      <w:r>
        <w:rPr>
          <w:rFonts w:hint="eastAsia" w:ascii="宋体" w:hAnsi="宋体"/>
          <w:highlight w:val="none"/>
        </w:rPr>
        <w:t>105.3亩。装机规模为3台出力为180t/h的高温高压燃煤循环流化床锅炉，配置3台出力为15MW的高温高压CB15型抽气背压式热电机组。</w:t>
      </w:r>
      <w:r>
        <w:rPr>
          <w:rFonts w:ascii="宋体" w:hAnsi="宋体"/>
          <w:highlight w:val="none"/>
        </w:rPr>
        <w:t>同步建设</w:t>
      </w:r>
      <w:r>
        <w:rPr>
          <w:rFonts w:hint="eastAsia" w:ascii="宋体" w:hAnsi="宋体"/>
          <w:highlight w:val="none"/>
        </w:rPr>
        <w:t>脱硫脱硝工程</w:t>
      </w:r>
      <w:r>
        <w:rPr>
          <w:rFonts w:ascii="宋体" w:hAnsi="宋体"/>
          <w:highlight w:val="none"/>
        </w:rPr>
        <w:t>，</w:t>
      </w:r>
      <w:r>
        <w:rPr>
          <w:rFonts w:hint="eastAsia" w:ascii="宋体" w:hAnsi="宋体"/>
          <w:highlight w:val="none"/>
        </w:rPr>
        <w:t>500t/d的污泥干化处置系统，</w:t>
      </w:r>
      <w:r>
        <w:rPr>
          <w:rFonts w:ascii="宋体" w:hAnsi="宋体"/>
          <w:highlight w:val="none"/>
        </w:rPr>
        <w:t>以及</w:t>
      </w:r>
      <w:r>
        <w:rPr>
          <w:rFonts w:hint="eastAsia" w:ascii="宋体" w:hAnsi="宋体"/>
          <w:highlight w:val="none"/>
        </w:rPr>
        <w:t>配套的</w:t>
      </w:r>
      <w:r>
        <w:rPr>
          <w:rFonts w:ascii="宋体" w:hAnsi="宋体"/>
          <w:highlight w:val="none"/>
        </w:rPr>
        <w:t>公用设施</w:t>
      </w:r>
      <w:r>
        <w:rPr>
          <w:rFonts w:hint="eastAsia" w:ascii="宋体" w:hAnsi="宋体"/>
          <w:highlight w:val="none"/>
        </w:rPr>
        <w:t>建设。</w:t>
      </w:r>
    </w:p>
    <w:p w14:paraId="15761413">
      <w:pPr>
        <w:pStyle w:val="41"/>
        <w:numPr>
          <w:ilvl w:val="1"/>
          <w:numId w:val="4"/>
        </w:numPr>
        <w:spacing w:line="360" w:lineRule="auto"/>
        <w:ind w:firstLine="0" w:firstLineChars="0"/>
        <w:contextualSpacing/>
        <w:textAlignment w:val="baseline"/>
        <w:outlineLvl w:val="1"/>
        <w:rPr>
          <w:rFonts w:hint="eastAsia" w:ascii="宋体" w:hAnsi="宋体"/>
          <w:b/>
          <w:bCs/>
          <w:sz w:val="24"/>
          <w:szCs w:val="24"/>
          <w:highlight w:val="none"/>
        </w:rPr>
      </w:pPr>
      <w:bookmarkStart w:id="39" w:name="_Toc75267883"/>
      <w:bookmarkStart w:id="40" w:name="_Toc4772"/>
      <w:bookmarkStart w:id="41" w:name="_Toc75356096"/>
      <w:r>
        <w:rPr>
          <w:rFonts w:hint="eastAsia" w:ascii="宋体" w:hAnsi="宋体"/>
          <w:b/>
          <w:bCs/>
          <w:sz w:val="24"/>
          <w:szCs w:val="24"/>
          <w:highlight w:val="none"/>
        </w:rPr>
        <w:t>系统简介</w:t>
      </w:r>
      <w:bookmarkEnd w:id="39"/>
      <w:bookmarkEnd w:id="40"/>
      <w:bookmarkEnd w:id="41"/>
    </w:p>
    <w:p w14:paraId="6DECD9AB">
      <w:pPr>
        <w:pStyle w:val="41"/>
        <w:numPr>
          <w:ilvl w:val="2"/>
          <w:numId w:val="4"/>
        </w:numPr>
        <w:spacing w:line="360" w:lineRule="auto"/>
        <w:ind w:firstLine="0" w:firstLineChars="0"/>
        <w:contextualSpacing/>
        <w:textAlignment w:val="baseline"/>
        <w:rPr>
          <w:rFonts w:hint="eastAsia" w:ascii="宋体" w:hAnsi="宋体"/>
          <w:b/>
          <w:sz w:val="24"/>
          <w:szCs w:val="24"/>
          <w:highlight w:val="none"/>
        </w:rPr>
      </w:pPr>
      <w:r>
        <w:rPr>
          <w:rFonts w:hint="eastAsia" w:ascii="宋体" w:hAnsi="宋体"/>
          <w:b/>
          <w:sz w:val="24"/>
          <w:szCs w:val="24"/>
          <w:highlight w:val="none"/>
        </w:rPr>
        <w:t>污泥干化系统</w:t>
      </w:r>
    </w:p>
    <w:p w14:paraId="32675AE0">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ascii="宋体" w:hAnsi="宋体"/>
          <w:color w:val="000000"/>
          <w:sz w:val="24"/>
          <w:szCs w:val="24"/>
          <w:highlight w:val="none"/>
        </w:rPr>
        <w:t>湿污泥输送及储存</w:t>
      </w:r>
    </w:p>
    <w:p w14:paraId="421610A0">
      <w:pPr>
        <w:spacing w:line="360" w:lineRule="auto"/>
        <w:ind w:right="-125" w:rightChars="-52" w:firstLine="436" w:firstLineChars="182"/>
        <w:contextualSpacing/>
        <w:rPr>
          <w:rFonts w:hint="eastAsia" w:ascii="宋体" w:hAnsi="宋体"/>
          <w:highlight w:val="none"/>
        </w:rPr>
      </w:pPr>
      <w:r>
        <w:rPr>
          <w:rFonts w:ascii="宋体" w:hAnsi="宋体"/>
          <w:highlight w:val="none"/>
        </w:rPr>
        <w:t>厂外来的污泥含水率在80%左右，运输采用封闭自卸车，租用社会车辆。每日污泥处理量为500吨，考虑来料不均衡系数1.1，每日运量为550吨。</w:t>
      </w:r>
    </w:p>
    <w:p w14:paraId="6388AE61">
      <w:pPr>
        <w:spacing w:line="360" w:lineRule="auto"/>
        <w:ind w:right="-125" w:rightChars="-52" w:firstLine="436" w:firstLineChars="182"/>
        <w:contextualSpacing/>
        <w:rPr>
          <w:rFonts w:hint="eastAsia" w:ascii="宋体" w:hAnsi="宋体"/>
          <w:highlight w:val="none"/>
        </w:rPr>
      </w:pPr>
      <w:r>
        <w:rPr>
          <w:rFonts w:ascii="宋体" w:hAnsi="宋体"/>
          <w:highlight w:val="none"/>
        </w:rPr>
        <w:t>污泥采用全封闭自卸车输送至厂内经汽车衡计量后卸至湿污泥仓内，共设5座湿污泥仓，每座容积为150m</w:t>
      </w:r>
      <w:r>
        <w:rPr>
          <w:rFonts w:ascii="宋体" w:hAnsi="宋体"/>
          <w:highlight w:val="none"/>
          <w:vertAlign w:val="superscript"/>
        </w:rPr>
        <w:t>3</w:t>
      </w:r>
      <w:r>
        <w:rPr>
          <w:rFonts w:ascii="宋体" w:hAnsi="宋体"/>
          <w:highlight w:val="none"/>
        </w:rPr>
        <w:t>，5座仓共可储存污泥750m</w:t>
      </w:r>
      <w:r>
        <w:rPr>
          <w:rFonts w:ascii="宋体" w:hAnsi="宋体"/>
          <w:highlight w:val="none"/>
          <w:vertAlign w:val="superscript"/>
        </w:rPr>
        <w:t>3</w:t>
      </w:r>
      <w:r>
        <w:rPr>
          <w:rFonts w:ascii="宋体" w:hAnsi="宋体"/>
          <w:highlight w:val="none"/>
        </w:rPr>
        <w:t>，满足本公司1.5天的污泥处理量。湿污泥仓底设置液压滑架，出料口下设置双螺旋输送机，输送至污泥泵入口。污泥泵采用螺杆泵，在双螺旋输送机与污泥泵之间设置液压闸阀。</w:t>
      </w:r>
    </w:p>
    <w:p w14:paraId="0D969A6E">
      <w:pPr>
        <w:pStyle w:val="9"/>
        <w:spacing w:after="0" w:line="360" w:lineRule="auto"/>
        <w:ind w:firstLine="436" w:firstLineChars="182"/>
        <w:contextualSpacing/>
        <w:rPr>
          <w:rFonts w:hint="eastAsia" w:ascii="宋体" w:hAnsi="宋体"/>
          <w:highlight w:val="none"/>
        </w:rPr>
      </w:pPr>
      <w:r>
        <w:rPr>
          <w:rFonts w:ascii="宋体" w:hAnsi="宋体"/>
          <w:highlight w:val="none"/>
        </w:rPr>
        <w:t>泵送系统的工作的流程：汽车将含水率80%的湿污泥卸入污泥仓后，湿污泥通过液压滑架的作用力通过双螺旋输送机不断流入污泥泵内，经过污泥泵的加压后，通过管道输送至污泥干化机前的进料口。</w:t>
      </w:r>
    </w:p>
    <w:p w14:paraId="65AF239C">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干化机</w:t>
      </w:r>
    </w:p>
    <w:p w14:paraId="0AF5F39D">
      <w:pPr>
        <w:spacing w:line="360" w:lineRule="auto"/>
        <w:ind w:right="-125" w:rightChars="-52" w:firstLine="436" w:firstLineChars="182"/>
        <w:contextualSpacing/>
        <w:rPr>
          <w:rFonts w:hint="eastAsia" w:ascii="宋体" w:hAnsi="宋体"/>
          <w:highlight w:val="none"/>
        </w:rPr>
      </w:pPr>
      <w:r>
        <w:rPr>
          <w:rFonts w:ascii="宋体" w:hAnsi="宋体"/>
          <w:highlight w:val="none"/>
        </w:rPr>
        <w:t>污泥干化方式采用蒸汽干化。干化系统共设5台超圆盘干燥机，干燥机采用变频调速控制，干化用热源为0.5MPa 的饱和蒸汽。每台干燥机每日处理污泥量为100吨，5台干燥机每日处理污泥量共500吨，干化后的污泥含水率～40%。污泥干化系统每日产生废水量最大为357吨，所有废水收集后送至水处理区域进行集中处理，处理至达到纳管标准后排至当地污水管网。</w:t>
      </w:r>
    </w:p>
    <w:p w14:paraId="188F7CA5">
      <w:pPr>
        <w:pStyle w:val="41"/>
        <w:numPr>
          <w:ilvl w:val="2"/>
          <w:numId w:val="4"/>
        </w:numPr>
        <w:spacing w:line="360" w:lineRule="auto"/>
        <w:ind w:firstLine="0" w:firstLineChars="0"/>
        <w:contextualSpacing/>
        <w:textAlignment w:val="baseline"/>
        <w:rPr>
          <w:rFonts w:hint="eastAsia" w:ascii="宋体" w:hAnsi="宋体"/>
          <w:b/>
          <w:sz w:val="24"/>
          <w:szCs w:val="24"/>
          <w:highlight w:val="none"/>
        </w:rPr>
      </w:pPr>
      <w:r>
        <w:rPr>
          <w:rFonts w:hint="eastAsia" w:ascii="宋体" w:hAnsi="宋体"/>
          <w:b/>
          <w:sz w:val="24"/>
          <w:szCs w:val="24"/>
          <w:highlight w:val="none"/>
        </w:rPr>
        <w:t>燃料运输系统</w:t>
      </w:r>
      <w:bookmarkStart w:id="42" w:name="_Toc32730"/>
      <w:bookmarkStart w:id="43" w:name="_Toc9858"/>
      <w:bookmarkStart w:id="44" w:name="_Toc6100"/>
      <w:bookmarkStart w:id="45" w:name="_Toc6092"/>
    </w:p>
    <w:p w14:paraId="53AD78AB">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ascii="宋体" w:hAnsi="宋体"/>
          <w:color w:val="000000"/>
          <w:sz w:val="24"/>
          <w:szCs w:val="24"/>
          <w:highlight w:val="none"/>
        </w:rPr>
        <w:t>干污泥输送系统</w:t>
      </w:r>
      <w:bookmarkEnd w:id="42"/>
      <w:bookmarkEnd w:id="43"/>
      <w:bookmarkEnd w:id="44"/>
      <w:bookmarkEnd w:id="45"/>
    </w:p>
    <w:p w14:paraId="40FB10D6">
      <w:pPr>
        <w:spacing w:line="360" w:lineRule="auto"/>
        <w:ind w:right="-125" w:rightChars="-52" w:firstLine="436" w:firstLineChars="182"/>
        <w:contextualSpacing/>
        <w:rPr>
          <w:rFonts w:hint="eastAsia" w:ascii="宋体" w:hAnsi="宋体"/>
          <w:highlight w:val="none"/>
        </w:rPr>
      </w:pPr>
      <w:r>
        <w:rPr>
          <w:rFonts w:ascii="宋体" w:hAnsi="宋体"/>
          <w:highlight w:val="none"/>
        </w:rPr>
        <w:t>干化机出口污泥温度为80℃左右，含水率～40%，成细颗粒状。干化后的污泥先采用刮板输送机输送并自然冷却，然后采用全封闭带式输送机输送至煤仓间刮板输送机后卸料至污泥斗内。污泥输送系统采用单路布置，刮板输送机参数为机槽宽度500mm，速度0.25m/s，出力20t/h；带式输送机参数为带宽500mm，带速0.8m/s，出力20t/h。</w:t>
      </w:r>
    </w:p>
    <w:p w14:paraId="7AC1BDFA">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燃煤</w:t>
      </w:r>
      <w:r>
        <w:rPr>
          <w:rFonts w:ascii="宋体" w:hAnsi="宋体"/>
          <w:color w:val="000000"/>
          <w:sz w:val="24"/>
          <w:szCs w:val="24"/>
          <w:highlight w:val="none"/>
        </w:rPr>
        <w:t>输送系统</w:t>
      </w:r>
    </w:p>
    <w:p w14:paraId="75A210A9">
      <w:pPr>
        <w:spacing w:line="360" w:lineRule="auto"/>
        <w:ind w:right="-125" w:rightChars="-52" w:firstLine="436" w:firstLineChars="182"/>
        <w:contextualSpacing/>
        <w:rPr>
          <w:rFonts w:hint="eastAsia" w:ascii="宋体" w:hAnsi="宋体"/>
          <w:highlight w:val="none"/>
        </w:rPr>
      </w:pPr>
      <w:r>
        <w:rPr>
          <w:rFonts w:hint="eastAsia" w:ascii="宋体" w:hAnsi="宋体"/>
          <w:highlight w:val="none"/>
        </w:rPr>
        <w:t>公司设计</w:t>
      </w:r>
      <w:r>
        <w:rPr>
          <w:rFonts w:ascii="宋体" w:hAnsi="宋体"/>
          <w:highlight w:val="none"/>
        </w:rPr>
        <w:t>1座</w:t>
      </w:r>
      <w:r>
        <w:rPr>
          <w:rFonts w:hint="eastAsia" w:ascii="宋体" w:hAnsi="宋体"/>
          <w:highlight w:val="none"/>
        </w:rPr>
        <w:t>封闭</w:t>
      </w:r>
      <w:r>
        <w:rPr>
          <w:rFonts w:ascii="宋体" w:hAnsi="宋体"/>
          <w:highlight w:val="none"/>
        </w:rPr>
        <w:t>煤棚，</w:t>
      </w:r>
      <w:r>
        <w:rPr>
          <w:rFonts w:hint="eastAsia" w:ascii="宋体" w:hAnsi="宋体"/>
          <w:highlight w:val="none"/>
        </w:rPr>
        <w:t>宽24m（桥抓</w:t>
      </w:r>
      <w:r>
        <w:rPr>
          <w:rFonts w:ascii="宋体" w:hAnsi="宋体"/>
          <w:highlight w:val="none"/>
        </w:rPr>
        <w:t>跨度</w:t>
      </w:r>
      <w:r>
        <w:rPr>
          <w:rFonts w:hint="eastAsia" w:ascii="宋体" w:hAnsi="宋体"/>
          <w:highlight w:val="none"/>
        </w:rPr>
        <w:t>22.5</w:t>
      </w:r>
      <w:r>
        <w:rPr>
          <w:rFonts w:ascii="宋体" w:hAnsi="宋体"/>
          <w:highlight w:val="none"/>
        </w:rPr>
        <w:t>m</w:t>
      </w:r>
      <w:r>
        <w:rPr>
          <w:rFonts w:hint="eastAsia" w:ascii="宋体" w:hAnsi="宋体"/>
          <w:highlight w:val="none"/>
        </w:rPr>
        <w:t>）</w:t>
      </w:r>
      <w:r>
        <w:rPr>
          <w:rFonts w:ascii="宋体" w:hAnsi="宋体"/>
          <w:highlight w:val="none"/>
        </w:rPr>
        <w:t>，长</w:t>
      </w:r>
      <w:r>
        <w:rPr>
          <w:rFonts w:hint="eastAsia" w:ascii="宋体" w:hAnsi="宋体"/>
          <w:highlight w:val="none"/>
        </w:rPr>
        <w:t>78</w:t>
      </w:r>
      <w:r>
        <w:rPr>
          <w:rFonts w:ascii="宋体" w:hAnsi="宋体"/>
          <w:highlight w:val="none"/>
        </w:rPr>
        <w:t>m，</w:t>
      </w:r>
      <w:r>
        <w:rPr>
          <w:rFonts w:hint="eastAsia" w:ascii="宋体" w:hAnsi="宋体"/>
          <w:highlight w:val="none"/>
        </w:rPr>
        <w:t>最大</w:t>
      </w:r>
      <w:r>
        <w:rPr>
          <w:rFonts w:ascii="宋体" w:hAnsi="宋体"/>
          <w:highlight w:val="none"/>
        </w:rPr>
        <w:t>堆高7m，</w:t>
      </w:r>
      <w:r>
        <w:rPr>
          <w:rFonts w:hint="eastAsia" w:ascii="宋体" w:hAnsi="宋体"/>
          <w:highlight w:val="none"/>
        </w:rPr>
        <w:t>两侧挡煤墙高3m，</w:t>
      </w:r>
      <w:r>
        <w:rPr>
          <w:rFonts w:ascii="宋体" w:hAnsi="宋体"/>
          <w:highlight w:val="none"/>
        </w:rPr>
        <w:t>总储煤量约0.</w:t>
      </w:r>
      <w:r>
        <w:rPr>
          <w:rFonts w:hint="eastAsia" w:ascii="宋体" w:hAnsi="宋体"/>
          <w:highlight w:val="none"/>
        </w:rPr>
        <w:t>443</w:t>
      </w:r>
      <w:r>
        <w:rPr>
          <w:rFonts w:ascii="宋体" w:hAnsi="宋体"/>
          <w:highlight w:val="none"/>
        </w:rPr>
        <w:t>万吨，满足本工程燃用</w:t>
      </w:r>
      <w:r>
        <w:rPr>
          <w:rFonts w:hint="eastAsia" w:ascii="宋体" w:hAnsi="宋体"/>
          <w:highlight w:val="none"/>
        </w:rPr>
        <w:t>设计煤种</w:t>
      </w:r>
      <w:r>
        <w:rPr>
          <w:rFonts w:ascii="宋体" w:hAnsi="宋体"/>
          <w:highlight w:val="none"/>
        </w:rPr>
        <w:t>约</w:t>
      </w:r>
      <w:r>
        <w:rPr>
          <w:rFonts w:hint="eastAsia" w:ascii="宋体" w:hAnsi="宋体"/>
          <w:highlight w:val="none"/>
        </w:rPr>
        <w:t>3.4</w:t>
      </w:r>
      <w:r>
        <w:rPr>
          <w:rFonts w:ascii="宋体" w:hAnsi="宋体"/>
          <w:highlight w:val="none"/>
        </w:rPr>
        <w:t>天。煤棚内设2台</w:t>
      </w:r>
      <w:r>
        <w:rPr>
          <w:rFonts w:hint="eastAsia" w:ascii="宋体" w:hAnsi="宋体"/>
          <w:highlight w:val="none"/>
        </w:rPr>
        <w:t>起重量为10吨的</w:t>
      </w:r>
      <w:r>
        <w:rPr>
          <w:rFonts w:ascii="宋体" w:hAnsi="宋体"/>
          <w:highlight w:val="none"/>
        </w:rPr>
        <w:t>桥式抓斗起重机作为堆煤及上煤机械。设2座</w:t>
      </w:r>
      <w:r>
        <w:rPr>
          <w:rFonts w:hint="eastAsia" w:ascii="宋体" w:hAnsi="宋体"/>
          <w:highlight w:val="none"/>
        </w:rPr>
        <w:t>半</w:t>
      </w:r>
      <w:r>
        <w:rPr>
          <w:rFonts w:ascii="宋体" w:hAnsi="宋体"/>
          <w:highlight w:val="none"/>
        </w:rPr>
        <w:t>地下煤斗，每座煤斗下设一台振动给煤机，每台给煤机额定出力200t/h。煤场配置</w:t>
      </w:r>
      <w:r>
        <w:rPr>
          <w:rFonts w:hint="eastAsia" w:ascii="宋体" w:hAnsi="宋体"/>
          <w:highlight w:val="none"/>
        </w:rPr>
        <w:t>2台</w:t>
      </w:r>
      <w:r>
        <w:rPr>
          <w:rFonts w:ascii="宋体" w:hAnsi="宋体"/>
          <w:highlight w:val="none"/>
        </w:rPr>
        <w:t>装载机作为辅助堆煤及上煤机械。</w:t>
      </w:r>
    </w:p>
    <w:p w14:paraId="65661283">
      <w:pPr>
        <w:spacing w:line="360" w:lineRule="auto"/>
        <w:ind w:right="-125" w:rightChars="-52" w:firstLine="436" w:firstLineChars="182"/>
        <w:contextualSpacing/>
        <w:rPr>
          <w:rFonts w:hint="eastAsia" w:ascii="宋体" w:hAnsi="宋体"/>
          <w:highlight w:val="none"/>
        </w:rPr>
      </w:pPr>
      <w:r>
        <w:rPr>
          <w:rFonts w:hint="eastAsia" w:ascii="宋体" w:hAnsi="宋体"/>
          <w:highlight w:val="none"/>
        </w:rPr>
        <w:t>从煤场至主厂房的上煤系统设双路皮带机，共10条输煤皮带机，均采用封闭式布置，正常情况下为一路运行一路备用，也可满足双路同时运行要求。4A 、4B皮带机中部设两套入炉煤电子皮带秤及循环链码校验装置、两套入炉煤取样装置，入厂煤采用人工采样。上煤系统在出煤场T1转运站及进主厂房T2转运站设交叉点，采用电动三通挡板进行AB路切换。</w:t>
      </w:r>
    </w:p>
    <w:p w14:paraId="17E113D1">
      <w:pPr>
        <w:spacing w:line="360" w:lineRule="auto"/>
        <w:ind w:right="-125" w:rightChars="-52" w:firstLine="436" w:firstLineChars="182"/>
        <w:contextualSpacing/>
        <w:rPr>
          <w:rFonts w:hint="eastAsia" w:ascii="宋体" w:hAnsi="宋体"/>
          <w:highlight w:val="none"/>
        </w:rPr>
      </w:pPr>
      <w:r>
        <w:rPr>
          <w:rFonts w:hint="eastAsia" w:ascii="宋体" w:hAnsi="宋体"/>
          <w:highlight w:val="none"/>
        </w:rPr>
        <w:t>碎煤机室设2台</w:t>
      </w:r>
      <w:r>
        <w:rPr>
          <w:rFonts w:ascii="宋体" w:hAnsi="宋体"/>
          <w:highlight w:val="none"/>
        </w:rPr>
        <w:t>碎煤机</w:t>
      </w:r>
      <w:r>
        <w:rPr>
          <w:rFonts w:hint="eastAsia" w:ascii="宋体" w:hAnsi="宋体"/>
          <w:highlight w:val="none"/>
        </w:rPr>
        <w:t>，每台出力为200</w:t>
      </w:r>
      <w:r>
        <w:rPr>
          <w:rFonts w:ascii="宋体" w:hAnsi="宋体"/>
          <w:highlight w:val="none"/>
        </w:rPr>
        <w:t>t/h</w:t>
      </w:r>
      <w:r>
        <w:rPr>
          <w:rFonts w:hint="eastAsia" w:ascii="宋体" w:hAnsi="宋体"/>
          <w:highlight w:val="none"/>
        </w:rPr>
        <w:t>。</w:t>
      </w:r>
      <w:r>
        <w:rPr>
          <w:rFonts w:ascii="宋体" w:hAnsi="宋体"/>
          <w:highlight w:val="none"/>
        </w:rPr>
        <w:t>碎煤机</w:t>
      </w:r>
      <w:r>
        <w:rPr>
          <w:rFonts w:hint="eastAsia" w:ascii="宋体" w:hAnsi="宋体"/>
          <w:highlight w:val="none"/>
        </w:rPr>
        <w:t>A、B进料皮带机分别为3A 、3B皮带机，出料皮带机分别为4A 、4B皮带机。为从煤流中分离出磁性金属以保护碎煤机，运煤系统在进入碎煤机前共设置二级除铁器。分别在出煤场2A、2B皮带机头部及进碎煤机前的3A 、3B皮带机头部各设一级带式电磁除铁器。</w:t>
      </w:r>
    </w:p>
    <w:p w14:paraId="30C205CE">
      <w:pPr>
        <w:spacing w:line="360" w:lineRule="auto"/>
        <w:ind w:right="-125" w:rightChars="-52" w:firstLine="436" w:firstLineChars="182"/>
        <w:contextualSpacing/>
        <w:rPr>
          <w:rFonts w:hint="eastAsia" w:ascii="宋体" w:hAnsi="宋体"/>
          <w:highlight w:val="none"/>
        </w:rPr>
      </w:pPr>
      <w:r>
        <w:rPr>
          <w:rFonts w:hint="eastAsia" w:ascii="宋体" w:hAnsi="宋体"/>
          <w:highlight w:val="none"/>
        </w:rPr>
        <w:t>煤仓间采用犁煤器卸煤至各个煤仓，16台犁煤器分别安装于5A、5B皮带机上，一条皮带机对应8台犁煤器。</w:t>
      </w:r>
    </w:p>
    <w:p w14:paraId="1E657140">
      <w:pPr>
        <w:spacing w:line="360" w:lineRule="auto"/>
        <w:ind w:right="-125" w:rightChars="-52" w:firstLine="436" w:firstLineChars="182"/>
        <w:contextualSpacing/>
        <w:rPr>
          <w:rFonts w:hint="eastAsia" w:ascii="宋体" w:hAnsi="宋体"/>
          <w:highlight w:val="none"/>
        </w:rPr>
      </w:pPr>
      <w:r>
        <w:rPr>
          <w:rFonts w:hint="eastAsia" w:ascii="宋体" w:hAnsi="宋体"/>
          <w:highlight w:val="none"/>
        </w:rPr>
        <w:t>各输煤皮带机头部漏斗和导料槽处设有收尘和喷雾装置。煤仓间皮带层、转运站、碎煤机室各层及皮带机栈桥采用水冲洗。水冲洗后的煤泥水将送至煤泥沉淀池，对含煤污水进行处理后回收循环使用。</w:t>
      </w:r>
      <w:r>
        <w:rPr>
          <w:rFonts w:ascii="宋体" w:hAnsi="宋体"/>
          <w:highlight w:val="none"/>
        </w:rPr>
        <w:t>运煤系统采用</w:t>
      </w:r>
      <w:r>
        <w:rPr>
          <w:rFonts w:hint="eastAsia" w:ascii="宋体" w:hAnsi="宋体"/>
          <w:highlight w:val="none"/>
        </w:rPr>
        <w:t>DCS集中</w:t>
      </w:r>
      <w:r>
        <w:rPr>
          <w:rFonts w:ascii="宋体" w:hAnsi="宋体"/>
          <w:highlight w:val="none"/>
        </w:rPr>
        <w:t>控制。各设备配备就地控制装置。本系统设置工业电视监控系统，在各主要设备处、煤场、煤仓间都布置摄像头，监控主要设备的运行情况。</w:t>
      </w:r>
    </w:p>
    <w:p w14:paraId="34B66DAE">
      <w:pPr>
        <w:spacing w:line="360" w:lineRule="auto"/>
        <w:ind w:right="-125" w:rightChars="-52" w:firstLine="436" w:firstLineChars="182"/>
        <w:contextualSpacing/>
        <w:rPr>
          <w:rFonts w:hint="eastAsia" w:ascii="宋体" w:hAnsi="宋体"/>
          <w:highlight w:val="none"/>
        </w:rPr>
      </w:pPr>
      <w:r>
        <w:rPr>
          <w:rFonts w:ascii="宋体" w:hAnsi="宋体"/>
          <w:highlight w:val="none"/>
        </w:rPr>
        <w:t>本公司设2台汽车衡，用于入厂煤及入厂污泥计量。</w:t>
      </w:r>
    </w:p>
    <w:p w14:paraId="559A8659">
      <w:pPr>
        <w:spacing w:line="360" w:lineRule="auto"/>
        <w:ind w:firstLine="480"/>
        <w:contextualSpacing/>
        <w:rPr>
          <w:rFonts w:hint="eastAsia" w:ascii="宋体" w:hAnsi="宋体"/>
          <w:highlight w:val="none"/>
        </w:rPr>
      </w:pPr>
      <w:r>
        <w:rPr>
          <w:rFonts w:ascii="宋体" w:hAnsi="宋体"/>
          <w:highlight w:val="none"/>
        </w:rPr>
        <w:t>本公司设2套入炉煤计量电子皮带秤及循环链码校验装置。</w:t>
      </w:r>
    </w:p>
    <w:p w14:paraId="2420F1E1">
      <w:pPr>
        <w:spacing w:line="360" w:lineRule="auto"/>
        <w:ind w:firstLine="480"/>
        <w:contextualSpacing/>
        <w:rPr>
          <w:rFonts w:ascii="宋体" w:hAnsi="宋体"/>
          <w:highlight w:val="none"/>
        </w:rPr>
      </w:pPr>
      <w:r>
        <w:rPr>
          <w:rFonts w:ascii="宋体" w:hAnsi="宋体"/>
          <w:highlight w:val="none"/>
        </w:rPr>
        <w:t>本公司设2套入炉煤取样装置，入厂煤采用人工采样。</w:t>
      </w:r>
    </w:p>
    <w:p w14:paraId="0202C53B">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lang w:val="en-US" w:eastAsia="zh-CN"/>
        </w:rPr>
        <w:t>SRF</w:t>
      </w:r>
      <w:r>
        <w:rPr>
          <w:rFonts w:ascii="宋体" w:hAnsi="宋体"/>
          <w:color w:val="000000"/>
          <w:sz w:val="24"/>
          <w:szCs w:val="24"/>
          <w:highlight w:val="none"/>
        </w:rPr>
        <w:t>输送系统</w:t>
      </w:r>
    </w:p>
    <w:p w14:paraId="70C9EC8E">
      <w:pPr>
        <w:spacing w:line="360" w:lineRule="auto"/>
        <w:ind w:right="0" w:rightChars="0" w:firstLine="436" w:firstLineChars="182"/>
        <w:contextualSpacing/>
        <w:rPr>
          <w:rFonts w:hint="default" w:ascii="宋体" w:hAnsi="宋体" w:eastAsia="宋体" w:cs="Times New Roman"/>
          <w:highlight w:val="none"/>
        </w:rPr>
      </w:pPr>
      <w:r>
        <w:rPr>
          <w:rFonts w:hint="default" w:ascii="宋体" w:hAnsi="宋体" w:eastAsia="宋体" w:cs="Times New Roman"/>
          <w:color w:val="auto"/>
          <w:highlight w:val="none"/>
        </w:rPr>
        <w:t>SRF厂内运输系统依托电厂现有电子汽车衡，称重后运往SRF储料库，由装载机推送至地下料斗</w:t>
      </w:r>
      <w:r>
        <w:rPr>
          <w:rFonts w:hint="default" w:ascii="宋体" w:hAnsi="宋体" w:eastAsia="宋体" w:cs="Times New Roman"/>
          <w:color w:val="auto"/>
          <w:highlight w:val="none"/>
          <w:lang w:eastAsia="zh-CN"/>
        </w:rPr>
        <w:t>，</w:t>
      </w:r>
      <w:r>
        <w:rPr>
          <w:rFonts w:hint="default" w:ascii="宋体" w:hAnsi="宋体" w:eastAsia="宋体" w:cs="Times New Roman"/>
          <w:highlight w:val="none"/>
        </w:rPr>
        <w:t>SRF输送系统具体的运输流程如下：</w:t>
      </w:r>
    </w:p>
    <w:p w14:paraId="6FB1978F">
      <w:pPr>
        <w:spacing w:line="360" w:lineRule="auto"/>
        <w:ind w:right="0" w:rightChars="0" w:firstLine="436" w:firstLineChars="182"/>
        <w:contextualSpacing/>
        <w:rPr>
          <w:rFonts w:hint="default" w:ascii="宋体" w:hAnsi="宋体"/>
          <w:highlight w:val="none"/>
        </w:rPr>
      </w:pPr>
      <w:r>
        <w:rPr>
          <w:rFonts w:hint="default" w:ascii="宋体" w:hAnsi="宋体"/>
          <w:highlight w:val="none"/>
        </w:rPr>
        <w:t>汽车运输入厂→SRF储料库→装载机→地下料斗（螺旋给料）→SRF输送系统→直接落料→炉前料仓→一级螺旋给料机→二级螺旋给料机→锅炉进料口。</w:t>
      </w:r>
    </w:p>
    <w:p w14:paraId="46E19217">
      <w:pPr>
        <w:spacing w:before="0" w:line="360" w:lineRule="auto"/>
        <w:ind w:right="0" w:rightChars="0" w:firstLine="436" w:firstLineChars="182"/>
        <w:contextualSpacing/>
        <w:rPr>
          <w:rFonts w:hint="eastAsia" w:ascii="宋体" w:hAnsi="宋体"/>
          <w:highlight w:val="none"/>
          <w:lang w:eastAsia="zh-CN"/>
        </w:rPr>
      </w:pPr>
      <w:r>
        <w:rPr>
          <w:rFonts w:hint="default" w:ascii="宋体" w:hAnsi="宋体"/>
          <w:highlight w:val="none"/>
          <w:lang w:eastAsia="zh-CN"/>
        </w:rPr>
        <w:t>SRF</w:t>
      </w:r>
      <w:r>
        <w:rPr>
          <w:rFonts w:hint="default" w:ascii="宋体" w:hAnsi="宋体" w:cs="Times New Roman"/>
          <w:highlight w:val="none"/>
          <w:lang w:eastAsia="zh-CN"/>
        </w:rPr>
        <w:t>固废根据物料性质，采用机械输送方式。根据厂区现有布置情况以及主厂房运煤层布置空间受限。固废输送系统采用双路输送，</w:t>
      </w:r>
      <w:r>
        <w:rPr>
          <w:rFonts w:hint="eastAsia" w:ascii="宋体" w:hAnsi="宋体" w:cs="Times New Roman"/>
          <w:color w:val="auto"/>
          <w:spacing w:val="0"/>
          <w:sz w:val="24"/>
          <w:highlight w:val="none"/>
          <w:lang w:eastAsia="zh-CN"/>
        </w:rPr>
        <w:t>共 5</w:t>
      </w:r>
      <w:r>
        <w:rPr>
          <w:rFonts w:hint="eastAsia" w:ascii="宋体" w:hAnsi="宋体"/>
          <w:highlight w:val="none"/>
          <w:lang w:eastAsia="zh-CN"/>
        </w:rPr>
        <w:t xml:space="preserve"> </w:t>
      </w:r>
      <w:r>
        <w:rPr>
          <w:rFonts w:hint="eastAsia" w:ascii="宋体" w:hAnsi="宋体" w:cs="Times New Roman"/>
          <w:color w:val="auto"/>
          <w:spacing w:val="0"/>
          <w:sz w:val="24"/>
          <w:highlight w:val="none"/>
          <w:lang w:eastAsia="zh-CN"/>
        </w:rPr>
        <w:t xml:space="preserve">台带式输送机，质 号、2 </w:t>
      </w:r>
      <w:r>
        <w:rPr>
          <w:rFonts w:hint="eastAsia" w:ascii="宋体" w:hAnsi="宋体" w:cs="Times New Roman"/>
          <w:color w:val="auto"/>
          <w:sz w:val="24"/>
          <w:highlight w:val="none"/>
          <w:lang w:eastAsia="zh-CN"/>
        </w:rPr>
        <w:t>号皮带各</w:t>
      </w:r>
      <w:r>
        <w:rPr>
          <w:rFonts w:hint="eastAsia" w:ascii="宋体" w:hAnsi="宋体"/>
          <w:highlight w:val="none"/>
          <w:lang w:eastAsia="zh-CN"/>
        </w:rPr>
        <w:t xml:space="preserve"> </w:t>
      </w:r>
      <w:r>
        <w:rPr>
          <w:rFonts w:hint="eastAsia" w:ascii="宋体" w:hAnsi="宋体"/>
          <w:color w:val="auto"/>
          <w:sz w:val="24"/>
          <w:highlight w:val="none"/>
          <w:lang w:eastAsia="zh-CN"/>
        </w:rPr>
        <w:t>2</w:t>
      </w:r>
      <w:r>
        <w:rPr>
          <w:rFonts w:hint="eastAsia" w:ascii="宋体" w:hAnsi="宋体"/>
          <w:highlight w:val="none"/>
          <w:lang w:eastAsia="zh-CN"/>
        </w:rPr>
        <w:t xml:space="preserve"> </w:t>
      </w:r>
      <w:r>
        <w:rPr>
          <w:rFonts w:hint="eastAsia" w:ascii="宋体" w:hAnsi="宋体" w:cs="Times New Roman"/>
          <w:color w:val="auto"/>
          <w:spacing w:val="0"/>
          <w:sz w:val="24"/>
          <w:highlight w:val="none"/>
          <w:lang w:eastAsia="zh-CN"/>
        </w:rPr>
        <w:t xml:space="preserve">条，带 </w:t>
      </w:r>
      <w:r>
        <w:rPr>
          <w:rFonts w:hint="eastAsia" w:ascii="宋体" w:hAnsi="宋体" w:cs="Times New Roman"/>
          <w:color w:val="auto"/>
          <w:sz w:val="24"/>
          <w:highlight w:val="none"/>
          <w:lang w:eastAsia="zh-CN"/>
        </w:rPr>
        <w:t>号皮带</w:t>
      </w:r>
      <w:r>
        <w:rPr>
          <w:rFonts w:hint="eastAsia" w:ascii="宋体" w:hAnsi="宋体"/>
          <w:highlight w:val="none"/>
          <w:lang w:eastAsia="zh-CN"/>
        </w:rPr>
        <w:t xml:space="preserve"> </w:t>
      </w:r>
      <w:r>
        <w:rPr>
          <w:rFonts w:hint="eastAsia" w:ascii="宋体" w:hAnsi="宋体"/>
          <w:color w:val="auto"/>
          <w:sz w:val="24"/>
          <w:highlight w:val="none"/>
          <w:lang w:eastAsia="zh-CN"/>
        </w:rPr>
        <w:t>1</w:t>
      </w:r>
      <w:r>
        <w:rPr>
          <w:rFonts w:hint="eastAsia" w:ascii="宋体" w:hAnsi="宋体"/>
          <w:highlight w:val="none"/>
          <w:lang w:eastAsia="zh-CN"/>
        </w:rPr>
        <w:t xml:space="preserve"> </w:t>
      </w:r>
      <w:r>
        <w:rPr>
          <w:rFonts w:hint="eastAsia" w:ascii="宋体" w:hAnsi="宋体" w:cs="Times New Roman"/>
          <w:color w:val="auto"/>
          <w:spacing w:val="0"/>
          <w:sz w:val="24"/>
          <w:highlight w:val="none"/>
          <w:lang w:eastAsia="zh-CN"/>
        </w:rPr>
        <w:t xml:space="preserve">条。带 </w:t>
      </w:r>
      <w:r>
        <w:rPr>
          <w:rFonts w:hint="eastAsia" w:ascii="宋体" w:hAnsi="宋体" w:cs="Times New Roman"/>
          <w:color w:val="auto"/>
          <w:sz w:val="24"/>
          <w:highlight w:val="none"/>
          <w:lang w:eastAsia="zh-CN"/>
        </w:rPr>
        <w:t>号皮带为大倾角，B</w:t>
      </w:r>
      <w:r>
        <w:rPr>
          <w:rFonts w:hint="eastAsia" w:ascii="宋体" w:hAnsi="宋体" w:cs="Times New Roman"/>
          <w:color w:val="auto"/>
          <w:spacing w:val="0"/>
          <w:sz w:val="24"/>
          <w:highlight w:val="none"/>
          <w:lang w:eastAsia="zh-CN"/>
        </w:rPr>
        <w:t>=800mm角，B 1.25m/s800mm角</w:t>
      </w:r>
      <w:r>
        <w:rPr>
          <w:rFonts w:hint="eastAsia" w:ascii="宋体" w:hAnsi="宋体"/>
          <w:color w:val="auto"/>
          <w:spacing w:val="0"/>
          <w:sz w:val="24"/>
          <w:highlight w:val="none"/>
          <w:lang w:eastAsia="zh-CN"/>
        </w:rPr>
        <w:t xml:space="preserve"> 40t/h；2 </w:t>
      </w:r>
      <w:r>
        <w:rPr>
          <w:rFonts w:hint="eastAsia" w:ascii="宋体" w:hAnsi="宋体" w:cs="Times New Roman"/>
          <w:color w:val="auto"/>
          <w:spacing w:val="0"/>
          <w:sz w:val="24"/>
          <w:highlight w:val="none"/>
          <w:lang w:eastAsia="zh-CN"/>
        </w:rPr>
        <w:t>号皮带为水平皮带， =650mm皮</w:t>
      </w:r>
      <w:bookmarkStart w:id="46" w:name="br4"/>
      <w:bookmarkEnd w:id="46"/>
      <w:r>
        <w:rPr>
          <w:rFonts w:hint="eastAsia" w:ascii="宋体" w:hAnsi="宋体" w:cs="Times New Roman"/>
          <w:spacing w:val="0"/>
          <w:highlight w:val="none"/>
          <w:lang w:eastAsia="zh-CN"/>
        </w:rPr>
        <w:t>带速</w:t>
      </w:r>
      <w:r>
        <w:rPr>
          <w:rFonts w:hint="eastAsia" w:ascii="宋体" w:hAnsi="宋体"/>
          <w:highlight w:val="none"/>
          <w:lang w:eastAsia="zh-CN"/>
        </w:rPr>
        <w:t xml:space="preserve"> </w:t>
      </w:r>
      <w:r>
        <w:rPr>
          <w:rFonts w:hint="eastAsia" w:ascii="宋体" w:hAnsi="宋体" w:cs="Times New Roman"/>
          <w:spacing w:val="0"/>
          <w:highlight w:val="none"/>
          <w:lang w:eastAsia="zh-CN"/>
        </w:rPr>
        <w:t>1.25m/s，皮带出力为</w:t>
      </w:r>
      <w:r>
        <w:rPr>
          <w:rFonts w:hint="eastAsia" w:ascii="宋体" w:hAnsi="宋体"/>
          <w:spacing w:val="0"/>
          <w:highlight w:val="none"/>
          <w:lang w:eastAsia="zh-CN"/>
        </w:rPr>
        <w:t xml:space="preserve"> 40t/h，3 </w:t>
      </w:r>
      <w:r>
        <w:rPr>
          <w:rFonts w:hint="eastAsia" w:ascii="宋体" w:hAnsi="宋体" w:cs="Times New Roman"/>
          <w:spacing w:val="0"/>
          <w:highlight w:val="none"/>
          <w:lang w:eastAsia="zh-CN"/>
        </w:rPr>
        <w:t>号皮带为水平皮带，B=650mm，带速 1.25m/s，皮带出力为</w:t>
      </w:r>
      <w:r>
        <w:rPr>
          <w:rFonts w:hint="eastAsia" w:ascii="宋体" w:hAnsi="宋体"/>
          <w:highlight w:val="none"/>
          <w:lang w:eastAsia="zh-CN"/>
        </w:rPr>
        <w:t xml:space="preserve"> </w:t>
      </w:r>
      <w:r>
        <w:rPr>
          <w:rFonts w:hint="eastAsia" w:ascii="宋体" w:hAnsi="宋体" w:cs="Times New Roman"/>
          <w:spacing w:val="0"/>
          <w:highlight w:val="none"/>
          <w:lang w:eastAsia="zh-CN"/>
        </w:rPr>
        <w:t>40t/h，皮带单路出力满足</w:t>
      </w:r>
      <w:r>
        <w:rPr>
          <w:rFonts w:hint="eastAsia" w:ascii="宋体" w:hAnsi="宋体"/>
          <w:spacing w:val="0"/>
          <w:highlight w:val="none"/>
          <w:lang w:eastAsia="zh-CN"/>
        </w:rPr>
        <w:t xml:space="preserve"> 3 </w:t>
      </w:r>
      <w:r>
        <w:rPr>
          <w:rFonts w:hint="eastAsia" w:ascii="宋体" w:hAnsi="宋体" w:cs="Times New Roman"/>
          <w:spacing w:val="0"/>
          <w:highlight w:val="none"/>
          <w:lang w:eastAsia="zh-CN"/>
        </w:rPr>
        <w:t>台锅炉同时低负荷运行的需求,当</w:t>
      </w:r>
      <w:r>
        <w:rPr>
          <w:rFonts w:hint="eastAsia" w:ascii="宋体" w:hAnsi="宋体"/>
          <w:spacing w:val="0"/>
          <w:highlight w:val="none"/>
          <w:lang w:eastAsia="zh-CN"/>
        </w:rPr>
        <w:t xml:space="preserve"> 3 </w:t>
      </w:r>
      <w:r>
        <w:rPr>
          <w:rFonts w:hint="eastAsia" w:ascii="宋体" w:hAnsi="宋体" w:cs="Times New Roman"/>
          <w:spacing w:val="0"/>
          <w:sz w:val="24"/>
          <w:highlight w:val="none"/>
          <w:lang w:eastAsia="zh-CN"/>
        </w:rPr>
        <w:t>台锅炉同时高</w:t>
      </w:r>
      <w:r>
        <w:rPr>
          <w:rFonts w:hint="eastAsia" w:ascii="宋体" w:hAnsi="宋体" w:cs="Times New Roman"/>
          <w:sz w:val="24"/>
          <w:highlight w:val="none"/>
          <w:lang w:eastAsia="zh-CN"/>
        </w:rPr>
        <w:t>负荷时，需</w:t>
      </w:r>
      <w:r>
        <w:rPr>
          <w:rFonts w:hint="eastAsia" w:ascii="宋体" w:hAnsi="宋体"/>
          <w:spacing w:val="0"/>
          <w:sz w:val="24"/>
          <w:highlight w:val="none"/>
          <w:lang w:eastAsia="zh-CN"/>
        </w:rPr>
        <w:t xml:space="preserve"> 2 </w:t>
      </w:r>
      <w:r>
        <w:rPr>
          <w:rFonts w:hint="eastAsia" w:ascii="宋体" w:hAnsi="宋体" w:cs="Times New Roman"/>
          <w:sz w:val="24"/>
          <w:highlight w:val="none"/>
          <w:lang w:eastAsia="zh-CN"/>
        </w:rPr>
        <w:t>条皮带同时运行。</w:t>
      </w:r>
    </w:p>
    <w:p w14:paraId="0648B0A8">
      <w:pPr>
        <w:spacing w:before="0" w:line="360" w:lineRule="auto"/>
        <w:ind w:left="0" w:right="0" w:rightChars="0" w:firstLine="436" w:firstLineChars="182"/>
        <w:contextualSpacing/>
        <w:rPr>
          <w:rFonts w:hint="eastAsia" w:ascii="宋体" w:hAnsi="宋体"/>
          <w:highlight w:val="none"/>
          <w:lang w:eastAsia="zh-CN"/>
        </w:rPr>
      </w:pPr>
      <w:r>
        <w:rPr>
          <w:rFonts w:hint="eastAsia" w:ascii="宋体" w:hAnsi="宋体" w:cs="Times New Roman"/>
          <w:spacing w:val="0"/>
          <w:highlight w:val="none"/>
          <w:lang w:eastAsia="zh-CN"/>
        </w:rPr>
        <w:t>上料系统的主要运行方式</w:t>
      </w:r>
      <w:r>
        <w:rPr>
          <w:rFonts w:hint="default" w:ascii="宋体" w:hAnsi="宋体" w:eastAsia="宋体" w:cs="Times New Roman"/>
          <w:spacing w:val="0"/>
          <w:kern w:val="2"/>
          <w:highlight w:val="none"/>
          <w:lang w:eastAsia="zh-CN"/>
        </w:rPr>
        <w:t>：</w:t>
      </w:r>
      <w:r>
        <w:rPr>
          <w:rFonts w:hint="eastAsia" w:ascii="宋体" w:hAnsi="宋体" w:cs="Times New Roman"/>
          <w:highlight w:val="none"/>
          <w:lang w:eastAsia="zh-CN"/>
        </w:rPr>
        <w:t>本工程输送系统按连续运行设计。</w:t>
      </w:r>
    </w:p>
    <w:p w14:paraId="7DDE17B0">
      <w:pPr>
        <w:spacing w:line="360" w:lineRule="auto"/>
        <w:ind w:right="0" w:rightChars="0" w:firstLine="436" w:firstLineChars="182"/>
        <w:contextualSpacing/>
        <w:rPr>
          <w:rFonts w:hint="default" w:ascii="宋体" w:hAnsi="宋体"/>
          <w:highlight w:val="none"/>
        </w:rPr>
      </w:pPr>
      <w:r>
        <w:rPr>
          <w:rFonts w:hint="eastAsia" w:ascii="宋体" w:hAnsi="宋体" w:cs="Times New Roman"/>
          <w:spacing w:val="0"/>
          <w:highlight w:val="none"/>
          <w:lang w:eastAsia="zh-CN"/>
        </w:rPr>
        <w:t>上料系统控制</w:t>
      </w:r>
      <w:r>
        <w:rPr>
          <w:rFonts w:hint="default" w:ascii="宋体" w:hAnsi="宋体" w:eastAsia="宋体" w:cs="Times New Roman"/>
          <w:spacing w:val="0"/>
          <w:kern w:val="2"/>
          <w:highlight w:val="none"/>
          <w:lang w:eastAsia="zh-CN"/>
        </w:rPr>
        <w:t>：</w:t>
      </w:r>
      <w:r>
        <w:rPr>
          <w:rFonts w:hint="eastAsia" w:ascii="宋体" w:hAnsi="宋体" w:cs="Times New Roman"/>
          <w:spacing w:val="0"/>
          <w:highlight w:val="none"/>
          <w:lang w:eastAsia="zh-CN"/>
        </w:rPr>
        <w:t>采用控制室集中控制就地操作相结合。设备设有连锁装置，启动与停车均按顺序进行</w:t>
      </w:r>
      <w:r>
        <w:rPr>
          <w:rFonts w:hint="eastAsia" w:ascii="宋体" w:hAnsi="宋体" w:cs="Times New Roman"/>
          <w:highlight w:val="none"/>
          <w:lang w:eastAsia="zh-CN"/>
        </w:rPr>
        <w:t>。</w:t>
      </w:r>
    </w:p>
    <w:p w14:paraId="1EEC0DA5">
      <w:pPr>
        <w:pStyle w:val="41"/>
        <w:numPr>
          <w:ilvl w:val="2"/>
          <w:numId w:val="4"/>
        </w:numPr>
        <w:spacing w:line="360" w:lineRule="auto"/>
        <w:ind w:firstLine="0" w:firstLineChars="0"/>
        <w:contextualSpacing/>
        <w:textAlignment w:val="baseline"/>
        <w:rPr>
          <w:rFonts w:hint="eastAsia" w:ascii="宋体" w:hAnsi="宋体"/>
          <w:b/>
          <w:sz w:val="24"/>
          <w:szCs w:val="24"/>
          <w:highlight w:val="none"/>
        </w:rPr>
      </w:pPr>
      <w:r>
        <w:rPr>
          <w:rFonts w:hint="eastAsia" w:ascii="宋体" w:hAnsi="宋体"/>
          <w:b/>
          <w:sz w:val="24"/>
          <w:szCs w:val="24"/>
          <w:highlight w:val="none"/>
        </w:rPr>
        <w:t>水处理系统</w:t>
      </w:r>
    </w:p>
    <w:p w14:paraId="60D442AA">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原水预处理</w:t>
      </w:r>
    </w:p>
    <w:p w14:paraId="4A0E57C9">
      <w:pPr>
        <w:spacing w:line="360" w:lineRule="auto"/>
        <w:ind w:firstLine="480" w:firstLineChars="200"/>
        <w:rPr>
          <w:rFonts w:hint="eastAsia" w:hAnsi="宋体"/>
          <w:kern w:val="0"/>
          <w:highlight w:val="none"/>
        </w:rPr>
      </w:pPr>
      <w:r>
        <w:rPr>
          <w:rFonts w:hint="eastAsia" w:hAnsi="宋体"/>
          <w:kern w:val="0"/>
          <w:highlight w:val="none"/>
        </w:rPr>
        <w:t>1）取水</w:t>
      </w:r>
    </w:p>
    <w:p w14:paraId="234AA6AB">
      <w:pPr>
        <w:spacing w:line="360" w:lineRule="auto"/>
        <w:ind w:firstLine="480" w:firstLineChars="200"/>
        <w:rPr>
          <w:highlight w:val="none"/>
        </w:rPr>
      </w:pPr>
      <w:r>
        <w:rPr>
          <w:rFonts w:hint="eastAsia" w:hAnsi="宋体"/>
          <w:kern w:val="0"/>
          <w:highlight w:val="none"/>
        </w:rPr>
        <w:t>本公司从黄姑塘取水，</w:t>
      </w:r>
      <w:r>
        <w:rPr>
          <w:rFonts w:hint="eastAsia"/>
          <w:highlight w:val="none"/>
        </w:rPr>
        <w:t>补给水泵房布置在厂区东南角，取水口布置在补给水泵房的南面，距离补给水泵房约5</w:t>
      </w:r>
      <w:r>
        <w:rPr>
          <w:highlight w:val="none"/>
        </w:rPr>
        <w:t>0m</w:t>
      </w:r>
      <w:r>
        <w:rPr>
          <w:rFonts w:hint="eastAsia"/>
          <w:highlight w:val="none"/>
        </w:rPr>
        <w:t>，</w:t>
      </w:r>
      <w:r>
        <w:rPr>
          <w:rFonts w:hint="eastAsia" w:hAnsi="宋体"/>
          <w:kern w:val="0"/>
          <w:highlight w:val="none"/>
        </w:rPr>
        <w:t>采用引水管取水方式。补给水泵房</w:t>
      </w:r>
      <w:r>
        <w:rPr>
          <w:rFonts w:hint="eastAsia"/>
          <w:highlight w:val="none"/>
        </w:rPr>
        <w:t>安装</w:t>
      </w:r>
      <w:r>
        <w:rPr>
          <w:highlight w:val="none"/>
        </w:rPr>
        <w:t>3</w:t>
      </w:r>
      <w:r>
        <w:rPr>
          <w:rFonts w:hint="eastAsia"/>
          <w:highlight w:val="none"/>
        </w:rPr>
        <w:t>台补给水泵（</w:t>
      </w:r>
      <w:r>
        <w:rPr>
          <w:highlight w:val="none"/>
        </w:rPr>
        <w:t>2</w:t>
      </w:r>
      <w:r>
        <w:rPr>
          <w:rFonts w:hint="eastAsia"/>
          <w:highlight w:val="none"/>
        </w:rPr>
        <w:t>用</w:t>
      </w:r>
      <w:r>
        <w:rPr>
          <w:highlight w:val="none"/>
        </w:rPr>
        <w:t>1</w:t>
      </w:r>
      <w:r>
        <w:rPr>
          <w:rFonts w:hint="eastAsia"/>
          <w:highlight w:val="none"/>
        </w:rPr>
        <w:t>备），并预留二期安装</w:t>
      </w:r>
      <w:r>
        <w:rPr>
          <w:highlight w:val="none"/>
        </w:rPr>
        <w:t>1</w:t>
      </w:r>
      <w:r>
        <w:rPr>
          <w:rFonts w:hint="eastAsia"/>
          <w:highlight w:val="none"/>
        </w:rPr>
        <w:t>台补给水泵位置，补给水泵采用卧式离心泵，补给水泵</w:t>
      </w:r>
      <w:r>
        <w:rPr>
          <w:rFonts w:hint="eastAsia" w:hAnsi="宋体"/>
          <w:highlight w:val="none"/>
        </w:rPr>
        <w:t>为室内布置，进水间为露天布置。补给水泵房的工艺流程为：黄姑塘</w:t>
      </w:r>
      <w:r>
        <w:rPr>
          <w:highlight w:val="none"/>
        </w:rPr>
        <w:t>→</w:t>
      </w:r>
      <w:r>
        <w:rPr>
          <w:rFonts w:hint="eastAsia" w:hAnsi="宋体"/>
          <w:highlight w:val="none"/>
        </w:rPr>
        <w:t>取水口</w:t>
      </w:r>
      <w:r>
        <w:rPr>
          <w:highlight w:val="none"/>
        </w:rPr>
        <w:t>→</w:t>
      </w:r>
      <w:r>
        <w:rPr>
          <w:rFonts w:hint="eastAsia"/>
          <w:highlight w:val="none"/>
        </w:rPr>
        <w:t>粗格栅</w:t>
      </w:r>
      <w:r>
        <w:rPr>
          <w:highlight w:val="none"/>
        </w:rPr>
        <w:t>→</w:t>
      </w:r>
      <w:r>
        <w:rPr>
          <w:rFonts w:hint="eastAsia"/>
          <w:highlight w:val="none"/>
        </w:rPr>
        <w:t>引水管</w:t>
      </w:r>
      <w:r>
        <w:rPr>
          <w:highlight w:val="none"/>
        </w:rPr>
        <w:t>→</w:t>
      </w:r>
      <w:r>
        <w:rPr>
          <w:rFonts w:hint="eastAsia" w:hAnsi="宋体"/>
          <w:highlight w:val="none"/>
        </w:rPr>
        <w:t>拦污栅（闸门）</w:t>
      </w:r>
      <w:r>
        <w:rPr>
          <w:highlight w:val="none"/>
        </w:rPr>
        <w:t>→</w:t>
      </w:r>
      <w:r>
        <w:rPr>
          <w:rFonts w:hint="eastAsia" w:hAnsi="宋体"/>
          <w:highlight w:val="none"/>
        </w:rPr>
        <w:t>格网</w:t>
      </w:r>
      <w:r>
        <w:rPr>
          <w:highlight w:val="none"/>
        </w:rPr>
        <w:t>→</w:t>
      </w:r>
      <w:r>
        <w:rPr>
          <w:rFonts w:hint="eastAsia" w:hAnsi="宋体"/>
          <w:highlight w:val="none"/>
        </w:rPr>
        <w:t>补给水泵</w:t>
      </w:r>
      <w:r>
        <w:rPr>
          <w:highlight w:val="none"/>
        </w:rPr>
        <w:t>→</w:t>
      </w:r>
      <w:r>
        <w:rPr>
          <w:rFonts w:hint="eastAsia" w:hAnsi="宋体"/>
          <w:highlight w:val="none"/>
        </w:rPr>
        <w:t>补给水管道。</w:t>
      </w:r>
    </w:p>
    <w:p w14:paraId="01E8B023">
      <w:pPr>
        <w:spacing w:line="360" w:lineRule="auto"/>
        <w:ind w:firstLine="454"/>
        <w:rPr>
          <w:highlight w:val="none"/>
        </w:rPr>
      </w:pPr>
      <w:r>
        <w:rPr>
          <w:rFonts w:hint="eastAsia"/>
          <w:highlight w:val="none"/>
        </w:rPr>
        <w:t>本工程采用园区工业水作为工业水备用水源，引接水管采用一根D426</w:t>
      </w:r>
      <w:r>
        <w:rPr>
          <w:highlight w:val="none"/>
        </w:rPr>
        <w:t>×</w:t>
      </w:r>
      <w:r>
        <w:rPr>
          <w:rFonts w:hint="eastAsia"/>
          <w:highlight w:val="none"/>
        </w:rPr>
        <w:t>8钢管从电厂东南角接入厂区，补水至综合水池。补给水管总长约140m。</w:t>
      </w:r>
    </w:p>
    <w:p w14:paraId="56B9E32A">
      <w:pPr>
        <w:spacing w:line="360" w:lineRule="auto"/>
        <w:ind w:firstLine="454"/>
        <w:rPr>
          <w:highlight w:val="none"/>
        </w:rPr>
      </w:pPr>
      <w:r>
        <w:rPr>
          <w:rFonts w:hint="eastAsia"/>
          <w:highlight w:val="none"/>
        </w:rPr>
        <w:t>2）净水站</w:t>
      </w:r>
    </w:p>
    <w:p w14:paraId="344CA1CB">
      <w:pPr>
        <w:spacing w:line="360" w:lineRule="auto"/>
        <w:ind w:firstLine="480" w:firstLineChars="200"/>
        <w:rPr>
          <w:highlight w:val="none"/>
        </w:rPr>
      </w:pPr>
      <w:r>
        <w:rPr>
          <w:rFonts w:hint="eastAsia" w:hAnsi="宋体"/>
          <w:highlight w:val="none"/>
        </w:rPr>
        <w:t>全厂工业补给水量为413.9m³/h。本公司原水预处理系统设</w:t>
      </w:r>
      <w:r>
        <w:rPr>
          <w:rFonts w:hint="eastAsia"/>
          <w:highlight w:val="none"/>
        </w:rPr>
        <w:t>2</w:t>
      </w:r>
      <w:r>
        <w:rPr>
          <w:rFonts w:hint="eastAsia" w:hAnsi="宋体"/>
          <w:highlight w:val="none"/>
        </w:rPr>
        <w:t>座</w:t>
      </w:r>
      <w:r>
        <w:rPr>
          <w:rFonts w:hint="eastAsia"/>
          <w:highlight w:val="none"/>
        </w:rPr>
        <w:t>45</w:t>
      </w:r>
      <w:r>
        <w:rPr>
          <w:highlight w:val="none"/>
        </w:rPr>
        <w:t>0 m</w:t>
      </w:r>
      <w:r>
        <w:rPr>
          <w:highlight w:val="none"/>
          <w:vertAlign w:val="superscript"/>
        </w:rPr>
        <w:t>3</w:t>
      </w:r>
      <w:r>
        <w:rPr>
          <w:highlight w:val="none"/>
        </w:rPr>
        <w:t>/h</w:t>
      </w:r>
      <w:r>
        <w:rPr>
          <w:rFonts w:hint="eastAsia" w:hAnsi="宋体"/>
          <w:highlight w:val="none"/>
        </w:rPr>
        <w:t>的高效沉淀池，</w:t>
      </w:r>
      <w:r>
        <w:rPr>
          <w:rFonts w:hint="eastAsia"/>
          <w:highlight w:val="none"/>
        </w:rPr>
        <w:t>2</w:t>
      </w:r>
      <w:r>
        <w:rPr>
          <w:rFonts w:hint="eastAsia" w:hAnsi="宋体"/>
          <w:highlight w:val="none"/>
        </w:rPr>
        <w:t>座</w:t>
      </w:r>
      <w:r>
        <w:rPr>
          <w:rFonts w:hint="eastAsia"/>
          <w:highlight w:val="none"/>
        </w:rPr>
        <w:t>45</w:t>
      </w:r>
      <w:r>
        <w:rPr>
          <w:highlight w:val="none"/>
        </w:rPr>
        <w:t>0 m</w:t>
      </w:r>
      <w:r>
        <w:rPr>
          <w:highlight w:val="none"/>
          <w:vertAlign w:val="superscript"/>
        </w:rPr>
        <w:t>3</w:t>
      </w:r>
      <w:r>
        <w:rPr>
          <w:highlight w:val="none"/>
        </w:rPr>
        <w:t>/h</w:t>
      </w:r>
      <w:r>
        <w:rPr>
          <w:rFonts w:hint="eastAsia" w:hAnsi="宋体"/>
          <w:highlight w:val="none"/>
        </w:rPr>
        <w:t>的V型滤池，</w:t>
      </w:r>
      <w:r>
        <w:rPr>
          <w:highlight w:val="none"/>
        </w:rPr>
        <w:t>一座</w:t>
      </w:r>
      <w:r>
        <w:rPr>
          <w:rFonts w:hint="eastAsia"/>
          <w:highlight w:val="none"/>
        </w:rPr>
        <w:t>3500m</w:t>
      </w:r>
      <w:r>
        <w:rPr>
          <w:rFonts w:hint="eastAsia"/>
          <w:highlight w:val="none"/>
          <w:vertAlign w:val="superscript"/>
        </w:rPr>
        <w:t>3</w:t>
      </w:r>
      <w:r>
        <w:rPr>
          <w:rFonts w:hint="eastAsia"/>
          <w:highlight w:val="none"/>
        </w:rPr>
        <w:t>综合水池，中间分隔为1550m</w:t>
      </w:r>
      <w:r>
        <w:rPr>
          <w:rFonts w:hint="eastAsia"/>
          <w:highlight w:val="none"/>
          <w:vertAlign w:val="superscript"/>
        </w:rPr>
        <w:t>3</w:t>
      </w:r>
      <w:r>
        <w:rPr>
          <w:rFonts w:hint="eastAsia"/>
          <w:highlight w:val="none"/>
        </w:rPr>
        <w:t>化学水池、600m</w:t>
      </w:r>
      <w:r>
        <w:rPr>
          <w:rFonts w:hint="eastAsia"/>
          <w:highlight w:val="none"/>
          <w:vertAlign w:val="superscript"/>
        </w:rPr>
        <w:t>3</w:t>
      </w:r>
      <w:r>
        <w:rPr>
          <w:rFonts w:hint="eastAsia"/>
          <w:highlight w:val="none"/>
        </w:rPr>
        <w:t>工业</w:t>
      </w:r>
      <w:r>
        <w:rPr>
          <w:highlight w:val="none"/>
        </w:rPr>
        <w:t>水池</w:t>
      </w:r>
      <w:r>
        <w:rPr>
          <w:rFonts w:hint="eastAsia"/>
          <w:highlight w:val="none"/>
        </w:rPr>
        <w:t>m</w:t>
      </w:r>
      <w:r>
        <w:rPr>
          <w:rFonts w:hint="eastAsia"/>
          <w:highlight w:val="none"/>
          <w:vertAlign w:val="superscript"/>
        </w:rPr>
        <w:t>3</w:t>
      </w:r>
      <w:r>
        <w:rPr>
          <w:rFonts w:hint="eastAsia"/>
          <w:highlight w:val="none"/>
        </w:rPr>
        <w:t>、500m</w:t>
      </w:r>
      <w:r>
        <w:rPr>
          <w:rFonts w:hint="eastAsia"/>
          <w:highlight w:val="none"/>
          <w:vertAlign w:val="superscript"/>
        </w:rPr>
        <w:t>3</w:t>
      </w:r>
      <w:r>
        <w:rPr>
          <w:rFonts w:hint="eastAsia"/>
          <w:highlight w:val="none"/>
        </w:rPr>
        <w:t>回用水池、800m</w:t>
      </w:r>
      <w:r>
        <w:rPr>
          <w:rFonts w:hint="eastAsia"/>
          <w:highlight w:val="none"/>
          <w:vertAlign w:val="superscript"/>
        </w:rPr>
        <w:t>3</w:t>
      </w:r>
      <w:r>
        <w:rPr>
          <w:rFonts w:hint="eastAsia"/>
          <w:highlight w:val="none"/>
        </w:rPr>
        <w:t>消防水池、50m</w:t>
      </w:r>
      <w:r>
        <w:rPr>
          <w:rFonts w:hint="eastAsia"/>
          <w:highlight w:val="none"/>
          <w:vertAlign w:val="superscript"/>
        </w:rPr>
        <w:t>3</w:t>
      </w:r>
      <w:r>
        <w:rPr>
          <w:rFonts w:hint="eastAsia"/>
          <w:highlight w:val="none"/>
        </w:rPr>
        <w:t>生活水池</w:t>
      </w:r>
      <w:r>
        <w:rPr>
          <w:highlight w:val="none"/>
        </w:rPr>
        <w:t>，一座</w:t>
      </w:r>
      <w:r>
        <w:rPr>
          <w:rFonts w:hint="eastAsia"/>
          <w:highlight w:val="none"/>
        </w:rPr>
        <w:t>45m</w:t>
      </w:r>
      <w:r>
        <w:rPr>
          <w:rFonts w:hint="eastAsia"/>
          <w:highlight w:val="none"/>
          <w:vertAlign w:val="superscript"/>
        </w:rPr>
        <w:t>3</w:t>
      </w:r>
      <w:r>
        <w:rPr>
          <w:rFonts w:hint="eastAsia"/>
          <w:highlight w:val="none"/>
        </w:rPr>
        <w:t>贮药池，</w:t>
      </w:r>
      <w:r>
        <w:rPr>
          <w:highlight w:val="none"/>
        </w:rPr>
        <w:t>一座</w:t>
      </w:r>
      <w:r>
        <w:rPr>
          <w:rFonts w:hint="eastAsia"/>
          <w:highlight w:val="none"/>
        </w:rPr>
        <w:t>530m</w:t>
      </w:r>
      <w:r>
        <w:rPr>
          <w:rFonts w:hint="eastAsia"/>
          <w:highlight w:val="none"/>
          <w:vertAlign w:val="superscript"/>
        </w:rPr>
        <w:t>3</w:t>
      </w:r>
      <w:r>
        <w:rPr>
          <w:highlight w:val="none"/>
        </w:rPr>
        <w:t>污泥调节及回收水池</w:t>
      </w:r>
      <w:r>
        <w:rPr>
          <w:rFonts w:hint="eastAsia"/>
          <w:highlight w:val="none"/>
        </w:rPr>
        <w:t>(中间分隔为180m</w:t>
      </w:r>
      <w:r>
        <w:rPr>
          <w:rFonts w:hint="eastAsia"/>
          <w:highlight w:val="none"/>
          <w:vertAlign w:val="superscript"/>
        </w:rPr>
        <w:t>3</w:t>
      </w:r>
      <w:r>
        <w:rPr>
          <w:rFonts w:hint="eastAsia"/>
          <w:highlight w:val="none"/>
        </w:rPr>
        <w:t>污泥调节池和50m</w:t>
      </w:r>
      <w:r>
        <w:rPr>
          <w:rFonts w:hint="eastAsia"/>
          <w:highlight w:val="none"/>
          <w:vertAlign w:val="superscript"/>
        </w:rPr>
        <w:t>3</w:t>
      </w:r>
      <w:r>
        <w:rPr>
          <w:rFonts w:hint="eastAsia"/>
          <w:highlight w:val="none"/>
        </w:rPr>
        <w:t>反洗回收水池)，一座化水车间（包括综合水泵房、污泥脱水间、加药间、配电间及控制间等）。</w:t>
      </w:r>
    </w:p>
    <w:p w14:paraId="7AE7C9ED">
      <w:pPr>
        <w:pStyle w:val="61"/>
        <w:ind w:firstLine="480" w:firstLineChars="200"/>
        <w:rPr>
          <w:highlight w:val="none"/>
        </w:rPr>
      </w:pPr>
      <w:bookmarkStart w:id="47" w:name="_Toc817"/>
      <w:r>
        <w:rPr>
          <w:highlight w:val="none"/>
        </w:rPr>
        <w:t>工艺流程</w:t>
      </w:r>
      <w:bookmarkEnd w:id="47"/>
    </w:p>
    <w:p w14:paraId="293A797E">
      <w:pPr>
        <w:spacing w:line="360" w:lineRule="auto"/>
        <w:ind w:firstLine="480" w:firstLineChars="200"/>
        <w:rPr>
          <w:highlight w:val="none"/>
        </w:rPr>
      </w:pPr>
      <w:r>
        <w:rPr>
          <w:rFonts w:hint="eastAsia" w:hAnsi="宋体"/>
          <w:highlight w:val="none"/>
        </w:rPr>
        <w:t>补给水泵→补给水管道→高密度沉淀池→</w:t>
      </w:r>
      <w:r>
        <w:rPr>
          <w:rFonts w:hAnsi="宋体"/>
          <w:highlight w:val="none"/>
        </w:rPr>
        <w:t>V</w:t>
      </w:r>
      <w:r>
        <w:rPr>
          <w:rFonts w:hint="eastAsia" w:hAnsi="宋体"/>
          <w:highlight w:val="none"/>
        </w:rPr>
        <w:t>型滤池→化学清水池→</w:t>
      </w:r>
      <w:r>
        <w:rPr>
          <w:rFonts w:hint="eastAsia"/>
          <w:highlight w:val="none"/>
        </w:rPr>
        <w:t>3500m</w:t>
      </w:r>
      <w:r>
        <w:rPr>
          <w:rFonts w:hint="eastAsia"/>
          <w:highlight w:val="none"/>
          <w:vertAlign w:val="superscript"/>
        </w:rPr>
        <w:t>3</w:t>
      </w:r>
      <w:r>
        <w:rPr>
          <w:rFonts w:hint="eastAsia"/>
          <w:highlight w:val="none"/>
        </w:rPr>
        <w:t>综合水池</w:t>
      </w:r>
    </w:p>
    <w:p w14:paraId="43539BEF">
      <w:pPr>
        <w:spacing w:line="360" w:lineRule="auto"/>
        <w:ind w:firstLine="480" w:firstLineChars="200"/>
        <w:rPr>
          <w:highlight w:val="none"/>
        </w:rPr>
      </w:pPr>
      <w:r>
        <w:rPr>
          <w:rFonts w:hint="eastAsia"/>
          <w:highlight w:val="none"/>
        </w:rPr>
        <w:t>3）生产、生活给水系统</w:t>
      </w:r>
    </w:p>
    <w:p w14:paraId="7991EC66">
      <w:pPr>
        <w:spacing w:line="360" w:lineRule="auto"/>
        <w:ind w:firstLine="480" w:firstLineChars="200"/>
        <w:rPr>
          <w:highlight w:val="none"/>
        </w:rPr>
      </w:pPr>
      <w:r>
        <w:rPr>
          <w:highlight w:val="none"/>
        </w:rPr>
        <w:t>本工程工业给水分化学补水系统、工业用水系统</w:t>
      </w:r>
      <w:r>
        <w:rPr>
          <w:rFonts w:hint="eastAsia"/>
          <w:highlight w:val="none"/>
        </w:rPr>
        <w:t>、</w:t>
      </w:r>
      <w:r>
        <w:rPr>
          <w:highlight w:val="none"/>
        </w:rPr>
        <w:t>杂用水系统。化学补水系统用于化水车间用水，水源为经沉淀、过滤后的</w:t>
      </w:r>
      <w:r>
        <w:rPr>
          <w:rFonts w:hint="eastAsia"/>
          <w:highlight w:val="none"/>
        </w:rPr>
        <w:t>补给</w:t>
      </w:r>
      <w:r>
        <w:rPr>
          <w:highlight w:val="none"/>
        </w:rPr>
        <w:t>水，设专用化学水泵供给；工业用水系统用于</w:t>
      </w:r>
      <w:r>
        <w:rPr>
          <w:rFonts w:hint="eastAsia"/>
          <w:highlight w:val="none"/>
        </w:rPr>
        <w:t>冷却塔</w:t>
      </w:r>
      <w:r>
        <w:rPr>
          <w:highlight w:val="none"/>
        </w:rPr>
        <w:t>补水</w:t>
      </w:r>
      <w:r>
        <w:rPr>
          <w:rFonts w:hint="eastAsia"/>
          <w:highlight w:val="none"/>
        </w:rPr>
        <w:t>、</w:t>
      </w:r>
      <w:r>
        <w:rPr>
          <w:highlight w:val="none"/>
        </w:rPr>
        <w:t>脱硫系统补水等</w:t>
      </w:r>
      <w:r>
        <w:rPr>
          <w:rFonts w:hint="eastAsia"/>
          <w:highlight w:val="none"/>
        </w:rPr>
        <w:t>；杂用水系统用于灰库调湿等。</w:t>
      </w:r>
    </w:p>
    <w:p w14:paraId="6E26F751">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锅炉补给水处理系统</w:t>
      </w:r>
    </w:p>
    <w:p w14:paraId="67EADEC7">
      <w:pPr>
        <w:pStyle w:val="9"/>
        <w:spacing w:after="0" w:line="360" w:lineRule="auto"/>
        <w:ind w:firstLine="480"/>
        <w:contextualSpacing/>
        <w:rPr>
          <w:rFonts w:hint="eastAsia" w:ascii="宋体" w:hAnsi="宋体"/>
          <w:highlight w:val="none"/>
        </w:rPr>
      </w:pPr>
      <w:r>
        <w:rPr>
          <w:rFonts w:ascii="宋体" w:hAnsi="宋体"/>
          <w:highlight w:val="none"/>
        </w:rPr>
        <w:t>本公司原水拟取自黄姑塘河</w:t>
      </w:r>
      <w:r>
        <w:rPr>
          <w:rFonts w:hint="eastAsia" w:ascii="宋体" w:hAnsi="宋体"/>
          <w:highlight w:val="none"/>
        </w:rPr>
        <w:t>及独山港工业自来水。</w:t>
      </w:r>
    </w:p>
    <w:p w14:paraId="387157FA">
      <w:pPr>
        <w:autoSpaceDE w:val="0"/>
        <w:autoSpaceDN w:val="0"/>
        <w:spacing w:line="360" w:lineRule="auto"/>
        <w:ind w:firstLine="480" w:firstLineChars="200"/>
        <w:contextualSpacing/>
        <w:rPr>
          <w:rFonts w:hint="eastAsia" w:ascii="宋体" w:hAnsi="宋体"/>
          <w:highlight w:val="none"/>
        </w:rPr>
      </w:pPr>
      <w:r>
        <w:rPr>
          <w:rFonts w:ascii="宋体" w:hAnsi="宋体"/>
          <w:highlight w:val="none"/>
        </w:rPr>
        <w:t>为保证水处理系统产水水质满足机组对给水品质的要求，便于系统安全运行和管理，根据机组参数及对应水汽质量标准，锅炉补给水处理工艺按“超滤＋反渗透＋一级除盐+混床”设计。为尽量充分利用淡水资源，本公司采用浓水反渗透系统，将反渗透浓水二次浓缩。</w:t>
      </w:r>
    </w:p>
    <w:p w14:paraId="6F48E9EF">
      <w:pPr>
        <w:autoSpaceDE w:val="0"/>
        <w:autoSpaceDN w:val="0"/>
        <w:spacing w:line="360" w:lineRule="auto"/>
        <w:ind w:firstLine="480" w:firstLineChars="200"/>
        <w:contextualSpacing/>
        <w:rPr>
          <w:rFonts w:hint="eastAsia" w:ascii="宋体" w:hAnsi="宋体"/>
          <w:highlight w:val="none"/>
        </w:rPr>
      </w:pPr>
      <w:r>
        <w:rPr>
          <w:rFonts w:ascii="宋体" w:hAnsi="宋体"/>
          <w:highlight w:val="none"/>
        </w:rPr>
        <w:t>本公司锅炉补给水处理系统出力372 m³/h配置。系统如下：</w:t>
      </w:r>
    </w:p>
    <w:p w14:paraId="5B43670A">
      <w:pPr>
        <w:spacing w:line="360" w:lineRule="auto"/>
        <w:ind w:firstLine="480" w:firstLineChars="200"/>
        <w:contextualSpacing/>
        <w:rPr>
          <w:rFonts w:hint="eastAsia" w:ascii="宋体" w:hAnsi="宋体"/>
          <w:highlight w:val="none"/>
        </w:rPr>
      </w:pPr>
      <w:r>
        <w:rPr>
          <w:rFonts w:ascii="宋体" w:hAnsi="宋体"/>
          <w:highlight w:val="none"/>
        </w:rPr>
        <w:t>水工预处理来水(~460t/h)→超滤装置(3×207t/h)→超滤水箱(1×</w:t>
      </w:r>
      <w:r>
        <w:rPr>
          <w:rFonts w:hint="eastAsia" w:ascii="宋体" w:hAnsi="宋体"/>
          <w:highlight w:val="none"/>
        </w:rPr>
        <w:t>4</w:t>
      </w:r>
      <w:r>
        <w:rPr>
          <w:rFonts w:ascii="宋体" w:hAnsi="宋体"/>
          <w:highlight w:val="none"/>
        </w:rPr>
        <w:t>00m</w:t>
      </w:r>
      <w:r>
        <w:rPr>
          <w:rFonts w:ascii="宋体" w:hAnsi="宋体"/>
          <w:highlight w:val="none"/>
          <w:vertAlign w:val="superscript"/>
        </w:rPr>
        <w:t>3</w:t>
      </w:r>
      <w:r>
        <w:rPr>
          <w:rFonts w:ascii="宋体" w:hAnsi="宋体"/>
          <w:highlight w:val="none"/>
        </w:rPr>
        <w:t>)→超滤水泵(3×207t/h)→保安过滤器(3×207t/h)→高压泵(3×207t/h)→反渗透装置(3×155t/h)→预脱盐水箱(1×200m</w:t>
      </w:r>
      <w:r>
        <w:rPr>
          <w:rFonts w:ascii="宋体" w:hAnsi="宋体"/>
          <w:highlight w:val="none"/>
          <w:vertAlign w:val="superscript"/>
        </w:rPr>
        <w:t>3</w:t>
      </w:r>
      <w:r>
        <w:rPr>
          <w:rFonts w:ascii="宋体" w:hAnsi="宋体"/>
          <w:highlight w:val="none"/>
        </w:rPr>
        <w:t>)→淡水泵(3×186t/h)→阳床(3×Φ2800)→阴床(3×Φ2800)→混床(3×Φ2200)→除盐水箱(2×800m</w:t>
      </w:r>
      <w:r>
        <w:rPr>
          <w:rFonts w:ascii="宋体" w:hAnsi="宋体"/>
          <w:highlight w:val="none"/>
          <w:vertAlign w:val="superscript"/>
        </w:rPr>
        <w:t>3</w:t>
      </w:r>
      <w:r>
        <w:rPr>
          <w:rFonts w:ascii="宋体" w:hAnsi="宋体"/>
          <w:highlight w:val="none"/>
        </w:rPr>
        <w:t>)→除盐水泵(4×130t/h)→主厂房，上述设备均2运1备。</w:t>
      </w:r>
      <w:r>
        <w:rPr>
          <w:rFonts w:ascii="宋体" w:hAnsi="宋体"/>
          <w:highlight w:val="none"/>
          <w:lang w:val="zh-CN"/>
        </w:rPr>
        <w:t>机组启动等非正常工况所需的除盐水主要通过除盐水箱贮水供给。</w:t>
      </w:r>
    </w:p>
    <w:p w14:paraId="43D4D628">
      <w:pPr>
        <w:pStyle w:val="60"/>
        <w:adjustRightInd/>
        <w:ind w:firstLine="480" w:firstLineChars="200"/>
        <w:contextualSpacing/>
        <w:jc w:val="left"/>
        <w:rPr>
          <w:rFonts w:hAnsi="宋体"/>
          <w:sz w:val="24"/>
          <w:szCs w:val="24"/>
          <w:highlight w:val="none"/>
        </w:rPr>
      </w:pPr>
      <w:r>
        <w:rPr>
          <w:rFonts w:hint="default" w:hAnsi="宋体"/>
          <w:sz w:val="24"/>
          <w:szCs w:val="24"/>
          <w:highlight w:val="none"/>
        </w:rPr>
        <w:t>反渗透浓水箱(1×100 m</w:t>
      </w:r>
      <w:r>
        <w:rPr>
          <w:rFonts w:hint="default" w:hAnsi="宋体"/>
          <w:sz w:val="24"/>
          <w:szCs w:val="24"/>
          <w:highlight w:val="none"/>
          <w:vertAlign w:val="superscript"/>
        </w:rPr>
        <w:t>3</w:t>
      </w:r>
      <w:r>
        <w:rPr>
          <w:rFonts w:hint="default" w:hAnsi="宋体"/>
          <w:sz w:val="24"/>
          <w:szCs w:val="24"/>
          <w:highlight w:val="none"/>
        </w:rPr>
        <w:t>) →浓水反渗透给水泵(2×52t/h)→浓水反渗透保安过滤器(2×52t/h)→高压泵(2×52t/h)→浓水反渗透(2×31t/h)→预脱盐水箱(1×</w:t>
      </w:r>
      <w:r>
        <w:rPr>
          <w:rFonts w:hAnsi="宋体"/>
          <w:sz w:val="24"/>
          <w:szCs w:val="24"/>
          <w:highlight w:val="none"/>
        </w:rPr>
        <w:t>2</w:t>
      </w:r>
      <w:r>
        <w:rPr>
          <w:rFonts w:hint="default" w:hAnsi="宋体"/>
          <w:sz w:val="24"/>
          <w:szCs w:val="24"/>
          <w:highlight w:val="none"/>
        </w:rPr>
        <w:t>00 m</w:t>
      </w:r>
      <w:r>
        <w:rPr>
          <w:rFonts w:hint="default" w:hAnsi="宋体"/>
          <w:sz w:val="24"/>
          <w:szCs w:val="24"/>
          <w:highlight w:val="none"/>
          <w:vertAlign w:val="superscript"/>
        </w:rPr>
        <w:t>3</w:t>
      </w:r>
      <w:r>
        <w:rPr>
          <w:rFonts w:hint="default" w:hAnsi="宋体"/>
          <w:sz w:val="24"/>
          <w:szCs w:val="24"/>
          <w:highlight w:val="none"/>
        </w:rPr>
        <w:t>)，浓水反渗透装置2</w:t>
      </w:r>
      <w:r>
        <w:rPr>
          <w:rFonts w:hAnsi="宋体"/>
          <w:sz w:val="24"/>
          <w:szCs w:val="24"/>
          <w:highlight w:val="none"/>
        </w:rPr>
        <w:t>套</w:t>
      </w:r>
      <w:r>
        <w:rPr>
          <w:rFonts w:hint="default" w:hAnsi="宋体"/>
          <w:sz w:val="24"/>
          <w:szCs w:val="24"/>
          <w:highlight w:val="none"/>
        </w:rPr>
        <w:t>。</w:t>
      </w:r>
    </w:p>
    <w:p w14:paraId="5728891B">
      <w:pPr>
        <w:spacing w:line="360" w:lineRule="auto"/>
        <w:ind w:right="-125" w:rightChars="-52" w:firstLine="480" w:firstLineChars="200"/>
        <w:contextualSpacing/>
        <w:rPr>
          <w:rFonts w:hint="eastAsia" w:ascii="宋体" w:hAnsi="宋体"/>
          <w:highlight w:val="none"/>
        </w:rPr>
      </w:pPr>
      <w:r>
        <w:rPr>
          <w:rFonts w:ascii="宋体" w:hAnsi="宋体"/>
          <w:highlight w:val="none"/>
          <w:lang w:val="zh-CN"/>
        </w:rPr>
        <w:t>配置两台800m</w:t>
      </w:r>
      <w:r>
        <w:rPr>
          <w:rFonts w:ascii="宋体" w:hAnsi="宋体"/>
          <w:highlight w:val="none"/>
          <w:vertAlign w:val="superscript"/>
          <w:lang w:val="zh-CN"/>
        </w:rPr>
        <w:t>3</w:t>
      </w:r>
      <w:r>
        <w:rPr>
          <w:rFonts w:ascii="宋体" w:hAnsi="宋体"/>
          <w:highlight w:val="none"/>
          <w:lang w:val="zh-CN"/>
        </w:rPr>
        <w:t>除盐水箱，机组启动等非正常工况所需的除盐水主要通过除盐水箱贮水供给。</w:t>
      </w:r>
    </w:p>
    <w:p w14:paraId="4920C313">
      <w:pPr>
        <w:spacing w:line="360" w:lineRule="auto"/>
        <w:ind w:firstLine="480" w:firstLineChars="200"/>
        <w:contextualSpacing/>
        <w:rPr>
          <w:rFonts w:hint="eastAsia" w:ascii="宋体" w:hAnsi="宋体"/>
          <w:highlight w:val="none"/>
        </w:rPr>
      </w:pPr>
      <w:r>
        <w:rPr>
          <w:rFonts w:ascii="宋体" w:hAnsi="宋体"/>
          <w:highlight w:val="none"/>
        </w:rPr>
        <w:t>经过上述工艺系统处理后，出水水质：</w:t>
      </w:r>
    </w:p>
    <w:p w14:paraId="08E889D2">
      <w:pPr>
        <w:pStyle w:val="60"/>
        <w:adjustRightInd/>
        <w:ind w:left="1920" w:leftChars="600" w:hanging="480" w:hangingChars="200"/>
        <w:contextualSpacing/>
        <w:jc w:val="left"/>
        <w:rPr>
          <w:rFonts w:hAnsi="宋体"/>
          <w:sz w:val="24"/>
          <w:szCs w:val="24"/>
          <w:highlight w:val="none"/>
        </w:rPr>
      </w:pPr>
      <w:r>
        <w:rPr>
          <w:rFonts w:hint="default" w:hAnsi="宋体"/>
          <w:sz w:val="24"/>
          <w:szCs w:val="24"/>
          <w:highlight w:val="none"/>
        </w:rPr>
        <w:t>二氧化硅</w:t>
      </w:r>
      <w:r>
        <w:rPr>
          <w:rFonts w:hint="default" w:hAnsi="宋体"/>
          <w:sz w:val="24"/>
          <w:szCs w:val="24"/>
          <w:highlight w:val="none"/>
        </w:rPr>
        <w:tab/>
      </w:r>
      <w:r>
        <w:rPr>
          <w:rFonts w:hint="default" w:hAnsi="宋体"/>
          <w:sz w:val="24"/>
          <w:szCs w:val="24"/>
          <w:highlight w:val="none"/>
        </w:rPr>
        <w:t xml:space="preserve">      ≤ 20 μg/L</w:t>
      </w:r>
    </w:p>
    <w:p w14:paraId="5BFBEF91">
      <w:pPr>
        <w:pStyle w:val="60"/>
        <w:adjustRightInd/>
        <w:ind w:left="1920" w:leftChars="600" w:hanging="480" w:hangingChars="200"/>
        <w:contextualSpacing/>
        <w:jc w:val="left"/>
        <w:rPr>
          <w:rFonts w:hAnsi="宋体"/>
          <w:sz w:val="24"/>
          <w:szCs w:val="24"/>
          <w:highlight w:val="none"/>
        </w:rPr>
      </w:pPr>
      <w:r>
        <w:rPr>
          <w:rFonts w:hint="default" w:hAnsi="宋体"/>
          <w:sz w:val="24"/>
          <w:szCs w:val="24"/>
          <w:highlight w:val="none"/>
        </w:rPr>
        <w:t>电导率(25℃)</w:t>
      </w:r>
      <w:r>
        <w:rPr>
          <w:rFonts w:hint="default" w:hAnsi="宋体"/>
          <w:sz w:val="24"/>
          <w:szCs w:val="24"/>
          <w:highlight w:val="none"/>
        </w:rPr>
        <w:tab/>
      </w:r>
      <w:r>
        <w:rPr>
          <w:rFonts w:hint="default" w:hAnsi="宋体"/>
          <w:sz w:val="24"/>
          <w:szCs w:val="24"/>
          <w:highlight w:val="none"/>
        </w:rPr>
        <w:t xml:space="preserve">  ≤ 0.20 μs/cm(除盐水箱进水)</w:t>
      </w:r>
    </w:p>
    <w:p w14:paraId="6B2262F1">
      <w:pPr>
        <w:spacing w:line="360" w:lineRule="auto"/>
        <w:ind w:left="1920" w:hanging="1920" w:hangingChars="800"/>
        <w:contextualSpacing/>
        <w:rPr>
          <w:rFonts w:hint="eastAsia" w:ascii="宋体" w:hAnsi="宋体"/>
          <w:highlight w:val="none"/>
        </w:rPr>
      </w:pPr>
      <w:r>
        <w:rPr>
          <w:rFonts w:ascii="宋体" w:hAnsi="宋体"/>
          <w:highlight w:val="none"/>
        </w:rPr>
        <w:t xml:space="preserve">                           ≤ 0.40 μs/cm(除盐水箱出水)</w:t>
      </w:r>
    </w:p>
    <w:p w14:paraId="213AAC84">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热力设备化学加药</w:t>
      </w:r>
    </w:p>
    <w:p w14:paraId="62F90C42">
      <w:pPr>
        <w:spacing w:line="360" w:lineRule="auto"/>
        <w:ind w:firstLine="460" w:firstLineChars="192"/>
        <w:contextualSpacing/>
        <w:rPr>
          <w:rFonts w:hint="eastAsia" w:ascii="宋体" w:hAnsi="宋体"/>
          <w:highlight w:val="none"/>
        </w:rPr>
      </w:pPr>
      <w:r>
        <w:rPr>
          <w:rFonts w:ascii="宋体" w:hAnsi="宋体"/>
          <w:highlight w:val="none"/>
        </w:rPr>
        <w:t>为了减少热力系统腐蚀现象和提高给水pH值，给水采用自动添加氨及联氨处理。分别各设置一套2箱4泵加氨及加联氨装置，上述两种药品的加药泵均为3用1备。上述两种药品加药点均为每台除氧器出口母管。</w:t>
      </w:r>
    </w:p>
    <w:p w14:paraId="075824AF">
      <w:pPr>
        <w:spacing w:line="360" w:lineRule="auto"/>
        <w:ind w:firstLine="460" w:firstLineChars="192"/>
        <w:contextualSpacing/>
        <w:rPr>
          <w:rFonts w:hint="eastAsia" w:ascii="宋体" w:hAnsi="宋体"/>
          <w:highlight w:val="none"/>
        </w:rPr>
      </w:pPr>
      <w:r>
        <w:rPr>
          <w:rFonts w:ascii="宋体" w:hAnsi="宋体"/>
          <w:highlight w:val="none"/>
        </w:rPr>
        <w:t>为了抑制腐蚀和结垢，炉水采用手动加磷酸盐处理。设置一套2箱4泵加磷酸盐装置，加药泵为3用1备，加药点为每台炉锅筒。</w:t>
      </w:r>
    </w:p>
    <w:p w14:paraId="5B8405D8">
      <w:pPr>
        <w:spacing w:line="360" w:lineRule="auto"/>
        <w:ind w:right="-125" w:rightChars="-52" w:firstLine="480" w:firstLineChars="200"/>
        <w:contextualSpacing/>
        <w:rPr>
          <w:rFonts w:hint="eastAsia" w:ascii="宋体" w:hAnsi="宋体"/>
          <w:highlight w:val="none"/>
        </w:rPr>
      </w:pPr>
      <w:r>
        <w:rPr>
          <w:rFonts w:ascii="宋体" w:hAnsi="宋体"/>
          <w:highlight w:val="none"/>
        </w:rPr>
        <w:t>自动加药信号取自水汽集中取样自动分析装置的在线仪表。当机组稳定运行时，也可采集相应流量信号控制加药计量泵自动启停。为了便于管理，加药装置与水、汽取样设施相邻布置。化学加药装置布置在集控楼底层</w:t>
      </w:r>
      <w:r>
        <w:rPr>
          <w:rFonts w:hint="eastAsia" w:ascii="宋体" w:hAnsi="宋体"/>
          <w:highlight w:val="none"/>
        </w:rPr>
        <w:t>。</w:t>
      </w:r>
    </w:p>
    <w:p w14:paraId="72E1191D">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ascii="宋体" w:hAnsi="宋体"/>
          <w:color w:val="000000"/>
          <w:sz w:val="24"/>
          <w:szCs w:val="24"/>
          <w:highlight w:val="none"/>
        </w:rPr>
        <w:t>加药间内</w:t>
      </w:r>
      <w:r>
        <w:rPr>
          <w:rFonts w:hint="eastAsia" w:ascii="宋体" w:hAnsi="宋体"/>
          <w:color w:val="000000"/>
          <w:sz w:val="24"/>
          <w:szCs w:val="24"/>
          <w:highlight w:val="none"/>
        </w:rPr>
        <w:t>水、汽取样</w:t>
      </w:r>
    </w:p>
    <w:p w14:paraId="408D7215">
      <w:pPr>
        <w:spacing w:line="360" w:lineRule="auto"/>
        <w:ind w:right="-125" w:rightChars="-52" w:firstLine="480" w:firstLineChars="200"/>
        <w:contextualSpacing/>
        <w:rPr>
          <w:rFonts w:hint="eastAsia" w:ascii="宋体" w:hAnsi="宋体"/>
          <w:highlight w:val="none"/>
        </w:rPr>
      </w:pPr>
      <w:r>
        <w:rPr>
          <w:rFonts w:ascii="宋体" w:hAnsi="宋体"/>
          <w:highlight w:val="none"/>
        </w:rPr>
        <w:t>为了提高机组热力设备水、汽循环取样分析的准确性和连续性，有效地监控热力系统水汽品质，本公司对每台机组设置1套水汽集中取样自动分析装置，并配置与机组压力等级、加药品种相匹配的在线监测仪表。</w:t>
      </w:r>
    </w:p>
    <w:p w14:paraId="0D5E75E9">
      <w:pPr>
        <w:spacing w:line="360" w:lineRule="auto"/>
        <w:ind w:right="-125" w:rightChars="-52" w:firstLine="480" w:firstLineChars="200"/>
        <w:contextualSpacing/>
        <w:rPr>
          <w:rFonts w:hint="eastAsia" w:ascii="宋体" w:hAnsi="宋体"/>
          <w:highlight w:val="none"/>
        </w:rPr>
      </w:pPr>
      <w:r>
        <w:rPr>
          <w:rFonts w:ascii="宋体" w:hAnsi="宋体"/>
          <w:highlight w:val="none"/>
        </w:rPr>
        <w:t>为保证高温高压样水的冷却管路不结垢，在主厂房设置一套闭式除盐冷却水装置为三台机组的取样装置和汽机给水泵提供闭式除盐冷却水。闭式除盐冷却水系统主要包括冷却除盐水箱一只、冷却水泵两台(一用一备)、板式换热器两台(一用一备) 。水汽取样系统和闭式除盐冷却水系统设备布置在集控楼底层和二层独立的房间内</w:t>
      </w:r>
      <w:r>
        <w:rPr>
          <w:rFonts w:hint="eastAsia" w:ascii="宋体" w:hAnsi="宋体"/>
          <w:highlight w:val="none"/>
        </w:rPr>
        <w:t>。</w:t>
      </w:r>
    </w:p>
    <w:p w14:paraId="7BDE1CCB">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循环冷却水处理</w:t>
      </w:r>
    </w:p>
    <w:p w14:paraId="13039DF2">
      <w:pPr>
        <w:pStyle w:val="9"/>
        <w:spacing w:after="0" w:line="360" w:lineRule="auto"/>
        <w:ind w:firstLine="480"/>
        <w:contextualSpacing/>
        <w:rPr>
          <w:rFonts w:hint="eastAsia" w:ascii="宋体" w:hAnsi="宋体"/>
          <w:highlight w:val="none"/>
        </w:rPr>
      </w:pPr>
      <w:r>
        <w:rPr>
          <w:rFonts w:ascii="宋体" w:hAnsi="宋体"/>
          <w:highlight w:val="none"/>
        </w:rPr>
        <w:t>本公司辅机循环冷却水为1</w:t>
      </w:r>
      <w:r>
        <w:rPr>
          <w:rFonts w:hint="eastAsia" w:ascii="宋体" w:hAnsi="宋体"/>
          <w:highlight w:val="none"/>
        </w:rPr>
        <w:t>473</w:t>
      </w:r>
      <w:r>
        <w:rPr>
          <w:rFonts w:ascii="宋体" w:hAnsi="宋体"/>
          <w:highlight w:val="none"/>
        </w:rPr>
        <w:t xml:space="preserve"> m</w:t>
      </w:r>
      <w:r>
        <w:rPr>
          <w:rFonts w:ascii="宋体" w:hAnsi="宋体"/>
          <w:highlight w:val="none"/>
          <w:vertAlign w:val="superscript"/>
        </w:rPr>
        <w:t>3</w:t>
      </w:r>
      <w:r>
        <w:rPr>
          <w:rFonts w:ascii="宋体" w:hAnsi="宋体"/>
          <w:highlight w:val="none"/>
        </w:rPr>
        <w:t>/h，污泥干化冷却水1500 m</w:t>
      </w:r>
      <w:r>
        <w:rPr>
          <w:rFonts w:ascii="宋体" w:hAnsi="宋体"/>
          <w:highlight w:val="none"/>
          <w:vertAlign w:val="superscript"/>
        </w:rPr>
        <w:t>3</w:t>
      </w:r>
      <w:r>
        <w:rPr>
          <w:rFonts w:ascii="宋体" w:hAnsi="宋体"/>
          <w:highlight w:val="none"/>
        </w:rPr>
        <w:t>/h，均采用</w:t>
      </w:r>
      <w:r>
        <w:rPr>
          <w:rFonts w:hint="eastAsia" w:ascii="宋体" w:hAnsi="宋体"/>
          <w:highlight w:val="none"/>
        </w:rPr>
        <w:t>工业水</w:t>
      </w:r>
      <w:r>
        <w:rPr>
          <w:rFonts w:ascii="宋体" w:hAnsi="宋体"/>
          <w:highlight w:val="none"/>
        </w:rPr>
        <w:t>，冷却方式为敞开式二次循环</w:t>
      </w:r>
      <w:r>
        <w:rPr>
          <w:rFonts w:hint="eastAsia" w:ascii="宋体" w:hAnsi="宋体"/>
          <w:highlight w:val="none"/>
        </w:rPr>
        <w:t>。</w:t>
      </w:r>
    </w:p>
    <w:p w14:paraId="0CCF0CAE">
      <w:pPr>
        <w:pStyle w:val="9"/>
        <w:spacing w:after="0" w:line="360" w:lineRule="auto"/>
        <w:ind w:firstLine="480"/>
        <w:contextualSpacing/>
        <w:rPr>
          <w:rFonts w:hint="eastAsia" w:ascii="宋体" w:hAnsi="宋体"/>
          <w:highlight w:val="none"/>
        </w:rPr>
      </w:pPr>
      <w:r>
        <w:rPr>
          <w:rFonts w:ascii="宋体" w:hAnsi="宋体"/>
          <w:highlight w:val="none"/>
        </w:rPr>
        <w:t>为了防止冷却设备的堵塞和腐蚀的发生，对上述两循环水系统进行冲击式杀菌灭藻处理。药品采用10%成品次氯酸钠溶液，加药点为辅机冷却塔水池和污泥干化冷却塔进水母管。次氯酸钠贮存罐与锅炉补给水处理系统共用。设置3台次氯酸钠加药泵，2用1备。</w:t>
      </w:r>
    </w:p>
    <w:p w14:paraId="7E2638C9">
      <w:pPr>
        <w:pStyle w:val="9"/>
        <w:spacing w:after="0" w:line="360" w:lineRule="auto"/>
        <w:ind w:firstLine="480"/>
        <w:contextualSpacing/>
        <w:rPr>
          <w:rFonts w:hint="eastAsia" w:ascii="宋体" w:hAnsi="宋体"/>
          <w:kern w:val="0"/>
          <w:highlight w:val="none"/>
        </w:rPr>
      </w:pPr>
      <w:r>
        <w:rPr>
          <w:rFonts w:ascii="宋体" w:hAnsi="宋体"/>
          <w:kern w:val="0"/>
          <w:highlight w:val="none"/>
        </w:rPr>
        <w:t>为了防止开式循环冷却水系统的结垢，本公司</w:t>
      </w:r>
      <w:r>
        <w:rPr>
          <w:rFonts w:ascii="宋体" w:hAnsi="宋体"/>
          <w:highlight w:val="none"/>
        </w:rPr>
        <w:t>对上述两循环水系统进行</w:t>
      </w:r>
      <w:r>
        <w:rPr>
          <w:rFonts w:ascii="宋体" w:hAnsi="宋体"/>
          <w:kern w:val="0"/>
          <w:highlight w:val="none"/>
        </w:rPr>
        <w:t>采取阻垢处理措施。加</w:t>
      </w:r>
      <w:r>
        <w:rPr>
          <w:rFonts w:ascii="宋体" w:hAnsi="宋体"/>
          <w:highlight w:val="none"/>
        </w:rPr>
        <w:t>药方式为连续加药，加药点为辅机冷却塔水池和污泥干化冷却塔进水母管。</w:t>
      </w:r>
      <w:r>
        <w:rPr>
          <w:rFonts w:ascii="宋体" w:hAnsi="宋体"/>
          <w:kern w:val="0"/>
          <w:highlight w:val="none"/>
        </w:rPr>
        <w:t>设置2只阻垢剂溶液箱，3台加药泵，2运1备</w:t>
      </w:r>
      <w:r>
        <w:rPr>
          <w:rFonts w:hint="eastAsia" w:ascii="宋体" w:hAnsi="宋体"/>
          <w:kern w:val="0"/>
          <w:highlight w:val="none"/>
        </w:rPr>
        <w:t>。</w:t>
      </w:r>
    </w:p>
    <w:p w14:paraId="1B5D8576">
      <w:pPr>
        <w:pStyle w:val="9"/>
        <w:spacing w:after="0" w:line="360" w:lineRule="auto"/>
        <w:ind w:firstLine="480"/>
        <w:contextualSpacing/>
        <w:rPr>
          <w:rFonts w:hint="eastAsia" w:ascii="宋体" w:hAnsi="宋体"/>
          <w:highlight w:val="none"/>
        </w:rPr>
      </w:pPr>
      <w:r>
        <w:rPr>
          <w:rFonts w:ascii="宋体" w:hAnsi="宋体"/>
          <w:highlight w:val="none"/>
        </w:rPr>
        <w:t>次氯酸钠加药处理及阻垢处理设备集中布置在化水车间室外</w:t>
      </w:r>
      <w:r>
        <w:rPr>
          <w:rFonts w:hint="eastAsia" w:ascii="宋体" w:hAnsi="宋体"/>
          <w:highlight w:val="none"/>
        </w:rPr>
        <w:t>。</w:t>
      </w:r>
    </w:p>
    <w:p w14:paraId="6DD5BEE1">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废水处理</w:t>
      </w:r>
    </w:p>
    <w:p w14:paraId="3C08B4BA">
      <w:pPr>
        <w:pStyle w:val="9"/>
        <w:spacing w:after="0" w:line="360" w:lineRule="auto"/>
        <w:ind w:firstLine="480"/>
        <w:contextualSpacing/>
        <w:rPr>
          <w:rFonts w:hint="eastAsia" w:ascii="宋体" w:hAnsi="宋体"/>
          <w:highlight w:val="none"/>
        </w:rPr>
      </w:pPr>
      <w:r>
        <w:rPr>
          <w:rFonts w:ascii="宋体" w:hAnsi="宋体"/>
          <w:highlight w:val="none"/>
        </w:rPr>
        <w:t>电厂生产过程中产生的各类废水按清污分流的原则，采用就地分散处理原则。采用集中与分散相结合的处理方式，按废水类别，选择其最佳处理方案。废水主要有：超滤装置反洗排水、浓水反渗透浓水、离子交换器再生废水、脱硫废水、污泥废水、锅炉酸洗等非经常性废水、含油废水、生活污水、含煤、污泥、灰渣、石膏等冲洗水。纳管废水先经纳管池收集后再排放至污水管网</w:t>
      </w:r>
      <w:r>
        <w:rPr>
          <w:rFonts w:hint="eastAsia" w:ascii="宋体" w:hAnsi="宋体"/>
          <w:highlight w:val="none"/>
        </w:rPr>
        <w:t>。</w:t>
      </w:r>
    </w:p>
    <w:p w14:paraId="350A0821">
      <w:pPr>
        <w:spacing w:line="360" w:lineRule="auto"/>
        <w:ind w:firstLine="480" w:firstLineChars="200"/>
        <w:contextualSpacing/>
        <w:rPr>
          <w:rFonts w:hint="eastAsia" w:ascii="宋体" w:hAnsi="宋体"/>
          <w:highlight w:val="none"/>
        </w:rPr>
      </w:pPr>
      <w:r>
        <w:rPr>
          <w:rFonts w:ascii="宋体" w:hAnsi="宋体"/>
          <w:highlight w:val="none"/>
        </w:rPr>
        <w:t>在机组额定供热工况下，主要有以下废水：</w:t>
      </w:r>
    </w:p>
    <w:p w14:paraId="5CE6BB8B">
      <w:pPr>
        <w:spacing w:line="360" w:lineRule="auto"/>
        <w:ind w:firstLine="480" w:firstLineChars="200"/>
        <w:contextualSpacing/>
        <w:rPr>
          <w:rFonts w:hint="eastAsia" w:ascii="宋体" w:hAnsi="宋体"/>
          <w:highlight w:val="none"/>
        </w:rPr>
      </w:pPr>
      <w:r>
        <w:rPr>
          <w:rFonts w:ascii="宋体" w:hAnsi="宋体"/>
          <w:highlight w:val="none"/>
        </w:rPr>
        <w:t>1）超滤装置反洗排水</w:t>
      </w:r>
    </w:p>
    <w:p w14:paraId="1AB5B05F">
      <w:pPr>
        <w:spacing w:line="360" w:lineRule="auto"/>
        <w:ind w:firstLine="480" w:firstLineChars="200"/>
        <w:contextualSpacing/>
        <w:rPr>
          <w:rFonts w:hint="eastAsia" w:ascii="宋体" w:hAnsi="宋体"/>
          <w:highlight w:val="none"/>
        </w:rPr>
      </w:pPr>
      <w:r>
        <w:rPr>
          <w:rFonts w:ascii="宋体" w:hAnsi="宋体"/>
          <w:highlight w:val="none"/>
        </w:rPr>
        <w:t>超滤反洗排水平均约38 t/h，仅悬浮物可能超标，回收至水工专业反洗回收水池最终送至水工预处理系统处理后回用。</w:t>
      </w:r>
    </w:p>
    <w:p w14:paraId="473BDD11">
      <w:pPr>
        <w:spacing w:line="360" w:lineRule="auto"/>
        <w:ind w:firstLine="480" w:firstLineChars="200"/>
        <w:contextualSpacing/>
        <w:rPr>
          <w:rFonts w:hint="eastAsia" w:ascii="宋体" w:hAnsi="宋体"/>
          <w:highlight w:val="none"/>
        </w:rPr>
      </w:pPr>
      <w:r>
        <w:rPr>
          <w:rFonts w:ascii="宋体" w:hAnsi="宋体"/>
          <w:highlight w:val="none"/>
        </w:rPr>
        <w:t>2）浓水反渗透浓水</w:t>
      </w:r>
    </w:p>
    <w:p w14:paraId="5E9CA3A0">
      <w:pPr>
        <w:spacing w:line="360" w:lineRule="auto"/>
        <w:ind w:firstLine="480" w:firstLineChars="200"/>
        <w:contextualSpacing/>
        <w:rPr>
          <w:rFonts w:hint="eastAsia" w:ascii="宋体" w:hAnsi="宋体"/>
          <w:highlight w:val="none"/>
        </w:rPr>
      </w:pPr>
      <w:r>
        <w:rPr>
          <w:rFonts w:ascii="宋体" w:hAnsi="宋体"/>
          <w:highlight w:val="none"/>
        </w:rPr>
        <w:t>浓水反渗透排放浓水平均排水量约35t/h，水质清澈，浊度指标很好，盐类浓缩约10倍，送至水工专业回收水池后统一回用。</w:t>
      </w:r>
    </w:p>
    <w:p w14:paraId="3A3E11C8">
      <w:pPr>
        <w:spacing w:line="360" w:lineRule="auto"/>
        <w:ind w:firstLine="480" w:firstLineChars="200"/>
        <w:contextualSpacing/>
        <w:rPr>
          <w:rFonts w:hint="eastAsia" w:ascii="宋体" w:hAnsi="宋体"/>
          <w:highlight w:val="none"/>
        </w:rPr>
      </w:pPr>
      <w:r>
        <w:rPr>
          <w:rFonts w:ascii="宋体" w:hAnsi="宋体"/>
          <w:highlight w:val="none"/>
        </w:rPr>
        <w:t>3）离子交换器再生废水</w:t>
      </w:r>
    </w:p>
    <w:p w14:paraId="7A3D0BA1">
      <w:pPr>
        <w:spacing w:line="360" w:lineRule="auto"/>
        <w:ind w:firstLine="480" w:firstLineChars="200"/>
        <w:contextualSpacing/>
        <w:rPr>
          <w:rFonts w:hint="eastAsia" w:ascii="宋体" w:hAnsi="宋体"/>
          <w:highlight w:val="none"/>
        </w:rPr>
      </w:pPr>
      <w:r>
        <w:rPr>
          <w:rFonts w:ascii="宋体" w:hAnsi="宋体"/>
          <w:highlight w:val="none"/>
        </w:rPr>
        <w:t>锅炉补给水离子交换再生废水、超滤及反渗透系统化学清洗排水约4t/h，这部分水收集至锅炉补给水车间室外再生废水池，就地中和处理后送至水工专业回收水池后统一回用。</w:t>
      </w:r>
    </w:p>
    <w:p w14:paraId="12F427DC">
      <w:pPr>
        <w:spacing w:line="360" w:lineRule="auto"/>
        <w:ind w:firstLine="480" w:firstLineChars="200"/>
        <w:contextualSpacing/>
        <w:rPr>
          <w:rFonts w:hint="eastAsia" w:ascii="宋体" w:hAnsi="宋体"/>
          <w:highlight w:val="none"/>
        </w:rPr>
      </w:pPr>
      <w:r>
        <w:rPr>
          <w:rFonts w:ascii="宋体" w:hAnsi="宋体"/>
          <w:highlight w:val="none"/>
        </w:rPr>
        <w:t>4）锅炉酸洗等非经常性废水</w:t>
      </w:r>
    </w:p>
    <w:p w14:paraId="3BA9ECE0">
      <w:pPr>
        <w:spacing w:line="360" w:lineRule="auto"/>
        <w:ind w:firstLine="480" w:firstLineChars="200"/>
        <w:contextualSpacing/>
        <w:rPr>
          <w:rFonts w:hint="eastAsia" w:ascii="宋体" w:hAnsi="宋体"/>
          <w:highlight w:val="none"/>
        </w:rPr>
      </w:pPr>
      <w:r>
        <w:rPr>
          <w:rFonts w:ascii="宋体" w:hAnsi="宋体"/>
          <w:highlight w:val="none"/>
        </w:rPr>
        <w:t>锅炉酸洗废水收集至锅炉补给水车间酸碱废水池后，就地中和处理后回用或纳管。</w:t>
      </w:r>
    </w:p>
    <w:p w14:paraId="00F131EF">
      <w:pPr>
        <w:spacing w:line="360" w:lineRule="auto"/>
        <w:ind w:firstLine="480" w:firstLineChars="200"/>
        <w:contextualSpacing/>
        <w:rPr>
          <w:rFonts w:hint="eastAsia" w:ascii="宋体" w:hAnsi="宋体"/>
          <w:highlight w:val="none"/>
        </w:rPr>
      </w:pPr>
      <w:r>
        <w:rPr>
          <w:rFonts w:ascii="宋体" w:hAnsi="宋体"/>
          <w:highlight w:val="none"/>
        </w:rPr>
        <w:t>5）本公司输煤栈桥冲洗水、灰渣系统地面冲洗水等废水经煤泥沉淀池预沉后，经过自吸泵提升，进入高效净水器，在高效净水器中经过沉降、絮凝、离心分离、过滤四个过程后，废水得到净化从顶部出水，进入清水池，清水回用。高效净水器底部污泥自流排入煤泥沉淀池前端。系统出力设置为2</w:t>
      </w:r>
      <w:r>
        <w:rPr>
          <w:rFonts w:ascii="宋体" w:hAnsi="宋体"/>
          <w:highlight w:val="none"/>
        </w:rPr>
        <w:sym w:font="Symbol" w:char="F0B4"/>
      </w:r>
      <w:r>
        <w:rPr>
          <w:rFonts w:ascii="宋体" w:hAnsi="宋体"/>
          <w:highlight w:val="none"/>
        </w:rPr>
        <w:t>20m</w:t>
      </w:r>
      <w:r>
        <w:rPr>
          <w:rFonts w:ascii="宋体" w:hAnsi="宋体"/>
          <w:highlight w:val="none"/>
          <w:vertAlign w:val="superscript"/>
        </w:rPr>
        <w:t>3</w:t>
      </w:r>
      <w:r>
        <w:rPr>
          <w:rFonts w:ascii="宋体" w:hAnsi="宋体"/>
          <w:highlight w:val="none"/>
        </w:rPr>
        <w:t>/h。含煤废水治理设施布置在本期煤场煤泥沉淀池附近。</w:t>
      </w:r>
    </w:p>
    <w:p w14:paraId="40154829">
      <w:pPr>
        <w:spacing w:line="360" w:lineRule="auto"/>
        <w:ind w:firstLine="480" w:firstLineChars="200"/>
        <w:contextualSpacing/>
        <w:rPr>
          <w:rFonts w:hint="eastAsia" w:ascii="宋体" w:hAnsi="宋体"/>
          <w:highlight w:val="none"/>
        </w:rPr>
      </w:pPr>
      <w:r>
        <w:rPr>
          <w:rFonts w:ascii="宋体" w:hAnsi="宋体"/>
          <w:highlight w:val="none"/>
        </w:rPr>
        <w:t>6）汽机房零米层检修时可能会产生含油污水。主厂房含油废水处理系统主要收集主厂房区域检修时可能产生的含油污水。配置1套Q＝1m</w:t>
      </w:r>
      <w:r>
        <w:rPr>
          <w:rFonts w:ascii="宋体" w:hAnsi="宋体"/>
          <w:highlight w:val="none"/>
          <w:vertAlign w:val="superscript"/>
        </w:rPr>
        <w:t>3</w:t>
      </w:r>
      <w:r>
        <w:rPr>
          <w:rFonts w:ascii="宋体" w:hAnsi="宋体"/>
          <w:highlight w:val="none"/>
        </w:rPr>
        <w:t>/h移动式油水分离器。</w:t>
      </w:r>
    </w:p>
    <w:p w14:paraId="0B7E186D">
      <w:pPr>
        <w:spacing w:line="360" w:lineRule="auto"/>
        <w:ind w:firstLine="480" w:firstLineChars="200"/>
        <w:contextualSpacing/>
        <w:rPr>
          <w:rFonts w:hint="eastAsia" w:ascii="宋体" w:hAnsi="宋体"/>
          <w:highlight w:val="none"/>
        </w:rPr>
      </w:pPr>
      <w:r>
        <w:rPr>
          <w:rFonts w:ascii="宋体" w:hAnsi="宋体"/>
          <w:highlight w:val="none"/>
        </w:rPr>
        <w:t>7）本公司设置一套脱硫废水的混凝、澄清、过滤处理系统，系统出力</w:t>
      </w:r>
      <w:r>
        <w:rPr>
          <w:rFonts w:hint="eastAsia" w:ascii="宋体" w:hAnsi="宋体"/>
          <w:highlight w:val="none"/>
        </w:rPr>
        <w:t>8</w:t>
      </w:r>
      <w:r>
        <w:rPr>
          <w:rFonts w:ascii="宋体" w:hAnsi="宋体"/>
          <w:highlight w:val="none"/>
        </w:rPr>
        <w:t>m</w:t>
      </w:r>
      <w:r>
        <w:rPr>
          <w:rFonts w:ascii="宋体" w:hAnsi="宋体"/>
          <w:highlight w:val="none"/>
          <w:vertAlign w:val="superscript"/>
        </w:rPr>
        <w:t>3</w:t>
      </w:r>
      <w:r>
        <w:rPr>
          <w:rFonts w:ascii="宋体" w:hAnsi="宋体"/>
          <w:highlight w:val="none"/>
        </w:rPr>
        <w:t>/h。石膏区及石灰石粉仓区的地面冲洗水经收集后纳入脱硫废水系统处理。</w:t>
      </w:r>
    </w:p>
    <w:p w14:paraId="7F7BD021">
      <w:pPr>
        <w:spacing w:line="360" w:lineRule="auto"/>
        <w:ind w:firstLine="480" w:firstLineChars="200"/>
        <w:contextualSpacing/>
        <w:rPr>
          <w:rFonts w:hint="eastAsia" w:ascii="宋体" w:hAnsi="宋体"/>
          <w:highlight w:val="none"/>
        </w:rPr>
      </w:pPr>
      <w:r>
        <w:rPr>
          <w:rFonts w:ascii="宋体" w:hAnsi="宋体"/>
          <w:highlight w:val="none"/>
        </w:rPr>
        <w:t>8）本公司在污泥干化车间旁边设置一套污泥干化污水处理系统，日处理水量约360吨，处理后的水纳管排放。</w:t>
      </w:r>
    </w:p>
    <w:p w14:paraId="4BEC8D94">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雨污水系统</w:t>
      </w:r>
    </w:p>
    <w:p w14:paraId="4D004FE4">
      <w:pPr>
        <w:spacing w:line="360" w:lineRule="auto"/>
        <w:ind w:firstLine="480" w:firstLineChars="200"/>
        <w:rPr>
          <w:highlight w:val="none"/>
        </w:rPr>
      </w:pPr>
      <w:r>
        <w:rPr>
          <w:highlight w:val="none"/>
        </w:rPr>
        <w:t>本</w:t>
      </w:r>
      <w:r>
        <w:rPr>
          <w:rFonts w:hint="eastAsia"/>
          <w:highlight w:val="none"/>
        </w:rPr>
        <w:t>公司</w:t>
      </w:r>
      <w:r>
        <w:rPr>
          <w:highlight w:val="none"/>
        </w:rPr>
        <w:t>各建筑物的生活污水，经</w:t>
      </w:r>
      <w:r>
        <w:rPr>
          <w:rFonts w:hint="eastAsia"/>
          <w:highlight w:val="none"/>
        </w:rPr>
        <w:t>化粪池预沉后通过独立的生活污水管网收集，排入污水升压泵站，经污水升压泵提升后纳入电厂北侧园区生活污水管网</w:t>
      </w:r>
      <w:r>
        <w:rPr>
          <w:highlight w:val="none"/>
        </w:rPr>
        <w:t>。</w:t>
      </w:r>
      <w:r>
        <w:rPr>
          <w:rFonts w:hint="eastAsia"/>
          <w:highlight w:val="none"/>
        </w:rPr>
        <w:t>在办公楼附近设置1座污水升压泵井，内设2台污水升压泵（1用1备）。</w:t>
      </w:r>
    </w:p>
    <w:p w14:paraId="2005B19A">
      <w:pPr>
        <w:spacing w:line="360" w:lineRule="auto"/>
        <w:ind w:firstLine="480" w:firstLineChars="200"/>
        <w:rPr>
          <w:highlight w:val="none"/>
        </w:rPr>
      </w:pPr>
      <w:r>
        <w:rPr>
          <w:rFonts w:hint="eastAsia"/>
          <w:highlight w:val="none"/>
        </w:rPr>
        <w:t>厂区雨水排放系统采用雨水口、雨水检查井、雨水管网汇集后进入雨水泵站，经雨水泵提升后排至南侧黄姑塘。在黄姑塘新建八字式雨水排水口1座。在厂区南侧新建</w:t>
      </w:r>
      <w:r>
        <w:rPr>
          <w:highlight w:val="none"/>
        </w:rPr>
        <w:t>1</w:t>
      </w:r>
      <w:r>
        <w:rPr>
          <w:rFonts w:hint="eastAsia"/>
          <w:highlight w:val="none"/>
        </w:rPr>
        <w:t>座雨水泵站，设</w:t>
      </w:r>
      <w:r>
        <w:rPr>
          <w:highlight w:val="none"/>
        </w:rPr>
        <w:t>3</w:t>
      </w:r>
      <w:r>
        <w:rPr>
          <w:rFonts w:hint="eastAsia"/>
          <w:highlight w:val="none"/>
        </w:rPr>
        <w:t>台雨水泵。</w:t>
      </w:r>
    </w:p>
    <w:p w14:paraId="157B1745">
      <w:pPr>
        <w:pStyle w:val="41"/>
        <w:numPr>
          <w:ilvl w:val="3"/>
          <w:numId w:val="4"/>
        </w:numPr>
        <w:spacing w:line="360" w:lineRule="auto"/>
        <w:ind w:firstLine="0" w:firstLineChars="0"/>
        <w:contextualSpacing/>
        <w:jc w:val="left"/>
        <w:textAlignment w:val="baseline"/>
        <w:outlineLvl w:val="3"/>
        <w:rPr>
          <w:rFonts w:hint="eastAsia" w:ascii="宋体" w:hAnsi="宋体"/>
          <w:color w:val="000000"/>
          <w:sz w:val="24"/>
          <w:szCs w:val="24"/>
          <w:highlight w:val="none"/>
        </w:rPr>
      </w:pPr>
      <w:r>
        <w:rPr>
          <w:rFonts w:hint="eastAsia" w:ascii="宋体" w:hAnsi="宋体"/>
          <w:color w:val="000000"/>
          <w:sz w:val="24"/>
          <w:szCs w:val="24"/>
          <w:highlight w:val="none"/>
        </w:rPr>
        <w:t>消防水系统</w:t>
      </w:r>
    </w:p>
    <w:p w14:paraId="2E387FFE">
      <w:pPr>
        <w:spacing w:line="360" w:lineRule="auto"/>
        <w:ind w:firstLine="480" w:firstLineChars="200"/>
        <w:contextualSpacing/>
        <w:rPr>
          <w:rFonts w:hint="eastAsia" w:ascii="宋体" w:hAnsi="宋体"/>
          <w:b/>
          <w:highlight w:val="none"/>
        </w:rPr>
      </w:pPr>
      <w:r>
        <w:rPr>
          <w:rFonts w:hint="eastAsia"/>
          <w:highlight w:val="none"/>
        </w:rPr>
        <w:t>本工程采用带稳压装置的独立高压消防给水系统。设置两台100%消防水泵：一台为柴油机消防泵，一台为电动消防泵，一用一备，相互连锁，同时设置2台稳压泵（一用一备）及一个</w:t>
      </w:r>
      <w:r>
        <w:rPr>
          <w:highlight w:val="none"/>
        </w:rPr>
        <w:sym w:font="Symbol" w:char="F046"/>
      </w:r>
      <w:r>
        <w:rPr>
          <w:rFonts w:hint="eastAsia"/>
          <w:highlight w:val="none"/>
        </w:rPr>
        <w:t>20</w:t>
      </w:r>
      <w:r>
        <w:rPr>
          <w:highlight w:val="none"/>
        </w:rPr>
        <w:t>00</w:t>
      </w:r>
      <w:r>
        <w:rPr>
          <w:rFonts w:hint="eastAsia"/>
          <w:highlight w:val="none"/>
        </w:rPr>
        <w:t>气压罐。电动消防泵的启动受消防管网内水压的控制，当稳压装置不能维持、恢复管网水压到定值，水压下降，延时一定时间后，消防泵自动启动一台。</w:t>
      </w:r>
    </w:p>
    <w:p w14:paraId="48930984">
      <w:pPr>
        <w:pStyle w:val="4"/>
        <w:numPr>
          <w:ilvl w:val="0"/>
          <w:numId w:val="4"/>
        </w:numPr>
        <w:jc w:val="left"/>
        <w:rPr>
          <w:sz w:val="30"/>
          <w:szCs w:val="30"/>
          <w:highlight w:val="none"/>
        </w:rPr>
      </w:pPr>
      <w:bookmarkStart w:id="48" w:name="_Toc18084"/>
      <w:r>
        <w:rPr>
          <w:rFonts w:hint="eastAsia"/>
          <w:sz w:val="30"/>
          <w:szCs w:val="30"/>
          <w:highlight w:val="none"/>
        </w:rPr>
        <w:t>执行相关标准和规范</w:t>
      </w:r>
      <w:bookmarkEnd w:id="48"/>
    </w:p>
    <w:p w14:paraId="4BE0E96A">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本项目必须满足最新版的中国国家标准和相关行业标准规范，必须满足中国安全、环保及其它方面最新版的国家强制性标准和规程（规定）。</w:t>
      </w:r>
    </w:p>
    <w:p w14:paraId="0E6766E5">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《火力发电厂机组及蒸汽动力设备水汽质量》GB/T 12145-2008。</w:t>
      </w:r>
    </w:p>
    <w:p w14:paraId="2FE31B6F">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《污水综合排放标准》GB8978-1996。</w:t>
      </w:r>
    </w:p>
    <w:p w14:paraId="36A04CAA">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《化学监督导则》DL/T 246-2015。</w:t>
      </w:r>
    </w:p>
    <w:p w14:paraId="3EA9D958">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《火电厂汽水化学导则》DL/T 805-2004。</w:t>
      </w:r>
    </w:p>
    <w:p w14:paraId="1503D8AB">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《火力发电厂水汽化学监督导则》DL/T 561-2013。</w:t>
      </w:r>
    </w:p>
    <w:p w14:paraId="4F9BC77A">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《二十五项反事故技术措施》。</w:t>
      </w:r>
    </w:p>
    <w:p w14:paraId="2640655E">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《电业安全工作规程第1部分：热力和机械》GB26164.1-2010。</w:t>
      </w:r>
    </w:p>
    <w:p w14:paraId="0F7D9D05">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《电力安全工作规程 电厂和变电站电气部分》GB26860-2011。</w:t>
      </w:r>
    </w:p>
    <w:p w14:paraId="60FD826F">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平湖独山港环保能源有限公司运行规程、图纸、典型操作票。</w:t>
      </w:r>
    </w:p>
    <w:p w14:paraId="7881D04F">
      <w:pPr>
        <w:adjustRightInd w:val="0"/>
        <w:snapToGrid w:val="0"/>
        <w:spacing w:line="360" w:lineRule="auto"/>
        <w:ind w:firstLine="480" w:firstLineChars="200"/>
        <w:rPr>
          <w:rFonts w:hint="eastAsia" w:ascii="宋体" w:hAnsi="宋体"/>
          <w:highlight w:val="none"/>
        </w:rPr>
      </w:pPr>
      <w:r>
        <w:rPr>
          <w:rFonts w:hint="eastAsia" w:ascii="宋体" w:hAnsi="宋体"/>
          <w:highlight w:val="none"/>
        </w:rPr>
        <w:t>上述规范及标准如有最新版本，按最新版本执行，未提及的请投标人自行执行国家、行业、招标人归属地地方的有关规定和标准。</w:t>
      </w:r>
    </w:p>
    <w:p w14:paraId="27216DCC">
      <w:pPr>
        <w:pStyle w:val="4"/>
        <w:numPr>
          <w:ilvl w:val="0"/>
          <w:numId w:val="4"/>
        </w:numPr>
        <w:jc w:val="left"/>
        <w:rPr>
          <w:sz w:val="30"/>
          <w:szCs w:val="30"/>
          <w:highlight w:val="none"/>
        </w:rPr>
      </w:pPr>
      <w:bookmarkStart w:id="49" w:name="_Toc484687084"/>
      <w:bookmarkStart w:id="50" w:name="_Toc7467"/>
      <w:r>
        <w:rPr>
          <w:rFonts w:hint="eastAsia"/>
          <w:sz w:val="30"/>
          <w:szCs w:val="30"/>
          <w:highlight w:val="none"/>
        </w:rPr>
        <w:t>投标人工作内容</w:t>
      </w:r>
      <w:bookmarkEnd w:id="49"/>
      <w:bookmarkEnd w:id="50"/>
    </w:p>
    <w:p w14:paraId="487DF1C4">
      <w:pPr>
        <w:pStyle w:val="41"/>
        <w:adjustRightInd w:val="0"/>
        <w:snapToGrid w:val="0"/>
        <w:spacing w:line="360" w:lineRule="auto"/>
        <w:ind w:firstLine="0" w:firstLineChars="0"/>
        <w:textAlignment w:val="baseline"/>
        <w:outlineLvl w:val="1"/>
        <w:rPr>
          <w:sz w:val="24"/>
          <w:szCs w:val="24"/>
          <w:highlight w:val="none"/>
        </w:rPr>
      </w:pPr>
      <w:bookmarkStart w:id="51" w:name="_Toc22113"/>
      <w:bookmarkStart w:id="52" w:name="_Toc75356099"/>
      <w:bookmarkStart w:id="53" w:name="_Toc75267886"/>
      <w:r>
        <w:rPr>
          <w:rFonts w:hint="eastAsia"/>
          <w:sz w:val="24"/>
          <w:szCs w:val="24"/>
          <w:highlight w:val="none"/>
        </w:rPr>
        <w:t>4.1负责本公司燃料运输系统</w:t>
      </w:r>
      <w:r>
        <w:rPr>
          <w:rFonts w:hint="eastAsia"/>
          <w:sz w:val="24"/>
          <w:szCs w:val="24"/>
          <w:highlight w:val="none"/>
          <w:lang w:val="en-US" w:eastAsia="zh-CN"/>
        </w:rPr>
        <w:t>(干污泥输送+燃煤输送+SRF输送)</w:t>
      </w:r>
      <w:r>
        <w:rPr>
          <w:rFonts w:hint="eastAsia"/>
          <w:sz w:val="24"/>
          <w:szCs w:val="24"/>
          <w:highlight w:val="none"/>
        </w:rPr>
        <w:t>、污泥干化系统、水处理系统等设备运行、巡检、抄表、监控和操作、事故处理，机组启动和日常运行水质化验工作，380V抽屉开关的停送电操作并按照要求做好各项记录工作。</w:t>
      </w:r>
      <w:bookmarkEnd w:id="51"/>
      <w:bookmarkEnd w:id="52"/>
      <w:bookmarkEnd w:id="53"/>
    </w:p>
    <w:p w14:paraId="22B0D10F">
      <w:pPr>
        <w:pStyle w:val="41"/>
        <w:adjustRightInd w:val="0"/>
        <w:snapToGrid w:val="0"/>
        <w:spacing w:line="360" w:lineRule="auto"/>
        <w:ind w:firstLine="0" w:firstLineChars="0"/>
        <w:textAlignment w:val="baseline"/>
        <w:outlineLvl w:val="1"/>
        <w:rPr>
          <w:sz w:val="24"/>
          <w:szCs w:val="24"/>
          <w:highlight w:val="none"/>
        </w:rPr>
      </w:pPr>
      <w:bookmarkStart w:id="54" w:name="_Toc75356100"/>
      <w:bookmarkStart w:id="55" w:name="_Toc22025"/>
      <w:bookmarkStart w:id="56" w:name="_Toc75267887"/>
      <w:r>
        <w:rPr>
          <w:rFonts w:hint="eastAsia"/>
          <w:sz w:val="24"/>
          <w:szCs w:val="24"/>
          <w:highlight w:val="none"/>
        </w:rPr>
        <w:t>4.2负责燃料、化学、污泥处置区域内的照明、厂房（门窗）、消防设施管理。</w:t>
      </w:r>
      <w:bookmarkEnd w:id="54"/>
      <w:bookmarkEnd w:id="55"/>
      <w:bookmarkEnd w:id="56"/>
    </w:p>
    <w:p w14:paraId="7450F2A7">
      <w:pPr>
        <w:pStyle w:val="41"/>
        <w:adjustRightInd w:val="0"/>
        <w:snapToGrid w:val="0"/>
        <w:spacing w:line="360" w:lineRule="auto"/>
        <w:ind w:firstLine="0" w:firstLineChars="0"/>
        <w:textAlignment w:val="baseline"/>
        <w:outlineLvl w:val="1"/>
        <w:rPr>
          <w:sz w:val="24"/>
          <w:szCs w:val="24"/>
          <w:highlight w:val="none"/>
        </w:rPr>
      </w:pPr>
      <w:bookmarkStart w:id="57" w:name="_Toc28707"/>
      <w:bookmarkStart w:id="58" w:name="_Toc75356101"/>
      <w:bookmarkStart w:id="59" w:name="_Toc75267888"/>
      <w:r>
        <w:rPr>
          <w:rFonts w:hint="eastAsia"/>
          <w:sz w:val="24"/>
          <w:szCs w:val="24"/>
          <w:highlight w:val="none"/>
        </w:rPr>
        <w:t>4.3负责值班室文明生产工作及值班室的定置管理。</w:t>
      </w:r>
      <w:bookmarkEnd w:id="57"/>
      <w:bookmarkEnd w:id="58"/>
      <w:bookmarkEnd w:id="59"/>
    </w:p>
    <w:p w14:paraId="6079F870">
      <w:pPr>
        <w:pStyle w:val="4"/>
        <w:numPr>
          <w:ilvl w:val="0"/>
          <w:numId w:val="4"/>
        </w:numPr>
        <w:jc w:val="left"/>
        <w:rPr>
          <w:sz w:val="30"/>
          <w:szCs w:val="30"/>
          <w:highlight w:val="none"/>
        </w:rPr>
      </w:pPr>
      <w:bookmarkStart w:id="60" w:name="_Toc17872"/>
      <w:r>
        <w:rPr>
          <w:rFonts w:hint="eastAsia"/>
          <w:sz w:val="30"/>
          <w:szCs w:val="30"/>
          <w:highlight w:val="none"/>
        </w:rPr>
        <w:t>投标人人员要求</w:t>
      </w:r>
      <w:bookmarkEnd w:id="60"/>
    </w:p>
    <w:p w14:paraId="423CBF9F">
      <w:pPr>
        <w:pStyle w:val="41"/>
        <w:numPr>
          <w:ilvl w:val="1"/>
          <w:numId w:val="4"/>
        </w:numPr>
        <w:spacing w:line="360" w:lineRule="auto"/>
        <w:ind w:firstLine="0" w:firstLineChars="0"/>
        <w:contextualSpacing/>
        <w:textAlignment w:val="baseline"/>
        <w:outlineLvl w:val="1"/>
        <w:rPr>
          <w:sz w:val="24"/>
          <w:szCs w:val="24"/>
          <w:highlight w:val="none"/>
        </w:rPr>
      </w:pPr>
      <w:bookmarkStart w:id="61" w:name="_Toc75356108"/>
      <w:bookmarkStart w:id="62" w:name="_Toc75267894"/>
      <w:bookmarkStart w:id="63" w:name="_Toc19275"/>
      <w:r>
        <w:rPr>
          <w:rFonts w:hint="eastAsia"/>
          <w:sz w:val="24"/>
          <w:szCs w:val="24"/>
          <w:highlight w:val="none"/>
        </w:rPr>
        <w:t>投标人人员总体要求：投标人项目总人数最高17人，每月按照招标人要求实时调整人数，实行四班三倒。</w:t>
      </w:r>
      <w:bookmarkEnd w:id="61"/>
      <w:bookmarkEnd w:id="62"/>
      <w:bookmarkEnd w:id="63"/>
    </w:p>
    <w:p w14:paraId="2F9015EC">
      <w:pPr>
        <w:pStyle w:val="41"/>
        <w:numPr>
          <w:ilvl w:val="1"/>
          <w:numId w:val="4"/>
        </w:numPr>
        <w:spacing w:line="360" w:lineRule="auto"/>
        <w:ind w:firstLine="0" w:firstLineChars="0"/>
        <w:contextualSpacing/>
        <w:textAlignment w:val="baseline"/>
        <w:outlineLvl w:val="1"/>
        <w:rPr>
          <w:sz w:val="24"/>
          <w:szCs w:val="24"/>
          <w:highlight w:val="none"/>
        </w:rPr>
      </w:pPr>
      <w:bookmarkStart w:id="64" w:name="_Toc75267895"/>
      <w:bookmarkStart w:id="65" w:name="_Toc75356109"/>
      <w:bookmarkStart w:id="66" w:name="_Toc4098"/>
      <w:r>
        <w:rPr>
          <w:rFonts w:hint="eastAsia"/>
          <w:sz w:val="24"/>
          <w:szCs w:val="24"/>
          <w:highlight w:val="none"/>
        </w:rPr>
        <w:t>岗位人员要求</w:t>
      </w:r>
      <w:bookmarkEnd w:id="64"/>
      <w:bookmarkEnd w:id="65"/>
      <w:bookmarkEnd w:id="66"/>
    </w:p>
    <w:p w14:paraId="45A5CC6F">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67" w:name="_Toc75267902"/>
      <w:bookmarkStart w:id="68" w:name="_Toc18516"/>
      <w:bookmarkStart w:id="69" w:name="_Toc75356116"/>
      <w:r>
        <w:rPr>
          <w:rFonts w:hint="eastAsia" w:ascii="宋体" w:hAnsi="宋体"/>
          <w:sz w:val="24"/>
          <w:szCs w:val="24"/>
          <w:highlight w:val="none"/>
        </w:rPr>
        <w:t>燃化值班员（水处理、燃料、污泥干化系统全能值班）</w:t>
      </w:r>
      <w:bookmarkEnd w:id="67"/>
      <w:bookmarkEnd w:id="68"/>
      <w:bookmarkEnd w:id="69"/>
    </w:p>
    <w:p w14:paraId="04A0A607">
      <w:pPr>
        <w:pStyle w:val="41"/>
        <w:numPr>
          <w:ilvl w:val="3"/>
          <w:numId w:val="4"/>
        </w:numPr>
        <w:spacing w:line="360" w:lineRule="auto"/>
        <w:ind w:firstLine="0" w:firstLineChars="0"/>
        <w:contextualSpacing/>
        <w:textAlignment w:val="baseline"/>
        <w:outlineLvl w:val="1"/>
        <w:rPr>
          <w:rFonts w:hint="eastAsia" w:ascii="宋体" w:hAnsi="宋体"/>
          <w:sz w:val="24"/>
          <w:szCs w:val="24"/>
          <w:highlight w:val="none"/>
        </w:rPr>
      </w:pPr>
      <w:bookmarkStart w:id="70" w:name="_Toc75356117"/>
      <w:bookmarkStart w:id="71" w:name="_Toc14893"/>
      <w:bookmarkStart w:id="72" w:name="_Toc75267903"/>
      <w:r>
        <w:rPr>
          <w:rFonts w:hint="eastAsia" w:ascii="宋体" w:hAnsi="宋体"/>
          <w:sz w:val="24"/>
          <w:szCs w:val="24"/>
          <w:highlight w:val="none"/>
        </w:rPr>
        <w:t>任职条件</w:t>
      </w:r>
      <w:bookmarkEnd w:id="70"/>
      <w:bookmarkEnd w:id="71"/>
      <w:bookmarkEnd w:id="72"/>
    </w:p>
    <w:p w14:paraId="220E1D02">
      <w:pPr>
        <w:spacing w:line="360" w:lineRule="auto"/>
        <w:contextualSpacing/>
        <w:jc w:val="left"/>
        <w:rPr>
          <w:rFonts w:hint="eastAsia" w:ascii="宋体" w:hAnsi="宋体"/>
          <w:highlight w:val="none"/>
        </w:rPr>
      </w:pPr>
      <w:r>
        <w:rPr>
          <w:rFonts w:hint="eastAsia" w:ascii="宋体" w:hAnsi="宋体"/>
          <w:highlight w:val="none"/>
        </w:rPr>
        <w:t>(1)身体健康，无任何身体生理缺陷。</w:t>
      </w:r>
    </w:p>
    <w:p w14:paraId="127B8DA0">
      <w:pPr>
        <w:spacing w:line="360" w:lineRule="auto"/>
        <w:contextualSpacing/>
        <w:jc w:val="left"/>
        <w:rPr>
          <w:rFonts w:hint="eastAsia" w:ascii="宋体" w:hAnsi="宋体"/>
          <w:highlight w:val="none"/>
        </w:rPr>
      </w:pPr>
      <w:r>
        <w:rPr>
          <w:rFonts w:hint="eastAsia" w:ascii="宋体" w:hAnsi="宋体"/>
          <w:highlight w:val="none"/>
        </w:rPr>
        <w:t>(2)具有中技及以上文化程度，熟悉所辖设备运行情况，并经培训合格，具备上岗资格。</w:t>
      </w:r>
    </w:p>
    <w:p w14:paraId="28F4F9EF">
      <w:pPr>
        <w:spacing w:line="360" w:lineRule="auto"/>
        <w:contextualSpacing/>
        <w:jc w:val="left"/>
        <w:rPr>
          <w:rFonts w:hint="eastAsia" w:ascii="宋体" w:hAnsi="宋体"/>
          <w:highlight w:val="none"/>
        </w:rPr>
      </w:pPr>
      <w:r>
        <w:rPr>
          <w:rFonts w:hint="eastAsia" w:ascii="宋体" w:hAnsi="宋体"/>
          <w:highlight w:val="none"/>
        </w:rPr>
        <w:t>(3)年龄18-45周岁。</w:t>
      </w:r>
      <w:bookmarkStart w:id="206" w:name="_GoBack"/>
      <w:bookmarkEnd w:id="206"/>
    </w:p>
    <w:p w14:paraId="59251240">
      <w:pPr>
        <w:pStyle w:val="41"/>
        <w:numPr>
          <w:ilvl w:val="3"/>
          <w:numId w:val="4"/>
        </w:numPr>
        <w:spacing w:line="360" w:lineRule="auto"/>
        <w:ind w:firstLine="0" w:firstLineChars="0"/>
        <w:contextualSpacing/>
        <w:textAlignment w:val="baseline"/>
        <w:outlineLvl w:val="1"/>
        <w:rPr>
          <w:rFonts w:hint="eastAsia" w:ascii="宋体" w:hAnsi="宋体"/>
          <w:sz w:val="24"/>
          <w:szCs w:val="24"/>
          <w:highlight w:val="none"/>
        </w:rPr>
      </w:pPr>
      <w:bookmarkStart w:id="73" w:name="_Toc75267904"/>
      <w:bookmarkStart w:id="74" w:name="_Toc18854"/>
      <w:bookmarkStart w:id="75" w:name="_Toc75356118"/>
      <w:r>
        <w:rPr>
          <w:rFonts w:ascii="宋体" w:hAnsi="宋体"/>
          <w:sz w:val="24"/>
          <w:szCs w:val="24"/>
          <w:highlight w:val="none"/>
        </w:rPr>
        <w:t>主要工作内容与要求：</w:t>
      </w:r>
      <w:bookmarkEnd w:id="73"/>
      <w:bookmarkEnd w:id="74"/>
      <w:bookmarkEnd w:id="75"/>
    </w:p>
    <w:p w14:paraId="7E3A0593">
      <w:pPr>
        <w:spacing w:line="360" w:lineRule="auto"/>
        <w:contextualSpacing/>
        <w:jc w:val="left"/>
        <w:rPr>
          <w:rFonts w:hint="eastAsia" w:ascii="宋体" w:hAnsi="宋体"/>
          <w:highlight w:val="none"/>
        </w:rPr>
      </w:pPr>
      <w:r>
        <w:rPr>
          <w:rFonts w:hint="eastAsia" w:ascii="宋体" w:hAnsi="宋体"/>
          <w:highlight w:val="none"/>
        </w:rPr>
        <w:t>(1)燃化值班员接受燃化主值领导，对所辖设备的安全经济运行和文明生产负责。</w:t>
      </w:r>
    </w:p>
    <w:p w14:paraId="12F4E0ED">
      <w:pPr>
        <w:spacing w:line="360" w:lineRule="auto"/>
        <w:contextualSpacing/>
        <w:jc w:val="left"/>
        <w:rPr>
          <w:rFonts w:hint="eastAsia" w:ascii="宋体" w:hAnsi="宋体"/>
          <w:highlight w:val="none"/>
        </w:rPr>
      </w:pPr>
      <w:r>
        <w:rPr>
          <w:rFonts w:hint="eastAsia" w:ascii="宋体" w:hAnsi="宋体"/>
          <w:highlight w:val="none"/>
        </w:rPr>
        <w:t>(2)应严格执行招标人公司、部门各项规章制度、技术措施，认真学习安全规程及各项安全生产相关的制度、规定。</w:t>
      </w:r>
    </w:p>
    <w:p w14:paraId="576595C6">
      <w:pPr>
        <w:spacing w:line="360" w:lineRule="auto"/>
        <w:contextualSpacing/>
        <w:jc w:val="left"/>
        <w:rPr>
          <w:rFonts w:hint="eastAsia" w:ascii="宋体" w:hAnsi="宋体"/>
          <w:highlight w:val="none"/>
        </w:rPr>
      </w:pPr>
      <w:r>
        <w:rPr>
          <w:rFonts w:hint="eastAsia" w:ascii="宋体" w:hAnsi="宋体"/>
          <w:highlight w:val="none"/>
        </w:rPr>
        <w:t>(3)负责所辖设备的巡检及操作，做好相应记录，并对记录的正确性负责。</w:t>
      </w:r>
    </w:p>
    <w:p w14:paraId="6F2FB72D">
      <w:pPr>
        <w:spacing w:line="360" w:lineRule="auto"/>
        <w:contextualSpacing/>
        <w:jc w:val="left"/>
        <w:rPr>
          <w:rFonts w:hint="eastAsia" w:ascii="宋体" w:hAnsi="宋体"/>
          <w:highlight w:val="none"/>
        </w:rPr>
      </w:pPr>
      <w:r>
        <w:rPr>
          <w:rFonts w:hint="eastAsia" w:ascii="宋体" w:hAnsi="宋体"/>
          <w:highlight w:val="none"/>
        </w:rPr>
        <w:t>(4)掌握所辖设备的主要运行参数，发现异常或缺陷及时记录、分析、汇报，并在燃化主值的指挥下进行操作调整。</w:t>
      </w:r>
    </w:p>
    <w:p w14:paraId="149328EB">
      <w:pPr>
        <w:spacing w:line="360" w:lineRule="auto"/>
        <w:contextualSpacing/>
        <w:jc w:val="left"/>
        <w:rPr>
          <w:rFonts w:hint="eastAsia" w:ascii="宋体" w:hAnsi="宋体"/>
          <w:highlight w:val="none"/>
        </w:rPr>
      </w:pPr>
      <w:r>
        <w:rPr>
          <w:rFonts w:hint="eastAsia" w:ascii="宋体" w:hAnsi="宋体"/>
          <w:highlight w:val="none"/>
        </w:rPr>
        <w:t>(5)事故情况下在燃化主值的指挥下进行处理操作，紧急情况下应按照运行规程自行处理后立即向燃化主值汇报。</w:t>
      </w:r>
    </w:p>
    <w:p w14:paraId="6C9584AD">
      <w:pPr>
        <w:spacing w:line="360" w:lineRule="auto"/>
        <w:contextualSpacing/>
        <w:jc w:val="left"/>
        <w:rPr>
          <w:rFonts w:hint="eastAsia" w:ascii="宋体" w:hAnsi="宋体"/>
          <w:highlight w:val="none"/>
        </w:rPr>
      </w:pPr>
      <w:r>
        <w:rPr>
          <w:rFonts w:hint="eastAsia" w:ascii="宋体" w:hAnsi="宋体"/>
          <w:highlight w:val="none"/>
        </w:rPr>
        <w:t>(6)做好管辖范围内现场仪器、药品的管理工作。</w:t>
      </w:r>
    </w:p>
    <w:p w14:paraId="3F0FE1BA">
      <w:pPr>
        <w:spacing w:line="360" w:lineRule="auto"/>
        <w:contextualSpacing/>
        <w:jc w:val="left"/>
        <w:rPr>
          <w:rFonts w:hint="eastAsia" w:ascii="宋体" w:hAnsi="宋体"/>
          <w:highlight w:val="none"/>
        </w:rPr>
      </w:pPr>
      <w:r>
        <w:rPr>
          <w:rFonts w:hint="eastAsia" w:ascii="宋体" w:hAnsi="宋体"/>
          <w:highlight w:val="none"/>
        </w:rPr>
        <w:t>(7)作为操作人，完成设备停送电操作，并对操作的正确性负责。</w:t>
      </w:r>
    </w:p>
    <w:p w14:paraId="5F53603B">
      <w:pPr>
        <w:spacing w:line="360" w:lineRule="auto"/>
        <w:contextualSpacing/>
        <w:jc w:val="left"/>
        <w:rPr>
          <w:rFonts w:hint="eastAsia" w:ascii="宋体" w:hAnsi="宋体"/>
          <w:highlight w:val="none"/>
        </w:rPr>
      </w:pPr>
      <w:r>
        <w:rPr>
          <w:rFonts w:hint="eastAsia" w:ascii="宋体" w:hAnsi="宋体"/>
          <w:highlight w:val="none"/>
        </w:rPr>
        <w:t>(8)做好机组启动及日常运行所需水质化验工作。</w:t>
      </w:r>
    </w:p>
    <w:p w14:paraId="1C9F9219">
      <w:pPr>
        <w:spacing w:line="360" w:lineRule="auto"/>
        <w:contextualSpacing/>
        <w:jc w:val="left"/>
        <w:rPr>
          <w:rFonts w:hint="eastAsia" w:ascii="宋体" w:hAnsi="宋体"/>
          <w:highlight w:val="none"/>
        </w:rPr>
      </w:pPr>
      <w:r>
        <w:rPr>
          <w:rFonts w:hint="eastAsia" w:ascii="宋体" w:hAnsi="宋体"/>
          <w:highlight w:val="none"/>
        </w:rPr>
        <w:t>(9)能及时完成招标人布置的其他工作任务。</w:t>
      </w:r>
    </w:p>
    <w:p w14:paraId="77184143">
      <w:pPr>
        <w:spacing w:line="360" w:lineRule="auto"/>
        <w:contextualSpacing/>
        <w:jc w:val="left"/>
        <w:rPr>
          <w:rFonts w:hint="eastAsia" w:ascii="宋体" w:hAnsi="宋体"/>
          <w:highlight w:val="none"/>
        </w:rPr>
      </w:pPr>
      <w:r>
        <w:rPr>
          <w:rFonts w:hint="eastAsia" w:ascii="宋体" w:hAnsi="宋体"/>
          <w:highlight w:val="none"/>
        </w:rPr>
        <w:t>5.2.1.3 投标人委派的运行人员须经招标人考试合格方可进厂。</w:t>
      </w:r>
    </w:p>
    <w:p w14:paraId="30B49AAE">
      <w:pPr>
        <w:pStyle w:val="4"/>
        <w:numPr>
          <w:ilvl w:val="0"/>
          <w:numId w:val="4"/>
        </w:numPr>
        <w:jc w:val="left"/>
        <w:rPr>
          <w:sz w:val="30"/>
          <w:szCs w:val="30"/>
          <w:highlight w:val="none"/>
        </w:rPr>
      </w:pPr>
      <w:bookmarkStart w:id="76" w:name="_Toc3040"/>
      <w:r>
        <w:rPr>
          <w:rFonts w:hint="eastAsia"/>
          <w:sz w:val="30"/>
          <w:szCs w:val="30"/>
          <w:highlight w:val="none"/>
        </w:rPr>
        <w:t>费用</w:t>
      </w:r>
      <w:bookmarkEnd w:id="76"/>
    </w:p>
    <w:p w14:paraId="1B9ED7A2">
      <w:pPr>
        <w:pStyle w:val="41"/>
        <w:numPr>
          <w:ilvl w:val="1"/>
          <w:numId w:val="4"/>
        </w:numPr>
        <w:spacing w:line="360" w:lineRule="auto"/>
        <w:ind w:firstLine="0" w:firstLineChars="0"/>
        <w:contextualSpacing/>
        <w:textAlignment w:val="baseline"/>
        <w:outlineLvl w:val="1"/>
        <w:rPr>
          <w:sz w:val="24"/>
          <w:szCs w:val="24"/>
          <w:highlight w:val="none"/>
        </w:rPr>
      </w:pPr>
      <w:bookmarkStart w:id="77" w:name="_Toc75267914"/>
      <w:bookmarkStart w:id="78" w:name="_Toc75356128"/>
      <w:bookmarkStart w:id="79" w:name="_Toc21559"/>
      <w:r>
        <w:rPr>
          <w:rFonts w:hint="eastAsia"/>
          <w:sz w:val="24"/>
          <w:szCs w:val="24"/>
          <w:highlight w:val="none"/>
        </w:rPr>
        <w:t>费用总价包含劳务费、管理费及税率。劳务费是指专门用于支付给外包人员的职工薪酬（含单位缴纳），包括工资、奖金、津贴、五险一金、福利、劳保、残保金、保险等一切费用。</w:t>
      </w:r>
      <w:bookmarkEnd w:id="77"/>
      <w:bookmarkEnd w:id="78"/>
      <w:r>
        <w:rPr>
          <w:rFonts w:hint="eastAsia"/>
          <w:sz w:val="24"/>
          <w:szCs w:val="24"/>
          <w:highlight w:val="none"/>
        </w:rPr>
        <w:t>管理费包括招投标费、税金、利润及其他管理成本等。</w:t>
      </w:r>
      <w:bookmarkEnd w:id="79"/>
    </w:p>
    <w:p w14:paraId="37C33433">
      <w:pPr>
        <w:pStyle w:val="41"/>
        <w:numPr>
          <w:ilvl w:val="1"/>
          <w:numId w:val="4"/>
        </w:numPr>
        <w:spacing w:line="360" w:lineRule="auto"/>
        <w:ind w:firstLine="0" w:firstLineChars="0"/>
        <w:contextualSpacing/>
        <w:textAlignment w:val="baseline"/>
        <w:outlineLvl w:val="1"/>
        <w:rPr>
          <w:sz w:val="24"/>
          <w:szCs w:val="24"/>
          <w:highlight w:val="none"/>
        </w:rPr>
      </w:pPr>
      <w:bookmarkStart w:id="80" w:name="_Toc27472"/>
      <w:bookmarkStart w:id="81" w:name="_Toc75267915"/>
      <w:bookmarkStart w:id="82" w:name="_Toc75356129"/>
      <w:r>
        <w:rPr>
          <w:rFonts w:hint="eastAsia"/>
          <w:sz w:val="24"/>
          <w:szCs w:val="24"/>
          <w:highlight w:val="none"/>
        </w:rPr>
        <w:t>费用总价已经考虑在运行操作过程中可能发生的延时加班、双休日以及法定节假日加班的费用，在技术协议执行过程中发生的各种加班情况不再另行计算加班费用，投标人应以满足工作需要为前提，在任何时间为招标人提供技术规范书范围内的运行服务。</w:t>
      </w:r>
      <w:bookmarkEnd w:id="80"/>
      <w:bookmarkEnd w:id="81"/>
      <w:bookmarkEnd w:id="82"/>
    </w:p>
    <w:p w14:paraId="56B653E7">
      <w:pPr>
        <w:pStyle w:val="41"/>
        <w:numPr>
          <w:ilvl w:val="1"/>
          <w:numId w:val="4"/>
        </w:numPr>
        <w:spacing w:line="360" w:lineRule="auto"/>
        <w:ind w:firstLine="0" w:firstLineChars="0"/>
        <w:contextualSpacing/>
        <w:textAlignment w:val="baseline"/>
        <w:outlineLvl w:val="1"/>
        <w:rPr>
          <w:sz w:val="24"/>
          <w:szCs w:val="24"/>
          <w:highlight w:val="none"/>
        </w:rPr>
      </w:pPr>
      <w:bookmarkStart w:id="83" w:name="_Toc75356130"/>
      <w:bookmarkStart w:id="84" w:name="_Toc15895"/>
      <w:bookmarkStart w:id="85" w:name="_Toc75267916"/>
      <w:r>
        <w:rPr>
          <w:rFonts w:hint="eastAsia"/>
          <w:sz w:val="24"/>
          <w:szCs w:val="24"/>
          <w:highlight w:val="none"/>
        </w:rPr>
        <w:t>平湖独山港环保能源有限公司燃料、化学、污泥处置区域的日常操作工作所涉及的人工、消耗性材料等，费用均包含在总价内。</w:t>
      </w:r>
      <w:bookmarkEnd w:id="83"/>
      <w:bookmarkEnd w:id="84"/>
      <w:bookmarkEnd w:id="85"/>
    </w:p>
    <w:p w14:paraId="2BBDBAC8">
      <w:pPr>
        <w:pStyle w:val="4"/>
        <w:numPr>
          <w:ilvl w:val="0"/>
          <w:numId w:val="4"/>
        </w:numPr>
        <w:jc w:val="left"/>
        <w:rPr>
          <w:sz w:val="30"/>
          <w:szCs w:val="30"/>
          <w:highlight w:val="none"/>
        </w:rPr>
      </w:pPr>
      <w:bookmarkStart w:id="86" w:name="_Toc1085"/>
      <w:bookmarkStart w:id="87" w:name="_Toc361815422"/>
      <w:r>
        <w:rPr>
          <w:rFonts w:hint="eastAsia"/>
          <w:sz w:val="30"/>
          <w:szCs w:val="30"/>
          <w:highlight w:val="none"/>
        </w:rPr>
        <w:t>招标人主要职责</w:t>
      </w:r>
      <w:bookmarkEnd w:id="86"/>
    </w:p>
    <w:bookmarkEnd w:id="87"/>
    <w:p w14:paraId="28B359C8">
      <w:pPr>
        <w:pStyle w:val="41"/>
        <w:numPr>
          <w:ilvl w:val="1"/>
          <w:numId w:val="4"/>
        </w:numPr>
        <w:spacing w:line="360" w:lineRule="auto"/>
        <w:ind w:firstLine="0" w:firstLineChars="0"/>
        <w:contextualSpacing/>
        <w:textAlignment w:val="baseline"/>
        <w:outlineLvl w:val="1"/>
        <w:rPr>
          <w:sz w:val="24"/>
          <w:szCs w:val="24"/>
          <w:highlight w:val="none"/>
        </w:rPr>
      </w:pPr>
      <w:bookmarkStart w:id="88" w:name="_Toc75267919"/>
      <w:bookmarkStart w:id="89" w:name="_Toc75356133"/>
      <w:bookmarkStart w:id="90" w:name="_Toc8779"/>
      <w:r>
        <w:rPr>
          <w:rFonts w:hint="eastAsia"/>
          <w:sz w:val="24"/>
          <w:szCs w:val="24"/>
          <w:highlight w:val="none"/>
        </w:rPr>
        <w:t>负责向投标人及时提供有关运行操作所需的规程、图纸、资料。</w:t>
      </w:r>
      <w:bookmarkEnd w:id="88"/>
      <w:bookmarkEnd w:id="89"/>
      <w:bookmarkEnd w:id="90"/>
    </w:p>
    <w:p w14:paraId="0388204E">
      <w:pPr>
        <w:pStyle w:val="41"/>
        <w:numPr>
          <w:ilvl w:val="1"/>
          <w:numId w:val="4"/>
        </w:numPr>
        <w:spacing w:line="360" w:lineRule="auto"/>
        <w:ind w:firstLine="0" w:firstLineChars="0"/>
        <w:contextualSpacing/>
        <w:textAlignment w:val="baseline"/>
        <w:outlineLvl w:val="1"/>
        <w:rPr>
          <w:sz w:val="24"/>
          <w:szCs w:val="24"/>
          <w:highlight w:val="none"/>
        </w:rPr>
      </w:pPr>
      <w:bookmarkStart w:id="91" w:name="_Toc75267920"/>
      <w:bookmarkStart w:id="92" w:name="_Toc13007"/>
      <w:bookmarkStart w:id="93" w:name="_Toc75356134"/>
      <w:r>
        <w:rPr>
          <w:rFonts w:hint="eastAsia"/>
          <w:sz w:val="24"/>
          <w:szCs w:val="24"/>
          <w:highlight w:val="none"/>
        </w:rPr>
        <w:t>负责投标人运行操作工作中所需的相关外部联系工作。</w:t>
      </w:r>
      <w:bookmarkEnd w:id="91"/>
      <w:bookmarkEnd w:id="92"/>
      <w:bookmarkEnd w:id="93"/>
    </w:p>
    <w:p w14:paraId="184C113A">
      <w:pPr>
        <w:pStyle w:val="41"/>
        <w:numPr>
          <w:ilvl w:val="1"/>
          <w:numId w:val="4"/>
        </w:numPr>
        <w:spacing w:line="360" w:lineRule="auto"/>
        <w:ind w:firstLine="0" w:firstLineChars="0"/>
        <w:contextualSpacing/>
        <w:textAlignment w:val="baseline"/>
        <w:outlineLvl w:val="1"/>
        <w:rPr>
          <w:sz w:val="24"/>
          <w:szCs w:val="24"/>
          <w:highlight w:val="none"/>
        </w:rPr>
      </w:pPr>
      <w:bookmarkStart w:id="94" w:name="_Toc75267921"/>
      <w:bookmarkStart w:id="95" w:name="_Toc75356135"/>
      <w:bookmarkStart w:id="96" w:name="_Toc19629"/>
      <w:r>
        <w:rPr>
          <w:rFonts w:hint="eastAsia"/>
          <w:sz w:val="24"/>
          <w:szCs w:val="24"/>
          <w:highlight w:val="none"/>
        </w:rPr>
        <w:t>负责对投标人工作人员进行工作考核，有权要求投标人更换考核不合格的工作人员。</w:t>
      </w:r>
      <w:bookmarkEnd w:id="94"/>
      <w:bookmarkEnd w:id="95"/>
      <w:bookmarkEnd w:id="96"/>
    </w:p>
    <w:p w14:paraId="393D9D16">
      <w:pPr>
        <w:pStyle w:val="41"/>
        <w:numPr>
          <w:ilvl w:val="1"/>
          <w:numId w:val="4"/>
        </w:numPr>
        <w:spacing w:line="360" w:lineRule="auto"/>
        <w:ind w:firstLine="0" w:firstLineChars="0"/>
        <w:contextualSpacing/>
        <w:textAlignment w:val="baseline"/>
        <w:outlineLvl w:val="1"/>
        <w:rPr>
          <w:sz w:val="24"/>
          <w:szCs w:val="24"/>
          <w:highlight w:val="none"/>
        </w:rPr>
      </w:pPr>
      <w:bookmarkStart w:id="97" w:name="_Toc75356136"/>
      <w:bookmarkStart w:id="98" w:name="_Toc14977"/>
      <w:bookmarkStart w:id="99" w:name="_Toc75267922"/>
      <w:r>
        <w:rPr>
          <w:rFonts w:hint="eastAsia"/>
          <w:sz w:val="24"/>
          <w:szCs w:val="24"/>
          <w:highlight w:val="none"/>
        </w:rPr>
        <w:t>招标人有权检查投标人生产管理有关的工作日志、运行记录、设备台帐、消耗品使用记录等资料。</w:t>
      </w:r>
      <w:bookmarkEnd w:id="97"/>
      <w:bookmarkEnd w:id="98"/>
      <w:bookmarkEnd w:id="99"/>
    </w:p>
    <w:p w14:paraId="0BC0259E">
      <w:pPr>
        <w:pStyle w:val="41"/>
        <w:numPr>
          <w:ilvl w:val="1"/>
          <w:numId w:val="4"/>
        </w:numPr>
        <w:spacing w:line="360" w:lineRule="auto"/>
        <w:ind w:firstLine="0" w:firstLineChars="0"/>
        <w:contextualSpacing/>
        <w:textAlignment w:val="baseline"/>
        <w:outlineLvl w:val="1"/>
        <w:rPr>
          <w:sz w:val="24"/>
          <w:szCs w:val="24"/>
          <w:highlight w:val="none"/>
        </w:rPr>
      </w:pPr>
      <w:bookmarkStart w:id="100" w:name="_Toc75356137"/>
      <w:bookmarkStart w:id="101" w:name="_Toc9646"/>
      <w:bookmarkStart w:id="102" w:name="_Toc75267923"/>
      <w:r>
        <w:rPr>
          <w:rFonts w:hint="eastAsia"/>
          <w:sz w:val="24"/>
          <w:szCs w:val="24"/>
          <w:highlight w:val="none"/>
        </w:rPr>
        <w:t>招标人负责各类设备台账准确性和唯一性的监督管理。</w:t>
      </w:r>
      <w:bookmarkEnd w:id="100"/>
      <w:bookmarkEnd w:id="101"/>
      <w:bookmarkEnd w:id="102"/>
    </w:p>
    <w:p w14:paraId="656FE2F5">
      <w:pPr>
        <w:pStyle w:val="41"/>
        <w:numPr>
          <w:ilvl w:val="1"/>
          <w:numId w:val="4"/>
        </w:numPr>
        <w:spacing w:line="360" w:lineRule="auto"/>
        <w:ind w:firstLine="0" w:firstLineChars="0"/>
        <w:contextualSpacing/>
        <w:textAlignment w:val="baseline"/>
        <w:outlineLvl w:val="1"/>
        <w:rPr>
          <w:sz w:val="24"/>
          <w:szCs w:val="24"/>
          <w:highlight w:val="none"/>
        </w:rPr>
      </w:pPr>
      <w:bookmarkStart w:id="103" w:name="_Toc20828"/>
      <w:bookmarkStart w:id="104" w:name="_Toc75356138"/>
      <w:bookmarkStart w:id="105" w:name="_Toc75267924"/>
      <w:r>
        <w:rPr>
          <w:rFonts w:hint="eastAsia"/>
          <w:sz w:val="24"/>
          <w:szCs w:val="24"/>
          <w:highlight w:val="none"/>
        </w:rPr>
        <w:t>招标人有权根据合同条款对投标人进行考核。</w:t>
      </w:r>
      <w:bookmarkEnd w:id="103"/>
      <w:bookmarkEnd w:id="104"/>
      <w:bookmarkEnd w:id="105"/>
    </w:p>
    <w:p w14:paraId="1062B290">
      <w:pPr>
        <w:pStyle w:val="41"/>
        <w:numPr>
          <w:ilvl w:val="1"/>
          <w:numId w:val="4"/>
        </w:numPr>
        <w:spacing w:line="360" w:lineRule="auto"/>
        <w:ind w:firstLine="0" w:firstLineChars="0"/>
        <w:contextualSpacing/>
        <w:textAlignment w:val="baseline"/>
        <w:outlineLvl w:val="1"/>
        <w:rPr>
          <w:sz w:val="24"/>
          <w:szCs w:val="24"/>
          <w:highlight w:val="none"/>
        </w:rPr>
      </w:pPr>
      <w:bookmarkStart w:id="106" w:name="_Toc75267925"/>
      <w:bookmarkStart w:id="107" w:name="_Toc75356139"/>
      <w:bookmarkStart w:id="108" w:name="_Toc9505"/>
      <w:r>
        <w:rPr>
          <w:rFonts w:hint="eastAsia"/>
          <w:sz w:val="24"/>
          <w:szCs w:val="24"/>
          <w:highlight w:val="none"/>
        </w:rPr>
        <w:t>招标人对投标人的工作质量、安全、文明生产等工作进行监督、检查。</w:t>
      </w:r>
      <w:bookmarkEnd w:id="106"/>
      <w:bookmarkEnd w:id="107"/>
      <w:bookmarkEnd w:id="108"/>
    </w:p>
    <w:p w14:paraId="356904D2">
      <w:pPr>
        <w:pStyle w:val="41"/>
        <w:numPr>
          <w:ilvl w:val="1"/>
          <w:numId w:val="4"/>
        </w:numPr>
        <w:spacing w:line="360" w:lineRule="auto"/>
        <w:ind w:firstLine="0" w:firstLineChars="0"/>
        <w:contextualSpacing/>
        <w:textAlignment w:val="baseline"/>
        <w:outlineLvl w:val="1"/>
        <w:rPr>
          <w:sz w:val="24"/>
          <w:szCs w:val="24"/>
          <w:highlight w:val="none"/>
        </w:rPr>
      </w:pPr>
      <w:bookmarkStart w:id="109" w:name="_Toc75356140"/>
      <w:bookmarkStart w:id="110" w:name="_Toc2574"/>
      <w:bookmarkStart w:id="111" w:name="_Toc75267926"/>
      <w:r>
        <w:rPr>
          <w:rFonts w:hint="eastAsia"/>
          <w:sz w:val="24"/>
          <w:szCs w:val="24"/>
          <w:highlight w:val="none"/>
        </w:rPr>
        <w:t>合同中规定的其他职责。</w:t>
      </w:r>
      <w:bookmarkEnd w:id="109"/>
      <w:bookmarkEnd w:id="110"/>
      <w:bookmarkEnd w:id="111"/>
    </w:p>
    <w:p w14:paraId="18EAC335">
      <w:pPr>
        <w:pStyle w:val="4"/>
        <w:numPr>
          <w:ilvl w:val="0"/>
          <w:numId w:val="4"/>
        </w:numPr>
        <w:jc w:val="left"/>
        <w:rPr>
          <w:sz w:val="30"/>
          <w:szCs w:val="30"/>
          <w:highlight w:val="none"/>
        </w:rPr>
      </w:pPr>
      <w:bookmarkStart w:id="112" w:name="_Toc19589"/>
      <w:r>
        <w:rPr>
          <w:rFonts w:hint="eastAsia"/>
          <w:sz w:val="30"/>
          <w:szCs w:val="30"/>
          <w:highlight w:val="none"/>
        </w:rPr>
        <w:t>投标人主要职责</w:t>
      </w:r>
      <w:bookmarkEnd w:id="112"/>
    </w:p>
    <w:p w14:paraId="014F96B5">
      <w:pPr>
        <w:pStyle w:val="41"/>
        <w:numPr>
          <w:ilvl w:val="1"/>
          <w:numId w:val="4"/>
        </w:numPr>
        <w:spacing w:line="360" w:lineRule="auto"/>
        <w:ind w:firstLine="0" w:firstLineChars="0"/>
        <w:contextualSpacing/>
        <w:textAlignment w:val="baseline"/>
        <w:outlineLvl w:val="1"/>
        <w:rPr>
          <w:sz w:val="24"/>
          <w:szCs w:val="24"/>
          <w:highlight w:val="none"/>
        </w:rPr>
      </w:pPr>
      <w:bookmarkStart w:id="113" w:name="_Toc15258"/>
      <w:bookmarkStart w:id="114" w:name="_Toc75356142"/>
      <w:bookmarkStart w:id="115" w:name="_Toc75267928"/>
      <w:r>
        <w:rPr>
          <w:rFonts w:hint="eastAsia"/>
          <w:sz w:val="24"/>
          <w:szCs w:val="24"/>
          <w:highlight w:val="none"/>
        </w:rPr>
        <w:t>必须贯彻“安全第一、预防为主、综合治理”的方针，执行国家、行业法律法规及招标人及上级单位颁布的各项企业规章制度，履行合同范围内的应尽职责</w:t>
      </w:r>
      <w:r>
        <w:rPr>
          <w:sz w:val="24"/>
          <w:szCs w:val="24"/>
          <w:highlight w:val="none"/>
        </w:rPr>
        <w:t xml:space="preserve">, </w:t>
      </w:r>
      <w:r>
        <w:rPr>
          <w:rFonts w:hint="eastAsia"/>
          <w:sz w:val="24"/>
          <w:szCs w:val="24"/>
          <w:highlight w:val="none"/>
        </w:rPr>
        <w:t>服从招标人的监督和管理，按照招标人要求组织完成</w:t>
      </w:r>
      <w:r>
        <w:rPr>
          <w:sz w:val="24"/>
          <w:szCs w:val="24"/>
          <w:highlight w:val="none"/>
        </w:rPr>
        <w:t>招标人所要求工程范围之内的设备运行及相关工作</w:t>
      </w:r>
      <w:r>
        <w:rPr>
          <w:rFonts w:hint="eastAsia"/>
          <w:sz w:val="24"/>
          <w:szCs w:val="24"/>
          <w:highlight w:val="none"/>
        </w:rPr>
        <w:t>，接受招标人规章制度的的考核。</w:t>
      </w:r>
      <w:bookmarkEnd w:id="113"/>
      <w:bookmarkEnd w:id="114"/>
      <w:bookmarkEnd w:id="115"/>
    </w:p>
    <w:p w14:paraId="6555580C">
      <w:pPr>
        <w:pStyle w:val="41"/>
        <w:numPr>
          <w:ilvl w:val="1"/>
          <w:numId w:val="4"/>
        </w:numPr>
        <w:spacing w:line="360" w:lineRule="auto"/>
        <w:ind w:firstLine="0" w:firstLineChars="0"/>
        <w:contextualSpacing/>
        <w:textAlignment w:val="baseline"/>
        <w:outlineLvl w:val="1"/>
        <w:rPr>
          <w:sz w:val="24"/>
          <w:szCs w:val="24"/>
          <w:highlight w:val="none"/>
        </w:rPr>
      </w:pPr>
      <w:bookmarkStart w:id="116" w:name="_Toc75267929"/>
      <w:bookmarkStart w:id="117" w:name="_Toc27741"/>
      <w:bookmarkStart w:id="118" w:name="_Toc75356143"/>
      <w:r>
        <w:rPr>
          <w:rFonts w:hint="eastAsia"/>
          <w:sz w:val="24"/>
          <w:szCs w:val="24"/>
          <w:highlight w:val="none"/>
        </w:rPr>
        <w:t>向招标人提供合格的工作人员。投标人提供的燃化运行人员必须符合工种规定的要求，人员名单经双方协商、招标人认可后，不得随意调动，若工作人员发生变动，需提前通报招标人，经招标人认可后，方可实施变动。招标人有权随时考评投标人提供的项目负责人及工作人员，不合格人员投标人应立即无条件更换。</w:t>
      </w:r>
      <w:bookmarkEnd w:id="116"/>
      <w:bookmarkEnd w:id="117"/>
      <w:bookmarkEnd w:id="118"/>
    </w:p>
    <w:p w14:paraId="161FAA57">
      <w:pPr>
        <w:pStyle w:val="41"/>
        <w:numPr>
          <w:ilvl w:val="1"/>
          <w:numId w:val="4"/>
        </w:numPr>
        <w:spacing w:line="360" w:lineRule="auto"/>
        <w:ind w:firstLine="0" w:firstLineChars="0"/>
        <w:contextualSpacing/>
        <w:textAlignment w:val="baseline"/>
        <w:outlineLvl w:val="1"/>
        <w:rPr>
          <w:sz w:val="24"/>
          <w:szCs w:val="24"/>
          <w:highlight w:val="none"/>
        </w:rPr>
      </w:pPr>
      <w:bookmarkStart w:id="119" w:name="_Toc75356144"/>
      <w:bookmarkStart w:id="120" w:name="_Toc15291"/>
      <w:bookmarkStart w:id="121" w:name="_Toc75267930"/>
      <w:r>
        <w:rPr>
          <w:rFonts w:hint="eastAsia"/>
          <w:sz w:val="24"/>
          <w:szCs w:val="24"/>
          <w:highlight w:val="none"/>
        </w:rPr>
        <w:t>投标人必须服从招标人相关岗位负责人的指挥和工作安排。</w:t>
      </w:r>
      <w:bookmarkEnd w:id="119"/>
      <w:bookmarkEnd w:id="120"/>
      <w:bookmarkEnd w:id="121"/>
    </w:p>
    <w:p w14:paraId="57D692B6">
      <w:pPr>
        <w:pStyle w:val="41"/>
        <w:numPr>
          <w:ilvl w:val="1"/>
          <w:numId w:val="4"/>
        </w:numPr>
        <w:spacing w:line="360" w:lineRule="auto"/>
        <w:ind w:firstLine="0" w:firstLineChars="0"/>
        <w:contextualSpacing/>
        <w:textAlignment w:val="baseline"/>
        <w:outlineLvl w:val="1"/>
        <w:rPr>
          <w:sz w:val="24"/>
          <w:szCs w:val="24"/>
          <w:highlight w:val="none"/>
        </w:rPr>
      </w:pPr>
      <w:bookmarkStart w:id="122" w:name="_Toc75356145"/>
      <w:bookmarkStart w:id="123" w:name="_Toc75267931"/>
      <w:bookmarkStart w:id="124" w:name="_Toc21918"/>
      <w:r>
        <w:rPr>
          <w:rFonts w:hint="eastAsia"/>
          <w:sz w:val="24"/>
          <w:szCs w:val="24"/>
          <w:highlight w:val="none"/>
        </w:rPr>
        <w:t>投标人须与招标人签订全协议，进入现场前所有人员必须通过招标人组织的安全培训，并考试合格后方可进入现场作业。</w:t>
      </w:r>
      <w:bookmarkEnd w:id="122"/>
      <w:bookmarkEnd w:id="123"/>
      <w:bookmarkEnd w:id="124"/>
    </w:p>
    <w:p w14:paraId="5DC7386A">
      <w:pPr>
        <w:pStyle w:val="41"/>
        <w:numPr>
          <w:ilvl w:val="1"/>
          <w:numId w:val="4"/>
        </w:numPr>
        <w:spacing w:line="360" w:lineRule="auto"/>
        <w:ind w:firstLine="0" w:firstLineChars="0"/>
        <w:contextualSpacing/>
        <w:textAlignment w:val="baseline"/>
        <w:outlineLvl w:val="1"/>
        <w:rPr>
          <w:sz w:val="24"/>
          <w:szCs w:val="24"/>
          <w:highlight w:val="none"/>
        </w:rPr>
      </w:pPr>
      <w:bookmarkStart w:id="125" w:name="_Toc75267932"/>
      <w:bookmarkStart w:id="126" w:name="_Toc10544"/>
      <w:bookmarkStart w:id="127" w:name="_Toc75356146"/>
      <w:r>
        <w:rPr>
          <w:sz w:val="24"/>
          <w:szCs w:val="24"/>
          <w:highlight w:val="none"/>
        </w:rPr>
        <w:t>投标人必须遵守招标人安全生产的有关规定</w:t>
      </w:r>
      <w:r>
        <w:rPr>
          <w:rFonts w:hint="eastAsia"/>
          <w:sz w:val="24"/>
          <w:szCs w:val="24"/>
          <w:highlight w:val="none"/>
        </w:rPr>
        <w:t>，未经招标人同意</w:t>
      </w:r>
      <w:r>
        <w:rPr>
          <w:sz w:val="24"/>
          <w:szCs w:val="24"/>
          <w:highlight w:val="none"/>
        </w:rPr>
        <w:t>,</w:t>
      </w:r>
      <w:r>
        <w:rPr>
          <w:rFonts w:hint="eastAsia"/>
          <w:sz w:val="24"/>
          <w:szCs w:val="24"/>
          <w:highlight w:val="none"/>
        </w:rPr>
        <w:t>不得擅自实施承包范围之外的作业，不准擅自动用招标人现场的材料，若发生问题由投标人负责。</w:t>
      </w:r>
      <w:bookmarkEnd w:id="125"/>
      <w:bookmarkEnd w:id="126"/>
      <w:bookmarkEnd w:id="127"/>
    </w:p>
    <w:p w14:paraId="3ECC34B7">
      <w:pPr>
        <w:pStyle w:val="41"/>
        <w:numPr>
          <w:ilvl w:val="1"/>
          <w:numId w:val="4"/>
        </w:numPr>
        <w:spacing w:line="360" w:lineRule="auto"/>
        <w:ind w:firstLine="0" w:firstLineChars="0"/>
        <w:contextualSpacing/>
        <w:textAlignment w:val="baseline"/>
        <w:outlineLvl w:val="1"/>
        <w:rPr>
          <w:sz w:val="24"/>
          <w:szCs w:val="24"/>
          <w:highlight w:val="none"/>
        </w:rPr>
      </w:pPr>
      <w:bookmarkStart w:id="128" w:name="_Toc75356148"/>
      <w:bookmarkStart w:id="129" w:name="_Toc75267934"/>
      <w:bookmarkStart w:id="130" w:name="_Toc24380"/>
      <w:r>
        <w:rPr>
          <w:rFonts w:hint="eastAsia"/>
          <w:sz w:val="24"/>
          <w:szCs w:val="24"/>
          <w:highlight w:val="none"/>
        </w:rPr>
        <w:t>投标人负责对应急响应事件响应的及时性和有效性，按计划进度完成各项运行任务。</w:t>
      </w:r>
      <w:bookmarkEnd w:id="128"/>
      <w:bookmarkEnd w:id="129"/>
      <w:bookmarkEnd w:id="130"/>
    </w:p>
    <w:p w14:paraId="3B0F3423">
      <w:pPr>
        <w:pStyle w:val="41"/>
        <w:numPr>
          <w:ilvl w:val="1"/>
          <w:numId w:val="4"/>
        </w:numPr>
        <w:spacing w:line="360" w:lineRule="auto"/>
        <w:ind w:firstLine="0" w:firstLineChars="0"/>
        <w:contextualSpacing/>
        <w:textAlignment w:val="baseline"/>
        <w:outlineLvl w:val="1"/>
        <w:rPr>
          <w:sz w:val="24"/>
          <w:szCs w:val="24"/>
          <w:highlight w:val="none"/>
        </w:rPr>
      </w:pPr>
      <w:bookmarkStart w:id="131" w:name="_Toc75267935"/>
      <w:bookmarkStart w:id="132" w:name="_Toc75356149"/>
      <w:bookmarkStart w:id="133" w:name="_Toc11652"/>
      <w:r>
        <w:rPr>
          <w:sz w:val="24"/>
          <w:szCs w:val="24"/>
          <w:highlight w:val="none"/>
        </w:rPr>
        <w:t>投标人</w:t>
      </w:r>
      <w:r>
        <w:rPr>
          <w:rFonts w:hint="eastAsia"/>
          <w:sz w:val="24"/>
          <w:szCs w:val="24"/>
          <w:highlight w:val="none"/>
        </w:rPr>
        <w:t>运行</w:t>
      </w:r>
      <w:r>
        <w:rPr>
          <w:sz w:val="24"/>
          <w:szCs w:val="24"/>
          <w:highlight w:val="none"/>
        </w:rPr>
        <w:t>人员精心操作、爱护设备，定时定人巡回检查设备,并将设备运行状况记录在运行日志上，及时发现缺陷</w:t>
      </w:r>
      <w:r>
        <w:rPr>
          <w:rFonts w:hint="eastAsia"/>
          <w:sz w:val="24"/>
          <w:szCs w:val="24"/>
          <w:highlight w:val="none"/>
        </w:rPr>
        <w:t>。</w:t>
      </w:r>
      <w:bookmarkEnd w:id="131"/>
      <w:bookmarkEnd w:id="132"/>
      <w:bookmarkEnd w:id="133"/>
    </w:p>
    <w:p w14:paraId="514FEC85">
      <w:pPr>
        <w:pStyle w:val="41"/>
        <w:numPr>
          <w:ilvl w:val="1"/>
          <w:numId w:val="4"/>
        </w:numPr>
        <w:spacing w:line="360" w:lineRule="auto"/>
        <w:ind w:firstLine="0" w:firstLineChars="0"/>
        <w:contextualSpacing/>
        <w:textAlignment w:val="baseline"/>
        <w:outlineLvl w:val="1"/>
        <w:rPr>
          <w:sz w:val="24"/>
          <w:szCs w:val="24"/>
          <w:highlight w:val="none"/>
        </w:rPr>
      </w:pPr>
      <w:bookmarkStart w:id="134" w:name="_Toc75356150"/>
      <w:bookmarkStart w:id="135" w:name="_Toc10580"/>
      <w:bookmarkStart w:id="136" w:name="_Toc75267936"/>
      <w:r>
        <w:rPr>
          <w:rFonts w:hint="eastAsia"/>
          <w:sz w:val="24"/>
          <w:szCs w:val="24"/>
          <w:highlight w:val="none"/>
        </w:rPr>
        <w:t>投标人应当与现场人员签订劳动合同，依法参加社会保险，按月缴纳社会保险费，依法保障现场人员在社会保险、劳动用工、劳动保护、工资福利、教育培训等方面的合法权益。</w:t>
      </w:r>
      <w:bookmarkEnd w:id="134"/>
      <w:bookmarkEnd w:id="135"/>
      <w:bookmarkEnd w:id="136"/>
    </w:p>
    <w:p w14:paraId="023180F0">
      <w:pPr>
        <w:pStyle w:val="41"/>
        <w:numPr>
          <w:ilvl w:val="1"/>
          <w:numId w:val="4"/>
        </w:numPr>
        <w:spacing w:line="360" w:lineRule="auto"/>
        <w:ind w:firstLine="0" w:firstLineChars="0"/>
        <w:contextualSpacing/>
        <w:textAlignment w:val="baseline"/>
        <w:outlineLvl w:val="1"/>
        <w:rPr>
          <w:sz w:val="24"/>
          <w:szCs w:val="24"/>
          <w:highlight w:val="none"/>
        </w:rPr>
      </w:pPr>
      <w:bookmarkStart w:id="137" w:name="_Toc6683"/>
      <w:bookmarkStart w:id="138" w:name="_Toc75267937"/>
      <w:bookmarkStart w:id="139" w:name="_Toc75356151"/>
      <w:r>
        <w:rPr>
          <w:rFonts w:hint="eastAsia"/>
          <w:sz w:val="24"/>
          <w:szCs w:val="24"/>
          <w:highlight w:val="none"/>
        </w:rPr>
        <w:t>投标人根据岗位的需要，按照国家有关安全生产、劳动保护、职业卫生等规定，为现场人员提供符合规定的劳动保护设施、劳动防护用品及其他劳动保护条件（包括但不限于为现场人员购买意外伤害保险等），按照国家规定开展职业病体检。在合同履行期间，投标人人员发生工伤、职业病、死亡等事故，投标人应承担全部的责任。</w:t>
      </w:r>
      <w:bookmarkEnd w:id="137"/>
      <w:bookmarkEnd w:id="138"/>
      <w:bookmarkEnd w:id="139"/>
    </w:p>
    <w:p w14:paraId="402C29C4">
      <w:pPr>
        <w:pStyle w:val="41"/>
        <w:numPr>
          <w:ilvl w:val="1"/>
          <w:numId w:val="4"/>
        </w:numPr>
        <w:spacing w:line="360" w:lineRule="auto"/>
        <w:ind w:firstLine="0" w:firstLineChars="0"/>
        <w:contextualSpacing/>
        <w:textAlignment w:val="baseline"/>
        <w:outlineLvl w:val="1"/>
        <w:rPr>
          <w:sz w:val="24"/>
          <w:szCs w:val="24"/>
          <w:highlight w:val="none"/>
        </w:rPr>
      </w:pPr>
      <w:bookmarkStart w:id="140" w:name="_Toc4753"/>
      <w:r>
        <w:rPr>
          <w:rFonts w:hint="eastAsia"/>
          <w:sz w:val="24"/>
          <w:szCs w:val="24"/>
          <w:highlight w:val="none"/>
        </w:rPr>
        <w:t>运行倒班人员夜班前8小时的住宿可由招标人安排。</w:t>
      </w:r>
      <w:bookmarkEnd w:id="140"/>
    </w:p>
    <w:p w14:paraId="794B0EFB">
      <w:pPr>
        <w:pStyle w:val="41"/>
        <w:numPr>
          <w:ilvl w:val="1"/>
          <w:numId w:val="4"/>
        </w:numPr>
        <w:spacing w:line="360" w:lineRule="auto"/>
        <w:ind w:firstLine="0" w:firstLineChars="0"/>
        <w:contextualSpacing/>
        <w:textAlignment w:val="baseline"/>
        <w:outlineLvl w:val="1"/>
        <w:rPr>
          <w:sz w:val="24"/>
          <w:szCs w:val="24"/>
          <w:highlight w:val="none"/>
        </w:rPr>
      </w:pPr>
      <w:bookmarkStart w:id="141" w:name="_Toc75356158"/>
      <w:bookmarkStart w:id="142" w:name="_Toc8832"/>
      <w:bookmarkStart w:id="143" w:name="_Toc75267944"/>
      <w:r>
        <w:rPr>
          <w:rFonts w:hint="eastAsia"/>
          <w:sz w:val="24"/>
          <w:szCs w:val="24"/>
          <w:highlight w:val="none"/>
        </w:rPr>
        <w:t>在事故调查和分析过程中，如发现有人为破坏事故现场，隐瞒事故真相，弄虚作假的单位或个人，招标人有权对其进行考核。对情节严重的单位，招标人有权终止合同；并对情节严重的个人，招标人有权要求投标人勒令其返回原单位。</w:t>
      </w:r>
      <w:bookmarkEnd w:id="141"/>
      <w:bookmarkEnd w:id="142"/>
      <w:bookmarkEnd w:id="143"/>
    </w:p>
    <w:p w14:paraId="4F8AAEAA">
      <w:pPr>
        <w:pStyle w:val="41"/>
        <w:numPr>
          <w:ilvl w:val="1"/>
          <w:numId w:val="4"/>
        </w:numPr>
        <w:spacing w:line="360" w:lineRule="auto"/>
        <w:ind w:firstLine="0" w:firstLineChars="0"/>
        <w:contextualSpacing/>
        <w:textAlignment w:val="baseline"/>
        <w:outlineLvl w:val="1"/>
        <w:rPr>
          <w:sz w:val="24"/>
          <w:szCs w:val="24"/>
          <w:highlight w:val="none"/>
        </w:rPr>
      </w:pPr>
      <w:bookmarkStart w:id="144" w:name="_Toc14771"/>
      <w:bookmarkStart w:id="145" w:name="_Toc75267945"/>
      <w:bookmarkStart w:id="146" w:name="_Toc75356159"/>
      <w:r>
        <w:rPr>
          <w:rFonts w:hint="eastAsia"/>
          <w:sz w:val="24"/>
          <w:szCs w:val="24"/>
          <w:highlight w:val="none"/>
        </w:rPr>
        <w:t>若发生任何针对招标人的管理人员或投标人管理人员的打击报复、蓄意伤害，或针对设备、系统、仪器、仪表等公共财产故意损坏的行为，一经发现，严肃处理并对投标人处以重罚；情节严重的，招标人将交由司法机关依法追究其责任。</w:t>
      </w:r>
      <w:bookmarkEnd w:id="144"/>
      <w:bookmarkEnd w:id="145"/>
      <w:bookmarkEnd w:id="146"/>
    </w:p>
    <w:p w14:paraId="165B96C9">
      <w:pPr>
        <w:pStyle w:val="41"/>
        <w:numPr>
          <w:ilvl w:val="1"/>
          <w:numId w:val="4"/>
        </w:numPr>
        <w:spacing w:line="360" w:lineRule="auto"/>
        <w:ind w:firstLine="0" w:firstLineChars="0"/>
        <w:contextualSpacing/>
        <w:textAlignment w:val="baseline"/>
        <w:outlineLvl w:val="1"/>
        <w:rPr>
          <w:sz w:val="24"/>
          <w:szCs w:val="24"/>
          <w:highlight w:val="none"/>
        </w:rPr>
      </w:pPr>
      <w:bookmarkStart w:id="147" w:name="_Toc17992"/>
      <w:bookmarkStart w:id="148" w:name="_Toc75356160"/>
      <w:bookmarkStart w:id="149" w:name="_Toc75267946"/>
      <w:r>
        <w:rPr>
          <w:rFonts w:hint="eastAsia"/>
          <w:sz w:val="24"/>
          <w:szCs w:val="24"/>
          <w:highlight w:val="none"/>
        </w:rPr>
        <w:t>凡工作中发生人身伤亡、设备损坏事故及由此引起的一切损失，除招标人原因外均由投标人负责，并承担相应经济赔偿责任。</w:t>
      </w:r>
      <w:bookmarkEnd w:id="147"/>
      <w:bookmarkEnd w:id="148"/>
      <w:bookmarkEnd w:id="149"/>
    </w:p>
    <w:p w14:paraId="52B46D7E">
      <w:pPr>
        <w:pStyle w:val="41"/>
        <w:numPr>
          <w:ilvl w:val="1"/>
          <w:numId w:val="4"/>
        </w:numPr>
        <w:spacing w:line="360" w:lineRule="auto"/>
        <w:ind w:firstLine="0" w:firstLineChars="0"/>
        <w:contextualSpacing/>
        <w:textAlignment w:val="baseline"/>
        <w:outlineLvl w:val="1"/>
        <w:rPr>
          <w:sz w:val="24"/>
          <w:szCs w:val="24"/>
          <w:highlight w:val="none"/>
        </w:rPr>
      </w:pPr>
      <w:bookmarkStart w:id="150" w:name="_Toc75267947"/>
      <w:bookmarkStart w:id="151" w:name="_Toc29802"/>
      <w:bookmarkStart w:id="152" w:name="_Toc75356161"/>
      <w:r>
        <w:rPr>
          <w:rFonts w:hint="eastAsia"/>
          <w:sz w:val="24"/>
          <w:szCs w:val="24"/>
          <w:highlight w:val="none"/>
        </w:rPr>
        <w:t>人员应统一着装，并符合电业安全工作规程的规定。</w:t>
      </w:r>
      <w:bookmarkEnd w:id="150"/>
      <w:bookmarkEnd w:id="151"/>
      <w:bookmarkEnd w:id="152"/>
    </w:p>
    <w:p w14:paraId="6ED957C2">
      <w:pPr>
        <w:pStyle w:val="41"/>
        <w:numPr>
          <w:ilvl w:val="1"/>
          <w:numId w:val="4"/>
        </w:numPr>
        <w:spacing w:line="360" w:lineRule="auto"/>
        <w:ind w:firstLine="0" w:firstLineChars="0"/>
        <w:contextualSpacing/>
        <w:textAlignment w:val="baseline"/>
        <w:outlineLvl w:val="1"/>
        <w:rPr>
          <w:sz w:val="24"/>
          <w:szCs w:val="24"/>
          <w:highlight w:val="none"/>
        </w:rPr>
      </w:pPr>
      <w:bookmarkStart w:id="153" w:name="_Toc20243"/>
      <w:bookmarkStart w:id="154" w:name="_Toc75356162"/>
      <w:bookmarkStart w:id="155" w:name="_Toc75267948"/>
      <w:r>
        <w:rPr>
          <w:rFonts w:hint="eastAsia"/>
          <w:sz w:val="24"/>
          <w:szCs w:val="24"/>
          <w:highlight w:val="none"/>
        </w:rPr>
        <w:t>完成招标人交予的其他技术协议范围内的工作。</w:t>
      </w:r>
      <w:bookmarkEnd w:id="153"/>
      <w:bookmarkEnd w:id="154"/>
      <w:bookmarkEnd w:id="155"/>
    </w:p>
    <w:p w14:paraId="23089747">
      <w:pPr>
        <w:pStyle w:val="41"/>
        <w:numPr>
          <w:ilvl w:val="1"/>
          <w:numId w:val="4"/>
        </w:numPr>
        <w:spacing w:line="360" w:lineRule="auto"/>
        <w:ind w:firstLine="0" w:firstLineChars="0"/>
        <w:contextualSpacing/>
        <w:textAlignment w:val="baseline"/>
        <w:outlineLvl w:val="1"/>
        <w:rPr>
          <w:sz w:val="24"/>
          <w:szCs w:val="24"/>
          <w:highlight w:val="none"/>
        </w:rPr>
      </w:pPr>
      <w:bookmarkStart w:id="156" w:name="_Toc11741"/>
      <w:bookmarkStart w:id="157" w:name="_Toc75267949"/>
      <w:bookmarkStart w:id="158" w:name="_Toc75356163"/>
      <w:r>
        <w:rPr>
          <w:rFonts w:hint="eastAsia"/>
          <w:sz w:val="24"/>
          <w:szCs w:val="24"/>
          <w:highlight w:val="none"/>
        </w:rPr>
        <w:t>投标人进场前须提供进场人员身份证复印件、学历复印件以及作业人员与投标人签订的有效劳动合同复印件，经招标人审核符合要求后方可进场。</w:t>
      </w:r>
      <w:bookmarkEnd w:id="156"/>
      <w:bookmarkEnd w:id="157"/>
      <w:bookmarkEnd w:id="158"/>
    </w:p>
    <w:p w14:paraId="1BA0448E">
      <w:pPr>
        <w:pStyle w:val="4"/>
        <w:numPr>
          <w:ilvl w:val="0"/>
          <w:numId w:val="4"/>
        </w:numPr>
        <w:jc w:val="left"/>
        <w:rPr>
          <w:sz w:val="30"/>
          <w:szCs w:val="30"/>
          <w:highlight w:val="none"/>
        </w:rPr>
      </w:pPr>
      <w:bookmarkStart w:id="159" w:name="_Toc11106"/>
      <w:r>
        <w:rPr>
          <w:rFonts w:hint="eastAsia"/>
          <w:sz w:val="30"/>
          <w:szCs w:val="30"/>
          <w:highlight w:val="none"/>
        </w:rPr>
        <w:t>安全文明作业要求</w:t>
      </w:r>
      <w:bookmarkEnd w:id="159"/>
    </w:p>
    <w:p w14:paraId="6E72B32E">
      <w:pPr>
        <w:pStyle w:val="41"/>
        <w:numPr>
          <w:ilvl w:val="1"/>
          <w:numId w:val="4"/>
        </w:numPr>
        <w:spacing w:line="360" w:lineRule="auto"/>
        <w:ind w:firstLine="0" w:firstLineChars="0"/>
        <w:contextualSpacing/>
        <w:textAlignment w:val="baseline"/>
        <w:outlineLvl w:val="1"/>
        <w:rPr>
          <w:sz w:val="24"/>
          <w:szCs w:val="24"/>
          <w:highlight w:val="none"/>
        </w:rPr>
      </w:pPr>
      <w:bookmarkStart w:id="160" w:name="_Toc29334"/>
      <w:bookmarkStart w:id="161" w:name="_Toc75267951"/>
      <w:bookmarkStart w:id="162" w:name="_Toc75356165"/>
      <w:r>
        <w:rPr>
          <w:rFonts w:hint="eastAsia"/>
          <w:sz w:val="24"/>
          <w:szCs w:val="24"/>
          <w:highlight w:val="none"/>
        </w:rPr>
        <w:t>安全健康环境管理方针：以人为本，安全第一，预防为主，综合治理。</w:t>
      </w:r>
      <w:bookmarkEnd w:id="160"/>
      <w:bookmarkEnd w:id="161"/>
      <w:bookmarkEnd w:id="162"/>
    </w:p>
    <w:p w14:paraId="4150E35F">
      <w:pPr>
        <w:pStyle w:val="41"/>
        <w:numPr>
          <w:ilvl w:val="1"/>
          <w:numId w:val="4"/>
        </w:numPr>
        <w:spacing w:line="360" w:lineRule="auto"/>
        <w:ind w:firstLine="0" w:firstLineChars="0"/>
        <w:contextualSpacing/>
        <w:textAlignment w:val="baseline"/>
        <w:outlineLvl w:val="1"/>
        <w:rPr>
          <w:sz w:val="24"/>
          <w:szCs w:val="24"/>
          <w:highlight w:val="none"/>
        </w:rPr>
      </w:pPr>
      <w:bookmarkStart w:id="163" w:name="_Toc30052"/>
      <w:bookmarkStart w:id="164" w:name="_Toc75267952"/>
      <w:bookmarkStart w:id="165" w:name="_Toc75356166"/>
      <w:r>
        <w:rPr>
          <w:rFonts w:hint="eastAsia"/>
          <w:sz w:val="24"/>
          <w:szCs w:val="24"/>
          <w:highlight w:val="none"/>
        </w:rPr>
        <w:t>安全、文明作业：工具摆放必须整齐，做好安全管理工作，文明作业。</w:t>
      </w:r>
      <w:bookmarkEnd w:id="163"/>
      <w:bookmarkEnd w:id="164"/>
      <w:bookmarkEnd w:id="165"/>
    </w:p>
    <w:p w14:paraId="572F907F">
      <w:pPr>
        <w:pStyle w:val="41"/>
        <w:numPr>
          <w:ilvl w:val="1"/>
          <w:numId w:val="4"/>
        </w:numPr>
        <w:spacing w:line="360" w:lineRule="auto"/>
        <w:ind w:firstLine="0" w:firstLineChars="0"/>
        <w:contextualSpacing/>
        <w:textAlignment w:val="baseline"/>
        <w:outlineLvl w:val="1"/>
        <w:rPr>
          <w:sz w:val="24"/>
          <w:szCs w:val="24"/>
          <w:highlight w:val="none"/>
        </w:rPr>
      </w:pPr>
      <w:bookmarkStart w:id="166" w:name="_Toc75267953"/>
      <w:bookmarkStart w:id="167" w:name="_Toc23724"/>
      <w:bookmarkStart w:id="168" w:name="_Toc75356167"/>
      <w:r>
        <w:rPr>
          <w:rFonts w:hint="eastAsia"/>
          <w:sz w:val="24"/>
          <w:szCs w:val="24"/>
          <w:highlight w:val="none"/>
        </w:rPr>
        <w:t>安全目标</w:t>
      </w:r>
      <w:bookmarkEnd w:id="166"/>
      <w:r>
        <w:rPr>
          <w:rFonts w:hint="eastAsia"/>
          <w:sz w:val="24"/>
          <w:szCs w:val="24"/>
          <w:highlight w:val="none"/>
        </w:rPr>
        <w:t>（根据招标人安全目标每年签订责任书）</w:t>
      </w:r>
      <w:bookmarkEnd w:id="167"/>
      <w:bookmarkEnd w:id="168"/>
    </w:p>
    <w:p w14:paraId="56C741EF">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69" w:name="_Toc11497"/>
      <w:bookmarkStart w:id="170" w:name="_Toc75267954"/>
      <w:bookmarkStart w:id="171" w:name="_Toc75356168"/>
      <w:r>
        <w:rPr>
          <w:rFonts w:hint="eastAsia" w:ascii="宋体" w:hAnsi="宋体"/>
          <w:sz w:val="24"/>
          <w:szCs w:val="24"/>
          <w:highlight w:val="none"/>
        </w:rPr>
        <w:t>不发生人身轻伤及以上事故。</w:t>
      </w:r>
      <w:bookmarkEnd w:id="169"/>
      <w:bookmarkEnd w:id="170"/>
      <w:bookmarkEnd w:id="171"/>
    </w:p>
    <w:p w14:paraId="353959F2">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72" w:name="_Toc75267955"/>
      <w:bookmarkStart w:id="173" w:name="_Toc27236"/>
      <w:bookmarkStart w:id="174" w:name="_Toc75356169"/>
      <w:r>
        <w:rPr>
          <w:rFonts w:hint="eastAsia" w:ascii="宋体" w:hAnsi="宋体"/>
          <w:sz w:val="24"/>
          <w:szCs w:val="24"/>
          <w:highlight w:val="none"/>
        </w:rPr>
        <w:t>不发生投标人责任引起的一般及以上电力安全事故.</w:t>
      </w:r>
      <w:bookmarkEnd w:id="172"/>
      <w:bookmarkEnd w:id="173"/>
      <w:bookmarkEnd w:id="174"/>
    </w:p>
    <w:p w14:paraId="743C76DF">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75" w:name="_Toc75356170"/>
      <w:bookmarkStart w:id="176" w:name="_Toc75267956"/>
      <w:bookmarkStart w:id="177" w:name="_Toc9745"/>
      <w:r>
        <w:rPr>
          <w:rFonts w:hint="eastAsia" w:ascii="宋体" w:hAnsi="宋体"/>
          <w:sz w:val="24"/>
          <w:szCs w:val="24"/>
          <w:highlight w:val="none"/>
        </w:rPr>
        <w:t>不发生投标人责任引起的火险及以上事件。</w:t>
      </w:r>
      <w:bookmarkEnd w:id="175"/>
      <w:bookmarkEnd w:id="176"/>
      <w:bookmarkEnd w:id="177"/>
    </w:p>
    <w:p w14:paraId="4EA940AC">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78" w:name="_Toc75267957"/>
      <w:bookmarkStart w:id="179" w:name="_Toc23193"/>
      <w:bookmarkStart w:id="180" w:name="_Toc75356171"/>
      <w:r>
        <w:rPr>
          <w:rFonts w:hint="eastAsia" w:ascii="宋体" w:hAnsi="宋体"/>
          <w:sz w:val="24"/>
          <w:szCs w:val="24"/>
          <w:highlight w:val="none"/>
        </w:rPr>
        <w:t>不发生投标人责任引起的非计划停机事故。</w:t>
      </w:r>
      <w:bookmarkEnd w:id="178"/>
      <w:bookmarkEnd w:id="179"/>
      <w:bookmarkEnd w:id="180"/>
    </w:p>
    <w:p w14:paraId="4E22E378">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81" w:name="_Toc75267958"/>
      <w:bookmarkStart w:id="182" w:name="_Toc31364"/>
      <w:bookmarkStart w:id="183" w:name="_Toc75356172"/>
      <w:r>
        <w:rPr>
          <w:rFonts w:hint="eastAsia" w:ascii="宋体" w:hAnsi="宋体"/>
          <w:sz w:val="24"/>
          <w:szCs w:val="24"/>
          <w:highlight w:val="none"/>
        </w:rPr>
        <w:t>不发生投标人责任引起的一般及以上交通责任事故。</w:t>
      </w:r>
      <w:bookmarkEnd w:id="181"/>
      <w:bookmarkEnd w:id="182"/>
      <w:bookmarkEnd w:id="183"/>
    </w:p>
    <w:p w14:paraId="2B7D5C65">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84" w:name="_Toc17838"/>
      <w:bookmarkStart w:id="185" w:name="_Toc75267959"/>
      <w:bookmarkStart w:id="186" w:name="_Toc75356173"/>
      <w:r>
        <w:rPr>
          <w:rFonts w:hint="eastAsia" w:ascii="宋体" w:hAnsi="宋体"/>
          <w:sz w:val="24"/>
          <w:szCs w:val="24"/>
          <w:highlight w:val="none"/>
        </w:rPr>
        <w:t>不发生职业病病例。</w:t>
      </w:r>
      <w:bookmarkEnd w:id="184"/>
      <w:bookmarkEnd w:id="185"/>
      <w:bookmarkEnd w:id="186"/>
    </w:p>
    <w:p w14:paraId="034E5474">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87" w:name="_Toc31010"/>
      <w:r>
        <w:rPr>
          <w:rFonts w:hint="eastAsia" w:ascii="宋体" w:hAnsi="宋体"/>
          <w:sz w:val="24"/>
          <w:szCs w:val="24"/>
          <w:highlight w:val="none"/>
        </w:rPr>
        <w:t>不发生误操作。</w:t>
      </w:r>
      <w:bookmarkEnd w:id="187"/>
    </w:p>
    <w:p w14:paraId="6F0A9DBC">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88" w:name="_Toc7901"/>
      <w:bookmarkStart w:id="189" w:name="_Toc75267960"/>
      <w:bookmarkStart w:id="190" w:name="_Toc75356174"/>
      <w:r>
        <w:rPr>
          <w:rFonts w:hint="eastAsia" w:ascii="宋体" w:hAnsi="宋体"/>
          <w:sz w:val="24"/>
          <w:szCs w:val="24"/>
          <w:highlight w:val="none"/>
        </w:rPr>
        <w:t>不发生投标人责任引起的一般以上环境污染事件，不发生环保行政处罚事件或有社会影响的环保事件。</w:t>
      </w:r>
      <w:bookmarkEnd w:id="188"/>
      <w:bookmarkEnd w:id="189"/>
      <w:bookmarkEnd w:id="190"/>
    </w:p>
    <w:p w14:paraId="05522CF7">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91" w:name="_Toc12440"/>
      <w:bookmarkStart w:id="192" w:name="_Toc75267961"/>
      <w:bookmarkStart w:id="193" w:name="_Toc75356175"/>
      <w:r>
        <w:rPr>
          <w:rFonts w:hint="eastAsia" w:ascii="宋体" w:hAnsi="宋体"/>
          <w:sz w:val="24"/>
          <w:szCs w:val="24"/>
          <w:highlight w:val="none"/>
        </w:rPr>
        <w:t>不发生投标人责任引起的较大以上网络安全事件。</w:t>
      </w:r>
      <w:bookmarkEnd w:id="191"/>
      <w:bookmarkEnd w:id="192"/>
      <w:bookmarkEnd w:id="193"/>
    </w:p>
    <w:p w14:paraId="3C93A6EB">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94" w:name="_Toc26902"/>
      <w:bookmarkStart w:id="195" w:name="_Toc75267962"/>
      <w:bookmarkStart w:id="196" w:name="_Toc75356176"/>
      <w:r>
        <w:rPr>
          <w:rFonts w:hint="eastAsia" w:ascii="宋体" w:hAnsi="宋体"/>
          <w:sz w:val="24"/>
          <w:szCs w:val="24"/>
          <w:highlight w:val="none"/>
        </w:rPr>
        <w:t>不发生投标人责任引起的重大社会影响的其他安全生产事故（事件）、群体事件。</w:t>
      </w:r>
      <w:bookmarkEnd w:id="194"/>
      <w:bookmarkEnd w:id="195"/>
      <w:bookmarkEnd w:id="196"/>
    </w:p>
    <w:p w14:paraId="07775F24">
      <w:pPr>
        <w:pStyle w:val="41"/>
        <w:numPr>
          <w:ilvl w:val="2"/>
          <w:numId w:val="4"/>
        </w:numPr>
        <w:spacing w:line="360" w:lineRule="auto"/>
        <w:ind w:firstLine="0" w:firstLineChars="0"/>
        <w:contextualSpacing/>
        <w:textAlignment w:val="baseline"/>
        <w:outlineLvl w:val="1"/>
        <w:rPr>
          <w:rFonts w:hint="eastAsia" w:ascii="宋体" w:hAnsi="宋体"/>
          <w:sz w:val="24"/>
          <w:szCs w:val="24"/>
          <w:highlight w:val="none"/>
        </w:rPr>
      </w:pPr>
      <w:bookmarkStart w:id="197" w:name="_Toc75267963"/>
      <w:bookmarkStart w:id="198" w:name="_Toc75356177"/>
      <w:bookmarkStart w:id="199" w:name="_Toc21308"/>
      <w:r>
        <w:rPr>
          <w:rFonts w:hint="eastAsia" w:ascii="宋体" w:hAnsi="宋体"/>
          <w:sz w:val="24"/>
          <w:szCs w:val="24"/>
          <w:highlight w:val="none"/>
        </w:rPr>
        <w:t>提高设备的健康水平，实现全年设备的安全运行。</w:t>
      </w:r>
      <w:bookmarkEnd w:id="197"/>
      <w:bookmarkEnd w:id="198"/>
      <w:bookmarkEnd w:id="199"/>
    </w:p>
    <w:p w14:paraId="09898C6C">
      <w:pPr>
        <w:pStyle w:val="4"/>
        <w:numPr>
          <w:ilvl w:val="0"/>
          <w:numId w:val="4"/>
        </w:numPr>
        <w:jc w:val="left"/>
        <w:rPr>
          <w:sz w:val="30"/>
          <w:szCs w:val="30"/>
          <w:highlight w:val="none"/>
        </w:rPr>
      </w:pPr>
      <w:bookmarkStart w:id="200" w:name="_Toc982"/>
      <w:r>
        <w:rPr>
          <w:rFonts w:hint="eastAsia"/>
          <w:sz w:val="30"/>
          <w:szCs w:val="30"/>
          <w:highlight w:val="none"/>
        </w:rPr>
        <w:t>管理考核</w:t>
      </w:r>
      <w:bookmarkEnd w:id="200"/>
      <w:bookmarkStart w:id="201" w:name="_Toc75356179"/>
    </w:p>
    <w:p w14:paraId="7CDCC261">
      <w:pPr>
        <w:pStyle w:val="41"/>
        <w:spacing w:line="360" w:lineRule="auto"/>
        <w:ind w:firstLine="480"/>
        <w:contextualSpacing/>
        <w:textAlignment w:val="baseline"/>
        <w:outlineLvl w:val="1"/>
        <w:rPr>
          <w:rFonts w:hint="eastAsia" w:ascii="宋体" w:hAnsi="宋体"/>
          <w:sz w:val="24"/>
          <w:szCs w:val="24"/>
          <w:highlight w:val="none"/>
        </w:rPr>
      </w:pPr>
      <w:bookmarkStart w:id="202" w:name="_Toc26393"/>
      <w:r>
        <w:rPr>
          <w:rFonts w:hint="eastAsia" w:ascii="宋体" w:hAnsi="宋体"/>
          <w:sz w:val="24"/>
          <w:szCs w:val="24"/>
          <w:highlight w:val="none"/>
        </w:rPr>
        <w:t>按招标人制度要求进行考核。</w:t>
      </w:r>
      <w:bookmarkEnd w:id="201"/>
      <w:bookmarkEnd w:id="202"/>
    </w:p>
    <w:p w14:paraId="3C19F774">
      <w:pPr>
        <w:pStyle w:val="4"/>
        <w:numPr>
          <w:ilvl w:val="0"/>
          <w:numId w:val="4"/>
        </w:numPr>
        <w:jc w:val="left"/>
        <w:rPr>
          <w:sz w:val="30"/>
          <w:szCs w:val="30"/>
          <w:highlight w:val="none"/>
        </w:rPr>
      </w:pPr>
      <w:bookmarkStart w:id="203" w:name="_Toc22416"/>
      <w:r>
        <w:rPr>
          <w:rFonts w:hint="eastAsia"/>
          <w:sz w:val="30"/>
          <w:szCs w:val="30"/>
          <w:highlight w:val="none"/>
        </w:rPr>
        <w:t>人员进场要求</w:t>
      </w:r>
      <w:bookmarkEnd w:id="203"/>
    </w:p>
    <w:p w14:paraId="4B36EC7D">
      <w:pPr>
        <w:pStyle w:val="41"/>
        <w:spacing w:line="360" w:lineRule="auto"/>
        <w:ind w:firstLine="480"/>
        <w:contextualSpacing/>
        <w:textAlignment w:val="baseline"/>
        <w:outlineLvl w:val="1"/>
        <w:rPr>
          <w:rFonts w:hint="eastAsia" w:ascii="宋体" w:hAnsi="宋体"/>
          <w:sz w:val="24"/>
          <w:szCs w:val="24"/>
          <w:highlight w:val="none"/>
        </w:rPr>
      </w:pPr>
      <w:bookmarkStart w:id="204" w:name="_Toc2839"/>
      <w:r>
        <w:rPr>
          <w:rFonts w:hint="eastAsia" w:ascii="宋体" w:hAnsi="宋体"/>
          <w:sz w:val="24"/>
          <w:szCs w:val="24"/>
          <w:highlight w:val="none"/>
        </w:rPr>
        <w:t>合同签订后15个日历天内进场。</w:t>
      </w:r>
      <w:bookmarkEnd w:id="204"/>
    </w:p>
    <w:p w14:paraId="151B5EF7">
      <w:pPr>
        <w:pStyle w:val="4"/>
        <w:numPr>
          <w:ilvl w:val="0"/>
          <w:numId w:val="4"/>
        </w:numPr>
        <w:jc w:val="left"/>
        <w:rPr>
          <w:sz w:val="30"/>
          <w:szCs w:val="30"/>
          <w:highlight w:val="none"/>
        </w:rPr>
      </w:pPr>
      <w:bookmarkStart w:id="205" w:name="_Toc9899"/>
      <w:r>
        <w:rPr>
          <w:rFonts w:hint="eastAsia"/>
          <w:sz w:val="30"/>
          <w:szCs w:val="30"/>
          <w:highlight w:val="none"/>
        </w:rPr>
        <w:t>服务期限</w:t>
      </w:r>
      <w:bookmarkEnd w:id="205"/>
    </w:p>
    <w:p w14:paraId="5616DE41">
      <w:pPr>
        <w:rPr>
          <w:rFonts w:hint="eastAsia"/>
          <w:highlight w:val="none"/>
        </w:rPr>
      </w:pPr>
      <w:r>
        <w:rPr>
          <w:rFonts w:hint="eastAsia"/>
          <w:highlight w:val="none"/>
        </w:rPr>
        <w:t>本次项目服务期限为2025.5~2027.4，累计2年（24个月）。</w:t>
      </w:r>
    </w:p>
    <w:p w14:paraId="5E4C5879">
      <w:pPr>
        <w:adjustRightInd w:val="0"/>
        <w:snapToGrid w:val="0"/>
        <w:spacing w:line="360" w:lineRule="auto"/>
        <w:ind w:firstLine="480" w:firstLineChars="200"/>
        <w:rPr>
          <w:rFonts w:hint="eastAsia" w:ascii="宋体" w:hAnsi="宋体"/>
          <w:highlight w:val="none"/>
        </w:rPr>
      </w:pPr>
    </w:p>
    <w:p w14:paraId="31EB0122">
      <w:pPr>
        <w:adjustRightInd w:val="0"/>
        <w:snapToGrid w:val="0"/>
        <w:spacing w:line="360" w:lineRule="auto"/>
        <w:ind w:firstLine="480" w:firstLineChars="200"/>
        <w:rPr>
          <w:rFonts w:hint="eastAsia" w:ascii="宋体" w:hAnsi="宋体"/>
          <w:highlight w:val="none"/>
        </w:rPr>
      </w:pPr>
    </w:p>
    <w:p w14:paraId="1F9753C3">
      <w:pPr>
        <w:adjustRightInd w:val="0"/>
        <w:snapToGrid w:val="0"/>
        <w:spacing w:line="360" w:lineRule="auto"/>
        <w:ind w:firstLine="480" w:firstLineChars="200"/>
        <w:rPr>
          <w:rFonts w:hint="eastAsia" w:ascii="宋体" w:hAnsi="宋体"/>
          <w:highlight w:val="none"/>
        </w:rPr>
      </w:pPr>
    </w:p>
    <w:p w14:paraId="0B753496">
      <w:pPr>
        <w:adjustRightInd w:val="0"/>
        <w:snapToGrid w:val="0"/>
        <w:spacing w:line="360" w:lineRule="auto"/>
        <w:ind w:firstLine="480" w:firstLineChars="200"/>
        <w:rPr>
          <w:rFonts w:hint="eastAsia" w:ascii="宋体" w:hAnsi="宋体"/>
          <w:highlight w:val="none"/>
        </w:rPr>
      </w:pPr>
    </w:p>
    <w:p w14:paraId="2A6F22AE">
      <w:pPr>
        <w:adjustRightInd w:val="0"/>
        <w:snapToGrid w:val="0"/>
        <w:spacing w:line="360" w:lineRule="auto"/>
        <w:ind w:firstLine="480" w:firstLineChars="200"/>
        <w:rPr>
          <w:rFonts w:hint="eastAsia" w:ascii="宋体" w:hAnsi="宋体"/>
          <w:highlight w:val="none"/>
        </w:rPr>
      </w:pPr>
    </w:p>
    <w:p w14:paraId="04922BEE">
      <w:pPr>
        <w:adjustRightInd w:val="0"/>
        <w:snapToGrid w:val="0"/>
        <w:spacing w:line="360" w:lineRule="auto"/>
        <w:ind w:firstLine="480" w:firstLineChars="200"/>
        <w:rPr>
          <w:rFonts w:hint="eastAsia" w:ascii="宋体" w:hAnsi="宋体"/>
          <w:highlight w:val="none"/>
        </w:rPr>
      </w:pPr>
    </w:p>
    <w:p w14:paraId="76ABFE35">
      <w:pPr>
        <w:adjustRightInd w:val="0"/>
        <w:snapToGrid w:val="0"/>
        <w:spacing w:line="360" w:lineRule="auto"/>
        <w:ind w:firstLine="480" w:firstLineChars="200"/>
        <w:rPr>
          <w:rFonts w:hint="eastAsia" w:ascii="宋体" w:hAnsi="宋体"/>
          <w:highlight w:val="none"/>
        </w:rPr>
      </w:pPr>
    </w:p>
    <w:p w14:paraId="3F4432A9">
      <w:pPr>
        <w:adjustRightInd w:val="0"/>
        <w:snapToGrid w:val="0"/>
        <w:spacing w:line="360" w:lineRule="auto"/>
        <w:ind w:firstLine="480" w:firstLineChars="200"/>
        <w:rPr>
          <w:rFonts w:hint="eastAsia" w:ascii="宋体" w:hAnsi="宋体"/>
          <w:highlight w:val="none"/>
        </w:rPr>
      </w:pPr>
    </w:p>
    <w:p w14:paraId="36585D87">
      <w:pPr>
        <w:adjustRightInd w:val="0"/>
        <w:snapToGrid w:val="0"/>
        <w:spacing w:line="360" w:lineRule="auto"/>
        <w:ind w:firstLine="480" w:firstLineChars="200"/>
        <w:rPr>
          <w:rFonts w:hint="eastAsia" w:ascii="宋体" w:hAnsi="宋体"/>
          <w:highlight w:val="none"/>
        </w:rPr>
      </w:pPr>
    </w:p>
    <w:p w14:paraId="7708DF9A">
      <w:pPr>
        <w:adjustRightInd w:val="0"/>
        <w:snapToGrid w:val="0"/>
        <w:spacing w:line="360" w:lineRule="auto"/>
        <w:ind w:firstLine="480" w:firstLineChars="200"/>
        <w:rPr>
          <w:rFonts w:hint="eastAsia" w:ascii="宋体" w:hAnsi="宋体"/>
          <w:highlight w:val="none"/>
        </w:rPr>
      </w:pPr>
    </w:p>
    <w:p w14:paraId="2A7715CD">
      <w:pPr>
        <w:adjustRightInd w:val="0"/>
        <w:snapToGrid w:val="0"/>
        <w:spacing w:line="360" w:lineRule="auto"/>
        <w:ind w:firstLine="480" w:firstLineChars="200"/>
        <w:rPr>
          <w:rFonts w:hint="eastAsia" w:ascii="宋体" w:hAnsi="宋体"/>
          <w:highlight w:val="none"/>
        </w:rPr>
      </w:pPr>
    </w:p>
    <w:p w14:paraId="5935E7E2">
      <w:pPr>
        <w:autoSpaceDE w:val="0"/>
        <w:autoSpaceDN w:val="0"/>
        <w:spacing w:line="360" w:lineRule="auto"/>
        <w:rPr>
          <w:rFonts w:hint="eastAsia" w:ascii="宋体" w:hAnsi="宋体"/>
          <w:b/>
          <w:highlight w:val="none"/>
        </w:rPr>
      </w:pPr>
    </w:p>
    <w:sectPr>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体+′">
    <w:altName w:val="黑体"/>
    <w:panose1 w:val="00000000000000000000"/>
    <w:charset w:val="86"/>
    <w:family w:val="auto"/>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ºÚÌå">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ECE4F">
    <w:pPr>
      <w:pStyle w:val="17"/>
      <w:jc w:val="center"/>
    </w:pPr>
  </w:p>
  <w:p w14:paraId="712DA37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7CA93">
    <w:pPr>
      <w:pStyle w:val="17"/>
      <w:framePr w:wrap="around" w:vAnchor="text" w:hAnchor="margin" w:xAlign="center" w:y="1"/>
      <w:ind w:firstLine="180"/>
      <w:rPr>
        <w:rStyle w:val="28"/>
      </w:rPr>
    </w:pPr>
    <w:r>
      <w:fldChar w:fldCharType="begin"/>
    </w:r>
    <w:r>
      <w:rPr>
        <w:rStyle w:val="28"/>
      </w:rPr>
      <w:instrText xml:space="preserve">PAGE  </w:instrText>
    </w:r>
    <w:r>
      <w:fldChar w:fldCharType="end"/>
    </w:r>
  </w:p>
  <w:p w14:paraId="42233455">
    <w:pPr>
      <w:pStyle w:val="17"/>
      <w:ind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B9AF8">
    <w:pPr>
      <w:pStyle w:val="17"/>
      <w:ind w:firstLine="180"/>
      <w:jc w:val="center"/>
    </w:pPr>
    <w:r>
      <w:fldChar w:fldCharType="begin"/>
    </w:r>
    <w:r>
      <w:rPr>
        <w:rStyle w:val="28"/>
      </w:rPr>
      <w:instrText xml:space="preserve"> PAGE </w:instrText>
    </w:r>
    <w:r>
      <w:fldChar w:fldCharType="separate"/>
    </w:r>
    <w:r>
      <w:rPr>
        <w:rStyle w:val="28"/>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B01C2">
    <w:pPr>
      <w:pStyle w:val="17"/>
      <w:jc w:val="both"/>
    </w:pPr>
  </w:p>
  <w:p w14:paraId="317F4E1D">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F637A">
    <w:pPr>
      <w:pStyle w:val="17"/>
      <w:jc w:val="both"/>
    </w:pPr>
  </w:p>
  <w:p w14:paraId="4BC7FF3C">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F74E6">
    <w:pPr>
      <w:pStyle w:val="1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CF9929">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4CF9929">
                    <w:pPr>
                      <w:pStyle w:val="17"/>
                    </w:pPr>
                    <w:r>
                      <w:fldChar w:fldCharType="begin"/>
                    </w:r>
                    <w:r>
                      <w:instrText xml:space="preserve"> PAGE  \* MERGEFORMAT </w:instrText>
                    </w:r>
                    <w:r>
                      <w:fldChar w:fldCharType="separate"/>
                    </w:r>
                    <w:r>
                      <w:t>1</w:t>
                    </w:r>
                    <w:r>
                      <w:fldChar w:fldCharType="end"/>
                    </w:r>
                  </w:p>
                </w:txbxContent>
              </v:textbox>
            </v:shape>
          </w:pict>
        </mc:Fallback>
      </mc:AlternateContent>
    </w:r>
  </w:p>
  <w:p w14:paraId="58645B3E">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8B7AB">
    <w:pPr>
      <w:pStyle w:val="18"/>
      <w:framePr w:wrap="around" w:vAnchor="text" w:hAnchor="margin" w:xAlign="center" w:y="1"/>
      <w:ind w:firstLine="180"/>
      <w:rPr>
        <w:rStyle w:val="28"/>
      </w:rPr>
    </w:pPr>
    <w:r>
      <w:fldChar w:fldCharType="begin"/>
    </w:r>
    <w:r>
      <w:rPr>
        <w:rStyle w:val="28"/>
      </w:rPr>
      <w:instrText xml:space="preserve">PAGE  </w:instrText>
    </w:r>
    <w:r>
      <w:fldChar w:fldCharType="end"/>
    </w:r>
  </w:p>
  <w:p w14:paraId="199ADD49">
    <w:pPr>
      <w:pStyle w:val="18"/>
      <w:ind w:firstLine="1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73DC1"/>
    <w:multiLevelType w:val="multilevel"/>
    <w:tmpl w:val="1E973DC1"/>
    <w:lvl w:ilvl="0" w:tentative="0">
      <w:start w:val="1"/>
      <w:numFmt w:val="decimal"/>
      <w:lvlText w:val="%1"/>
      <w:lvlJc w:val="left"/>
      <w:pPr>
        <w:ind w:left="0" w:firstLine="0"/>
      </w:pPr>
      <w:rPr>
        <w:rFonts w:hint="default"/>
      </w:rPr>
    </w:lvl>
    <w:lvl w:ilvl="1" w:tentative="0">
      <w:start w:val="1"/>
      <w:numFmt w:val="decimal"/>
      <w:lvlText w:val="%1.%2"/>
      <w:lvlJc w:val="left"/>
      <w:pPr>
        <w:ind w:left="0" w:firstLine="200"/>
      </w:pPr>
      <w:rPr>
        <w:rFonts w:hint="default" w:ascii="Times New Roman" w:hAnsi="Times New Roman" w:eastAsia="宋体"/>
        <w:b w:val="0"/>
        <w:i w:val="0"/>
        <w:caps w:val="0"/>
        <w:strike w:val="0"/>
        <w:dstrike w:val="0"/>
        <w:vanish w:val="0"/>
        <w:color w:val="000000"/>
        <w:sz w:val="24"/>
        <w:vertAlign w:val="baseline"/>
      </w:rPr>
    </w:lvl>
    <w:lvl w:ilvl="2" w:tentative="0">
      <w:start w:val="1"/>
      <w:numFmt w:val="decimal"/>
      <w:lvlText w:val="%1.%2.%3"/>
      <w:lvlJc w:val="left"/>
      <w:pPr>
        <w:ind w:left="0" w:firstLine="400"/>
      </w:pPr>
      <w:rPr>
        <w:rFonts w:hint="default"/>
        <w:b w:val="0"/>
      </w:rPr>
    </w:lvl>
    <w:lvl w:ilvl="3" w:tentative="0">
      <w:start w:val="1"/>
      <w:numFmt w:val="decimal"/>
      <w:lvlText w:val="%1.%2.%3.%4"/>
      <w:lvlJc w:val="left"/>
      <w:pPr>
        <w:ind w:left="0" w:firstLine="400"/>
      </w:pPr>
      <w:rPr>
        <w:rFonts w:hint="default"/>
        <w:b w:val="0"/>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abstractNum w:abstractNumId="1">
    <w:nsid w:val="372A8358"/>
    <w:multiLevelType w:val="multilevel"/>
    <w:tmpl w:val="372A8358"/>
    <w:lvl w:ilvl="0" w:tentative="0">
      <w:start w:val="1"/>
      <w:numFmt w:val="decimal"/>
      <w:lvlText w:val="%1"/>
      <w:lvlJc w:val="left"/>
      <w:pPr>
        <w:tabs>
          <w:tab w:val="left" w:pos="360"/>
        </w:tabs>
        <w:ind w:left="360" w:hanging="360"/>
      </w:pPr>
      <w:rPr>
        <w:rFonts w:hint="eastAsia" w:ascii="黑体" w:hAnsi="宋体" w:eastAsia="黑体"/>
        <w:b w:val="0"/>
        <w:i w:val="0"/>
        <w:sz w:val="24"/>
        <w:szCs w:val="24"/>
      </w:rPr>
    </w:lvl>
    <w:lvl w:ilvl="1" w:tentative="0">
      <w:start w:val="1"/>
      <w:numFmt w:val="decimal"/>
      <w:lvlText w:val="%1.%2"/>
      <w:lvlJc w:val="left"/>
      <w:pPr>
        <w:tabs>
          <w:tab w:val="left" w:pos="465"/>
        </w:tabs>
        <w:ind w:left="465" w:hanging="465"/>
      </w:pPr>
      <w:rPr>
        <w:rFonts w:hint="default" w:ascii="黑体" w:hAnsi="黑体" w:eastAsia="黑体" w:cs="宋体"/>
      </w:rPr>
    </w:lvl>
    <w:lvl w:ilvl="2" w:tentative="0">
      <w:start w:val="1"/>
      <w:numFmt w:val="decimal"/>
      <w:pStyle w:val="6"/>
      <w:lvlText w:val="%1.%2.%3"/>
      <w:lvlJc w:val="left"/>
      <w:pPr>
        <w:tabs>
          <w:tab w:val="left" w:pos="720"/>
        </w:tabs>
        <w:ind w:left="720" w:hanging="720"/>
      </w:pPr>
      <w:rPr>
        <w:rFonts w:hint="default" w:ascii="黑体" w:hAnsi="黑体" w:eastAsia="黑体" w:cs="Times New Roman"/>
        <w:b w:val="0"/>
        <w:bCs w:val="0"/>
        <w:i w:val="0"/>
        <w:iCs w:val="0"/>
        <w:caps w:val="0"/>
        <w:smallCaps w:val="0"/>
        <w:strike w:val="0"/>
        <w:dstrike w:val="0"/>
        <w:vanish w:val="0"/>
        <w:spacing w:val="0"/>
        <w:position w:val="0"/>
        <w:sz w:val="21"/>
        <w:szCs w:val="21"/>
        <w:u w:val="none"/>
        <w:vertAlign w:val="baseline"/>
      </w:rPr>
    </w:lvl>
    <w:lvl w:ilvl="3" w:tentative="0">
      <w:start w:val="1"/>
      <w:numFmt w:val="decimal"/>
      <w:lvlText w:val="%1.%2.%3.%4"/>
      <w:lvlJc w:val="left"/>
      <w:pPr>
        <w:tabs>
          <w:tab w:val="left" w:pos="1080"/>
        </w:tabs>
        <w:ind w:left="1080" w:hanging="1080"/>
      </w:pPr>
      <w:rPr>
        <w:rFonts w:hint="default" w:ascii="黑体" w:hAnsi="黑体" w:eastAsia="黑体" w:cs="Times New Roman"/>
        <w:b w:val="0"/>
        <w:bCs w:val="0"/>
        <w:i w:val="0"/>
        <w:iCs w:val="0"/>
        <w:caps w:val="0"/>
        <w:smallCaps w:val="0"/>
        <w:strike w:val="0"/>
        <w:dstrike w:val="0"/>
        <w:vanish w:val="0"/>
        <w:spacing w:val="0"/>
        <w:position w:val="0"/>
        <w:sz w:val="21"/>
        <w:szCs w:val="21"/>
        <w:u w:val="none"/>
        <w:vertAlign w:val="baseline"/>
      </w:rPr>
    </w:lvl>
    <w:lvl w:ilvl="4" w:tentative="0">
      <w:start w:val="1"/>
      <w:numFmt w:val="decimal"/>
      <w:lvlText w:val="%5)"/>
      <w:lvlJc w:val="left"/>
      <w:pPr>
        <w:tabs>
          <w:tab w:val="left" w:pos="420"/>
        </w:tabs>
        <w:ind w:left="420" w:hanging="420"/>
      </w:pPr>
      <w:rPr>
        <w:rFonts w:hint="eastAsia" w:ascii="宋体" w:hAnsi="宋体" w:eastAsia="宋体"/>
        <w:b w:val="0"/>
        <w:i w:val="0"/>
        <w:iCs w:val="0"/>
        <w:caps w:val="0"/>
        <w:smallCaps w:val="0"/>
        <w:strike w:val="0"/>
        <w:dstrike w:val="0"/>
        <w:vanish w:val="0"/>
        <w:spacing w:val="0"/>
        <w:kern w:val="0"/>
        <w:position w:val="0"/>
        <w:u w:val="none"/>
        <w:vertAlign w:val="baseline"/>
      </w:rPr>
    </w:lvl>
    <w:lvl w:ilvl="5" w:tentative="0">
      <w:start w:val="1"/>
      <w:numFmt w:val="lowerLetter"/>
      <w:lvlText w:val="%6"/>
      <w:lvlJc w:val="left"/>
      <w:pPr>
        <w:tabs>
          <w:tab w:val="left" w:pos="1440"/>
        </w:tabs>
        <w:ind w:left="1440" w:hanging="1440"/>
      </w:pPr>
      <w:rPr>
        <w:rFonts w:hint="eastAsia"/>
        <w:b w:val="0"/>
        <w:i w:val="0"/>
        <w:iCs w:val="0"/>
        <w:caps w:val="0"/>
        <w:smallCaps w:val="0"/>
        <w:strike w:val="0"/>
        <w:dstrike w:val="0"/>
        <w:vanish w:val="0"/>
        <w:spacing w:val="0"/>
        <w:kern w:val="0"/>
        <w:position w:val="0"/>
        <w:u w:val="none"/>
        <w:vertAlign w:val="baseline"/>
      </w:rPr>
    </w:lvl>
    <w:lvl w:ilvl="6" w:tentative="0">
      <w:start w:val="1"/>
      <w:numFmt w:val="upperRoman"/>
      <w:lvlText w:val="%7."/>
      <w:lvlJc w:val="left"/>
      <w:pPr>
        <w:tabs>
          <w:tab w:val="left" w:pos="1440"/>
        </w:tabs>
        <w:ind w:left="1440" w:hanging="1440"/>
      </w:pPr>
      <w:rPr>
        <w:rFonts w:hint="eastAsia"/>
        <w:b w:val="0"/>
        <w:i w:val="0"/>
        <w:iCs w:val="0"/>
        <w:caps w:val="0"/>
        <w:smallCaps w:val="0"/>
        <w:strike w:val="0"/>
        <w:dstrike w:val="0"/>
        <w:vanish w:val="0"/>
        <w:spacing w:val="0"/>
        <w:kern w:val="0"/>
        <w:position w:val="0"/>
        <w:u w:val="none"/>
        <w:vertAlign w:val="baseline"/>
      </w:rPr>
    </w:lvl>
    <w:lvl w:ilvl="7" w:tentative="0">
      <w:start w:val="1"/>
      <w:numFmt w:val="decimal"/>
      <w:lvlText w:val="%1.%2.%3.%4.%5.%6.%7.%8"/>
      <w:lvlJc w:val="left"/>
      <w:pPr>
        <w:tabs>
          <w:tab w:val="left" w:pos="1800"/>
        </w:tabs>
        <w:ind w:left="1800" w:hanging="1800"/>
      </w:pPr>
      <w:rPr>
        <w:rFonts w:hint="eastAsia" w:ascii="黑体" w:hAnsi="Times New Roman" w:eastAsia="黑体"/>
      </w:rPr>
    </w:lvl>
    <w:lvl w:ilvl="8" w:tentative="0">
      <w:start w:val="1"/>
      <w:numFmt w:val="decimal"/>
      <w:lvlText w:val="%1.%2.%3.%4.%5.%6.%7.%8.%9"/>
      <w:lvlJc w:val="left"/>
      <w:pPr>
        <w:tabs>
          <w:tab w:val="left" w:pos="1800"/>
        </w:tabs>
        <w:ind w:left="1800" w:hanging="1800"/>
      </w:pPr>
      <w:rPr>
        <w:rFonts w:hint="eastAsia" w:ascii="黑体" w:hAnsi="Times New Roman" w:eastAsia="黑体"/>
      </w:rPr>
    </w:lvl>
  </w:abstractNum>
  <w:abstractNum w:abstractNumId="2">
    <w:nsid w:val="6DE37B95"/>
    <w:multiLevelType w:val="multilevel"/>
    <w:tmpl w:val="6DE37B95"/>
    <w:lvl w:ilvl="0" w:tentative="0">
      <w:start w:val="1"/>
      <w:numFmt w:val="decimal"/>
      <w:lvlText w:val="1.4.5.%1"/>
      <w:lvlJc w:val="left"/>
      <w:pPr>
        <w:tabs>
          <w:tab w:val="left" w:pos="720"/>
        </w:tabs>
        <w:ind w:left="0" w:firstLine="0"/>
      </w:pPr>
      <w:rPr>
        <w:rFonts w:hint="eastAsia"/>
      </w:rPr>
    </w:lvl>
    <w:lvl w:ilvl="1" w:tentative="0">
      <w:start w:val="1"/>
      <w:numFmt w:val="decimal"/>
      <w:pStyle w:val="51"/>
      <w:lvlText w:val="%1.%2"/>
      <w:lvlJc w:val="left"/>
      <w:pPr>
        <w:tabs>
          <w:tab w:val="left" w:pos="360"/>
        </w:tabs>
        <w:ind w:left="0" w:firstLine="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
    <w:nsid w:val="74F53DD4"/>
    <w:multiLevelType w:val="multilevel"/>
    <w:tmpl w:val="74F53DD4"/>
    <w:lvl w:ilvl="0" w:tentative="0">
      <w:start w:val="1"/>
      <w:numFmt w:val="decimal"/>
      <w:lvlText w:val="%1."/>
      <w:lvlJc w:val="left"/>
      <w:pPr>
        <w:ind w:left="720" w:hanging="720"/>
      </w:pPr>
      <w:rPr>
        <w:rFonts w:hint="eastAsia"/>
      </w:rPr>
    </w:lvl>
    <w:lvl w:ilvl="1" w:tentative="0">
      <w:start w:val="1"/>
      <w:numFmt w:val="decimal"/>
      <w:pStyle w:val="63"/>
      <w:suff w:val="space"/>
      <w:lvlText w:val="%2"/>
      <w:lvlJc w:val="left"/>
      <w:pPr>
        <w:ind w:left="0" w:firstLine="0"/>
      </w:pPr>
      <w:rPr>
        <w:rFonts w:hint="eastAsia"/>
      </w:rPr>
    </w:lvl>
    <w:lvl w:ilvl="2" w:tentative="0">
      <w:start w:val="1"/>
      <w:numFmt w:val="decimal"/>
      <w:suff w:val="space"/>
      <w:lvlText w:val="%2.%3."/>
      <w:lvlJc w:val="left"/>
      <w:pPr>
        <w:ind w:left="0" w:firstLine="0"/>
      </w:pPr>
      <w:rPr>
        <w:rFonts w:hint="eastAsia"/>
      </w:rPr>
    </w:lvl>
    <w:lvl w:ilvl="3" w:tentative="0">
      <w:start w:val="1"/>
      <w:numFmt w:val="lowerLetter"/>
      <w:lvlText w:val="%4)"/>
      <w:lvlJc w:val="left"/>
      <w:pPr>
        <w:ind w:left="2880" w:hanging="720"/>
      </w:pPr>
      <w:rPr>
        <w:rFonts w:hint="eastAsia"/>
      </w:rPr>
    </w:lvl>
    <w:lvl w:ilvl="4" w:tentative="0">
      <w:start w:val="1"/>
      <w:numFmt w:val="decimal"/>
      <w:lvlText w:val="(%5)"/>
      <w:lvlJc w:val="left"/>
      <w:pPr>
        <w:ind w:left="3600" w:hanging="720"/>
      </w:pPr>
      <w:rPr>
        <w:rFonts w:hint="eastAsia"/>
      </w:rPr>
    </w:lvl>
    <w:lvl w:ilvl="5" w:tentative="0">
      <w:start w:val="1"/>
      <w:numFmt w:val="lowerLetter"/>
      <w:lvlText w:val="(%6)"/>
      <w:lvlJc w:val="left"/>
      <w:pPr>
        <w:ind w:left="4320" w:hanging="720"/>
      </w:pPr>
      <w:rPr>
        <w:rFonts w:hint="eastAsia"/>
      </w:rPr>
    </w:lvl>
    <w:lvl w:ilvl="6" w:tentative="0">
      <w:start w:val="1"/>
      <w:numFmt w:val="lowerRoman"/>
      <w:lvlText w:val="(%7)"/>
      <w:lvlJc w:val="left"/>
      <w:pPr>
        <w:ind w:left="5040" w:hanging="720"/>
      </w:pPr>
      <w:rPr>
        <w:rFonts w:hint="eastAsia"/>
      </w:rPr>
    </w:lvl>
    <w:lvl w:ilvl="7" w:tentative="0">
      <w:start w:val="1"/>
      <w:numFmt w:val="lowerLetter"/>
      <w:lvlText w:val="(%8)"/>
      <w:lvlJc w:val="left"/>
      <w:pPr>
        <w:ind w:left="5760" w:hanging="720"/>
      </w:pPr>
      <w:rPr>
        <w:rFonts w:hint="eastAsia"/>
      </w:rPr>
    </w:lvl>
    <w:lvl w:ilvl="8" w:tentative="0">
      <w:start w:val="1"/>
      <w:numFmt w:val="lowerRoman"/>
      <w:lvlText w:val="(%9)"/>
      <w:lvlJc w:val="left"/>
      <w:pPr>
        <w:ind w:left="6480" w:hanging="720"/>
      </w:pPr>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mNWViN2QyYjFkNDQ0MDk4YTUxOTRkNTM0YmJmYWQifQ=="/>
  </w:docVars>
  <w:rsids>
    <w:rsidRoot w:val="00757712"/>
    <w:rsid w:val="00002AD7"/>
    <w:rsid w:val="00030725"/>
    <w:rsid w:val="00031694"/>
    <w:rsid w:val="000341DC"/>
    <w:rsid w:val="0003692C"/>
    <w:rsid w:val="0004322F"/>
    <w:rsid w:val="00062F54"/>
    <w:rsid w:val="00063DFE"/>
    <w:rsid w:val="00064511"/>
    <w:rsid w:val="000651AB"/>
    <w:rsid w:val="00065E1F"/>
    <w:rsid w:val="000776AF"/>
    <w:rsid w:val="000830CF"/>
    <w:rsid w:val="00097B8E"/>
    <w:rsid w:val="000E3BF7"/>
    <w:rsid w:val="000E495F"/>
    <w:rsid w:val="000F77C6"/>
    <w:rsid w:val="0011063C"/>
    <w:rsid w:val="00110888"/>
    <w:rsid w:val="00110C57"/>
    <w:rsid w:val="00115A91"/>
    <w:rsid w:val="00117DCA"/>
    <w:rsid w:val="00123460"/>
    <w:rsid w:val="00123C57"/>
    <w:rsid w:val="0012528F"/>
    <w:rsid w:val="0013058D"/>
    <w:rsid w:val="0014411E"/>
    <w:rsid w:val="001443DD"/>
    <w:rsid w:val="00146FF4"/>
    <w:rsid w:val="00147DB1"/>
    <w:rsid w:val="00150635"/>
    <w:rsid w:val="001518A1"/>
    <w:rsid w:val="00153BBC"/>
    <w:rsid w:val="00170C3C"/>
    <w:rsid w:val="001739CC"/>
    <w:rsid w:val="00173D43"/>
    <w:rsid w:val="0017759D"/>
    <w:rsid w:val="0019289F"/>
    <w:rsid w:val="001A567D"/>
    <w:rsid w:val="001B35A1"/>
    <w:rsid w:val="001B5986"/>
    <w:rsid w:val="001C16A3"/>
    <w:rsid w:val="001C1EA6"/>
    <w:rsid w:val="001C349E"/>
    <w:rsid w:val="001C3865"/>
    <w:rsid w:val="001C68EF"/>
    <w:rsid w:val="001C780E"/>
    <w:rsid w:val="001D4C9E"/>
    <w:rsid w:val="001D4D24"/>
    <w:rsid w:val="001D6ACB"/>
    <w:rsid w:val="001E249A"/>
    <w:rsid w:val="001E4902"/>
    <w:rsid w:val="001F0A1D"/>
    <w:rsid w:val="001F196B"/>
    <w:rsid w:val="00200404"/>
    <w:rsid w:val="00207D4A"/>
    <w:rsid w:val="00212066"/>
    <w:rsid w:val="00212FEF"/>
    <w:rsid w:val="00213316"/>
    <w:rsid w:val="00221240"/>
    <w:rsid w:val="00241FFC"/>
    <w:rsid w:val="00245201"/>
    <w:rsid w:val="00251D8D"/>
    <w:rsid w:val="00262761"/>
    <w:rsid w:val="0026383F"/>
    <w:rsid w:val="002A6FB7"/>
    <w:rsid w:val="002A77C6"/>
    <w:rsid w:val="002A7C47"/>
    <w:rsid w:val="002B1F79"/>
    <w:rsid w:val="002B3378"/>
    <w:rsid w:val="002B4F7A"/>
    <w:rsid w:val="002B709B"/>
    <w:rsid w:val="002C00B7"/>
    <w:rsid w:val="002D0557"/>
    <w:rsid w:val="002E0611"/>
    <w:rsid w:val="002E53B7"/>
    <w:rsid w:val="002E69AD"/>
    <w:rsid w:val="002E7A84"/>
    <w:rsid w:val="002F5A58"/>
    <w:rsid w:val="00304C88"/>
    <w:rsid w:val="00311600"/>
    <w:rsid w:val="00312F87"/>
    <w:rsid w:val="00322EC3"/>
    <w:rsid w:val="003332E6"/>
    <w:rsid w:val="00335171"/>
    <w:rsid w:val="00336274"/>
    <w:rsid w:val="00350A79"/>
    <w:rsid w:val="00357E4F"/>
    <w:rsid w:val="003612E2"/>
    <w:rsid w:val="003700E6"/>
    <w:rsid w:val="0037342C"/>
    <w:rsid w:val="00374985"/>
    <w:rsid w:val="003A6FAA"/>
    <w:rsid w:val="003A79DC"/>
    <w:rsid w:val="003C207A"/>
    <w:rsid w:val="003C3D07"/>
    <w:rsid w:val="003C6F61"/>
    <w:rsid w:val="003D1B03"/>
    <w:rsid w:val="003D2162"/>
    <w:rsid w:val="003E1ACC"/>
    <w:rsid w:val="003F5D7B"/>
    <w:rsid w:val="003F7FA1"/>
    <w:rsid w:val="004032AF"/>
    <w:rsid w:val="0040705D"/>
    <w:rsid w:val="00425C43"/>
    <w:rsid w:val="004270DE"/>
    <w:rsid w:val="00434170"/>
    <w:rsid w:val="00434296"/>
    <w:rsid w:val="004358B8"/>
    <w:rsid w:val="00440372"/>
    <w:rsid w:val="00450E94"/>
    <w:rsid w:val="00465E74"/>
    <w:rsid w:val="0047174F"/>
    <w:rsid w:val="0048039A"/>
    <w:rsid w:val="00480400"/>
    <w:rsid w:val="0048051C"/>
    <w:rsid w:val="004879E2"/>
    <w:rsid w:val="00491593"/>
    <w:rsid w:val="00491ED9"/>
    <w:rsid w:val="004A1570"/>
    <w:rsid w:val="004A6D27"/>
    <w:rsid w:val="004B0F8E"/>
    <w:rsid w:val="004B5B71"/>
    <w:rsid w:val="004B7D87"/>
    <w:rsid w:val="004D208C"/>
    <w:rsid w:val="004E629E"/>
    <w:rsid w:val="004F6629"/>
    <w:rsid w:val="00503030"/>
    <w:rsid w:val="00506B0E"/>
    <w:rsid w:val="00511500"/>
    <w:rsid w:val="00532FBA"/>
    <w:rsid w:val="00533E80"/>
    <w:rsid w:val="00535712"/>
    <w:rsid w:val="00535A93"/>
    <w:rsid w:val="00541A0F"/>
    <w:rsid w:val="0054399A"/>
    <w:rsid w:val="005452D9"/>
    <w:rsid w:val="005511D9"/>
    <w:rsid w:val="00556462"/>
    <w:rsid w:val="0055753C"/>
    <w:rsid w:val="005637BD"/>
    <w:rsid w:val="005811D0"/>
    <w:rsid w:val="00585795"/>
    <w:rsid w:val="00586E9A"/>
    <w:rsid w:val="00592643"/>
    <w:rsid w:val="005A1E8C"/>
    <w:rsid w:val="005A6C4B"/>
    <w:rsid w:val="005B23C7"/>
    <w:rsid w:val="005B3383"/>
    <w:rsid w:val="005B5541"/>
    <w:rsid w:val="005B5543"/>
    <w:rsid w:val="005C13C2"/>
    <w:rsid w:val="005D1F0C"/>
    <w:rsid w:val="005E0A17"/>
    <w:rsid w:val="005F1FE6"/>
    <w:rsid w:val="006007AF"/>
    <w:rsid w:val="006079B6"/>
    <w:rsid w:val="00615E14"/>
    <w:rsid w:val="00620FF7"/>
    <w:rsid w:val="00621B43"/>
    <w:rsid w:val="00632BD3"/>
    <w:rsid w:val="00640A84"/>
    <w:rsid w:val="00640E7F"/>
    <w:rsid w:val="00650C3E"/>
    <w:rsid w:val="00654A13"/>
    <w:rsid w:val="00657844"/>
    <w:rsid w:val="00663D1B"/>
    <w:rsid w:val="00684954"/>
    <w:rsid w:val="00686919"/>
    <w:rsid w:val="006C53F5"/>
    <w:rsid w:val="006C76B7"/>
    <w:rsid w:val="006F6910"/>
    <w:rsid w:val="007048BA"/>
    <w:rsid w:val="0072447C"/>
    <w:rsid w:val="007263C4"/>
    <w:rsid w:val="00727A08"/>
    <w:rsid w:val="00735278"/>
    <w:rsid w:val="007357B5"/>
    <w:rsid w:val="0073591D"/>
    <w:rsid w:val="007535F7"/>
    <w:rsid w:val="00757712"/>
    <w:rsid w:val="00762680"/>
    <w:rsid w:val="0076520B"/>
    <w:rsid w:val="00766365"/>
    <w:rsid w:val="00775104"/>
    <w:rsid w:val="00781B37"/>
    <w:rsid w:val="007823CE"/>
    <w:rsid w:val="00782B06"/>
    <w:rsid w:val="00783255"/>
    <w:rsid w:val="00793316"/>
    <w:rsid w:val="007A13CE"/>
    <w:rsid w:val="007A4350"/>
    <w:rsid w:val="007A5795"/>
    <w:rsid w:val="007C544F"/>
    <w:rsid w:val="007D26E8"/>
    <w:rsid w:val="007F46A8"/>
    <w:rsid w:val="007F6333"/>
    <w:rsid w:val="008024D9"/>
    <w:rsid w:val="008135AA"/>
    <w:rsid w:val="00823DA6"/>
    <w:rsid w:val="008242E0"/>
    <w:rsid w:val="00835922"/>
    <w:rsid w:val="008377EA"/>
    <w:rsid w:val="00847F16"/>
    <w:rsid w:val="008621FE"/>
    <w:rsid w:val="00864F4E"/>
    <w:rsid w:val="008677C1"/>
    <w:rsid w:val="00875EEC"/>
    <w:rsid w:val="00894ECA"/>
    <w:rsid w:val="008A7A08"/>
    <w:rsid w:val="008C09D2"/>
    <w:rsid w:val="008D26C1"/>
    <w:rsid w:val="008D7886"/>
    <w:rsid w:val="008E2274"/>
    <w:rsid w:val="008F7E8A"/>
    <w:rsid w:val="0091768C"/>
    <w:rsid w:val="00940184"/>
    <w:rsid w:val="009429E2"/>
    <w:rsid w:val="00947009"/>
    <w:rsid w:val="00962CBE"/>
    <w:rsid w:val="00980269"/>
    <w:rsid w:val="00983687"/>
    <w:rsid w:val="00983A48"/>
    <w:rsid w:val="00983F55"/>
    <w:rsid w:val="00993906"/>
    <w:rsid w:val="009A2649"/>
    <w:rsid w:val="009B11BF"/>
    <w:rsid w:val="009B3FA4"/>
    <w:rsid w:val="009C0C94"/>
    <w:rsid w:val="009C45C0"/>
    <w:rsid w:val="009E2725"/>
    <w:rsid w:val="009F3563"/>
    <w:rsid w:val="00A01067"/>
    <w:rsid w:val="00A059BF"/>
    <w:rsid w:val="00A17F98"/>
    <w:rsid w:val="00A2109C"/>
    <w:rsid w:val="00A374DA"/>
    <w:rsid w:val="00A456B0"/>
    <w:rsid w:val="00A5166C"/>
    <w:rsid w:val="00A6450F"/>
    <w:rsid w:val="00A92D25"/>
    <w:rsid w:val="00AA429F"/>
    <w:rsid w:val="00AC0C32"/>
    <w:rsid w:val="00AC68F1"/>
    <w:rsid w:val="00AD4E7D"/>
    <w:rsid w:val="00AD5E23"/>
    <w:rsid w:val="00AF04B9"/>
    <w:rsid w:val="00AF6AF7"/>
    <w:rsid w:val="00B00D38"/>
    <w:rsid w:val="00B14B2E"/>
    <w:rsid w:val="00B24FC2"/>
    <w:rsid w:val="00B27DA1"/>
    <w:rsid w:val="00B34E92"/>
    <w:rsid w:val="00B44E52"/>
    <w:rsid w:val="00B478EF"/>
    <w:rsid w:val="00B47BB2"/>
    <w:rsid w:val="00B6559A"/>
    <w:rsid w:val="00B76C18"/>
    <w:rsid w:val="00B775B3"/>
    <w:rsid w:val="00BB5FC9"/>
    <w:rsid w:val="00BB6FB2"/>
    <w:rsid w:val="00BB77A1"/>
    <w:rsid w:val="00BB7AAA"/>
    <w:rsid w:val="00BE6010"/>
    <w:rsid w:val="00BF55BA"/>
    <w:rsid w:val="00BF56BA"/>
    <w:rsid w:val="00BF595D"/>
    <w:rsid w:val="00C13251"/>
    <w:rsid w:val="00C16B1E"/>
    <w:rsid w:val="00C2208B"/>
    <w:rsid w:val="00C2366F"/>
    <w:rsid w:val="00C23747"/>
    <w:rsid w:val="00C31840"/>
    <w:rsid w:val="00C36F2A"/>
    <w:rsid w:val="00C41143"/>
    <w:rsid w:val="00C45848"/>
    <w:rsid w:val="00C57965"/>
    <w:rsid w:val="00C660D0"/>
    <w:rsid w:val="00C7143E"/>
    <w:rsid w:val="00C71BC2"/>
    <w:rsid w:val="00C72204"/>
    <w:rsid w:val="00C7455D"/>
    <w:rsid w:val="00C8467B"/>
    <w:rsid w:val="00C90FE0"/>
    <w:rsid w:val="00C92F16"/>
    <w:rsid w:val="00CA079C"/>
    <w:rsid w:val="00CA59F5"/>
    <w:rsid w:val="00CB4C13"/>
    <w:rsid w:val="00CC0E96"/>
    <w:rsid w:val="00CC1EDF"/>
    <w:rsid w:val="00CD78BB"/>
    <w:rsid w:val="00CE0BA9"/>
    <w:rsid w:val="00CE126A"/>
    <w:rsid w:val="00CF57E5"/>
    <w:rsid w:val="00CF7E47"/>
    <w:rsid w:val="00D01210"/>
    <w:rsid w:val="00D03D2F"/>
    <w:rsid w:val="00D04134"/>
    <w:rsid w:val="00D33805"/>
    <w:rsid w:val="00D45BDF"/>
    <w:rsid w:val="00D668C1"/>
    <w:rsid w:val="00D737AA"/>
    <w:rsid w:val="00D91510"/>
    <w:rsid w:val="00D93363"/>
    <w:rsid w:val="00DB4899"/>
    <w:rsid w:val="00DB5B40"/>
    <w:rsid w:val="00DB60B9"/>
    <w:rsid w:val="00DD59EB"/>
    <w:rsid w:val="00DE14D4"/>
    <w:rsid w:val="00DE7880"/>
    <w:rsid w:val="00E07B22"/>
    <w:rsid w:val="00E179F7"/>
    <w:rsid w:val="00E218C5"/>
    <w:rsid w:val="00E232A7"/>
    <w:rsid w:val="00E32619"/>
    <w:rsid w:val="00E37A1F"/>
    <w:rsid w:val="00E40624"/>
    <w:rsid w:val="00E47F79"/>
    <w:rsid w:val="00E5684A"/>
    <w:rsid w:val="00E63339"/>
    <w:rsid w:val="00E831F3"/>
    <w:rsid w:val="00E906B9"/>
    <w:rsid w:val="00EA15B8"/>
    <w:rsid w:val="00EA19E4"/>
    <w:rsid w:val="00EA627B"/>
    <w:rsid w:val="00EC4234"/>
    <w:rsid w:val="00ED5B5E"/>
    <w:rsid w:val="00EE456E"/>
    <w:rsid w:val="00EE4EB1"/>
    <w:rsid w:val="00EF78E7"/>
    <w:rsid w:val="00F07491"/>
    <w:rsid w:val="00F2574C"/>
    <w:rsid w:val="00F267E6"/>
    <w:rsid w:val="00F30C60"/>
    <w:rsid w:val="00F35D78"/>
    <w:rsid w:val="00F52829"/>
    <w:rsid w:val="00F56975"/>
    <w:rsid w:val="00F60C0C"/>
    <w:rsid w:val="00F61B05"/>
    <w:rsid w:val="00F67953"/>
    <w:rsid w:val="00F70356"/>
    <w:rsid w:val="00F727EF"/>
    <w:rsid w:val="00F7359C"/>
    <w:rsid w:val="00F77AE1"/>
    <w:rsid w:val="00F77BF5"/>
    <w:rsid w:val="00F85599"/>
    <w:rsid w:val="00F90C6B"/>
    <w:rsid w:val="00FA5C6D"/>
    <w:rsid w:val="00FB11B0"/>
    <w:rsid w:val="00FC2AB5"/>
    <w:rsid w:val="00FD4E0D"/>
    <w:rsid w:val="00FF0913"/>
    <w:rsid w:val="0C3475B9"/>
    <w:rsid w:val="191B667F"/>
    <w:rsid w:val="1DE02867"/>
    <w:rsid w:val="2D1C6F8E"/>
    <w:rsid w:val="2E717347"/>
    <w:rsid w:val="377F6A40"/>
    <w:rsid w:val="38892C99"/>
    <w:rsid w:val="3AC94727"/>
    <w:rsid w:val="3F7D6208"/>
    <w:rsid w:val="41220FF7"/>
    <w:rsid w:val="41302EA1"/>
    <w:rsid w:val="5A8829B1"/>
    <w:rsid w:val="617318A8"/>
    <w:rsid w:val="6C840AD8"/>
    <w:rsid w:val="7459568D"/>
    <w:rsid w:val="76F6723F"/>
    <w:rsid w:val="77A74292"/>
    <w:rsid w:val="7CCB4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31"/>
    <w:qFormat/>
    <w:uiPriority w:val="0"/>
    <w:pPr>
      <w:keepNext/>
      <w:keepLines/>
      <w:adjustRightInd w:val="0"/>
      <w:spacing w:line="360" w:lineRule="auto"/>
      <w:textAlignment w:val="baseline"/>
      <w:outlineLvl w:val="0"/>
    </w:pPr>
    <w:rPr>
      <w:rFonts w:ascii="宋体"/>
      <w:b/>
      <w:kern w:val="44"/>
      <w:sz w:val="32"/>
      <w:szCs w:val="20"/>
    </w:rPr>
  </w:style>
  <w:style w:type="paragraph" w:styleId="5">
    <w:name w:val="heading 2"/>
    <w:basedOn w:val="1"/>
    <w:next w:val="1"/>
    <w:link w:val="32"/>
    <w:autoRedefine/>
    <w:semiHidden/>
    <w:unhideWhenUsed/>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autoRedefine/>
    <w:qFormat/>
    <w:uiPriority w:val="0"/>
    <w:pPr>
      <w:numPr>
        <w:ilvl w:val="2"/>
        <w:numId w:val="1"/>
      </w:numPr>
      <w:tabs>
        <w:tab w:val="left" w:pos="360"/>
        <w:tab w:val="left" w:pos="680"/>
      </w:tabs>
      <w:ind w:firstLine="0"/>
      <w:outlineLvl w:val="2"/>
    </w:pPr>
    <w:rPr>
      <w:rFonts w:ascii="宋体" w:hAnsi="宋体"/>
      <w:bCs/>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ind w:left="420" w:leftChars="200" w:firstLine="200" w:firstLineChars="200"/>
    </w:pPr>
  </w:style>
  <w:style w:type="paragraph" w:styleId="3">
    <w:name w:val="Body Text Indent"/>
    <w:basedOn w:val="1"/>
    <w:link w:val="44"/>
    <w:autoRedefine/>
    <w:unhideWhenUsed/>
    <w:qFormat/>
    <w:uiPriority w:val="0"/>
    <w:pPr>
      <w:spacing w:after="120"/>
      <w:ind w:left="420" w:leftChars="200"/>
    </w:pPr>
    <w:rPr>
      <w:kern w:val="0"/>
      <w:sz w:val="20"/>
      <w:szCs w:val="21"/>
    </w:rPr>
  </w:style>
  <w:style w:type="paragraph" w:styleId="7">
    <w:name w:val="toc 7"/>
    <w:basedOn w:val="1"/>
    <w:next w:val="1"/>
    <w:autoRedefine/>
    <w:unhideWhenUsed/>
    <w:qFormat/>
    <w:uiPriority w:val="39"/>
    <w:pPr>
      <w:ind w:left="2520" w:leftChars="1200"/>
    </w:pPr>
    <w:rPr>
      <w:rFonts w:ascii="Calibri" w:hAnsi="Calibri"/>
      <w:sz w:val="21"/>
      <w:szCs w:val="22"/>
    </w:rPr>
  </w:style>
  <w:style w:type="paragraph" w:styleId="8">
    <w:name w:val="Normal Indent"/>
    <w:basedOn w:val="1"/>
    <w:link w:val="36"/>
    <w:autoRedefine/>
    <w:qFormat/>
    <w:uiPriority w:val="0"/>
    <w:pPr>
      <w:adjustRightInd w:val="0"/>
      <w:spacing w:line="360" w:lineRule="atLeast"/>
      <w:ind w:firstLine="420"/>
      <w:jc w:val="left"/>
      <w:textAlignment w:val="baseline"/>
    </w:pPr>
    <w:rPr>
      <w:kern w:val="0"/>
      <w:szCs w:val="20"/>
    </w:rPr>
  </w:style>
  <w:style w:type="paragraph" w:styleId="9">
    <w:name w:val="Body Text"/>
    <w:basedOn w:val="1"/>
    <w:link w:val="59"/>
    <w:autoRedefine/>
    <w:semiHidden/>
    <w:unhideWhenUsed/>
    <w:qFormat/>
    <w:uiPriority w:val="99"/>
    <w:pPr>
      <w:spacing w:after="120"/>
    </w:pPr>
  </w:style>
  <w:style w:type="paragraph" w:styleId="10">
    <w:name w:val="toc 5"/>
    <w:basedOn w:val="1"/>
    <w:next w:val="1"/>
    <w:autoRedefine/>
    <w:unhideWhenUsed/>
    <w:qFormat/>
    <w:uiPriority w:val="39"/>
    <w:pPr>
      <w:ind w:left="1680" w:leftChars="800"/>
    </w:pPr>
    <w:rPr>
      <w:rFonts w:ascii="Calibri" w:hAnsi="Calibri"/>
      <w:sz w:val="21"/>
      <w:szCs w:val="22"/>
    </w:rPr>
  </w:style>
  <w:style w:type="paragraph" w:styleId="11">
    <w:name w:val="toc 3"/>
    <w:basedOn w:val="1"/>
    <w:next w:val="1"/>
    <w:autoRedefine/>
    <w:unhideWhenUsed/>
    <w:qFormat/>
    <w:uiPriority w:val="39"/>
    <w:pPr>
      <w:ind w:left="840" w:leftChars="400"/>
    </w:pPr>
  </w:style>
  <w:style w:type="paragraph" w:styleId="12">
    <w:name w:val="Plain Text"/>
    <w:basedOn w:val="1"/>
    <w:link w:val="55"/>
    <w:autoRedefine/>
    <w:qFormat/>
    <w:uiPriority w:val="0"/>
    <w:rPr>
      <w:rFonts w:ascii="宋体+′" w:hAnsi="华文新魏"/>
      <w:kern w:val="0"/>
      <w:sz w:val="13"/>
      <w:szCs w:val="20"/>
    </w:rPr>
  </w:style>
  <w:style w:type="paragraph" w:styleId="13">
    <w:name w:val="toc 8"/>
    <w:basedOn w:val="1"/>
    <w:next w:val="1"/>
    <w:autoRedefine/>
    <w:unhideWhenUsed/>
    <w:qFormat/>
    <w:uiPriority w:val="39"/>
    <w:pPr>
      <w:ind w:left="2940" w:leftChars="1400"/>
    </w:pPr>
    <w:rPr>
      <w:rFonts w:ascii="Calibri" w:hAnsi="Calibri"/>
      <w:sz w:val="21"/>
      <w:szCs w:val="22"/>
    </w:rPr>
  </w:style>
  <w:style w:type="paragraph" w:styleId="14">
    <w:name w:val="Date"/>
    <w:basedOn w:val="1"/>
    <w:next w:val="1"/>
    <w:link w:val="47"/>
    <w:autoRedefine/>
    <w:qFormat/>
    <w:uiPriority w:val="0"/>
    <w:pPr>
      <w:spacing w:line="360" w:lineRule="auto"/>
      <w:ind w:left="100" w:leftChars="2500" w:firstLine="210" w:firstLineChars="100"/>
    </w:pPr>
    <w:rPr>
      <w:rFonts w:ascii="宋体" w:hAnsi="宋体"/>
      <w:kern w:val="0"/>
      <w:sz w:val="20"/>
      <w:szCs w:val="28"/>
    </w:rPr>
  </w:style>
  <w:style w:type="paragraph" w:styleId="15">
    <w:name w:val="Body Text Indent 2"/>
    <w:basedOn w:val="1"/>
    <w:link w:val="52"/>
    <w:autoRedefine/>
    <w:semiHidden/>
    <w:unhideWhenUsed/>
    <w:qFormat/>
    <w:uiPriority w:val="99"/>
    <w:pPr>
      <w:spacing w:after="120" w:line="480" w:lineRule="auto"/>
      <w:ind w:left="420" w:leftChars="200"/>
    </w:pPr>
    <w:rPr>
      <w:kern w:val="0"/>
    </w:rPr>
  </w:style>
  <w:style w:type="paragraph" w:styleId="16">
    <w:name w:val="Balloon Text"/>
    <w:basedOn w:val="1"/>
    <w:link w:val="42"/>
    <w:autoRedefine/>
    <w:semiHidden/>
    <w:unhideWhenUsed/>
    <w:qFormat/>
    <w:uiPriority w:val="99"/>
    <w:rPr>
      <w:kern w:val="0"/>
      <w:sz w:val="18"/>
      <w:szCs w:val="18"/>
    </w:rPr>
  </w:style>
  <w:style w:type="paragraph" w:styleId="17">
    <w:name w:val="footer"/>
    <w:basedOn w:val="1"/>
    <w:link w:val="34"/>
    <w:unhideWhenUsed/>
    <w:qFormat/>
    <w:uiPriority w:val="99"/>
    <w:pPr>
      <w:tabs>
        <w:tab w:val="center" w:pos="4153"/>
        <w:tab w:val="right" w:pos="8306"/>
      </w:tabs>
      <w:snapToGrid w:val="0"/>
      <w:jc w:val="left"/>
    </w:pPr>
    <w:rPr>
      <w:rFonts w:ascii="Calibri" w:hAnsi="Calibri"/>
      <w:kern w:val="0"/>
      <w:sz w:val="18"/>
      <w:szCs w:val="18"/>
    </w:rPr>
  </w:style>
  <w:style w:type="paragraph" w:styleId="18">
    <w:name w:val="header"/>
    <w:basedOn w:val="1"/>
    <w:link w:val="33"/>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9">
    <w:name w:val="toc 1"/>
    <w:basedOn w:val="1"/>
    <w:next w:val="1"/>
    <w:autoRedefine/>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styleId="20">
    <w:name w:val="toc 4"/>
    <w:basedOn w:val="1"/>
    <w:next w:val="1"/>
    <w:autoRedefine/>
    <w:unhideWhenUsed/>
    <w:qFormat/>
    <w:uiPriority w:val="39"/>
    <w:pPr>
      <w:ind w:left="1260" w:leftChars="600"/>
    </w:pPr>
    <w:rPr>
      <w:rFonts w:ascii="Calibri" w:hAnsi="Calibri"/>
      <w:sz w:val="21"/>
      <w:szCs w:val="22"/>
    </w:rPr>
  </w:style>
  <w:style w:type="paragraph" w:styleId="21">
    <w:name w:val="toc 6"/>
    <w:basedOn w:val="1"/>
    <w:next w:val="1"/>
    <w:autoRedefine/>
    <w:unhideWhenUsed/>
    <w:qFormat/>
    <w:uiPriority w:val="39"/>
    <w:pPr>
      <w:ind w:left="2100" w:leftChars="1000"/>
    </w:pPr>
    <w:rPr>
      <w:rFonts w:ascii="Calibri" w:hAnsi="Calibri"/>
      <w:sz w:val="21"/>
      <w:szCs w:val="22"/>
    </w:r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rPr>
      <w:rFonts w:ascii="Calibri" w:hAnsi="Calibri"/>
      <w:sz w:val="21"/>
      <w:szCs w:val="22"/>
    </w:rPr>
  </w:style>
  <w:style w:type="paragraph" w:styleId="24">
    <w:name w:val="Title"/>
    <w:basedOn w:val="1"/>
    <w:next w:val="1"/>
    <w:link w:val="48"/>
    <w:autoRedefine/>
    <w:qFormat/>
    <w:uiPriority w:val="0"/>
    <w:pPr>
      <w:spacing w:before="240" w:after="60"/>
      <w:jc w:val="center"/>
      <w:outlineLvl w:val="0"/>
    </w:pPr>
    <w:rPr>
      <w:rFonts w:ascii="Cambria" w:hAnsi="Cambria"/>
      <w:b/>
      <w:bCs/>
      <w:kern w:val="0"/>
      <w:sz w:val="32"/>
      <w:szCs w:val="32"/>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Hyperlink"/>
    <w:qFormat/>
    <w:uiPriority w:val="99"/>
    <w:rPr>
      <w:color w:val="0000FF"/>
      <w:u w:val="single"/>
    </w:rPr>
  </w:style>
  <w:style w:type="paragraph" w:customStyle="1" w:styleId="30">
    <w:name w:val="PlainText"/>
    <w:basedOn w:val="1"/>
    <w:autoRedefine/>
    <w:qFormat/>
    <w:uiPriority w:val="0"/>
    <w:pPr>
      <w:textAlignment w:val="baseline"/>
    </w:pPr>
    <w:rPr>
      <w:rFonts w:ascii="宋体" w:hAnsi="Courier New"/>
      <w:szCs w:val="21"/>
    </w:rPr>
  </w:style>
  <w:style w:type="character" w:customStyle="1" w:styleId="31">
    <w:name w:val="标题 1 字符"/>
    <w:link w:val="4"/>
    <w:autoRedefine/>
    <w:qFormat/>
    <w:uiPriority w:val="0"/>
    <w:rPr>
      <w:rFonts w:ascii="宋体" w:hAnsi="Times New Roman" w:eastAsia="宋体" w:cs="Times New Roman"/>
      <w:b/>
      <w:kern w:val="44"/>
      <w:sz w:val="32"/>
      <w:szCs w:val="20"/>
    </w:rPr>
  </w:style>
  <w:style w:type="character" w:customStyle="1" w:styleId="32">
    <w:name w:val="标题 2 字符"/>
    <w:link w:val="5"/>
    <w:semiHidden/>
    <w:qFormat/>
    <w:uiPriority w:val="9"/>
    <w:rPr>
      <w:rFonts w:ascii="Cambria" w:hAnsi="Cambria" w:eastAsia="宋体" w:cs="Times New Roman"/>
      <w:b/>
      <w:bCs/>
      <w:kern w:val="2"/>
      <w:sz w:val="32"/>
      <w:szCs w:val="32"/>
    </w:rPr>
  </w:style>
  <w:style w:type="character" w:customStyle="1" w:styleId="33">
    <w:name w:val="页眉 字符1"/>
    <w:link w:val="18"/>
    <w:autoRedefine/>
    <w:semiHidden/>
    <w:qFormat/>
    <w:uiPriority w:val="99"/>
    <w:rPr>
      <w:sz w:val="18"/>
      <w:szCs w:val="18"/>
    </w:rPr>
  </w:style>
  <w:style w:type="character" w:customStyle="1" w:styleId="34">
    <w:name w:val="页脚 字符1"/>
    <w:link w:val="17"/>
    <w:autoRedefine/>
    <w:qFormat/>
    <w:uiPriority w:val="99"/>
    <w:rPr>
      <w:sz w:val="18"/>
      <w:szCs w:val="18"/>
    </w:rPr>
  </w:style>
  <w:style w:type="paragraph" w:customStyle="1" w:styleId="35">
    <w:name w:val="列出段落1"/>
    <w:basedOn w:val="1"/>
    <w:qFormat/>
    <w:uiPriority w:val="0"/>
    <w:pPr>
      <w:ind w:firstLine="420" w:firstLineChars="200"/>
    </w:pPr>
    <w:rPr>
      <w:rFonts w:ascii="Calibri" w:hAnsi="Calibri"/>
      <w:sz w:val="21"/>
      <w:szCs w:val="22"/>
    </w:rPr>
  </w:style>
  <w:style w:type="character" w:customStyle="1" w:styleId="36">
    <w:name w:val="正文缩进 字符"/>
    <w:link w:val="8"/>
    <w:qFormat/>
    <w:uiPriority w:val="0"/>
    <w:rPr>
      <w:rFonts w:ascii="Times New Roman" w:hAnsi="Times New Roman" w:eastAsia="宋体" w:cs="Times New Roman"/>
      <w:kern w:val="0"/>
      <w:sz w:val="24"/>
      <w:szCs w:val="20"/>
    </w:rPr>
  </w:style>
  <w:style w:type="paragraph" w:customStyle="1" w:styleId="3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8">
    <w:name w:val="B Char"/>
    <w:link w:val="39"/>
    <w:autoRedefine/>
    <w:semiHidden/>
    <w:qFormat/>
    <w:locked/>
    <w:uiPriority w:val="0"/>
    <w:rPr>
      <w:rFonts w:ascii="E-F1" w:eastAsia="黑体"/>
      <w:szCs w:val="21"/>
      <w:lang w:val="zh-CN"/>
    </w:rPr>
  </w:style>
  <w:style w:type="paragraph" w:customStyle="1" w:styleId="39">
    <w:name w:val="B"/>
    <w:basedOn w:val="1"/>
    <w:link w:val="38"/>
    <w:autoRedefine/>
    <w:semiHidden/>
    <w:qFormat/>
    <w:uiPriority w:val="0"/>
    <w:pPr>
      <w:tabs>
        <w:tab w:val="center" w:pos="4706"/>
        <w:tab w:val="right" w:pos="9044"/>
      </w:tabs>
      <w:topLinePunct/>
      <w:spacing w:before="160" w:after="60" w:line="312" w:lineRule="exact"/>
      <w:jc w:val="center"/>
    </w:pPr>
    <w:rPr>
      <w:rFonts w:ascii="E-F1" w:hAnsi="Calibri" w:eastAsia="黑体"/>
      <w:kern w:val="0"/>
      <w:sz w:val="20"/>
      <w:szCs w:val="21"/>
      <w:lang w:val="zh-CN"/>
    </w:rPr>
  </w:style>
  <w:style w:type="paragraph" w:customStyle="1" w:styleId="40">
    <w:name w:val="j"/>
    <w:basedOn w:val="1"/>
    <w:autoRedefine/>
    <w:semiHidden/>
    <w:qFormat/>
    <w:uiPriority w:val="0"/>
    <w:pPr>
      <w:spacing w:line="312" w:lineRule="exact"/>
      <w:ind w:left="840" w:leftChars="200" w:hanging="420" w:hangingChars="200"/>
    </w:pPr>
    <w:rPr>
      <w:sz w:val="21"/>
      <w:szCs w:val="20"/>
    </w:rPr>
  </w:style>
  <w:style w:type="paragraph" w:styleId="41">
    <w:name w:val="List Paragraph"/>
    <w:basedOn w:val="1"/>
    <w:autoRedefine/>
    <w:qFormat/>
    <w:uiPriority w:val="34"/>
    <w:pPr>
      <w:ind w:firstLine="420" w:firstLineChars="200"/>
    </w:pPr>
    <w:rPr>
      <w:sz w:val="21"/>
      <w:szCs w:val="21"/>
    </w:rPr>
  </w:style>
  <w:style w:type="character" w:customStyle="1" w:styleId="42">
    <w:name w:val="批注框文本 字符"/>
    <w:link w:val="16"/>
    <w:autoRedefine/>
    <w:semiHidden/>
    <w:qFormat/>
    <w:uiPriority w:val="99"/>
    <w:rPr>
      <w:rFonts w:ascii="Times New Roman" w:hAnsi="Times New Roman" w:eastAsia="宋体" w:cs="Times New Roman"/>
      <w:sz w:val="18"/>
      <w:szCs w:val="18"/>
    </w:rPr>
  </w:style>
  <w:style w:type="character" w:customStyle="1" w:styleId="43">
    <w:name w:val="正文（首行缩进两字） Char"/>
    <w:autoRedefine/>
    <w:semiHidden/>
    <w:qFormat/>
    <w:locked/>
    <w:uiPriority w:val="0"/>
    <w:rPr>
      <w:rFonts w:ascii="Calibri" w:hAnsi="Calibri" w:cs="Calibri"/>
    </w:rPr>
  </w:style>
  <w:style w:type="character" w:customStyle="1" w:styleId="44">
    <w:name w:val="正文文本缩进 字符"/>
    <w:link w:val="3"/>
    <w:autoRedefine/>
    <w:qFormat/>
    <w:uiPriority w:val="0"/>
    <w:rPr>
      <w:rFonts w:ascii="Times New Roman" w:hAnsi="Times New Roman" w:eastAsia="宋体" w:cs="Times New Roman"/>
      <w:szCs w:val="21"/>
    </w:rPr>
  </w:style>
  <w:style w:type="character" w:customStyle="1" w:styleId="45">
    <w:name w:val="页眉 字符"/>
    <w:autoRedefine/>
    <w:qFormat/>
    <w:uiPriority w:val="0"/>
    <w:rPr>
      <w:sz w:val="18"/>
      <w:szCs w:val="18"/>
    </w:rPr>
  </w:style>
  <w:style w:type="character" w:customStyle="1" w:styleId="46">
    <w:name w:val="页脚 字符"/>
    <w:autoRedefine/>
    <w:qFormat/>
    <w:uiPriority w:val="0"/>
    <w:rPr>
      <w:sz w:val="18"/>
      <w:szCs w:val="18"/>
    </w:rPr>
  </w:style>
  <w:style w:type="character" w:customStyle="1" w:styleId="47">
    <w:name w:val="日期 字符"/>
    <w:link w:val="14"/>
    <w:qFormat/>
    <w:uiPriority w:val="0"/>
    <w:rPr>
      <w:rFonts w:ascii="宋体" w:hAnsi="宋体" w:eastAsia="宋体" w:cs="Arial"/>
      <w:szCs w:val="28"/>
    </w:rPr>
  </w:style>
  <w:style w:type="character" w:customStyle="1" w:styleId="48">
    <w:name w:val="标题 字符"/>
    <w:link w:val="24"/>
    <w:qFormat/>
    <w:uiPriority w:val="0"/>
    <w:rPr>
      <w:rFonts w:ascii="Cambria" w:hAnsi="Cambria" w:eastAsia="宋体" w:cs="Times New Roman"/>
      <w:b/>
      <w:bCs/>
      <w:sz w:val="32"/>
      <w:szCs w:val="32"/>
    </w:rPr>
  </w:style>
  <w:style w:type="character" w:customStyle="1" w:styleId="49">
    <w:name w:val="日期 Char"/>
    <w:semiHidden/>
    <w:qFormat/>
    <w:uiPriority w:val="99"/>
    <w:rPr>
      <w:rFonts w:ascii="Times New Roman" w:hAnsi="Times New Roman" w:eastAsia="宋体" w:cs="Times New Roman"/>
      <w:sz w:val="24"/>
      <w:szCs w:val="24"/>
    </w:rPr>
  </w:style>
  <w:style w:type="character" w:customStyle="1" w:styleId="50">
    <w:name w:val="标题 Char"/>
    <w:autoRedefine/>
    <w:qFormat/>
    <w:uiPriority w:val="10"/>
    <w:rPr>
      <w:rFonts w:ascii="Cambria" w:hAnsi="Cambria" w:eastAsia="宋体" w:cs="Times New Roman"/>
      <w:b/>
      <w:bCs/>
      <w:sz w:val="32"/>
      <w:szCs w:val="32"/>
    </w:rPr>
  </w:style>
  <w:style w:type="paragraph" w:customStyle="1" w:styleId="51">
    <w:name w:val="引言二级条标题"/>
    <w:basedOn w:val="1"/>
    <w:next w:val="1"/>
    <w:autoRedefine/>
    <w:qFormat/>
    <w:uiPriority w:val="0"/>
    <w:pPr>
      <w:widowControl/>
      <w:numPr>
        <w:ilvl w:val="1"/>
        <w:numId w:val="2"/>
      </w:numPr>
    </w:pPr>
    <w:rPr>
      <w:rFonts w:eastAsia="黑体"/>
      <w:b/>
      <w:sz w:val="21"/>
      <w:szCs w:val="21"/>
    </w:rPr>
  </w:style>
  <w:style w:type="character" w:customStyle="1" w:styleId="52">
    <w:name w:val="正文文本缩进 2 字符"/>
    <w:link w:val="15"/>
    <w:autoRedefine/>
    <w:semiHidden/>
    <w:qFormat/>
    <w:uiPriority w:val="99"/>
    <w:rPr>
      <w:rFonts w:ascii="Times New Roman" w:hAnsi="Times New Roman" w:eastAsia="宋体" w:cs="Times New Roman"/>
      <w:sz w:val="24"/>
      <w:szCs w:val="24"/>
    </w:rPr>
  </w:style>
  <w:style w:type="paragraph" w:customStyle="1" w:styleId="53">
    <w:name w:val="A"/>
    <w:basedOn w:val="1"/>
    <w:autoRedefine/>
    <w:qFormat/>
    <w:uiPriority w:val="0"/>
    <w:pPr>
      <w:adjustRightInd w:val="0"/>
      <w:spacing w:line="480" w:lineRule="atLeast"/>
      <w:jc w:val="center"/>
      <w:textAlignment w:val="baseline"/>
    </w:pPr>
    <w:rPr>
      <w:rFonts w:ascii="宋体"/>
      <w:kern w:val="0"/>
      <w:sz w:val="32"/>
      <w:szCs w:val="20"/>
    </w:rPr>
  </w:style>
  <w:style w:type="paragraph" w:customStyle="1" w:styleId="54">
    <w:name w:val="列出段落2"/>
    <w:basedOn w:val="1"/>
    <w:autoRedefine/>
    <w:qFormat/>
    <w:uiPriority w:val="0"/>
    <w:pPr>
      <w:ind w:firstLine="420" w:firstLineChars="200"/>
    </w:pPr>
    <w:rPr>
      <w:sz w:val="21"/>
    </w:rPr>
  </w:style>
  <w:style w:type="character" w:customStyle="1" w:styleId="55">
    <w:name w:val="纯文本 字符"/>
    <w:link w:val="12"/>
    <w:qFormat/>
    <w:uiPriority w:val="0"/>
    <w:rPr>
      <w:rFonts w:ascii="宋体+′" w:hAnsi="华文新魏"/>
      <w:sz w:val="13"/>
    </w:rPr>
  </w:style>
  <w:style w:type="character" w:customStyle="1" w:styleId="56">
    <w:name w:val="纯文本 Char1"/>
    <w:autoRedefine/>
    <w:semiHidden/>
    <w:qFormat/>
    <w:uiPriority w:val="99"/>
    <w:rPr>
      <w:rFonts w:ascii="宋体" w:hAnsi="Courier New" w:cs="Courier New"/>
      <w:kern w:val="2"/>
      <w:sz w:val="21"/>
      <w:szCs w:val="21"/>
    </w:rPr>
  </w:style>
  <w:style w:type="character" w:customStyle="1" w:styleId="57">
    <w:name w:val="p11"/>
    <w:basedOn w:val="27"/>
    <w:qFormat/>
    <w:uiPriority w:val="0"/>
  </w:style>
  <w:style w:type="paragraph" w:customStyle="1" w:styleId="58">
    <w:name w:val="样式 标题 2 + Times New Roman 四号 非加粗 段前: 5 磅 段后: 0 磅 行距: 固定值 20..."/>
    <w:basedOn w:val="5"/>
    <w:next w:val="19"/>
    <w:autoRedefine/>
    <w:qFormat/>
    <w:uiPriority w:val="0"/>
    <w:pPr>
      <w:spacing w:before="100" w:after="0" w:line="400" w:lineRule="exact"/>
    </w:pPr>
    <w:rPr>
      <w:rFonts w:ascii="Times New Roman" w:hAnsi="Times New Roman" w:eastAsia="黑体" w:cs="宋体"/>
      <w:b w:val="0"/>
      <w:bCs w:val="0"/>
      <w:sz w:val="28"/>
      <w:szCs w:val="20"/>
    </w:rPr>
  </w:style>
  <w:style w:type="character" w:customStyle="1" w:styleId="59">
    <w:name w:val="正文文本 字符"/>
    <w:link w:val="9"/>
    <w:autoRedefine/>
    <w:semiHidden/>
    <w:qFormat/>
    <w:uiPriority w:val="99"/>
    <w:rPr>
      <w:rFonts w:ascii="Times New Roman" w:hAnsi="Times New Roman"/>
      <w:kern w:val="2"/>
      <w:sz w:val="24"/>
      <w:szCs w:val="24"/>
    </w:rPr>
  </w:style>
  <w:style w:type="paragraph" w:customStyle="1" w:styleId="60">
    <w:name w:val="正文文本缩进 21"/>
    <w:basedOn w:val="1"/>
    <w:autoRedefine/>
    <w:qFormat/>
    <w:uiPriority w:val="0"/>
    <w:pPr>
      <w:adjustRightInd w:val="0"/>
      <w:spacing w:line="360" w:lineRule="auto"/>
      <w:ind w:firstLine="573"/>
    </w:pPr>
    <w:rPr>
      <w:rFonts w:hint="eastAsia" w:ascii="宋体"/>
      <w:kern w:val="0"/>
      <w:sz w:val="28"/>
      <w:szCs w:val="20"/>
    </w:rPr>
  </w:style>
  <w:style w:type="paragraph" w:customStyle="1" w:styleId="61">
    <w:name w:val="标题2"/>
    <w:basedOn w:val="1"/>
    <w:autoRedefine/>
    <w:qFormat/>
    <w:uiPriority w:val="0"/>
    <w:pPr>
      <w:spacing w:line="360" w:lineRule="auto"/>
      <w:jc w:val="left"/>
      <w:outlineLvl w:val="2"/>
    </w:pPr>
    <w:rPr>
      <w:rFonts w:cs="宋体"/>
      <w:szCs w:val="20"/>
    </w:rPr>
  </w:style>
  <w:style w:type="paragraph" w:customStyle="1" w:styleId="62">
    <w:name w:val="修订1"/>
    <w:autoRedefine/>
    <w:hidden/>
    <w:unhideWhenUsed/>
    <w:qFormat/>
    <w:uiPriority w:val="99"/>
    <w:rPr>
      <w:rFonts w:ascii="Times New Roman" w:hAnsi="Times New Roman" w:eastAsia="宋体" w:cs="Times New Roman"/>
      <w:kern w:val="2"/>
      <w:sz w:val="24"/>
      <w:szCs w:val="24"/>
      <w:lang w:val="en-US" w:eastAsia="zh-CN" w:bidi="ar-SA"/>
    </w:rPr>
  </w:style>
  <w:style w:type="paragraph" w:customStyle="1" w:styleId="63">
    <w:name w:val="标题2部分标题"/>
    <w:basedOn w:val="1"/>
    <w:qFormat/>
    <w:uiPriority w:val="0"/>
    <w:pPr>
      <w:widowControl/>
      <w:numPr>
        <w:ilvl w:val="1"/>
        <w:numId w:val="3"/>
      </w:numPr>
      <w:spacing w:before="60" w:after="60" w:line="440" w:lineRule="exact"/>
      <w:outlineLvl w:val="1"/>
    </w:pPr>
    <w:rPr>
      <w:sz w:val="32"/>
    </w:rPr>
  </w:style>
  <w:style w:type="paragraph" w:customStyle="1" w:styleId="64">
    <w:name w:val="8中联正文"/>
    <w:basedOn w:val="65"/>
    <w:autoRedefine/>
    <w:qFormat/>
    <w:uiPriority w:val="0"/>
    <w:rPr>
      <w:rFonts w:ascii="宋体" w:hAnsi="宋体"/>
    </w:rPr>
  </w:style>
  <w:style w:type="paragraph" w:customStyle="1" w:styleId="65">
    <w:name w:val="7中联正文"/>
    <w:basedOn w:val="1"/>
    <w:autoRedefine/>
    <w:qFormat/>
    <w:uiPriority w:val="0"/>
    <w:pPr>
      <w:spacing w:line="360" w:lineRule="auto"/>
      <w:ind w:firstLine="200" w:firstLineChars="200"/>
    </w:pPr>
    <w:rPr>
      <w:rFonts w:ascii="Arial" w:hAnsi="Arial" w:cs="Arial"/>
      <w:snapToGrid w:val="0"/>
      <w:color w:val="000000"/>
      <w:kern w:val="0"/>
      <w:sz w:val="24"/>
      <w:lang w:val="zh-CN"/>
    </w:rPr>
  </w:style>
  <w:style w:type="paragraph" w:customStyle="1" w:styleId="66">
    <w:name w:val="无列表1"/>
    <w:semiHidden/>
    <w:qFormat/>
    <w:uiPriority w:val="0"/>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8568</Words>
  <Characters>9238</Characters>
  <Lines>69</Lines>
  <Paragraphs>19</Paragraphs>
  <TotalTime>5</TotalTime>
  <ScaleCrop>false</ScaleCrop>
  <LinksUpToDate>false</LinksUpToDate>
  <CharactersWithSpaces>9355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2023-10-20T07:21:00Z</dcterms:created>
  <dc:creator>sujian</dc:creator>
  <cp:lastModifiedBy>俞寅超</cp:lastModifiedBy>
  <cp:lastPrinted>2025-01-08T04:42:00Z</cp:lastPrinted>
  <dcterms:modified xsi:type="dcterms:W3CDTF">2025-03-19T12:46:19Z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9C63A13E96834C5EB9086F351B9B94DB_13</vt:lpwstr>
  </property>
  <property fmtid="{D5CDD505-2E9C-101B-9397-08002B2CF9AE}" pid="4" name="KSOTemplateDocerSaveRecord">
    <vt:lpwstr>eyJoZGlkIjoiNjY0YWFiNjJmZWMzZWViYzk3ZDFmODE3NzMwYWEwNzQiLCJ1c2VySWQiOiIxNTczMzI5MjI3In0=</vt:lpwstr>
  </property>
</Properties>
</file>