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嘉兴发电（推煤机）：</w:t>
      </w:r>
    </w:p>
    <w:p>
      <w:pPr>
        <w:keepNext w:val="0"/>
        <w:keepLines w:val="0"/>
        <w:widowControl/>
        <w:suppressLineNumbers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vertAlign w:val="baseline"/>
          <w:lang w:val="en-US" w:eastAsia="zh-CN" w:bidi="ar"/>
        </w:rPr>
        <w:t>1气象特征与环境条件</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根据厂址附近乍浦气象站实测气象资料统计得到各气象要素特征值如下：</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累年平均气压：1016.1hpa</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累年平均气温：15.7°C</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累年最热月平均气温：28.1°C</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累年最冷月平均气温：3.5°C</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极端最高气温：38.4°C</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极端最低气温：-10.6°C</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累年平均相对湿度：82%</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累年最小相对湿度：9%</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累年平均水汽压：16.9hpa</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累年最大水汽压：41.0hpa</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累年最小水汽压：1.2hpa</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累年平均降水量：1162.0mm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累年最大年降水量：1764.0mm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累年最小年降水量：791.3mm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累年最大一日降水量：276.4mm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累年最大1小时降水量：29.1mm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累年平均蒸发量：1291.1mm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累年平均雷暴日数：31.9d</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累年最多雷暴日数：56d</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累年平均雾日数：35.7d</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累年最多雾日数：57d</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累年最大积雪深度：15cm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累年平均风速：3.4m/s</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累年十分钟平均最大风速：20.3m/s</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累年瞬时最大风速：37m/s</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全年主导风向：SE（12%）</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夏季主导风向：SE</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冬季主导风向：NW</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2厂区域抗震设防烈度为6度。</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3燃煤</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3.1煤物理特性</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原煤粒度：≤300mm；</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散状密度：0.8～1.2t/m</w:t>
      </w:r>
      <w:r>
        <w:rPr>
          <w:rFonts w:hint="eastAsia" w:asciiTheme="minorEastAsia" w:hAnsiTheme="minorEastAsia" w:eastAsiaTheme="minorEastAsia" w:cstheme="minorEastAsia"/>
          <w:i w:val="0"/>
          <w:iCs w:val="0"/>
          <w:caps w:val="0"/>
          <w:color w:val="auto"/>
          <w:spacing w:val="5"/>
          <w:kern w:val="0"/>
          <w:sz w:val="24"/>
          <w:szCs w:val="24"/>
          <w:highlight w:val="none"/>
          <w:vertAlign w:val="superscript"/>
          <w:lang w:val="en-US" w:eastAsia="zh-CN" w:bidi="ar"/>
        </w:rPr>
        <w:t>3</w:t>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动态安息角：20</w:t>
      </w:r>
      <w:r>
        <w:rPr>
          <w:rFonts w:hint="eastAsia" w:asciiTheme="minorEastAsia" w:hAnsiTheme="minorEastAsia" w:eastAsiaTheme="minorEastAsia" w:cstheme="minorEastAsia"/>
          <w:i w:val="0"/>
          <w:iCs w:val="0"/>
          <w:caps w:val="0"/>
          <w:color w:val="auto"/>
          <w:spacing w:val="5"/>
          <w:kern w:val="0"/>
          <w:sz w:val="24"/>
          <w:szCs w:val="24"/>
          <w:highlight w:val="none"/>
          <w:vertAlign w:val="superscript"/>
          <w:lang w:val="en-US" w:eastAsia="zh-CN" w:bidi="ar"/>
        </w:rPr>
        <w:t>o</w:t>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5"/>
          <w:kern w:val="0"/>
          <w:sz w:val="24"/>
          <w:szCs w:val="24"/>
          <w:highlight w:val="none"/>
          <w:lang w:val="en-US" w:eastAsia="zh-CN" w:bidi="ar"/>
        </w:rPr>
        <w:t>3.2煤质资料：</w:t>
      </w:r>
    </w:p>
    <w:tbl>
      <w:tblPr>
        <w:tblStyle w:val="8"/>
        <w:tblW w:w="53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42"/>
        <w:gridCol w:w="58"/>
        <w:gridCol w:w="1040"/>
        <w:gridCol w:w="980"/>
        <w:gridCol w:w="1220"/>
        <w:gridCol w:w="1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项目   </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名称</w:t>
            </w:r>
          </w:p>
        </w:tc>
        <w:tc>
          <w:tcPr>
            <w:tcW w:w="965" w:type="dxa"/>
            <w:tcBorders>
              <w:top w:val="single" w:color="000000" w:sz="4" w:space="0"/>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符号</w:t>
            </w:r>
          </w:p>
        </w:tc>
        <w:tc>
          <w:tcPr>
            <w:tcW w:w="759" w:type="dxa"/>
            <w:tcBorders>
              <w:top w:val="single" w:color="000000" w:sz="4" w:space="0"/>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单位</w:t>
            </w:r>
          </w:p>
        </w:tc>
        <w:tc>
          <w:tcPr>
            <w:tcW w:w="1025" w:type="dxa"/>
            <w:tcBorders>
              <w:top w:val="single" w:color="000000" w:sz="4" w:space="0"/>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设计煤种</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（蒙混煤）</w:t>
            </w:r>
          </w:p>
        </w:tc>
        <w:tc>
          <w:tcPr>
            <w:tcW w:w="1241" w:type="dxa"/>
            <w:tcBorders>
              <w:top w:val="single" w:color="000000" w:sz="4" w:space="0"/>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校核煤种</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（晋北烟煤）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全水分</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M</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t</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16.4</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空干基水分</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M</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ad</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6.68</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收到基灰分</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A</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15.12</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干燥无灰基挥发分</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V</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daf</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35.71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39.49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vMerge w:val="restart"/>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收到基低位发热量</w:t>
            </w:r>
          </w:p>
        </w:tc>
        <w:tc>
          <w:tcPr>
            <w:tcW w:w="965" w:type="dxa"/>
            <w:vMerge w:val="restart"/>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Q</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net,ar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kJ/kg</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20410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19450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965" w:type="dxa"/>
            <w:vMerge w:val="continue"/>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kcal/kg</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4881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4651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收到基碳</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C</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54.11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收到基氢</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H</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3.14</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收到基氧</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9.67</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收到基氮</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N</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0.81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收到基全硫</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S</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0.75</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哈氏可磨指数</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HGI</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 </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48</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煤中游离二氧化硅</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SiO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(F)</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ad</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4.1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煤中氟</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F</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ug/g</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94</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煤中汞</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Hg</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ug/g</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0.016</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煤中氯</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Cl</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0.009</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煤中砷</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As</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ug/g</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煤中磷</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P</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ar</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0.020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二氧化硅</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SiO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39.67</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三氧化二铝</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Al</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3</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13.21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39.62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三氧化二铁</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Fe</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3</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11.34</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氧化钙</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CaO</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17.83</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氧化镁</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MgO</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2.55</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氧化钾</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K</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O</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1.07</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氧化钠</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Na</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O</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0.91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二氧化钛</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TiO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2</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1.15</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三氧化硫</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SO</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bscript"/>
                <w:lang w:val="en-US" w:eastAsia="zh-CN" w:bidi="ar"/>
              </w:rPr>
              <w:t>3</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11.45</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其它</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 </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0.82</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变形温度</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DT</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1110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软化温度</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ST</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1130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半球温度</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HT</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1150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流动温度</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FT</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1170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400" w:type="dxa"/>
            <w:gridSpan w:val="2"/>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磨损冲刷指数</w:t>
            </w:r>
          </w:p>
        </w:tc>
        <w:tc>
          <w:tcPr>
            <w:tcW w:w="96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Ke</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 </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2.10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测量电压（V)</w:t>
            </w: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测试温度(℃)</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 </w:t>
            </w:r>
          </w:p>
        </w:tc>
        <w:tc>
          <w:tcPr>
            <w:tcW w:w="2266"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煤灰比电阻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restart"/>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500</w:t>
            </w: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20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2.70×10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4.50×10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80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3.80×10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1.90×10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100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2.10×10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12</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2.30×10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120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2.30×10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12</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3.70×10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150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3.40×10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11</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3.50×10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 w:hRule="atLeast"/>
          <w:jc w:val="center"/>
        </w:trPr>
        <w:tc>
          <w:tcPr>
            <w:tcW w:w="1042" w:type="dxa"/>
            <w:vMerge w:val="continue"/>
            <w:tcBorders>
              <w:top w:val="nil"/>
              <w:left w:val="single" w:color="000000" w:sz="4" w:space="0"/>
              <w:bottom w:val="single" w:color="000000" w:sz="4" w:space="0"/>
              <w:right w:val="single" w:color="000000" w:sz="4" w:space="0"/>
            </w:tcBorders>
            <w:shd w:val="clear" w:color="auto" w:fill="FFFFFF"/>
            <w:tcMar>
              <w:top w:w="0" w:type="dxa"/>
              <w:left w:w="70" w:type="dxa"/>
              <w:bottom w:w="0" w:type="dxa"/>
              <w:right w:w="70" w:type="dxa"/>
            </w:tcMar>
            <w:vAlign w:val="center"/>
          </w:tcPr>
          <w:p>
            <w:pPr>
              <w:rPr>
                <w:rFonts w:hint="eastAsia" w:asciiTheme="minorEastAsia" w:hAnsiTheme="minorEastAsia" w:eastAsiaTheme="minorEastAsia" w:cstheme="minorEastAsia"/>
                <w:i w:val="0"/>
                <w:iCs w:val="0"/>
                <w:caps w:val="0"/>
                <w:color w:val="auto"/>
                <w:spacing w:val="0"/>
                <w:sz w:val="24"/>
                <w:szCs w:val="24"/>
                <w:highlight w:val="none"/>
              </w:rPr>
            </w:pPr>
          </w:p>
        </w:tc>
        <w:tc>
          <w:tcPr>
            <w:tcW w:w="1323" w:type="dxa"/>
            <w:gridSpan w:val="2"/>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180</w:t>
            </w:r>
          </w:p>
        </w:tc>
        <w:tc>
          <w:tcPr>
            <w:tcW w:w="759"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Ω·cm</w:t>
            </w:r>
          </w:p>
        </w:tc>
        <w:tc>
          <w:tcPr>
            <w:tcW w:w="1025"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4.90×10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10</w:t>
            </w:r>
          </w:p>
        </w:tc>
        <w:tc>
          <w:tcPr>
            <w:tcW w:w="1241" w:type="dxa"/>
            <w:tcBorders>
              <w:top w:val="nil"/>
              <w:left w:val="nil"/>
              <w:bottom w:val="single" w:color="000000" w:sz="4" w:space="0"/>
              <w:right w:val="single" w:color="000000" w:sz="4" w:space="0"/>
            </w:tcBorders>
            <w:shd w:val="clear" w:color="auto" w:fill="FFFFFF"/>
            <w:tcMar>
              <w:top w:w="0" w:type="dxa"/>
              <w:left w:w="70" w:type="dxa"/>
              <w:bottom w:w="0" w:type="dxa"/>
              <w:right w:w="70" w:type="dxa"/>
            </w:tcMar>
            <w:vAlign w:val="center"/>
          </w:tcPr>
          <w:p>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u w:val="none"/>
                <w:lang w:val="en-US" w:eastAsia="zh-CN" w:bidi="ar"/>
              </w:rPr>
              <w:t>5.30×10</w:t>
            </w:r>
            <w:r>
              <w:rPr>
                <w:rFonts w:hint="eastAsia" w:asciiTheme="minorEastAsia" w:hAnsiTheme="minorEastAsia" w:eastAsiaTheme="minorEastAsia" w:cstheme="minorEastAsia"/>
                <w:i w:val="0"/>
                <w:iCs w:val="0"/>
                <w:caps w:val="0"/>
                <w:color w:val="auto"/>
                <w:spacing w:val="0"/>
                <w:kern w:val="0"/>
                <w:sz w:val="24"/>
                <w:szCs w:val="24"/>
                <w:highlight w:val="none"/>
                <w:u w:val="none"/>
                <w:vertAlign w:val="superscript"/>
                <w:lang w:val="en-US" w:eastAsia="zh-CN" w:bidi="ar"/>
              </w:rPr>
              <w:t>10</w:t>
            </w:r>
          </w:p>
        </w:tc>
      </w:tr>
    </w:tbl>
    <w:p>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pPr>
        <w:widowControl/>
        <w:tabs>
          <w:tab w:val="left" w:pos="480"/>
        </w:tabs>
        <w:spacing w:line="360" w:lineRule="auto"/>
        <w:ind w:firstLine="0" w:firstLineChars="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武威（推煤机）：</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推煤机满足电厂封闭煤场或露天煤场的推煤、碾压煤堆与平整煤堆要求，具有较大的爬坡能力和防倾覆安全性能。推煤机要求启动、运行和停机应平稳并安全可靠。</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2推煤机应能适应煤场的工作环境：适应</w:t>
      </w:r>
      <w:r>
        <w:rPr>
          <w:rFonts w:hint="eastAsia" w:asciiTheme="minorEastAsia" w:hAnsiTheme="minorEastAsia" w:eastAsiaTheme="minorEastAsia" w:cstheme="minorEastAsia"/>
          <w:color w:val="auto"/>
          <w:sz w:val="24"/>
          <w:szCs w:val="24"/>
          <w:highlight w:val="none"/>
          <w:lang w:val="en-US" w:eastAsia="zh-CN"/>
        </w:rPr>
        <w:t>北方极寒天气</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-20℃左右</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工作环境、粉尘量大，有局部自燃现象，高温、高烟雾。</w:t>
      </w:r>
    </w:p>
    <w:p>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pPr>
        <w:numPr>
          <w:ilvl w:val="0"/>
          <w:numId w:val="0"/>
        </w:num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台二（推煤机）</w:t>
      </w:r>
    </w:p>
    <w:p>
      <w:pPr>
        <w:spacing w:line="5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3.1气象特征与环境条件</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环境温度范围：-7.5℃-38.8℃</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相对湿度：年平均相对湿度：81%</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气候条件：有雾气、雷暴和海洋性气候侵蚀。</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燃煤</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3.2.1煤物理特性</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煤种煤质：台二电厂发电机组所需燃煤全程由货船运输，年耗煤量约460万吨，全部采用卸船机卸煤方式，机组燃烧设计煤种为晋北烟煤，校核煤种为神府混烟煤和混烟煤，但实际燃煤煤种复杂多变。</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散装密度：对容积设计0.85-1.0 t/m3；对载荷设计0.85-1.0t/m3；原煤粒度：≤250mm；动安息角：20°-35°</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3.2.2煤质分析如下：</w:t>
      </w:r>
    </w:p>
    <w:tbl>
      <w:tblPr>
        <w:tblStyle w:val="8"/>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88"/>
        <w:gridCol w:w="2342"/>
        <w:gridCol w:w="931"/>
        <w:gridCol w:w="791"/>
        <w:gridCol w:w="1443"/>
        <w:gridCol w:w="1701"/>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313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    目</w:t>
            </w:r>
          </w:p>
        </w:tc>
        <w:tc>
          <w:tcPr>
            <w:tcW w:w="93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符  号</w:t>
            </w:r>
          </w:p>
        </w:tc>
        <w:tc>
          <w:tcPr>
            <w:tcW w:w="7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单  位</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设计煤种</w:t>
            </w:r>
          </w:p>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（晋北烟煤）</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校核煤种1</w:t>
            </w:r>
          </w:p>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（神府混烟煤）</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校核煤种2</w:t>
            </w:r>
          </w:p>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（混烟煤）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restart"/>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工业</w:t>
            </w:r>
          </w:p>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分析</w:t>
            </w: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收到基碳</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Car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54.92</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53.11</w:t>
            </w:r>
          </w:p>
        </w:tc>
        <w:tc>
          <w:tcPr>
            <w:tcW w:w="16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54.26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收到基氢</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Har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3.5</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3.32</w:t>
            </w:r>
          </w:p>
        </w:tc>
        <w:tc>
          <w:tcPr>
            <w:tcW w:w="16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收到基氧</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Oar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7.8</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8.77</w:t>
            </w:r>
          </w:p>
        </w:tc>
        <w:tc>
          <w:tcPr>
            <w:tcW w:w="16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收到基氮</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Nar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0.93</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0.85</w:t>
            </w:r>
          </w:p>
        </w:tc>
        <w:tc>
          <w:tcPr>
            <w:tcW w:w="16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收到基硫(全硫)</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St，ar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0.85</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0.95</w:t>
            </w:r>
          </w:p>
        </w:tc>
        <w:tc>
          <w:tcPr>
            <w:tcW w:w="16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游离二氧化硅</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SiO</w:t>
            </w:r>
            <w:r>
              <w:rPr>
                <w:rFonts w:hint="eastAsia" w:asciiTheme="minorEastAsia" w:hAnsiTheme="minorEastAsia" w:eastAsiaTheme="minorEastAsia" w:cstheme="minorEastAsia"/>
                <w:bCs/>
                <w:color w:val="auto"/>
                <w:sz w:val="24"/>
                <w:szCs w:val="24"/>
                <w:highlight w:val="none"/>
                <w:vertAlign w:val="subscript"/>
              </w:rPr>
              <w:t>2</w:t>
            </w:r>
            <w:r>
              <w:rPr>
                <w:rFonts w:hint="eastAsia" w:asciiTheme="minorEastAsia" w:hAnsiTheme="minorEastAsia" w:eastAsiaTheme="minorEastAsia" w:cstheme="minorEastAsia"/>
                <w:bCs/>
                <w:color w:val="auto"/>
                <w:sz w:val="24"/>
                <w:szCs w:val="24"/>
                <w:highlight w:val="none"/>
              </w:rPr>
              <w:t>(F)</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0.54</w:t>
            </w:r>
          </w:p>
        </w:tc>
        <w:tc>
          <w:tcPr>
            <w:tcW w:w="170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2.76</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88" w:type="dxa"/>
            <w:vMerge w:val="restart"/>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元素</w:t>
            </w:r>
          </w:p>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分析</w:t>
            </w: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收到基灰份</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Aar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22</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18</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9" w:hRule="atLeas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收到基水份(全水份)</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Mt，ar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10</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15</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1" w:hRule="atLeas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空干基水份</w:t>
            </w:r>
          </w:p>
        </w:tc>
        <w:tc>
          <w:tcPr>
            <w:tcW w:w="931" w:type="dxa"/>
            <w:tcBorders>
              <w:top w:val="single" w:color="auto" w:sz="4" w:space="0"/>
              <w:left w:val="single" w:color="auto" w:sz="4" w:space="0"/>
              <w:bottom w:val="single" w:color="auto" w:sz="4" w:space="0"/>
              <w:right w:val="single" w:color="auto" w:sz="4" w:space="0"/>
            </w:tcBorders>
            <w:vAlign w:val="bottom"/>
          </w:tcPr>
          <w:p>
            <w:pPr>
              <w:ind w:firstLine="360" w:firstLineChars="15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Mad</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2.2</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3.74</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干燥无灰基挥发份</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Vdaf</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443" w:type="dxa"/>
            <w:tcBorders>
              <w:top w:val="single" w:color="auto" w:sz="4" w:space="0"/>
              <w:left w:val="single" w:color="auto" w:sz="4" w:space="0"/>
              <w:bottom w:val="single" w:color="auto" w:sz="4" w:space="0"/>
              <w:right w:val="single" w:color="auto" w:sz="4" w:space="0"/>
            </w:tcBorders>
            <w:vAlign w:val="center"/>
          </w:tcPr>
          <w:p>
            <w:pPr>
              <w:ind w:firstLine="720" w:firstLineChars="3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36</w:t>
            </w:r>
          </w:p>
        </w:tc>
        <w:tc>
          <w:tcPr>
            <w:tcW w:w="1701" w:type="dxa"/>
            <w:tcBorders>
              <w:top w:val="single" w:color="auto" w:sz="4" w:space="0"/>
              <w:left w:val="single" w:color="auto" w:sz="4" w:space="0"/>
              <w:bottom w:val="single" w:color="auto" w:sz="4" w:space="0"/>
              <w:right w:val="single" w:color="auto" w:sz="4" w:space="0"/>
            </w:tcBorders>
            <w:vAlign w:val="center"/>
          </w:tcPr>
          <w:p>
            <w:pPr>
              <w:ind w:firstLine="840" w:firstLineChars="35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39</w:t>
            </w:r>
          </w:p>
        </w:tc>
        <w:tc>
          <w:tcPr>
            <w:tcW w:w="1626" w:type="dxa"/>
            <w:tcBorders>
              <w:top w:val="single" w:color="auto" w:sz="4" w:space="0"/>
              <w:left w:val="single" w:color="auto" w:sz="4" w:space="0"/>
              <w:bottom w:val="single" w:color="auto" w:sz="4" w:space="0"/>
              <w:right w:val="single" w:color="auto" w:sz="4" w:space="0"/>
            </w:tcBorders>
          </w:tcPr>
          <w:p>
            <w:pPr>
              <w:ind w:firstLine="600" w:firstLineChars="25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9" w:hRule="atLeast"/>
          <w:jc w:val="center"/>
        </w:trPr>
        <w:tc>
          <w:tcPr>
            <w:tcW w:w="7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Cs/>
                <w:color w:val="auto"/>
                <w:sz w:val="24"/>
                <w:szCs w:val="24"/>
                <w:highlight w:val="none"/>
              </w:rPr>
            </w:pPr>
          </w:p>
        </w:tc>
        <w:tc>
          <w:tcPr>
            <w:tcW w:w="2342"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收到基低位发热量</w:t>
            </w:r>
          </w:p>
        </w:tc>
        <w:tc>
          <w:tcPr>
            <w:tcW w:w="931" w:type="dxa"/>
            <w:tcBorders>
              <w:top w:val="single" w:color="auto" w:sz="4" w:space="0"/>
              <w:left w:val="single" w:color="auto" w:sz="4" w:space="0"/>
              <w:bottom w:val="single" w:color="auto" w:sz="4" w:space="0"/>
              <w:right w:val="single" w:color="auto" w:sz="4" w:space="0"/>
            </w:tcBorders>
            <w:vAlign w:val="bottom"/>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Qnet.ar</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kJ/kg</w:t>
            </w:r>
          </w:p>
        </w:tc>
        <w:tc>
          <w:tcPr>
            <w:tcW w:w="1443"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21000</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20900</w:t>
            </w:r>
          </w:p>
        </w:tc>
        <w:tc>
          <w:tcPr>
            <w:tcW w:w="1626" w:type="dxa"/>
            <w:tcBorders>
              <w:top w:val="single" w:color="auto" w:sz="4" w:space="0"/>
              <w:left w:val="single" w:color="auto" w:sz="4" w:space="0"/>
              <w:bottom w:val="single" w:color="auto" w:sz="4" w:space="0"/>
              <w:right w:val="single" w:color="auto" w:sz="4" w:space="0"/>
            </w:tcBorders>
          </w:tcPr>
          <w:p>
            <w:pPr>
              <w:ind w:firstLine="600" w:firstLineChars="25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20970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130"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哈氏可磨指数</w:t>
            </w:r>
          </w:p>
        </w:tc>
        <w:tc>
          <w:tcPr>
            <w:tcW w:w="93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HGI</w:t>
            </w:r>
          </w:p>
        </w:tc>
        <w:tc>
          <w:tcPr>
            <w:tcW w:w="791" w:type="dxa"/>
            <w:tcBorders>
              <w:top w:val="single" w:color="auto" w:sz="4" w:space="0"/>
              <w:left w:val="single" w:color="auto" w:sz="4" w:space="0"/>
              <w:bottom w:val="single" w:color="auto" w:sz="4" w:space="0"/>
              <w:right w:val="single" w:color="auto" w:sz="4" w:space="0"/>
            </w:tcBorders>
            <w:vAlign w:val="bottom"/>
          </w:tcPr>
          <w:p>
            <w:pPr>
              <w:jc w:val="center"/>
              <w:rPr>
                <w:rFonts w:hint="eastAsia" w:asciiTheme="minorEastAsia" w:hAnsiTheme="minorEastAsia" w:eastAsiaTheme="minorEastAsia" w:cstheme="minorEastAsia"/>
                <w:bCs/>
                <w:color w:val="auto"/>
                <w:sz w:val="24"/>
                <w:szCs w:val="24"/>
                <w:highlight w:val="none"/>
              </w:rPr>
            </w:pPr>
          </w:p>
        </w:tc>
        <w:tc>
          <w:tcPr>
            <w:tcW w:w="14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45</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65</w:t>
            </w:r>
          </w:p>
        </w:tc>
        <w:tc>
          <w:tcPr>
            <w:tcW w:w="1626"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45</w:t>
            </w:r>
          </w:p>
        </w:tc>
      </w:tr>
    </w:tbl>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6"/>
          <w:sz w:val="24"/>
          <w:szCs w:val="24"/>
          <w:highlight w:val="none"/>
        </w:rPr>
        <w:t>3.3</w:t>
      </w:r>
      <w:r>
        <w:rPr>
          <w:rFonts w:hint="eastAsia" w:asciiTheme="minorEastAsia" w:hAnsiTheme="minorEastAsia" w:eastAsiaTheme="minorEastAsia" w:cstheme="minorEastAsia"/>
          <w:color w:val="auto"/>
          <w:sz w:val="24"/>
          <w:szCs w:val="24"/>
          <w:highlight w:val="none"/>
        </w:rPr>
        <w:t>安装运行条件</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推煤机应具有推、碾、压、平整煤堆等功能，具有较大的爬坡能力和防倾覆安全措施。</w:t>
      </w:r>
    </w:p>
    <w:p>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工作环境：露天煤场，粉尘量大；有局部自燃现象，清场时，高温、高粉尘、高烟雾。</w:t>
      </w:r>
    </w:p>
    <w:p>
      <w:pPr>
        <w:pStyle w:val="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平均年工作约2000小时。</w:t>
      </w:r>
    </w:p>
    <w:p>
      <w:pPr>
        <w:rPr>
          <w:rFonts w:hint="eastAsia" w:asciiTheme="minorEastAsia" w:hAnsiTheme="minorEastAsia" w:eastAsiaTheme="minorEastAsia" w:cstheme="minorEastAsia"/>
          <w:color w:val="auto"/>
          <w:sz w:val="24"/>
          <w:szCs w:val="24"/>
          <w:highlight w:val="none"/>
        </w:rPr>
      </w:pPr>
    </w:p>
    <w:p>
      <w:pPr>
        <w:pStyle w:val="2"/>
        <w:rPr>
          <w:rFonts w:hint="eastAsia"/>
        </w:rPr>
      </w:pPr>
    </w:p>
    <w:p>
      <w:pPr>
        <w:pStyle w:val="5"/>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镇海</w:t>
      </w:r>
      <w:r>
        <w:rPr>
          <w:rFonts w:hint="eastAsia" w:asciiTheme="minorEastAsia" w:hAnsiTheme="minorEastAsia" w:eastAsiaTheme="minorEastAsia" w:cstheme="minorEastAsia"/>
          <w:b/>
          <w:bCs/>
          <w:color w:val="auto"/>
          <w:sz w:val="24"/>
          <w:szCs w:val="24"/>
          <w:highlight w:val="none"/>
          <w:lang w:val="en-US" w:eastAsia="zh-CN"/>
        </w:rPr>
        <w:t>（推煤机）</w:t>
      </w:r>
    </w:p>
    <w:p>
      <w:pPr>
        <w:adjustRightInd w:val="0"/>
        <w:spacing w:line="360" w:lineRule="auto"/>
        <w:jc w:val="left"/>
        <w:textAlignment w:val="baseline"/>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3.1 系统概况和相关设备</w:t>
      </w:r>
    </w:p>
    <w:p>
      <w:pPr>
        <w:adjustRightInd w:val="0"/>
        <w:spacing w:line="360" w:lineRule="auto"/>
        <w:ind w:firstLine="420"/>
        <w:jc w:val="left"/>
        <w:textAlignment w:val="baseline"/>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本</w:t>
      </w:r>
      <w:r>
        <w:rPr>
          <w:rFonts w:hint="eastAsia" w:asciiTheme="minorEastAsia" w:hAnsiTheme="minorEastAsia" w:eastAsiaTheme="minorEastAsia" w:cstheme="minorEastAsia"/>
          <w:color w:val="auto"/>
          <w:kern w:val="0"/>
          <w:sz w:val="24"/>
          <w:szCs w:val="24"/>
          <w:highlight w:val="none"/>
          <w:lang w:val="en-US" w:eastAsia="zh-CN"/>
        </w:rPr>
        <w:t>次采购的</w:t>
      </w:r>
      <w:r>
        <w:rPr>
          <w:rFonts w:hint="eastAsia" w:asciiTheme="minorEastAsia" w:hAnsiTheme="minorEastAsia" w:eastAsiaTheme="minorEastAsia" w:cstheme="minorEastAsia"/>
          <w:color w:val="auto"/>
          <w:kern w:val="0"/>
          <w:sz w:val="24"/>
          <w:szCs w:val="24"/>
          <w:highlight w:val="none"/>
        </w:rPr>
        <w:t>推煤机用于气膜式结构封闭</w:t>
      </w:r>
      <w:r>
        <w:rPr>
          <w:rFonts w:hint="eastAsia" w:asciiTheme="minorEastAsia" w:hAnsiTheme="minorEastAsia" w:eastAsiaTheme="minorEastAsia" w:cstheme="minorEastAsia"/>
          <w:color w:val="auto"/>
          <w:kern w:val="0"/>
          <w:sz w:val="24"/>
          <w:szCs w:val="24"/>
          <w:highlight w:val="none"/>
          <w:lang w:val="en-US" w:eastAsia="zh-CN"/>
        </w:rPr>
        <w:t>储</w:t>
      </w:r>
      <w:r>
        <w:rPr>
          <w:rFonts w:hint="eastAsia" w:asciiTheme="minorEastAsia" w:hAnsiTheme="minorEastAsia" w:eastAsiaTheme="minorEastAsia" w:cstheme="minorEastAsia"/>
          <w:color w:val="auto"/>
          <w:kern w:val="0"/>
          <w:sz w:val="24"/>
          <w:szCs w:val="24"/>
          <w:highlight w:val="none"/>
        </w:rPr>
        <w:t>煤场内推煤、</w:t>
      </w:r>
      <w:r>
        <w:rPr>
          <w:rFonts w:hint="eastAsia" w:asciiTheme="minorEastAsia" w:hAnsiTheme="minorEastAsia" w:eastAsiaTheme="minorEastAsia" w:cstheme="minorEastAsia"/>
          <w:color w:val="auto"/>
          <w:sz w:val="24"/>
          <w:szCs w:val="24"/>
          <w:highlight w:val="none"/>
        </w:rPr>
        <w:t>碾压煤堆、平整煤堆等</w:t>
      </w:r>
      <w:r>
        <w:rPr>
          <w:rFonts w:hint="eastAsia" w:asciiTheme="minorEastAsia" w:hAnsiTheme="minorEastAsia" w:eastAsiaTheme="minorEastAsia" w:cstheme="minorEastAsia"/>
          <w:color w:val="auto"/>
          <w:kern w:val="0"/>
          <w:sz w:val="24"/>
          <w:szCs w:val="24"/>
          <w:highlight w:val="none"/>
        </w:rPr>
        <w:t>作业。</w:t>
      </w:r>
    </w:p>
    <w:p>
      <w:pPr>
        <w:adjustRightInd w:val="0"/>
        <w:spacing w:line="360" w:lineRule="auto"/>
        <w:jc w:val="left"/>
        <w:textAlignment w:val="baseline"/>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3.2 主要原始资料</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3.2.1 气象特征与环境条件</w:t>
      </w:r>
    </w:p>
    <w:p>
      <w:pPr>
        <w:snapToGrid w:val="0"/>
        <w:spacing w:line="360" w:lineRule="auto"/>
        <w:ind w:firstLine="48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本工程所在区域属中亚热带季风气候，四季分明，气候温和湿润，气温年际变化小，湿度大，雨量充沛，风向风速季节变化明显。</w:t>
      </w:r>
    </w:p>
    <w:p>
      <w:pPr>
        <w:snapToGrid w:val="0"/>
        <w:spacing w:line="360" w:lineRule="auto"/>
        <w:ind w:firstLine="48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厂址气象要素特征值参考附近有长期观测资料的北仑气象站资料。北仑气象站位于位于北仑区戚家山街道老沙头村炮台山，临近甬江口，北纬29°58′N，东经121°45′E，观测场海拔22.1m，该站1971年1月开始观测，为国家一般观测站；2008年改为中尺度自动气象站。</w:t>
      </w:r>
    </w:p>
    <w:p>
      <w:pPr>
        <w:snapToGrid w:val="0"/>
        <w:spacing w:line="360" w:lineRule="auto"/>
        <w:ind w:firstLine="48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根据该站1971~2015年实测资料统计，各气象要素累年特征值如下：</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累年平均气压：</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1013.7hPa</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16.8℃</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累年平均最高气温：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20.2℃</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累年平均最低气温：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14.0℃</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最热月(七月)平均气温：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27.9℃</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最冷月(一月)平均气温：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5.2℃</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极端最高气温：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39.5℃      (2013年5月12日)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极端最低气温：</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-6.6℃      (1977年1月31日)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累年平均相对湿度：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77%</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极端最小相对湿度：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10%    (1974年3月19日)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累年平均水汽压：</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17.0hPa</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累年平均年降水量：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1331.7mm</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累年最大年降水量：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1869.2mm</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累年最小年降水量：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797.3mm</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最大日降水量：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229.7mm    (2015年9月30日)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最大小时降水量：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81.2mm   (1981年7月30日)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最长连续降水天数：</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18d  (1990年8月30日</w:t>
      </w:r>
      <w:r>
        <w:rPr>
          <w:rFonts w:hint="eastAsia" w:asciiTheme="minorEastAsia" w:hAnsiTheme="minorEastAsia" w:eastAsiaTheme="minorEastAsia" w:cstheme="minorEastAsia"/>
          <w:color w:val="auto"/>
          <w:sz w:val="24"/>
          <w:szCs w:val="24"/>
          <w:highlight w:val="none"/>
        </w:rPr>
        <w:sym w:font="Symbol" w:char="F07E"/>
      </w:r>
      <w:r>
        <w:rPr>
          <w:rFonts w:hint="eastAsia" w:asciiTheme="minorEastAsia" w:hAnsiTheme="minorEastAsia" w:eastAsiaTheme="minorEastAsia" w:cstheme="minorEastAsia"/>
          <w:color w:val="auto"/>
          <w:sz w:val="24"/>
          <w:szCs w:val="24"/>
          <w:highlight w:val="none"/>
        </w:rPr>
        <w:t>9月16日)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相应过程降水量：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251.1mm</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累年平均蒸发量：</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1484.5mm</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累年平均雾日数：</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29.4d</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累年平均雷暴日数：</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29.6d</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最大积雪深度：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14cm        (1977年1月30日)</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累年平均风速：</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5.0m/s</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十分钟平均最大风速：</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34.3m/s    (1988年08月08日 E)</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瞬时最大风速：</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sym w:font="Symbol" w:char="F03E"/>
      </w:r>
      <w:r>
        <w:rPr>
          <w:rFonts w:hint="eastAsia" w:asciiTheme="minorEastAsia" w:hAnsiTheme="minorEastAsia" w:eastAsiaTheme="minorEastAsia" w:cstheme="minorEastAsia"/>
          <w:color w:val="auto"/>
          <w:sz w:val="24"/>
          <w:szCs w:val="24"/>
          <w:highlight w:val="none"/>
        </w:rPr>
        <w:t>40m/s</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百年一遇离地十米最大十分钟平均风速：38.0m/s</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五十年一遇离地十米最大十分钟平均风速：36.0m/s</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全年主导风向：ESE、NW</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夏季主导风向：ESE</w:t>
      </w:r>
    </w:p>
    <w:p>
      <w:pPr>
        <w:snapToGrid w:val="0"/>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冬季主导风向：NW</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3.2.2厂址区未来50年超越概率10%的地震动峰值加速度为0.10g，相应的抗震设防烈度为7度，设计地震分组为第一组。</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3.2.3 燃煤</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3.2.3.1 煤物理特性</w:t>
      </w:r>
    </w:p>
    <w:p>
      <w:pPr>
        <w:pStyle w:val="7"/>
        <w:tabs>
          <w:tab w:val="left" w:pos="3960"/>
        </w:tabs>
        <w:snapToGrid w:val="0"/>
        <w:spacing w:line="360" w:lineRule="auto"/>
        <w:ind w:firstLine="625"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原煤粒度：入厂煤破碎后：≤</w:t>
      </w:r>
      <w:r>
        <w:rPr>
          <w:rFonts w:hint="eastAsia" w:asciiTheme="minorEastAsia" w:hAnsiTheme="minorEastAsia" w:eastAsiaTheme="minorEastAsia" w:cstheme="minorEastAsia"/>
          <w:color w:val="auto"/>
          <w:sz w:val="24"/>
          <w:szCs w:val="24"/>
          <w:highlight w:val="none"/>
          <w:u w:val="none"/>
        </w:rPr>
        <w:t xml:space="preserve"> 13</w:t>
      </w:r>
      <w:r>
        <w:rPr>
          <w:rFonts w:hint="eastAsia" w:asciiTheme="minorEastAsia" w:hAnsiTheme="minorEastAsia" w:eastAsiaTheme="minorEastAsia" w:cstheme="minorEastAsia"/>
          <w:color w:val="auto"/>
          <w:sz w:val="24"/>
          <w:szCs w:val="24"/>
          <w:highlight w:val="none"/>
        </w:rPr>
        <w:t>mm；入炉煤：≤</w:t>
      </w:r>
      <w:r>
        <w:rPr>
          <w:rFonts w:hint="eastAsia" w:asciiTheme="minorEastAsia" w:hAnsiTheme="minorEastAsia" w:eastAsiaTheme="minorEastAsia" w:cstheme="minorEastAsia"/>
          <w:color w:val="auto"/>
          <w:sz w:val="24"/>
          <w:szCs w:val="24"/>
          <w:highlight w:val="none"/>
          <w:u w:val="none"/>
        </w:rPr>
        <w:t xml:space="preserve"> 13 </w:t>
      </w:r>
      <w:r>
        <w:rPr>
          <w:rFonts w:hint="eastAsia" w:asciiTheme="minorEastAsia" w:hAnsiTheme="minorEastAsia" w:eastAsiaTheme="minorEastAsia" w:cstheme="minorEastAsia"/>
          <w:color w:val="auto"/>
          <w:sz w:val="24"/>
          <w:szCs w:val="24"/>
          <w:highlight w:val="none"/>
        </w:rPr>
        <w:t>mm；</w:t>
      </w:r>
    </w:p>
    <w:p>
      <w:pPr>
        <w:pStyle w:val="7"/>
        <w:tabs>
          <w:tab w:val="left" w:pos="3960"/>
        </w:tabs>
        <w:snapToGrid w:val="0"/>
        <w:spacing w:line="360" w:lineRule="auto"/>
        <w:ind w:firstLine="625"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散状密度：</w:t>
      </w:r>
      <w:r>
        <w:rPr>
          <w:rFonts w:hint="eastAsia" w:asciiTheme="minorEastAsia" w:hAnsiTheme="minorEastAsia" w:eastAsiaTheme="minorEastAsia" w:cstheme="minorEastAsia"/>
          <w:color w:val="auto"/>
          <w:sz w:val="24"/>
          <w:szCs w:val="24"/>
          <w:highlight w:val="none"/>
          <w:u w:val="none"/>
        </w:rPr>
        <w:t>容积计算按 0.8</w:t>
      </w:r>
      <w:r>
        <w:rPr>
          <w:rFonts w:hint="eastAsia" w:asciiTheme="minorEastAsia" w:hAnsiTheme="minorEastAsia" w:eastAsiaTheme="minorEastAsia" w:cstheme="minorEastAsia"/>
          <w:color w:val="auto"/>
          <w:sz w:val="24"/>
          <w:szCs w:val="24"/>
          <w:highlight w:val="none"/>
        </w:rPr>
        <w:t xml:space="preserve"> t/m</w:t>
      </w:r>
      <w:r>
        <w:rPr>
          <w:rFonts w:hint="eastAsia" w:asciiTheme="minorEastAsia" w:hAnsiTheme="minorEastAsia" w:eastAsiaTheme="minorEastAsia" w:cstheme="minorEastAsia"/>
          <w:color w:val="auto"/>
          <w:sz w:val="24"/>
          <w:szCs w:val="24"/>
          <w:highlight w:val="none"/>
          <w:vertAlign w:val="superscript"/>
        </w:rPr>
        <w:t>3</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t xml:space="preserve">载荷计算按1.2  </w:t>
      </w:r>
      <w:r>
        <w:rPr>
          <w:rFonts w:hint="eastAsia" w:asciiTheme="minorEastAsia" w:hAnsiTheme="minorEastAsia" w:eastAsiaTheme="minorEastAsia" w:cstheme="minorEastAsia"/>
          <w:color w:val="auto"/>
          <w:sz w:val="24"/>
          <w:szCs w:val="24"/>
          <w:highlight w:val="none"/>
        </w:rPr>
        <w:t>t/m</w:t>
      </w:r>
      <w:r>
        <w:rPr>
          <w:rFonts w:hint="eastAsia" w:asciiTheme="minorEastAsia" w:hAnsiTheme="minorEastAsia" w:eastAsiaTheme="minorEastAsia" w:cstheme="minorEastAsia"/>
          <w:color w:val="auto"/>
          <w:sz w:val="24"/>
          <w:szCs w:val="24"/>
          <w:highlight w:val="none"/>
          <w:vertAlign w:val="superscript"/>
        </w:rPr>
        <w:t>3</w:t>
      </w:r>
      <w:r>
        <w:rPr>
          <w:rFonts w:hint="eastAsia" w:asciiTheme="minorEastAsia" w:hAnsiTheme="minorEastAsia" w:eastAsiaTheme="minorEastAsia" w:cstheme="minorEastAsia"/>
          <w:color w:val="auto"/>
          <w:sz w:val="24"/>
          <w:szCs w:val="24"/>
          <w:highlight w:val="none"/>
        </w:rPr>
        <w:t>；</w:t>
      </w:r>
    </w:p>
    <w:p>
      <w:pPr>
        <w:pStyle w:val="7"/>
        <w:tabs>
          <w:tab w:val="left" w:pos="3960"/>
        </w:tabs>
        <w:snapToGrid w:val="0"/>
        <w:spacing w:line="360" w:lineRule="auto"/>
        <w:ind w:firstLine="625"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动态安息角：</w:t>
      </w:r>
      <w:r>
        <w:rPr>
          <w:rFonts w:hint="eastAsia" w:asciiTheme="minorEastAsia" w:hAnsiTheme="minorEastAsia" w:eastAsiaTheme="minorEastAsia" w:cstheme="minorEastAsia"/>
          <w:color w:val="auto"/>
          <w:sz w:val="24"/>
          <w:szCs w:val="24"/>
          <w:highlight w:val="none"/>
          <w:u w:val="none"/>
        </w:rPr>
        <w:t>20</w:t>
      </w:r>
      <w:r>
        <w:rPr>
          <w:rFonts w:hint="eastAsia" w:asciiTheme="minorEastAsia" w:hAnsiTheme="minorEastAsia" w:eastAsiaTheme="minorEastAsia" w:cstheme="minorEastAsia"/>
          <w:color w:val="auto"/>
          <w:sz w:val="24"/>
          <w:szCs w:val="24"/>
          <w:highlight w:val="none"/>
          <w:u w:val="none"/>
          <w:vertAlign w:val="superscript"/>
        </w:rPr>
        <w:t xml:space="preserve">o </w:t>
      </w:r>
      <w:r>
        <w:rPr>
          <w:rFonts w:hint="eastAsia" w:asciiTheme="minorEastAsia" w:hAnsiTheme="minorEastAsia" w:eastAsiaTheme="minorEastAsia" w:cstheme="minorEastAsia"/>
          <w:color w:val="auto"/>
          <w:sz w:val="24"/>
          <w:szCs w:val="24"/>
          <w:highlight w:val="none"/>
        </w:rPr>
        <w:t>。</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3.2.3.2 煤质资料：</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746"/>
        <w:gridCol w:w="2955"/>
        <w:gridCol w:w="850"/>
        <w:gridCol w:w="1279"/>
        <w:gridCol w:w="12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701" w:type="dxa"/>
            <w:gridSpan w:val="2"/>
            <w:vMerge w:val="restart"/>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名称及符号</w:t>
            </w:r>
          </w:p>
        </w:tc>
        <w:tc>
          <w:tcPr>
            <w:tcW w:w="850" w:type="dxa"/>
            <w:vMerge w:val="restart"/>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单位</w:t>
            </w:r>
          </w:p>
        </w:tc>
        <w:tc>
          <w:tcPr>
            <w:tcW w:w="1279" w:type="dxa"/>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设计煤种</w:t>
            </w:r>
          </w:p>
        </w:tc>
        <w:tc>
          <w:tcPr>
            <w:tcW w:w="1279" w:type="dxa"/>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校核煤种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701" w:type="dxa"/>
            <w:gridSpan w:val="2"/>
            <w:vMerge w:val="continue"/>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p>
        </w:tc>
        <w:tc>
          <w:tcPr>
            <w:tcW w:w="850"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p>
        </w:tc>
        <w:tc>
          <w:tcPr>
            <w:tcW w:w="1279" w:type="dxa"/>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晋北烟煤</w:t>
            </w:r>
          </w:p>
        </w:tc>
        <w:tc>
          <w:tcPr>
            <w:tcW w:w="1279" w:type="dxa"/>
            <w:noWrap w:val="0"/>
            <w:vAlign w:val="center"/>
          </w:tcPr>
          <w:p>
            <w:pPr>
              <w:snapToGrid w:val="0"/>
              <w:spacing w:line="360" w:lineRule="auto"/>
              <w:ind w:hanging="6"/>
              <w:jc w:val="center"/>
              <w:rPr>
                <w:rFonts w:hint="eastAsia" w:asciiTheme="minorEastAsia" w:hAnsiTheme="minorEastAsia" w:eastAsiaTheme="minorEastAsia" w:cstheme="minorEastAsia"/>
                <w:b/>
                <w:snapToGrid w:val="0"/>
                <w:color w:val="auto"/>
                <w:sz w:val="24"/>
                <w:szCs w:val="24"/>
                <w:highlight w:val="none"/>
              </w:rPr>
            </w:pPr>
            <w:r>
              <w:rPr>
                <w:rFonts w:hint="eastAsia" w:asciiTheme="minorEastAsia" w:hAnsiTheme="minorEastAsia" w:eastAsiaTheme="minorEastAsia" w:cstheme="minorEastAsia"/>
                <w:b/>
                <w:snapToGrid w:val="0"/>
                <w:color w:val="auto"/>
                <w:sz w:val="24"/>
                <w:szCs w:val="24"/>
                <w:highlight w:val="none"/>
              </w:rPr>
              <w:t>蒙混煤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restart"/>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工</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业</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分</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析</w:t>
            </w: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全水分Mt</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10.1</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16.1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空气干燥基水分Mad</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2.45</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5.45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收到基灰分Aar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19.4</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13.39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干燥无灰基挥发分Vdaf</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38.2</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36.46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收到基固定碳FCar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43.57</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44.80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1" w:type="dxa"/>
            <w:gridSpan w:val="2"/>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收到基低位发热量Qnet,ar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kJ/kg</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22000</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21400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1" w:type="dxa"/>
            <w:gridSpan w:val="2"/>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哈氏可磨系数HGI</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50</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1" w:type="dxa"/>
            <w:gridSpan w:val="2"/>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煤灰熔融特征温度/变形温度℃</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DT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1300</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1150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1" w:type="dxa"/>
            <w:gridSpan w:val="2"/>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煤灰熔融特征温度/软化温度℃</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ST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1350</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1180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1" w:type="dxa"/>
            <w:gridSpan w:val="2"/>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煤灰熔融特征温度/流动温度℃</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FT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1400</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1200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restart"/>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元</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素</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分</w:t>
            </w:r>
          </w:p>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析</w:t>
            </w: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收到基碳 Car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57.22</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56.84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收到基氢Har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3.56</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3.55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收到基氧Oar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7.94</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8.82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收到基氮Nar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0.93</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0.82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746" w:type="dxa"/>
            <w:vMerge w:val="continue"/>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p>
        </w:tc>
        <w:tc>
          <w:tcPr>
            <w:tcW w:w="2955"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全硫    St,ar</w:t>
            </w:r>
          </w:p>
        </w:tc>
        <w:tc>
          <w:tcPr>
            <w:tcW w:w="850" w:type="dxa"/>
            <w:noWrap w:val="0"/>
            <w:vAlign w:val="center"/>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0.85</w:t>
            </w:r>
          </w:p>
        </w:tc>
        <w:tc>
          <w:tcPr>
            <w:tcW w:w="1279" w:type="dxa"/>
            <w:noWrap w:val="0"/>
            <w:vAlign w:val="top"/>
          </w:tcPr>
          <w:p>
            <w:pPr>
              <w:snapToGrid w:val="0"/>
              <w:spacing w:line="360" w:lineRule="auto"/>
              <w:ind w:hanging="6"/>
              <w:jc w:val="center"/>
              <w:rPr>
                <w:rFonts w:hint="eastAsia" w:asciiTheme="minorEastAsia" w:hAnsiTheme="minorEastAsia" w:eastAsiaTheme="minorEastAsia" w:cstheme="minorEastAsia"/>
                <w:snapToGrid w:val="0"/>
                <w:color w:val="auto"/>
                <w:sz w:val="24"/>
                <w:szCs w:val="24"/>
                <w:highlight w:val="none"/>
              </w:rPr>
            </w:pPr>
            <w:r>
              <w:rPr>
                <w:rFonts w:hint="eastAsia" w:asciiTheme="minorEastAsia" w:hAnsiTheme="minorEastAsia" w:eastAsiaTheme="minorEastAsia" w:cstheme="minorEastAsia"/>
                <w:snapToGrid w:val="0"/>
                <w:color w:val="auto"/>
                <w:sz w:val="24"/>
                <w:szCs w:val="24"/>
                <w:highlight w:val="none"/>
              </w:rPr>
              <w:t>0.48</w:t>
            </w:r>
          </w:p>
        </w:tc>
      </w:tr>
    </w:tbl>
    <w:p>
      <w:pPr>
        <w:spacing w:line="360" w:lineRule="auto"/>
        <w:rPr>
          <w:rFonts w:hint="eastAsia" w:asciiTheme="minorEastAsia" w:hAnsiTheme="minorEastAsia" w:eastAsiaTheme="minorEastAsia" w:cstheme="minorEastAsia"/>
          <w:color w:val="auto"/>
          <w:sz w:val="24"/>
          <w:szCs w:val="24"/>
          <w:highlight w:val="none"/>
        </w:rPr>
      </w:pPr>
    </w:p>
    <w:p>
      <w:pPr>
        <w:pStyle w:val="7"/>
        <w:snapToGrid w:val="0"/>
        <w:spacing w:line="360" w:lineRule="auto"/>
        <w:ind w:firstLine="125"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3.2.3.3耗煤量</w:t>
      </w:r>
    </w:p>
    <w:p>
      <w:pPr>
        <w:pStyle w:val="7"/>
        <w:snapToGrid w:val="0"/>
        <w:spacing w:line="360" w:lineRule="auto"/>
        <w:ind w:firstLine="625"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本工程发电用煤的设计煤种采用晋北烟煤，校核煤种为蒙混煤。计算耗煤量如下：</w:t>
      </w:r>
    </w:p>
    <w:tbl>
      <w:tblPr>
        <w:tblStyle w:val="8"/>
        <w:tblW w:w="0" w:type="auto"/>
        <w:jc w:val="center"/>
        <w:tblLayout w:type="fixed"/>
        <w:tblCellMar>
          <w:top w:w="0" w:type="dxa"/>
          <w:left w:w="108" w:type="dxa"/>
          <w:bottom w:w="0" w:type="dxa"/>
          <w:right w:w="108" w:type="dxa"/>
        </w:tblCellMar>
      </w:tblPr>
      <w:tblGrid>
        <w:gridCol w:w="2451"/>
        <w:gridCol w:w="1277"/>
        <w:gridCol w:w="1275"/>
        <w:gridCol w:w="1276"/>
        <w:gridCol w:w="1496"/>
      </w:tblGrid>
      <w:tr>
        <w:tblPrEx>
          <w:tblCellMar>
            <w:top w:w="0" w:type="dxa"/>
            <w:left w:w="108" w:type="dxa"/>
            <w:bottom w:w="0" w:type="dxa"/>
            <w:right w:w="108" w:type="dxa"/>
          </w:tblCellMar>
        </w:tblPrEx>
        <w:trPr>
          <w:trHeight w:val="315" w:hRule="atLeast"/>
          <w:jc w:val="center"/>
        </w:trPr>
        <w:tc>
          <w:tcPr>
            <w:tcW w:w="2451" w:type="dxa"/>
            <w:tcBorders>
              <w:top w:val="single" w:color="auto" w:sz="4" w:space="0"/>
              <w:left w:val="single" w:color="auto" w:sz="4" w:space="0"/>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p>
        </w:tc>
        <w:tc>
          <w:tcPr>
            <w:tcW w:w="2552" w:type="dxa"/>
            <w:gridSpan w:val="2"/>
            <w:tcBorders>
              <w:top w:val="single" w:color="auto" w:sz="4" w:space="0"/>
              <w:left w:val="nil"/>
              <w:bottom w:val="single" w:color="auto" w:sz="4" w:space="0"/>
              <w:right w:val="single" w:color="000000" w:sz="4" w:space="0"/>
            </w:tcBorders>
            <w:noWrap w:val="0"/>
            <w:vAlign w:val="bottom"/>
          </w:tcPr>
          <w:p>
            <w:pPr>
              <w:snapToGrid w:val="0"/>
              <w:spacing w:line="360" w:lineRule="auto"/>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1×660MW</w:t>
            </w:r>
          </w:p>
        </w:tc>
        <w:tc>
          <w:tcPr>
            <w:tcW w:w="2772" w:type="dxa"/>
            <w:gridSpan w:val="2"/>
            <w:tcBorders>
              <w:top w:val="single" w:color="auto" w:sz="4" w:space="0"/>
              <w:left w:val="nil"/>
              <w:bottom w:val="single" w:color="auto" w:sz="4" w:space="0"/>
              <w:right w:val="single" w:color="000000" w:sz="4" w:space="0"/>
            </w:tcBorders>
            <w:noWrap w:val="0"/>
            <w:vAlign w:val="bottom"/>
          </w:tcPr>
          <w:p>
            <w:pPr>
              <w:snapToGrid w:val="0"/>
              <w:spacing w:line="360" w:lineRule="auto"/>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2×660MW</w:t>
            </w:r>
          </w:p>
        </w:tc>
      </w:tr>
      <w:tr>
        <w:tblPrEx>
          <w:tblCellMar>
            <w:top w:w="0" w:type="dxa"/>
            <w:left w:w="108" w:type="dxa"/>
            <w:bottom w:w="0" w:type="dxa"/>
            <w:right w:w="108" w:type="dxa"/>
          </w:tblCellMar>
        </w:tblPrEx>
        <w:trPr>
          <w:trHeight w:val="285" w:hRule="atLeast"/>
          <w:jc w:val="center"/>
        </w:trPr>
        <w:tc>
          <w:tcPr>
            <w:tcW w:w="2451" w:type="dxa"/>
            <w:tcBorders>
              <w:top w:val="nil"/>
              <w:left w:val="single" w:color="auto" w:sz="4" w:space="0"/>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p>
        </w:tc>
        <w:tc>
          <w:tcPr>
            <w:tcW w:w="1277"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设计煤种</w:t>
            </w:r>
          </w:p>
        </w:tc>
        <w:tc>
          <w:tcPr>
            <w:tcW w:w="1275"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校核煤种</w:t>
            </w:r>
          </w:p>
        </w:tc>
        <w:tc>
          <w:tcPr>
            <w:tcW w:w="127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设计煤种</w:t>
            </w:r>
          </w:p>
        </w:tc>
        <w:tc>
          <w:tcPr>
            <w:tcW w:w="149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校核煤种</w:t>
            </w:r>
          </w:p>
        </w:tc>
      </w:tr>
      <w:tr>
        <w:tblPrEx>
          <w:tblCellMar>
            <w:top w:w="0" w:type="dxa"/>
            <w:left w:w="108" w:type="dxa"/>
            <w:bottom w:w="0" w:type="dxa"/>
            <w:right w:w="108" w:type="dxa"/>
          </w:tblCellMar>
        </w:tblPrEx>
        <w:trPr>
          <w:trHeight w:val="285" w:hRule="atLeast"/>
          <w:jc w:val="center"/>
        </w:trPr>
        <w:tc>
          <w:tcPr>
            <w:tcW w:w="2451" w:type="dxa"/>
            <w:tcBorders>
              <w:top w:val="nil"/>
              <w:left w:val="single" w:color="auto" w:sz="4" w:space="0"/>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小时耗煤量(吨/时)</w:t>
            </w:r>
          </w:p>
        </w:tc>
        <w:tc>
          <w:tcPr>
            <w:tcW w:w="1277"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254.7</w:t>
            </w:r>
          </w:p>
        </w:tc>
        <w:tc>
          <w:tcPr>
            <w:tcW w:w="1275"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261.84</w:t>
            </w:r>
          </w:p>
        </w:tc>
        <w:tc>
          <w:tcPr>
            <w:tcW w:w="127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509.4</w:t>
            </w:r>
          </w:p>
        </w:tc>
        <w:tc>
          <w:tcPr>
            <w:tcW w:w="149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523.68</w:t>
            </w:r>
          </w:p>
        </w:tc>
      </w:tr>
      <w:tr>
        <w:tblPrEx>
          <w:tblCellMar>
            <w:top w:w="0" w:type="dxa"/>
            <w:left w:w="108" w:type="dxa"/>
            <w:bottom w:w="0" w:type="dxa"/>
            <w:right w:w="108" w:type="dxa"/>
          </w:tblCellMar>
        </w:tblPrEx>
        <w:trPr>
          <w:trHeight w:val="285" w:hRule="atLeast"/>
          <w:jc w:val="center"/>
        </w:trPr>
        <w:tc>
          <w:tcPr>
            <w:tcW w:w="2451" w:type="dxa"/>
            <w:tcBorders>
              <w:top w:val="nil"/>
              <w:left w:val="single" w:color="auto" w:sz="4" w:space="0"/>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日耗煤量(吨/天)</w:t>
            </w:r>
          </w:p>
        </w:tc>
        <w:tc>
          <w:tcPr>
            <w:tcW w:w="1277"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5094</w:t>
            </w:r>
          </w:p>
        </w:tc>
        <w:tc>
          <w:tcPr>
            <w:tcW w:w="1275"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5236.8</w:t>
            </w:r>
          </w:p>
        </w:tc>
        <w:tc>
          <w:tcPr>
            <w:tcW w:w="127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10188</w:t>
            </w:r>
          </w:p>
        </w:tc>
        <w:tc>
          <w:tcPr>
            <w:tcW w:w="149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10473.6</w:t>
            </w:r>
          </w:p>
        </w:tc>
      </w:tr>
      <w:tr>
        <w:tblPrEx>
          <w:tblCellMar>
            <w:top w:w="0" w:type="dxa"/>
            <w:left w:w="108" w:type="dxa"/>
            <w:bottom w:w="0" w:type="dxa"/>
            <w:right w:w="108" w:type="dxa"/>
          </w:tblCellMar>
        </w:tblPrEx>
        <w:trPr>
          <w:trHeight w:val="285" w:hRule="atLeast"/>
          <w:jc w:val="center"/>
        </w:trPr>
        <w:tc>
          <w:tcPr>
            <w:tcW w:w="2451" w:type="dxa"/>
            <w:tcBorders>
              <w:top w:val="nil"/>
              <w:left w:val="single" w:color="auto" w:sz="4" w:space="0"/>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年耗煤量(万吨/年)</w:t>
            </w:r>
          </w:p>
        </w:tc>
        <w:tc>
          <w:tcPr>
            <w:tcW w:w="1277"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140.085</w:t>
            </w:r>
          </w:p>
        </w:tc>
        <w:tc>
          <w:tcPr>
            <w:tcW w:w="1275"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144.012</w:t>
            </w:r>
          </w:p>
        </w:tc>
        <w:tc>
          <w:tcPr>
            <w:tcW w:w="127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280.17</w:t>
            </w:r>
          </w:p>
        </w:tc>
        <w:tc>
          <w:tcPr>
            <w:tcW w:w="1496" w:type="dxa"/>
            <w:tcBorders>
              <w:top w:val="nil"/>
              <w:left w:val="nil"/>
              <w:bottom w:val="single" w:color="auto" w:sz="4" w:space="0"/>
              <w:right w:val="single" w:color="auto" w:sz="4" w:space="0"/>
            </w:tcBorders>
            <w:noWrap w:val="0"/>
            <w:vAlign w:val="bottom"/>
          </w:tcPr>
          <w:p>
            <w:pPr>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288.024</w:t>
            </w:r>
          </w:p>
        </w:tc>
      </w:tr>
    </w:tbl>
    <w:p>
      <w:pPr>
        <w:spacing w:line="360" w:lineRule="auto"/>
        <w:ind w:firstLine="616" w:firstLineChars="25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注：1.小时耗煤量为锅炉在BMCR工况下的煤耗；</w:t>
      </w:r>
    </w:p>
    <w:p>
      <w:pPr>
        <w:pStyle w:val="6"/>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2.日运行小时数按20小时计；</w:t>
      </w:r>
    </w:p>
    <w:p>
      <w:pPr>
        <w:spacing w:line="360" w:lineRule="auto"/>
        <w:ind w:left="8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3.年运行小时数按5500小时计；</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 运行条件</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3.3.1 推煤机满足火力发电厂封闭</w:t>
      </w:r>
      <w:r>
        <w:rPr>
          <w:rFonts w:hint="eastAsia" w:asciiTheme="minorEastAsia" w:hAnsiTheme="minorEastAsia" w:eastAsiaTheme="minorEastAsia" w:cstheme="minorEastAsia"/>
          <w:color w:val="auto"/>
          <w:sz w:val="24"/>
          <w:szCs w:val="24"/>
          <w:highlight w:val="none"/>
          <w:lang w:val="en-US" w:eastAsia="zh-CN"/>
        </w:rPr>
        <w:t>储</w:t>
      </w:r>
      <w:r>
        <w:rPr>
          <w:rFonts w:hint="eastAsia" w:asciiTheme="minorEastAsia" w:hAnsiTheme="minorEastAsia" w:eastAsiaTheme="minorEastAsia" w:cstheme="minorEastAsia"/>
          <w:color w:val="auto"/>
          <w:sz w:val="24"/>
          <w:szCs w:val="24"/>
          <w:highlight w:val="none"/>
        </w:rPr>
        <w:t>煤场的推煤、碾压煤堆与平整煤堆要求，具有较大的爬坡能力和防倾覆安全性能。启动、运行和停机应平稳并安全可靠。</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3.3.2 推煤机应能适应封闭</w:t>
      </w:r>
      <w:r>
        <w:rPr>
          <w:rFonts w:hint="eastAsia" w:asciiTheme="minorEastAsia" w:hAnsiTheme="minorEastAsia" w:eastAsiaTheme="minorEastAsia" w:cstheme="minorEastAsia"/>
          <w:color w:val="auto"/>
          <w:sz w:val="24"/>
          <w:szCs w:val="24"/>
          <w:highlight w:val="none"/>
          <w:lang w:val="en-US" w:eastAsia="zh-CN"/>
        </w:rPr>
        <w:t>储</w:t>
      </w:r>
      <w:r>
        <w:rPr>
          <w:rFonts w:hint="eastAsia" w:asciiTheme="minorEastAsia" w:hAnsiTheme="minorEastAsia" w:eastAsiaTheme="minorEastAsia" w:cstheme="minorEastAsia"/>
          <w:color w:val="auto"/>
          <w:sz w:val="24"/>
          <w:szCs w:val="24"/>
          <w:highlight w:val="none"/>
        </w:rPr>
        <w:t>煤场的工作环境，粉尘量大</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有局部自燃现象，高温、高烟雾。</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3.3.3 日工作班次：3班制；每班运行时间：6小时。</w:t>
      </w:r>
    </w:p>
    <w:p>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凤台（推煤机）</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3.1推煤机满足电厂封闭煤场或露天煤场的推煤、碾压煤堆与平整煤堆要求，具有较大的爬坡能力和防倾覆安全性能。推煤机要求启动、运行和停机应平稳并安全可靠。</w:t>
      </w:r>
    </w:p>
    <w:p>
      <w:pPr>
        <w:pStyle w:val="7"/>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3.2推煤机应能适应煤场的工作环境：潮湿泥泞、粉尘量大，有局部自燃现象，高温、高烟雾。</w:t>
      </w:r>
    </w:p>
    <w:p>
      <w:pPr>
        <w:pStyle w:val="7"/>
        <w:snapToGrid w:val="0"/>
        <w:spacing w:line="360" w:lineRule="auto"/>
        <w:ind w:firstLine="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3.3</w:t>
      </w:r>
      <w:r>
        <w:rPr>
          <w:rFonts w:hint="eastAsia" w:asciiTheme="minorEastAsia" w:hAnsiTheme="minorEastAsia" w:eastAsiaTheme="minorEastAsia" w:cstheme="minorEastAsia"/>
          <w:color w:val="auto"/>
          <w:sz w:val="24"/>
          <w:szCs w:val="24"/>
          <w:highlight w:val="none"/>
        </w:rPr>
        <w:t>运煤系统运行班制为三班制，每班运行6h。</w:t>
      </w:r>
    </w:p>
    <w:p>
      <w:pPr>
        <w:pStyle w:val="7"/>
        <w:snapToGrid w:val="0"/>
        <w:spacing w:line="360" w:lineRule="auto"/>
        <w:ind w:firstLine="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lang w:val="en-US" w:eastAsia="zh-CN"/>
        </w:rPr>
        <w:t>燃</w:t>
      </w:r>
      <w:r>
        <w:rPr>
          <w:rFonts w:hint="eastAsia" w:asciiTheme="minorEastAsia" w:hAnsiTheme="minorEastAsia" w:eastAsiaTheme="minorEastAsia" w:cstheme="minorEastAsia"/>
          <w:color w:val="auto"/>
          <w:sz w:val="24"/>
          <w:szCs w:val="24"/>
          <w:highlight w:val="none"/>
        </w:rPr>
        <w:t>煤物理特性</w:t>
      </w:r>
    </w:p>
    <w:p>
      <w:pPr>
        <w:pStyle w:val="7"/>
        <w:snapToGrid w:val="0"/>
        <w:spacing w:line="360" w:lineRule="auto"/>
        <w:ind w:firstLine="50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原煤粒度：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≤300mm；</w:t>
      </w:r>
    </w:p>
    <w:p>
      <w:pPr>
        <w:pStyle w:val="7"/>
        <w:snapToGrid w:val="0"/>
        <w:spacing w:line="360" w:lineRule="auto"/>
        <w:ind w:firstLine="50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散状密度：</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0.85~1.0 t/m3；</w:t>
      </w:r>
    </w:p>
    <w:p>
      <w:pPr>
        <w:widowControl/>
        <w:tabs>
          <w:tab w:val="left" w:pos="480"/>
        </w:tabs>
        <w:spacing w:line="360" w:lineRule="auto"/>
        <w:ind w:firstLine="0" w:firstLineChars="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动态安息角：</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40o。</w:t>
      </w:r>
    </w:p>
    <w:p>
      <w:pPr>
        <w:numPr>
          <w:ilvl w:val="0"/>
          <w:numId w:val="0"/>
        </w:numPr>
        <w:adjustRightInd/>
        <w:snapToGrid w:val="0"/>
        <w:spacing w:line="360" w:lineRule="auto"/>
        <w:jc w:val="both"/>
        <w:textAlignment w:val="auto"/>
        <w:outlineLvl w:val="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港口（推煤机）</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p>
    <w:p>
      <w:pPr>
        <w:pStyle w:val="3"/>
        <w:keepNext w:val="0"/>
        <w:keepLines w:val="0"/>
        <w:widowControl/>
        <w:suppressLineNumbers w:val="0"/>
        <w:ind w:left="0" w:firstLine="0"/>
        <w:jc w:val="both"/>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rPr>
        <w:t>3.1物料</w:t>
      </w:r>
    </w:p>
    <w:p>
      <w:pPr>
        <w:keepNext w:val="0"/>
        <w:keepLines w:val="0"/>
        <w:widowControl/>
        <w:suppressLineNumbers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原煤：</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容重0.85～1.0吨/立方米，含水量为14±4％。</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粒度：0～300毫米。静安息角35°～42°，动安息角25°～30°。</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3.2自然条件</w:t>
      </w:r>
    </w:p>
    <w:p>
      <w:pPr>
        <w:pStyle w:val="3"/>
        <w:keepNext w:val="0"/>
        <w:keepLines w:val="0"/>
        <w:widowControl/>
        <w:suppressLineNumbers w:val="0"/>
        <w:ind w:left="0" w:firstLine="0"/>
        <w:jc w:val="both"/>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rPr>
        <w:t>3.2.1环境温度范围：-10℃～45℃</w:t>
      </w:r>
    </w:p>
    <w:p>
      <w:pPr>
        <w:pStyle w:val="3"/>
        <w:keepNext w:val="0"/>
        <w:keepLines w:val="0"/>
        <w:widowControl/>
        <w:suppressLineNumbers w:val="0"/>
        <w:ind w:left="0" w:firstLine="0"/>
        <w:jc w:val="both"/>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rPr>
        <w:t>3.2.2相对湿度：</w:t>
      </w:r>
    </w:p>
    <w:p>
      <w:pPr>
        <w:keepNext w:val="0"/>
        <w:keepLines w:val="0"/>
        <w:widowControl/>
        <w:suppressLineNumbers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最大相对湿度：　100%，</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年平均相对湿度：82％</w:t>
      </w:r>
    </w:p>
    <w:p>
      <w:pPr>
        <w:pStyle w:val="3"/>
        <w:keepNext w:val="0"/>
        <w:keepLines w:val="0"/>
        <w:widowControl/>
        <w:suppressLineNumbers w:val="0"/>
        <w:ind w:left="0" w:firstLine="0"/>
        <w:jc w:val="both"/>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rPr>
        <w:t>3.2.3气候条件</w:t>
      </w:r>
    </w:p>
    <w:p>
      <w:pPr>
        <w:pStyle w:val="2"/>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有雾气、雷暴和海洋性气候气候侵蚀。</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3.3安装运行条件</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3.3.1运行模式</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推煤机应具有推、碾、压、平整煤堆等功能，具有较大的爬坡能力和防倾覆安全措施。</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3.3.2 工作环境</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露天煤场，粉尘量大，夏季高温,有雷暴、盐雾和海洋性气候侵蚀，钢结构极易腐蚀性，有局部自燃现象，清场时，高温、高粉尘、高烟雾。</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3.3.3年运行时长</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t>平均年工作约2000小时。</w:t>
      </w:r>
      <w:r>
        <w:rPr>
          <w:rFonts w:hint="eastAsia" w:asciiTheme="minorEastAsia" w:hAnsiTheme="minorEastAsia" w:eastAsiaTheme="minorEastAsia" w:cstheme="minorEastAsia"/>
          <w:i w:val="0"/>
          <w:iCs w:val="0"/>
          <w:caps w:val="0"/>
          <w:color w:val="auto"/>
          <w:spacing w:val="0"/>
          <w:kern w:val="0"/>
          <w:sz w:val="24"/>
          <w:szCs w:val="24"/>
          <w:highlight w:val="none"/>
          <w:lang w:val="en-US" w:eastAsia="zh-CN" w:bidi="ar"/>
        </w:rPr>
        <w:br w:type="textWrapping"/>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E10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4"/>
    <w:qFormat/>
    <w:uiPriority w:val="0"/>
    <w:pPr>
      <w:keepNext/>
      <w:keepLines/>
      <w:spacing w:before="280" w:after="290" w:line="376" w:lineRule="atLeast"/>
      <w:outlineLvl w:val="3"/>
    </w:pPr>
    <w:rPr>
      <w:rFonts w:ascii="Arial" w:hAnsi="Arial" w:eastAsia="黑体"/>
      <w:b/>
      <w:sz w:val="28"/>
    </w:rPr>
  </w:style>
  <w:style w:type="paragraph" w:styleId="5">
    <w:name w:val="heading 6"/>
    <w:basedOn w:val="1"/>
    <w:next w:val="1"/>
    <w:qFormat/>
    <w:uiPriority w:val="0"/>
    <w:pPr>
      <w:keepNext/>
      <w:keepLines/>
      <w:adjustRightInd w:val="0"/>
      <w:spacing w:before="240" w:after="64" w:line="320" w:lineRule="atLeast"/>
      <w:jc w:val="left"/>
      <w:textAlignment w:val="baseline"/>
      <w:outlineLvl w:val="5"/>
    </w:pPr>
    <w:rPr>
      <w:rFonts w:ascii="Arial" w:hAnsi="Arial" w:eastAsia="黑体"/>
      <w:b/>
      <w:kern w:val="0"/>
      <w:sz w:val="24"/>
      <w:szCs w:val="2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style>
  <w:style w:type="paragraph" w:styleId="4">
    <w:name w:val="Normal Indent"/>
    <w:basedOn w:val="1"/>
    <w:qFormat/>
    <w:uiPriority w:val="0"/>
    <w:pPr>
      <w:adjustRightInd w:val="0"/>
      <w:snapToGrid w:val="0"/>
      <w:spacing w:line="360" w:lineRule="auto"/>
      <w:ind w:firstLine="420"/>
    </w:pPr>
    <w:rPr>
      <w:sz w:val="24"/>
      <w:szCs w:val="20"/>
    </w:rPr>
  </w:style>
  <w:style w:type="paragraph" w:styleId="6">
    <w:name w:val="Body Text Indent"/>
    <w:basedOn w:val="1"/>
    <w:semiHidden/>
    <w:qFormat/>
    <w:uiPriority w:val="0"/>
    <w:pPr>
      <w:adjustRightInd w:val="0"/>
      <w:spacing w:line="360" w:lineRule="auto"/>
      <w:ind w:left="454"/>
      <w:jc w:val="left"/>
      <w:textAlignment w:val="baseline"/>
    </w:pPr>
    <w:rPr>
      <w:rFonts w:ascii="宋体"/>
      <w:kern w:val="0"/>
      <w:sz w:val="24"/>
      <w:szCs w:val="20"/>
    </w:rPr>
  </w:style>
  <w:style w:type="paragraph" w:styleId="7">
    <w:name w:val="Date"/>
    <w:basedOn w:val="1"/>
    <w:next w:val="1"/>
    <w:qFormat/>
    <w:uiPriority w:val="0"/>
    <w:pPr>
      <w:adjustRightInd w:val="0"/>
      <w:spacing w:line="360" w:lineRule="atLeast"/>
      <w:textAlignment w:val="baseline"/>
    </w:pPr>
    <w:rPr>
      <w:rFonts w:ascii="宋体"/>
      <w:spacing w:val="5"/>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2025-04-23T08:08:28Z</dcterms:created>
  <dc:creator>Administrator</dc:creator>
  <cp:lastModifiedBy>申屠俊捷</cp:lastModifiedBy>
  <dcterms:modified xsi:type="dcterms:W3CDTF">2025-04-23T08:08:57Z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DD61A66524F54C3AAFA46FBA848AEB94</vt:lpwstr>
  </property>
</Properties>
</file>