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ind w:left="-480" w:firstLine="200"/>
        <w:jc w:val="center"/>
        <w:rPr>
          <w:rFonts w:hint="eastAsia" w:ascii="黑体" w:hAnsi="黑体" w:eastAsia="黑体" w:cs="宋体"/>
          <w:b/>
          <w:bCs/>
          <w:kern w:val="0"/>
          <w:sz w:val="32"/>
          <w:szCs w:val="32"/>
        </w:rPr>
      </w:pPr>
      <w:bookmarkStart w:id="8" w:name="_GoBack"/>
      <w:bookmarkEnd w:id="8"/>
    </w:p>
    <w:p>
      <w:pPr>
        <w:widowControl/>
        <w:ind w:left="-480" w:firstLine="200"/>
        <w:jc w:val="center"/>
        <w:rPr>
          <w:rFonts w:hint="eastAsia" w:ascii="黑体" w:hAnsi="黑体" w:eastAsia="黑体" w:cs="宋体"/>
          <w:b/>
          <w:bCs/>
          <w:kern w:val="0"/>
          <w:sz w:val="32"/>
          <w:szCs w:val="32"/>
        </w:rPr>
      </w:pPr>
    </w:p>
    <w:p>
      <w:pPr>
        <w:widowControl/>
        <w:ind w:left="-480" w:firstLine="200"/>
        <w:jc w:val="center"/>
        <w:rPr>
          <w:rFonts w:hint="eastAsia" w:ascii="黑体" w:hAnsi="黑体" w:eastAsia="黑体" w:cs="宋体"/>
          <w:b/>
          <w:bCs/>
          <w:kern w:val="0"/>
          <w:sz w:val="32"/>
          <w:szCs w:val="32"/>
        </w:rPr>
      </w:pPr>
    </w:p>
    <w:p>
      <w:pPr>
        <w:widowControl/>
        <w:ind w:left="-480" w:firstLine="200"/>
        <w:jc w:val="center"/>
        <w:rPr>
          <w:rFonts w:hint="eastAsia" w:ascii="黑体" w:hAnsi="黑体" w:eastAsia="黑体" w:cs="宋体"/>
          <w:b/>
          <w:bCs/>
          <w:kern w:val="0"/>
          <w:sz w:val="32"/>
          <w:szCs w:val="32"/>
        </w:rPr>
      </w:pPr>
    </w:p>
    <w:p>
      <w:pPr>
        <w:jc w:val="center"/>
        <w:rPr>
          <w:rFonts w:ascii="Calibri" w:hAnsi="Calibri" w:eastAsia="宋体" w:cs="Times New Roman"/>
          <w:b/>
          <w:sz w:val="52"/>
          <w:szCs w:val="52"/>
        </w:rPr>
      </w:pPr>
      <w:bookmarkStart w:id="0" w:name="_Hlk4418024"/>
      <w:r>
        <w:rPr>
          <w:rFonts w:hint="eastAsia" w:ascii="Calibri" w:hAnsi="Calibri" w:eastAsia="宋体" w:cs="Times New Roman"/>
          <w:b/>
          <w:sz w:val="52"/>
          <w:szCs w:val="52"/>
        </w:rPr>
        <w:t>浙能嘉兴1号海上风电场</w:t>
      </w:r>
    </w:p>
    <w:p>
      <w:pPr>
        <w:rPr>
          <w:rFonts w:ascii="Calibri" w:hAnsi="Calibri" w:eastAsia="宋体" w:cs="Times New Roman"/>
          <w:b/>
          <w:sz w:val="52"/>
          <w:szCs w:val="52"/>
        </w:rPr>
      </w:pPr>
    </w:p>
    <w:p>
      <w:pPr>
        <w:jc w:val="center"/>
        <w:rPr>
          <w:rFonts w:ascii="Calibri Light" w:hAnsi="Calibri Light" w:eastAsia="宋体" w:cs="Times New Roman"/>
          <w:b/>
          <w:bCs/>
          <w:sz w:val="44"/>
          <w:szCs w:val="32"/>
        </w:rPr>
      </w:pPr>
      <w:bookmarkStart w:id="1" w:name="_Hlk4418265"/>
      <w:r>
        <w:rPr>
          <w:rFonts w:hint="eastAsia" w:ascii="Calibri Light" w:hAnsi="Calibri Light" w:eastAsia="宋体" w:cs="Times New Roman"/>
          <w:b/>
          <w:bCs/>
          <w:sz w:val="44"/>
          <w:szCs w:val="32"/>
        </w:rPr>
        <w:t>航标维护</w:t>
      </w:r>
      <w:bookmarkEnd w:id="1"/>
      <w:r>
        <w:rPr>
          <w:rFonts w:hint="eastAsia" w:ascii="Calibri Light" w:hAnsi="Calibri Light" w:eastAsia="宋体" w:cs="Times New Roman"/>
          <w:b/>
          <w:bCs/>
          <w:sz w:val="44"/>
          <w:szCs w:val="32"/>
        </w:rPr>
        <w:t>服务项目</w:t>
      </w:r>
    </w:p>
    <w:bookmarkEnd w:id="0"/>
    <w:p>
      <w:pPr>
        <w:rPr>
          <w:rFonts w:ascii="Calibri" w:hAnsi="Calibri" w:eastAsia="宋体" w:cs="Times New Roman"/>
          <w:b/>
          <w:sz w:val="40"/>
          <w:szCs w:val="52"/>
        </w:rPr>
      </w:pPr>
    </w:p>
    <w:p>
      <w:pPr>
        <w:rPr>
          <w:rFonts w:hint="eastAsia" w:ascii="宋体" w:hAnsi="宋体" w:eastAsia="宋体" w:cs="Times New Roman"/>
          <w:sz w:val="28"/>
        </w:rPr>
      </w:pPr>
    </w:p>
    <w:p>
      <w:pPr>
        <w:jc w:val="center"/>
        <w:rPr>
          <w:rFonts w:hint="eastAsia" w:ascii="宋体" w:hAnsi="宋体" w:eastAsia="宋体" w:cs="Times New Roman"/>
          <w:sz w:val="28"/>
        </w:rPr>
      </w:pPr>
    </w:p>
    <w:p>
      <w:pPr>
        <w:jc w:val="center"/>
        <w:rPr>
          <w:rFonts w:hint="eastAsia" w:ascii="宋体" w:hAnsi="宋体" w:eastAsia="宋体" w:cs="Times New Roman"/>
          <w:b/>
          <w:sz w:val="48"/>
          <w:szCs w:val="48"/>
        </w:rPr>
      </w:pPr>
      <w:bookmarkStart w:id="2" w:name="_Toc215298563"/>
      <w:bookmarkStart w:id="3" w:name="_Toc286153212"/>
      <w:bookmarkStart w:id="4" w:name="_Toc215298515"/>
      <w:bookmarkStart w:id="5" w:name="_Toc215298661"/>
      <w:r>
        <w:rPr>
          <w:rFonts w:hint="eastAsia" w:ascii="宋体" w:hAnsi="宋体" w:eastAsia="宋体" w:cs="Times New Roman"/>
          <w:b/>
          <w:sz w:val="48"/>
          <w:szCs w:val="48"/>
        </w:rPr>
        <w:t>技术规范</w:t>
      </w:r>
      <w:bookmarkEnd w:id="2"/>
      <w:bookmarkEnd w:id="3"/>
      <w:bookmarkEnd w:id="4"/>
      <w:bookmarkEnd w:id="5"/>
      <w:r>
        <w:rPr>
          <w:rFonts w:hint="eastAsia" w:ascii="宋体" w:hAnsi="宋体" w:eastAsia="宋体" w:cs="Times New Roman"/>
          <w:b/>
          <w:sz w:val="48"/>
          <w:szCs w:val="48"/>
        </w:rPr>
        <w:t>书</w:t>
      </w:r>
    </w:p>
    <w:p>
      <w:pPr>
        <w:jc w:val="center"/>
        <w:rPr>
          <w:rFonts w:hint="eastAsia" w:ascii="宋体" w:hAnsi="宋体" w:eastAsia="宋体" w:cs="Times New Roman"/>
          <w:b/>
          <w:sz w:val="48"/>
          <w:szCs w:val="48"/>
        </w:rPr>
      </w:pPr>
    </w:p>
    <w:p>
      <w:pPr>
        <w:widowControl/>
        <w:jc w:val="center"/>
        <w:rPr>
          <w:rStyle w:val="29"/>
          <w:rFonts w:hint="eastAsia" w:ascii="黑体" w:hAnsi="黑体" w:cs="Times New Roman"/>
          <w:b w:val="0"/>
          <w:sz w:val="32"/>
          <w:szCs w:val="32"/>
        </w:rPr>
      </w:pPr>
    </w:p>
    <w:p>
      <w:pPr>
        <w:widowControl/>
        <w:jc w:val="center"/>
        <w:rPr>
          <w:rStyle w:val="29"/>
          <w:rFonts w:hint="eastAsia" w:ascii="黑体" w:hAnsi="黑体" w:cs="Times New Roman"/>
          <w:b w:val="0"/>
          <w:sz w:val="32"/>
          <w:szCs w:val="32"/>
        </w:rPr>
      </w:pPr>
    </w:p>
    <w:p>
      <w:pPr>
        <w:widowControl/>
        <w:jc w:val="center"/>
        <w:rPr>
          <w:rStyle w:val="29"/>
          <w:rFonts w:hint="eastAsia" w:ascii="黑体" w:hAnsi="黑体" w:cs="Times New Roman"/>
          <w:b w:val="0"/>
          <w:sz w:val="32"/>
          <w:szCs w:val="32"/>
        </w:rPr>
      </w:pPr>
    </w:p>
    <w:p>
      <w:pPr>
        <w:widowControl/>
        <w:jc w:val="center"/>
        <w:rPr>
          <w:rStyle w:val="29"/>
          <w:rFonts w:hint="eastAsia" w:ascii="黑体" w:hAnsi="黑体" w:cs="Times New Roman"/>
          <w:b w:val="0"/>
          <w:sz w:val="32"/>
          <w:szCs w:val="32"/>
        </w:rPr>
      </w:pPr>
    </w:p>
    <w:p>
      <w:pPr>
        <w:widowControl/>
        <w:jc w:val="center"/>
        <w:rPr>
          <w:rStyle w:val="29"/>
          <w:rFonts w:hint="eastAsia" w:ascii="黑体" w:hAnsi="黑体" w:cs="Times New Roman"/>
          <w:b w:val="0"/>
          <w:sz w:val="32"/>
          <w:szCs w:val="32"/>
        </w:rPr>
      </w:pPr>
    </w:p>
    <w:p>
      <w:pPr>
        <w:widowControl/>
        <w:jc w:val="center"/>
        <w:rPr>
          <w:rStyle w:val="29"/>
          <w:rFonts w:hint="eastAsia" w:ascii="黑体" w:hAnsi="黑体" w:cs="Times New Roman"/>
          <w:b w:val="0"/>
          <w:sz w:val="32"/>
          <w:szCs w:val="32"/>
        </w:rPr>
      </w:pPr>
      <w:r>
        <w:rPr>
          <w:rStyle w:val="29"/>
          <w:rFonts w:hint="eastAsia" w:ascii="黑体" w:hAnsi="黑体" w:cs="Times New Roman"/>
          <w:b w:val="0"/>
          <w:sz w:val="32"/>
          <w:szCs w:val="32"/>
        </w:rPr>
        <w:t>浙江浙能嘉兴海上风力发电有限公司</w:t>
      </w:r>
    </w:p>
    <w:p>
      <w:pPr>
        <w:widowControl/>
        <w:jc w:val="center"/>
        <w:rPr>
          <w:rStyle w:val="29"/>
          <w:rFonts w:hint="eastAsia" w:ascii="黑体" w:hAnsi="黑体" w:cs="Times New Roman"/>
          <w:b w:val="0"/>
          <w:sz w:val="32"/>
          <w:szCs w:val="32"/>
        </w:rPr>
      </w:pPr>
      <w:r>
        <w:rPr>
          <w:rStyle w:val="29"/>
          <w:rFonts w:hint="eastAsia" w:ascii="黑体" w:hAnsi="黑体" w:cs="Times New Roman"/>
          <w:b w:val="0"/>
          <w:sz w:val="32"/>
          <w:szCs w:val="32"/>
        </w:rPr>
        <w:t>二〇二五年二月</w:t>
      </w:r>
    </w:p>
    <w:p>
      <w:pPr>
        <w:jc w:val="center"/>
        <w:rPr>
          <w:b/>
          <w:sz w:val="30"/>
          <w:szCs w:val="30"/>
        </w:rPr>
      </w:pPr>
    </w:p>
    <w:p>
      <w:pPr>
        <w:widowControl/>
        <w:jc w:val="left"/>
        <w:rPr>
          <w:b/>
          <w:sz w:val="30"/>
          <w:szCs w:val="30"/>
        </w:rPr>
      </w:pPr>
      <w:r>
        <w:rPr>
          <w:b/>
          <w:sz w:val="30"/>
          <w:szCs w:val="30"/>
        </w:rPr>
        <w:br w:type="page"/>
      </w:r>
    </w:p>
    <w:p>
      <w:pPr>
        <w:widowControl/>
        <w:jc w:val="left"/>
        <w:rPr>
          <w:b/>
          <w:sz w:val="30"/>
          <w:szCs w:val="30"/>
        </w:rPr>
      </w:pPr>
    </w:p>
    <w:p>
      <w:pPr>
        <w:widowControl/>
        <w:jc w:val="left"/>
        <w:rPr>
          <w:b/>
          <w:sz w:val="30"/>
          <w:szCs w:val="30"/>
        </w:rPr>
      </w:pPr>
    </w:p>
    <w:p>
      <w:pPr>
        <w:widowControl/>
        <w:jc w:val="center"/>
        <w:rPr>
          <w:b/>
          <w:sz w:val="44"/>
          <w:szCs w:val="44"/>
        </w:rPr>
      </w:pPr>
    </w:p>
    <w:p>
      <w:pPr>
        <w:widowControl/>
        <w:jc w:val="center"/>
        <w:rPr>
          <w:b/>
          <w:sz w:val="44"/>
          <w:szCs w:val="44"/>
        </w:rPr>
      </w:pPr>
      <w:r>
        <w:rPr>
          <w:rFonts w:hint="eastAsia"/>
          <w:b/>
          <w:sz w:val="44"/>
          <w:szCs w:val="44"/>
        </w:rPr>
        <w:t>浙能嘉兴1号海上风电场</w:t>
      </w:r>
    </w:p>
    <w:p>
      <w:pPr>
        <w:widowControl/>
        <w:jc w:val="center"/>
        <w:rPr>
          <w:b/>
          <w:sz w:val="44"/>
          <w:szCs w:val="44"/>
        </w:rPr>
      </w:pPr>
    </w:p>
    <w:p>
      <w:pPr>
        <w:widowControl/>
        <w:jc w:val="center"/>
        <w:rPr>
          <w:b/>
          <w:sz w:val="44"/>
          <w:szCs w:val="44"/>
        </w:rPr>
      </w:pPr>
      <w:r>
        <w:rPr>
          <w:rFonts w:hint="eastAsia"/>
          <w:b/>
          <w:sz w:val="44"/>
          <w:szCs w:val="44"/>
        </w:rPr>
        <w:t>航标维护服务项目技术规范书</w:t>
      </w:r>
    </w:p>
    <w:p>
      <w:pPr>
        <w:widowControl/>
        <w:jc w:val="left"/>
        <w:rPr>
          <w:b/>
          <w:sz w:val="30"/>
          <w:szCs w:val="30"/>
        </w:rPr>
      </w:pPr>
    </w:p>
    <w:p>
      <w:pPr>
        <w:widowControl/>
        <w:jc w:val="left"/>
        <w:rPr>
          <w:b/>
          <w:sz w:val="30"/>
          <w:szCs w:val="30"/>
        </w:rPr>
      </w:pPr>
    </w:p>
    <w:p>
      <w:pPr>
        <w:widowControl/>
        <w:jc w:val="left"/>
        <w:rPr>
          <w:b/>
          <w:sz w:val="30"/>
          <w:szCs w:val="30"/>
        </w:rPr>
      </w:pPr>
    </w:p>
    <w:p>
      <w:pPr>
        <w:widowControl/>
        <w:jc w:val="left"/>
        <w:rPr>
          <w:b/>
          <w:sz w:val="30"/>
          <w:szCs w:val="30"/>
        </w:rPr>
      </w:pPr>
    </w:p>
    <w:p>
      <w:pPr>
        <w:widowControl/>
        <w:ind w:firstLine="1419" w:firstLineChars="471"/>
        <w:jc w:val="left"/>
        <w:rPr>
          <w:b/>
          <w:sz w:val="30"/>
          <w:szCs w:val="30"/>
        </w:rPr>
      </w:pPr>
      <w:r>
        <w:rPr>
          <w:rFonts w:hint="eastAsia"/>
          <w:b/>
          <w:sz w:val="30"/>
          <w:szCs w:val="30"/>
        </w:rPr>
        <w:t>编制：</w:t>
      </w:r>
    </w:p>
    <w:p>
      <w:pPr>
        <w:widowControl/>
        <w:jc w:val="left"/>
        <w:rPr>
          <w:b/>
          <w:sz w:val="30"/>
          <w:szCs w:val="30"/>
        </w:rPr>
      </w:pPr>
    </w:p>
    <w:p>
      <w:pPr>
        <w:widowControl/>
        <w:ind w:firstLine="1419" w:firstLineChars="471"/>
        <w:jc w:val="left"/>
        <w:rPr>
          <w:b/>
          <w:sz w:val="30"/>
          <w:szCs w:val="30"/>
        </w:rPr>
      </w:pPr>
      <w:r>
        <w:rPr>
          <w:rFonts w:hint="eastAsia"/>
          <w:b/>
          <w:sz w:val="30"/>
          <w:szCs w:val="30"/>
        </w:rPr>
        <w:t>审核：</w:t>
      </w:r>
    </w:p>
    <w:p>
      <w:pPr>
        <w:widowControl/>
        <w:ind w:firstLine="1419" w:firstLineChars="471"/>
        <w:jc w:val="left"/>
        <w:rPr>
          <w:b/>
          <w:sz w:val="30"/>
          <w:szCs w:val="30"/>
        </w:rPr>
      </w:pPr>
    </w:p>
    <w:p>
      <w:pPr>
        <w:widowControl/>
        <w:ind w:firstLine="1419" w:firstLineChars="471"/>
        <w:jc w:val="left"/>
        <w:rPr>
          <w:b/>
          <w:sz w:val="30"/>
          <w:szCs w:val="30"/>
        </w:rPr>
      </w:pPr>
      <w:r>
        <w:rPr>
          <w:rFonts w:hint="eastAsia"/>
          <w:b/>
          <w:sz w:val="30"/>
          <w:szCs w:val="30"/>
        </w:rPr>
        <w:t>审定：</w:t>
      </w:r>
    </w:p>
    <w:p>
      <w:pPr>
        <w:widowControl/>
        <w:jc w:val="left"/>
        <w:rPr>
          <w:b/>
          <w:sz w:val="30"/>
          <w:szCs w:val="30"/>
        </w:rPr>
      </w:pPr>
    </w:p>
    <w:p>
      <w:pPr>
        <w:widowControl/>
        <w:ind w:firstLine="1419" w:firstLineChars="471"/>
        <w:jc w:val="left"/>
        <w:rPr>
          <w:b/>
          <w:sz w:val="30"/>
          <w:szCs w:val="30"/>
        </w:rPr>
      </w:pPr>
      <w:r>
        <w:rPr>
          <w:rFonts w:hint="eastAsia"/>
          <w:b/>
          <w:sz w:val="30"/>
          <w:szCs w:val="30"/>
        </w:rPr>
        <w:t>批准：</w:t>
      </w:r>
    </w:p>
    <w:p>
      <w:pPr>
        <w:widowControl/>
        <w:ind w:firstLine="708" w:firstLineChars="235"/>
        <w:jc w:val="left"/>
        <w:rPr>
          <w:b/>
          <w:sz w:val="30"/>
          <w:szCs w:val="30"/>
        </w:rPr>
      </w:pPr>
    </w:p>
    <w:p>
      <w:pPr>
        <w:widowControl/>
        <w:ind w:firstLine="708" w:firstLineChars="235"/>
        <w:jc w:val="left"/>
        <w:rPr>
          <w:b/>
          <w:sz w:val="30"/>
          <w:szCs w:val="30"/>
        </w:rPr>
      </w:pPr>
    </w:p>
    <w:p>
      <w:pPr>
        <w:widowControl/>
        <w:ind w:firstLine="708" w:firstLineChars="235"/>
        <w:jc w:val="left"/>
        <w:rPr>
          <w:b/>
          <w:sz w:val="30"/>
          <w:szCs w:val="30"/>
        </w:rPr>
      </w:pPr>
    </w:p>
    <w:p>
      <w:pPr>
        <w:widowControl/>
        <w:ind w:firstLine="708" w:firstLineChars="235"/>
        <w:jc w:val="left"/>
        <w:rPr>
          <w:b/>
          <w:sz w:val="30"/>
          <w:szCs w:val="30"/>
        </w:rPr>
      </w:pPr>
    </w:p>
    <w:p>
      <w:pPr>
        <w:widowControl/>
        <w:jc w:val="left"/>
        <w:rPr>
          <w:b/>
          <w:sz w:val="30"/>
          <w:szCs w:val="30"/>
        </w:rPr>
      </w:pPr>
      <w:r>
        <w:rPr>
          <w:b/>
          <w:sz w:val="30"/>
          <w:szCs w:val="30"/>
        </w:rPr>
        <w:br w:type="page"/>
      </w:r>
    </w:p>
    <w:p>
      <w:pPr>
        <w:jc w:val="center"/>
        <w:rPr>
          <w:b/>
          <w:sz w:val="30"/>
          <w:szCs w:val="30"/>
        </w:rPr>
      </w:pPr>
      <w:r>
        <w:rPr>
          <w:rFonts w:hint="eastAsia"/>
          <w:b/>
          <w:sz w:val="30"/>
          <w:szCs w:val="30"/>
        </w:rPr>
        <w:t>浙能嘉兴1号海上风电场</w:t>
      </w:r>
    </w:p>
    <w:p>
      <w:pPr>
        <w:jc w:val="center"/>
        <w:rPr>
          <w:b/>
          <w:sz w:val="30"/>
          <w:szCs w:val="30"/>
        </w:rPr>
      </w:pPr>
      <w:r>
        <w:rPr>
          <w:rFonts w:hint="eastAsia"/>
          <w:b/>
          <w:sz w:val="30"/>
          <w:szCs w:val="30"/>
        </w:rPr>
        <w:t>航标维护服务项目技术规范书</w:t>
      </w:r>
    </w:p>
    <w:p>
      <w:pPr>
        <w:pStyle w:val="27"/>
        <w:autoSpaceDE w:val="0"/>
        <w:autoSpaceDN w:val="0"/>
        <w:ind w:left="420" w:firstLine="0" w:firstLineChars="0"/>
        <w:rPr>
          <w:rFonts w:hint="eastAsia" w:ascii="黑体" w:hAnsi="黑体" w:eastAsia="黑体"/>
          <w:sz w:val="28"/>
          <w:szCs w:val="28"/>
        </w:rPr>
      </w:pPr>
      <w:r>
        <w:rPr>
          <w:rFonts w:hint="eastAsia" w:ascii="黑体" w:hAnsi="黑体" w:eastAsia="黑体"/>
          <w:sz w:val="28"/>
          <w:szCs w:val="28"/>
        </w:rPr>
        <w:t>一、</w:t>
      </w:r>
      <w:r>
        <w:rPr>
          <w:rFonts w:hint="eastAsia" w:ascii="宋体" w:hAnsi="宋体" w:cs="宋体"/>
          <w:b/>
          <w:kern w:val="0"/>
          <w:sz w:val="24"/>
        </w:rPr>
        <w:t>总则</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1.1本技术规范书适用于浙能嘉兴1号海上风电场航标维护服务项目的技术和有关方面的要求，其中包括灯桩、AIS航标、遥测遥控系统等及其附属设备设施的巡检、清理、保养、修复等要求。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1.2本技术规范书提出的是最低限度的技术要求，并未对一切技术细节做出规定，也未充分引述有关标准和规范的条文，投标人应保证提供符合本技术规范书相关的航标维护的规范与标准以及工艺质量优良的优质服务。同时必须满足国家有关安全、环保等强制性标准和规范的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1.3本技术规范书经双方确认后，作为合同的附件，与合同正文具有同等的法律效力。</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1.4本规范书未尽事宜，由招标人和投标人在合同技术谈判时双方协商确定。</w:t>
      </w:r>
    </w:p>
    <w:p>
      <w:pPr>
        <w:widowControl/>
        <w:ind w:firstLine="422" w:firstLineChars="175"/>
        <w:jc w:val="left"/>
        <w:outlineLvl w:val="0"/>
        <w:rPr>
          <w:rFonts w:hint="eastAsia" w:ascii="宋体" w:hAnsi="宋体" w:eastAsia="宋体" w:cs="宋体"/>
          <w:b/>
          <w:kern w:val="0"/>
          <w:sz w:val="24"/>
        </w:rPr>
      </w:pPr>
      <w:r>
        <w:rPr>
          <w:rFonts w:hint="eastAsia" w:ascii="宋体" w:hAnsi="宋体" w:eastAsia="宋体" w:cs="宋体"/>
          <w:b/>
          <w:kern w:val="0"/>
          <w:sz w:val="24"/>
        </w:rPr>
        <w:t>二、项目概况</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浙能嘉兴</w:t>
      </w:r>
      <w:r>
        <w:rPr>
          <w:rFonts w:asciiTheme="minorEastAsia" w:hAnsiTheme="minorEastAsia"/>
          <w:sz w:val="24"/>
        </w:rPr>
        <w:t>1</w:t>
      </w:r>
      <w:r>
        <w:rPr>
          <w:rFonts w:hint="eastAsia" w:asciiTheme="minorEastAsia" w:hAnsiTheme="minorEastAsia"/>
          <w:sz w:val="24"/>
        </w:rPr>
        <w:t>号海上风电场位于杭州湾平湖海域，东西平均长约</w:t>
      </w:r>
      <w:r>
        <w:rPr>
          <w:rFonts w:asciiTheme="minorEastAsia" w:hAnsiTheme="minorEastAsia"/>
          <w:sz w:val="24"/>
        </w:rPr>
        <w:t>9km</w:t>
      </w:r>
      <w:r>
        <w:rPr>
          <w:rFonts w:hint="eastAsia" w:asciiTheme="minorEastAsia" w:hAnsiTheme="minorEastAsia"/>
          <w:sz w:val="24"/>
        </w:rPr>
        <w:t>，南北宽</w:t>
      </w:r>
      <w:r>
        <w:rPr>
          <w:rFonts w:asciiTheme="minorEastAsia" w:hAnsiTheme="minorEastAsia"/>
          <w:sz w:val="24"/>
        </w:rPr>
        <w:t>2</w:t>
      </w:r>
      <w:r>
        <w:rPr>
          <w:rFonts w:hint="eastAsia" w:asciiTheme="minorEastAsia" w:hAnsiTheme="minorEastAsia"/>
          <w:sz w:val="24"/>
        </w:rPr>
        <w:t>～</w:t>
      </w:r>
      <w:r>
        <w:rPr>
          <w:rFonts w:asciiTheme="minorEastAsia" w:hAnsiTheme="minorEastAsia"/>
          <w:sz w:val="24"/>
        </w:rPr>
        <w:t>17km</w:t>
      </w:r>
      <w:r>
        <w:rPr>
          <w:rFonts w:hint="eastAsia" w:asciiTheme="minorEastAsia" w:hAnsiTheme="minorEastAsia"/>
          <w:sz w:val="24"/>
        </w:rPr>
        <w:t>，海域面积约48</w:t>
      </w:r>
      <w:r>
        <w:rPr>
          <w:rFonts w:asciiTheme="minorEastAsia" w:hAnsiTheme="minorEastAsia"/>
          <w:sz w:val="24"/>
        </w:rPr>
        <w:t>km</w:t>
      </w:r>
      <w:r>
        <w:rPr>
          <w:rFonts w:asciiTheme="minorEastAsia" w:hAnsiTheme="minorEastAsia"/>
          <w:sz w:val="24"/>
          <w:vertAlign w:val="superscript"/>
        </w:rPr>
        <w:t>2</w:t>
      </w:r>
      <w:r>
        <w:rPr>
          <w:rFonts w:hint="eastAsia" w:asciiTheme="minorEastAsia" w:hAnsiTheme="minorEastAsia"/>
          <w:sz w:val="24"/>
        </w:rPr>
        <w:t>，风场中心点离岸约</w:t>
      </w:r>
      <w:r>
        <w:rPr>
          <w:rFonts w:asciiTheme="minorEastAsia" w:hAnsiTheme="minorEastAsia"/>
          <w:sz w:val="24"/>
        </w:rPr>
        <w:t>20km</w:t>
      </w:r>
      <w:r>
        <w:rPr>
          <w:rFonts w:hint="eastAsia" w:asciiTheme="minorEastAsia" w:hAnsiTheme="minorEastAsia"/>
          <w:sz w:val="24"/>
        </w:rPr>
        <w:t>，场区内海底地形变化较小，水深在</w:t>
      </w:r>
      <w:r>
        <w:rPr>
          <w:rFonts w:asciiTheme="minorEastAsia" w:hAnsiTheme="minorEastAsia"/>
          <w:sz w:val="24"/>
        </w:rPr>
        <w:t>8</w:t>
      </w:r>
      <w:r>
        <w:rPr>
          <w:rFonts w:hint="eastAsia" w:asciiTheme="minorEastAsia" w:hAnsiTheme="minorEastAsia"/>
          <w:sz w:val="24"/>
        </w:rPr>
        <w:t>～</w:t>
      </w:r>
      <w:r>
        <w:rPr>
          <w:rFonts w:asciiTheme="minorEastAsia" w:hAnsiTheme="minorEastAsia"/>
          <w:sz w:val="24"/>
        </w:rPr>
        <w:t>12m</w:t>
      </w:r>
      <w:r>
        <w:rPr>
          <w:rFonts w:hint="eastAsia" w:asciiTheme="minorEastAsia" w:hAnsiTheme="minorEastAsia"/>
          <w:sz w:val="24"/>
        </w:rPr>
        <w:t>之间。本工程安装74台风机，其中72台4.0MW风机，1台6.2MW风机，1台7.0MW风机，装机容量301.2MW。风电机组采用三列平行排列的布置方式，风机基础采用高桩高承台和单桩结构形式。电气系统分两部分布置，海上布置220kV升压站，陆上布置计量站。220kV海上升压站将35kV电压升压至220kV，经220kV海底电缆将电能输送至陆上登陆点后，就近接入电网。</w:t>
      </w:r>
    </w:p>
    <w:p>
      <w:pPr>
        <w:widowControl/>
        <w:ind w:firstLine="420" w:firstLineChars="175"/>
        <w:jc w:val="left"/>
        <w:rPr>
          <w:rFonts w:hint="eastAsia" w:asciiTheme="minorEastAsia" w:hAnsiTheme="minorEastAsia"/>
          <w:sz w:val="24"/>
        </w:rPr>
      </w:pPr>
      <w:bookmarkStart w:id="6" w:name="_Toc387591043"/>
      <w:bookmarkStart w:id="7" w:name="_Toc405392683"/>
    </w:p>
    <w:p>
      <w:pPr>
        <w:widowControl/>
        <w:jc w:val="left"/>
        <w:rPr>
          <w:rFonts w:hint="eastAsia" w:asciiTheme="minorEastAsia" w:hAnsiTheme="minorEastAsia"/>
          <w:sz w:val="24"/>
        </w:rPr>
      </w:pPr>
      <w:r>
        <w:drawing>
          <wp:inline distT="0" distB="0" distL="0" distR="0">
            <wp:extent cx="5267325" cy="3648075"/>
            <wp:effectExtent l="19050" t="19050" r="28575" b="285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 cstate="print"/>
                    <a:srcRect/>
                    <a:stretch>
                      <a:fillRect/>
                    </a:stretch>
                  </pic:blipFill>
                  <pic:spPr>
                    <a:xfrm>
                      <a:off x="0" y="0"/>
                      <a:ext cx="5267325" cy="3648075"/>
                    </a:xfrm>
                    <a:prstGeom prst="rect">
                      <a:avLst/>
                    </a:prstGeom>
                    <a:noFill/>
                    <a:ln w="6350" cmpd="sng">
                      <a:solidFill>
                        <a:srgbClr val="000000"/>
                      </a:solidFill>
                      <a:miter lim="800000"/>
                      <a:headEnd/>
                      <a:tailEnd/>
                    </a:ln>
                    <a:effectLst/>
                  </pic:spPr>
                </pic:pic>
              </a:graphicData>
            </a:graphic>
          </wp:inline>
        </w:drawing>
      </w:r>
    </w:p>
    <w:p>
      <w:pPr>
        <w:widowControl/>
        <w:ind w:firstLine="369" w:firstLineChars="175"/>
        <w:jc w:val="center"/>
        <w:rPr>
          <w:rFonts w:hint="eastAsia" w:asciiTheme="minorEastAsia" w:hAnsiTheme="minorEastAsia"/>
          <w:sz w:val="24"/>
        </w:rPr>
      </w:pPr>
      <w:r>
        <w:rPr>
          <w:b/>
        </w:rPr>
        <w:t>图</w:t>
      </w:r>
      <w:r>
        <w:rPr>
          <w:rFonts w:hint="eastAsia"/>
          <w:b/>
        </w:rPr>
        <w:t>1 浙能嘉兴1号海上风电场工程</w:t>
      </w:r>
      <w:r>
        <w:rPr>
          <w:b/>
        </w:rPr>
        <w:t>位置</w:t>
      </w:r>
    </w:p>
    <w:bookmarkEnd w:id="6"/>
    <w:bookmarkEnd w:id="7"/>
    <w:p>
      <w:pPr>
        <w:widowControl/>
        <w:ind w:firstLine="422" w:firstLineChars="175"/>
        <w:jc w:val="left"/>
        <w:outlineLvl w:val="0"/>
        <w:rPr>
          <w:rFonts w:hint="eastAsia" w:ascii="宋体" w:hAnsi="宋体" w:eastAsia="宋体" w:cs="宋体"/>
          <w:b/>
          <w:kern w:val="0"/>
          <w:sz w:val="24"/>
        </w:rPr>
      </w:pPr>
      <w:r>
        <w:rPr>
          <w:rFonts w:hint="eastAsia" w:ascii="宋体" w:hAnsi="宋体" w:eastAsia="宋体" w:cs="宋体"/>
          <w:b/>
          <w:kern w:val="0"/>
          <w:sz w:val="24"/>
        </w:rPr>
        <w:t>二、航标维护范围及内容</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浙能嘉兴1号海上风电场共设置灯桩8个，分别安置在1号、11号、22号、32号、53号、74号、64号、54号风机外平台上，灯桩按顺序分别命名为嘉兴风电1号~8号灯桩，另外设置AIS航标4个，分别安置在1号灯桩、4号灯桩、6号灯桩和8号灯桩上，航标按顺序分别命名为嘉兴风电1号、4号、6号和8号AIS航标，主要作用是标示风电场位置，提醒过往船舶避让。</w:t>
      </w:r>
    </w:p>
    <w:p>
      <w:pPr>
        <w:widowControl/>
        <w:ind w:firstLine="422" w:firstLineChars="175"/>
        <w:jc w:val="left"/>
        <w:rPr>
          <w:rFonts w:hint="eastAsia" w:asciiTheme="minorEastAsia" w:hAnsiTheme="minorEastAsia"/>
          <w:b/>
          <w:sz w:val="24"/>
        </w:rPr>
      </w:pPr>
      <w:r>
        <w:rPr>
          <w:rFonts w:hint="eastAsia" w:asciiTheme="minorEastAsia" w:hAnsiTheme="minorEastAsia"/>
          <w:b/>
          <w:sz w:val="24"/>
        </w:rPr>
        <w:t>2.1航标布置情况及技术参数</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浙能嘉兴1号海上风电场航标具体站点布设如下表所示：</w:t>
      </w:r>
    </w:p>
    <w:p>
      <w:pPr>
        <w:jc w:val="center"/>
        <w:outlineLvl w:val="2"/>
        <w:rPr>
          <w:rFonts w:hint="eastAsia" w:ascii="宋体" w:hAnsi="宋体"/>
          <w:bCs/>
          <w:kern w:val="0"/>
        </w:rPr>
      </w:pPr>
      <w:r>
        <w:rPr>
          <w:rFonts w:hint="eastAsia" w:ascii="宋体" w:hAnsi="宋体"/>
          <w:b/>
          <w:szCs w:val="21"/>
        </w:rPr>
        <w:drawing>
          <wp:anchor distT="0" distB="0" distL="114300" distR="114300" simplePos="0" relativeHeight="251659264" behindDoc="0" locked="0" layoutInCell="1" allowOverlap="1">
            <wp:simplePos x="0" y="0"/>
            <wp:positionH relativeFrom="column">
              <wp:posOffset>-38100</wp:posOffset>
            </wp:positionH>
            <wp:positionV relativeFrom="paragraph">
              <wp:posOffset>127000</wp:posOffset>
            </wp:positionV>
            <wp:extent cx="5488305" cy="3061970"/>
            <wp:effectExtent l="1905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 cstate="print"/>
                    <a:srcRect/>
                    <a:stretch>
                      <a:fillRect/>
                    </a:stretch>
                  </pic:blipFill>
                  <pic:spPr>
                    <a:xfrm>
                      <a:off x="0" y="0"/>
                      <a:ext cx="5488305" cy="3061970"/>
                    </a:xfrm>
                    <a:prstGeom prst="rect">
                      <a:avLst/>
                    </a:prstGeom>
                    <a:noFill/>
                    <a:ln w="9525">
                      <a:noFill/>
                      <a:miter lim="800000"/>
                      <a:headEnd/>
                      <a:tailEnd/>
                    </a:ln>
                  </pic:spPr>
                </pic:pic>
              </a:graphicData>
            </a:graphic>
          </wp:anchor>
        </w:drawing>
      </w:r>
      <w:r>
        <w:rPr>
          <w:rFonts w:hint="eastAsia" w:ascii="宋体" w:hAnsi="宋体"/>
          <w:b/>
          <w:szCs w:val="21"/>
        </w:rPr>
        <w:t>航标布置图</w:t>
      </w:r>
    </w:p>
    <w:p>
      <w:pPr>
        <w:jc w:val="center"/>
        <w:outlineLvl w:val="2"/>
        <w:rPr>
          <w:rFonts w:hint="eastAsia" w:ascii="宋体" w:hAnsi="宋体"/>
          <w:bCs/>
          <w:kern w:val="0"/>
        </w:rPr>
      </w:pPr>
    </w:p>
    <w:p>
      <w:pPr>
        <w:jc w:val="center"/>
        <w:outlineLvl w:val="2"/>
        <w:rPr>
          <w:rFonts w:hint="eastAsia" w:ascii="宋体" w:hAnsi="宋体"/>
          <w:bCs/>
          <w:kern w:val="0"/>
          <w:sz w:val="24"/>
        </w:rPr>
      </w:pPr>
      <w:r>
        <w:rPr>
          <w:rFonts w:hint="eastAsia" w:ascii="宋体" w:hAnsi="宋体"/>
          <w:bCs/>
          <w:kern w:val="0"/>
          <w:sz w:val="24"/>
        </w:rPr>
        <w:t>表2-1 航标位置及坐标示意表</w:t>
      </w:r>
    </w:p>
    <w:tbl>
      <w:tblPr>
        <w:tblStyle w:val="9"/>
        <w:tblW w:w="818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13"/>
        <w:gridCol w:w="1985"/>
        <w:gridCol w:w="1134"/>
        <w:gridCol w:w="1417"/>
        <w:gridCol w:w="243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名称</w:t>
            </w:r>
          </w:p>
        </w:tc>
        <w:tc>
          <w:tcPr>
            <w:tcW w:w="198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设置地点</w:t>
            </w:r>
          </w:p>
        </w:tc>
        <w:tc>
          <w:tcPr>
            <w:tcW w:w="11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方向</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（角度）</w:t>
            </w:r>
          </w:p>
        </w:tc>
        <w:tc>
          <w:tcPr>
            <w:tcW w:w="1417"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距离风机平</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台中心点（m)</w:t>
            </w: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CGCS2000 大地坐标系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1号灯桩</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1号风机平台</w:t>
            </w:r>
          </w:p>
        </w:tc>
        <w:tc>
          <w:tcPr>
            <w:tcW w:w="11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东北</w:t>
            </w:r>
          </w:p>
        </w:tc>
        <w:tc>
          <w:tcPr>
            <w:tcW w:w="1417"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30:30:27.7N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121:29:55.6E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2号灯桩</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11号风机平台</w:t>
            </w:r>
          </w:p>
        </w:tc>
        <w:tc>
          <w:tcPr>
            <w:tcW w:w="11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正东</w:t>
            </w:r>
          </w:p>
        </w:tc>
        <w:tc>
          <w:tcPr>
            <w:tcW w:w="1417"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30:28:19.7N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121:29:53.7E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3号灯桩</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22号风机平台</w:t>
            </w:r>
          </w:p>
        </w:tc>
        <w:tc>
          <w:tcPr>
            <w:tcW w:w="11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正东</w:t>
            </w:r>
          </w:p>
        </w:tc>
        <w:tc>
          <w:tcPr>
            <w:tcW w:w="1417"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30:25:59.0N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121:29:51.5E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5"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4号灯桩</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32号风机平台</w:t>
            </w:r>
          </w:p>
        </w:tc>
        <w:tc>
          <w:tcPr>
            <w:tcW w:w="11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东南</w:t>
            </w:r>
          </w:p>
        </w:tc>
        <w:tc>
          <w:tcPr>
            <w:tcW w:w="1417"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30:23:38.2N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121:29:49.3E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5号灯桩</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53号风机平台</w:t>
            </w:r>
          </w:p>
        </w:tc>
        <w:tc>
          <w:tcPr>
            <w:tcW w:w="11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正南</w:t>
            </w:r>
          </w:p>
        </w:tc>
        <w:tc>
          <w:tcPr>
            <w:tcW w:w="1417"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30:24:46.1N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121:28:31.6E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6号灯桩</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74号风机平台</w:t>
            </w:r>
          </w:p>
        </w:tc>
        <w:tc>
          <w:tcPr>
            <w:tcW w:w="11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西南</w:t>
            </w:r>
          </w:p>
        </w:tc>
        <w:tc>
          <w:tcPr>
            <w:tcW w:w="1417"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30:26:31.5N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121:27:15.1E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7号灯桩</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64号风机平台</w:t>
            </w:r>
          </w:p>
        </w:tc>
        <w:tc>
          <w:tcPr>
            <w:tcW w:w="11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正西</w:t>
            </w:r>
          </w:p>
        </w:tc>
        <w:tc>
          <w:tcPr>
            <w:tcW w:w="1417"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30:28:42.8N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121:27:17.0E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8号灯桩</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54号风机平台</w:t>
            </w:r>
          </w:p>
        </w:tc>
        <w:tc>
          <w:tcPr>
            <w:tcW w:w="11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西北</w:t>
            </w:r>
          </w:p>
        </w:tc>
        <w:tc>
          <w:tcPr>
            <w:tcW w:w="1417"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30:30:54.7N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121:27:19.1E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1号AIS航标</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附设在1号灯柱上</w:t>
            </w:r>
          </w:p>
        </w:tc>
        <w:tc>
          <w:tcPr>
            <w:tcW w:w="1134" w:type="dxa"/>
            <w:vAlign w:val="center"/>
          </w:tcPr>
          <w:p>
            <w:pPr>
              <w:autoSpaceDE w:val="0"/>
              <w:autoSpaceDN w:val="0"/>
              <w:jc w:val="center"/>
              <w:rPr>
                <w:rFonts w:hint="eastAsia" w:ascii="宋体" w:hAnsi="宋体" w:cs="宋体"/>
                <w:szCs w:val="21"/>
                <w:lang w:val="zh-CN" w:bidi="zh-CN"/>
              </w:rPr>
            </w:pPr>
          </w:p>
        </w:tc>
        <w:tc>
          <w:tcPr>
            <w:tcW w:w="1417" w:type="dxa"/>
            <w:vAlign w:val="center"/>
          </w:tcPr>
          <w:p>
            <w:pPr>
              <w:autoSpaceDE w:val="0"/>
              <w:autoSpaceDN w:val="0"/>
              <w:jc w:val="center"/>
              <w:rPr>
                <w:rFonts w:hint="eastAsia" w:ascii="宋体" w:hAnsi="宋体" w:cs="宋体"/>
                <w:szCs w:val="21"/>
                <w:lang w:val="zh-CN" w:bidi="zh-CN"/>
              </w:rPr>
            </w:pP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30:30:27.7N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121:29:55.6E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4号AIS航标</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附设在4号灯柱上</w:t>
            </w:r>
          </w:p>
        </w:tc>
        <w:tc>
          <w:tcPr>
            <w:tcW w:w="1134" w:type="dxa"/>
            <w:vAlign w:val="center"/>
          </w:tcPr>
          <w:p>
            <w:pPr>
              <w:autoSpaceDE w:val="0"/>
              <w:autoSpaceDN w:val="0"/>
              <w:jc w:val="center"/>
              <w:rPr>
                <w:rFonts w:hint="eastAsia" w:ascii="宋体" w:hAnsi="宋体" w:cs="宋体"/>
                <w:szCs w:val="21"/>
                <w:lang w:val="zh-CN" w:bidi="zh-CN"/>
              </w:rPr>
            </w:pPr>
          </w:p>
        </w:tc>
        <w:tc>
          <w:tcPr>
            <w:tcW w:w="1417" w:type="dxa"/>
            <w:vAlign w:val="center"/>
          </w:tcPr>
          <w:p>
            <w:pPr>
              <w:autoSpaceDE w:val="0"/>
              <w:autoSpaceDN w:val="0"/>
              <w:jc w:val="center"/>
              <w:rPr>
                <w:rFonts w:hint="eastAsia" w:ascii="宋体" w:hAnsi="宋体" w:cs="宋体"/>
                <w:szCs w:val="21"/>
                <w:lang w:val="zh-CN" w:bidi="zh-CN"/>
              </w:rPr>
            </w:pP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30:23:38.2N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121:29:49.3E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6号AIS航标</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附设在6号灯柱上</w:t>
            </w:r>
          </w:p>
        </w:tc>
        <w:tc>
          <w:tcPr>
            <w:tcW w:w="1134" w:type="dxa"/>
            <w:vAlign w:val="center"/>
          </w:tcPr>
          <w:p>
            <w:pPr>
              <w:autoSpaceDE w:val="0"/>
              <w:autoSpaceDN w:val="0"/>
              <w:jc w:val="center"/>
              <w:rPr>
                <w:rFonts w:hint="eastAsia" w:ascii="宋体" w:hAnsi="宋体" w:cs="宋体"/>
                <w:szCs w:val="21"/>
                <w:lang w:val="zh-CN" w:bidi="zh-CN"/>
              </w:rPr>
            </w:pPr>
          </w:p>
        </w:tc>
        <w:tc>
          <w:tcPr>
            <w:tcW w:w="1417" w:type="dxa"/>
            <w:vAlign w:val="center"/>
          </w:tcPr>
          <w:p>
            <w:pPr>
              <w:autoSpaceDE w:val="0"/>
              <w:autoSpaceDN w:val="0"/>
              <w:jc w:val="center"/>
              <w:rPr>
                <w:rFonts w:hint="eastAsia" w:ascii="宋体" w:hAnsi="宋体" w:cs="宋体"/>
                <w:szCs w:val="21"/>
                <w:lang w:val="zh-CN" w:bidi="zh-CN"/>
              </w:rPr>
            </w:pP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30:26:31.5N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121:27:15.1E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嘉兴风电</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8号AIS航标</w:t>
            </w:r>
          </w:p>
        </w:tc>
        <w:tc>
          <w:tcPr>
            <w:tcW w:w="1985" w:type="dxa"/>
            <w:vAlign w:val="center"/>
          </w:tcPr>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附设在8号灯柱上</w:t>
            </w:r>
          </w:p>
        </w:tc>
        <w:tc>
          <w:tcPr>
            <w:tcW w:w="1134" w:type="dxa"/>
            <w:vAlign w:val="center"/>
          </w:tcPr>
          <w:p>
            <w:pPr>
              <w:autoSpaceDE w:val="0"/>
              <w:autoSpaceDN w:val="0"/>
              <w:jc w:val="center"/>
              <w:rPr>
                <w:rFonts w:hint="eastAsia" w:ascii="宋体" w:hAnsi="宋体" w:cs="宋体"/>
                <w:szCs w:val="21"/>
                <w:lang w:val="zh-CN" w:bidi="zh-CN"/>
              </w:rPr>
            </w:pPr>
          </w:p>
        </w:tc>
        <w:tc>
          <w:tcPr>
            <w:tcW w:w="1417" w:type="dxa"/>
            <w:vAlign w:val="center"/>
          </w:tcPr>
          <w:p>
            <w:pPr>
              <w:autoSpaceDE w:val="0"/>
              <w:autoSpaceDN w:val="0"/>
              <w:jc w:val="center"/>
              <w:rPr>
                <w:rFonts w:hint="eastAsia" w:ascii="宋体" w:hAnsi="宋体" w:cs="宋体"/>
                <w:szCs w:val="21"/>
                <w:lang w:val="zh-CN" w:bidi="zh-CN"/>
              </w:rPr>
            </w:pPr>
          </w:p>
        </w:tc>
        <w:tc>
          <w:tcPr>
            <w:tcW w:w="2431"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30:30:54.7N</w:t>
            </w:r>
          </w:p>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121:27:19.1E</w:t>
            </w:r>
          </w:p>
        </w:tc>
      </w:tr>
    </w:tbl>
    <w:p>
      <w:pPr>
        <w:jc w:val="center"/>
        <w:outlineLvl w:val="2"/>
        <w:rPr>
          <w:rFonts w:hint="eastAsia" w:ascii="宋体" w:hAnsi="宋体"/>
          <w:bCs/>
          <w:kern w:val="0"/>
          <w:sz w:val="24"/>
        </w:rPr>
      </w:pPr>
      <w:r>
        <w:rPr>
          <w:rFonts w:hint="eastAsia" w:ascii="宋体" w:hAnsi="宋体"/>
          <w:bCs/>
          <w:kern w:val="0"/>
          <w:sz w:val="24"/>
        </w:rPr>
        <w:t>表2-2 灯桩技术参数</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8"/>
        <w:gridCol w:w="55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1538" w:type="dxa"/>
            <w:vAlign w:val="center"/>
          </w:tcPr>
          <w:p>
            <w:pPr>
              <w:outlineLvl w:val="2"/>
              <w:rPr>
                <w:rFonts w:hint="eastAsia" w:ascii="宋体" w:hAnsi="宋体"/>
                <w:bCs/>
                <w:kern w:val="0"/>
                <w:szCs w:val="21"/>
              </w:rPr>
            </w:pPr>
            <w:r>
              <w:rPr>
                <w:rFonts w:hint="eastAsia" w:ascii="宋体" w:hAnsi="宋体"/>
                <w:bCs/>
                <w:kern w:val="0"/>
                <w:szCs w:val="21"/>
              </w:rPr>
              <w:t>技术参数名称</w:t>
            </w:r>
          </w:p>
        </w:tc>
        <w:tc>
          <w:tcPr>
            <w:tcW w:w="5599" w:type="dxa"/>
            <w:vAlign w:val="center"/>
          </w:tcPr>
          <w:p>
            <w:pPr>
              <w:jc w:val="center"/>
              <w:outlineLvl w:val="2"/>
              <w:rPr>
                <w:rFonts w:hint="eastAsia" w:ascii="宋体" w:hAnsi="宋体"/>
                <w:bCs/>
                <w:kern w:val="0"/>
                <w:szCs w:val="21"/>
              </w:rPr>
            </w:pPr>
            <w:r>
              <w:rPr>
                <w:rFonts w:hint="eastAsia" w:ascii="宋体" w:hAnsi="宋体"/>
                <w:bCs/>
                <w:kern w:val="0"/>
                <w:szCs w:val="21"/>
              </w:rPr>
              <w:t>技术参数内容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生产厂家</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吴江市琳达航标制造有限公司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标志类型</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水中构筑物标志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桩身高度</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3米（灯桩顶部高程16米）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桩身构造</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玻璃钢结构（HZ3M-B6型）（含：不锈钢外爬梯）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灯质</w:t>
            </w:r>
          </w:p>
        </w:tc>
        <w:tc>
          <w:tcPr>
            <w:tcW w:w="5599" w:type="dxa"/>
            <w:vAlign w:val="center"/>
          </w:tcPr>
          <w:p>
            <w:pPr>
              <w:jc w:val="left"/>
              <w:outlineLvl w:val="2"/>
              <w:rPr>
                <w:rFonts w:hint="eastAsia" w:ascii="宋体" w:hAnsi="宋体"/>
                <w:bCs/>
                <w:kern w:val="0"/>
                <w:szCs w:val="21"/>
              </w:rPr>
            </w:pPr>
            <w:r>
              <w:rPr>
                <w:rFonts w:ascii="宋体" w:hAnsi="宋体"/>
                <w:bCs/>
                <w:kern w:val="0"/>
                <w:szCs w:val="21"/>
              </w:rPr>
              <w:t>灯桩灯质为莫（C）黄12秒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灯器</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LED型冷光源灯器（生产厂家1：温州莱特豪斯电子科技有限公司；型号：SHD-1GY/Y4）（生产厂家2：廊坊市指南针航海设备有限公司；型号：HH-130BD-4）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射程</w:t>
            </w:r>
          </w:p>
        </w:tc>
        <w:tc>
          <w:tcPr>
            <w:tcW w:w="5599" w:type="dxa"/>
            <w:vAlign w:val="center"/>
          </w:tcPr>
          <w:p>
            <w:pPr>
              <w:jc w:val="left"/>
              <w:outlineLvl w:val="2"/>
              <w:rPr>
                <w:rFonts w:hint="eastAsia" w:ascii="宋体" w:hAnsi="宋体"/>
                <w:bCs/>
                <w:kern w:val="0"/>
                <w:szCs w:val="21"/>
              </w:rPr>
            </w:pPr>
            <w:r>
              <w:rPr>
                <w:rFonts w:ascii="宋体" w:hAnsi="宋体"/>
                <w:bCs/>
                <w:kern w:val="0"/>
                <w:szCs w:val="21"/>
              </w:rPr>
              <w:t>灯桩</w:t>
            </w:r>
            <w:r>
              <w:rPr>
                <w:rFonts w:hint="eastAsia" w:ascii="宋体" w:hAnsi="宋体"/>
                <w:bCs/>
                <w:kern w:val="0"/>
                <w:szCs w:val="21"/>
              </w:rPr>
              <w:t>射程</w:t>
            </w:r>
            <w:r>
              <w:rPr>
                <w:rFonts w:ascii="宋体" w:hAnsi="宋体"/>
                <w:bCs/>
                <w:kern w:val="0"/>
                <w:szCs w:val="21"/>
              </w:rPr>
              <w:t>为</w:t>
            </w:r>
            <w:r>
              <w:rPr>
                <w:rFonts w:hint="eastAsia" w:ascii="宋体" w:hAnsi="宋体"/>
                <w:bCs/>
                <w:kern w:val="0"/>
                <w:szCs w:val="21"/>
              </w:rPr>
              <w:t>5海里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顶标</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“X”型黄色顶标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标身</w:t>
            </w:r>
          </w:p>
        </w:tc>
        <w:tc>
          <w:tcPr>
            <w:tcW w:w="5599" w:type="dxa"/>
            <w:vAlign w:val="center"/>
          </w:tcPr>
          <w:p>
            <w:pPr>
              <w:jc w:val="left"/>
              <w:outlineLvl w:val="2"/>
              <w:rPr>
                <w:rFonts w:hint="eastAsia" w:ascii="宋体" w:hAnsi="宋体"/>
                <w:bCs/>
                <w:kern w:val="0"/>
                <w:szCs w:val="21"/>
              </w:rPr>
            </w:pPr>
            <w:r>
              <w:rPr>
                <w:rFonts w:ascii="宋体" w:hAnsi="宋体"/>
                <w:bCs/>
                <w:kern w:val="0"/>
                <w:szCs w:val="21"/>
              </w:rPr>
              <w:t>桩身通体刷黄色荧光漆，桩体中间涂水中构筑物空心黑色三角形标志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能源</w:t>
            </w:r>
          </w:p>
        </w:tc>
        <w:tc>
          <w:tcPr>
            <w:tcW w:w="5599" w:type="dxa"/>
            <w:vAlign w:val="center"/>
          </w:tcPr>
          <w:p>
            <w:pPr>
              <w:jc w:val="left"/>
              <w:outlineLvl w:val="2"/>
              <w:rPr>
                <w:rFonts w:hint="eastAsia" w:ascii="宋体" w:hAnsi="宋体"/>
                <w:bCs/>
                <w:kern w:val="0"/>
                <w:szCs w:val="21"/>
              </w:rPr>
            </w:pPr>
            <w:r>
              <w:rPr>
                <w:rFonts w:ascii="宋体" w:hAnsi="宋体"/>
                <w:bCs/>
                <w:kern w:val="0"/>
                <w:szCs w:val="21"/>
              </w:rPr>
              <w:t>太阳能电池120W（型号</w:t>
            </w:r>
            <w:r>
              <w:rPr>
                <w:rFonts w:hint="eastAsia" w:ascii="宋体" w:hAnsi="宋体"/>
                <w:bCs/>
                <w:kern w:val="0"/>
                <w:szCs w:val="21"/>
              </w:rPr>
              <w:t>TDB 125*125/2-36-P40W</w:t>
            </w:r>
            <w:r>
              <w:rPr>
                <w:rFonts w:ascii="宋体" w:hAnsi="宋体"/>
                <w:bCs/>
                <w:kern w:val="0"/>
                <w:szCs w:val="21"/>
              </w:rPr>
              <w:t>），6只2V500AH 免维护蓄电池。（电源配制综合考虑 AIS 航标装置耗电量）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闪光模式</w:t>
            </w:r>
          </w:p>
        </w:tc>
        <w:tc>
          <w:tcPr>
            <w:tcW w:w="5599" w:type="dxa"/>
            <w:vAlign w:val="center"/>
          </w:tcPr>
          <w:p>
            <w:pPr>
              <w:jc w:val="left"/>
              <w:outlineLvl w:val="2"/>
              <w:rPr>
                <w:rFonts w:hint="eastAsia" w:ascii="宋体" w:hAnsi="宋体"/>
                <w:bCs/>
                <w:kern w:val="0"/>
                <w:szCs w:val="21"/>
              </w:rPr>
            </w:pPr>
            <w:r>
              <w:rPr>
                <w:rFonts w:ascii="宋体" w:hAnsi="宋体"/>
                <w:bCs/>
                <w:kern w:val="0"/>
                <w:szCs w:val="21"/>
              </w:rPr>
              <w:t>1、4、6、8 号4座</w:t>
            </w:r>
            <w:r>
              <w:rPr>
                <w:rFonts w:hint="eastAsia" w:ascii="宋体" w:hAnsi="宋体"/>
                <w:bCs/>
                <w:kern w:val="0"/>
                <w:szCs w:val="21"/>
              </w:rPr>
              <w:t>SPS</w:t>
            </w:r>
            <w:r>
              <w:rPr>
                <w:rFonts w:ascii="宋体" w:hAnsi="宋体"/>
                <w:bCs/>
                <w:kern w:val="0"/>
                <w:szCs w:val="21"/>
              </w:rPr>
              <w:t>灯桩同步闪光，</w:t>
            </w:r>
          </w:p>
          <w:p>
            <w:pPr>
              <w:jc w:val="left"/>
              <w:outlineLvl w:val="2"/>
              <w:rPr>
                <w:rFonts w:hint="eastAsia" w:ascii="宋体" w:hAnsi="宋体"/>
                <w:bCs/>
                <w:kern w:val="0"/>
                <w:szCs w:val="21"/>
              </w:rPr>
            </w:pPr>
            <w:r>
              <w:rPr>
                <w:rFonts w:ascii="宋体" w:hAnsi="宋体"/>
                <w:bCs/>
                <w:kern w:val="0"/>
                <w:szCs w:val="21"/>
              </w:rPr>
              <w:t>2、3、5、7 号4座</w:t>
            </w:r>
            <w:r>
              <w:rPr>
                <w:rFonts w:hint="eastAsia" w:ascii="宋体" w:hAnsi="宋体"/>
                <w:bCs/>
                <w:kern w:val="0"/>
                <w:szCs w:val="21"/>
              </w:rPr>
              <w:t>IPS</w:t>
            </w:r>
            <w:r>
              <w:rPr>
                <w:rFonts w:ascii="宋体" w:hAnsi="宋体"/>
                <w:bCs/>
                <w:kern w:val="0"/>
                <w:szCs w:val="21"/>
              </w:rPr>
              <w:t>灯桩同步闪光</w:t>
            </w:r>
          </w:p>
        </w:tc>
      </w:tr>
    </w:tbl>
    <w:p>
      <w:pPr>
        <w:widowControl/>
        <w:spacing w:before="60" w:after="60" w:line="360" w:lineRule="auto"/>
        <w:ind w:firstLine="424" w:firstLineChars="177"/>
        <w:jc w:val="center"/>
        <w:rPr>
          <w:rFonts w:hint="eastAsia" w:asciiTheme="minorEastAsia" w:hAnsiTheme="minorEastAsia"/>
          <w:sz w:val="24"/>
        </w:rPr>
      </w:pPr>
      <w:r>
        <w:rPr>
          <w:rFonts w:asciiTheme="minorEastAsia" w:hAnsiTheme="minorEastAsia"/>
          <w:sz w:val="24"/>
        </w:rPr>
        <w:t>表</w:t>
      </w:r>
      <w:r>
        <w:rPr>
          <w:rFonts w:hint="eastAsia" w:asciiTheme="minorEastAsia" w:hAnsiTheme="minorEastAsia"/>
          <w:sz w:val="24"/>
        </w:rPr>
        <w:t>2-3 AIS航标设备参数</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8"/>
        <w:gridCol w:w="55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38" w:type="dxa"/>
            <w:vAlign w:val="center"/>
          </w:tcPr>
          <w:p>
            <w:pPr>
              <w:outlineLvl w:val="2"/>
              <w:rPr>
                <w:rFonts w:hint="eastAsia" w:ascii="宋体" w:hAnsi="宋体"/>
                <w:bCs/>
                <w:kern w:val="0"/>
                <w:szCs w:val="21"/>
              </w:rPr>
            </w:pPr>
            <w:r>
              <w:rPr>
                <w:rFonts w:hint="eastAsia" w:ascii="宋体" w:hAnsi="宋体"/>
                <w:bCs/>
                <w:kern w:val="0"/>
                <w:szCs w:val="21"/>
              </w:rPr>
              <w:t>技术参数名称</w:t>
            </w:r>
          </w:p>
        </w:tc>
        <w:tc>
          <w:tcPr>
            <w:tcW w:w="5599" w:type="dxa"/>
            <w:vAlign w:val="center"/>
          </w:tcPr>
          <w:p>
            <w:pPr>
              <w:jc w:val="center"/>
              <w:outlineLvl w:val="2"/>
              <w:rPr>
                <w:rFonts w:hint="eastAsia" w:ascii="宋体" w:hAnsi="宋体"/>
                <w:bCs/>
                <w:kern w:val="0"/>
                <w:szCs w:val="21"/>
              </w:rPr>
            </w:pPr>
            <w:r>
              <w:rPr>
                <w:rFonts w:hint="eastAsia" w:ascii="宋体" w:hAnsi="宋体"/>
                <w:bCs/>
                <w:kern w:val="0"/>
                <w:szCs w:val="21"/>
              </w:rPr>
              <w:t>技术参数内容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生产厂家</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成都市伟丰电子科技有限公司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型号</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ACT3-AN01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MMSI</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994121562、994121563、994121564、994121565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发射模式</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指配模式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38" w:type="dxa"/>
            <w:vAlign w:val="center"/>
          </w:tcPr>
          <w:p>
            <w:pPr>
              <w:jc w:val="center"/>
              <w:outlineLvl w:val="2"/>
              <w:rPr>
                <w:rFonts w:hint="eastAsia" w:ascii="宋体" w:hAnsi="宋体"/>
                <w:bCs/>
                <w:kern w:val="0"/>
                <w:szCs w:val="21"/>
              </w:rPr>
            </w:pPr>
            <w:r>
              <w:rPr>
                <w:rFonts w:hint="eastAsia" w:ascii="宋体" w:hAnsi="宋体"/>
                <w:bCs/>
                <w:kern w:val="0"/>
                <w:szCs w:val="21"/>
              </w:rPr>
              <w:t>播发间隔</w:t>
            </w:r>
          </w:p>
        </w:tc>
        <w:tc>
          <w:tcPr>
            <w:tcW w:w="5599" w:type="dxa"/>
            <w:vAlign w:val="center"/>
          </w:tcPr>
          <w:p>
            <w:pPr>
              <w:jc w:val="left"/>
              <w:outlineLvl w:val="2"/>
              <w:rPr>
                <w:rFonts w:hint="eastAsia" w:ascii="宋体" w:hAnsi="宋体"/>
                <w:bCs/>
                <w:kern w:val="0"/>
                <w:szCs w:val="21"/>
              </w:rPr>
            </w:pPr>
            <w:r>
              <w:rPr>
                <w:rFonts w:hint="eastAsia" w:ascii="宋体" w:hAnsi="宋体"/>
                <w:bCs/>
                <w:kern w:val="0"/>
                <w:szCs w:val="21"/>
              </w:rPr>
              <w:t>3分钟</w:t>
            </w:r>
          </w:p>
        </w:tc>
      </w:tr>
    </w:tbl>
    <w:p>
      <w:pPr>
        <w:widowControl/>
        <w:spacing w:before="60" w:after="60" w:line="360" w:lineRule="auto"/>
        <w:ind w:firstLine="371" w:firstLineChars="177"/>
        <w:jc w:val="left"/>
        <w:rPr>
          <w:rFonts w:hint="eastAsia" w:asciiTheme="minorEastAsia" w:hAnsiTheme="minorEastAsia"/>
          <w:szCs w:val="21"/>
        </w:rPr>
      </w:pPr>
      <w:r>
        <w:rPr>
          <w:rFonts w:hint="eastAsia" w:asciiTheme="minorEastAsia" w:hAnsiTheme="minorEastAsia"/>
          <w:szCs w:val="21"/>
        </w:rPr>
        <w:t>（航标设备设施其它情况，以现场实际为准）</w:t>
      </w:r>
    </w:p>
    <w:p>
      <w:pPr>
        <w:widowControl/>
        <w:spacing w:before="60" w:after="60" w:line="360" w:lineRule="auto"/>
        <w:ind w:firstLine="318" w:firstLineChars="177"/>
        <w:jc w:val="center"/>
        <w:rPr>
          <w:rFonts w:hint="eastAsia" w:asciiTheme="minorEastAsia" w:hAnsiTheme="minorEastAsia"/>
          <w:sz w:val="18"/>
          <w:szCs w:val="18"/>
        </w:rPr>
      </w:pPr>
      <w:r>
        <w:rPr>
          <w:rFonts w:hint="eastAsia" w:asciiTheme="minorEastAsia" w:hAnsiTheme="minorEastAsia"/>
          <w:sz w:val="18"/>
          <w:szCs w:val="18"/>
        </w:rPr>
        <w:drawing>
          <wp:anchor distT="0" distB="0" distL="114300" distR="114300" simplePos="0" relativeHeight="251660288" behindDoc="0" locked="0" layoutInCell="1" allowOverlap="1">
            <wp:simplePos x="0" y="0"/>
            <wp:positionH relativeFrom="column">
              <wp:posOffset>1905</wp:posOffset>
            </wp:positionH>
            <wp:positionV relativeFrom="paragraph">
              <wp:posOffset>133350</wp:posOffset>
            </wp:positionV>
            <wp:extent cx="5479415" cy="3495675"/>
            <wp:effectExtent l="19050" t="0" r="6985" b="0"/>
            <wp:wrapSquare wrapText="bothSides"/>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noChangeArrowheads="1"/>
                    </pic:cNvPicPr>
                  </pic:nvPicPr>
                  <pic:blipFill>
                    <a:blip r:embed="rId6" cstate="print"/>
                    <a:srcRect/>
                    <a:stretch>
                      <a:fillRect/>
                    </a:stretch>
                  </pic:blipFill>
                  <pic:spPr>
                    <a:xfrm>
                      <a:off x="0" y="0"/>
                      <a:ext cx="5479415" cy="3495675"/>
                    </a:xfrm>
                    <a:prstGeom prst="rect">
                      <a:avLst/>
                    </a:prstGeom>
                    <a:noFill/>
                    <a:ln w="9525">
                      <a:noFill/>
                      <a:miter lim="800000"/>
                      <a:headEnd/>
                      <a:tailEnd/>
                    </a:ln>
                  </pic:spPr>
                </pic:pic>
              </a:graphicData>
            </a:graphic>
          </wp:anchor>
        </w:drawing>
      </w:r>
      <w:r>
        <w:rPr>
          <w:rFonts w:hint="eastAsia" w:asciiTheme="minorEastAsia" w:hAnsiTheme="minorEastAsia"/>
          <w:sz w:val="18"/>
          <w:szCs w:val="18"/>
        </w:rPr>
        <w:t>灯桩结构立面图</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2.2</w:t>
      </w:r>
      <w:r>
        <w:rPr>
          <w:rFonts w:asciiTheme="minorEastAsia" w:hAnsiTheme="minorEastAsia"/>
          <w:b/>
          <w:sz w:val="24"/>
        </w:rPr>
        <w:t>航标维护工作内容（包括但不限于）：</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w:t>
      </w:r>
      <w:r>
        <w:rPr>
          <w:rFonts w:asciiTheme="minorEastAsia" w:hAnsiTheme="minorEastAsia"/>
          <w:sz w:val="24"/>
        </w:rPr>
        <w:t>负责编制航标维护工作方案，经招标人审核同意后，按工作方案要求进行航标的巡检和维护工作；</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2</w:t>
      </w:r>
      <w:r>
        <w:rPr>
          <w:rFonts w:asciiTheme="minorEastAsia" w:hAnsiTheme="minorEastAsia"/>
          <w:sz w:val="24"/>
        </w:rPr>
        <w:t>）负责对航标巡检和维护资料进行建档；</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w:t>
      </w:r>
      <w:r>
        <w:rPr>
          <w:rFonts w:asciiTheme="minorEastAsia" w:hAnsiTheme="minorEastAsia"/>
          <w:sz w:val="24"/>
        </w:rPr>
        <w:t>）</w:t>
      </w:r>
      <w:r>
        <w:rPr>
          <w:rFonts w:hint="eastAsia" w:asciiTheme="minorEastAsia" w:hAnsiTheme="minorEastAsia"/>
          <w:sz w:val="24"/>
        </w:rPr>
        <w:t>负责航标设备维修所需备件的及时采购、调配工作，确保维护响应时效符合本规范书要求；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4</w:t>
      </w:r>
      <w:r>
        <w:rPr>
          <w:rFonts w:asciiTheme="minorEastAsia" w:hAnsiTheme="minorEastAsia"/>
          <w:sz w:val="24"/>
        </w:rPr>
        <w:t>）</w:t>
      </w:r>
      <w:r>
        <w:rPr>
          <w:rFonts w:hint="eastAsia" w:asciiTheme="minorEastAsia" w:hAnsiTheme="minorEastAsia"/>
          <w:sz w:val="24"/>
        </w:rPr>
        <w:t>协助做好</w:t>
      </w:r>
      <w:r>
        <w:rPr>
          <w:rFonts w:asciiTheme="minorEastAsia" w:hAnsiTheme="minorEastAsia"/>
          <w:sz w:val="24"/>
        </w:rPr>
        <w:t>海事等相关部门组织的航标</w:t>
      </w:r>
      <w:r>
        <w:rPr>
          <w:rFonts w:hint="eastAsia" w:asciiTheme="minorEastAsia" w:hAnsiTheme="minorEastAsia"/>
          <w:sz w:val="24"/>
        </w:rPr>
        <w:t>检查</w:t>
      </w:r>
      <w:r>
        <w:rPr>
          <w:rFonts w:asciiTheme="minorEastAsia" w:hAnsiTheme="minorEastAsia"/>
          <w:sz w:val="24"/>
        </w:rPr>
        <w:t>检测工作；</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5</w:t>
      </w:r>
      <w:r>
        <w:rPr>
          <w:rFonts w:asciiTheme="minorEastAsia" w:hAnsiTheme="minorEastAsia"/>
          <w:sz w:val="24"/>
        </w:rPr>
        <w:t>）</w:t>
      </w:r>
      <w:r>
        <w:rPr>
          <w:rFonts w:hint="eastAsia" w:asciiTheme="minorEastAsia" w:hAnsiTheme="minorEastAsia"/>
          <w:sz w:val="24"/>
        </w:rPr>
        <w:t>协助招标人方做好</w:t>
      </w:r>
      <w:r>
        <w:rPr>
          <w:rFonts w:asciiTheme="minorEastAsia" w:hAnsiTheme="minorEastAsia"/>
          <w:sz w:val="24"/>
        </w:rPr>
        <w:t>其他与航标相关的工作内容</w:t>
      </w:r>
      <w:r>
        <w:rPr>
          <w:rFonts w:hint="eastAsia" w:asciiTheme="minorEastAsia" w:hAnsiTheme="minorEastAsia"/>
          <w:sz w:val="24"/>
        </w:rPr>
        <w:t>。</w:t>
      </w:r>
    </w:p>
    <w:p>
      <w:pPr>
        <w:widowControl/>
        <w:ind w:firstLine="424" w:firstLineChars="176"/>
        <w:jc w:val="left"/>
        <w:outlineLvl w:val="0"/>
        <w:rPr>
          <w:rFonts w:hint="eastAsia" w:ascii="宋体" w:hAnsi="宋体" w:eastAsia="宋体" w:cs="宋体"/>
          <w:b/>
          <w:kern w:val="0"/>
          <w:sz w:val="24"/>
        </w:rPr>
      </w:pPr>
      <w:r>
        <w:rPr>
          <w:rFonts w:hint="eastAsia" w:ascii="宋体" w:hAnsi="宋体" w:eastAsia="宋体" w:cs="宋体"/>
          <w:b/>
          <w:kern w:val="0"/>
          <w:sz w:val="24"/>
        </w:rPr>
        <w:t>三、航标维护要求</w:t>
      </w:r>
    </w:p>
    <w:p>
      <w:pPr>
        <w:widowControl/>
        <w:spacing w:before="60" w:after="60" w:line="360" w:lineRule="auto"/>
        <w:ind w:firstLine="426" w:firstLineChars="177"/>
        <w:jc w:val="left"/>
        <w:rPr>
          <w:rFonts w:hint="eastAsia" w:asciiTheme="minorEastAsia" w:hAnsiTheme="minorEastAsia"/>
          <w:b/>
          <w:sz w:val="28"/>
          <w:szCs w:val="28"/>
        </w:rPr>
      </w:pPr>
      <w:r>
        <w:rPr>
          <w:rFonts w:hint="eastAsia" w:asciiTheme="minorEastAsia" w:hAnsiTheme="minorEastAsia"/>
          <w:b/>
          <w:sz w:val="24"/>
        </w:rPr>
        <w:t>3.1遵循的规范标准</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投标人应严格执行本文件所列法规</w:t>
      </w:r>
      <w:r>
        <w:rPr>
          <w:rFonts w:asciiTheme="minorEastAsia" w:hAnsiTheme="minorEastAsia"/>
          <w:sz w:val="24"/>
        </w:rPr>
        <w:t>、</w:t>
      </w:r>
      <w:r>
        <w:rPr>
          <w:rFonts w:hint="eastAsia" w:asciiTheme="minorEastAsia" w:hAnsiTheme="minorEastAsia"/>
          <w:sz w:val="24"/>
        </w:rPr>
        <w:t>标准、规范、规程，若招标人提出的法规、标准、</w:t>
      </w:r>
      <w:r>
        <w:rPr>
          <w:rFonts w:asciiTheme="minorEastAsia" w:hAnsiTheme="minorEastAsia"/>
          <w:sz w:val="24"/>
        </w:rPr>
        <w:t>规范、规程等</w:t>
      </w:r>
      <w:r>
        <w:rPr>
          <w:rFonts w:hint="eastAsia" w:asciiTheme="minorEastAsia" w:hAnsiTheme="minorEastAsia"/>
          <w:sz w:val="24"/>
        </w:rPr>
        <w:t>与本文件所列不一致时，应按较高法规</w:t>
      </w:r>
      <w:r>
        <w:rPr>
          <w:rFonts w:asciiTheme="minorEastAsia" w:hAnsiTheme="minorEastAsia"/>
          <w:sz w:val="24"/>
        </w:rPr>
        <w:t>、</w:t>
      </w:r>
      <w:r>
        <w:rPr>
          <w:rFonts w:hint="eastAsia" w:asciiTheme="minorEastAsia" w:hAnsiTheme="minorEastAsia"/>
          <w:sz w:val="24"/>
        </w:rPr>
        <w:t>标准、规范、规程要求执行。</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如果某项标准或协议在本文件中未作规定，或投标人采用其它标准或协议，则投标人应详细说明其采用的标准或协议，并向招标人提供其采用标准或协议的中文版本。只有当其采用的标准或协议是国际公认的、惯用的，且不低于本文件的要求时，投标人采用的标准或协议才能被招标人认可。</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下列文件对于本文件的应用是必不可少的，凡是注日期的引用文件，仅注日期的版本适用于本文件，凡是不注日期的引用文件，其最新版本（包括所有的修改单）适用于本文件。</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1）中华人民共和国航标条例(1995年12月3日，国务院第187号令)</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2）中国海区水上助航标志（GB4696-2016）</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3）中国海区水上助航标志形状显示规定（GB/T16161-1996）</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4）中国海区水中建构筑物 助航标志规定GB 17380-2020</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5）航标灯光信号颜色（GB 12708-2020）</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6）沿海航标维护质量管理体系导则（JT/T729-2008）</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7）航标灯光强测量和灯光射程计算（JT7007-08）</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8）</w:t>
      </w:r>
      <w:r>
        <w:rPr>
          <w:rFonts w:asciiTheme="minorEastAsia" w:hAnsiTheme="minorEastAsia"/>
          <w:sz w:val="24"/>
        </w:rPr>
        <w:t>沿海航标维护质量要求及评定方法</w:t>
      </w:r>
      <w:r>
        <w:rPr>
          <w:rFonts w:hint="eastAsia" w:asciiTheme="minorEastAsia" w:hAnsiTheme="minorEastAsia"/>
          <w:sz w:val="24"/>
        </w:rPr>
        <w:t>（</w:t>
      </w:r>
      <w:r>
        <w:rPr>
          <w:rFonts w:asciiTheme="minorEastAsia" w:hAnsiTheme="minorEastAsia"/>
          <w:sz w:val="24"/>
        </w:rPr>
        <w:t>JT/T 1363-2020</w:t>
      </w:r>
      <w:r>
        <w:rPr>
          <w:rFonts w:hint="eastAsia" w:asciiTheme="minorEastAsia" w:hAnsiTheme="minorEastAsia"/>
          <w:sz w:val="24"/>
        </w:rPr>
        <w:t>）</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9）沿海导助航工程维护技术规程（JTS/T 320-5-2020）</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10）海区航标固定建（构）筑物维护（</w:t>
      </w:r>
      <w:r>
        <w:rPr>
          <w:rFonts w:asciiTheme="minorEastAsia" w:hAnsiTheme="minorEastAsia"/>
          <w:sz w:val="24"/>
        </w:rPr>
        <w:t>JT</w:t>
      </w:r>
      <w:r>
        <w:rPr>
          <w:rFonts w:hint="eastAsia" w:asciiTheme="minorEastAsia" w:hAnsiTheme="minorEastAsia"/>
          <w:sz w:val="24"/>
        </w:rPr>
        <w:t xml:space="preserve">/T </w:t>
      </w:r>
      <w:r>
        <w:rPr>
          <w:rFonts w:asciiTheme="minorEastAsia" w:hAnsiTheme="minorEastAsia"/>
          <w:sz w:val="24"/>
        </w:rPr>
        <w:t>7</w:t>
      </w:r>
      <w:r>
        <w:rPr>
          <w:rFonts w:hint="eastAsia" w:asciiTheme="minorEastAsia" w:hAnsiTheme="minorEastAsia"/>
          <w:sz w:val="24"/>
        </w:rPr>
        <w:t>31-2008）</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11）海区航标维护管理规则（</w:t>
      </w:r>
      <w:r>
        <w:rPr>
          <w:rFonts w:asciiTheme="minorEastAsia" w:hAnsiTheme="minorEastAsia"/>
          <w:sz w:val="24"/>
        </w:rPr>
        <w:t>海航保〔2019〕485号</w:t>
      </w:r>
      <w:r>
        <w:rPr>
          <w:rFonts w:hint="eastAsia" w:asciiTheme="minorEastAsia" w:hAnsiTheme="minorEastAsia"/>
          <w:sz w:val="24"/>
        </w:rPr>
        <w:t>）</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12）东海海区航标维护管理实施细则（</w:t>
      </w:r>
      <w:r>
        <w:rPr>
          <w:rFonts w:asciiTheme="minorEastAsia" w:hAnsiTheme="minorEastAsia"/>
          <w:sz w:val="24"/>
        </w:rPr>
        <w:t>东海航导〔2020〕66号</w:t>
      </w:r>
      <w:r>
        <w:rPr>
          <w:rFonts w:hint="eastAsia" w:asciiTheme="minorEastAsia" w:hAnsiTheme="minorEastAsia"/>
          <w:sz w:val="24"/>
        </w:rPr>
        <w:t>）</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13）东海航海保障中心航标遥测遥控系统运行管理办法（试行）</w:t>
      </w:r>
      <w:r>
        <w:rPr>
          <w:rFonts w:asciiTheme="minorEastAsia" w:hAnsiTheme="minorEastAsia"/>
          <w:sz w:val="24"/>
        </w:rPr>
        <w:t>（东海航保〔2013〕523 号）</w:t>
      </w:r>
    </w:p>
    <w:p>
      <w:pPr>
        <w:widowControl/>
        <w:spacing w:before="60" w:after="60" w:line="360" w:lineRule="auto"/>
        <w:ind w:firstLine="426" w:firstLineChars="177"/>
        <w:jc w:val="left"/>
        <w:rPr>
          <w:rFonts w:hint="eastAsia" w:asciiTheme="minorEastAsia" w:hAnsiTheme="minorEastAsia"/>
          <w:sz w:val="24"/>
        </w:rPr>
      </w:pPr>
      <w:r>
        <w:rPr>
          <w:rFonts w:hint="eastAsia" w:asciiTheme="minorEastAsia" w:hAnsiTheme="minorEastAsia"/>
          <w:b/>
          <w:sz w:val="24"/>
        </w:rPr>
        <w:t>3.</w:t>
      </w:r>
      <w:r>
        <w:rPr>
          <w:rFonts w:asciiTheme="minorEastAsia" w:hAnsiTheme="minorEastAsia"/>
          <w:b/>
          <w:sz w:val="24"/>
        </w:rPr>
        <w:t>2</w:t>
      </w:r>
      <w:r>
        <w:rPr>
          <w:rFonts w:hint="eastAsia" w:asciiTheme="minorEastAsia" w:hAnsiTheme="minorEastAsia"/>
          <w:b/>
          <w:sz w:val="24"/>
        </w:rPr>
        <w:t>服务期限</w:t>
      </w:r>
      <w:r>
        <w:rPr>
          <w:rFonts w:hint="eastAsia" w:asciiTheme="minorEastAsia" w:hAnsiTheme="minorEastAsia"/>
          <w:sz w:val="24"/>
        </w:rPr>
        <w:t>：</w:t>
      </w:r>
      <w:r>
        <w:rPr>
          <w:rFonts w:hint="eastAsia" w:asciiTheme="minorEastAsia" w:hAnsiTheme="minorEastAsia"/>
          <w:sz w:val="24"/>
          <w:u w:val="single"/>
        </w:rPr>
        <w:t>2025年6月1日—2027年5月31日</w:t>
      </w:r>
      <w:r>
        <w:rPr>
          <w:rFonts w:hint="eastAsia" w:asciiTheme="minorEastAsia" w:hAnsiTheme="minorEastAsia"/>
          <w:sz w:val="24"/>
        </w:rPr>
        <w:t>。</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3.3航标维护要求</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3.3.1巡查及维护要求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1）应编制好航标维护工作方案，并按工作方案有计划进行航标巡查维护工作。</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2）航标巡查，主要内容包括航标的外观标识是否完好、牢固，构件是否齐全；航标灯发光是否正常，灯光视距是否足够和灯光颜色是否鲜明等；航标供电系统是否正常、有效，线路是否存在老化现象；AIS航标播放信息是否正常，时间间隔是否符合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3）在航标巡检过程中，应及时清理灰尘、沾黏物等，去除障碍物，发现线缆及设备有松动的要及时紧固。同时应作好记录，发现问题应及时上报招标人，必要时应附上照片或简图。</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4）如发现航标失常或设备设施遭到破坏时，应及时上报招标人，并及时出航进行修复，修复</w:t>
      </w:r>
      <w:r>
        <w:rPr>
          <w:rFonts w:hint="eastAsia" w:ascii="宋体" w:hAnsi="宋体" w:cs="宋体"/>
          <w:sz w:val="24"/>
        </w:rPr>
        <w:t>时间按《</w:t>
      </w:r>
      <w:r>
        <w:rPr>
          <w:rFonts w:hint="eastAsia" w:asciiTheme="minorEastAsia" w:hAnsiTheme="minorEastAsia"/>
          <w:sz w:val="24"/>
        </w:rPr>
        <w:t>东海海区航标维护管理实施细则</w:t>
      </w:r>
      <w:r>
        <w:rPr>
          <w:rFonts w:hint="eastAsia" w:ascii="宋体" w:hAnsi="宋体" w:cs="宋体"/>
          <w:sz w:val="24"/>
        </w:rPr>
        <w:t>》规定标准执行</w:t>
      </w:r>
      <w:r>
        <w:rPr>
          <w:rFonts w:hint="eastAsia" w:asciiTheme="minorEastAsia" w:hAnsiTheme="minorEastAsia"/>
          <w:sz w:val="24"/>
        </w:rPr>
        <w:t>。</w:t>
      </w:r>
      <w:r>
        <w:rPr>
          <w:rFonts w:hint="eastAsia" w:ascii="宋体" w:hAnsi="宋体" w:cs="宋体"/>
          <w:sz w:val="24"/>
        </w:rPr>
        <w:t>因天气原因不能按时进行修复的，应做好记录，待天气允许时应立即进行修复。</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5）若遇到特殊情况，如台风、大暴雨、大浪潮、强地震以及结构出现异常或损坏等情况，应立即对航标进行一次全面检查，及时修复损坏的设备。</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3.3.2航标维护周期要求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1）航标的日常巡检周期为1次/月，航标保养1次/年。</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2）航标灯、蓄电池、太阳能电池板等航标设备每季度进行一次全面清洁保养；航标灯、蓄电池每季度进行一次质量检测，太阳能电池每半年进行一次质量检测，并做好记录，达不到技术性能指标的，应及时修理或更换。</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3）除天气原因导致无法到达现场外，航标出现故障时，应在48小时内完成故障排除，恢复助航效能。</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4）当风场内出现台风天气，待解除封航后，必须立即对航标进行一次全面检查，及时修复损坏的设备设施，清除障碍物。</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3.3.3航标维护质量要求</w:t>
      </w:r>
    </w:p>
    <w:p>
      <w:pPr>
        <w:widowControl/>
        <w:spacing w:before="60" w:after="60" w:line="360" w:lineRule="auto"/>
        <w:ind w:firstLine="424" w:firstLineChars="177"/>
        <w:jc w:val="left"/>
        <w:rPr>
          <w:rFonts w:hint="eastAsia" w:asciiTheme="minorEastAsia" w:hAnsiTheme="minorEastAsia"/>
          <w:sz w:val="24"/>
        </w:rPr>
      </w:pPr>
      <w:r>
        <w:rPr>
          <w:rFonts w:hint="eastAsia" w:ascii="宋体" w:hAnsi="宋体" w:cs="宋体"/>
          <w:sz w:val="24"/>
        </w:rPr>
        <w:t>在航标日常维护中，质量需满足交通部颁布航标灯应“标位准确、灯质正常、结构良好、涂色鲜明”、AIS航标应</w:t>
      </w:r>
      <w:r>
        <w:rPr>
          <w:rFonts w:ascii="TimesNewRomanPSMT" w:hAnsi="TimesNewRomanPSMT"/>
          <w:sz w:val="32"/>
          <w:szCs w:val="32"/>
        </w:rPr>
        <w:t>“</w:t>
      </w:r>
      <w:r>
        <w:rPr>
          <w:rFonts w:ascii="宋体" w:hAnsi="宋体" w:cs="宋体"/>
          <w:sz w:val="24"/>
        </w:rPr>
        <w:t>信号准确、频率稳定、功率正常、工作连续”</w:t>
      </w:r>
      <w:r>
        <w:rPr>
          <w:rFonts w:hint="eastAsia" w:ascii="宋体" w:hAnsi="宋体" w:cs="宋体"/>
          <w:sz w:val="24"/>
        </w:rPr>
        <w:t>的目标，应符合《</w:t>
      </w:r>
      <w:r>
        <w:rPr>
          <w:rFonts w:hint="eastAsia" w:asciiTheme="minorEastAsia" w:hAnsiTheme="minorEastAsia"/>
          <w:sz w:val="24"/>
        </w:rPr>
        <w:t>东海海区航标维护管理实施细则</w:t>
      </w:r>
      <w:r>
        <w:rPr>
          <w:rFonts w:hint="eastAsia" w:ascii="宋体" w:hAnsi="宋体" w:cs="宋体"/>
          <w:sz w:val="24"/>
        </w:rPr>
        <w:t>》中（附件1：航标维护质量要求）的具体要求，同时还要符合</w:t>
      </w:r>
      <w:r>
        <w:rPr>
          <w:rFonts w:hint="eastAsia" w:asciiTheme="minorEastAsia" w:hAnsiTheme="minorEastAsia"/>
          <w:sz w:val="24"/>
        </w:rPr>
        <w:t>航标的发光正常率不低于99.0%、维护正常率不低于99.5%的要求。</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3.3.4航标维护成果报告</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要求每月编制月度航标维护报告，内容包括巡查情况、航标遥控遥测系统监测情况，清理维修、更换设备情况，巡检、维护过程的影像资料以及故障部件更换清单等，并每月及时将维护报告上报给招标人。</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3.4其它要求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1）投标人应对航标巡检资料保密，不得将航标巡检资料提供给其他单位和个人，否则应对由此造成的后果承担责任。</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2）航标设备设施及配件的采购、更换、维修及保养由投标人承担，其费用包含在航标维护服务总报价内。</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3）投标人需承担在维护工作正常情况下发生的航标被撞、失踪、移位及其他意外损失费（如用船费、航标器材费等）。承担因投标人工作船靠泊不当对招标人风机及承台造成的损失。</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4）投标人如需登风机承台对灯柱、AIS航标等设备进行维护时，应提前3天上报招标人，待招标人许可后方能登风机进行航标维护工作。</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5）投标人应自行配置好为完成航标维护工作所需的船舶、维护工器具以及工作人员，并且应为出海维护作业的船舶、人员办理好相关的手续及证书，保证符合海事等主管部门出海、维护作业相关的要求。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6）</w:t>
      </w:r>
      <w:r>
        <w:rPr>
          <w:rFonts w:asciiTheme="minorEastAsia" w:hAnsiTheme="minorEastAsia"/>
          <w:sz w:val="24"/>
        </w:rPr>
        <w:t>航标维护作业活动应在满足船舶与人员作业安全的环境要求下开展，并以天气预报和航标作业船船长现场实际判断等综合评估是否满足要求；维护作业时，工作人员应按规定做好安全防护工作，正确穿佩安全帽、救生衣等个人防护用品。</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7）航标维修或更换后的废弃物（如旧电池、油污等）投标人应带回岸妥善处理，不应在海上或风机上随意丢弃。</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四、航标维护考核要求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投标人应按审批的航标维护方案进行日常维护工作，及时上报航标维护成果报告，招标人对报告予以确认。如投标人未按本规范书3.3项的相关要求完成维护任务或完成的工作内容不符合国家相关技术标准的，投标人应立即整改，投标人如不整改或整改不到位的，投标人应赔偿招标人的实际损失。</w:t>
      </w:r>
    </w:p>
    <w:p>
      <w:pPr>
        <w:widowControl/>
        <w:spacing w:before="60" w:after="60" w:line="360" w:lineRule="auto"/>
        <w:ind w:firstLine="424" w:firstLineChars="177"/>
        <w:jc w:val="left"/>
        <w:rPr>
          <w:rFonts w:hint="eastAsia" w:asciiTheme="minorEastAsia" w:hAnsiTheme="minorEastAsia"/>
          <w:sz w:val="24"/>
        </w:rPr>
      </w:pPr>
    </w:p>
    <w:sectPr>
      <w:pgSz w:w="11906" w:h="16838"/>
      <w:pgMar w:top="1440" w:right="1797" w:bottom="1191" w:left="17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NewRomanPSMT">
    <w:altName w:val="Times New Roman"/>
    <w:panose1 w:val="00000000000000000000"/>
    <w:charset w:val="00"/>
    <w:family w:val="roman"/>
    <w:pitch w:val="default"/>
    <w:sig w:usb0="00000000" w:usb1="00000000" w:usb2="00000000" w:usb3="00000000" w:csb0="00000000" w:csb1="00000000"/>
  </w:font>
  <w:font w:name="Calibri Light">
    <w:panose1 w:val="020F03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rsids>
    <w:rsidRoot w:val="79442D4B"/>
    <w:rsid w:val="000047D6"/>
    <w:rsid w:val="00007877"/>
    <w:rsid w:val="00014E68"/>
    <w:rsid w:val="000151BE"/>
    <w:rsid w:val="000211BC"/>
    <w:rsid w:val="0003677E"/>
    <w:rsid w:val="00037D70"/>
    <w:rsid w:val="00042F7F"/>
    <w:rsid w:val="0007048E"/>
    <w:rsid w:val="00075ABB"/>
    <w:rsid w:val="000761EA"/>
    <w:rsid w:val="0008347B"/>
    <w:rsid w:val="00083F2D"/>
    <w:rsid w:val="000A6B55"/>
    <w:rsid w:val="000A7192"/>
    <w:rsid w:val="000B19B5"/>
    <w:rsid w:val="000C065B"/>
    <w:rsid w:val="000C0816"/>
    <w:rsid w:val="000D241A"/>
    <w:rsid w:val="000D62E5"/>
    <w:rsid w:val="000D74D5"/>
    <w:rsid w:val="000E44BF"/>
    <w:rsid w:val="000E4EA2"/>
    <w:rsid w:val="000F27E7"/>
    <w:rsid w:val="000F32C4"/>
    <w:rsid w:val="000F7DF2"/>
    <w:rsid w:val="00104983"/>
    <w:rsid w:val="00110C47"/>
    <w:rsid w:val="00111E83"/>
    <w:rsid w:val="00113AD4"/>
    <w:rsid w:val="00116956"/>
    <w:rsid w:val="00127F57"/>
    <w:rsid w:val="0014335F"/>
    <w:rsid w:val="00145DCB"/>
    <w:rsid w:val="00147874"/>
    <w:rsid w:val="001532B0"/>
    <w:rsid w:val="00165CBF"/>
    <w:rsid w:val="00174AE1"/>
    <w:rsid w:val="00195454"/>
    <w:rsid w:val="001A01EE"/>
    <w:rsid w:val="001B1CBE"/>
    <w:rsid w:val="001C3692"/>
    <w:rsid w:val="001D4B95"/>
    <w:rsid w:val="001D6051"/>
    <w:rsid w:val="001D6273"/>
    <w:rsid w:val="001E3250"/>
    <w:rsid w:val="001E7731"/>
    <w:rsid w:val="001F7350"/>
    <w:rsid w:val="0020097D"/>
    <w:rsid w:val="002156F0"/>
    <w:rsid w:val="00217C3C"/>
    <w:rsid w:val="00220B4F"/>
    <w:rsid w:val="0023167C"/>
    <w:rsid w:val="00231B99"/>
    <w:rsid w:val="00241323"/>
    <w:rsid w:val="00252BA1"/>
    <w:rsid w:val="002612DF"/>
    <w:rsid w:val="00265D9B"/>
    <w:rsid w:val="0026625E"/>
    <w:rsid w:val="00272E01"/>
    <w:rsid w:val="002760AF"/>
    <w:rsid w:val="0027614C"/>
    <w:rsid w:val="002A26EF"/>
    <w:rsid w:val="002A3786"/>
    <w:rsid w:val="002A4451"/>
    <w:rsid w:val="002B2212"/>
    <w:rsid w:val="002B63CC"/>
    <w:rsid w:val="002D5907"/>
    <w:rsid w:val="002E1A5E"/>
    <w:rsid w:val="002F55D0"/>
    <w:rsid w:val="00310EB4"/>
    <w:rsid w:val="003156FC"/>
    <w:rsid w:val="0032145D"/>
    <w:rsid w:val="0033017E"/>
    <w:rsid w:val="00330B87"/>
    <w:rsid w:val="00333239"/>
    <w:rsid w:val="00357BD4"/>
    <w:rsid w:val="003772CD"/>
    <w:rsid w:val="00380F12"/>
    <w:rsid w:val="003A10BF"/>
    <w:rsid w:val="003A3BAD"/>
    <w:rsid w:val="003A3CD2"/>
    <w:rsid w:val="003B07D8"/>
    <w:rsid w:val="003B3BDC"/>
    <w:rsid w:val="003B5131"/>
    <w:rsid w:val="003C10BE"/>
    <w:rsid w:val="003C1DCF"/>
    <w:rsid w:val="003C3819"/>
    <w:rsid w:val="003C4B9F"/>
    <w:rsid w:val="003C5428"/>
    <w:rsid w:val="003D2077"/>
    <w:rsid w:val="003E43B1"/>
    <w:rsid w:val="003E6AAE"/>
    <w:rsid w:val="00407E2A"/>
    <w:rsid w:val="00425421"/>
    <w:rsid w:val="0044312A"/>
    <w:rsid w:val="00474473"/>
    <w:rsid w:val="00483B2D"/>
    <w:rsid w:val="00495A81"/>
    <w:rsid w:val="004A0B93"/>
    <w:rsid w:val="004B46B7"/>
    <w:rsid w:val="004F7131"/>
    <w:rsid w:val="00505485"/>
    <w:rsid w:val="00524AAF"/>
    <w:rsid w:val="00543054"/>
    <w:rsid w:val="00556130"/>
    <w:rsid w:val="00556803"/>
    <w:rsid w:val="0057611D"/>
    <w:rsid w:val="0058128E"/>
    <w:rsid w:val="005A2E28"/>
    <w:rsid w:val="005A2EAE"/>
    <w:rsid w:val="005A7208"/>
    <w:rsid w:val="005B18F7"/>
    <w:rsid w:val="005D2E56"/>
    <w:rsid w:val="005E1106"/>
    <w:rsid w:val="005E5F8B"/>
    <w:rsid w:val="006042DF"/>
    <w:rsid w:val="00616023"/>
    <w:rsid w:val="0062237B"/>
    <w:rsid w:val="00635054"/>
    <w:rsid w:val="00636464"/>
    <w:rsid w:val="00642FEB"/>
    <w:rsid w:val="00652088"/>
    <w:rsid w:val="0065208A"/>
    <w:rsid w:val="006716B3"/>
    <w:rsid w:val="00674D3C"/>
    <w:rsid w:val="00680244"/>
    <w:rsid w:val="0068436E"/>
    <w:rsid w:val="00684F17"/>
    <w:rsid w:val="006966D7"/>
    <w:rsid w:val="006A059F"/>
    <w:rsid w:val="006B56D5"/>
    <w:rsid w:val="006B7210"/>
    <w:rsid w:val="006E07A4"/>
    <w:rsid w:val="006E2AE2"/>
    <w:rsid w:val="006F5CB9"/>
    <w:rsid w:val="00703535"/>
    <w:rsid w:val="00720D19"/>
    <w:rsid w:val="007271A6"/>
    <w:rsid w:val="0073032A"/>
    <w:rsid w:val="00730CF2"/>
    <w:rsid w:val="00747FAE"/>
    <w:rsid w:val="00755B5C"/>
    <w:rsid w:val="00773D04"/>
    <w:rsid w:val="007901B4"/>
    <w:rsid w:val="007B4AF5"/>
    <w:rsid w:val="007B755E"/>
    <w:rsid w:val="007C0697"/>
    <w:rsid w:val="007C3E0E"/>
    <w:rsid w:val="007D19CF"/>
    <w:rsid w:val="007D7C89"/>
    <w:rsid w:val="008156A3"/>
    <w:rsid w:val="008160E5"/>
    <w:rsid w:val="008241EA"/>
    <w:rsid w:val="0084187C"/>
    <w:rsid w:val="00880083"/>
    <w:rsid w:val="008816C9"/>
    <w:rsid w:val="00881F4C"/>
    <w:rsid w:val="008902AA"/>
    <w:rsid w:val="008925EC"/>
    <w:rsid w:val="008B2294"/>
    <w:rsid w:val="008B320B"/>
    <w:rsid w:val="008B555D"/>
    <w:rsid w:val="008C1CD5"/>
    <w:rsid w:val="00904248"/>
    <w:rsid w:val="00914B90"/>
    <w:rsid w:val="00921334"/>
    <w:rsid w:val="00933512"/>
    <w:rsid w:val="00945D42"/>
    <w:rsid w:val="00950453"/>
    <w:rsid w:val="0095203C"/>
    <w:rsid w:val="00973641"/>
    <w:rsid w:val="0098289B"/>
    <w:rsid w:val="00983226"/>
    <w:rsid w:val="0098734F"/>
    <w:rsid w:val="009A0BC2"/>
    <w:rsid w:val="00A00676"/>
    <w:rsid w:val="00A04F8D"/>
    <w:rsid w:val="00A30B0D"/>
    <w:rsid w:val="00A31A2D"/>
    <w:rsid w:val="00A350E2"/>
    <w:rsid w:val="00A43E89"/>
    <w:rsid w:val="00A47D7D"/>
    <w:rsid w:val="00A54225"/>
    <w:rsid w:val="00A551DF"/>
    <w:rsid w:val="00A64CE2"/>
    <w:rsid w:val="00A71592"/>
    <w:rsid w:val="00A87377"/>
    <w:rsid w:val="00A9228E"/>
    <w:rsid w:val="00AA0C5B"/>
    <w:rsid w:val="00AA10AC"/>
    <w:rsid w:val="00AA4B85"/>
    <w:rsid w:val="00AB05DE"/>
    <w:rsid w:val="00AC6916"/>
    <w:rsid w:val="00AF1D73"/>
    <w:rsid w:val="00B242DC"/>
    <w:rsid w:val="00B26761"/>
    <w:rsid w:val="00B475C1"/>
    <w:rsid w:val="00B66DE3"/>
    <w:rsid w:val="00B66E4B"/>
    <w:rsid w:val="00B742A0"/>
    <w:rsid w:val="00B93380"/>
    <w:rsid w:val="00BA6705"/>
    <w:rsid w:val="00BB0C97"/>
    <w:rsid w:val="00BC3C91"/>
    <w:rsid w:val="00BE1465"/>
    <w:rsid w:val="00C14D2E"/>
    <w:rsid w:val="00C36A45"/>
    <w:rsid w:val="00C40AEF"/>
    <w:rsid w:val="00C40B56"/>
    <w:rsid w:val="00C452E3"/>
    <w:rsid w:val="00C5091F"/>
    <w:rsid w:val="00C6262A"/>
    <w:rsid w:val="00C65330"/>
    <w:rsid w:val="00C66C72"/>
    <w:rsid w:val="00C74D3A"/>
    <w:rsid w:val="00C84E83"/>
    <w:rsid w:val="00C87570"/>
    <w:rsid w:val="00C91934"/>
    <w:rsid w:val="00C93A7F"/>
    <w:rsid w:val="00CA6627"/>
    <w:rsid w:val="00CB6AA6"/>
    <w:rsid w:val="00CB77E7"/>
    <w:rsid w:val="00CD2AF8"/>
    <w:rsid w:val="00CF7EDC"/>
    <w:rsid w:val="00D10434"/>
    <w:rsid w:val="00D113AF"/>
    <w:rsid w:val="00D1329F"/>
    <w:rsid w:val="00D2002F"/>
    <w:rsid w:val="00D21500"/>
    <w:rsid w:val="00D3005B"/>
    <w:rsid w:val="00D41056"/>
    <w:rsid w:val="00D471D7"/>
    <w:rsid w:val="00D51CD0"/>
    <w:rsid w:val="00D52A1D"/>
    <w:rsid w:val="00D91147"/>
    <w:rsid w:val="00D93423"/>
    <w:rsid w:val="00DA4A09"/>
    <w:rsid w:val="00DA5802"/>
    <w:rsid w:val="00DB72BB"/>
    <w:rsid w:val="00DC6C2F"/>
    <w:rsid w:val="00DD3B48"/>
    <w:rsid w:val="00DD7A54"/>
    <w:rsid w:val="00DE399C"/>
    <w:rsid w:val="00DE474F"/>
    <w:rsid w:val="00DF6C0C"/>
    <w:rsid w:val="00DF7374"/>
    <w:rsid w:val="00E02321"/>
    <w:rsid w:val="00E16F7E"/>
    <w:rsid w:val="00E20822"/>
    <w:rsid w:val="00E22925"/>
    <w:rsid w:val="00E31293"/>
    <w:rsid w:val="00E430E1"/>
    <w:rsid w:val="00E54706"/>
    <w:rsid w:val="00E55C46"/>
    <w:rsid w:val="00E55E86"/>
    <w:rsid w:val="00E878B7"/>
    <w:rsid w:val="00E92028"/>
    <w:rsid w:val="00E96387"/>
    <w:rsid w:val="00EA2FD2"/>
    <w:rsid w:val="00EA40F9"/>
    <w:rsid w:val="00EB454A"/>
    <w:rsid w:val="00EC66CF"/>
    <w:rsid w:val="00ED5527"/>
    <w:rsid w:val="00EE2941"/>
    <w:rsid w:val="00EE3992"/>
    <w:rsid w:val="00EE503A"/>
    <w:rsid w:val="00EE6F34"/>
    <w:rsid w:val="00EF4851"/>
    <w:rsid w:val="00F163FB"/>
    <w:rsid w:val="00F241A5"/>
    <w:rsid w:val="00F32792"/>
    <w:rsid w:val="00F37637"/>
    <w:rsid w:val="00F37721"/>
    <w:rsid w:val="00F57DB6"/>
    <w:rsid w:val="00F63AFB"/>
    <w:rsid w:val="00F65E00"/>
    <w:rsid w:val="00F84FDA"/>
    <w:rsid w:val="00F91E7D"/>
    <w:rsid w:val="00F96D64"/>
    <w:rsid w:val="00FA7113"/>
    <w:rsid w:val="00FB638D"/>
    <w:rsid w:val="00FC2D9B"/>
    <w:rsid w:val="00FD3C76"/>
    <w:rsid w:val="3E506E7C"/>
    <w:rsid w:val="698F78F5"/>
    <w:rsid w:val="79442D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link w:val="14"/>
    <w:unhideWhenUsed/>
    <w:qFormat/>
    <w:uiPriority w:val="9"/>
    <w:pPr>
      <w:keepNext/>
      <w:keepLines/>
      <w:spacing w:line="360" w:lineRule="auto"/>
      <w:jc w:val="left"/>
      <w:outlineLvl w:val="1"/>
    </w:pPr>
    <w:rPr>
      <w:rFonts w:ascii="Times New Roman" w:hAnsi="Times New Roman" w:eastAsia="黑体" w:cs="Times New Roman"/>
      <w:sz w:val="28"/>
      <w:szCs w:val="20"/>
    </w:rPr>
  </w:style>
  <w:style w:type="paragraph" w:styleId="3">
    <w:name w:val="heading 3"/>
    <w:basedOn w:val="1"/>
    <w:next w:val="1"/>
    <w:link w:val="15"/>
    <w:unhideWhenUsed/>
    <w:qFormat/>
    <w:uiPriority w:val="9"/>
    <w:pPr>
      <w:keepNext/>
      <w:keepLines/>
      <w:spacing w:line="360" w:lineRule="auto"/>
      <w:jc w:val="left"/>
      <w:outlineLvl w:val="2"/>
    </w:pPr>
    <w:rPr>
      <w:rFonts w:ascii="Times New Roman" w:hAnsi="Times New Roman" w:eastAsia="黑体" w:cs="Times New Roman"/>
      <w:sz w:val="28"/>
      <w:szCs w:val="20"/>
    </w:rPr>
  </w:style>
  <w:style w:type="paragraph" w:styleId="4">
    <w:name w:val="heading 4"/>
    <w:basedOn w:val="1"/>
    <w:next w:val="1"/>
    <w:link w:val="16"/>
    <w:unhideWhenUsed/>
    <w:qFormat/>
    <w:uiPriority w:val="9"/>
    <w:pPr>
      <w:keepNext/>
      <w:keepLines/>
      <w:spacing w:line="360" w:lineRule="auto"/>
      <w:jc w:val="left"/>
      <w:outlineLvl w:val="3"/>
    </w:pPr>
    <w:rPr>
      <w:rFonts w:ascii="Times New Roman" w:hAnsi="Times New Roman" w:eastAsia="黑体" w:cs="Times New Roman"/>
      <w:bCs/>
      <w:sz w:val="24"/>
      <w:szCs w:val="28"/>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5">
    <w:name w:val="Document Map"/>
    <w:basedOn w:val="1"/>
    <w:link w:val="22"/>
    <w:uiPriority w:val="0"/>
    <w:rPr>
      <w:rFonts w:ascii="宋体" w:eastAsia="宋体"/>
      <w:sz w:val="18"/>
      <w:szCs w:val="18"/>
    </w:rPr>
  </w:style>
  <w:style w:type="paragraph" w:styleId="6">
    <w:name w:val="Balloon Text"/>
    <w:basedOn w:val="1"/>
    <w:link w:val="21"/>
    <w:uiPriority w:val="0"/>
    <w:rPr>
      <w:sz w:val="18"/>
      <w:szCs w:val="18"/>
    </w:rPr>
  </w:style>
  <w:style w:type="paragraph" w:styleId="7">
    <w:name w:val="footer"/>
    <w:basedOn w:val="1"/>
    <w:link w:val="13"/>
    <w:qFormat/>
    <w:uiPriority w:val="0"/>
    <w:pPr>
      <w:tabs>
        <w:tab w:val="center" w:pos="4153"/>
        <w:tab w:val="right" w:pos="8306"/>
      </w:tabs>
      <w:snapToGrid w:val="0"/>
      <w:jc w:val="left"/>
    </w:pPr>
    <w:rPr>
      <w:sz w:val="18"/>
      <w:szCs w:val="18"/>
    </w:rPr>
  </w:style>
  <w:style w:type="paragraph" w:styleId="8">
    <w:name w:val="header"/>
    <w:basedOn w:val="1"/>
    <w:link w:val="12"/>
    <w:uiPriority w:val="0"/>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页眉 字符"/>
    <w:basedOn w:val="11"/>
    <w:link w:val="8"/>
    <w:uiPriority w:val="0"/>
    <w:rPr>
      <w:rFonts w:asciiTheme="minorHAnsi" w:hAnsiTheme="minorHAnsi" w:eastAsiaTheme="minorEastAsia" w:cstheme="minorBidi"/>
      <w:kern w:val="2"/>
      <w:sz w:val="18"/>
      <w:szCs w:val="18"/>
    </w:rPr>
  </w:style>
  <w:style w:type="character" w:customStyle="1" w:styleId="13">
    <w:name w:val="页脚 字符"/>
    <w:basedOn w:val="11"/>
    <w:link w:val="7"/>
    <w:qFormat/>
    <w:uiPriority w:val="0"/>
    <w:rPr>
      <w:rFonts w:asciiTheme="minorHAnsi" w:hAnsiTheme="minorHAnsi" w:eastAsiaTheme="minorEastAsia" w:cstheme="minorBidi"/>
      <w:kern w:val="2"/>
      <w:sz w:val="18"/>
      <w:szCs w:val="18"/>
    </w:rPr>
  </w:style>
  <w:style w:type="character" w:customStyle="1" w:styleId="14">
    <w:name w:val="标题 2 字符"/>
    <w:basedOn w:val="11"/>
    <w:link w:val="2"/>
    <w:qFormat/>
    <w:uiPriority w:val="9"/>
    <w:rPr>
      <w:rFonts w:eastAsia="黑体"/>
      <w:kern w:val="2"/>
      <w:sz w:val="28"/>
    </w:rPr>
  </w:style>
  <w:style w:type="character" w:customStyle="1" w:styleId="15">
    <w:name w:val="标题 3 字符"/>
    <w:basedOn w:val="11"/>
    <w:link w:val="3"/>
    <w:qFormat/>
    <w:uiPriority w:val="9"/>
    <w:rPr>
      <w:rFonts w:eastAsia="黑体"/>
      <w:kern w:val="2"/>
      <w:sz w:val="28"/>
    </w:rPr>
  </w:style>
  <w:style w:type="character" w:customStyle="1" w:styleId="16">
    <w:name w:val="标题 4 字符"/>
    <w:basedOn w:val="11"/>
    <w:link w:val="4"/>
    <w:qFormat/>
    <w:uiPriority w:val="9"/>
    <w:rPr>
      <w:rFonts w:eastAsia="黑体"/>
      <w:bCs/>
      <w:kern w:val="2"/>
      <w:sz w:val="24"/>
      <w:szCs w:val="28"/>
    </w:rPr>
  </w:style>
  <w:style w:type="paragraph" w:customStyle="1" w:styleId="17">
    <w:name w:val="段"/>
    <w:basedOn w:val="1"/>
    <w:link w:val="18"/>
    <w:qFormat/>
    <w:uiPriority w:val="0"/>
    <w:pPr>
      <w:widowControl/>
      <w:autoSpaceDE w:val="0"/>
      <w:autoSpaceDN w:val="0"/>
      <w:ind w:firstLine="420" w:firstLineChars="200"/>
    </w:pPr>
    <w:rPr>
      <w:rFonts w:ascii="宋体" w:hAnsi="宋体" w:eastAsia="宋体" w:cs="Times New Roman"/>
      <w:kern w:val="0"/>
      <w:szCs w:val="21"/>
    </w:rPr>
  </w:style>
  <w:style w:type="character" w:customStyle="1" w:styleId="18">
    <w:name w:val="段 Char Char"/>
    <w:link w:val="17"/>
    <w:qFormat/>
    <w:uiPriority w:val="0"/>
    <w:rPr>
      <w:rFonts w:ascii="宋体" w:hAnsi="宋体"/>
      <w:sz w:val="21"/>
      <w:szCs w:val="21"/>
    </w:rPr>
  </w:style>
  <w:style w:type="paragraph" w:customStyle="1" w:styleId="19">
    <w:name w:val="正文1"/>
    <w:basedOn w:val="1"/>
    <w:link w:val="20"/>
    <w:qFormat/>
    <w:uiPriority w:val="0"/>
    <w:pPr>
      <w:spacing w:line="360" w:lineRule="auto"/>
      <w:ind w:firstLine="200" w:firstLineChars="200"/>
    </w:pPr>
    <w:rPr>
      <w:rFonts w:ascii="Times New Roman" w:hAnsi="Times New Roman" w:eastAsia="宋体" w:cs="Times New Roman"/>
      <w:color w:val="000000"/>
      <w:sz w:val="24"/>
      <w:szCs w:val="20"/>
    </w:rPr>
  </w:style>
  <w:style w:type="character" w:customStyle="1" w:styleId="20">
    <w:name w:val="正文1 Char"/>
    <w:link w:val="19"/>
    <w:qFormat/>
    <w:uiPriority w:val="0"/>
    <w:rPr>
      <w:color w:val="000000"/>
      <w:kern w:val="2"/>
      <w:sz w:val="24"/>
    </w:rPr>
  </w:style>
  <w:style w:type="character" w:customStyle="1" w:styleId="21">
    <w:name w:val="批注框文本 字符"/>
    <w:basedOn w:val="11"/>
    <w:link w:val="6"/>
    <w:uiPriority w:val="0"/>
    <w:rPr>
      <w:rFonts w:asciiTheme="minorHAnsi" w:hAnsiTheme="minorHAnsi" w:eastAsiaTheme="minorEastAsia" w:cstheme="minorBidi"/>
      <w:kern w:val="2"/>
      <w:sz w:val="18"/>
      <w:szCs w:val="18"/>
    </w:rPr>
  </w:style>
  <w:style w:type="character" w:customStyle="1" w:styleId="22">
    <w:name w:val="文档结构图 字符"/>
    <w:basedOn w:val="11"/>
    <w:link w:val="5"/>
    <w:uiPriority w:val="0"/>
    <w:rPr>
      <w:rFonts w:ascii="宋体" w:hAnsiTheme="minorHAnsi" w:cstheme="minorBidi"/>
      <w:kern w:val="2"/>
      <w:sz w:val="18"/>
      <w:szCs w:val="18"/>
    </w:rPr>
  </w:style>
  <w:style w:type="paragraph" w:customStyle="1" w:styleId="23">
    <w:name w:val="Defaul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character" w:customStyle="1" w:styleId="24">
    <w:name w:val="fontstyle01"/>
    <w:basedOn w:val="11"/>
    <w:qFormat/>
    <w:uiPriority w:val="0"/>
    <w:rPr>
      <w:rFonts w:hint="eastAsia" w:ascii="宋体" w:hAnsi="宋体" w:eastAsia="宋体"/>
      <w:color w:val="000000"/>
      <w:sz w:val="24"/>
      <w:szCs w:val="24"/>
    </w:rPr>
  </w:style>
  <w:style w:type="character" w:customStyle="1" w:styleId="25">
    <w:name w:val="fontstyle21"/>
    <w:basedOn w:val="11"/>
    <w:uiPriority w:val="0"/>
    <w:rPr>
      <w:rFonts w:hint="default" w:ascii="Times New Roman" w:hAnsi="Times New Roman" w:cs="Times New Roman"/>
      <w:i/>
      <w:iCs/>
      <w:color w:val="000000"/>
      <w:sz w:val="24"/>
      <w:szCs w:val="24"/>
    </w:rPr>
  </w:style>
  <w:style w:type="character" w:customStyle="1" w:styleId="26">
    <w:name w:val="fontstyle31"/>
    <w:basedOn w:val="11"/>
    <w:uiPriority w:val="0"/>
    <w:rPr>
      <w:rFonts w:hint="default" w:ascii="Times New Roman" w:hAnsi="Times New Roman" w:cs="Times New Roman"/>
      <w:color w:val="000000"/>
      <w:sz w:val="24"/>
      <w:szCs w:val="24"/>
    </w:rPr>
  </w:style>
  <w:style w:type="paragraph" w:styleId="27">
    <w:name w:val="List Paragraph"/>
    <w:basedOn w:val="1"/>
    <w:qFormat/>
    <w:uiPriority w:val="0"/>
    <w:pPr>
      <w:ind w:firstLine="420" w:firstLineChars="200"/>
    </w:pPr>
    <w:rPr>
      <w:rFonts w:ascii="Times New Roman" w:hAnsi="Times New Roman" w:eastAsia="宋体" w:cs="Times New Roman"/>
    </w:rPr>
  </w:style>
  <w:style w:type="character" w:customStyle="1" w:styleId="28">
    <w:name w:val="fontstyle11"/>
    <w:basedOn w:val="11"/>
    <w:qFormat/>
    <w:uiPriority w:val="0"/>
    <w:rPr>
      <w:rFonts w:hint="default" w:ascii="TimesNewRomanPSMT" w:hAnsi="TimesNewRomanPSMT"/>
      <w:color w:val="000000"/>
      <w:sz w:val="32"/>
      <w:szCs w:val="32"/>
    </w:rPr>
  </w:style>
  <w:style w:type="character" w:customStyle="1" w:styleId="29">
    <w:name w:val="样式 宋体 小三 加粗 黑色"/>
    <w:uiPriority w:val="0"/>
    <w:rPr>
      <w:rFonts w:ascii="宋体" w:hAnsi="宋体" w:eastAsia="宋体"/>
      <w:b/>
      <w:bCs/>
      <w:color w:val="000000"/>
      <w:kern w:val="0"/>
      <w:sz w:val="30"/>
    </w:rPr>
  </w:style>
  <w:style w:type="paragraph" w:customStyle="1" w:styleId="30">
    <w:name w:val="Revision"/>
    <w:hidden/>
    <w:unhideWhenUsed/>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emf"/><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32C903-1FDF-4A19-94FB-4F3218157AAB}">
  <ds:schemaRefs/>
</ds:datastoreItem>
</file>

<file path=docProps/app.xml><?xml version="1.0" encoding="utf-8"?>
<Properties xmlns="http://schemas.openxmlformats.org/officeDocument/2006/extended-properties" xmlns:vt="http://schemas.openxmlformats.org/officeDocument/2006/docPropsVTypes">
  <Template>Normal.dotm</Template>
  <Pages>10</Pages>
  <Words>720</Words>
  <Characters>4110</Characters>
  <Lines>34</Lines>
  <Paragraphs>9</Paragraphs>
  <TotalTime>2549</TotalTime>
  <ScaleCrop>false</ScaleCrop>
  <LinksUpToDate>false</LinksUpToDate>
  <CharactersWithSpaces>4821</CharactersWithSpaces>
  <Application>WPS Office_11.8.2.11813_F1E327BC-269C-435d-A152-05C5408002CA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2022-07-06T07:58:00Z</dcterms:created>
  <dc:creator>WPS_1591333281</dc:creator>
  <cp:lastModifiedBy>JXFD-LYJ</cp:lastModifiedBy>
  <cp:lastPrinted>2024-03-27T08:23:00Z</cp:lastPrinted>
  <dcterms:modified xsi:type="dcterms:W3CDTF">2025-04-08T01:13:29Z</dcterms:modified>
  <cp:revision>134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2052-11.8.2.11813</vt:lpwstr>
  </property>
  <property fmtid="{D5CDD505-2E9C-101B-9397-08002B2CF9AE}" pid="3" name="ICV">
    <vt:lpwstr>9B31D00B8F5744359766B331ED905DA2</vt:lpwstr>
  </property>
</Properties>
</file>