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ind w:left="-480" w:firstLine="200"/>
        <w:jc w:val="center"/>
        <w:rPr>
          <w:rFonts w:hint="eastAsia" w:ascii="黑体" w:hAnsi="黑体" w:eastAsia="黑体" w:cs="宋体"/>
          <w:b/>
          <w:bCs/>
          <w:kern w:val="0"/>
          <w:sz w:val="32"/>
          <w:szCs w:val="32"/>
        </w:rPr>
      </w:pPr>
    </w:p>
    <w:p>
      <w:pPr>
        <w:widowControl/>
        <w:ind w:left="-480" w:firstLine="200"/>
        <w:jc w:val="center"/>
        <w:rPr>
          <w:rFonts w:hint="eastAsia" w:ascii="黑体" w:hAnsi="黑体" w:eastAsia="黑体" w:cs="宋体"/>
          <w:b/>
          <w:bCs/>
          <w:kern w:val="0"/>
          <w:sz w:val="32"/>
          <w:szCs w:val="32"/>
        </w:rPr>
      </w:pPr>
    </w:p>
    <w:p>
      <w:pPr>
        <w:widowControl/>
        <w:ind w:left="-480" w:firstLine="200"/>
        <w:jc w:val="center"/>
        <w:rPr>
          <w:rFonts w:hint="eastAsia" w:ascii="黑体" w:hAnsi="黑体" w:eastAsia="黑体" w:cs="宋体"/>
          <w:b/>
          <w:bCs/>
          <w:kern w:val="0"/>
          <w:sz w:val="32"/>
          <w:szCs w:val="32"/>
        </w:rPr>
      </w:pPr>
    </w:p>
    <w:p>
      <w:pPr>
        <w:widowControl/>
        <w:ind w:left="-480" w:firstLine="200"/>
        <w:jc w:val="center"/>
        <w:rPr>
          <w:rFonts w:hint="eastAsia" w:ascii="黑体" w:hAnsi="黑体" w:eastAsia="黑体" w:cs="宋体"/>
          <w:b/>
          <w:bCs/>
          <w:kern w:val="0"/>
          <w:sz w:val="32"/>
          <w:szCs w:val="32"/>
        </w:rPr>
      </w:pPr>
    </w:p>
    <w:p>
      <w:pPr>
        <w:jc w:val="center"/>
        <w:rPr>
          <w:rFonts w:ascii="Calibri" w:hAnsi="Calibri" w:eastAsia="宋体" w:cs="Times New Roman"/>
          <w:b/>
          <w:sz w:val="52"/>
          <w:szCs w:val="52"/>
        </w:rPr>
      </w:pPr>
      <w:bookmarkStart w:id="0" w:name="_Hlk4418024"/>
      <w:r>
        <w:rPr>
          <w:rFonts w:hint="eastAsia" w:ascii="Calibri" w:hAnsi="Calibri" w:eastAsia="宋体" w:cs="Times New Roman"/>
          <w:b/>
          <w:sz w:val="52"/>
          <w:szCs w:val="52"/>
        </w:rPr>
        <w:t>浙能嵊泗2号海上风电场</w:t>
      </w:r>
    </w:p>
    <w:p>
      <w:pPr>
        <w:rPr>
          <w:rFonts w:ascii="Calibri" w:hAnsi="Calibri" w:eastAsia="宋体" w:cs="Times New Roman"/>
          <w:b/>
          <w:sz w:val="52"/>
          <w:szCs w:val="52"/>
        </w:rPr>
      </w:pPr>
    </w:p>
    <w:p>
      <w:pPr>
        <w:jc w:val="center"/>
        <w:rPr>
          <w:rFonts w:ascii="Calibri Light" w:hAnsi="Calibri Light" w:eastAsia="宋体" w:cs="Times New Roman"/>
          <w:b/>
          <w:bCs/>
          <w:sz w:val="44"/>
          <w:szCs w:val="32"/>
        </w:rPr>
      </w:pPr>
      <w:bookmarkStart w:id="1" w:name="_Hlk4418265"/>
      <w:r>
        <w:rPr>
          <w:rFonts w:hint="eastAsia" w:ascii="Calibri Light" w:hAnsi="Calibri Light" w:eastAsia="宋体" w:cs="Times New Roman"/>
          <w:b/>
          <w:bCs/>
          <w:sz w:val="44"/>
          <w:szCs w:val="32"/>
        </w:rPr>
        <w:t>航标维护</w:t>
      </w:r>
      <w:bookmarkEnd w:id="1"/>
      <w:r>
        <w:rPr>
          <w:rFonts w:hint="eastAsia" w:ascii="Calibri Light" w:hAnsi="Calibri Light" w:eastAsia="宋体" w:cs="Times New Roman"/>
          <w:b/>
          <w:bCs/>
          <w:sz w:val="44"/>
          <w:szCs w:val="32"/>
        </w:rPr>
        <w:t>服务项目</w:t>
      </w:r>
    </w:p>
    <w:bookmarkEnd w:id="0"/>
    <w:p>
      <w:pPr>
        <w:rPr>
          <w:rFonts w:ascii="Calibri" w:hAnsi="Calibri" w:eastAsia="宋体" w:cs="Times New Roman"/>
          <w:b/>
          <w:sz w:val="40"/>
          <w:szCs w:val="52"/>
        </w:rPr>
      </w:pPr>
    </w:p>
    <w:p>
      <w:pPr>
        <w:rPr>
          <w:rFonts w:hint="eastAsia" w:ascii="宋体" w:hAnsi="宋体" w:eastAsia="宋体" w:cs="Times New Roman"/>
          <w:sz w:val="28"/>
        </w:rPr>
      </w:pPr>
    </w:p>
    <w:p>
      <w:pPr>
        <w:jc w:val="center"/>
        <w:rPr>
          <w:rFonts w:hint="eastAsia" w:ascii="宋体" w:hAnsi="宋体" w:eastAsia="宋体" w:cs="Times New Roman"/>
          <w:sz w:val="28"/>
        </w:rPr>
      </w:pPr>
    </w:p>
    <w:p>
      <w:pPr>
        <w:jc w:val="center"/>
        <w:rPr>
          <w:rFonts w:hint="eastAsia" w:ascii="宋体" w:hAnsi="宋体" w:eastAsia="宋体" w:cs="Times New Roman"/>
          <w:b/>
          <w:sz w:val="48"/>
          <w:szCs w:val="48"/>
        </w:rPr>
      </w:pPr>
      <w:bookmarkStart w:id="2" w:name="_Toc215298661"/>
      <w:bookmarkStart w:id="3" w:name="_Toc286153212"/>
      <w:bookmarkStart w:id="4" w:name="_Toc215298515"/>
      <w:bookmarkStart w:id="5" w:name="_Toc215298563"/>
      <w:r>
        <w:rPr>
          <w:rFonts w:hint="eastAsia" w:ascii="宋体" w:hAnsi="宋体" w:eastAsia="宋体" w:cs="Times New Roman"/>
          <w:b/>
          <w:sz w:val="48"/>
          <w:szCs w:val="48"/>
        </w:rPr>
        <w:t>技术规范</w:t>
      </w:r>
      <w:bookmarkEnd w:id="2"/>
      <w:bookmarkEnd w:id="3"/>
      <w:bookmarkEnd w:id="4"/>
      <w:bookmarkEnd w:id="5"/>
      <w:r>
        <w:rPr>
          <w:rFonts w:hint="eastAsia" w:ascii="宋体" w:hAnsi="宋体" w:eastAsia="宋体" w:cs="Times New Roman"/>
          <w:b/>
          <w:sz w:val="48"/>
          <w:szCs w:val="48"/>
        </w:rPr>
        <w:t>书</w:t>
      </w:r>
    </w:p>
    <w:p>
      <w:pPr>
        <w:jc w:val="center"/>
        <w:rPr>
          <w:rFonts w:hint="eastAsia" w:ascii="宋体" w:hAnsi="宋体" w:eastAsia="宋体" w:cs="Times New Roman"/>
          <w:b/>
          <w:sz w:val="48"/>
          <w:szCs w:val="48"/>
        </w:rPr>
      </w:pPr>
    </w:p>
    <w:p>
      <w:pPr>
        <w:widowControl/>
        <w:jc w:val="center"/>
        <w:rPr>
          <w:rStyle w:val="29"/>
          <w:rFonts w:hint="eastAsia" w:ascii="黑体" w:hAnsi="黑体" w:cs="Times New Roman"/>
          <w:b w:val="0"/>
          <w:sz w:val="32"/>
          <w:szCs w:val="32"/>
        </w:rPr>
      </w:pPr>
    </w:p>
    <w:p>
      <w:pPr>
        <w:widowControl/>
        <w:jc w:val="center"/>
        <w:rPr>
          <w:rStyle w:val="29"/>
          <w:rFonts w:hint="eastAsia" w:ascii="黑体" w:hAnsi="黑体" w:cs="Times New Roman"/>
          <w:b w:val="0"/>
          <w:sz w:val="32"/>
          <w:szCs w:val="32"/>
        </w:rPr>
      </w:pPr>
    </w:p>
    <w:p>
      <w:pPr>
        <w:widowControl/>
        <w:jc w:val="center"/>
        <w:rPr>
          <w:rStyle w:val="29"/>
          <w:rFonts w:hint="eastAsia" w:ascii="黑体" w:hAnsi="黑体" w:cs="Times New Roman"/>
          <w:b w:val="0"/>
          <w:sz w:val="32"/>
          <w:szCs w:val="32"/>
        </w:rPr>
      </w:pPr>
    </w:p>
    <w:p>
      <w:pPr>
        <w:widowControl/>
        <w:jc w:val="center"/>
        <w:rPr>
          <w:rStyle w:val="29"/>
          <w:rFonts w:hint="eastAsia" w:ascii="黑体" w:hAnsi="黑体" w:cs="Times New Roman"/>
          <w:b w:val="0"/>
          <w:sz w:val="32"/>
          <w:szCs w:val="32"/>
        </w:rPr>
      </w:pPr>
    </w:p>
    <w:p>
      <w:pPr>
        <w:widowControl/>
        <w:jc w:val="center"/>
        <w:rPr>
          <w:rStyle w:val="29"/>
          <w:rFonts w:hint="eastAsia" w:ascii="黑体" w:hAnsi="黑体" w:cs="Times New Roman"/>
          <w:b w:val="0"/>
          <w:sz w:val="32"/>
          <w:szCs w:val="32"/>
        </w:rPr>
      </w:pPr>
    </w:p>
    <w:p>
      <w:pPr>
        <w:widowControl/>
        <w:jc w:val="center"/>
        <w:rPr>
          <w:rStyle w:val="29"/>
          <w:rFonts w:hint="eastAsia" w:ascii="黑体" w:hAnsi="黑体" w:cs="Times New Roman"/>
          <w:b w:val="0"/>
          <w:sz w:val="32"/>
          <w:szCs w:val="32"/>
        </w:rPr>
      </w:pPr>
      <w:r>
        <w:rPr>
          <w:rStyle w:val="29"/>
          <w:rFonts w:hint="eastAsia" w:ascii="黑体" w:hAnsi="黑体" w:cs="Times New Roman"/>
          <w:b w:val="0"/>
          <w:sz w:val="32"/>
          <w:szCs w:val="32"/>
        </w:rPr>
        <w:t>浙江浙能国电投嵊泗海上风力发电有限公司</w:t>
      </w:r>
    </w:p>
    <w:p>
      <w:pPr>
        <w:widowControl/>
        <w:jc w:val="center"/>
        <w:rPr>
          <w:rStyle w:val="29"/>
          <w:rFonts w:hint="eastAsia" w:ascii="黑体" w:hAnsi="黑体" w:cs="Times New Roman"/>
          <w:b w:val="0"/>
          <w:sz w:val="32"/>
          <w:szCs w:val="32"/>
        </w:rPr>
      </w:pPr>
      <w:r>
        <w:rPr>
          <w:rStyle w:val="29"/>
          <w:rFonts w:hint="eastAsia" w:ascii="黑体" w:hAnsi="黑体" w:cs="Times New Roman"/>
          <w:b w:val="0"/>
          <w:sz w:val="32"/>
          <w:szCs w:val="32"/>
        </w:rPr>
        <w:t>二〇二五年二月</w:t>
      </w:r>
    </w:p>
    <w:p>
      <w:pPr>
        <w:jc w:val="center"/>
        <w:rPr>
          <w:b/>
          <w:sz w:val="30"/>
          <w:szCs w:val="30"/>
        </w:rPr>
      </w:pPr>
    </w:p>
    <w:p>
      <w:pPr>
        <w:widowControl/>
        <w:jc w:val="left"/>
        <w:rPr>
          <w:b/>
          <w:sz w:val="30"/>
          <w:szCs w:val="30"/>
        </w:rPr>
      </w:pPr>
      <w:r>
        <w:rPr>
          <w:b/>
          <w:sz w:val="30"/>
          <w:szCs w:val="30"/>
        </w:rPr>
        <w:br w:type="page"/>
      </w:r>
    </w:p>
    <w:p>
      <w:pPr>
        <w:widowControl/>
        <w:jc w:val="left"/>
        <w:rPr>
          <w:b/>
          <w:sz w:val="30"/>
          <w:szCs w:val="30"/>
        </w:rPr>
      </w:pPr>
    </w:p>
    <w:p>
      <w:pPr>
        <w:widowControl/>
        <w:jc w:val="left"/>
        <w:rPr>
          <w:b/>
          <w:sz w:val="30"/>
          <w:szCs w:val="30"/>
        </w:rPr>
      </w:pPr>
    </w:p>
    <w:p>
      <w:pPr>
        <w:widowControl/>
        <w:jc w:val="center"/>
        <w:rPr>
          <w:b/>
          <w:sz w:val="44"/>
          <w:szCs w:val="44"/>
        </w:rPr>
      </w:pPr>
    </w:p>
    <w:p>
      <w:pPr>
        <w:widowControl/>
        <w:jc w:val="center"/>
        <w:rPr>
          <w:b/>
          <w:sz w:val="44"/>
          <w:szCs w:val="44"/>
        </w:rPr>
      </w:pPr>
      <w:r>
        <w:rPr>
          <w:rFonts w:hint="eastAsia"/>
          <w:b/>
          <w:sz w:val="44"/>
          <w:szCs w:val="44"/>
        </w:rPr>
        <w:t>浙能嵊泗2号海上风电场</w:t>
      </w:r>
    </w:p>
    <w:p>
      <w:pPr>
        <w:widowControl/>
        <w:jc w:val="center"/>
        <w:rPr>
          <w:b/>
          <w:sz w:val="44"/>
          <w:szCs w:val="44"/>
        </w:rPr>
      </w:pPr>
    </w:p>
    <w:p>
      <w:pPr>
        <w:widowControl/>
        <w:jc w:val="center"/>
        <w:rPr>
          <w:b/>
          <w:sz w:val="44"/>
          <w:szCs w:val="44"/>
        </w:rPr>
      </w:pPr>
      <w:r>
        <w:rPr>
          <w:rFonts w:hint="eastAsia"/>
          <w:b/>
          <w:sz w:val="44"/>
          <w:szCs w:val="44"/>
        </w:rPr>
        <w:t>航标维护服务项目技术规范书</w:t>
      </w:r>
    </w:p>
    <w:p>
      <w:pPr>
        <w:widowControl/>
        <w:jc w:val="left"/>
        <w:rPr>
          <w:b/>
          <w:sz w:val="30"/>
          <w:szCs w:val="30"/>
        </w:rPr>
      </w:pPr>
    </w:p>
    <w:p>
      <w:pPr>
        <w:widowControl/>
        <w:jc w:val="left"/>
        <w:rPr>
          <w:b/>
          <w:sz w:val="30"/>
          <w:szCs w:val="30"/>
        </w:rPr>
      </w:pPr>
    </w:p>
    <w:p>
      <w:pPr>
        <w:widowControl/>
        <w:jc w:val="left"/>
        <w:rPr>
          <w:b/>
          <w:sz w:val="30"/>
          <w:szCs w:val="30"/>
        </w:rPr>
      </w:pPr>
    </w:p>
    <w:p>
      <w:pPr>
        <w:widowControl/>
        <w:jc w:val="left"/>
        <w:rPr>
          <w:b/>
          <w:sz w:val="30"/>
          <w:szCs w:val="30"/>
        </w:rPr>
      </w:pPr>
    </w:p>
    <w:p>
      <w:pPr>
        <w:widowControl/>
        <w:ind w:firstLine="1419" w:firstLineChars="471"/>
        <w:jc w:val="left"/>
        <w:rPr>
          <w:b/>
          <w:sz w:val="30"/>
          <w:szCs w:val="30"/>
        </w:rPr>
      </w:pPr>
      <w:r>
        <w:rPr>
          <w:rFonts w:hint="eastAsia"/>
          <w:b/>
          <w:sz w:val="30"/>
          <w:szCs w:val="30"/>
        </w:rPr>
        <w:t>编制：</w:t>
      </w:r>
    </w:p>
    <w:p>
      <w:pPr>
        <w:widowControl/>
        <w:jc w:val="left"/>
        <w:rPr>
          <w:b/>
          <w:sz w:val="30"/>
          <w:szCs w:val="30"/>
        </w:rPr>
      </w:pPr>
    </w:p>
    <w:p>
      <w:pPr>
        <w:widowControl/>
        <w:ind w:firstLine="1419" w:firstLineChars="471"/>
        <w:jc w:val="left"/>
        <w:rPr>
          <w:b/>
          <w:sz w:val="30"/>
          <w:szCs w:val="30"/>
        </w:rPr>
      </w:pPr>
      <w:r>
        <w:rPr>
          <w:rFonts w:hint="eastAsia"/>
          <w:b/>
          <w:sz w:val="30"/>
          <w:szCs w:val="30"/>
        </w:rPr>
        <w:t>审核：</w:t>
      </w:r>
    </w:p>
    <w:p>
      <w:pPr>
        <w:widowControl/>
        <w:ind w:firstLine="1419" w:firstLineChars="471"/>
        <w:jc w:val="left"/>
        <w:rPr>
          <w:b/>
          <w:sz w:val="30"/>
          <w:szCs w:val="30"/>
        </w:rPr>
      </w:pPr>
    </w:p>
    <w:p>
      <w:pPr>
        <w:widowControl/>
        <w:ind w:firstLine="1419" w:firstLineChars="471"/>
        <w:jc w:val="left"/>
        <w:rPr>
          <w:b/>
          <w:sz w:val="30"/>
          <w:szCs w:val="30"/>
        </w:rPr>
      </w:pPr>
      <w:r>
        <w:rPr>
          <w:rFonts w:hint="eastAsia"/>
          <w:b/>
          <w:sz w:val="30"/>
          <w:szCs w:val="30"/>
        </w:rPr>
        <w:t>审定：</w:t>
      </w:r>
    </w:p>
    <w:p>
      <w:pPr>
        <w:widowControl/>
        <w:jc w:val="left"/>
        <w:rPr>
          <w:b/>
          <w:sz w:val="30"/>
          <w:szCs w:val="30"/>
        </w:rPr>
      </w:pPr>
    </w:p>
    <w:p>
      <w:pPr>
        <w:widowControl/>
        <w:ind w:firstLine="1419" w:firstLineChars="471"/>
        <w:jc w:val="left"/>
        <w:rPr>
          <w:b/>
          <w:sz w:val="30"/>
          <w:szCs w:val="30"/>
        </w:rPr>
      </w:pPr>
      <w:r>
        <w:rPr>
          <w:rFonts w:hint="eastAsia"/>
          <w:b/>
          <w:sz w:val="30"/>
          <w:szCs w:val="30"/>
        </w:rPr>
        <w:t>批准：</w:t>
      </w:r>
    </w:p>
    <w:p>
      <w:pPr>
        <w:widowControl/>
        <w:ind w:firstLine="708" w:firstLineChars="235"/>
        <w:jc w:val="left"/>
        <w:rPr>
          <w:b/>
          <w:sz w:val="30"/>
          <w:szCs w:val="30"/>
        </w:rPr>
      </w:pPr>
    </w:p>
    <w:p>
      <w:pPr>
        <w:widowControl/>
        <w:ind w:firstLine="708" w:firstLineChars="235"/>
        <w:jc w:val="left"/>
        <w:rPr>
          <w:b/>
          <w:sz w:val="30"/>
          <w:szCs w:val="30"/>
        </w:rPr>
      </w:pPr>
    </w:p>
    <w:p>
      <w:pPr>
        <w:widowControl/>
        <w:ind w:firstLine="708" w:firstLineChars="235"/>
        <w:jc w:val="left"/>
        <w:rPr>
          <w:b/>
          <w:sz w:val="30"/>
          <w:szCs w:val="30"/>
        </w:rPr>
        <w:sectPr>
          <w:footerReference r:id="rId3" w:type="default"/>
          <w:pgSz w:w="11906" w:h="16838"/>
          <w:pgMar w:top="1440" w:right="1797" w:bottom="1191" w:left="1797" w:header="851" w:footer="992" w:gutter="0"/>
          <w:cols w:space="425" w:num="1"/>
          <w:docGrid w:type="lines" w:linePitch="312" w:charSpace="0"/>
        </w:sectPr>
      </w:pPr>
    </w:p>
    <w:p>
      <w:pPr>
        <w:jc w:val="center"/>
        <w:rPr>
          <w:b/>
          <w:sz w:val="30"/>
          <w:szCs w:val="30"/>
        </w:rPr>
      </w:pPr>
      <w:r>
        <w:rPr>
          <w:rFonts w:hint="eastAsia"/>
          <w:b/>
          <w:sz w:val="30"/>
          <w:szCs w:val="30"/>
        </w:rPr>
        <w:t>浙能嵊泗2号海上风电场</w:t>
      </w:r>
    </w:p>
    <w:p>
      <w:pPr>
        <w:jc w:val="center"/>
        <w:rPr>
          <w:b/>
          <w:sz w:val="30"/>
          <w:szCs w:val="30"/>
        </w:rPr>
      </w:pPr>
      <w:r>
        <w:rPr>
          <w:rFonts w:hint="eastAsia"/>
          <w:b/>
          <w:sz w:val="30"/>
          <w:szCs w:val="30"/>
        </w:rPr>
        <w:t>航标维护服务项目技术规范书</w:t>
      </w:r>
    </w:p>
    <w:p>
      <w:pPr>
        <w:pStyle w:val="27"/>
        <w:autoSpaceDE w:val="0"/>
        <w:autoSpaceDN w:val="0"/>
        <w:ind w:left="420" w:firstLine="0" w:firstLineChars="0"/>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一、</w:t>
      </w:r>
      <w:r>
        <w:rPr>
          <w:rFonts w:hint="eastAsia" w:asciiTheme="minorEastAsia" w:hAnsiTheme="minorEastAsia" w:eastAsiaTheme="minorEastAsia" w:cstheme="minorEastAsia"/>
          <w:b/>
          <w:kern w:val="0"/>
          <w:sz w:val="24"/>
        </w:rPr>
        <w:t>总则</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1.1本技术规范书适用于浙能嵊泗2号海上风电场航标维护服务项目的技术和有关方面的要求，其中包括灯浮、灯桩、AIS航标、遥测遥控系统等及其附属设备设施的巡检、清理、保养、修复等要求。</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1.2本技术规范书提出的是最低限度的技术要求，并未对一切技术细节做出规定，也未充分引述有关标准和规范的条文，投标人应保证提供符合本技术规范书相关的航标维护的规范与标准以及工艺质量优良的优质服务。同时必须满足国家有关安全、环保等强制性标准和规范的要求。</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1.3本技术规范书经双方确认后，作为合同的附件，与合同正文具有同等的法律效力。</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1.4本规范书未尽事宜，由招标人和投标人在合同技术谈判时双方协商确定。</w:t>
      </w:r>
    </w:p>
    <w:p>
      <w:pPr>
        <w:widowControl/>
        <w:ind w:firstLine="422" w:firstLineChars="175"/>
        <w:jc w:val="left"/>
        <w:outlineLvl w:val="0"/>
        <w:rPr>
          <w:rFonts w:hint="eastAsia" w:ascii="宋体" w:hAnsi="宋体" w:eastAsia="宋体" w:cs="宋体"/>
          <w:b/>
          <w:kern w:val="0"/>
          <w:sz w:val="24"/>
        </w:rPr>
      </w:pPr>
      <w:r>
        <w:rPr>
          <w:rFonts w:hint="eastAsia" w:ascii="宋体" w:hAnsi="宋体" w:eastAsia="宋体" w:cs="宋体"/>
          <w:b/>
          <w:kern w:val="0"/>
          <w:sz w:val="24"/>
        </w:rPr>
        <w:t>二、项目概况</w:t>
      </w:r>
    </w:p>
    <w:p>
      <w:pPr>
        <w:spacing w:line="560" w:lineRule="exact"/>
        <w:ind w:firstLine="567"/>
        <w:rPr>
          <w:rFonts w:hint="eastAsia" w:asciiTheme="minorEastAsia" w:hAnsiTheme="minorEastAsia" w:cstheme="minorEastAsia"/>
          <w:sz w:val="24"/>
        </w:rPr>
      </w:pPr>
      <w:bookmarkStart w:id="6" w:name="_Toc405392683"/>
      <w:bookmarkStart w:id="7" w:name="_Toc387591043"/>
      <w:r>
        <w:rPr>
          <w:rFonts w:hint="eastAsia" w:asciiTheme="minorEastAsia" w:hAnsiTheme="minorEastAsia" w:cstheme="minorEastAsia"/>
          <w:sz w:val="24"/>
        </w:rPr>
        <w:t>2.1</w:t>
      </w:r>
      <w:bookmarkStart w:id="8" w:name="_Toc377026574"/>
      <w:bookmarkStart w:id="9" w:name="_Toc376963565"/>
      <w:bookmarkStart w:id="10" w:name="_Toc377197132"/>
      <w:bookmarkStart w:id="11" w:name="_Toc377030561"/>
      <w:bookmarkStart w:id="12" w:name="_Toc377025347"/>
      <w:bookmarkStart w:id="13" w:name="_Toc377030612"/>
      <w:bookmarkStart w:id="14" w:name="_Toc377026933"/>
      <w:r>
        <w:rPr>
          <w:rFonts w:hint="eastAsia" w:asciiTheme="minorEastAsia" w:hAnsiTheme="minorEastAsia" w:cstheme="minorEastAsia"/>
          <w:sz w:val="24"/>
        </w:rPr>
        <w:t>工程规模及地理位置</w:t>
      </w:r>
      <w:bookmarkEnd w:id="8"/>
      <w:bookmarkEnd w:id="9"/>
      <w:bookmarkEnd w:id="10"/>
      <w:bookmarkEnd w:id="11"/>
      <w:bookmarkEnd w:id="12"/>
      <w:bookmarkEnd w:id="13"/>
      <w:bookmarkEnd w:id="14"/>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浙能嵊泗2号海上风电场位于浙江省嵊泗县崎岖列岛西南侧王盘洋海域，海底地形变化较小，泥面高程在-10～-14m之间，风电场工程于2018年12月21日通过舟山市发改委核准，总装机容量399.95MW。安装31台明阳智能6.45MW、32台上海电气6.25MW风电机组，建设一座220kV海上升压站和一座陆上计量站(与浙能嘉兴1号海上风电场共用)，通过2回220kV海底电缆将电能从海上升压站送至平湖浙能计量站，在嘉兴电网送出。</w:t>
      </w:r>
    </w:p>
    <w:p>
      <w:pPr>
        <w:spacing w:line="560" w:lineRule="exact"/>
        <w:jc w:val="center"/>
        <w:rPr>
          <w:rFonts w:hint="eastAsia" w:asciiTheme="minorEastAsia" w:hAnsiTheme="minorEastAsia" w:cstheme="minorEastAsia"/>
          <w:szCs w:val="21"/>
        </w:rPr>
      </w:pPr>
      <w:r>
        <w:rPr>
          <w:rFonts w:hint="eastAsia" w:asciiTheme="minorEastAsia" w:hAnsiTheme="minorEastAsia" w:cstheme="minorEastAsia"/>
        </w:rPr>
        <w:drawing>
          <wp:anchor distT="0" distB="0" distL="114300" distR="114300" simplePos="0" relativeHeight="251660288" behindDoc="0" locked="0" layoutInCell="1" allowOverlap="1">
            <wp:simplePos x="0" y="0"/>
            <wp:positionH relativeFrom="column">
              <wp:posOffset>3810</wp:posOffset>
            </wp:positionH>
            <wp:positionV relativeFrom="paragraph">
              <wp:posOffset>635</wp:posOffset>
            </wp:positionV>
            <wp:extent cx="5348605" cy="3634105"/>
            <wp:effectExtent l="0" t="0" r="635" b="8255"/>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5" cstate="print"/>
                    <a:srcRect/>
                    <a:stretch>
                      <a:fillRect/>
                    </a:stretch>
                  </pic:blipFill>
                  <pic:spPr>
                    <a:xfrm>
                      <a:off x="0" y="0"/>
                      <a:ext cx="5348597" cy="3633849"/>
                    </a:xfrm>
                    <a:prstGeom prst="rect">
                      <a:avLst/>
                    </a:prstGeom>
                    <a:noFill/>
                    <a:ln w="9525">
                      <a:noFill/>
                      <a:miter lim="800000"/>
                      <a:headEnd/>
                      <a:tailEnd/>
                    </a:ln>
                  </pic:spPr>
                </pic:pic>
              </a:graphicData>
            </a:graphic>
          </wp:anchor>
        </w:drawing>
      </w:r>
      <w:r>
        <w:rPr>
          <w:rFonts w:hint="eastAsia" w:asciiTheme="minorEastAsia" w:hAnsiTheme="minorEastAsia" w:cstheme="minorEastAsia"/>
          <w:szCs w:val="21"/>
        </w:rPr>
        <w:t>浙能嵊泗2号海上风电场地理位置图</w:t>
      </w:r>
    </w:p>
    <w:p>
      <w:pPr>
        <w:spacing w:line="560" w:lineRule="exact"/>
        <w:ind w:firstLine="567"/>
        <w:rPr>
          <w:rFonts w:hint="eastAsia" w:asciiTheme="minorEastAsia" w:hAnsiTheme="minorEastAsia" w:cstheme="minorEastAsia"/>
          <w:b/>
          <w:sz w:val="24"/>
        </w:rPr>
      </w:pPr>
      <w:r>
        <w:rPr>
          <w:rFonts w:hint="eastAsia" w:asciiTheme="minorEastAsia" w:hAnsiTheme="minorEastAsia" w:cstheme="minorEastAsia"/>
          <w:b/>
          <w:sz w:val="24"/>
        </w:rPr>
        <w:t>2.2风电场自然条件</w:t>
      </w:r>
    </w:p>
    <w:p>
      <w:pPr>
        <w:spacing w:line="560" w:lineRule="exact"/>
        <w:ind w:firstLine="567"/>
        <w:rPr>
          <w:rFonts w:hint="eastAsia" w:asciiTheme="minorEastAsia" w:hAnsiTheme="minorEastAsia" w:cstheme="minorEastAsia"/>
          <w:b/>
          <w:sz w:val="24"/>
        </w:rPr>
      </w:pPr>
      <w:r>
        <w:rPr>
          <w:rFonts w:hint="eastAsia" w:asciiTheme="minorEastAsia" w:hAnsiTheme="minorEastAsia" w:cstheme="minorEastAsia"/>
          <w:b/>
          <w:sz w:val="24"/>
        </w:rPr>
        <w:t>2.2.1风能资源概况</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浙能嵊泗2号海上风电场地处北亚热带季风气候区。受冷暖气团交替控制，气候温暖湿润，雨量充沛，四季分明；冬夏稍长，春秋略短；冬季盛行东北风，夏季盛行东南风,受冬夏季风影响，风能资源较丰富。</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根据收集到的嵊泗气象站资料，气象站历年逐月平均风速统计成果见下表。从风速年际变化来看，1989～2018年多年平均风速为6.47m/s，其中，最近一次更换测风仪器后的2005年11月～2019年10月平均风速为6.28m/s。年平均风速最大值为6.97m/s（1987年），年平均风速最小值为5.82m/s（2015年）。从风速年内变化来看，各月平均风速在5.6m/s～6.8m/s之间变化；秋季、冬季及初春风速较大，其中1月为大风月，月平均风速为6.8m/s；春末、夏季风速较小，其中6月为小风月，月平均风速为5.6m/s。从风向玫瑰图来看，本地区主要风向为NNW、S、N，相应频率分别为12.0%、11.0%、10.0%。</w:t>
      </w:r>
    </w:p>
    <w:tbl>
      <w:tblPr>
        <w:tblStyle w:val="9"/>
        <w:tblpPr w:leftFromText="180" w:rightFromText="180" w:vertAnchor="text" w:horzAnchor="margin" w:tblpY="727"/>
        <w:tblW w:w="0" w:type="auto"/>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733"/>
        <w:gridCol w:w="461"/>
        <w:gridCol w:w="519"/>
        <w:gridCol w:w="519"/>
        <w:gridCol w:w="519"/>
        <w:gridCol w:w="519"/>
        <w:gridCol w:w="519"/>
        <w:gridCol w:w="519"/>
        <w:gridCol w:w="519"/>
        <w:gridCol w:w="519"/>
        <w:gridCol w:w="520"/>
        <w:gridCol w:w="520"/>
        <w:gridCol w:w="520"/>
        <w:gridCol w:w="622"/>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vAlign w:val="center"/>
          </w:tcPr>
          <w:p>
            <w:pPr>
              <w:widowControl/>
              <w:jc w:val="center"/>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时间</w:t>
            </w:r>
          </w:p>
        </w:tc>
        <w:tc>
          <w:tcPr>
            <w:tcW w:w="0" w:type="auto"/>
            <w:tcBorders>
              <w:top w:val="single" w:color="auto" w:sz="4" w:space="0"/>
              <w:left w:val="single" w:color="auto" w:sz="4" w:space="0"/>
              <w:bottom w:val="single" w:color="auto" w:sz="4" w:space="0"/>
              <w:right w:val="single" w:color="auto" w:sz="4" w:space="0"/>
            </w:tcBorders>
            <w:vAlign w:val="center"/>
          </w:tcPr>
          <w:p>
            <w:pPr>
              <w:widowControl/>
              <w:ind w:left="-63" w:leftChars="-30"/>
              <w:jc w:val="center"/>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1</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2</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3</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4</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5</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7</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8</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9</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10</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11</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12</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平均</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vAlign w:val="center"/>
          </w:tcPr>
          <w:p>
            <w:pPr>
              <w:widowControl/>
              <w:jc w:val="center"/>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1989~2018</w:t>
            </w:r>
          </w:p>
        </w:tc>
        <w:tc>
          <w:tcPr>
            <w:tcW w:w="0" w:type="auto"/>
            <w:tcBorders>
              <w:top w:val="single" w:color="auto" w:sz="4" w:space="0"/>
              <w:left w:val="single" w:color="auto" w:sz="4" w:space="0"/>
              <w:bottom w:val="single" w:color="auto" w:sz="4" w:space="0"/>
              <w:right w:val="single" w:color="auto" w:sz="4" w:space="0"/>
            </w:tcBorders>
            <w:vAlign w:val="center"/>
          </w:tcPr>
          <w:p>
            <w:pPr>
              <w:widowControl/>
              <w:ind w:left="-63" w:leftChars="-30"/>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6.8</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6.7</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6.7</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6.5</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6.0</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5.6</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6.4</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6.2</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6.7</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6.7</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6.5</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6.7</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6.47</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2005.11~2019.10</w:t>
            </w:r>
          </w:p>
        </w:tc>
        <w:tc>
          <w:tcPr>
            <w:tcW w:w="0" w:type="auto"/>
            <w:tcBorders>
              <w:top w:val="single" w:color="auto" w:sz="4" w:space="0"/>
              <w:left w:val="single" w:color="auto" w:sz="4" w:space="0"/>
              <w:bottom w:val="single" w:color="auto" w:sz="4" w:space="0"/>
              <w:right w:val="single" w:color="auto" w:sz="4" w:space="0"/>
            </w:tcBorders>
            <w:vAlign w:val="center"/>
          </w:tcPr>
          <w:p>
            <w:pPr>
              <w:widowControl/>
              <w:ind w:left="-63" w:leftChars="-30"/>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6.9</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6.7</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6.6</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6.4</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6.1</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5.1</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6.2</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5.8</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6.0</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6.5</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6.3</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6.9</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6.28</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2013.11~2016.10</w:t>
            </w:r>
            <w:r>
              <w:rPr>
                <w:rFonts w:hint="eastAsia" w:asciiTheme="minorEastAsia" w:hAnsiTheme="minorEastAsia" w:cstheme="minorEastAsia"/>
                <w:color w:val="000000"/>
                <w:kern w:val="0"/>
                <w:sz w:val="22"/>
                <w:szCs w:val="22"/>
              </w:rPr>
              <w:br w:type="textWrapping"/>
            </w:r>
            <w:r>
              <w:rPr>
                <w:rFonts w:hint="eastAsia" w:asciiTheme="minorEastAsia" w:hAnsiTheme="minorEastAsia" w:cstheme="minorEastAsia"/>
                <w:color w:val="000000"/>
                <w:kern w:val="0"/>
                <w:sz w:val="22"/>
              </w:rPr>
              <w:t xml:space="preserve">（测风年） </w:t>
            </w:r>
          </w:p>
        </w:tc>
        <w:tc>
          <w:tcPr>
            <w:tcW w:w="0" w:type="auto"/>
            <w:tcBorders>
              <w:top w:val="single" w:color="auto" w:sz="4" w:space="0"/>
              <w:left w:val="single" w:color="auto" w:sz="4" w:space="0"/>
              <w:bottom w:val="single" w:color="auto" w:sz="4" w:space="0"/>
              <w:right w:val="single" w:color="auto" w:sz="4" w:space="0"/>
            </w:tcBorders>
            <w:vAlign w:val="center"/>
          </w:tcPr>
          <w:p>
            <w:pPr>
              <w:widowControl/>
              <w:ind w:left="-63" w:leftChars="-30"/>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6.6</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6.8</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6.3</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6.0</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5.6</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5.1</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5.8</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5.0</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5.5</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6.4</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6.1</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6.6</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hint="eastAsia" w:asciiTheme="minorEastAsia" w:hAnsiTheme="minorEastAsia" w:cstheme="minorEastAsia"/>
                <w:kern w:val="0"/>
                <w:sz w:val="24"/>
              </w:rPr>
            </w:pPr>
            <w:r>
              <w:rPr>
                <w:rFonts w:hint="eastAsia" w:asciiTheme="minorEastAsia" w:hAnsiTheme="minorEastAsia" w:cstheme="minorEastAsia"/>
                <w:color w:val="000000"/>
                <w:kern w:val="0"/>
                <w:sz w:val="22"/>
              </w:rPr>
              <w:t>5.98</w:t>
            </w:r>
          </w:p>
        </w:tc>
      </w:tr>
    </w:tbl>
    <w:p>
      <w:pPr>
        <w:spacing w:line="560" w:lineRule="exact"/>
        <w:jc w:val="center"/>
        <w:rPr>
          <w:rFonts w:hint="eastAsia" w:asciiTheme="minorEastAsia" w:hAnsiTheme="minorEastAsia" w:cstheme="minorEastAsia"/>
          <w:sz w:val="28"/>
          <w:szCs w:val="28"/>
        </w:rPr>
      </w:pPr>
      <w:r>
        <w:rPr>
          <w:rFonts w:hint="eastAsia" w:asciiTheme="minorEastAsia" w:hAnsiTheme="minorEastAsia" w:cstheme="minorEastAsia"/>
          <w:sz w:val="28"/>
          <w:szCs w:val="28"/>
        </w:rPr>
        <w:t>嵊泗气象站累年各月平均风速统计成果表表（单位：m/s）</w:t>
      </w:r>
    </w:p>
    <w:p>
      <w:pPr>
        <w:spacing w:line="560" w:lineRule="exact"/>
        <w:ind w:firstLine="567"/>
        <w:jc w:val="center"/>
        <w:rPr>
          <w:rFonts w:hint="eastAsia" w:asciiTheme="minorEastAsia" w:hAnsiTheme="minorEastAsia" w:cstheme="minorEastAsia"/>
          <w:sz w:val="28"/>
          <w:szCs w:val="28"/>
        </w:rPr>
      </w:pPr>
      <w:r>
        <w:rPr>
          <w:rFonts w:hint="eastAsia" w:asciiTheme="minorEastAsia" w:hAnsiTheme="minorEastAsia" w:cstheme="minorEastAsia"/>
          <w:color w:val="000000"/>
          <w:sz w:val="24"/>
        </w:rPr>
        <w:drawing>
          <wp:anchor distT="0" distB="0" distL="114300" distR="114300" simplePos="0" relativeHeight="251659264" behindDoc="0" locked="0" layoutInCell="1" allowOverlap="1">
            <wp:simplePos x="0" y="0"/>
            <wp:positionH relativeFrom="column">
              <wp:posOffset>209550</wp:posOffset>
            </wp:positionH>
            <wp:positionV relativeFrom="paragraph">
              <wp:posOffset>2095500</wp:posOffset>
            </wp:positionV>
            <wp:extent cx="5219700" cy="3343275"/>
            <wp:effectExtent l="0" t="0" r="7620" b="9525"/>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6" cstate="print"/>
                    <a:srcRect/>
                    <a:stretch>
                      <a:fillRect/>
                    </a:stretch>
                  </pic:blipFill>
                  <pic:spPr>
                    <a:xfrm>
                      <a:off x="0" y="0"/>
                      <a:ext cx="5219700" cy="3343275"/>
                    </a:xfrm>
                    <a:prstGeom prst="rect">
                      <a:avLst/>
                    </a:prstGeom>
                    <a:noFill/>
                    <a:ln w="9525">
                      <a:noFill/>
                      <a:miter lim="800000"/>
                      <a:headEnd/>
                      <a:tailEnd/>
                    </a:ln>
                  </pic:spPr>
                </pic:pic>
              </a:graphicData>
            </a:graphic>
          </wp:anchor>
        </w:drawing>
      </w:r>
      <w:r>
        <w:rPr>
          <w:rFonts w:hint="eastAsia" w:asciiTheme="minorEastAsia" w:hAnsiTheme="minorEastAsia" w:cstheme="minorEastAsia"/>
          <w:color w:val="000000"/>
          <w:sz w:val="24"/>
        </w:rPr>
        <w:t>嵊泗气象站风向玫瑰图（C=1.0%）</w:t>
      </w:r>
    </w:p>
    <w:p>
      <w:pPr>
        <w:spacing w:line="560" w:lineRule="exact"/>
        <w:ind w:firstLine="567"/>
        <w:rPr>
          <w:rFonts w:hint="eastAsia" w:asciiTheme="minorEastAsia" w:hAnsiTheme="minorEastAsia" w:cstheme="minorEastAsia"/>
          <w:b/>
          <w:sz w:val="24"/>
        </w:rPr>
      </w:pPr>
      <w:r>
        <w:rPr>
          <w:rFonts w:hint="eastAsia" w:asciiTheme="minorEastAsia" w:hAnsiTheme="minorEastAsia" w:cstheme="minorEastAsia"/>
          <w:b/>
          <w:sz w:val="24"/>
        </w:rPr>
        <w:t>1.2.2气象概况</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根据嵊泗气象站多年长期观测资料统计，平均气温为16.1℃，极端最高气温为36.4℃，极端最低气温为-5.7℃；多年平均大气压为1009.2hPa；多年平均湿度为79%；多年平均降水量1092.1mm，多年平均蒸发量为1327.2mm；多年平均风速为6.7m/s，多年最大风速为44.7m/s；多年平均雷暴日数为19.9天；多年平均大雾日数为53.2天。</w:t>
      </w:r>
    </w:p>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嵊泗气象站多年气象要素统计表</w:t>
      </w:r>
    </w:p>
    <w:tbl>
      <w:tblPr>
        <w:tblStyle w:val="9"/>
        <w:tblW w:w="0" w:type="auto"/>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384"/>
        <w:gridCol w:w="2552"/>
        <w:gridCol w:w="992"/>
        <w:gridCol w:w="1056"/>
        <w:gridCol w:w="248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3936" w:type="dxa"/>
            <w:gridSpan w:val="2"/>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项目</w:t>
            </w:r>
          </w:p>
        </w:tc>
        <w:tc>
          <w:tcPr>
            <w:tcW w:w="992"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单位</w:t>
            </w:r>
          </w:p>
        </w:tc>
        <w:tc>
          <w:tcPr>
            <w:tcW w:w="1056"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指标</w:t>
            </w:r>
          </w:p>
        </w:tc>
        <w:tc>
          <w:tcPr>
            <w:tcW w:w="2488"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发生时间</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384" w:type="dxa"/>
            <w:vMerge w:val="restart"/>
            <w:tcBorders>
              <w:top w:val="single" w:color="auto" w:sz="4" w:space="0"/>
              <w:left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气温</w:t>
            </w:r>
          </w:p>
        </w:tc>
        <w:tc>
          <w:tcPr>
            <w:tcW w:w="2552" w:type="dxa"/>
            <w:tcBorders>
              <w:top w:val="single" w:color="auto" w:sz="4" w:space="0"/>
              <w:left w:val="single" w:color="auto" w:sz="4" w:space="0"/>
              <w:bottom w:val="single" w:color="auto" w:sz="4" w:space="0"/>
              <w:right w:val="single" w:color="auto" w:sz="4" w:space="0"/>
            </w:tcBorders>
          </w:tcPr>
          <w:p>
            <w:pPr>
              <w:spacing w:line="560" w:lineRule="exact"/>
              <w:rPr>
                <w:rFonts w:hint="eastAsia" w:asciiTheme="minorEastAsia" w:hAnsiTheme="minorEastAsia" w:cstheme="minorEastAsia"/>
                <w:sz w:val="24"/>
              </w:rPr>
            </w:pPr>
            <w:r>
              <w:rPr>
                <w:rFonts w:hint="eastAsia" w:asciiTheme="minorEastAsia" w:hAnsiTheme="minorEastAsia" w:cstheme="minorEastAsia"/>
                <w:sz w:val="24"/>
              </w:rPr>
              <w:t>多年平均</w:t>
            </w:r>
          </w:p>
        </w:tc>
        <w:tc>
          <w:tcPr>
            <w:tcW w:w="992"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w:t>
            </w:r>
          </w:p>
        </w:tc>
        <w:tc>
          <w:tcPr>
            <w:tcW w:w="1056"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16.1</w:t>
            </w:r>
          </w:p>
        </w:tc>
        <w:tc>
          <w:tcPr>
            <w:tcW w:w="2488" w:type="dxa"/>
            <w:tcBorders>
              <w:top w:val="single" w:color="auto" w:sz="4" w:space="0"/>
              <w:left w:val="single" w:color="auto" w:sz="4" w:space="0"/>
              <w:bottom w:val="single" w:color="auto" w:sz="4" w:space="0"/>
              <w:right w:val="single" w:color="auto" w:sz="4" w:space="0"/>
            </w:tcBorders>
            <w:vAlign w:val="center"/>
          </w:tcPr>
          <w:p>
            <w:pPr>
              <w:spacing w:line="560" w:lineRule="exact"/>
              <w:rPr>
                <w:rFonts w:hint="eastAsia" w:asciiTheme="minorEastAsia" w:hAnsiTheme="minorEastAsia" w:cstheme="minorEastAsia"/>
                <w:sz w:val="2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384" w:type="dxa"/>
            <w:vMerge w:val="continue"/>
            <w:tcBorders>
              <w:left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p>
        </w:tc>
        <w:tc>
          <w:tcPr>
            <w:tcW w:w="2552" w:type="dxa"/>
            <w:tcBorders>
              <w:top w:val="single" w:color="auto" w:sz="4" w:space="0"/>
              <w:left w:val="single" w:color="auto" w:sz="4" w:space="0"/>
              <w:bottom w:val="single" w:color="auto" w:sz="4" w:space="0"/>
              <w:right w:val="single" w:color="auto" w:sz="4" w:space="0"/>
            </w:tcBorders>
          </w:tcPr>
          <w:p>
            <w:pPr>
              <w:spacing w:line="560" w:lineRule="exact"/>
              <w:rPr>
                <w:rFonts w:hint="eastAsia" w:asciiTheme="minorEastAsia" w:hAnsiTheme="minorEastAsia" w:cstheme="minorEastAsia"/>
                <w:sz w:val="24"/>
              </w:rPr>
            </w:pPr>
            <w:r>
              <w:rPr>
                <w:rFonts w:hint="eastAsia" w:asciiTheme="minorEastAsia" w:hAnsiTheme="minorEastAsia" w:cstheme="minorEastAsia"/>
                <w:sz w:val="24"/>
              </w:rPr>
              <w:t>多年极端最高气温</w:t>
            </w:r>
          </w:p>
        </w:tc>
        <w:tc>
          <w:tcPr>
            <w:tcW w:w="992"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w:t>
            </w:r>
          </w:p>
        </w:tc>
        <w:tc>
          <w:tcPr>
            <w:tcW w:w="1056"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36.4</w:t>
            </w:r>
          </w:p>
        </w:tc>
        <w:tc>
          <w:tcPr>
            <w:tcW w:w="2488" w:type="dxa"/>
            <w:tcBorders>
              <w:top w:val="single" w:color="auto" w:sz="4" w:space="0"/>
              <w:left w:val="single" w:color="auto" w:sz="4" w:space="0"/>
              <w:bottom w:val="single" w:color="auto" w:sz="4" w:space="0"/>
              <w:right w:val="single" w:color="auto" w:sz="4" w:space="0"/>
            </w:tcBorders>
            <w:vAlign w:val="center"/>
          </w:tcPr>
          <w:p>
            <w:pPr>
              <w:spacing w:line="560" w:lineRule="exact"/>
              <w:rPr>
                <w:rFonts w:hint="eastAsia" w:asciiTheme="minorEastAsia" w:hAnsiTheme="minorEastAsia" w:cstheme="minorEastAsia"/>
                <w:sz w:val="24"/>
              </w:rPr>
            </w:pPr>
            <w:r>
              <w:rPr>
                <w:rFonts w:hint="eastAsia" w:asciiTheme="minorEastAsia" w:hAnsiTheme="minorEastAsia" w:cstheme="minorEastAsia"/>
                <w:sz w:val="24"/>
              </w:rPr>
              <w:t>1998年8月15日</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384" w:type="dxa"/>
            <w:vMerge w:val="continue"/>
            <w:tcBorders>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p>
        </w:tc>
        <w:tc>
          <w:tcPr>
            <w:tcW w:w="2552" w:type="dxa"/>
            <w:tcBorders>
              <w:top w:val="single" w:color="auto" w:sz="4" w:space="0"/>
              <w:left w:val="single" w:color="auto" w:sz="4" w:space="0"/>
              <w:bottom w:val="single" w:color="auto" w:sz="4" w:space="0"/>
              <w:right w:val="single" w:color="auto" w:sz="4" w:space="0"/>
            </w:tcBorders>
          </w:tcPr>
          <w:p>
            <w:pPr>
              <w:spacing w:line="560" w:lineRule="exact"/>
              <w:rPr>
                <w:rFonts w:hint="eastAsia" w:asciiTheme="minorEastAsia" w:hAnsiTheme="minorEastAsia" w:cstheme="minorEastAsia"/>
                <w:sz w:val="24"/>
              </w:rPr>
            </w:pPr>
            <w:r>
              <w:rPr>
                <w:rFonts w:hint="eastAsia" w:asciiTheme="minorEastAsia" w:hAnsiTheme="minorEastAsia" w:cstheme="minorEastAsia"/>
                <w:sz w:val="24"/>
              </w:rPr>
              <w:t>多年极端最低气温</w:t>
            </w:r>
          </w:p>
        </w:tc>
        <w:tc>
          <w:tcPr>
            <w:tcW w:w="992"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w:t>
            </w:r>
          </w:p>
        </w:tc>
        <w:tc>
          <w:tcPr>
            <w:tcW w:w="1056"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-5.7</w:t>
            </w:r>
          </w:p>
        </w:tc>
        <w:tc>
          <w:tcPr>
            <w:tcW w:w="2488" w:type="dxa"/>
            <w:tcBorders>
              <w:top w:val="single" w:color="auto" w:sz="4" w:space="0"/>
              <w:left w:val="single" w:color="auto" w:sz="4" w:space="0"/>
              <w:bottom w:val="single" w:color="auto" w:sz="4" w:space="0"/>
              <w:right w:val="single" w:color="auto" w:sz="4" w:space="0"/>
            </w:tcBorders>
            <w:vAlign w:val="center"/>
          </w:tcPr>
          <w:p>
            <w:pPr>
              <w:spacing w:line="560" w:lineRule="exact"/>
              <w:rPr>
                <w:rFonts w:hint="eastAsia" w:asciiTheme="minorEastAsia" w:hAnsiTheme="minorEastAsia" w:cstheme="minorEastAsia"/>
                <w:sz w:val="24"/>
              </w:rPr>
            </w:pPr>
            <w:r>
              <w:rPr>
                <w:rFonts w:hint="eastAsia" w:asciiTheme="minorEastAsia" w:hAnsiTheme="minorEastAsia" w:cstheme="minorEastAsia"/>
                <w:sz w:val="24"/>
              </w:rPr>
              <w:t>1991年12月28日</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384"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气压</w:t>
            </w:r>
          </w:p>
        </w:tc>
        <w:tc>
          <w:tcPr>
            <w:tcW w:w="2552" w:type="dxa"/>
            <w:tcBorders>
              <w:top w:val="single" w:color="auto" w:sz="4" w:space="0"/>
              <w:left w:val="single" w:color="auto" w:sz="4" w:space="0"/>
              <w:bottom w:val="single" w:color="auto" w:sz="4" w:space="0"/>
              <w:right w:val="single" w:color="auto" w:sz="4" w:space="0"/>
            </w:tcBorders>
          </w:tcPr>
          <w:p>
            <w:pPr>
              <w:spacing w:line="560" w:lineRule="exact"/>
              <w:rPr>
                <w:rFonts w:hint="eastAsia" w:asciiTheme="minorEastAsia" w:hAnsiTheme="minorEastAsia" w:cstheme="minorEastAsia"/>
                <w:sz w:val="24"/>
              </w:rPr>
            </w:pPr>
            <w:r>
              <w:rPr>
                <w:rFonts w:hint="eastAsia" w:asciiTheme="minorEastAsia" w:hAnsiTheme="minorEastAsia" w:cstheme="minorEastAsia"/>
                <w:sz w:val="24"/>
              </w:rPr>
              <w:t>多年平均大气压</w:t>
            </w:r>
          </w:p>
        </w:tc>
        <w:tc>
          <w:tcPr>
            <w:tcW w:w="992"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hPa</w:t>
            </w:r>
          </w:p>
        </w:tc>
        <w:tc>
          <w:tcPr>
            <w:tcW w:w="1056"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1009.2</w:t>
            </w:r>
          </w:p>
        </w:tc>
        <w:tc>
          <w:tcPr>
            <w:tcW w:w="2488" w:type="dxa"/>
            <w:tcBorders>
              <w:top w:val="single" w:color="auto" w:sz="4" w:space="0"/>
              <w:left w:val="single" w:color="auto" w:sz="4" w:space="0"/>
              <w:bottom w:val="single" w:color="auto" w:sz="4" w:space="0"/>
              <w:right w:val="single" w:color="auto" w:sz="4" w:space="0"/>
            </w:tcBorders>
            <w:vAlign w:val="center"/>
          </w:tcPr>
          <w:p>
            <w:pPr>
              <w:spacing w:line="560" w:lineRule="exact"/>
              <w:rPr>
                <w:rFonts w:hint="eastAsia" w:asciiTheme="minorEastAsia" w:hAnsiTheme="minorEastAsia" w:cstheme="minorEastAsia"/>
                <w:sz w:val="2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384" w:type="dxa"/>
            <w:vMerge w:val="restart"/>
            <w:tcBorders>
              <w:top w:val="single" w:color="auto" w:sz="4" w:space="0"/>
              <w:left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湿度</w:t>
            </w:r>
          </w:p>
        </w:tc>
        <w:tc>
          <w:tcPr>
            <w:tcW w:w="2552" w:type="dxa"/>
            <w:tcBorders>
              <w:top w:val="single" w:color="auto" w:sz="4" w:space="0"/>
              <w:left w:val="single" w:color="auto" w:sz="4" w:space="0"/>
              <w:bottom w:val="single" w:color="auto" w:sz="4" w:space="0"/>
              <w:right w:val="single" w:color="auto" w:sz="4" w:space="0"/>
            </w:tcBorders>
          </w:tcPr>
          <w:p>
            <w:pPr>
              <w:spacing w:line="560" w:lineRule="exact"/>
              <w:rPr>
                <w:rFonts w:hint="eastAsia" w:asciiTheme="minorEastAsia" w:hAnsiTheme="minorEastAsia" w:cstheme="minorEastAsia"/>
                <w:sz w:val="24"/>
              </w:rPr>
            </w:pPr>
            <w:r>
              <w:rPr>
                <w:rFonts w:hint="eastAsia" w:asciiTheme="minorEastAsia" w:hAnsiTheme="minorEastAsia" w:cstheme="minorEastAsia"/>
                <w:sz w:val="24"/>
              </w:rPr>
              <w:t>年平均相对湿度</w:t>
            </w:r>
          </w:p>
        </w:tc>
        <w:tc>
          <w:tcPr>
            <w:tcW w:w="992"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w:t>
            </w:r>
          </w:p>
        </w:tc>
        <w:tc>
          <w:tcPr>
            <w:tcW w:w="1056"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79</w:t>
            </w:r>
          </w:p>
        </w:tc>
        <w:tc>
          <w:tcPr>
            <w:tcW w:w="2488" w:type="dxa"/>
            <w:tcBorders>
              <w:top w:val="single" w:color="auto" w:sz="4" w:space="0"/>
              <w:left w:val="single" w:color="auto" w:sz="4" w:space="0"/>
              <w:bottom w:val="single" w:color="auto" w:sz="4" w:space="0"/>
              <w:right w:val="single" w:color="auto" w:sz="4" w:space="0"/>
            </w:tcBorders>
            <w:vAlign w:val="center"/>
          </w:tcPr>
          <w:p>
            <w:pPr>
              <w:spacing w:line="560" w:lineRule="exact"/>
              <w:rPr>
                <w:rFonts w:hint="eastAsia" w:asciiTheme="minorEastAsia" w:hAnsiTheme="minorEastAsia" w:cstheme="minorEastAsia"/>
                <w:sz w:val="2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384" w:type="dxa"/>
            <w:vMerge w:val="continue"/>
            <w:tcBorders>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p>
        </w:tc>
        <w:tc>
          <w:tcPr>
            <w:tcW w:w="2552" w:type="dxa"/>
            <w:tcBorders>
              <w:top w:val="single" w:color="auto" w:sz="4" w:space="0"/>
              <w:left w:val="single" w:color="auto" w:sz="4" w:space="0"/>
              <w:bottom w:val="single" w:color="auto" w:sz="4" w:space="0"/>
              <w:right w:val="single" w:color="auto" w:sz="4" w:space="0"/>
            </w:tcBorders>
          </w:tcPr>
          <w:p>
            <w:pPr>
              <w:spacing w:line="560" w:lineRule="exact"/>
              <w:rPr>
                <w:rFonts w:hint="eastAsia" w:asciiTheme="minorEastAsia" w:hAnsiTheme="minorEastAsia" w:cstheme="minorEastAsia"/>
                <w:sz w:val="24"/>
              </w:rPr>
            </w:pPr>
            <w:r>
              <w:rPr>
                <w:rFonts w:hint="eastAsia" w:asciiTheme="minorEastAsia" w:hAnsiTheme="minorEastAsia" w:cstheme="minorEastAsia"/>
                <w:sz w:val="24"/>
              </w:rPr>
              <w:t>极端最小相对湿度</w:t>
            </w:r>
          </w:p>
        </w:tc>
        <w:tc>
          <w:tcPr>
            <w:tcW w:w="992"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w:t>
            </w:r>
          </w:p>
        </w:tc>
        <w:tc>
          <w:tcPr>
            <w:tcW w:w="1056"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13</w:t>
            </w:r>
          </w:p>
        </w:tc>
        <w:tc>
          <w:tcPr>
            <w:tcW w:w="2488" w:type="dxa"/>
            <w:tcBorders>
              <w:top w:val="single" w:color="auto" w:sz="4" w:space="0"/>
              <w:left w:val="single" w:color="auto" w:sz="4" w:space="0"/>
              <w:bottom w:val="single" w:color="auto" w:sz="4" w:space="0"/>
              <w:right w:val="single" w:color="auto" w:sz="4" w:space="0"/>
            </w:tcBorders>
            <w:vAlign w:val="center"/>
          </w:tcPr>
          <w:p>
            <w:pPr>
              <w:spacing w:line="560" w:lineRule="exact"/>
              <w:rPr>
                <w:rFonts w:hint="eastAsia" w:asciiTheme="minorEastAsia" w:hAnsiTheme="minorEastAsia" w:cstheme="minorEastAsia"/>
                <w:sz w:val="24"/>
              </w:rPr>
            </w:pPr>
            <w:r>
              <w:rPr>
                <w:rFonts w:hint="eastAsia" w:asciiTheme="minorEastAsia" w:hAnsiTheme="minorEastAsia" w:cstheme="minorEastAsia"/>
                <w:sz w:val="24"/>
              </w:rPr>
              <w:t>1997年5月17日</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384"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水汽压</w:t>
            </w:r>
          </w:p>
        </w:tc>
        <w:tc>
          <w:tcPr>
            <w:tcW w:w="2552" w:type="dxa"/>
            <w:tcBorders>
              <w:top w:val="single" w:color="auto" w:sz="4" w:space="0"/>
              <w:left w:val="single" w:color="auto" w:sz="4" w:space="0"/>
              <w:bottom w:val="single" w:color="auto" w:sz="4" w:space="0"/>
              <w:right w:val="single" w:color="auto" w:sz="4" w:space="0"/>
            </w:tcBorders>
          </w:tcPr>
          <w:p>
            <w:pPr>
              <w:spacing w:line="560" w:lineRule="exact"/>
              <w:rPr>
                <w:rFonts w:hint="eastAsia" w:asciiTheme="minorEastAsia" w:hAnsiTheme="minorEastAsia" w:cstheme="minorEastAsia"/>
                <w:sz w:val="24"/>
              </w:rPr>
            </w:pPr>
            <w:r>
              <w:rPr>
                <w:rFonts w:hint="eastAsia" w:asciiTheme="minorEastAsia" w:hAnsiTheme="minorEastAsia" w:cstheme="minorEastAsia"/>
                <w:sz w:val="24"/>
              </w:rPr>
              <w:t>多年平均水汽压</w:t>
            </w:r>
          </w:p>
        </w:tc>
        <w:tc>
          <w:tcPr>
            <w:tcW w:w="992"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hPa</w:t>
            </w:r>
          </w:p>
        </w:tc>
        <w:tc>
          <w:tcPr>
            <w:tcW w:w="1056"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16.5</w:t>
            </w:r>
          </w:p>
        </w:tc>
        <w:tc>
          <w:tcPr>
            <w:tcW w:w="2488" w:type="dxa"/>
            <w:tcBorders>
              <w:top w:val="single" w:color="auto" w:sz="4" w:space="0"/>
              <w:left w:val="single" w:color="auto" w:sz="4" w:space="0"/>
              <w:bottom w:val="single" w:color="auto" w:sz="4" w:space="0"/>
              <w:right w:val="single" w:color="auto" w:sz="4" w:space="0"/>
            </w:tcBorders>
            <w:vAlign w:val="center"/>
          </w:tcPr>
          <w:p>
            <w:pPr>
              <w:spacing w:line="560" w:lineRule="exact"/>
              <w:rPr>
                <w:rFonts w:hint="eastAsia" w:asciiTheme="minorEastAsia" w:hAnsiTheme="minorEastAsia" w:cstheme="minorEastAsia"/>
                <w:sz w:val="2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384" w:type="dxa"/>
            <w:vMerge w:val="restart"/>
            <w:tcBorders>
              <w:top w:val="single" w:color="auto" w:sz="4" w:space="0"/>
              <w:left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降蒸量</w:t>
            </w:r>
          </w:p>
        </w:tc>
        <w:tc>
          <w:tcPr>
            <w:tcW w:w="2552" w:type="dxa"/>
            <w:tcBorders>
              <w:top w:val="single" w:color="auto" w:sz="4" w:space="0"/>
              <w:left w:val="single" w:color="auto" w:sz="4" w:space="0"/>
              <w:bottom w:val="single" w:color="auto" w:sz="4" w:space="0"/>
              <w:right w:val="single" w:color="auto" w:sz="4" w:space="0"/>
            </w:tcBorders>
          </w:tcPr>
          <w:p>
            <w:pPr>
              <w:spacing w:line="560" w:lineRule="exact"/>
              <w:rPr>
                <w:rFonts w:hint="eastAsia" w:asciiTheme="minorEastAsia" w:hAnsiTheme="minorEastAsia" w:cstheme="minorEastAsia"/>
                <w:sz w:val="24"/>
              </w:rPr>
            </w:pPr>
            <w:r>
              <w:rPr>
                <w:rFonts w:hint="eastAsia" w:asciiTheme="minorEastAsia" w:hAnsiTheme="minorEastAsia" w:cstheme="minorEastAsia"/>
                <w:sz w:val="24"/>
              </w:rPr>
              <w:t>多年平均降雨量</w:t>
            </w:r>
          </w:p>
        </w:tc>
        <w:tc>
          <w:tcPr>
            <w:tcW w:w="992"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mm</w:t>
            </w:r>
          </w:p>
        </w:tc>
        <w:tc>
          <w:tcPr>
            <w:tcW w:w="1056"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1092.1</w:t>
            </w:r>
          </w:p>
        </w:tc>
        <w:tc>
          <w:tcPr>
            <w:tcW w:w="2488" w:type="dxa"/>
            <w:tcBorders>
              <w:top w:val="single" w:color="auto" w:sz="4" w:space="0"/>
              <w:left w:val="single" w:color="auto" w:sz="4" w:space="0"/>
              <w:bottom w:val="single" w:color="auto" w:sz="4" w:space="0"/>
              <w:right w:val="single" w:color="auto" w:sz="4" w:space="0"/>
            </w:tcBorders>
            <w:vAlign w:val="center"/>
          </w:tcPr>
          <w:p>
            <w:pPr>
              <w:spacing w:line="560" w:lineRule="exact"/>
              <w:rPr>
                <w:rFonts w:hint="eastAsia" w:asciiTheme="minorEastAsia" w:hAnsiTheme="minorEastAsia" w:cstheme="minorEastAsia"/>
                <w:sz w:val="2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384" w:type="dxa"/>
            <w:vMerge w:val="continue"/>
            <w:tcBorders>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p>
        </w:tc>
        <w:tc>
          <w:tcPr>
            <w:tcW w:w="2552" w:type="dxa"/>
            <w:tcBorders>
              <w:top w:val="single" w:color="auto" w:sz="4" w:space="0"/>
              <w:left w:val="single" w:color="auto" w:sz="4" w:space="0"/>
              <w:bottom w:val="single" w:color="auto" w:sz="4" w:space="0"/>
              <w:right w:val="single" w:color="auto" w:sz="4" w:space="0"/>
            </w:tcBorders>
          </w:tcPr>
          <w:p>
            <w:pPr>
              <w:spacing w:line="560" w:lineRule="exact"/>
              <w:rPr>
                <w:rFonts w:hint="eastAsia" w:asciiTheme="minorEastAsia" w:hAnsiTheme="minorEastAsia" w:cstheme="minorEastAsia"/>
                <w:sz w:val="24"/>
              </w:rPr>
            </w:pPr>
            <w:r>
              <w:rPr>
                <w:rFonts w:hint="eastAsia" w:asciiTheme="minorEastAsia" w:hAnsiTheme="minorEastAsia" w:cstheme="minorEastAsia"/>
                <w:sz w:val="24"/>
              </w:rPr>
              <w:t>多年平均蒸发量</w:t>
            </w:r>
          </w:p>
        </w:tc>
        <w:tc>
          <w:tcPr>
            <w:tcW w:w="992"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mm</w:t>
            </w:r>
          </w:p>
        </w:tc>
        <w:tc>
          <w:tcPr>
            <w:tcW w:w="1056"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1327.2</w:t>
            </w:r>
          </w:p>
        </w:tc>
        <w:tc>
          <w:tcPr>
            <w:tcW w:w="2488" w:type="dxa"/>
            <w:vAlign w:val="center"/>
          </w:tcPr>
          <w:p>
            <w:pPr>
              <w:spacing w:line="560" w:lineRule="exact"/>
              <w:rPr>
                <w:rFonts w:hint="eastAsia" w:asciiTheme="minorEastAsia" w:hAnsiTheme="minorEastAsia" w:cstheme="minorEastAsia"/>
                <w:sz w:val="2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384" w:type="dxa"/>
            <w:vMerge w:val="restart"/>
            <w:tcBorders>
              <w:top w:val="single" w:color="auto" w:sz="4" w:space="0"/>
              <w:left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风速风向</w:t>
            </w:r>
          </w:p>
        </w:tc>
        <w:tc>
          <w:tcPr>
            <w:tcW w:w="2552" w:type="dxa"/>
            <w:tcBorders>
              <w:top w:val="single" w:color="auto" w:sz="4" w:space="0"/>
              <w:left w:val="single" w:color="auto" w:sz="4" w:space="0"/>
              <w:bottom w:val="single" w:color="auto" w:sz="4" w:space="0"/>
              <w:right w:val="single" w:color="auto" w:sz="4" w:space="0"/>
            </w:tcBorders>
          </w:tcPr>
          <w:p>
            <w:pPr>
              <w:spacing w:line="560" w:lineRule="exact"/>
              <w:rPr>
                <w:rFonts w:hint="eastAsia" w:asciiTheme="minorEastAsia" w:hAnsiTheme="minorEastAsia" w:cstheme="minorEastAsia"/>
                <w:sz w:val="24"/>
              </w:rPr>
            </w:pPr>
            <w:r>
              <w:rPr>
                <w:rFonts w:hint="eastAsia" w:asciiTheme="minorEastAsia" w:hAnsiTheme="minorEastAsia" w:cstheme="minorEastAsia"/>
                <w:sz w:val="24"/>
              </w:rPr>
              <w:t>多年平均风速</w:t>
            </w:r>
          </w:p>
        </w:tc>
        <w:tc>
          <w:tcPr>
            <w:tcW w:w="992"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m/s</w:t>
            </w:r>
          </w:p>
        </w:tc>
        <w:tc>
          <w:tcPr>
            <w:tcW w:w="1056"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6.7</w:t>
            </w:r>
          </w:p>
        </w:tc>
        <w:tc>
          <w:tcPr>
            <w:tcW w:w="2488" w:type="dxa"/>
            <w:tcBorders>
              <w:top w:val="single" w:color="auto" w:sz="4" w:space="0"/>
              <w:left w:val="single" w:color="auto" w:sz="4" w:space="0"/>
              <w:bottom w:val="single" w:color="auto" w:sz="4" w:space="0"/>
              <w:right w:val="single" w:color="auto" w:sz="4" w:space="0"/>
            </w:tcBorders>
            <w:vAlign w:val="center"/>
          </w:tcPr>
          <w:p>
            <w:pPr>
              <w:spacing w:line="560" w:lineRule="exact"/>
              <w:rPr>
                <w:rFonts w:hint="eastAsia" w:asciiTheme="minorEastAsia" w:hAnsiTheme="minorEastAsia" w:cstheme="minorEastAsia"/>
                <w:sz w:val="2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384" w:type="dxa"/>
            <w:vMerge w:val="continue"/>
            <w:tcBorders>
              <w:left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p>
        </w:tc>
        <w:tc>
          <w:tcPr>
            <w:tcW w:w="2552" w:type="dxa"/>
            <w:tcBorders>
              <w:top w:val="single" w:color="auto" w:sz="4" w:space="0"/>
              <w:left w:val="single" w:color="auto" w:sz="4" w:space="0"/>
              <w:bottom w:val="single" w:color="auto" w:sz="4" w:space="0"/>
              <w:right w:val="single" w:color="auto" w:sz="4" w:space="0"/>
            </w:tcBorders>
          </w:tcPr>
          <w:p>
            <w:pPr>
              <w:spacing w:line="560" w:lineRule="exact"/>
              <w:rPr>
                <w:rFonts w:hint="eastAsia" w:asciiTheme="minorEastAsia" w:hAnsiTheme="minorEastAsia" w:cstheme="minorEastAsia"/>
                <w:sz w:val="24"/>
              </w:rPr>
            </w:pPr>
            <w:r>
              <w:rPr>
                <w:rFonts w:hint="eastAsia" w:asciiTheme="minorEastAsia" w:hAnsiTheme="minorEastAsia" w:cstheme="minorEastAsia"/>
                <w:sz w:val="24"/>
              </w:rPr>
              <w:t>多年主导风向</w:t>
            </w:r>
          </w:p>
        </w:tc>
        <w:tc>
          <w:tcPr>
            <w:tcW w:w="992"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p>
        </w:tc>
        <w:tc>
          <w:tcPr>
            <w:tcW w:w="1056" w:type="dxa"/>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NNW</w:t>
            </w:r>
          </w:p>
        </w:tc>
        <w:tc>
          <w:tcPr>
            <w:tcW w:w="2488" w:type="dxa"/>
            <w:vAlign w:val="center"/>
          </w:tcPr>
          <w:p>
            <w:pPr>
              <w:spacing w:line="560" w:lineRule="exact"/>
              <w:rPr>
                <w:rFonts w:hint="eastAsia" w:asciiTheme="minorEastAsia" w:hAnsiTheme="minorEastAsia" w:cstheme="minorEastAsia"/>
                <w:sz w:val="2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384" w:type="dxa"/>
            <w:vMerge w:val="continue"/>
            <w:tcBorders>
              <w:left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p>
        </w:tc>
        <w:tc>
          <w:tcPr>
            <w:tcW w:w="2552" w:type="dxa"/>
            <w:tcBorders>
              <w:top w:val="single" w:color="auto" w:sz="4" w:space="0"/>
              <w:left w:val="single" w:color="auto" w:sz="4" w:space="0"/>
              <w:bottom w:val="single" w:color="auto" w:sz="4" w:space="0"/>
              <w:right w:val="single" w:color="auto" w:sz="4" w:space="0"/>
            </w:tcBorders>
          </w:tcPr>
          <w:p>
            <w:pPr>
              <w:spacing w:line="560" w:lineRule="exact"/>
              <w:rPr>
                <w:rFonts w:hint="eastAsia" w:asciiTheme="minorEastAsia" w:hAnsiTheme="minorEastAsia" w:cstheme="minorEastAsia"/>
                <w:sz w:val="24"/>
              </w:rPr>
            </w:pPr>
            <w:r>
              <w:rPr>
                <w:rFonts w:hint="eastAsia" w:asciiTheme="minorEastAsia" w:hAnsiTheme="minorEastAsia" w:cstheme="minorEastAsia"/>
                <w:sz w:val="24"/>
              </w:rPr>
              <w:t>最大风速</w:t>
            </w:r>
          </w:p>
        </w:tc>
        <w:tc>
          <w:tcPr>
            <w:tcW w:w="992"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m/s</w:t>
            </w:r>
          </w:p>
        </w:tc>
        <w:tc>
          <w:tcPr>
            <w:tcW w:w="1056"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44.7</w:t>
            </w:r>
          </w:p>
        </w:tc>
        <w:tc>
          <w:tcPr>
            <w:tcW w:w="2488" w:type="dxa"/>
            <w:tcBorders>
              <w:top w:val="single" w:color="auto" w:sz="4" w:space="0"/>
              <w:left w:val="single" w:color="auto" w:sz="4" w:space="0"/>
              <w:bottom w:val="single" w:color="auto" w:sz="4" w:space="0"/>
              <w:right w:val="single" w:color="auto" w:sz="4" w:space="0"/>
            </w:tcBorders>
            <w:vAlign w:val="center"/>
          </w:tcPr>
          <w:p>
            <w:pPr>
              <w:spacing w:line="560" w:lineRule="exact"/>
              <w:rPr>
                <w:rFonts w:hint="eastAsia" w:asciiTheme="minorEastAsia" w:hAnsiTheme="minorEastAsia" w:cstheme="minorEastAsia"/>
                <w:sz w:val="24"/>
              </w:rPr>
            </w:pPr>
            <w:r>
              <w:rPr>
                <w:rFonts w:hint="eastAsia" w:asciiTheme="minorEastAsia" w:hAnsiTheme="minorEastAsia" w:cstheme="minorEastAsia"/>
                <w:sz w:val="24"/>
              </w:rPr>
              <w:t>1986年8月27日</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384" w:type="dxa"/>
            <w:vMerge w:val="continue"/>
            <w:tcBorders>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p>
        </w:tc>
        <w:tc>
          <w:tcPr>
            <w:tcW w:w="2552" w:type="dxa"/>
            <w:tcBorders>
              <w:top w:val="single" w:color="auto" w:sz="4" w:space="0"/>
              <w:left w:val="single" w:color="auto" w:sz="4" w:space="0"/>
              <w:bottom w:val="single" w:color="auto" w:sz="4" w:space="0"/>
              <w:right w:val="single" w:color="auto" w:sz="4" w:space="0"/>
            </w:tcBorders>
          </w:tcPr>
          <w:p>
            <w:pPr>
              <w:spacing w:line="560" w:lineRule="exact"/>
              <w:rPr>
                <w:rFonts w:hint="eastAsia" w:asciiTheme="minorEastAsia" w:hAnsiTheme="minorEastAsia" w:cstheme="minorEastAsia"/>
                <w:sz w:val="24"/>
              </w:rPr>
            </w:pPr>
            <w:r>
              <w:rPr>
                <w:rFonts w:hint="eastAsia" w:asciiTheme="minorEastAsia" w:hAnsiTheme="minorEastAsia" w:cstheme="minorEastAsia"/>
                <w:sz w:val="24"/>
              </w:rPr>
              <w:t>相应风向</w:t>
            </w:r>
          </w:p>
        </w:tc>
        <w:tc>
          <w:tcPr>
            <w:tcW w:w="992"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p>
        </w:tc>
        <w:tc>
          <w:tcPr>
            <w:tcW w:w="1056" w:type="dxa"/>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NNE</w:t>
            </w:r>
          </w:p>
        </w:tc>
        <w:tc>
          <w:tcPr>
            <w:tcW w:w="2488" w:type="dxa"/>
            <w:vAlign w:val="center"/>
          </w:tcPr>
          <w:p>
            <w:pPr>
              <w:spacing w:line="560" w:lineRule="exact"/>
              <w:rPr>
                <w:rFonts w:hint="eastAsia" w:asciiTheme="minorEastAsia" w:hAnsiTheme="minorEastAsia" w:cstheme="minorEastAsia"/>
                <w:sz w:val="2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384" w:type="dxa"/>
            <w:vMerge w:val="restart"/>
            <w:tcBorders>
              <w:top w:val="single" w:color="auto" w:sz="4" w:space="0"/>
              <w:left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特殊性</w:t>
            </w:r>
          </w:p>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天气</w:t>
            </w:r>
          </w:p>
        </w:tc>
        <w:tc>
          <w:tcPr>
            <w:tcW w:w="2552" w:type="dxa"/>
            <w:tcBorders>
              <w:top w:val="single" w:color="auto" w:sz="4" w:space="0"/>
              <w:left w:val="single" w:color="auto" w:sz="4" w:space="0"/>
              <w:bottom w:val="single" w:color="auto" w:sz="4" w:space="0"/>
              <w:right w:val="single" w:color="auto" w:sz="4" w:space="0"/>
            </w:tcBorders>
          </w:tcPr>
          <w:p>
            <w:pPr>
              <w:spacing w:line="560" w:lineRule="exact"/>
              <w:rPr>
                <w:rFonts w:hint="eastAsia" w:asciiTheme="minorEastAsia" w:hAnsiTheme="minorEastAsia" w:cstheme="minorEastAsia"/>
                <w:sz w:val="24"/>
              </w:rPr>
            </w:pPr>
            <w:r>
              <w:rPr>
                <w:rFonts w:hint="eastAsia" w:asciiTheme="minorEastAsia" w:hAnsiTheme="minorEastAsia" w:cstheme="minorEastAsia"/>
                <w:sz w:val="24"/>
              </w:rPr>
              <w:t>年平均雷暴日数</w:t>
            </w:r>
          </w:p>
        </w:tc>
        <w:tc>
          <w:tcPr>
            <w:tcW w:w="992"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d</w:t>
            </w:r>
          </w:p>
        </w:tc>
        <w:tc>
          <w:tcPr>
            <w:tcW w:w="1056"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19.9</w:t>
            </w:r>
          </w:p>
        </w:tc>
        <w:tc>
          <w:tcPr>
            <w:tcW w:w="2488" w:type="dxa"/>
            <w:tcBorders>
              <w:top w:val="single" w:color="auto" w:sz="4" w:space="0"/>
              <w:left w:val="single" w:color="auto" w:sz="4" w:space="0"/>
              <w:bottom w:val="single" w:color="auto" w:sz="4" w:space="0"/>
              <w:right w:val="single" w:color="auto" w:sz="4" w:space="0"/>
            </w:tcBorders>
            <w:vAlign w:val="center"/>
          </w:tcPr>
          <w:p>
            <w:pPr>
              <w:spacing w:line="560" w:lineRule="exact"/>
              <w:rPr>
                <w:rFonts w:hint="eastAsia" w:asciiTheme="minorEastAsia" w:hAnsiTheme="minorEastAsia" w:cstheme="minorEastAsia"/>
                <w:sz w:val="2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384" w:type="dxa"/>
            <w:vMerge w:val="continue"/>
            <w:tcBorders>
              <w:left w:val="single" w:color="auto" w:sz="4" w:space="0"/>
              <w:right w:val="single" w:color="auto" w:sz="4" w:space="0"/>
            </w:tcBorders>
            <w:vAlign w:val="center"/>
          </w:tcPr>
          <w:p>
            <w:pPr>
              <w:spacing w:line="560" w:lineRule="exact"/>
              <w:rPr>
                <w:rFonts w:hint="eastAsia" w:asciiTheme="minorEastAsia" w:hAnsiTheme="minorEastAsia" w:cstheme="minorEastAsia"/>
                <w:sz w:val="24"/>
              </w:rPr>
            </w:pPr>
          </w:p>
        </w:tc>
        <w:tc>
          <w:tcPr>
            <w:tcW w:w="2552" w:type="dxa"/>
            <w:tcBorders>
              <w:top w:val="single" w:color="auto" w:sz="4" w:space="0"/>
              <w:left w:val="single" w:color="auto" w:sz="4" w:space="0"/>
              <w:bottom w:val="single" w:color="auto" w:sz="4" w:space="0"/>
              <w:right w:val="single" w:color="auto" w:sz="4" w:space="0"/>
            </w:tcBorders>
          </w:tcPr>
          <w:p>
            <w:pPr>
              <w:spacing w:line="560" w:lineRule="exact"/>
              <w:rPr>
                <w:rFonts w:hint="eastAsia" w:asciiTheme="minorEastAsia" w:hAnsiTheme="minorEastAsia" w:cstheme="minorEastAsia"/>
                <w:sz w:val="24"/>
              </w:rPr>
            </w:pPr>
            <w:r>
              <w:rPr>
                <w:rFonts w:hint="eastAsia" w:asciiTheme="minorEastAsia" w:hAnsiTheme="minorEastAsia" w:cstheme="minorEastAsia"/>
                <w:sz w:val="24"/>
              </w:rPr>
              <w:t>最多雷暴日数</w:t>
            </w:r>
          </w:p>
        </w:tc>
        <w:tc>
          <w:tcPr>
            <w:tcW w:w="992"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d</w:t>
            </w:r>
          </w:p>
        </w:tc>
        <w:tc>
          <w:tcPr>
            <w:tcW w:w="1056"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32</w:t>
            </w:r>
          </w:p>
        </w:tc>
        <w:tc>
          <w:tcPr>
            <w:tcW w:w="2488" w:type="dxa"/>
            <w:vAlign w:val="center"/>
          </w:tcPr>
          <w:p>
            <w:pPr>
              <w:spacing w:line="560" w:lineRule="exact"/>
              <w:rPr>
                <w:rFonts w:hint="eastAsia" w:asciiTheme="minorEastAsia" w:hAnsiTheme="minorEastAsia" w:cstheme="minorEastAsia"/>
                <w:sz w:val="2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384" w:type="dxa"/>
            <w:vMerge w:val="continue"/>
            <w:tcBorders>
              <w:left w:val="single" w:color="auto" w:sz="4" w:space="0"/>
              <w:right w:val="single" w:color="auto" w:sz="4" w:space="0"/>
            </w:tcBorders>
            <w:vAlign w:val="center"/>
          </w:tcPr>
          <w:p>
            <w:pPr>
              <w:spacing w:line="560" w:lineRule="exact"/>
              <w:rPr>
                <w:rFonts w:hint="eastAsia" w:asciiTheme="minorEastAsia" w:hAnsiTheme="minorEastAsia" w:cstheme="minorEastAsia"/>
                <w:sz w:val="24"/>
              </w:rPr>
            </w:pPr>
          </w:p>
        </w:tc>
        <w:tc>
          <w:tcPr>
            <w:tcW w:w="2552" w:type="dxa"/>
            <w:tcBorders>
              <w:top w:val="single" w:color="auto" w:sz="4" w:space="0"/>
              <w:left w:val="single" w:color="auto" w:sz="4" w:space="0"/>
              <w:bottom w:val="single" w:color="auto" w:sz="4" w:space="0"/>
              <w:right w:val="single" w:color="auto" w:sz="4" w:space="0"/>
            </w:tcBorders>
          </w:tcPr>
          <w:p>
            <w:pPr>
              <w:spacing w:line="560" w:lineRule="exact"/>
              <w:rPr>
                <w:rFonts w:hint="eastAsia" w:asciiTheme="minorEastAsia" w:hAnsiTheme="minorEastAsia" w:cstheme="minorEastAsia"/>
                <w:sz w:val="24"/>
              </w:rPr>
            </w:pPr>
            <w:r>
              <w:rPr>
                <w:rFonts w:hint="eastAsia" w:asciiTheme="minorEastAsia" w:hAnsiTheme="minorEastAsia" w:cstheme="minorEastAsia"/>
                <w:sz w:val="24"/>
              </w:rPr>
              <w:t>年平均大雾日数</w:t>
            </w:r>
          </w:p>
        </w:tc>
        <w:tc>
          <w:tcPr>
            <w:tcW w:w="992"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d</w:t>
            </w:r>
          </w:p>
        </w:tc>
        <w:tc>
          <w:tcPr>
            <w:tcW w:w="1056"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53.2</w:t>
            </w:r>
          </w:p>
        </w:tc>
        <w:tc>
          <w:tcPr>
            <w:tcW w:w="2488" w:type="dxa"/>
            <w:vAlign w:val="center"/>
          </w:tcPr>
          <w:p>
            <w:pPr>
              <w:spacing w:line="560" w:lineRule="exact"/>
              <w:rPr>
                <w:rFonts w:hint="eastAsia" w:asciiTheme="minorEastAsia" w:hAnsiTheme="minorEastAsia" w:cstheme="minorEastAsia"/>
                <w:sz w:val="2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384" w:type="dxa"/>
            <w:vMerge w:val="continue"/>
            <w:tcBorders>
              <w:left w:val="single" w:color="auto" w:sz="4" w:space="0"/>
              <w:bottom w:val="single" w:color="auto" w:sz="4" w:space="0"/>
              <w:right w:val="single" w:color="auto" w:sz="4" w:space="0"/>
            </w:tcBorders>
            <w:vAlign w:val="center"/>
          </w:tcPr>
          <w:p>
            <w:pPr>
              <w:spacing w:line="560" w:lineRule="exact"/>
              <w:rPr>
                <w:rFonts w:hint="eastAsia" w:asciiTheme="minorEastAsia" w:hAnsiTheme="minorEastAsia" w:cstheme="minorEastAsia"/>
                <w:sz w:val="24"/>
              </w:rPr>
            </w:pPr>
          </w:p>
        </w:tc>
        <w:tc>
          <w:tcPr>
            <w:tcW w:w="2552" w:type="dxa"/>
            <w:tcBorders>
              <w:top w:val="single" w:color="auto" w:sz="4" w:space="0"/>
              <w:left w:val="single" w:color="auto" w:sz="4" w:space="0"/>
              <w:bottom w:val="single" w:color="auto" w:sz="4" w:space="0"/>
              <w:right w:val="single" w:color="auto" w:sz="4" w:space="0"/>
            </w:tcBorders>
          </w:tcPr>
          <w:p>
            <w:pPr>
              <w:spacing w:line="560" w:lineRule="exact"/>
              <w:rPr>
                <w:rFonts w:hint="eastAsia" w:asciiTheme="minorEastAsia" w:hAnsiTheme="minorEastAsia" w:cstheme="minorEastAsia"/>
                <w:sz w:val="24"/>
              </w:rPr>
            </w:pPr>
            <w:r>
              <w:rPr>
                <w:rFonts w:hint="eastAsia" w:asciiTheme="minorEastAsia" w:hAnsiTheme="minorEastAsia" w:cstheme="minorEastAsia"/>
                <w:sz w:val="24"/>
              </w:rPr>
              <w:t>最多大雾日数</w:t>
            </w:r>
          </w:p>
        </w:tc>
        <w:tc>
          <w:tcPr>
            <w:tcW w:w="992"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d</w:t>
            </w:r>
          </w:p>
        </w:tc>
        <w:tc>
          <w:tcPr>
            <w:tcW w:w="1056"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73</w:t>
            </w:r>
          </w:p>
        </w:tc>
        <w:tc>
          <w:tcPr>
            <w:tcW w:w="2488" w:type="dxa"/>
            <w:vAlign w:val="center"/>
          </w:tcPr>
          <w:p>
            <w:pPr>
              <w:spacing w:line="560" w:lineRule="exact"/>
              <w:rPr>
                <w:rFonts w:hint="eastAsia" w:asciiTheme="minorEastAsia" w:hAnsiTheme="minorEastAsia" w:cstheme="minorEastAsia"/>
                <w:sz w:val="24"/>
              </w:rPr>
            </w:pPr>
          </w:p>
        </w:tc>
      </w:tr>
    </w:tbl>
    <w:p>
      <w:pPr>
        <w:spacing w:line="560" w:lineRule="exact"/>
        <w:ind w:firstLine="567"/>
        <w:rPr>
          <w:rFonts w:hint="eastAsia" w:asciiTheme="minorEastAsia" w:hAnsiTheme="minorEastAsia" w:cstheme="minorEastAsia"/>
          <w:b/>
          <w:sz w:val="24"/>
        </w:rPr>
      </w:pPr>
      <w:r>
        <w:rPr>
          <w:rFonts w:hint="eastAsia" w:asciiTheme="minorEastAsia" w:hAnsiTheme="minorEastAsia" w:cstheme="minorEastAsia"/>
          <w:b/>
          <w:sz w:val="24"/>
        </w:rPr>
        <w:t>1.2.3潮汐</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浙能嵊泗2号风电场海域潮汐属正规半日潮类型，潮汐日不等现象较为明显，涨落潮历时存在一定差异，存在一定的浅海效应。风电场年最高潮位为3.44m，年最低潮位为-2.59m，年平均高潮位为2.18m，年平均低潮位为-1.59m，最大潮位为5.59m，最小潮位为1.23m，年平均潮差为3.78m，平均落潮历时比平均涨潮历时长约25min。</w:t>
      </w:r>
    </w:p>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设计水位和极端水位成果表（1985国家高程基准，m）</w:t>
      </w:r>
    </w:p>
    <w:tbl>
      <w:tblPr>
        <w:tblStyle w:val="9"/>
        <w:tblW w:w="0" w:type="auto"/>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4077"/>
        <w:gridCol w:w="4253"/>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4077"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特征水位</w:t>
            </w:r>
          </w:p>
        </w:tc>
        <w:tc>
          <w:tcPr>
            <w:tcW w:w="4253"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高程（m）</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4077"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设计高水位</w:t>
            </w:r>
          </w:p>
        </w:tc>
        <w:tc>
          <w:tcPr>
            <w:tcW w:w="4253"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2.89</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4077"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设计低水位</w:t>
            </w:r>
          </w:p>
        </w:tc>
        <w:tc>
          <w:tcPr>
            <w:tcW w:w="4253"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-1.98</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4077"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极端高水位（50年一遇）</w:t>
            </w:r>
          </w:p>
        </w:tc>
        <w:tc>
          <w:tcPr>
            <w:tcW w:w="4253"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4.39</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4077"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极端低水位（50年一遇）</w:t>
            </w:r>
          </w:p>
        </w:tc>
        <w:tc>
          <w:tcPr>
            <w:tcW w:w="4253"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-2.83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4077"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100年一遇高水位</w:t>
            </w:r>
          </w:p>
        </w:tc>
        <w:tc>
          <w:tcPr>
            <w:tcW w:w="4253"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4.62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4077"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100年一遇低水位</w:t>
            </w:r>
          </w:p>
        </w:tc>
        <w:tc>
          <w:tcPr>
            <w:tcW w:w="4253" w:type="dxa"/>
            <w:tcBorders>
              <w:top w:val="single" w:color="auto" w:sz="4" w:space="0"/>
              <w:left w:val="single" w:color="auto" w:sz="4" w:space="0"/>
              <w:bottom w:val="single" w:color="auto" w:sz="4" w:space="0"/>
              <w:right w:val="single" w:color="auto" w:sz="4" w:space="0"/>
            </w:tcBorders>
            <w:vAlign w:val="center"/>
          </w:tcPr>
          <w:p>
            <w:pPr>
              <w:spacing w:line="560" w:lineRule="exact"/>
              <w:jc w:val="center"/>
              <w:rPr>
                <w:rFonts w:hint="eastAsia" w:asciiTheme="minorEastAsia" w:hAnsiTheme="minorEastAsia" w:cstheme="minorEastAsia"/>
                <w:sz w:val="24"/>
              </w:rPr>
            </w:pPr>
            <w:r>
              <w:rPr>
                <w:rFonts w:hint="eastAsia" w:asciiTheme="minorEastAsia" w:hAnsiTheme="minorEastAsia" w:cstheme="minorEastAsia"/>
                <w:sz w:val="24"/>
              </w:rPr>
              <w:t>-2.89</w:t>
            </w:r>
          </w:p>
        </w:tc>
      </w:tr>
    </w:tbl>
    <w:p>
      <w:pPr>
        <w:spacing w:line="560" w:lineRule="exact"/>
        <w:ind w:firstLine="567"/>
        <w:rPr>
          <w:rFonts w:hint="eastAsia" w:asciiTheme="minorEastAsia" w:hAnsiTheme="minorEastAsia" w:cstheme="minorEastAsia"/>
          <w:b/>
          <w:sz w:val="24"/>
        </w:rPr>
      </w:pPr>
      <w:r>
        <w:rPr>
          <w:rFonts w:hint="eastAsia" w:asciiTheme="minorEastAsia" w:hAnsiTheme="minorEastAsia" w:cstheme="minorEastAsia"/>
          <w:b/>
          <w:sz w:val="24"/>
        </w:rPr>
        <w:t>1.2.4波浪</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根据浙能嵊泗2号海上风电场海域内波浪站周年观测资料，全年有效波高（H1/3）均值为0.49m，最大值为1.92m；H1/10均值为0.61m，最大值为2.42m；最大波高(Hmax)均值为0.84m，最大值为3.75m。平均周期（Tmean）均值为3.07s，最大值为8.07s。有效波高主要分布在≤1.0m 的区间，占比为94.30%；其中≤0.6m的波浪较多，出现频率为70.13%，其次为介于0.6～0.8m和0.8～1.0m的波浪，出现频率分别为16.32%和7.86%。常浪向为E-ESE向，年出现频率为45.87%，全年强浪向为ENE、WNW向，Hmax最大值均超过3.0m，其中ENE向最大，Hmax最大值为3.75m。</w:t>
      </w:r>
    </w:p>
    <w:p>
      <w:pPr>
        <w:spacing w:line="560" w:lineRule="exact"/>
        <w:ind w:firstLine="567"/>
        <w:rPr>
          <w:rFonts w:hint="eastAsia" w:asciiTheme="minorEastAsia" w:hAnsiTheme="minorEastAsia" w:cstheme="minorEastAsia"/>
          <w:b/>
          <w:sz w:val="24"/>
        </w:rPr>
      </w:pPr>
      <w:r>
        <w:rPr>
          <w:rFonts w:hint="eastAsia" w:asciiTheme="minorEastAsia" w:hAnsiTheme="minorEastAsia" w:cstheme="minorEastAsia"/>
          <w:b/>
          <w:sz w:val="24"/>
        </w:rPr>
        <w:t>1.2.5海流</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浙能嵊泗2号海上风电场海域受局地喇叭口的河口地形影响，潮流很强，基本为规则半日潮流。在湾口以及群岛区，潮流表现为典型的往复流。对风电场场区内实测潮流资料调和分析得出，海域属正规半日潮流类型，各测站流向较为一致，基本呈100°～280°的偏东西向流，且往复流性质很强，转流时间很短。夏季观测期间场区内C1测站的实测落潮垂线平均流速介于0.39～0.80m/s，涨潮平均流速介于0.46～0.89m/s；C2测站的实测落潮平均流速介于0.50~1.04m/s，涨潮平均流速介于0.51～1.09m/s。冬季观测期间场区内C1测站的实测落潮垂线平均流速介于0.43～0.96m/s，涨潮平均流速介于0.38～1.03m/s；C2测站的实测落潮平均流速介于0.44～1.00m/s，涨潮平均流速介于0.38-0.97m/s。</w:t>
      </w:r>
    </w:p>
    <w:p>
      <w:pPr>
        <w:spacing w:line="560" w:lineRule="exact"/>
        <w:ind w:firstLine="567"/>
        <w:rPr>
          <w:rFonts w:hint="eastAsia" w:asciiTheme="minorEastAsia" w:hAnsiTheme="minorEastAsia" w:cstheme="minorEastAsia"/>
          <w:b/>
          <w:sz w:val="24"/>
        </w:rPr>
      </w:pPr>
      <w:r>
        <w:rPr>
          <w:rFonts w:hint="eastAsia" w:asciiTheme="minorEastAsia" w:hAnsiTheme="minorEastAsia" w:cstheme="minorEastAsia"/>
          <w:b/>
          <w:sz w:val="24"/>
        </w:rPr>
        <w:t>1.2.6地形地貌和地质条件</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浙能嵊泗2号海上风电场位于杭州湾内侧，风电场中心点离岸距离约20km，场区地形整体较平缓，局部区域地形起伏较大，场区南侧区域分布岛礁，礁石附近地形变化较大，泥面高程-47.0～-5.0m；东区东南角临近岛礁，地势较低，泥面高程-36.0~-20.0m。风机主要布置在场区北侧，风机布置区域地形较平缓，泥面高程-13.8～10.0m，表层以淤泥质土为主。</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根据已完成的静探孔和钻孔揭露的地层结构、岩性特征、埋藏条件及物理力学性质，结合浙江省地方标准《工程建设岩土工程勘察规范》（DB33/T1065-2009），勘探深度内（勘探孔最深85.00m）均为第四系沉积物。本场区勘探深度范围内上部为全新世（Q4）浅海相沉积的淤泥质粘土、淤泥质粉质粘土，中下部为上更新世（Q3）河口～滨海相沉积的粉砂、粉质粘土。</w:t>
      </w:r>
    </w:p>
    <w:p>
      <w:pPr>
        <w:spacing w:line="560" w:lineRule="exact"/>
        <w:ind w:firstLine="567"/>
        <w:rPr>
          <w:rFonts w:hint="eastAsia" w:asciiTheme="minorEastAsia" w:hAnsiTheme="minorEastAsia" w:cstheme="minorEastAsia"/>
          <w:b/>
          <w:sz w:val="24"/>
        </w:rPr>
      </w:pPr>
      <w:r>
        <w:rPr>
          <w:rFonts w:hint="eastAsia" w:asciiTheme="minorEastAsia" w:hAnsiTheme="minorEastAsia" w:cstheme="minorEastAsia"/>
          <w:b/>
          <w:sz w:val="24"/>
        </w:rPr>
        <w:t>1.3风电场通航情况</w:t>
      </w:r>
    </w:p>
    <w:p>
      <w:pPr>
        <w:spacing w:line="560" w:lineRule="exact"/>
        <w:ind w:firstLine="567"/>
        <w:rPr>
          <w:rFonts w:hint="eastAsia" w:asciiTheme="minorEastAsia" w:hAnsiTheme="minorEastAsia" w:cstheme="minorEastAsia"/>
          <w:b/>
          <w:sz w:val="24"/>
        </w:rPr>
      </w:pPr>
      <w:bookmarkStart w:id="15" w:name="_Toc522716455"/>
      <w:r>
        <w:rPr>
          <w:rFonts w:hint="eastAsia" w:asciiTheme="minorEastAsia" w:hAnsiTheme="minorEastAsia" w:cstheme="minorEastAsia"/>
          <w:b/>
          <w:sz w:val="24"/>
        </w:rPr>
        <w:t>1.3.1附近航道</w:t>
      </w:r>
      <w:bookmarkEnd w:id="15"/>
      <w:r>
        <w:rPr>
          <w:rFonts w:hint="eastAsia" w:asciiTheme="minorEastAsia" w:hAnsiTheme="minorEastAsia" w:cstheme="minorEastAsia"/>
          <w:b/>
          <w:sz w:val="24"/>
        </w:rPr>
        <w:t>情况</w:t>
      </w:r>
    </w:p>
    <w:p>
      <w:pPr>
        <w:spacing w:line="560" w:lineRule="exact"/>
        <w:ind w:firstLine="567"/>
        <w:rPr>
          <w:rFonts w:hint="eastAsia" w:asciiTheme="minorEastAsia" w:hAnsiTheme="minorEastAsia" w:cstheme="minorEastAsia"/>
          <w:color w:val="000000" w:themeColor="text1"/>
        </w:rPr>
      </w:pPr>
      <w:r>
        <w:rPr>
          <w:rFonts w:hint="eastAsia" w:asciiTheme="minorEastAsia" w:hAnsiTheme="minorEastAsia" w:cstheme="minorEastAsia"/>
          <w:sz w:val="24"/>
        </w:rPr>
        <w:t>浙能嵊泗2号海上风电场位于金山区东部，附近水域开阔，水域周围有多条水道并且互相穿插衔接，包括金山航道、漕泾东航道、漕泾西航道、漕泾东西航道通道、宁波至嘉兴港独山、乍浦港区航道及北航道等。</w:t>
      </w:r>
    </w:p>
    <w:p>
      <w:pPr>
        <w:spacing w:before="156" w:beforeLines="50" w:after="156" w:afterLines="50" w:line="360" w:lineRule="auto"/>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object>
          <v:shape id="_x0000_i1025" o:spt="75" type="#_x0000_t75" style="height:256.8pt;width:412.75pt;" o:ole="t" filled="f" o:preferrelative="t" stroked="f" coordsize="21600,21600">
            <v:path/>
            <v:fill on="f" focussize="0,0"/>
            <v:stroke on="f" joinstyle="miter"/>
            <v:imagedata r:id="rId8" o:title=""/>
            <o:lock v:ext="edit" aspectratio="t"/>
            <w10:wrap type="none"/>
            <w10:anchorlock/>
          </v:shape>
          <o:OLEObject Type="Embed" ProgID="Visio.Drawing.11" ShapeID="_x0000_i1025" DrawAspect="Content" ObjectID="_1468075725" r:id="rId7">
            <o:LockedField>false</o:LockedField>
          </o:OLEObject>
        </w:object>
      </w:r>
      <w:r>
        <w:rPr>
          <w:rFonts w:hint="eastAsia" w:asciiTheme="minorEastAsia" w:hAnsiTheme="minorEastAsia" w:cstheme="minorEastAsia"/>
          <w:color w:val="000000" w:themeColor="text1"/>
        </w:rPr>
        <w:t>风电场周围航道相对位置图</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（1）金山航道</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该航道自大戢山以东约6.7n mile（Y24号灯浮）处向西南经崎岖列岛东南的西马鞍山岛折向西，过对口山、王盘山至陈山，全长75.1n mile，扫海航道宽度为2km。航道最小水深7.6m，3~5万吨级船舶可乘潮进港，该航道水深较为稳定，目前靠泊陈山5万吨级原油码头和嘉兴发电厂3.5万吨级煤码头的船舶可常年从该航道乘潮进出，近年来，通过该航道的船舶交通流每年超过1万艘次，且一半以上为危险品运输船舶。</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（2）漕泾东航道和支线航道</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该航道为从大洋山至杭州湾北岸漕泾化学工业区的航道，航道于大洋山西南约5.37km的漕泾大型灯浮处与金山航道相连，航道扫海宽度1.85km，航道水深在唐脑山灯塔以西，121°29′E至121°41′E之间存在水深小于8m的浅段，航道最小水深7.3m，上海化学工业区码头附近水深在8m左右。</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为保障船舶航行、作业安全，在上海漕泾东航道西侧水域新设漕泾东航道支线航道，并于2012年12月18日正式开通（沪海航〔2012〕360号）。漕泾东航道支线航道为双向航路，航道宽度1.85km。航道北端与漕泾东航道相衔接，南端与金山航道相衔接。所有驶往上海化学工业区码头的船舶可选择经漕泾东航道支线航道进出。</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（3）漕泾西航道</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该航道经大金山与浮山岛的东侧和南侧，将漕泾东航道与金山航道连接，扫海宽度2.04km，是金山港区与上海化学工业区之间的通道，航道设有灯浮标指示。航道水深在8m以上，航道宽度为1.85km，船舶进出港时，航道中心线左右各0.5海里（0.93km）分道航行。</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（4）漕泾东西航道连接通道</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该航道为连接漕泾东、西航道的通道，扫海宽度约2.04km，航道水深7m以上。虽然目前通航密度不大，但从周围航运发展趋势分析，有增加趋势。</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（5）上海石化进港航道</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上海化学工业区进港航道自崎岖列岛东南向西，经杭州湾至上海化学工业区专用码头。</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（6）杭州湾南航道</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该航道系1975年上海石化总厂陈山码头建设而开辟的能进出2.5万吨油轮的自然航道，即目前的杭州湾南航道（油轮航道）。航道自大戢山东6.5海里处起，经崎岖列岛东南转向西，经闯牛山、滩浒山、王盘山、至乍浦陈山码头全长75海里（139公里），航道有四个弯道，马鞍山弯道、闯牛山弯道、王盘山弯道、彩旗山弯道。</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（7）宁波与嘉兴港独山、乍浦港区航路</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由宁波、舟山以及东南沿海进入嘉兴港的大中型船舶可选择由宁波-舟山港水域，从金塘水道或册子水道向西北，经七姐八妹列岛东侧，在滩浒山南侧进入金山航道。</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（8）</w:t>
      </w:r>
      <w:bookmarkStart w:id="16" w:name="OLE_LINK39"/>
      <w:bookmarkStart w:id="17" w:name="OLE_LINK38"/>
      <w:r>
        <w:rPr>
          <w:rFonts w:hint="eastAsia" w:asciiTheme="minorEastAsia" w:hAnsiTheme="minorEastAsia" w:cstheme="minorEastAsia"/>
          <w:sz w:val="24"/>
        </w:rPr>
        <w:t>独山港进港航道</w:t>
      </w:r>
    </w:p>
    <w:bookmarkEnd w:id="16"/>
    <w:bookmarkEnd w:id="17"/>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该航道位于嘉兴港独山区前沿，底宽约1.8km，航道北侧底边线距离独山港区前沿线约575m。航道位置受外海波浪的影响较小，平时年平均波高为0.6m，波况良好；同时航道内水流平顺无急流、漩涡，条件良好，流向大致与航道走向平行，水流条件不会影响船舶的正常通航;该道内无明礁石、沉船物等碍航物，船舶基本按航道走向航行。本航道专为独山港区船舶使用，受杭州湾南和宁波至嘉兴港独山、乍浦港区航道水深条件的限制，本航道目前仅通航5万吨级以下船舶（5万吨级液化气船需减载进港），目前乘潮船舶最大吃水11.2m。</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根据《嘉兴港总体规划》要求，独山港区进港航道需保证5万吨级船舶在设计低点位及以上进出以</w:t>
      </w:r>
      <w:bookmarkStart w:id="18" w:name="OLE_LINK74"/>
      <w:bookmarkStart w:id="19" w:name="OLE_LINK75"/>
      <w:r>
        <w:rPr>
          <w:rFonts w:hint="eastAsia" w:asciiTheme="minorEastAsia" w:hAnsiTheme="minorEastAsia" w:cstheme="minorEastAsia"/>
          <w:sz w:val="24"/>
        </w:rPr>
        <w:t>及8万吨级油船、7万吨级集装箱船乘潮进出的需求</w:t>
      </w:r>
      <w:bookmarkEnd w:id="18"/>
      <w:bookmarkEnd w:id="19"/>
      <w:r>
        <w:rPr>
          <w:rFonts w:hint="eastAsia" w:asciiTheme="minorEastAsia" w:hAnsiTheme="minorEastAsia" w:cstheme="minorEastAsia"/>
          <w:sz w:val="24"/>
        </w:rPr>
        <w:t>。现有航道将进行相应的疏浚，以满足未来港口发展需求。</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（9）宁波至嘉兴港小型船舶航路</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由宁波进入嘉兴港的小型船舶可选择该航道。</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（10）客渡船航路</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浙能嵊泗2号海上风电场附近有一条洋山-滩浒岛-金汇港之间的渡船航线，是由“洋盛7号”轮承担航行任务，为往返航线，“大洋至滩浒至金汇港”航班单趟时间为2小时40分钟，其中大洋山到滩浒岛100分钟，滩浒岛开往金汇港为60分钟。然后，金汇港返回滩浒，从滩浒再回始发港大洋山客运码头。</w:t>
      </w:r>
    </w:p>
    <w:p>
      <w:pPr>
        <w:spacing w:line="560" w:lineRule="exact"/>
        <w:ind w:firstLine="567"/>
        <w:rPr>
          <w:rFonts w:hint="eastAsia" w:asciiTheme="minorEastAsia" w:hAnsiTheme="minorEastAsia" w:cstheme="minorEastAsia"/>
          <w:color w:val="FF0000"/>
          <w:sz w:val="28"/>
          <w:szCs w:val="28"/>
        </w:rPr>
      </w:pPr>
      <w:r>
        <w:rPr>
          <w:rFonts w:hint="eastAsia" w:asciiTheme="minorEastAsia" w:hAnsiTheme="minorEastAsia" w:cstheme="minorEastAsia"/>
          <w:sz w:val="24"/>
        </w:rPr>
        <w:t>客渡船航线与风电场位置关系如下图所示，从图中可以看出，渡船航线与风机最近距离保持在2海里以上，影响相对较小，但是滩浒码头与大洋客运码头之间的航线需要穿过风电场水域，与风机会产生相互影响，在风电场风机布置中已与渡船运营部门进行充分沟通，为渡船航线留足安全距离。</w:t>
      </w:r>
    </w:p>
    <w:p>
      <w:pPr>
        <w:rPr>
          <w:rFonts w:hint="eastAsia" w:asciiTheme="minorEastAsia" w:hAnsiTheme="minorEastAsia" w:cstheme="minorEastAsia"/>
          <w:sz w:val="28"/>
          <w:szCs w:val="28"/>
        </w:rPr>
      </w:pPr>
      <w:r>
        <w:rPr>
          <w:rFonts w:hint="eastAsia" w:asciiTheme="minorEastAsia" w:hAnsiTheme="minorEastAsia" w:cstheme="minorEastAsia"/>
        </w:rPr>
        <w:drawing>
          <wp:inline distT="0" distB="0" distL="0" distR="0">
            <wp:extent cx="5274310" cy="2457450"/>
            <wp:effectExtent l="9525" t="9525" r="19685" b="171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 cstate="print"/>
                    <a:stretch>
                      <a:fillRect/>
                    </a:stretch>
                  </pic:blipFill>
                  <pic:spPr>
                    <a:xfrm>
                      <a:off x="0" y="0"/>
                      <a:ext cx="5274310" cy="2457450"/>
                    </a:xfrm>
                    <a:prstGeom prst="rect">
                      <a:avLst/>
                    </a:prstGeom>
                    <a:ln>
                      <a:solidFill>
                        <a:schemeClr val="tx1"/>
                      </a:solidFill>
                    </a:ln>
                  </pic:spPr>
                </pic:pic>
              </a:graphicData>
            </a:graphic>
          </wp:inline>
        </w:drawing>
      </w:r>
    </w:p>
    <w:p>
      <w:pPr>
        <w:spacing w:line="560" w:lineRule="exact"/>
        <w:jc w:val="center"/>
        <w:rPr>
          <w:rFonts w:hint="eastAsia" w:asciiTheme="minorEastAsia" w:hAnsiTheme="minorEastAsia" w:cstheme="minorEastAsia"/>
          <w:sz w:val="28"/>
          <w:szCs w:val="28"/>
        </w:rPr>
      </w:pPr>
      <w:r>
        <w:rPr>
          <w:rFonts w:hint="eastAsia" w:asciiTheme="minorEastAsia" w:hAnsiTheme="minorEastAsia" w:cstheme="minorEastAsia"/>
        </w:rPr>
        <w:t>渡船航线与风电场位置关系图</w:t>
      </w:r>
    </w:p>
    <w:p>
      <w:pPr>
        <w:spacing w:line="560" w:lineRule="exact"/>
        <w:ind w:firstLine="567"/>
        <w:rPr>
          <w:rFonts w:hint="eastAsia" w:asciiTheme="minorEastAsia" w:hAnsiTheme="minorEastAsia" w:cstheme="minorEastAsia"/>
          <w:b/>
          <w:sz w:val="24"/>
        </w:rPr>
      </w:pPr>
      <w:bookmarkStart w:id="20" w:name="_Toc522716456"/>
      <w:r>
        <w:rPr>
          <w:rFonts w:hint="eastAsia" w:asciiTheme="minorEastAsia" w:hAnsiTheme="minorEastAsia" w:cstheme="minorEastAsia"/>
          <w:b/>
          <w:sz w:val="24"/>
        </w:rPr>
        <w:t>1.3.2锚地</w:t>
      </w:r>
      <w:bookmarkEnd w:id="20"/>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离浙能嵊泗2号海上风电场最近的锚地现有金山待泊、引航、联检锚地，金山危险货物船舶锚地，嘉兴锚地及漕泾危险品锚地等。</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（1）现有锚地</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1）金山联检引航锚地</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锚地位于以30°37′08"N，121°21′08"E为圆心，半径为1000m的水域，锚地水深9m以上，软泥底，为进出金山港区船舶的引航、联检锚地。</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2）金山危险货物船舶锚地</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位于金山联检引航锚地西北方，锚地水深约8m，底质为泥沙底，为上海港石化专用港区危险货物船舶锚地。</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3）漕泾危险品锚地</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位于大、小金山岛东北侧，锚地水深9m以上，为上海化学工业区危险品船舶锚地，位于漕泾西航道北侧。</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4）乍浦港联检待泊锚地</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锚地面积为3.3km2，锚地水深7~12m，淤泥底，锚抓力效果不佳，锚地水域为往复流，涨水向西南，落水向东北，最大流速一般在高潮前后2~3h，最大流速约为5~6kn。</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5）嘉电锚地</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位于独山港区，水深11~13m，以30°39′51N、121°14′29"E为圆心，500m为半径的水域，泥沙底。因宁波至上海、南京进口原油管道穿越附近水域，锚地边缘离管道最近距离约180m，该锚地已实际停用。</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6）陈山锚地</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位于陈山东南方，以30°34′60N、121°14′00"E为圆心、半径1000m的圆形水域，供万吨以上危险品船舶锚泊，为上海石化陈山原油码头专用，可容纳2艘万吨级船舶，锚地海图水深12m左右，淤泥底，锚抓力良好。</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7）菜荠山（彩旗山）锚地</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菜养山锚地位于乍浦港区1~4号泊位东南、杭州湾南航道北侧，该锚地水深12~15m，长度4000m，宽度1000m，面积4km2，可同时锚泊20000总吨以下船舶6艘，为嘉兴港危险品锚地。</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8）独山锚地</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独山锚地位于独山港区散杂货与多用途作业区前方、南移后的独山港区进港航道的南侧，长度4000m，宽度2000m，面积8km2，水深12m，为待泊、引航、联检锚地，可同时锚泊30000总吨以下船舶24艘。</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（2）规划锚地和新建锚地</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浙能嵊泗2号海上风电场附近规划和新建锚地（嘉兴港）概述如下：</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嘉兴港已建成并在使用的还有菜荠山（彩旗山）危险品锚地、独山待泊锚地和白塔山锚地，这三处为新建锚地，还未正式发布通告。</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菜荠山（彩旗山）危险品锚地为供危险品船舶候泊、检疫、引航专用锚地；</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独山待泊锚地为船舶候泊、引航、检疫锚地；</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白塔山锚地供海盐港区船舶候潮待泊。</w:t>
      </w:r>
    </w:p>
    <w:p>
      <w:pPr>
        <w:autoSpaceDE w:val="0"/>
        <w:autoSpaceDN w:val="0"/>
        <w:adjustRightInd w:val="0"/>
        <w:spacing w:line="360" w:lineRule="auto"/>
        <w:jc w:val="center"/>
        <w:rPr>
          <w:rFonts w:hint="eastAsia" w:asciiTheme="minorEastAsia" w:hAnsiTheme="minorEastAsia" w:cstheme="minorEastAsia"/>
          <w:color w:val="000000" w:themeColor="text1"/>
          <w:kern w:val="28"/>
        </w:rPr>
      </w:pPr>
      <w:r>
        <w:rPr>
          <w:rFonts w:hint="eastAsia" w:asciiTheme="minorEastAsia" w:hAnsiTheme="minorEastAsia" w:cstheme="minorEastAsia"/>
          <w:color w:val="000000" w:themeColor="text1"/>
          <w:kern w:val="28"/>
        </w:rPr>
        <w:drawing>
          <wp:inline distT="0" distB="0" distL="0" distR="0">
            <wp:extent cx="4893945" cy="3498215"/>
            <wp:effectExtent l="0" t="0" r="13335" b="6985"/>
            <wp:docPr id="29" name="图片 29" descr="嘉兴港锚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嘉兴港锚地"/>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4902840" cy="3504790"/>
                    </a:xfrm>
                    <a:prstGeom prst="rect">
                      <a:avLst/>
                    </a:prstGeom>
                    <a:noFill/>
                    <a:ln>
                      <a:noFill/>
                    </a:ln>
                  </pic:spPr>
                </pic:pic>
              </a:graphicData>
            </a:graphic>
          </wp:inline>
        </w:drawing>
      </w:r>
    </w:p>
    <w:p>
      <w:pPr>
        <w:spacing w:after="156" w:afterLines="50"/>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嘉兴港区锚地分布图</w:t>
      </w:r>
    </w:p>
    <w:p>
      <w:pPr>
        <w:spacing w:line="560" w:lineRule="exact"/>
        <w:ind w:firstLine="567"/>
        <w:rPr>
          <w:rFonts w:hint="eastAsia" w:asciiTheme="minorEastAsia" w:hAnsiTheme="minorEastAsia" w:cstheme="minorEastAsia"/>
          <w:b/>
          <w:sz w:val="24"/>
        </w:rPr>
      </w:pPr>
      <w:bookmarkStart w:id="21" w:name="_Toc522716457"/>
      <w:r>
        <w:rPr>
          <w:rFonts w:hint="eastAsia" w:asciiTheme="minorEastAsia" w:hAnsiTheme="minorEastAsia" w:cstheme="minorEastAsia"/>
          <w:b/>
          <w:sz w:val="24"/>
        </w:rPr>
        <w:t>1.3.3附近渔区</w:t>
      </w:r>
      <w:bookmarkEnd w:id="21"/>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嵊泗海区的渔业捕捞主要有鳗苗捕捞等。鳗苗作业主要分布在杭州湾北岸至嵊泗附近海域（122°20′E以西渔区）。每年12月至翌年4～5月是鳗苗捕捞期，其中2～4月为旺季。</w:t>
      </w:r>
    </w:p>
    <w:p>
      <w:pPr>
        <w:spacing w:line="560" w:lineRule="exact"/>
        <w:ind w:firstLine="567"/>
        <w:rPr>
          <w:rFonts w:hint="eastAsia" w:asciiTheme="minorEastAsia" w:hAnsiTheme="minorEastAsia" w:cstheme="minorEastAsia"/>
          <w:b/>
          <w:sz w:val="24"/>
        </w:rPr>
      </w:pPr>
      <w:bookmarkStart w:id="22" w:name="_Toc522716461"/>
      <w:r>
        <w:rPr>
          <w:rFonts w:hint="eastAsia" w:asciiTheme="minorEastAsia" w:hAnsiTheme="minorEastAsia" w:cstheme="minorEastAsia"/>
          <w:b/>
          <w:sz w:val="24"/>
        </w:rPr>
        <w:t>1.3.4附近的船舶交管雷达</w:t>
      </w:r>
      <w:bookmarkEnd w:id="22"/>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浙能嵊泗2号海上风电场周边的船舶交管雷达主要包括：上海海事局辖区的大洋山雷达站（北纬30°35′37.0"，东经122°05′03.9"）、小洋山雷达站（北纬30°38′03.9"，东经122°03′24.4"）、大金山雷达站（北纬30°46′17.46"，东经121°25′44.75"）以及浙江海事局辖区的乍浦雷达站（北纬30°35.956′，东经121°05.195′）。上述雷达站的分布情况下图所示。</w:t>
      </w:r>
    </w:p>
    <w:p>
      <w:pPr>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drawing>
          <wp:inline distT="0" distB="0" distL="0" distR="0">
            <wp:extent cx="5270500" cy="3769995"/>
            <wp:effectExtent l="0" t="0" r="2540" b="95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270500" cy="3769995"/>
                    </a:xfrm>
                    <a:prstGeom prst="rect">
                      <a:avLst/>
                    </a:prstGeom>
                    <a:noFill/>
                    <a:ln>
                      <a:noFill/>
                    </a:ln>
                  </pic:spPr>
                </pic:pic>
              </a:graphicData>
            </a:graphic>
          </wp:inline>
        </w:drawing>
      </w:r>
    </w:p>
    <w:p>
      <w:pPr>
        <w:spacing w:before="156" w:beforeLines="50" w:after="156" w:afterLines="50" w:line="360" w:lineRule="auto"/>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风电场附近的船舶交管雷达</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通过对海图的标识可以发现大金山雷达站距离嵊泗2号海上风电场最近，最近距离为16.716km。从雷达站分布位置和交通监管的角度来看，在风场运营期内，将主要依赖上海海事局的大金山雷达站来保障嵊泗2号海上风电场周边航道的海事监管需求。同时，上海海事局的小洋山雷达站也可作为辅助雷达参与监管。</w:t>
      </w:r>
    </w:p>
    <w:p>
      <w:pPr>
        <w:spacing w:line="560" w:lineRule="exact"/>
        <w:ind w:firstLine="567"/>
        <w:rPr>
          <w:rFonts w:hint="eastAsia" w:asciiTheme="minorEastAsia" w:hAnsiTheme="minorEastAsia" w:cstheme="minorEastAsia"/>
          <w:b/>
          <w:sz w:val="24"/>
        </w:rPr>
      </w:pPr>
      <w:bookmarkStart w:id="23" w:name="_Toc304585965"/>
      <w:bookmarkStart w:id="24" w:name="_Toc522716463"/>
      <w:bookmarkStart w:id="25" w:name="_Toc423968879"/>
      <w:bookmarkStart w:id="26" w:name="_Toc300587836"/>
      <w:bookmarkStart w:id="27" w:name="_Toc306026695"/>
      <w:r>
        <w:rPr>
          <w:rFonts w:hint="eastAsia" w:asciiTheme="minorEastAsia" w:hAnsiTheme="minorEastAsia" w:cstheme="minorEastAsia"/>
          <w:b/>
          <w:sz w:val="24"/>
        </w:rPr>
        <w:t>1.3.5导助航设施</w:t>
      </w:r>
      <w:bookmarkEnd w:id="23"/>
      <w:bookmarkEnd w:id="24"/>
      <w:bookmarkEnd w:id="25"/>
      <w:bookmarkEnd w:id="26"/>
      <w:bookmarkEnd w:id="27"/>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浙能嵊泗2号海上风电场附近水域助航标志齐全，几处礁石、管线和航道均设有航标，其详细资料列出如下表：</w:t>
      </w:r>
    </w:p>
    <w:p>
      <w:pPr>
        <w:spacing w:before="156" w:beforeLines="50" w:after="156" w:afterLines="50" w:line="360" w:lineRule="auto"/>
        <w:jc w:val="center"/>
        <w:rPr>
          <w:rFonts w:hint="eastAsia" w:asciiTheme="minorEastAsia" w:hAnsiTheme="minorEastAsia" w:cstheme="minorEastAsia"/>
          <w:color w:val="000000" w:themeColor="text1"/>
          <w:sz w:val="24"/>
        </w:rPr>
      </w:pPr>
      <w:r>
        <w:rPr>
          <w:rFonts w:hint="eastAsia" w:asciiTheme="minorEastAsia" w:hAnsiTheme="minorEastAsia" w:cstheme="minorEastAsia"/>
          <w:color w:val="000000" w:themeColor="text1"/>
          <w:sz w:val="24"/>
        </w:rPr>
        <w:t>风电场附近水域航标一览表</w:t>
      </w:r>
    </w:p>
    <w:tbl>
      <w:tblPr>
        <w:tblStyle w:val="9"/>
        <w:tblW w:w="532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8"/>
        <w:gridCol w:w="2001"/>
        <w:gridCol w:w="1567"/>
        <w:gridCol w:w="780"/>
        <w:gridCol w:w="955"/>
        <w:gridCol w:w="24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766"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名称</w:t>
            </w:r>
          </w:p>
        </w:tc>
        <w:tc>
          <w:tcPr>
            <w:tcW w:w="957" w:type="pct"/>
            <w:vAlign w:val="center"/>
          </w:tcPr>
          <w:p>
            <w:pPr>
              <w:spacing w:line="400" w:lineRule="exact"/>
              <w:ind w:left="-124" w:leftChars="-59"/>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位置</w:t>
            </w:r>
          </w:p>
        </w:tc>
        <w:tc>
          <w:tcPr>
            <w:tcW w:w="908"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灯质</w:t>
            </w:r>
          </w:p>
        </w:tc>
        <w:tc>
          <w:tcPr>
            <w:tcW w:w="475"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灯高</w:t>
            </w:r>
          </w:p>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（m）</w:t>
            </w:r>
          </w:p>
        </w:tc>
        <w:tc>
          <w:tcPr>
            <w:tcW w:w="487" w:type="pct"/>
            <w:vAlign w:val="center"/>
          </w:tcPr>
          <w:p>
            <w:pPr>
              <w:spacing w:line="400" w:lineRule="exact"/>
              <w:ind w:left="-101" w:leftChars="-91" w:right="-105" w:rightChars="-50" w:hanging="90" w:hangingChars="43"/>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射程（nmile）</w:t>
            </w:r>
          </w:p>
        </w:tc>
        <w:tc>
          <w:tcPr>
            <w:tcW w:w="1407"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构造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6"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杭州湾油管</w:t>
            </w:r>
          </w:p>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4号灯浮</w:t>
            </w:r>
          </w:p>
        </w:tc>
        <w:tc>
          <w:tcPr>
            <w:tcW w:w="957"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30°27′6.2″N，</w:t>
            </w:r>
          </w:p>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121°24′03.0E</w:t>
            </w:r>
          </w:p>
        </w:tc>
        <w:tc>
          <w:tcPr>
            <w:tcW w:w="908"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莫(C)黄12秒</w:t>
            </w:r>
          </w:p>
        </w:tc>
        <w:tc>
          <w:tcPr>
            <w:tcW w:w="475" w:type="pct"/>
            <w:vAlign w:val="center"/>
          </w:tcPr>
          <w:p>
            <w:pPr>
              <w:spacing w:line="400" w:lineRule="exact"/>
              <w:jc w:val="center"/>
              <w:rPr>
                <w:rFonts w:hint="eastAsia" w:asciiTheme="minorEastAsia" w:hAnsiTheme="minorEastAsia" w:cstheme="minorEastAsia"/>
                <w:color w:val="000000" w:themeColor="text1"/>
              </w:rPr>
            </w:pPr>
          </w:p>
        </w:tc>
        <w:tc>
          <w:tcPr>
            <w:tcW w:w="487" w:type="pct"/>
            <w:vAlign w:val="center"/>
          </w:tcPr>
          <w:p>
            <w:pPr>
              <w:spacing w:line="400" w:lineRule="exact"/>
              <w:jc w:val="center"/>
              <w:rPr>
                <w:rFonts w:hint="eastAsia" w:asciiTheme="minorEastAsia" w:hAnsiTheme="minorEastAsia" w:cstheme="minorEastAsia"/>
                <w:color w:val="000000" w:themeColor="text1"/>
              </w:rPr>
            </w:pPr>
          </w:p>
        </w:tc>
        <w:tc>
          <w:tcPr>
            <w:tcW w:w="1407"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黄色柱形，顶标为黄色“X”形，标体明显处漆黑色水中构筑物标记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6"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杭州湾油管</w:t>
            </w:r>
          </w:p>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5号灯浮</w:t>
            </w:r>
          </w:p>
        </w:tc>
        <w:tc>
          <w:tcPr>
            <w:tcW w:w="957"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30°23′24.2″N，</w:t>
            </w:r>
          </w:p>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121°24′21.0 E</w:t>
            </w:r>
          </w:p>
        </w:tc>
        <w:tc>
          <w:tcPr>
            <w:tcW w:w="908"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莫(C)黄12秒</w:t>
            </w:r>
          </w:p>
        </w:tc>
        <w:tc>
          <w:tcPr>
            <w:tcW w:w="475" w:type="pct"/>
            <w:vAlign w:val="center"/>
          </w:tcPr>
          <w:p>
            <w:pPr>
              <w:spacing w:line="400" w:lineRule="exact"/>
              <w:jc w:val="center"/>
              <w:rPr>
                <w:rFonts w:hint="eastAsia" w:asciiTheme="minorEastAsia" w:hAnsiTheme="minorEastAsia" w:cstheme="minorEastAsia"/>
                <w:color w:val="000000" w:themeColor="text1"/>
              </w:rPr>
            </w:pPr>
          </w:p>
        </w:tc>
        <w:tc>
          <w:tcPr>
            <w:tcW w:w="487" w:type="pct"/>
            <w:vAlign w:val="center"/>
          </w:tcPr>
          <w:p>
            <w:pPr>
              <w:spacing w:line="400" w:lineRule="exact"/>
              <w:jc w:val="center"/>
              <w:rPr>
                <w:rFonts w:hint="eastAsia" w:asciiTheme="minorEastAsia" w:hAnsiTheme="minorEastAsia" w:cstheme="minorEastAsia"/>
                <w:color w:val="000000" w:themeColor="text1"/>
              </w:rPr>
            </w:pPr>
          </w:p>
        </w:tc>
        <w:tc>
          <w:tcPr>
            <w:tcW w:w="1407"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黄色柱形，顶标为黄色“X”形，标体明显处漆黑色水中构筑物标记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6"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七姐八妹灯</w:t>
            </w:r>
          </w:p>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桩（镇接）</w:t>
            </w:r>
          </w:p>
        </w:tc>
        <w:tc>
          <w:tcPr>
            <w:tcW w:w="957"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30°14′52.8″N，</w:t>
            </w:r>
          </w:p>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121°35′48.8 E</w:t>
            </w:r>
          </w:p>
        </w:tc>
        <w:tc>
          <w:tcPr>
            <w:tcW w:w="908"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闪白3秒 0.5+2.5</w:t>
            </w:r>
          </w:p>
        </w:tc>
        <w:tc>
          <w:tcPr>
            <w:tcW w:w="475"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39</w:t>
            </w:r>
          </w:p>
        </w:tc>
        <w:tc>
          <w:tcPr>
            <w:tcW w:w="487"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7</w:t>
            </w:r>
          </w:p>
        </w:tc>
        <w:tc>
          <w:tcPr>
            <w:tcW w:w="1407"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白色圆柱形钢筋混凝土；13.6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6"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东霍山灯桩</w:t>
            </w:r>
          </w:p>
        </w:tc>
        <w:tc>
          <w:tcPr>
            <w:tcW w:w="957"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30°15′01.2 N，</w:t>
            </w:r>
          </w:p>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121°43′18.0 E</w:t>
            </w:r>
          </w:p>
        </w:tc>
        <w:tc>
          <w:tcPr>
            <w:tcW w:w="908"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闪（2）白6秒</w:t>
            </w:r>
          </w:p>
        </w:tc>
        <w:tc>
          <w:tcPr>
            <w:tcW w:w="475"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55</w:t>
            </w:r>
          </w:p>
        </w:tc>
        <w:tc>
          <w:tcPr>
            <w:tcW w:w="487"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7</w:t>
            </w:r>
          </w:p>
        </w:tc>
        <w:tc>
          <w:tcPr>
            <w:tcW w:w="1407"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红白横带圆柱形混凝土，8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6"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鱼腥脑岛</w:t>
            </w:r>
          </w:p>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灯塔</w:t>
            </w:r>
          </w:p>
        </w:tc>
        <w:tc>
          <w:tcPr>
            <w:tcW w:w="957"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30°20′49.3″N，</w:t>
            </w:r>
          </w:p>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121°51′35.4 E</w:t>
            </w:r>
          </w:p>
        </w:tc>
        <w:tc>
          <w:tcPr>
            <w:tcW w:w="908"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闪（2）白20秒</w:t>
            </w:r>
          </w:p>
        </w:tc>
        <w:tc>
          <w:tcPr>
            <w:tcW w:w="475"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27</w:t>
            </w:r>
          </w:p>
        </w:tc>
        <w:tc>
          <w:tcPr>
            <w:tcW w:w="487"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15</w:t>
            </w:r>
          </w:p>
        </w:tc>
        <w:tc>
          <w:tcPr>
            <w:tcW w:w="1407"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黑色圆塔;10.1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6"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王盘山北</w:t>
            </w:r>
          </w:p>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灯浮</w:t>
            </w:r>
          </w:p>
        </w:tc>
        <w:tc>
          <w:tcPr>
            <w:tcW w:w="957"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30°33′42.3″N，</w:t>
            </w:r>
          </w:p>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121°21′33.0 E</w:t>
            </w:r>
          </w:p>
        </w:tc>
        <w:tc>
          <w:tcPr>
            <w:tcW w:w="908"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莫(A)白6秒</w:t>
            </w:r>
          </w:p>
        </w:tc>
        <w:tc>
          <w:tcPr>
            <w:tcW w:w="475" w:type="pct"/>
            <w:vAlign w:val="center"/>
          </w:tcPr>
          <w:p>
            <w:pPr>
              <w:spacing w:line="400" w:lineRule="exact"/>
              <w:jc w:val="center"/>
              <w:rPr>
                <w:rFonts w:hint="eastAsia" w:asciiTheme="minorEastAsia" w:hAnsiTheme="minorEastAsia" w:cstheme="minorEastAsia"/>
                <w:color w:val="000000" w:themeColor="text1"/>
              </w:rPr>
            </w:pPr>
          </w:p>
        </w:tc>
        <w:tc>
          <w:tcPr>
            <w:tcW w:w="487" w:type="pct"/>
            <w:vAlign w:val="center"/>
          </w:tcPr>
          <w:p>
            <w:pPr>
              <w:spacing w:line="400" w:lineRule="exact"/>
              <w:jc w:val="center"/>
              <w:rPr>
                <w:rFonts w:hint="eastAsia" w:asciiTheme="minorEastAsia" w:hAnsiTheme="minorEastAsia" w:cstheme="minorEastAsia"/>
                <w:color w:val="000000" w:themeColor="text1"/>
              </w:rPr>
            </w:pPr>
          </w:p>
        </w:tc>
        <w:tc>
          <w:tcPr>
            <w:tcW w:w="1407"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红白相间竖条柱形，顶标为红色球形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6"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杭州湾测风塔灯桩</w:t>
            </w:r>
          </w:p>
        </w:tc>
        <w:tc>
          <w:tcPr>
            <w:tcW w:w="957"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30°21′31.4″N，</w:t>
            </w:r>
          </w:p>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121°33′28.8 E</w:t>
            </w:r>
          </w:p>
        </w:tc>
        <w:tc>
          <w:tcPr>
            <w:tcW w:w="908"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闪(2)白5秒</w:t>
            </w:r>
          </w:p>
        </w:tc>
        <w:tc>
          <w:tcPr>
            <w:tcW w:w="475"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11.9</w:t>
            </w:r>
          </w:p>
        </w:tc>
        <w:tc>
          <w:tcPr>
            <w:tcW w:w="487"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3</w:t>
            </w:r>
          </w:p>
        </w:tc>
        <w:tc>
          <w:tcPr>
            <w:tcW w:w="1407"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黑红黑横带方形钢架，顶标为两个黑色球形；2.7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6"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鸡娘礁灯桩</w:t>
            </w:r>
          </w:p>
        </w:tc>
        <w:tc>
          <w:tcPr>
            <w:tcW w:w="957"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29°35′45.9″N，</w:t>
            </w:r>
          </w:p>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122°00′26.2″E</w:t>
            </w:r>
          </w:p>
        </w:tc>
        <w:tc>
          <w:tcPr>
            <w:tcW w:w="908"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闪（2）白6秒</w:t>
            </w:r>
          </w:p>
        </w:tc>
        <w:tc>
          <w:tcPr>
            <w:tcW w:w="475"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17</w:t>
            </w:r>
          </w:p>
        </w:tc>
        <w:tc>
          <w:tcPr>
            <w:tcW w:w="487"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4</w:t>
            </w:r>
          </w:p>
        </w:tc>
        <w:tc>
          <w:tcPr>
            <w:tcW w:w="1407" w:type="pct"/>
            <w:vAlign w:val="center"/>
          </w:tcPr>
          <w:p>
            <w:pPr>
              <w:spacing w:line="400" w:lineRule="exact"/>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白色圆锥形混凝土；7</w:t>
            </w:r>
          </w:p>
        </w:tc>
      </w:tr>
    </w:tbl>
    <w:p>
      <w:pPr>
        <w:tabs>
          <w:tab w:val="left" w:pos="559"/>
        </w:tabs>
        <w:spacing w:line="560" w:lineRule="exact"/>
        <w:ind w:firstLine="567"/>
        <w:rPr>
          <w:rFonts w:hint="eastAsia" w:asciiTheme="minorEastAsia" w:hAnsiTheme="minorEastAsia" w:cstheme="minorEastAsia"/>
          <w:b/>
          <w:sz w:val="24"/>
        </w:rPr>
      </w:pPr>
      <w:bookmarkStart w:id="28" w:name="_Toc522716468"/>
      <w:r>
        <w:rPr>
          <w:rFonts w:hint="eastAsia" w:asciiTheme="minorEastAsia" w:hAnsiTheme="minorEastAsia" w:cstheme="minorEastAsia"/>
          <w:b/>
          <w:sz w:val="24"/>
        </w:rPr>
        <w:t>1.3.6海域的交通流量</w:t>
      </w:r>
      <w:bookmarkEnd w:id="28"/>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下图所示为浙能嵊泗2号海上风电场附近水域2015年3月整个月的AIS航迹图。风电场附近水域船舶主要是漕泾东航道船舶。此外，在每年的11月份到第二年的5月份是王盘洋水域的渔汛期，航道外遍布渔网，有时航道内也有渔网，漕泾东航道在渔汛期间基本处于封航状态，进港船舶只能绕道金山航道，再沿漕泾西航道进港。少有船舶经过风电场的位置。</w:t>
      </w:r>
    </w:p>
    <w:p>
      <w:pPr>
        <w:autoSpaceDE w:val="0"/>
        <w:autoSpaceDN w:val="0"/>
        <w:adjustRightInd w:val="0"/>
        <w:spacing w:line="360" w:lineRule="auto"/>
        <w:jc w:val="center"/>
        <w:rPr>
          <w:rFonts w:hint="eastAsia" w:asciiTheme="minorEastAsia" w:hAnsiTheme="minorEastAsia" w:cstheme="minorEastAsia"/>
          <w:color w:val="000000" w:themeColor="text1"/>
          <w:sz w:val="28"/>
          <w:szCs w:val="28"/>
        </w:rPr>
      </w:pPr>
      <w:r>
        <w:rPr>
          <w:rFonts w:hint="eastAsia" w:asciiTheme="minorEastAsia" w:hAnsiTheme="minorEastAsia" w:cstheme="minorEastAsia"/>
          <w:color w:val="000000" w:themeColor="text1"/>
        </w:rPr>
        <w:object>
          <v:shape id="_x0000_i1026" o:spt="75" type="#_x0000_t75" style="height:295.3pt;width:383.5pt;" o:ole="t" filled="f" o:preferrelative="t" stroked="f" coordsize="21600,21600">
            <v:path/>
            <v:fill on="f" focussize="0,0"/>
            <v:stroke on="f" joinstyle="miter"/>
            <v:imagedata r:id="rId13" o:title=""/>
            <o:lock v:ext="edit" aspectratio="t"/>
            <w10:wrap type="none"/>
            <w10:anchorlock/>
          </v:shape>
          <o:OLEObject Type="Embed" ProgID="Visio.Drawing.11" ShapeID="_x0000_i1026" DrawAspect="Content" ObjectID="_1468075726" r:id="rId12">
            <o:LockedField>false</o:LockedField>
          </o:OLEObject>
        </w:object>
      </w:r>
    </w:p>
    <w:p>
      <w:pPr>
        <w:spacing w:after="156" w:afterLines="50" w:line="360" w:lineRule="auto"/>
        <w:ind w:left="-68" w:leftChars="-257" w:hanging="472" w:hangingChars="225"/>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工程所处海域2015年3月AIS航迹图</w:t>
      </w:r>
    </w:p>
    <w:p>
      <w:pPr>
        <w:autoSpaceDE w:val="0"/>
        <w:autoSpaceDN w:val="0"/>
        <w:adjustRightInd w:val="0"/>
        <w:spacing w:line="360" w:lineRule="auto"/>
        <w:jc w:val="center"/>
        <w:rPr>
          <w:rFonts w:hint="eastAsia" w:asciiTheme="minorEastAsia" w:hAnsiTheme="minorEastAsia" w:cstheme="minorEastAsia"/>
          <w:color w:val="000000" w:themeColor="text1"/>
          <w:sz w:val="28"/>
          <w:szCs w:val="28"/>
        </w:rPr>
      </w:pPr>
      <w:r>
        <w:rPr>
          <w:rFonts w:hint="eastAsia" w:asciiTheme="minorEastAsia" w:hAnsiTheme="minorEastAsia" w:cstheme="minorEastAsia"/>
          <w:color w:val="000000" w:themeColor="text1"/>
          <w:sz w:val="28"/>
          <w:szCs w:val="28"/>
        </w:rPr>
        <w:drawing>
          <wp:inline distT="0" distB="0" distL="0" distR="0">
            <wp:extent cx="4614545" cy="1818005"/>
            <wp:effectExtent l="9525" t="9525" r="24130" b="16510"/>
            <wp:docPr id="126" name="图片 8" descr="交通流A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8" descr="交通流AIS2"/>
                    <pic:cNvPicPr>
                      <a:picLocks noChangeAspect="1" noChangeArrowheads="1"/>
                    </pic:cNvPicPr>
                  </pic:nvPicPr>
                  <pic:blipFill>
                    <a:blip r:embed="rId14" cstate="print"/>
                    <a:srcRect/>
                    <a:stretch>
                      <a:fillRect/>
                    </a:stretch>
                  </pic:blipFill>
                  <pic:spPr>
                    <a:xfrm>
                      <a:off x="0" y="0"/>
                      <a:ext cx="4614545" cy="1818005"/>
                    </a:xfrm>
                    <a:prstGeom prst="rect">
                      <a:avLst/>
                    </a:prstGeom>
                    <a:noFill/>
                    <a:ln w="6350" cmpd="sng">
                      <a:solidFill>
                        <a:srgbClr val="000000"/>
                      </a:solidFill>
                      <a:miter lim="800000"/>
                      <a:headEnd/>
                      <a:tailEnd/>
                    </a:ln>
                    <a:effectLst/>
                  </pic:spPr>
                </pic:pic>
              </a:graphicData>
            </a:graphic>
          </wp:inline>
        </w:drawing>
      </w:r>
    </w:p>
    <w:p>
      <w:pPr>
        <w:spacing w:after="156" w:afterLines="50" w:line="360" w:lineRule="auto"/>
        <w:ind w:left="-68" w:leftChars="-257" w:hanging="472" w:hangingChars="225"/>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金山航道2015年船舶流量统计</w:t>
      </w:r>
    </w:p>
    <w:p>
      <w:pPr>
        <w:spacing w:line="560" w:lineRule="exact"/>
        <w:ind w:firstLine="567"/>
        <w:rPr>
          <w:rFonts w:hint="eastAsia" w:ascii="仿宋" w:hAnsi="仿宋" w:eastAsia="仿宋" w:cs="仿宋"/>
          <w:sz w:val="24"/>
        </w:rPr>
      </w:pPr>
      <w:r>
        <w:rPr>
          <w:rFonts w:hint="eastAsia" w:asciiTheme="minorEastAsia" w:hAnsiTheme="minorEastAsia" w:cstheme="minorEastAsia"/>
          <w:sz w:val="24"/>
        </w:rPr>
        <w:t>结合现场观察，有少量未安装AIS小型船舶通过工程附近水域。</w:t>
      </w:r>
    </w:p>
    <w:p>
      <w:pPr>
        <w:widowControl/>
        <w:jc w:val="left"/>
        <w:rPr>
          <w:rFonts w:hint="eastAsia" w:asciiTheme="minorEastAsia" w:hAnsiTheme="minorEastAsia"/>
          <w:sz w:val="24"/>
        </w:rPr>
      </w:pPr>
    </w:p>
    <w:bookmarkEnd w:id="6"/>
    <w:bookmarkEnd w:id="7"/>
    <w:p>
      <w:pPr>
        <w:spacing w:line="560" w:lineRule="exact"/>
        <w:ind w:firstLine="567"/>
        <w:rPr>
          <w:rFonts w:hint="eastAsia" w:asciiTheme="minorEastAsia" w:hAnsiTheme="minorEastAsia" w:cstheme="minorEastAsia"/>
          <w:b/>
          <w:bCs/>
          <w:sz w:val="24"/>
        </w:rPr>
      </w:pPr>
      <w:r>
        <w:rPr>
          <w:rFonts w:hint="eastAsia" w:asciiTheme="minorEastAsia" w:hAnsiTheme="minorEastAsia" w:cstheme="minorEastAsia"/>
          <w:b/>
          <w:bCs/>
          <w:sz w:val="24"/>
        </w:rPr>
        <w:t>二、航标维护范围及内容</w:t>
      </w:r>
    </w:p>
    <w:p>
      <w:pPr>
        <w:spacing w:line="560" w:lineRule="exact"/>
        <w:ind w:firstLine="567"/>
        <w:rPr>
          <w:rFonts w:hint="eastAsia" w:asciiTheme="minorEastAsia" w:hAnsiTheme="minorEastAsia" w:cstheme="minorEastAsia"/>
          <w:sz w:val="24"/>
        </w:rPr>
      </w:pPr>
      <w:r>
        <w:rPr>
          <w:rFonts w:hint="eastAsia" w:asciiTheme="minorEastAsia" w:hAnsiTheme="minorEastAsia" w:cstheme="minorEastAsia"/>
          <w:sz w:val="24"/>
        </w:rPr>
        <w:t>浙能嵊泗2号海上风电场共设置灯桩19个，分别安置在24#、20#、16#、13#、10#、9#、6#、5#、1#、43#、45#、48#、52#、33#、34#、53#、56#、59#、63#风机外平台上，灯桩按顺序分别命名为浙嵊电1号~19号灯桩；设置AIS航标8个，分别安置在1号灯桩、5号灯桩、6号灯桩、9号灯桩、10号灯桩、13号灯桩、16号灯桩、19号灯桩上，航标按顺序分别命名为ZSD1实体AIS航标、ZSD5实体AIS航标、ZSD6实体AIS航标、ZSD9实体AIS航标、ZSD10实体AIS航标、ZSD13实体AIS航标、ZSD16实体AIS航标和ZSD19实体AIS航标；抛设</w:t>
      </w:r>
      <w:r>
        <w:rPr>
          <w:rFonts w:hint="eastAsia" w:asciiTheme="minorEastAsia" w:hAnsiTheme="minorEastAsia" w:cstheme="minorEastAsia"/>
          <w:sz w:val="24"/>
        </w:rPr>
        <w:drawing>
          <wp:anchor distT="0" distB="0" distL="114300" distR="114300" simplePos="0" relativeHeight="251661312" behindDoc="0" locked="0" layoutInCell="1" allowOverlap="1">
            <wp:simplePos x="0" y="0"/>
            <wp:positionH relativeFrom="column">
              <wp:posOffset>4445</wp:posOffset>
            </wp:positionH>
            <wp:positionV relativeFrom="paragraph">
              <wp:posOffset>1913255</wp:posOffset>
            </wp:positionV>
            <wp:extent cx="5274945" cy="3157855"/>
            <wp:effectExtent l="19050" t="0" r="1905" b="0"/>
            <wp:wrapSquare wrapText="bothSides"/>
            <wp:docPr id="1" name="图片 0" descr="航标布置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0" descr="航标布置图.png"/>
                    <pic:cNvPicPr>
                      <a:picLocks noChangeAspect="1"/>
                    </pic:cNvPicPr>
                  </pic:nvPicPr>
                  <pic:blipFill>
                    <a:blip r:embed="rId15" cstate="print"/>
                    <a:stretch>
                      <a:fillRect/>
                    </a:stretch>
                  </pic:blipFill>
                  <pic:spPr>
                    <a:xfrm>
                      <a:off x="0" y="0"/>
                      <a:ext cx="5274945" cy="3157855"/>
                    </a:xfrm>
                    <a:prstGeom prst="rect">
                      <a:avLst/>
                    </a:prstGeom>
                  </pic:spPr>
                </pic:pic>
              </a:graphicData>
            </a:graphic>
          </wp:anchor>
        </w:drawing>
      </w:r>
      <w:r>
        <w:rPr>
          <w:rFonts w:hint="eastAsia" w:asciiTheme="minorEastAsia" w:hAnsiTheme="minorEastAsia" w:cstheme="minorEastAsia"/>
          <w:sz w:val="24"/>
        </w:rPr>
        <w:t>灯浮11个，灯浮按顺序分别命名为浙嵊电1号~12号灯浮（其中9号灯浮因金山海上风电场一期项目建设撤除）。</w:t>
      </w:r>
    </w:p>
    <w:p>
      <w:pPr>
        <w:spacing w:line="560" w:lineRule="exact"/>
        <w:jc w:val="center"/>
        <w:rPr>
          <w:rFonts w:hint="eastAsia" w:asciiTheme="minorEastAsia" w:hAnsiTheme="minorEastAsia" w:cstheme="minorEastAsia"/>
          <w:sz w:val="24"/>
        </w:rPr>
      </w:pPr>
      <w:r>
        <w:rPr>
          <w:rFonts w:asciiTheme="minorEastAsia" w:hAnsiTheme="minorEastAsia" w:cstheme="minorEastAsia"/>
          <w:sz w:val="24"/>
        </w:rPr>
        <w:t>航标布置图</w:t>
      </w:r>
    </w:p>
    <w:p>
      <w:pPr>
        <w:spacing w:line="560" w:lineRule="exact"/>
        <w:jc w:val="left"/>
        <w:rPr>
          <w:rFonts w:hint="eastAsia" w:asciiTheme="minorEastAsia" w:hAnsiTheme="minorEastAsia" w:cstheme="minorEastAsia"/>
          <w:sz w:val="24"/>
        </w:rPr>
      </w:pPr>
      <w:r>
        <w:rPr>
          <w:rFonts w:hint="eastAsia" w:asciiTheme="minorEastAsia" w:hAnsiTheme="minorEastAsia" w:cstheme="minorEastAsia"/>
          <w:sz w:val="24"/>
        </w:rPr>
        <w:t>2.1航标平面布置及技术参数</w:t>
      </w:r>
    </w:p>
    <w:p>
      <w:pPr>
        <w:jc w:val="center"/>
        <w:outlineLvl w:val="2"/>
        <w:rPr>
          <w:rFonts w:hint="eastAsia" w:ascii="宋体" w:hAnsi="宋体"/>
          <w:bCs/>
          <w:kern w:val="0"/>
          <w:sz w:val="24"/>
        </w:rPr>
      </w:pPr>
      <w:r>
        <w:rPr>
          <w:rFonts w:hint="eastAsia" w:ascii="宋体" w:hAnsi="宋体"/>
          <w:bCs/>
          <w:kern w:val="0"/>
          <w:sz w:val="24"/>
        </w:rPr>
        <w:t>航标技术参数表</w:t>
      </w:r>
    </w:p>
    <w:tbl>
      <w:tblPr>
        <w:tblStyle w:val="9"/>
        <w:tblW w:w="852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13"/>
        <w:gridCol w:w="1734"/>
        <w:gridCol w:w="950"/>
        <w:gridCol w:w="795"/>
        <w:gridCol w:w="810"/>
        <w:gridCol w:w="302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标志名称</w:t>
            </w:r>
          </w:p>
        </w:tc>
        <w:tc>
          <w:tcPr>
            <w:tcW w:w="1734"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位置</w:t>
            </w:r>
          </w:p>
          <w:p>
            <w:pPr>
              <w:autoSpaceDE w:val="0"/>
              <w:autoSpaceDN w:val="0"/>
              <w:jc w:val="center"/>
              <w:rPr>
                <w:rFonts w:hint="eastAsia" w:ascii="宋体" w:hAnsi="宋体" w:cs="宋体"/>
                <w:szCs w:val="21"/>
                <w:lang w:val="zh-CN" w:bidi="zh-CN"/>
              </w:rPr>
            </w:pPr>
            <w:r>
              <w:rPr>
                <w:rFonts w:hint="eastAsia" w:ascii="宋体" w:hAnsi="宋体" w:cs="宋体"/>
                <w:szCs w:val="21"/>
                <w:lang w:bidi="zh-CN"/>
              </w:rPr>
              <w:t>（</w:t>
            </w:r>
            <w:r>
              <w:rPr>
                <w:rFonts w:hint="eastAsia" w:ascii="宋体" w:hAnsi="宋体" w:cs="宋体"/>
                <w:szCs w:val="21"/>
                <w:lang w:val="zh-CN" w:bidi="zh-CN"/>
              </w:rPr>
              <w:t>CGCS2000</w:t>
            </w:r>
            <w:r>
              <w:rPr>
                <w:rFonts w:hint="eastAsia" w:ascii="宋体" w:hAnsi="宋体" w:cs="宋体"/>
                <w:szCs w:val="21"/>
                <w:lang w:bidi="zh-CN"/>
              </w:rPr>
              <w:t>）</w:t>
            </w:r>
          </w:p>
        </w:tc>
        <w:tc>
          <w:tcPr>
            <w:tcW w:w="950"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灯质</w:t>
            </w:r>
          </w:p>
        </w:tc>
        <w:tc>
          <w:tcPr>
            <w:tcW w:w="795"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灯高</w:t>
            </w:r>
          </w:p>
          <w:p>
            <w:pPr>
              <w:autoSpaceDE w:val="0"/>
              <w:autoSpaceDN w:val="0"/>
              <w:jc w:val="center"/>
              <w:rPr>
                <w:rFonts w:hint="eastAsia" w:ascii="宋体" w:hAnsi="宋体" w:cs="宋体"/>
                <w:szCs w:val="21"/>
                <w:lang w:bidi="zh-CN"/>
              </w:rPr>
            </w:pPr>
            <w:r>
              <w:rPr>
                <w:rFonts w:hint="eastAsia" w:ascii="宋体" w:hAnsi="宋体" w:cs="宋体"/>
                <w:szCs w:val="21"/>
                <w:lang w:bidi="zh-CN"/>
              </w:rPr>
              <w:t>（米）</w:t>
            </w:r>
          </w:p>
        </w:tc>
        <w:tc>
          <w:tcPr>
            <w:tcW w:w="81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射程</w:t>
            </w:r>
          </w:p>
          <w:p>
            <w:pPr>
              <w:autoSpaceDE w:val="0"/>
              <w:autoSpaceDN w:val="0"/>
              <w:jc w:val="center"/>
              <w:rPr>
                <w:rFonts w:hint="eastAsia" w:ascii="宋体" w:hAnsi="宋体" w:cs="宋体"/>
                <w:szCs w:val="21"/>
                <w:lang w:bidi="zh-CN"/>
              </w:rPr>
            </w:pPr>
            <w:r>
              <w:rPr>
                <w:rFonts w:hint="eastAsia" w:ascii="宋体" w:hAnsi="宋体" w:cs="宋体"/>
                <w:szCs w:val="21"/>
                <w:lang w:bidi="zh-CN"/>
              </w:rPr>
              <w:t>（海里）</w:t>
            </w:r>
          </w:p>
        </w:tc>
        <w:tc>
          <w:tcPr>
            <w:tcW w:w="3025"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构造</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浙嵊电1号灯浮</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7′51.3″</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bidi="zh-CN"/>
              </w:rPr>
            </w:pPr>
            <w:r>
              <w:rPr>
                <w:rFonts w:hint="eastAsia" w:ascii="宋体" w:hAnsi="宋体" w:cs="宋体"/>
                <w:szCs w:val="21"/>
                <w:lang w:val="zh-CN" w:bidi="zh-CN"/>
              </w:rPr>
              <w:t>121</w:t>
            </w:r>
            <w:r>
              <w:rPr>
                <w:rFonts w:hint="eastAsia" w:ascii="宋体" w:hAnsi="宋体" w:cs="宋体"/>
                <w:szCs w:val="21"/>
                <w:lang w:bidi="zh-CN"/>
              </w:rPr>
              <w:t>°44′37.7″</w:t>
            </w:r>
            <w:r>
              <w:rPr>
                <w:rFonts w:hint="eastAsia" w:ascii="宋体" w:hAnsi="宋体" w:cs="宋体"/>
                <w:szCs w:val="21"/>
                <w:lang w:val="zh-CN" w:bidi="zh-CN"/>
              </w:rPr>
              <w:t>E</w:t>
            </w:r>
          </w:p>
        </w:tc>
        <w:tc>
          <w:tcPr>
            <w:tcW w:w="950" w:type="dxa"/>
            <w:vMerge w:val="restart"/>
            <w:vAlign w:val="center"/>
          </w:tcPr>
          <w:p>
            <w:pPr>
              <w:autoSpaceDE w:val="0"/>
              <w:autoSpaceDN w:val="0"/>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莫(C)黄12秒</w:t>
            </w:r>
          </w:p>
          <w:p>
            <w:pPr>
              <w:autoSpaceDE w:val="0"/>
              <w:autoSpaceDN w:val="0"/>
              <w:jc w:val="center"/>
              <w:rPr>
                <w:rFonts w:hint="eastAsia" w:asciiTheme="minorEastAsia" w:hAnsiTheme="minorEastAsia" w:cstheme="minorEastAsia"/>
                <w:color w:val="000000" w:themeColor="text1"/>
                <w:lang w:val="zh-CN"/>
              </w:rPr>
            </w:pPr>
            <w:r>
              <w:rPr>
                <w:rFonts w:hint="eastAsia" w:asciiTheme="minorEastAsia" w:hAnsiTheme="minorEastAsia" w:cstheme="minorEastAsia"/>
                <w:color w:val="000000" w:themeColor="text1"/>
              </w:rPr>
              <w:t>（同步闪光）</w:t>
            </w:r>
          </w:p>
        </w:tc>
        <w:tc>
          <w:tcPr>
            <w:tcW w:w="795"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81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3</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直径2.4米塑料浮标，黄色柱形，顶标为黄色X形，桩身明显处绘黑色水中构筑物标记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浙嵊电2号灯浮</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8′24.8″</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°43′01.7″</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81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3</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直径2.4米塑料浮标，黄色柱形，顶标为黄色X形，桩身明显处绘黑色水中构筑物标记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浙嵊电3号灯浮</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8′58.4″</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°41′25.7″</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81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3</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直径2.4米塑料浮标，黄色柱形，顶标为黄色X形，桩身明显处绘黑色水中构筑物标记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浙嵊电4号灯浮</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9′31.9″</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°39′49.7″</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81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3</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直径2.4米塑料浮标，黄色柱形，顶标为黄色X形，桩身明显处绘黑色水中构筑物标记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浙嵊电5号灯浮</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9′46.4″</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°38′27.8″</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81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3</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直径2.4米塑料浮标，黄色柱形，顶标为黄色X形，桩身明显处绘黑色水中构筑物标记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浙嵊电6号灯浮</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9′55.7″</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°37′35.5″</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81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3</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直径2.4米塑料浮标，黄色柱形，顶标为黄色X形，桩身明显处绘黑色水中构筑物标记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浙嵊电7号灯浮</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°40′31.1″</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°34′14.6″</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81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3</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直径2.4米塑料浮标，黄色柱形，顶标为黄色X形，桩身明显处绘黑色水中构筑物标记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浙嵊电8号灯浮</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°40′45.9″</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°32′50.9″</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81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3</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直径2.4米塑料浮标，黄色柱形，顶标为黄色X形，桩身明显处绘黑色水中构筑物标记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浙嵊电10号灯浮</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7′37.4″</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°37′17.3″</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81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3</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直径2.4米塑料浮标，黄色柱形，顶标为黄色X形，桩身明显处绘黑色水中构筑物标记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浙嵊电11号灯浮</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7′21.1″</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°38′58.1″</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81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3</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直径2.4米塑料浮标，黄色柱形，顶标为黄色X形，桩身明显处绘黑色水中构筑物标记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浙嵊电12号灯浮</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5′45.0″</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°44′33.9″</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81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3</w:t>
            </w:r>
          </w:p>
        </w:tc>
        <w:tc>
          <w:tcPr>
            <w:tcW w:w="3025"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直径2.4米塑料浮标，黄色柱形，顶标为黄色X形，桩身明显处绘黑色水中构筑物标记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浙嵊电1号灯桩</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7′40.6″</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°44′18.7″</w:t>
            </w:r>
            <w:r>
              <w:rPr>
                <w:rFonts w:hint="eastAsia" w:ascii="宋体" w:hAnsi="宋体" w:cs="宋体"/>
                <w:szCs w:val="21"/>
                <w:lang w:val="zh-CN" w:bidi="zh-CN"/>
              </w:rPr>
              <w:t>E</w:t>
            </w:r>
          </w:p>
        </w:tc>
        <w:tc>
          <w:tcPr>
            <w:tcW w:w="950" w:type="dxa"/>
            <w:vMerge w:val="restart"/>
            <w:vAlign w:val="center"/>
          </w:tcPr>
          <w:p>
            <w:pPr>
              <w:autoSpaceDE w:val="0"/>
              <w:autoSpaceDN w:val="0"/>
              <w:jc w:val="center"/>
              <w:rPr>
                <w:rFonts w:hint="eastAsia" w:asciiTheme="minorEastAsia" w:hAnsiTheme="minorEastAsia" w:cstheme="minorEastAsia"/>
                <w:color w:val="000000" w:themeColor="text1"/>
              </w:rPr>
            </w:pPr>
            <w:r>
              <w:rPr>
                <w:rFonts w:hint="eastAsia" w:asciiTheme="minorEastAsia" w:hAnsiTheme="minorEastAsia" w:cstheme="minorEastAsia"/>
                <w:color w:val="000000" w:themeColor="text1"/>
              </w:rPr>
              <w:t>莫(C)黄12秒</w:t>
            </w:r>
          </w:p>
          <w:p>
            <w:pPr>
              <w:autoSpaceDE w:val="0"/>
              <w:autoSpaceDN w:val="0"/>
              <w:jc w:val="center"/>
              <w:rPr>
                <w:rFonts w:hint="eastAsia" w:ascii="宋体" w:hAnsi="宋体" w:cs="宋体"/>
                <w:szCs w:val="21"/>
                <w:lang w:val="zh-CN" w:bidi="zh-CN"/>
              </w:rPr>
            </w:pPr>
            <w:r>
              <w:rPr>
                <w:rFonts w:hint="eastAsia" w:asciiTheme="minorEastAsia" w:hAnsiTheme="minorEastAsia" w:cstheme="minorEastAsia"/>
                <w:color w:val="000000" w:themeColor="text1"/>
              </w:rPr>
              <w:t>（同步闪光）</w:t>
            </w:r>
          </w:p>
        </w:tc>
        <w:tc>
          <w:tcPr>
            <w:tcW w:w="795"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13.4</w:t>
            </w:r>
          </w:p>
        </w:tc>
        <w:tc>
          <w:tcPr>
            <w:tcW w:w="81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5</w:t>
            </w:r>
          </w:p>
        </w:tc>
        <w:tc>
          <w:tcPr>
            <w:tcW w:w="3025"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黄色圆柱形钢管，顶标为黄色X形，桩身明显处绘黑色水中构筑物标记，高1.2米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浙嵊电2号灯桩</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8′11.1″</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°42′51.7″</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13.4</w:t>
            </w:r>
          </w:p>
        </w:tc>
        <w:tc>
          <w:tcPr>
            <w:tcW w:w="81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5</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黄色圆柱形钢管，顶标为黄色X形，桩身明显处绘黑色水中构筑物标记，高1.2米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浙嵊电3号灯桩</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8′46.2″</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°41′11.2″</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13.4</w:t>
            </w:r>
          </w:p>
        </w:tc>
        <w:tc>
          <w:tcPr>
            <w:tcW w:w="810"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5</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黄色圆柱形钢管，顶标为黄色X形，桩身明显处绘黑色水中构筑物标记，高1.2米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浙嵊电4号灯桩</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9′09.5″</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°40′04.4″</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13.4</w:t>
            </w:r>
          </w:p>
        </w:tc>
        <w:tc>
          <w:tcPr>
            <w:tcW w:w="810"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5</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黄色圆柱形钢管，顶标为黄色X形，桩身明显处绘黑色水中构筑物标记，高1.2米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浙嵊电5号灯桩</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9′25.9″</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°38′51.0″</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13.4</w:t>
            </w:r>
          </w:p>
        </w:tc>
        <w:tc>
          <w:tcPr>
            <w:tcW w:w="810"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5</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黄色圆柱形钢管，顶标为黄色X形，桩身明显处绘黑色水中构筑物标记，高1.2米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5"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浙嵊电6号灯桩</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9′42.6″</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°37′17.0″</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13.4</w:t>
            </w:r>
          </w:p>
        </w:tc>
        <w:tc>
          <w:tcPr>
            <w:tcW w:w="810"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5</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黄色圆柱形钢管，顶标为黄色X形，桩身明显处绘黑色水中构筑物标记，高1.2米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浙嵊电7号灯桩</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9′54.3″</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°36′10.7″</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13.4</w:t>
            </w:r>
          </w:p>
        </w:tc>
        <w:tc>
          <w:tcPr>
            <w:tcW w:w="810"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5</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黄色圆柱形钢管，顶标为黄色X形，桩身明显处绘黑色水中构筑物标记，高1.2米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浙嵊电8号灯桩</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°40′11.9″</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°34′31.2″</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13.4</w:t>
            </w:r>
          </w:p>
        </w:tc>
        <w:tc>
          <w:tcPr>
            <w:tcW w:w="810"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5</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黄色圆柱形钢管，顶标为黄色X形，桩身明显处绘黑色水中构筑物标记，高1.2米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浙嵊电9号灯桩</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°40′26.2″</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°33′09.5″</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13.4</w:t>
            </w:r>
          </w:p>
        </w:tc>
        <w:tc>
          <w:tcPr>
            <w:tcW w:w="810"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5</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黄色圆柱形钢管，顶标为黄色X形，桩身明显处绘黑色水中构筑物标记，高1.2米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浙嵊电10号灯桩</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8′45.7″</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°33′09.6″</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14.9</w:t>
            </w:r>
          </w:p>
        </w:tc>
        <w:tc>
          <w:tcPr>
            <w:tcW w:w="810"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5</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黄色圆柱形钢管，顶标为黄色X形，桩身明显处绘黑色水中构筑物标记，高1.2米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浙嵊电11号灯桩</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8′29.7″</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°33′50.7″</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14.9</w:t>
            </w:r>
          </w:p>
        </w:tc>
        <w:tc>
          <w:tcPr>
            <w:tcW w:w="81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5</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黄色圆柱形钢管，顶标为黄色X形，桩身明显处绘黑色水中构筑物标记，高1.2米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浙嵊电12号灯桩</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8′16.1″</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°35′07.7″</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14.9</w:t>
            </w:r>
          </w:p>
        </w:tc>
        <w:tc>
          <w:tcPr>
            <w:tcW w:w="81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5</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黄色圆柱形钢管，顶标为黄色X形，桩身明显处绘黑色水中构筑物标记，高1.2米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浙嵊电13号灯桩</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7′58.7″</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°36′47.0″</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14.9</w:t>
            </w:r>
          </w:p>
        </w:tc>
        <w:tc>
          <w:tcPr>
            <w:tcW w:w="81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5</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黄色圆柱形钢管，顶标为黄色X形，桩身明显处绘黑色水中构筑物标记，高1.2米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浙嵊电14号灯桩</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8′48.0″</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°37′17.3″</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14.9</w:t>
            </w:r>
          </w:p>
        </w:tc>
        <w:tc>
          <w:tcPr>
            <w:tcW w:w="81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5</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黄色圆柱形钢管，顶标为黄色X形，桩身明显处绘黑色水中构筑物标记，高1.2米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浙嵊电15号灯桩</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8′25.0″</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°39′03.6″</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14.9</w:t>
            </w:r>
          </w:p>
        </w:tc>
        <w:tc>
          <w:tcPr>
            <w:tcW w:w="81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5</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黄色圆柱形钢管，顶标为黄色X形，桩身明显处绘黑色水中构筑物标记，高1.2米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浙嵊电16号灯桩</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7′31.1″</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°39′22.2″</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14.9</w:t>
            </w:r>
          </w:p>
        </w:tc>
        <w:tc>
          <w:tcPr>
            <w:tcW w:w="81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5</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黄色圆柱形钢管，顶标为黄色X形，桩身明显处绘黑色水中构筑物标记，高1.2米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浙嵊电17号灯桩</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7′01.7″</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°41′05.0″</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14.9</w:t>
            </w:r>
          </w:p>
        </w:tc>
        <w:tc>
          <w:tcPr>
            <w:tcW w:w="81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5</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黄色圆柱形钢管，顶标为黄色X形，桩身明显处绘黑色水中构筑物标记，高1.2米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浙嵊电18号灯桩</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6′36.5″</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°42′33.3″</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14.9</w:t>
            </w:r>
          </w:p>
        </w:tc>
        <w:tc>
          <w:tcPr>
            <w:tcW w:w="81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5</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黄色圆柱形钢管，顶标为黄色X形，桩身明显处绘黑色水中构筑物标记，高1.2米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浙嵊电19号灯桩</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6′07.1″</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°44′16.0″</w:t>
            </w:r>
            <w:r>
              <w:rPr>
                <w:rFonts w:hint="eastAsia" w:ascii="宋体" w:hAnsi="宋体" w:cs="宋体"/>
                <w:szCs w:val="21"/>
                <w:lang w:val="zh-CN" w:bidi="zh-CN"/>
              </w:rPr>
              <w:t>E</w:t>
            </w:r>
          </w:p>
        </w:tc>
        <w:tc>
          <w:tcPr>
            <w:tcW w:w="950" w:type="dxa"/>
            <w:vMerge w:val="continue"/>
            <w:vAlign w:val="center"/>
          </w:tcPr>
          <w:p>
            <w:pPr>
              <w:autoSpaceDE w:val="0"/>
              <w:autoSpaceDN w:val="0"/>
              <w:jc w:val="center"/>
              <w:rPr>
                <w:rFonts w:hint="eastAsia" w:ascii="宋体" w:hAnsi="宋体" w:cs="宋体"/>
                <w:szCs w:val="21"/>
                <w:lang w:val="zh-CN" w:bidi="zh-CN"/>
              </w:rPr>
            </w:pPr>
          </w:p>
        </w:tc>
        <w:tc>
          <w:tcPr>
            <w:tcW w:w="79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14.9</w:t>
            </w:r>
          </w:p>
        </w:tc>
        <w:tc>
          <w:tcPr>
            <w:tcW w:w="81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5</w:t>
            </w: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黄色圆柱形钢管，顶标为黄色X形，桩身明显处绘黑色水中构筑物标记，高1.2米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ZSD1实体AIS航标</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7′40.6″</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°44′18.7″</w:t>
            </w:r>
            <w:r>
              <w:rPr>
                <w:rFonts w:hint="eastAsia" w:ascii="宋体" w:hAnsi="宋体" w:cs="宋体"/>
                <w:szCs w:val="21"/>
                <w:lang w:val="zh-CN" w:bidi="zh-CN"/>
              </w:rPr>
              <w:t>E</w:t>
            </w:r>
          </w:p>
        </w:tc>
        <w:tc>
          <w:tcPr>
            <w:tcW w:w="950"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MMSI:994121420</w:t>
            </w:r>
          </w:p>
        </w:tc>
        <w:tc>
          <w:tcPr>
            <w:tcW w:w="795"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810"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3025" w:type="dxa"/>
            <w:vAlign w:val="center"/>
          </w:tcPr>
          <w:p>
            <w:pPr>
              <w:autoSpaceDE w:val="0"/>
              <w:autoSpaceDN w:val="0"/>
              <w:jc w:val="center"/>
              <w:rPr>
                <w:rFonts w:hint="eastAsia" w:ascii="宋体" w:hAnsi="宋体" w:cs="宋体"/>
                <w:szCs w:val="21"/>
                <w:lang w:bidi="zh-CN"/>
              </w:rPr>
            </w:pPr>
            <w:r>
              <w:rPr>
                <w:rFonts w:hint="eastAsia" w:ascii="宋体" w:hAnsi="宋体" w:cs="宋体"/>
                <w:szCs w:val="21"/>
                <w:lang w:bidi="zh-CN"/>
              </w:rPr>
              <w:t>航标类型：专用标；发射模式：自主连续；播发间隔：3分钟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ZSD5实体AIS航标</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9′25.9″</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°38′51.0″</w:t>
            </w:r>
            <w:r>
              <w:rPr>
                <w:rFonts w:hint="eastAsia" w:ascii="宋体" w:hAnsi="宋体" w:cs="宋体"/>
                <w:szCs w:val="21"/>
                <w:lang w:val="zh-CN" w:bidi="zh-CN"/>
              </w:rPr>
              <w:t>E</w:t>
            </w:r>
          </w:p>
        </w:tc>
        <w:tc>
          <w:tcPr>
            <w:tcW w:w="950"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MMSI:994121421</w:t>
            </w:r>
          </w:p>
        </w:tc>
        <w:tc>
          <w:tcPr>
            <w:tcW w:w="795"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810"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航标类型：专用标；发射模式：自主连续；播发间隔：3分钟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ZSD6实体AIS航标</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9′42.6″</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°37′17.0″</w:t>
            </w:r>
            <w:r>
              <w:rPr>
                <w:rFonts w:hint="eastAsia" w:ascii="宋体" w:hAnsi="宋体" w:cs="宋体"/>
                <w:szCs w:val="21"/>
                <w:lang w:val="zh-CN" w:bidi="zh-CN"/>
              </w:rPr>
              <w:t>E</w:t>
            </w:r>
          </w:p>
        </w:tc>
        <w:tc>
          <w:tcPr>
            <w:tcW w:w="950"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MMSI:994121422</w:t>
            </w:r>
          </w:p>
        </w:tc>
        <w:tc>
          <w:tcPr>
            <w:tcW w:w="795"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810"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航标类型：专用标；发射模式：自主连续；播发间隔：3分钟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ZSD9实体AIS航标</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°40′26.2″</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°33′09.5″</w:t>
            </w:r>
            <w:r>
              <w:rPr>
                <w:rFonts w:hint="eastAsia" w:ascii="宋体" w:hAnsi="宋体" w:cs="宋体"/>
                <w:szCs w:val="21"/>
                <w:lang w:val="zh-CN" w:bidi="zh-CN"/>
              </w:rPr>
              <w:t>E</w:t>
            </w:r>
          </w:p>
        </w:tc>
        <w:tc>
          <w:tcPr>
            <w:tcW w:w="950"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MMSI:994121423</w:t>
            </w:r>
          </w:p>
        </w:tc>
        <w:tc>
          <w:tcPr>
            <w:tcW w:w="795"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810"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航标类型：专用标；发射模式：自主连续；播发间隔：3分钟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ZSD10实体AIS航标</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8′45.7″</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°33′09.6″</w:t>
            </w:r>
            <w:r>
              <w:rPr>
                <w:rFonts w:hint="eastAsia" w:ascii="宋体" w:hAnsi="宋体" w:cs="宋体"/>
                <w:szCs w:val="21"/>
                <w:lang w:val="zh-CN" w:bidi="zh-CN"/>
              </w:rPr>
              <w:t>E</w:t>
            </w:r>
          </w:p>
        </w:tc>
        <w:tc>
          <w:tcPr>
            <w:tcW w:w="950"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MMSI:994121424</w:t>
            </w:r>
          </w:p>
        </w:tc>
        <w:tc>
          <w:tcPr>
            <w:tcW w:w="795"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810"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航标类型：专用标；发射模式：自主连续；播发间隔：3分钟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ZSD13实体AIS航标</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7′58.7″</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°36′47.0″</w:t>
            </w:r>
            <w:r>
              <w:rPr>
                <w:rFonts w:hint="eastAsia" w:ascii="宋体" w:hAnsi="宋体" w:cs="宋体"/>
                <w:szCs w:val="21"/>
                <w:lang w:val="zh-CN" w:bidi="zh-CN"/>
              </w:rPr>
              <w:t>E</w:t>
            </w:r>
          </w:p>
        </w:tc>
        <w:tc>
          <w:tcPr>
            <w:tcW w:w="950"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MMSI:994121425</w:t>
            </w:r>
          </w:p>
        </w:tc>
        <w:tc>
          <w:tcPr>
            <w:tcW w:w="795"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810"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航标类型：专用标；发射模式：自主连续；播发间隔：3分钟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ZSD16实体AIS航标</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7′31.1″</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°39′22.2″</w:t>
            </w:r>
            <w:r>
              <w:rPr>
                <w:rFonts w:hint="eastAsia" w:ascii="宋体" w:hAnsi="宋体" w:cs="宋体"/>
                <w:szCs w:val="21"/>
                <w:lang w:val="zh-CN" w:bidi="zh-CN"/>
              </w:rPr>
              <w:t>E</w:t>
            </w:r>
          </w:p>
        </w:tc>
        <w:tc>
          <w:tcPr>
            <w:tcW w:w="950"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MMSI:994121426</w:t>
            </w:r>
          </w:p>
        </w:tc>
        <w:tc>
          <w:tcPr>
            <w:tcW w:w="795"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810"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航标类型：专用标；发射模式：自主连续；播发间隔：3分钟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jc w:val="center"/>
        </w:trPr>
        <w:tc>
          <w:tcPr>
            <w:tcW w:w="1213"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ZSD19实体AIS航标</w:t>
            </w:r>
          </w:p>
        </w:tc>
        <w:tc>
          <w:tcPr>
            <w:tcW w:w="1734"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val="zh-CN" w:bidi="zh-CN"/>
              </w:rPr>
              <w:t>30</w:t>
            </w:r>
            <w:r>
              <w:rPr>
                <w:rFonts w:hint="eastAsia" w:ascii="宋体" w:hAnsi="宋体" w:cs="宋体"/>
                <w:szCs w:val="21"/>
                <w:lang w:bidi="zh-CN"/>
              </w:rPr>
              <w:t>°</w:t>
            </w:r>
            <w:r>
              <w:rPr>
                <w:rFonts w:hint="eastAsia" w:ascii="宋体" w:hAnsi="宋体" w:cs="宋体"/>
                <w:szCs w:val="21"/>
                <w:lang w:val="zh-CN" w:bidi="zh-CN"/>
              </w:rPr>
              <w:t>3</w:t>
            </w:r>
            <w:r>
              <w:rPr>
                <w:rFonts w:hint="eastAsia" w:ascii="宋体" w:hAnsi="宋体" w:cs="宋体"/>
                <w:szCs w:val="21"/>
                <w:lang w:bidi="zh-CN"/>
              </w:rPr>
              <w:t>6′07.1″</w:t>
            </w:r>
            <w:r>
              <w:rPr>
                <w:rFonts w:hint="eastAsia" w:ascii="宋体" w:hAnsi="宋体" w:cs="宋体"/>
                <w:szCs w:val="21"/>
                <w:lang w:val="zh-CN" w:bidi="zh-CN"/>
              </w:rPr>
              <w:t>N</w:t>
            </w:r>
          </w:p>
          <w:p>
            <w:pPr>
              <w:autoSpaceDE w:val="0"/>
              <w:autoSpaceDN w:val="0"/>
              <w:ind w:hanging="5"/>
              <w:jc w:val="center"/>
              <w:rPr>
                <w:rFonts w:hint="eastAsia" w:ascii="宋体" w:hAnsi="宋体" w:cs="宋体"/>
                <w:szCs w:val="21"/>
                <w:lang w:val="zh-CN" w:bidi="zh-CN"/>
              </w:rPr>
            </w:pPr>
            <w:r>
              <w:rPr>
                <w:rFonts w:hint="eastAsia" w:ascii="宋体" w:hAnsi="宋体" w:cs="宋体"/>
                <w:szCs w:val="21"/>
                <w:lang w:val="zh-CN" w:bidi="zh-CN"/>
              </w:rPr>
              <w:t>121</w:t>
            </w:r>
            <w:r>
              <w:rPr>
                <w:rFonts w:hint="eastAsia" w:ascii="宋体" w:hAnsi="宋体" w:cs="宋体"/>
                <w:szCs w:val="21"/>
                <w:lang w:bidi="zh-CN"/>
              </w:rPr>
              <w:t>°44′16.0″</w:t>
            </w:r>
            <w:r>
              <w:rPr>
                <w:rFonts w:hint="eastAsia" w:ascii="宋体" w:hAnsi="宋体" w:cs="宋体"/>
                <w:szCs w:val="21"/>
                <w:lang w:val="zh-CN" w:bidi="zh-CN"/>
              </w:rPr>
              <w:t>E</w:t>
            </w:r>
          </w:p>
        </w:tc>
        <w:tc>
          <w:tcPr>
            <w:tcW w:w="950"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MMSI:994121427</w:t>
            </w:r>
          </w:p>
        </w:tc>
        <w:tc>
          <w:tcPr>
            <w:tcW w:w="795"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810" w:type="dxa"/>
            <w:tcBorders>
              <w:tr2bl w:val="single" w:color="000000" w:sz="4" w:space="0"/>
            </w:tcBorders>
            <w:vAlign w:val="center"/>
          </w:tcPr>
          <w:p>
            <w:pPr>
              <w:autoSpaceDE w:val="0"/>
              <w:autoSpaceDN w:val="0"/>
              <w:jc w:val="center"/>
              <w:rPr>
                <w:rFonts w:hint="eastAsia" w:ascii="宋体" w:hAnsi="宋体" w:cs="宋体"/>
                <w:szCs w:val="21"/>
                <w:lang w:val="zh-CN" w:bidi="zh-CN"/>
              </w:rPr>
            </w:pPr>
          </w:p>
        </w:tc>
        <w:tc>
          <w:tcPr>
            <w:tcW w:w="3025" w:type="dxa"/>
            <w:vAlign w:val="center"/>
          </w:tcPr>
          <w:p>
            <w:pPr>
              <w:autoSpaceDE w:val="0"/>
              <w:autoSpaceDN w:val="0"/>
              <w:jc w:val="center"/>
              <w:rPr>
                <w:rFonts w:hint="eastAsia" w:ascii="宋体" w:hAnsi="宋体" w:cs="宋体"/>
                <w:szCs w:val="21"/>
                <w:lang w:val="zh-CN" w:bidi="zh-CN"/>
              </w:rPr>
            </w:pPr>
            <w:r>
              <w:rPr>
                <w:rFonts w:hint="eastAsia" w:ascii="宋体" w:hAnsi="宋体" w:cs="宋体"/>
                <w:szCs w:val="21"/>
                <w:lang w:bidi="zh-CN"/>
              </w:rPr>
              <w:t>航标类型：专用标；发射模式：自主连续；播发间隔：3分钟</w:t>
            </w:r>
          </w:p>
        </w:tc>
      </w:tr>
    </w:tbl>
    <w:p>
      <w:pPr>
        <w:jc w:val="center"/>
        <w:outlineLvl w:val="2"/>
        <w:rPr>
          <w:rFonts w:hint="eastAsia" w:ascii="宋体" w:hAnsi="宋体"/>
          <w:bCs/>
          <w:kern w:val="0"/>
          <w:sz w:val="24"/>
        </w:rPr>
      </w:pPr>
    </w:p>
    <w:p>
      <w:pPr>
        <w:widowControl/>
        <w:spacing w:before="60" w:after="60" w:line="360" w:lineRule="auto"/>
        <w:ind w:firstLine="426" w:firstLineChars="177"/>
        <w:jc w:val="left"/>
        <w:rPr>
          <w:rFonts w:hint="eastAsia" w:asciiTheme="minorEastAsia" w:hAnsiTheme="minorEastAsia"/>
          <w:b/>
          <w:sz w:val="24"/>
        </w:rPr>
      </w:pPr>
      <w:r>
        <w:rPr>
          <w:rFonts w:hint="eastAsia" w:asciiTheme="minorEastAsia" w:hAnsiTheme="minorEastAsia"/>
          <w:b/>
          <w:sz w:val="24"/>
        </w:rPr>
        <w:t>2.2</w:t>
      </w:r>
      <w:r>
        <w:rPr>
          <w:rFonts w:asciiTheme="minorEastAsia" w:hAnsiTheme="minorEastAsia"/>
          <w:b/>
          <w:sz w:val="24"/>
        </w:rPr>
        <w:t>航标维护工作内容（包括但不限于）：</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1）</w:t>
      </w:r>
      <w:r>
        <w:rPr>
          <w:rFonts w:asciiTheme="minorEastAsia" w:hAnsiTheme="minorEastAsia"/>
          <w:sz w:val="24"/>
        </w:rPr>
        <w:t>负责编制航标维护工作方案，经招标人审核同意后，按工作方案要求进行航标的巡检和维护工作；</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2</w:t>
      </w:r>
      <w:r>
        <w:rPr>
          <w:rFonts w:asciiTheme="minorEastAsia" w:hAnsiTheme="minorEastAsia"/>
          <w:sz w:val="24"/>
        </w:rPr>
        <w:t>）负责对航标巡检和维护资料进行建档；</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3</w:t>
      </w:r>
      <w:r>
        <w:rPr>
          <w:rFonts w:asciiTheme="minorEastAsia" w:hAnsiTheme="minorEastAsia"/>
          <w:sz w:val="24"/>
        </w:rPr>
        <w:t>）</w:t>
      </w:r>
      <w:r>
        <w:rPr>
          <w:rFonts w:hint="eastAsia" w:asciiTheme="minorEastAsia" w:hAnsiTheme="minorEastAsia"/>
          <w:sz w:val="24"/>
        </w:rPr>
        <w:t>负责航标设备维修所需备件的及时采购、调配工作，确保维护响应时效符合本规范书要求；4</w:t>
      </w:r>
      <w:r>
        <w:rPr>
          <w:rFonts w:asciiTheme="minorEastAsia" w:hAnsiTheme="minorEastAsia"/>
          <w:sz w:val="24"/>
        </w:rPr>
        <w:t>）</w:t>
      </w:r>
      <w:r>
        <w:rPr>
          <w:rFonts w:hint="eastAsia" w:asciiTheme="minorEastAsia" w:hAnsiTheme="minorEastAsia"/>
          <w:sz w:val="24"/>
        </w:rPr>
        <w:t>协助做好</w:t>
      </w:r>
      <w:r>
        <w:rPr>
          <w:rFonts w:asciiTheme="minorEastAsia" w:hAnsiTheme="minorEastAsia"/>
          <w:sz w:val="24"/>
        </w:rPr>
        <w:t>海事等相关部门组织的航标</w:t>
      </w:r>
      <w:r>
        <w:rPr>
          <w:rFonts w:hint="eastAsia" w:asciiTheme="minorEastAsia" w:hAnsiTheme="minorEastAsia"/>
          <w:sz w:val="24"/>
        </w:rPr>
        <w:t>检查</w:t>
      </w:r>
      <w:r>
        <w:rPr>
          <w:rFonts w:asciiTheme="minorEastAsia" w:hAnsiTheme="minorEastAsia"/>
          <w:sz w:val="24"/>
        </w:rPr>
        <w:t>检测工作；</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5</w:t>
      </w:r>
      <w:r>
        <w:rPr>
          <w:rFonts w:asciiTheme="minorEastAsia" w:hAnsiTheme="minorEastAsia"/>
          <w:sz w:val="24"/>
        </w:rPr>
        <w:t>）</w:t>
      </w:r>
      <w:r>
        <w:rPr>
          <w:rFonts w:hint="eastAsia" w:asciiTheme="minorEastAsia" w:hAnsiTheme="minorEastAsia"/>
          <w:sz w:val="24"/>
        </w:rPr>
        <w:t>协助招标人方做好</w:t>
      </w:r>
      <w:r>
        <w:rPr>
          <w:rFonts w:asciiTheme="minorEastAsia" w:hAnsiTheme="minorEastAsia"/>
          <w:sz w:val="24"/>
        </w:rPr>
        <w:t>其他与航标相关的工作内容</w:t>
      </w:r>
      <w:r>
        <w:rPr>
          <w:rFonts w:hint="eastAsia" w:asciiTheme="minorEastAsia" w:hAnsiTheme="minorEastAsia"/>
          <w:sz w:val="24"/>
        </w:rPr>
        <w:t>。</w:t>
      </w:r>
    </w:p>
    <w:p>
      <w:pPr>
        <w:widowControl/>
        <w:jc w:val="left"/>
        <w:outlineLvl w:val="0"/>
        <w:rPr>
          <w:rFonts w:hint="eastAsia" w:ascii="宋体" w:hAnsi="宋体" w:eastAsia="宋体" w:cs="宋体"/>
          <w:b/>
          <w:kern w:val="0"/>
          <w:sz w:val="24"/>
        </w:rPr>
      </w:pPr>
      <w:r>
        <w:rPr>
          <w:rFonts w:hint="eastAsia" w:ascii="宋体" w:hAnsi="宋体" w:eastAsia="宋体" w:cs="宋体"/>
          <w:b/>
          <w:kern w:val="0"/>
          <w:sz w:val="24"/>
        </w:rPr>
        <w:t>三、航标维护要求</w:t>
      </w:r>
    </w:p>
    <w:p>
      <w:pPr>
        <w:widowControl/>
        <w:spacing w:before="60" w:after="60" w:line="360" w:lineRule="auto"/>
        <w:ind w:firstLine="426" w:firstLineChars="177"/>
        <w:jc w:val="left"/>
        <w:rPr>
          <w:rFonts w:hint="eastAsia" w:asciiTheme="minorEastAsia" w:hAnsiTheme="minorEastAsia"/>
          <w:b/>
          <w:sz w:val="28"/>
          <w:szCs w:val="28"/>
        </w:rPr>
      </w:pPr>
      <w:r>
        <w:rPr>
          <w:rFonts w:hint="eastAsia" w:asciiTheme="minorEastAsia" w:hAnsiTheme="minorEastAsia"/>
          <w:b/>
          <w:sz w:val="24"/>
        </w:rPr>
        <w:t>3.1遵循的规范标准</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投标人应严格执行本文件所列法规</w:t>
      </w:r>
      <w:r>
        <w:rPr>
          <w:rFonts w:asciiTheme="minorEastAsia" w:hAnsiTheme="minorEastAsia"/>
          <w:sz w:val="24"/>
        </w:rPr>
        <w:t>、</w:t>
      </w:r>
      <w:r>
        <w:rPr>
          <w:rFonts w:hint="eastAsia" w:asciiTheme="minorEastAsia" w:hAnsiTheme="minorEastAsia"/>
          <w:sz w:val="24"/>
        </w:rPr>
        <w:t>标准、规范、规程，若招标人提出的法规、标准、</w:t>
      </w:r>
      <w:r>
        <w:rPr>
          <w:rFonts w:asciiTheme="minorEastAsia" w:hAnsiTheme="minorEastAsia"/>
          <w:sz w:val="24"/>
        </w:rPr>
        <w:t>规范、规程等</w:t>
      </w:r>
      <w:r>
        <w:rPr>
          <w:rFonts w:hint="eastAsia" w:asciiTheme="minorEastAsia" w:hAnsiTheme="minorEastAsia"/>
          <w:sz w:val="24"/>
        </w:rPr>
        <w:t>与本文件所列不一致时，应按较高法规</w:t>
      </w:r>
      <w:r>
        <w:rPr>
          <w:rFonts w:asciiTheme="minorEastAsia" w:hAnsiTheme="minorEastAsia"/>
          <w:sz w:val="24"/>
        </w:rPr>
        <w:t>、</w:t>
      </w:r>
      <w:r>
        <w:rPr>
          <w:rFonts w:hint="eastAsia" w:asciiTheme="minorEastAsia" w:hAnsiTheme="minorEastAsia"/>
          <w:sz w:val="24"/>
        </w:rPr>
        <w:t>标准、规范、规程要求执行。</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如果某项标准或协议在本文件中未作规定，或投标人采用其它标准或协议，则投标人应详细说明其采用的标准或协议，并向招标人提供其采用标准或协议的中文版本。只有当其采用的标准或协议是国际公认的、惯用的，且不低于本文件的要求时，投标人采用的标准或协议才能被招标人认可。</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下列文件对于本文件的应用是必不可少的，凡是注日期的引用文件，仅注日期的版本适用于本文件，凡是不注日期的引用文件，其最新版本（包括所有的修改单）适用于本文件。</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1）中华人民共和国航标条例(1995年12月3日，国务院第</w:t>
      </w:r>
      <w:bookmarkStart w:id="29" w:name="_GoBack"/>
      <w:bookmarkEnd w:id="29"/>
      <w:r>
        <w:rPr>
          <w:rFonts w:hint="eastAsia" w:asciiTheme="minorEastAsia" w:hAnsiTheme="minorEastAsia"/>
          <w:sz w:val="24"/>
        </w:rPr>
        <w:t>187号令)</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2）中国海区水上助航标志（GB4696-2016）</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3）中国海区水上助航标志形状显示规定（GB/T16161-1996）</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4）中国海区水中建构筑物 助航标志规定GB 17380-2020</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5）航标灯光信号颜色（GB 12708-2020）</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6）沿海航标维护质量管理体系导则（JT/T729-2008）</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7）航标灯光强测量和灯光射程计算（JT7007-08）</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8）</w:t>
      </w:r>
      <w:r>
        <w:rPr>
          <w:rFonts w:asciiTheme="minorEastAsia" w:hAnsiTheme="minorEastAsia"/>
          <w:sz w:val="24"/>
        </w:rPr>
        <w:t>沿海航标维护质量要求及评定方法</w:t>
      </w:r>
      <w:r>
        <w:rPr>
          <w:rFonts w:hint="eastAsia" w:asciiTheme="minorEastAsia" w:hAnsiTheme="minorEastAsia"/>
          <w:sz w:val="24"/>
        </w:rPr>
        <w:t>（</w:t>
      </w:r>
      <w:r>
        <w:rPr>
          <w:rFonts w:asciiTheme="minorEastAsia" w:hAnsiTheme="minorEastAsia"/>
          <w:sz w:val="24"/>
        </w:rPr>
        <w:t>JT/T 1363-2020</w:t>
      </w:r>
      <w:r>
        <w:rPr>
          <w:rFonts w:hint="eastAsia" w:asciiTheme="minorEastAsia" w:hAnsiTheme="minorEastAsia"/>
          <w:sz w:val="24"/>
        </w:rPr>
        <w:t>）</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9）沿海导助航工程维护技术规程（JTS/T 320-5-2020）</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10）海区航标固定建（构）筑物维护（</w:t>
      </w:r>
      <w:r>
        <w:rPr>
          <w:rFonts w:asciiTheme="minorEastAsia" w:hAnsiTheme="minorEastAsia"/>
          <w:sz w:val="24"/>
        </w:rPr>
        <w:t>JT</w:t>
      </w:r>
      <w:r>
        <w:rPr>
          <w:rFonts w:hint="eastAsia" w:asciiTheme="minorEastAsia" w:hAnsiTheme="minorEastAsia"/>
          <w:sz w:val="24"/>
        </w:rPr>
        <w:t xml:space="preserve">/T </w:t>
      </w:r>
      <w:r>
        <w:rPr>
          <w:rFonts w:asciiTheme="minorEastAsia" w:hAnsiTheme="minorEastAsia"/>
          <w:sz w:val="24"/>
        </w:rPr>
        <w:t>7</w:t>
      </w:r>
      <w:r>
        <w:rPr>
          <w:rFonts w:hint="eastAsia" w:asciiTheme="minorEastAsia" w:hAnsiTheme="minorEastAsia"/>
          <w:sz w:val="24"/>
        </w:rPr>
        <w:t>31-2008）</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11）海区航标维护管理规则（</w:t>
      </w:r>
      <w:r>
        <w:rPr>
          <w:rFonts w:asciiTheme="minorEastAsia" w:hAnsiTheme="minorEastAsia"/>
          <w:sz w:val="24"/>
        </w:rPr>
        <w:t>海航保〔2019〕485号</w:t>
      </w:r>
      <w:r>
        <w:rPr>
          <w:rFonts w:hint="eastAsia" w:asciiTheme="minorEastAsia" w:hAnsiTheme="minorEastAsia"/>
          <w:sz w:val="24"/>
        </w:rPr>
        <w:t>）</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12）东海海区航标维护管理实施细则（</w:t>
      </w:r>
      <w:r>
        <w:rPr>
          <w:rFonts w:asciiTheme="minorEastAsia" w:hAnsiTheme="minorEastAsia"/>
          <w:sz w:val="24"/>
        </w:rPr>
        <w:t>东海航导〔2020〕66号</w:t>
      </w:r>
      <w:r>
        <w:rPr>
          <w:rFonts w:hint="eastAsia" w:asciiTheme="minorEastAsia" w:hAnsiTheme="minorEastAsia"/>
          <w:sz w:val="24"/>
        </w:rPr>
        <w:t>）</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13）东海航海保障中心航标遥测遥控系统运行管理办法（试行）</w:t>
      </w:r>
      <w:r>
        <w:rPr>
          <w:rFonts w:asciiTheme="minorEastAsia" w:hAnsiTheme="minorEastAsia"/>
          <w:sz w:val="24"/>
        </w:rPr>
        <w:t>（东海航保〔2013〕523 号）</w:t>
      </w:r>
    </w:p>
    <w:p>
      <w:pPr>
        <w:widowControl/>
        <w:spacing w:before="60" w:after="60" w:line="360" w:lineRule="auto"/>
        <w:ind w:firstLine="426" w:firstLineChars="177"/>
        <w:jc w:val="left"/>
        <w:rPr>
          <w:rFonts w:hint="eastAsia" w:asciiTheme="minorEastAsia" w:hAnsiTheme="minorEastAsia"/>
          <w:b/>
          <w:sz w:val="24"/>
        </w:rPr>
      </w:pPr>
      <w:r>
        <w:rPr>
          <w:rFonts w:hint="eastAsia" w:asciiTheme="minorEastAsia" w:hAnsiTheme="minorEastAsia"/>
          <w:b/>
          <w:sz w:val="24"/>
        </w:rPr>
        <w:t>3.</w:t>
      </w:r>
      <w:r>
        <w:rPr>
          <w:rFonts w:asciiTheme="minorEastAsia" w:hAnsiTheme="minorEastAsia"/>
          <w:b/>
          <w:sz w:val="24"/>
        </w:rPr>
        <w:t>2</w:t>
      </w:r>
      <w:r>
        <w:rPr>
          <w:rFonts w:hint="eastAsia" w:asciiTheme="minorEastAsia" w:hAnsiTheme="minorEastAsia"/>
          <w:b/>
          <w:sz w:val="24"/>
        </w:rPr>
        <w:t>服务期限</w:t>
      </w:r>
      <w:r>
        <w:rPr>
          <w:rFonts w:asciiTheme="minorEastAsia" w:hAnsiTheme="minorEastAsia"/>
          <w:b/>
          <w:sz w:val="24"/>
        </w:rPr>
        <w:t>与进度要求</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3.2.1服务期限：</w:t>
      </w:r>
      <w:r>
        <w:rPr>
          <w:rFonts w:hint="eastAsia" w:asciiTheme="minorEastAsia" w:hAnsiTheme="minorEastAsia"/>
          <w:sz w:val="24"/>
          <w:u w:val="single"/>
        </w:rPr>
        <w:t>2025年5月20日—2027年5月31日</w:t>
      </w:r>
      <w:r>
        <w:rPr>
          <w:rFonts w:hint="eastAsia" w:asciiTheme="minorEastAsia" w:hAnsiTheme="minorEastAsia"/>
          <w:sz w:val="24"/>
        </w:rPr>
        <w:t>。</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3.2.2 进度要求：按批复后的维护工作方案执行</w:t>
      </w:r>
      <w:r>
        <w:rPr>
          <w:rFonts w:asciiTheme="minorEastAsia" w:hAnsiTheme="minorEastAsia"/>
          <w:sz w:val="24"/>
        </w:rPr>
        <w:t>。</w:t>
      </w:r>
    </w:p>
    <w:p>
      <w:pPr>
        <w:widowControl/>
        <w:spacing w:before="60" w:after="60" w:line="360" w:lineRule="auto"/>
        <w:ind w:firstLine="426" w:firstLineChars="177"/>
        <w:jc w:val="left"/>
        <w:rPr>
          <w:rFonts w:hint="eastAsia" w:asciiTheme="minorEastAsia" w:hAnsiTheme="minorEastAsia"/>
          <w:b/>
          <w:sz w:val="24"/>
        </w:rPr>
      </w:pPr>
      <w:r>
        <w:rPr>
          <w:rFonts w:hint="eastAsia" w:asciiTheme="minorEastAsia" w:hAnsiTheme="minorEastAsia"/>
          <w:b/>
          <w:sz w:val="24"/>
        </w:rPr>
        <w:t>3.3航标维护要求</w:t>
      </w:r>
    </w:p>
    <w:p>
      <w:pPr>
        <w:widowControl/>
        <w:spacing w:before="60" w:after="60" w:line="360" w:lineRule="auto"/>
        <w:ind w:firstLine="426" w:firstLineChars="177"/>
        <w:jc w:val="left"/>
        <w:rPr>
          <w:rFonts w:hint="eastAsia" w:asciiTheme="minorEastAsia" w:hAnsiTheme="minorEastAsia"/>
          <w:b/>
          <w:sz w:val="24"/>
        </w:rPr>
      </w:pPr>
      <w:r>
        <w:rPr>
          <w:rFonts w:hint="eastAsia" w:asciiTheme="minorEastAsia" w:hAnsiTheme="minorEastAsia"/>
          <w:b/>
          <w:sz w:val="24"/>
        </w:rPr>
        <w:t>3.3.1巡查及维护要求</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1）应编制好航标维护工作方案，并按工作方案有计划进行航标巡查维护工作。</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2）航标巡查，主要内容包括航标的外观标识是否完好、牢固，构件是否齐全；航标灯发光是否正常，灯光视距是否足够和灯光颜色是否鲜明等；航标供电系统是否正常、有效，线路是否存在老化现象；AIS航标播放信息是否正常，时间间隔是否符合要求。</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3）在航标巡检过程中，应及时清理灰尘、沾黏物等，去除障碍物，发现线缆及设备有松动的要及时紧固。同时应作好记录，发现问题应及时上报招标人，必要时应附上照片或简图。</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4）如发现航标失常或设备设施遭到破坏时，应及时上报招标人，并及时出航进行修复，修复</w:t>
      </w:r>
      <w:r>
        <w:rPr>
          <w:rFonts w:hint="eastAsia" w:ascii="宋体" w:hAnsi="宋体" w:cs="宋体"/>
          <w:sz w:val="24"/>
        </w:rPr>
        <w:t>时间按《</w:t>
      </w:r>
      <w:r>
        <w:rPr>
          <w:rFonts w:hint="eastAsia" w:asciiTheme="minorEastAsia" w:hAnsiTheme="minorEastAsia"/>
          <w:sz w:val="24"/>
        </w:rPr>
        <w:t>东海海区航标维护管理实施细则</w:t>
      </w:r>
      <w:r>
        <w:rPr>
          <w:rFonts w:hint="eastAsia" w:ascii="宋体" w:hAnsi="宋体" w:cs="宋体"/>
          <w:sz w:val="24"/>
        </w:rPr>
        <w:t>》规定标准执行</w:t>
      </w:r>
      <w:r>
        <w:rPr>
          <w:rFonts w:hint="eastAsia" w:asciiTheme="minorEastAsia" w:hAnsiTheme="minorEastAsia"/>
          <w:sz w:val="24"/>
        </w:rPr>
        <w:t>。</w:t>
      </w:r>
      <w:r>
        <w:rPr>
          <w:rFonts w:hint="eastAsia" w:ascii="宋体" w:hAnsi="宋体" w:cs="宋体"/>
          <w:sz w:val="24"/>
        </w:rPr>
        <w:t>因天气原因不能按时进行修复的，应做好记录，待天气允许时应立即进行修复。</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5）若遇到特殊情况，如台风、大暴雨、大浪潮、强地震以及结构出现异常或损坏等情况，应立即对航标进行一次全面检查，及时修复损坏的设备。</w:t>
      </w:r>
    </w:p>
    <w:p>
      <w:pPr>
        <w:widowControl/>
        <w:spacing w:before="60" w:after="60" w:line="360" w:lineRule="auto"/>
        <w:ind w:firstLine="426" w:firstLineChars="177"/>
        <w:jc w:val="left"/>
        <w:rPr>
          <w:rFonts w:hint="eastAsia" w:asciiTheme="minorEastAsia" w:hAnsiTheme="minorEastAsia"/>
          <w:b/>
          <w:sz w:val="24"/>
        </w:rPr>
      </w:pPr>
      <w:r>
        <w:rPr>
          <w:rFonts w:hint="eastAsia" w:asciiTheme="minorEastAsia" w:hAnsiTheme="minorEastAsia"/>
          <w:b/>
          <w:sz w:val="24"/>
        </w:rPr>
        <w:t>3.3.2航标维护周期要求</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1）航标的日常巡检周期为1次/月，航标保养1次/年。</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2）航标灯、蓄电池、太阳能电池板等航标设备每季度进行一次全面清洁保养；航标灯、蓄电池每季度进行一次质量检测，太阳能电池每半年进行一次质量检测，并做好记录，达不到技术性能指标的，应及时修理或更换。</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3）除天气原因导致无法到达现场外，航标出现故障时，应在48小时内完成故障排除，恢复助航效能。</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4）当风场内出现台风天气，待解除封航后，必须立即对航标进行一次全面检查，及时修复损坏的设备设施，清除障碍物。</w:t>
      </w:r>
    </w:p>
    <w:p>
      <w:pPr>
        <w:widowControl/>
        <w:spacing w:before="60" w:after="60" w:line="360" w:lineRule="auto"/>
        <w:ind w:firstLine="426" w:firstLineChars="177"/>
        <w:jc w:val="left"/>
        <w:rPr>
          <w:rFonts w:hint="eastAsia" w:asciiTheme="minorEastAsia" w:hAnsiTheme="minorEastAsia"/>
          <w:b/>
          <w:sz w:val="24"/>
        </w:rPr>
      </w:pPr>
      <w:r>
        <w:rPr>
          <w:rFonts w:hint="eastAsia" w:asciiTheme="minorEastAsia" w:hAnsiTheme="minorEastAsia"/>
          <w:b/>
          <w:sz w:val="24"/>
        </w:rPr>
        <w:t>3.3.3航标维护质量要求</w:t>
      </w:r>
    </w:p>
    <w:p>
      <w:pPr>
        <w:widowControl/>
        <w:spacing w:before="60" w:after="60" w:line="360" w:lineRule="auto"/>
        <w:ind w:firstLine="424" w:firstLineChars="177"/>
        <w:jc w:val="left"/>
        <w:rPr>
          <w:rFonts w:hint="eastAsia" w:asciiTheme="minorEastAsia" w:hAnsiTheme="minorEastAsia"/>
          <w:sz w:val="24"/>
        </w:rPr>
      </w:pPr>
      <w:r>
        <w:rPr>
          <w:rFonts w:hint="eastAsia" w:ascii="宋体" w:hAnsi="宋体" w:cs="宋体"/>
          <w:sz w:val="24"/>
        </w:rPr>
        <w:t>在航标日常维护中，视觉航标应满足“标位准确、灯质正常、结构良好、涂色鲜明”的总体目标；AIS航标应满足</w:t>
      </w:r>
      <w:r>
        <w:rPr>
          <w:rFonts w:ascii="TimesNewRomanPSMT" w:hAnsi="TimesNewRomanPSMT"/>
          <w:sz w:val="32"/>
          <w:szCs w:val="32"/>
        </w:rPr>
        <w:t>“</w:t>
      </w:r>
      <w:r>
        <w:rPr>
          <w:rFonts w:ascii="宋体" w:hAnsi="宋体" w:cs="宋体"/>
          <w:sz w:val="24"/>
        </w:rPr>
        <w:t>信号准确、频率稳定、功率正常、工作连续”</w:t>
      </w:r>
      <w:r>
        <w:rPr>
          <w:rFonts w:hint="eastAsia" w:ascii="宋体" w:hAnsi="宋体" w:cs="宋体"/>
          <w:sz w:val="24"/>
        </w:rPr>
        <w:t>的总体目标。航标维护应符合《</w:t>
      </w:r>
      <w:r>
        <w:rPr>
          <w:rFonts w:hint="eastAsia" w:asciiTheme="minorEastAsia" w:hAnsiTheme="minorEastAsia"/>
          <w:sz w:val="24"/>
        </w:rPr>
        <w:t>东海海区航标维护管理实施细则</w:t>
      </w:r>
      <w:r>
        <w:rPr>
          <w:rFonts w:hint="eastAsia" w:ascii="宋体" w:hAnsi="宋体" w:cs="宋体"/>
          <w:sz w:val="24"/>
        </w:rPr>
        <w:t>》中（附件1：航标维护质量要求）的具体要求，同时还要符合</w:t>
      </w:r>
      <w:r>
        <w:rPr>
          <w:rFonts w:hint="eastAsia" w:asciiTheme="minorEastAsia" w:hAnsiTheme="minorEastAsia"/>
          <w:sz w:val="24"/>
        </w:rPr>
        <w:t>航标的发光正常率不低于99.0%、维护正常率不低于99.5%的要求。</w:t>
      </w:r>
    </w:p>
    <w:p>
      <w:pPr>
        <w:widowControl/>
        <w:spacing w:before="60" w:after="60" w:line="360" w:lineRule="auto"/>
        <w:ind w:firstLine="426" w:firstLineChars="177"/>
        <w:jc w:val="left"/>
        <w:rPr>
          <w:rFonts w:hint="eastAsia" w:asciiTheme="minorEastAsia" w:hAnsiTheme="minorEastAsia"/>
          <w:b/>
          <w:sz w:val="24"/>
        </w:rPr>
      </w:pPr>
      <w:r>
        <w:rPr>
          <w:rFonts w:hint="eastAsia" w:asciiTheme="minorEastAsia" w:hAnsiTheme="minorEastAsia"/>
          <w:b/>
          <w:sz w:val="24"/>
        </w:rPr>
        <w:t>3.3.4航标维护成果报告</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要求每月编制月度航标维护报告，内容包括巡查情况、航标遥控遥测系统监测情况，清理维修、更换设备情况，巡检、维护过程的影像资料以及故障部件更换清单等，并每月及时将维护报告上报给招标人。</w:t>
      </w:r>
    </w:p>
    <w:p>
      <w:pPr>
        <w:widowControl/>
        <w:spacing w:before="60" w:after="60" w:line="360" w:lineRule="auto"/>
        <w:ind w:firstLine="426" w:firstLineChars="177"/>
        <w:jc w:val="left"/>
        <w:rPr>
          <w:rFonts w:hint="eastAsia" w:asciiTheme="minorEastAsia" w:hAnsiTheme="minorEastAsia"/>
          <w:b/>
          <w:sz w:val="24"/>
        </w:rPr>
      </w:pPr>
      <w:r>
        <w:rPr>
          <w:rFonts w:hint="eastAsia" w:asciiTheme="minorEastAsia" w:hAnsiTheme="minorEastAsia"/>
          <w:b/>
          <w:sz w:val="24"/>
        </w:rPr>
        <w:t>3.4其它要求</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1）投标人应对航标巡检资料保密，不得将航标巡检资料提供给其他单位和个人，否则应对由此造成的后果承担责任。</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2）航标设备设施及配件的采购、更换、维修及保养由投标人承担，其费用包含在航标维护服务总报价内。</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3）投标人需承担在维护工作正常情况下发生的航标被撞、失踪、移位及其他意外损失费（如用船费、航标器材费等）。承担因投标人工作船靠泊不当对招标人风机及承台造成的损失。</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4）投标人如需登风机承台对灯柱、AIS航标等设备进行维护时，应提前3天上报招标人，待招标人许可后方能登风机进行航标维护工作。</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5）投标人应自行配置好为完成航标维护工作所需的船舶、维护工器具以及工作人员，并且应为出海维护作业的船舶、人员办理好相关的手续及证书，保证符合海事等主管部门出海、维护作业相关的要求。</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6）</w:t>
      </w:r>
      <w:r>
        <w:rPr>
          <w:rFonts w:asciiTheme="minorEastAsia" w:hAnsiTheme="minorEastAsia"/>
          <w:sz w:val="24"/>
        </w:rPr>
        <w:t>航标维护作业活动应在满足船舶与人员作业安全的环境要求下开展，并以天气预报和航标作业船船长现场实际判断等综合评估是否满足要求；维护作业时，工作人员应按规定做好安全防护工作，正确穿佩安全帽、救生衣等个人防护用品。</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7）航标维修或更换后的废弃物（如旧电池、油污等）投标人应带回岸妥善处理，不应在海上或风机上随意丢弃。</w:t>
      </w:r>
    </w:p>
    <w:p>
      <w:pPr>
        <w:widowControl/>
        <w:spacing w:before="60" w:after="60" w:line="360" w:lineRule="auto"/>
        <w:ind w:firstLine="426" w:firstLineChars="177"/>
        <w:jc w:val="left"/>
        <w:rPr>
          <w:rFonts w:hint="eastAsia" w:asciiTheme="minorEastAsia" w:hAnsiTheme="minorEastAsia"/>
          <w:b/>
          <w:sz w:val="24"/>
        </w:rPr>
      </w:pPr>
      <w:r>
        <w:rPr>
          <w:rFonts w:hint="eastAsia" w:asciiTheme="minorEastAsia" w:hAnsiTheme="minorEastAsia"/>
          <w:b/>
          <w:sz w:val="24"/>
        </w:rPr>
        <w:t>四、航标维护考核要求</w:t>
      </w:r>
    </w:p>
    <w:p>
      <w:pPr>
        <w:widowControl/>
        <w:spacing w:before="60" w:after="60" w:line="360" w:lineRule="auto"/>
        <w:ind w:firstLine="424" w:firstLineChars="177"/>
        <w:jc w:val="left"/>
        <w:rPr>
          <w:rFonts w:hint="eastAsia" w:asciiTheme="minorEastAsia" w:hAnsiTheme="minorEastAsia"/>
          <w:sz w:val="24"/>
        </w:rPr>
      </w:pPr>
      <w:r>
        <w:rPr>
          <w:rFonts w:hint="eastAsia" w:asciiTheme="minorEastAsia" w:hAnsiTheme="minorEastAsia"/>
          <w:sz w:val="24"/>
        </w:rPr>
        <w:t>投标人应按审批的航标维护方案进行日常维护工作，及时上报航标维护成果报告，招标人对报告予以确认。如投标人未按本规范书3.3项的相关要求完成维护任务或完成的工作内容不符合国家相关技术标准的，投标人应立即整改，投标人如不整改或整改不到位的，投标人应赔偿招标人的实际损失。</w:t>
      </w:r>
    </w:p>
    <w:p>
      <w:pPr>
        <w:widowControl/>
        <w:spacing w:before="60" w:after="60" w:line="360" w:lineRule="auto"/>
        <w:ind w:firstLine="424" w:firstLineChars="177"/>
        <w:jc w:val="left"/>
        <w:rPr>
          <w:rFonts w:hint="eastAsia" w:asciiTheme="minorEastAsia" w:hAnsiTheme="minorEastAsia"/>
          <w:sz w:val="24"/>
        </w:rPr>
      </w:pPr>
    </w:p>
    <w:sectPr>
      <w:pgSz w:w="11906" w:h="16838"/>
      <w:pgMar w:top="1440" w:right="1797" w:bottom="1191" w:left="1797"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imesNewRomanPSMT">
    <w:altName w:val="Times New Roman"/>
    <w:panose1 w:val="00000000000000000000"/>
    <w:charset w:val="00"/>
    <w:family w:val="roman"/>
    <w:pitch w:val="default"/>
    <w:sig w:usb0="00000000" w:usb1="00000000" w:usb2="00000000" w:usb3="00000000" w:csb0="00000000" w:csb1="00000000"/>
  </w:font>
  <w:font w:name="Calibri Light">
    <w:panose1 w:val="020F03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jc w:val="center"/>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trackRevisions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ZjA1N2U4MWUwOWQwY2JiMmFmMGU2MGUyMjJhNjM0OTIifQ=="/>
  </w:docVars>
  <w:rsids>
    <w:rsidRoot w:val="79442D4B"/>
    <w:rsid w:val="000047D6"/>
    <w:rsid w:val="00007877"/>
    <w:rsid w:val="00014E68"/>
    <w:rsid w:val="00023AD5"/>
    <w:rsid w:val="00033059"/>
    <w:rsid w:val="000361C4"/>
    <w:rsid w:val="0003677E"/>
    <w:rsid w:val="00037D70"/>
    <w:rsid w:val="00047A27"/>
    <w:rsid w:val="00062895"/>
    <w:rsid w:val="00075ABB"/>
    <w:rsid w:val="0008347B"/>
    <w:rsid w:val="00083F2D"/>
    <w:rsid w:val="000A7192"/>
    <w:rsid w:val="000B19B5"/>
    <w:rsid w:val="000C065B"/>
    <w:rsid w:val="000C0816"/>
    <w:rsid w:val="000C7506"/>
    <w:rsid w:val="000D241A"/>
    <w:rsid w:val="000D62E5"/>
    <w:rsid w:val="000F27E7"/>
    <w:rsid w:val="00104983"/>
    <w:rsid w:val="00111E83"/>
    <w:rsid w:val="00113AD4"/>
    <w:rsid w:val="00116956"/>
    <w:rsid w:val="0012170B"/>
    <w:rsid w:val="00127F57"/>
    <w:rsid w:val="00141C6B"/>
    <w:rsid w:val="0014335F"/>
    <w:rsid w:val="00145240"/>
    <w:rsid w:val="00147874"/>
    <w:rsid w:val="001532B0"/>
    <w:rsid w:val="00165CBF"/>
    <w:rsid w:val="00174AE1"/>
    <w:rsid w:val="00195454"/>
    <w:rsid w:val="001A01EE"/>
    <w:rsid w:val="001B1CBE"/>
    <w:rsid w:val="001B3581"/>
    <w:rsid w:val="001D4B95"/>
    <w:rsid w:val="001D6051"/>
    <w:rsid w:val="001D6273"/>
    <w:rsid w:val="001E7731"/>
    <w:rsid w:val="001F7350"/>
    <w:rsid w:val="0020097D"/>
    <w:rsid w:val="002156F0"/>
    <w:rsid w:val="00217C3C"/>
    <w:rsid w:val="00220B4F"/>
    <w:rsid w:val="0023167C"/>
    <w:rsid w:val="00241323"/>
    <w:rsid w:val="00252AEA"/>
    <w:rsid w:val="00252BA1"/>
    <w:rsid w:val="002612DF"/>
    <w:rsid w:val="00265D9B"/>
    <w:rsid w:val="0026625E"/>
    <w:rsid w:val="002760AF"/>
    <w:rsid w:val="002A26EF"/>
    <w:rsid w:val="002B56F6"/>
    <w:rsid w:val="002D26B5"/>
    <w:rsid w:val="002D71D1"/>
    <w:rsid w:val="002E1A5E"/>
    <w:rsid w:val="002F55D0"/>
    <w:rsid w:val="00310EB4"/>
    <w:rsid w:val="00314404"/>
    <w:rsid w:val="003156FC"/>
    <w:rsid w:val="0032145D"/>
    <w:rsid w:val="0033017E"/>
    <w:rsid w:val="00333239"/>
    <w:rsid w:val="00341876"/>
    <w:rsid w:val="00357BD4"/>
    <w:rsid w:val="00364401"/>
    <w:rsid w:val="003772CD"/>
    <w:rsid w:val="003977FD"/>
    <w:rsid w:val="003A10BF"/>
    <w:rsid w:val="003A3CD2"/>
    <w:rsid w:val="003B07D8"/>
    <w:rsid w:val="003B5131"/>
    <w:rsid w:val="003C10BE"/>
    <w:rsid w:val="003C3819"/>
    <w:rsid w:val="003C5428"/>
    <w:rsid w:val="003D2077"/>
    <w:rsid w:val="003E6AAE"/>
    <w:rsid w:val="00407E2A"/>
    <w:rsid w:val="00446787"/>
    <w:rsid w:val="00451E75"/>
    <w:rsid w:val="00483B2D"/>
    <w:rsid w:val="00495A81"/>
    <w:rsid w:val="004A0B93"/>
    <w:rsid w:val="004B19EF"/>
    <w:rsid w:val="004E1C1E"/>
    <w:rsid w:val="004E74A6"/>
    <w:rsid w:val="004F7131"/>
    <w:rsid w:val="00500894"/>
    <w:rsid w:val="00505485"/>
    <w:rsid w:val="00517906"/>
    <w:rsid w:val="00524016"/>
    <w:rsid w:val="00524AAF"/>
    <w:rsid w:val="00537B93"/>
    <w:rsid w:val="00543054"/>
    <w:rsid w:val="00556130"/>
    <w:rsid w:val="00556803"/>
    <w:rsid w:val="0057611D"/>
    <w:rsid w:val="0058128E"/>
    <w:rsid w:val="005A2E28"/>
    <w:rsid w:val="005A2EAE"/>
    <w:rsid w:val="005A7208"/>
    <w:rsid w:val="005B18F7"/>
    <w:rsid w:val="005D2E56"/>
    <w:rsid w:val="005E1106"/>
    <w:rsid w:val="005E5F8B"/>
    <w:rsid w:val="006042DF"/>
    <w:rsid w:val="00622301"/>
    <w:rsid w:val="00635054"/>
    <w:rsid w:val="00636464"/>
    <w:rsid w:val="00642FEB"/>
    <w:rsid w:val="006450BC"/>
    <w:rsid w:val="00652088"/>
    <w:rsid w:val="00655661"/>
    <w:rsid w:val="00674D3C"/>
    <w:rsid w:val="00680244"/>
    <w:rsid w:val="0068436E"/>
    <w:rsid w:val="0069667C"/>
    <w:rsid w:val="006966D7"/>
    <w:rsid w:val="006A059F"/>
    <w:rsid w:val="006B56D5"/>
    <w:rsid w:val="006B7210"/>
    <w:rsid w:val="006E07A4"/>
    <w:rsid w:val="006E2AE2"/>
    <w:rsid w:val="00703535"/>
    <w:rsid w:val="00720D19"/>
    <w:rsid w:val="007271A6"/>
    <w:rsid w:val="0073032A"/>
    <w:rsid w:val="00730CF2"/>
    <w:rsid w:val="007328C1"/>
    <w:rsid w:val="007409A6"/>
    <w:rsid w:val="00742DC3"/>
    <w:rsid w:val="00773D04"/>
    <w:rsid w:val="007B4AF5"/>
    <w:rsid w:val="007C3E0E"/>
    <w:rsid w:val="007D19CF"/>
    <w:rsid w:val="007D492F"/>
    <w:rsid w:val="007D7C89"/>
    <w:rsid w:val="00801DF7"/>
    <w:rsid w:val="00807CE6"/>
    <w:rsid w:val="00813882"/>
    <w:rsid w:val="00814488"/>
    <w:rsid w:val="008156A3"/>
    <w:rsid w:val="008160E5"/>
    <w:rsid w:val="0084187C"/>
    <w:rsid w:val="008816C9"/>
    <w:rsid w:val="00881F4C"/>
    <w:rsid w:val="008925EC"/>
    <w:rsid w:val="008A1E84"/>
    <w:rsid w:val="008B320B"/>
    <w:rsid w:val="008C4453"/>
    <w:rsid w:val="008D56C5"/>
    <w:rsid w:val="00903D1B"/>
    <w:rsid w:val="009149B1"/>
    <w:rsid w:val="00921334"/>
    <w:rsid w:val="00945D42"/>
    <w:rsid w:val="0095203C"/>
    <w:rsid w:val="0098289B"/>
    <w:rsid w:val="00983226"/>
    <w:rsid w:val="0098734F"/>
    <w:rsid w:val="009A0BC2"/>
    <w:rsid w:val="009A7E46"/>
    <w:rsid w:val="009B2B47"/>
    <w:rsid w:val="00A00676"/>
    <w:rsid w:val="00A30B0D"/>
    <w:rsid w:val="00A350E2"/>
    <w:rsid w:val="00A36D4C"/>
    <w:rsid w:val="00A43E89"/>
    <w:rsid w:val="00A47D7D"/>
    <w:rsid w:val="00A53E80"/>
    <w:rsid w:val="00A54225"/>
    <w:rsid w:val="00A551DF"/>
    <w:rsid w:val="00A64CE2"/>
    <w:rsid w:val="00A6551B"/>
    <w:rsid w:val="00A71592"/>
    <w:rsid w:val="00A7162A"/>
    <w:rsid w:val="00A87377"/>
    <w:rsid w:val="00A9228E"/>
    <w:rsid w:val="00A92894"/>
    <w:rsid w:val="00AA0C5B"/>
    <w:rsid w:val="00AA10AC"/>
    <w:rsid w:val="00AB05DE"/>
    <w:rsid w:val="00AC3DDA"/>
    <w:rsid w:val="00AC5871"/>
    <w:rsid w:val="00AC6916"/>
    <w:rsid w:val="00B148D6"/>
    <w:rsid w:val="00B16D43"/>
    <w:rsid w:val="00B17CF6"/>
    <w:rsid w:val="00B242DC"/>
    <w:rsid w:val="00B26761"/>
    <w:rsid w:val="00B475C1"/>
    <w:rsid w:val="00B514EB"/>
    <w:rsid w:val="00B64062"/>
    <w:rsid w:val="00B66E4B"/>
    <w:rsid w:val="00B742A0"/>
    <w:rsid w:val="00BA302E"/>
    <w:rsid w:val="00BC3C91"/>
    <w:rsid w:val="00BC5757"/>
    <w:rsid w:val="00C04039"/>
    <w:rsid w:val="00C14D2E"/>
    <w:rsid w:val="00C40B56"/>
    <w:rsid w:val="00C6262A"/>
    <w:rsid w:val="00C65330"/>
    <w:rsid w:val="00C74CE5"/>
    <w:rsid w:val="00C74D3A"/>
    <w:rsid w:val="00C84E83"/>
    <w:rsid w:val="00C93A7F"/>
    <w:rsid w:val="00CA6627"/>
    <w:rsid w:val="00CB4AA7"/>
    <w:rsid w:val="00CB6AA6"/>
    <w:rsid w:val="00CB77E7"/>
    <w:rsid w:val="00CD11BA"/>
    <w:rsid w:val="00CD2AF8"/>
    <w:rsid w:val="00CD481D"/>
    <w:rsid w:val="00CD5B10"/>
    <w:rsid w:val="00CF7EDC"/>
    <w:rsid w:val="00D113AF"/>
    <w:rsid w:val="00D1329F"/>
    <w:rsid w:val="00D21500"/>
    <w:rsid w:val="00D51CD0"/>
    <w:rsid w:val="00D62777"/>
    <w:rsid w:val="00D73BEE"/>
    <w:rsid w:val="00DA0E4C"/>
    <w:rsid w:val="00DA4A09"/>
    <w:rsid w:val="00DB72BB"/>
    <w:rsid w:val="00DC5BB5"/>
    <w:rsid w:val="00DC6C05"/>
    <w:rsid w:val="00DC6C2F"/>
    <w:rsid w:val="00DC7506"/>
    <w:rsid w:val="00DF7374"/>
    <w:rsid w:val="00E02321"/>
    <w:rsid w:val="00E20822"/>
    <w:rsid w:val="00E31293"/>
    <w:rsid w:val="00E37229"/>
    <w:rsid w:val="00E430E1"/>
    <w:rsid w:val="00E55C46"/>
    <w:rsid w:val="00E806D7"/>
    <w:rsid w:val="00E82121"/>
    <w:rsid w:val="00E878B7"/>
    <w:rsid w:val="00E94B6C"/>
    <w:rsid w:val="00E96387"/>
    <w:rsid w:val="00EB454A"/>
    <w:rsid w:val="00EC1848"/>
    <w:rsid w:val="00ED5527"/>
    <w:rsid w:val="00EE3992"/>
    <w:rsid w:val="00EE503A"/>
    <w:rsid w:val="00EF4851"/>
    <w:rsid w:val="00F163FB"/>
    <w:rsid w:val="00F241A5"/>
    <w:rsid w:val="00F37637"/>
    <w:rsid w:val="00F37721"/>
    <w:rsid w:val="00F57DB6"/>
    <w:rsid w:val="00F63AFB"/>
    <w:rsid w:val="00F65E00"/>
    <w:rsid w:val="00F84FDA"/>
    <w:rsid w:val="00F85EB7"/>
    <w:rsid w:val="00F91E7D"/>
    <w:rsid w:val="00FA7113"/>
    <w:rsid w:val="00FB0F2F"/>
    <w:rsid w:val="00FB638D"/>
    <w:rsid w:val="00FC2D9B"/>
    <w:rsid w:val="00FD3C76"/>
    <w:rsid w:val="00FE7B20"/>
    <w:rsid w:val="07FA1D27"/>
    <w:rsid w:val="0CAB368E"/>
    <w:rsid w:val="21416557"/>
    <w:rsid w:val="2B664387"/>
    <w:rsid w:val="39E915AC"/>
    <w:rsid w:val="3E506E7C"/>
    <w:rsid w:val="40AA6ED8"/>
    <w:rsid w:val="44A90634"/>
    <w:rsid w:val="46A366E9"/>
    <w:rsid w:val="51870AAC"/>
    <w:rsid w:val="60F07C03"/>
    <w:rsid w:val="62991B58"/>
    <w:rsid w:val="782D676D"/>
    <w:rsid w:val="79442D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link w:val="14"/>
    <w:unhideWhenUsed/>
    <w:qFormat/>
    <w:uiPriority w:val="9"/>
    <w:pPr>
      <w:keepNext/>
      <w:keepLines/>
      <w:spacing w:line="360" w:lineRule="auto"/>
      <w:jc w:val="left"/>
      <w:outlineLvl w:val="1"/>
    </w:pPr>
    <w:rPr>
      <w:rFonts w:ascii="Times New Roman" w:hAnsi="Times New Roman" w:eastAsia="黑体" w:cs="Times New Roman"/>
      <w:sz w:val="28"/>
      <w:szCs w:val="20"/>
    </w:rPr>
  </w:style>
  <w:style w:type="paragraph" w:styleId="3">
    <w:name w:val="heading 3"/>
    <w:basedOn w:val="1"/>
    <w:next w:val="1"/>
    <w:link w:val="15"/>
    <w:unhideWhenUsed/>
    <w:qFormat/>
    <w:uiPriority w:val="9"/>
    <w:pPr>
      <w:keepNext/>
      <w:keepLines/>
      <w:spacing w:line="360" w:lineRule="auto"/>
      <w:jc w:val="left"/>
      <w:outlineLvl w:val="2"/>
    </w:pPr>
    <w:rPr>
      <w:rFonts w:ascii="Times New Roman" w:hAnsi="Times New Roman" w:eastAsia="黑体" w:cs="Times New Roman"/>
      <w:sz w:val="28"/>
      <w:szCs w:val="20"/>
    </w:rPr>
  </w:style>
  <w:style w:type="paragraph" w:styleId="4">
    <w:name w:val="heading 4"/>
    <w:basedOn w:val="1"/>
    <w:next w:val="1"/>
    <w:link w:val="16"/>
    <w:unhideWhenUsed/>
    <w:qFormat/>
    <w:uiPriority w:val="9"/>
    <w:pPr>
      <w:keepNext/>
      <w:keepLines/>
      <w:spacing w:line="360" w:lineRule="auto"/>
      <w:jc w:val="left"/>
      <w:outlineLvl w:val="3"/>
    </w:pPr>
    <w:rPr>
      <w:rFonts w:ascii="Times New Roman" w:hAnsi="Times New Roman" w:eastAsia="黑体" w:cs="Times New Roman"/>
      <w:bCs/>
      <w:sz w:val="24"/>
      <w:szCs w:val="28"/>
    </w:rPr>
  </w:style>
  <w:style w:type="character" w:default="1" w:styleId="11">
    <w:name w:val="Default Paragraph Font"/>
    <w:semiHidden/>
    <w:unhideWhenUsed/>
    <w:uiPriority w:val="1"/>
  </w:style>
  <w:style w:type="table" w:default="1" w:styleId="9">
    <w:name w:val="Normal Table"/>
    <w:semiHidden/>
    <w:unhideWhenUsed/>
    <w:uiPriority w:val="99"/>
    <w:tblPr>
      <w:tblCellMar>
        <w:top w:w="0" w:type="dxa"/>
        <w:left w:w="108" w:type="dxa"/>
        <w:bottom w:w="0" w:type="dxa"/>
        <w:right w:w="108" w:type="dxa"/>
      </w:tblCellMar>
    </w:tblPr>
  </w:style>
  <w:style w:type="paragraph" w:styleId="5">
    <w:name w:val="Document Map"/>
    <w:basedOn w:val="1"/>
    <w:link w:val="22"/>
    <w:qFormat/>
    <w:uiPriority w:val="0"/>
    <w:rPr>
      <w:rFonts w:ascii="宋体" w:eastAsia="宋体"/>
      <w:sz w:val="18"/>
      <w:szCs w:val="18"/>
    </w:rPr>
  </w:style>
  <w:style w:type="paragraph" w:styleId="6">
    <w:name w:val="Balloon Text"/>
    <w:basedOn w:val="1"/>
    <w:link w:val="21"/>
    <w:qFormat/>
    <w:uiPriority w:val="0"/>
    <w:rPr>
      <w:sz w:val="18"/>
      <w:szCs w:val="18"/>
    </w:rPr>
  </w:style>
  <w:style w:type="paragraph" w:styleId="7">
    <w:name w:val="footer"/>
    <w:basedOn w:val="1"/>
    <w:link w:val="13"/>
    <w:uiPriority w:val="99"/>
    <w:pPr>
      <w:tabs>
        <w:tab w:val="center" w:pos="4153"/>
        <w:tab w:val="right" w:pos="8306"/>
      </w:tabs>
      <w:snapToGrid w:val="0"/>
      <w:jc w:val="left"/>
    </w:pPr>
    <w:rPr>
      <w:sz w:val="18"/>
      <w:szCs w:val="18"/>
    </w:rPr>
  </w:style>
  <w:style w:type="paragraph" w:styleId="8">
    <w:name w:val="header"/>
    <w:basedOn w:val="1"/>
    <w:link w:val="12"/>
    <w:qFormat/>
    <w:uiPriority w:val="0"/>
    <w:pPr>
      <w:pBdr>
        <w:bottom w:val="single" w:color="auto" w:sz="6" w:space="1"/>
      </w:pBdr>
      <w:tabs>
        <w:tab w:val="center" w:pos="4153"/>
        <w:tab w:val="right" w:pos="8306"/>
      </w:tabs>
      <w:snapToGrid w:val="0"/>
      <w:jc w:val="center"/>
    </w:pPr>
    <w:rPr>
      <w:sz w:val="18"/>
      <w:szCs w:val="18"/>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
    <w:name w:val="页眉 字符"/>
    <w:basedOn w:val="11"/>
    <w:link w:val="8"/>
    <w:uiPriority w:val="0"/>
    <w:rPr>
      <w:rFonts w:asciiTheme="minorHAnsi" w:hAnsiTheme="minorHAnsi" w:eastAsiaTheme="minorEastAsia" w:cstheme="minorBidi"/>
      <w:kern w:val="2"/>
      <w:sz w:val="18"/>
      <w:szCs w:val="18"/>
    </w:rPr>
  </w:style>
  <w:style w:type="character" w:customStyle="1" w:styleId="13">
    <w:name w:val="页脚 字符"/>
    <w:basedOn w:val="11"/>
    <w:link w:val="7"/>
    <w:uiPriority w:val="99"/>
    <w:rPr>
      <w:rFonts w:asciiTheme="minorHAnsi" w:hAnsiTheme="minorHAnsi" w:eastAsiaTheme="minorEastAsia" w:cstheme="minorBidi"/>
      <w:kern w:val="2"/>
      <w:sz w:val="18"/>
      <w:szCs w:val="18"/>
    </w:rPr>
  </w:style>
  <w:style w:type="character" w:customStyle="1" w:styleId="14">
    <w:name w:val="标题 2 字符"/>
    <w:basedOn w:val="11"/>
    <w:link w:val="2"/>
    <w:qFormat/>
    <w:uiPriority w:val="9"/>
    <w:rPr>
      <w:rFonts w:eastAsia="黑体"/>
      <w:kern w:val="2"/>
      <w:sz w:val="28"/>
    </w:rPr>
  </w:style>
  <w:style w:type="character" w:customStyle="1" w:styleId="15">
    <w:name w:val="标题 3 字符"/>
    <w:basedOn w:val="11"/>
    <w:link w:val="3"/>
    <w:qFormat/>
    <w:uiPriority w:val="9"/>
    <w:rPr>
      <w:rFonts w:eastAsia="黑体"/>
      <w:kern w:val="2"/>
      <w:sz w:val="28"/>
    </w:rPr>
  </w:style>
  <w:style w:type="character" w:customStyle="1" w:styleId="16">
    <w:name w:val="标题 4 字符"/>
    <w:basedOn w:val="11"/>
    <w:link w:val="4"/>
    <w:qFormat/>
    <w:uiPriority w:val="9"/>
    <w:rPr>
      <w:rFonts w:eastAsia="黑体"/>
      <w:bCs/>
      <w:kern w:val="2"/>
      <w:sz w:val="24"/>
      <w:szCs w:val="28"/>
    </w:rPr>
  </w:style>
  <w:style w:type="paragraph" w:customStyle="1" w:styleId="17">
    <w:name w:val="段"/>
    <w:basedOn w:val="1"/>
    <w:link w:val="18"/>
    <w:qFormat/>
    <w:uiPriority w:val="0"/>
    <w:pPr>
      <w:widowControl/>
      <w:autoSpaceDE w:val="0"/>
      <w:autoSpaceDN w:val="0"/>
      <w:ind w:firstLine="420" w:firstLineChars="200"/>
    </w:pPr>
    <w:rPr>
      <w:rFonts w:ascii="宋体" w:hAnsi="宋体" w:eastAsia="宋体" w:cs="Times New Roman"/>
      <w:kern w:val="0"/>
      <w:szCs w:val="21"/>
    </w:rPr>
  </w:style>
  <w:style w:type="character" w:customStyle="1" w:styleId="18">
    <w:name w:val="段 Char Char"/>
    <w:link w:val="17"/>
    <w:qFormat/>
    <w:uiPriority w:val="0"/>
    <w:rPr>
      <w:rFonts w:ascii="宋体" w:hAnsi="宋体"/>
      <w:sz w:val="21"/>
      <w:szCs w:val="21"/>
    </w:rPr>
  </w:style>
  <w:style w:type="paragraph" w:customStyle="1" w:styleId="19">
    <w:name w:val="正文1"/>
    <w:basedOn w:val="1"/>
    <w:link w:val="20"/>
    <w:qFormat/>
    <w:uiPriority w:val="0"/>
    <w:pPr>
      <w:spacing w:line="360" w:lineRule="auto"/>
      <w:ind w:firstLine="200" w:firstLineChars="200"/>
    </w:pPr>
    <w:rPr>
      <w:rFonts w:ascii="Times New Roman" w:hAnsi="Times New Roman" w:eastAsia="宋体" w:cs="Times New Roman"/>
      <w:color w:val="000000"/>
      <w:sz w:val="24"/>
      <w:szCs w:val="20"/>
    </w:rPr>
  </w:style>
  <w:style w:type="character" w:customStyle="1" w:styleId="20">
    <w:name w:val="正文1 Char"/>
    <w:link w:val="19"/>
    <w:qFormat/>
    <w:uiPriority w:val="0"/>
    <w:rPr>
      <w:color w:val="000000"/>
      <w:kern w:val="2"/>
      <w:sz w:val="24"/>
    </w:rPr>
  </w:style>
  <w:style w:type="character" w:customStyle="1" w:styleId="21">
    <w:name w:val="批注框文本 字符"/>
    <w:basedOn w:val="11"/>
    <w:link w:val="6"/>
    <w:qFormat/>
    <w:uiPriority w:val="0"/>
    <w:rPr>
      <w:rFonts w:asciiTheme="minorHAnsi" w:hAnsiTheme="minorHAnsi" w:eastAsiaTheme="minorEastAsia" w:cstheme="minorBidi"/>
      <w:kern w:val="2"/>
      <w:sz w:val="18"/>
      <w:szCs w:val="18"/>
    </w:rPr>
  </w:style>
  <w:style w:type="character" w:customStyle="1" w:styleId="22">
    <w:name w:val="文档结构图 字符"/>
    <w:basedOn w:val="11"/>
    <w:link w:val="5"/>
    <w:qFormat/>
    <w:uiPriority w:val="0"/>
    <w:rPr>
      <w:rFonts w:ascii="宋体" w:hAnsiTheme="minorHAnsi" w:cstheme="minorBidi"/>
      <w:kern w:val="2"/>
      <w:sz w:val="18"/>
      <w:szCs w:val="18"/>
    </w:rPr>
  </w:style>
  <w:style w:type="paragraph" w:customStyle="1" w:styleId="23">
    <w:name w:val="Default"/>
    <w:qFormat/>
    <w:uiPriority w:val="0"/>
    <w:pPr>
      <w:widowControl w:val="0"/>
      <w:autoSpaceDE w:val="0"/>
      <w:autoSpaceDN w:val="0"/>
      <w:adjustRightInd w:val="0"/>
    </w:pPr>
    <w:rPr>
      <w:rFonts w:ascii="黑体" w:hAnsi="Times New Roman" w:eastAsia="黑体" w:cs="黑体"/>
      <w:color w:val="000000"/>
      <w:sz w:val="24"/>
      <w:szCs w:val="24"/>
      <w:lang w:val="en-US" w:eastAsia="zh-CN" w:bidi="ar-SA"/>
    </w:rPr>
  </w:style>
  <w:style w:type="character" w:customStyle="1" w:styleId="24">
    <w:name w:val="fontstyle01"/>
    <w:basedOn w:val="11"/>
    <w:qFormat/>
    <w:uiPriority w:val="0"/>
    <w:rPr>
      <w:rFonts w:hint="eastAsia" w:ascii="宋体" w:hAnsi="宋体" w:eastAsia="宋体"/>
      <w:color w:val="000000"/>
      <w:sz w:val="24"/>
      <w:szCs w:val="24"/>
    </w:rPr>
  </w:style>
  <w:style w:type="character" w:customStyle="1" w:styleId="25">
    <w:name w:val="fontstyle21"/>
    <w:basedOn w:val="11"/>
    <w:qFormat/>
    <w:uiPriority w:val="0"/>
    <w:rPr>
      <w:rFonts w:hint="default" w:ascii="Times New Roman" w:hAnsi="Times New Roman" w:cs="Times New Roman"/>
      <w:i/>
      <w:iCs/>
      <w:color w:val="000000"/>
      <w:sz w:val="24"/>
      <w:szCs w:val="24"/>
    </w:rPr>
  </w:style>
  <w:style w:type="character" w:customStyle="1" w:styleId="26">
    <w:name w:val="fontstyle31"/>
    <w:basedOn w:val="11"/>
    <w:qFormat/>
    <w:uiPriority w:val="0"/>
    <w:rPr>
      <w:rFonts w:hint="default" w:ascii="Times New Roman" w:hAnsi="Times New Roman" w:cs="Times New Roman"/>
      <w:color w:val="000000"/>
      <w:sz w:val="24"/>
      <w:szCs w:val="24"/>
    </w:rPr>
  </w:style>
  <w:style w:type="paragraph" w:styleId="27">
    <w:name w:val="List Paragraph"/>
    <w:basedOn w:val="1"/>
    <w:qFormat/>
    <w:uiPriority w:val="0"/>
    <w:pPr>
      <w:ind w:firstLine="420" w:firstLineChars="200"/>
    </w:pPr>
    <w:rPr>
      <w:rFonts w:ascii="Times New Roman" w:hAnsi="Times New Roman" w:eastAsia="宋体" w:cs="Times New Roman"/>
    </w:rPr>
  </w:style>
  <w:style w:type="character" w:customStyle="1" w:styleId="28">
    <w:name w:val="fontstyle11"/>
    <w:basedOn w:val="11"/>
    <w:qFormat/>
    <w:uiPriority w:val="0"/>
    <w:rPr>
      <w:rFonts w:hint="default" w:ascii="TimesNewRomanPSMT" w:hAnsi="TimesNewRomanPSMT"/>
      <w:color w:val="000000"/>
      <w:sz w:val="32"/>
      <w:szCs w:val="32"/>
    </w:rPr>
  </w:style>
  <w:style w:type="character" w:customStyle="1" w:styleId="29">
    <w:name w:val="样式 宋体 小三 加粗 黑色"/>
    <w:qFormat/>
    <w:uiPriority w:val="0"/>
    <w:rPr>
      <w:rFonts w:ascii="宋体" w:hAnsi="宋体" w:eastAsia="宋体"/>
      <w:b/>
      <w:bCs/>
      <w:color w:val="000000"/>
      <w:kern w:val="0"/>
      <w:sz w:val="30"/>
    </w:rPr>
  </w:style>
  <w:style w:type="paragraph" w:customStyle="1" w:styleId="30">
    <w:name w:val="Revision"/>
    <w:hidden/>
    <w:unhideWhenUsed/>
    <w:uiPriority w:val="99"/>
    <w:rPr>
      <w:rFonts w:asciiTheme="minorHAnsi" w:hAnsiTheme="minorHAnsi" w:eastAsiaTheme="minorEastAsia" w:cstheme="minorBidi"/>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emf"/><Relationship Id="rId7" Type="http://schemas.openxmlformats.org/officeDocument/2006/relationships/oleObject" Target="embeddings/oleObject1.bin"/><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emf"/><Relationship Id="rId12" Type="http://schemas.openxmlformats.org/officeDocument/2006/relationships/oleObject" Target="embeddings/oleObject2.bin"/><Relationship Id="rId11" Type="http://schemas.openxmlformats.org/officeDocument/2006/relationships/image" Target="media/image6.pn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427003-8ABE-41D8-AAC8-93781F14BFFB}">
  <ds:schemaRefs/>
</ds:datastoreItem>
</file>

<file path=docProps/app.xml><?xml version="1.0" encoding="utf-8"?>
<Properties xmlns="http://schemas.openxmlformats.org/officeDocument/2006/extended-properties" xmlns:vt="http://schemas.openxmlformats.org/officeDocument/2006/docPropsVTypes">
  <Template>Normal.dotm</Template>
  <Pages>24</Pages>
  <Words>2082</Words>
  <Characters>11871</Characters>
  <Lines>98</Lines>
  <Paragraphs>27</Paragraphs>
  <TotalTime>361</TotalTime>
  <ScaleCrop>false</ScaleCrop>
  <LinksUpToDate>false</LinksUpToDate>
  <CharactersWithSpaces>13926</CharactersWithSpaces>
  <Application>WPS Office_11.8.2.11813_F1E327BC-269C-435d-A152-05C5408002CA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2022-07-06T07:58:00Z</dcterms:created>
  <dc:creator>WPS_1591333281</dc:creator>
  <cp:lastModifiedBy>JXFD-LYJ</cp:lastModifiedBy>
  <cp:lastPrinted>2023-12-15T03:18:00Z</cp:lastPrinted>
  <dcterms:modified xsi:type="dcterms:W3CDTF">2025-04-08T01:14:20Z</dcterms:modified>
  <cp:revision>119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2052-11.8.2.11813</vt:lpwstr>
  </property>
  <property fmtid="{D5CDD505-2E9C-101B-9397-08002B2CF9AE}" pid="3" name="ICV">
    <vt:lpwstr>9B31D00B8F5744359766B331ED905DA2</vt:lpwstr>
  </property>
</Properties>
</file>